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Cs/>
          <w:color w:val="000000"/>
          <w:sz w:val="44"/>
          <w:szCs w:val="44"/>
        </w:rPr>
      </w:pPr>
    </w:p>
    <w:p>
      <w:pPr>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rFonts w:hint="default" w:eastAsia="宋体"/>
                <w:sz w:val="30"/>
                <w:szCs w:val="30"/>
                <w:lang w:val="en-US" w:eastAsia="zh-CN"/>
              </w:rPr>
            </w:pPr>
            <w:r>
              <w:rPr>
                <w:rFonts w:hint="default" w:eastAsia="宋体"/>
                <w:sz w:val="30"/>
                <w:szCs w:val="30"/>
                <w:lang w:val="en-US" w:eastAsia="zh-CN"/>
              </w:rPr>
              <w:t>SZZXCG-2024-00193</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sz w:val="30"/>
                <w:szCs w:val="30"/>
              </w:rPr>
              <w:t>深圳技师学院世界技能大赛云计算项目专业资源库课程建设</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服务类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rFonts w:hint="eastAsia" w:eastAsia="宋体"/>
                <w:sz w:val="30"/>
                <w:szCs w:val="30"/>
                <w:lang w:val="en-US" w:eastAsia="zh-CN"/>
              </w:rPr>
            </w:pPr>
            <w:r>
              <w:rPr>
                <w:rFonts w:ascii="宋体" w:hAnsi="宋体" w:cs="宋体"/>
                <w:kern w:val="0"/>
                <w:sz w:val="30"/>
                <w:szCs w:val="30"/>
              </w:rPr>
              <w:t>公开</w:t>
            </w:r>
            <w:r>
              <w:rPr>
                <w:rFonts w:hint="eastAsia" w:ascii="宋体" w:hAnsi="宋体" w:cs="宋体"/>
                <w:kern w:val="0"/>
                <w:sz w:val="30"/>
                <w:szCs w:val="30"/>
                <w:lang w:val="en-US" w:eastAsia="zh-CN"/>
              </w:rPr>
              <w:t>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eastAsia="宋体" w:cs="宋体"/>
                <w:kern w:val="0"/>
                <w:sz w:val="30"/>
                <w:szCs w:val="30"/>
                <w:lang w:bidi="ar"/>
              </w:rPr>
              <w:t>综合评分法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548"/>
        <w:gridCol w:w="85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4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52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548"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524"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26"/>
        <w:gridCol w:w="84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452"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所投货物、服务在技术、商务等方面没有实质性满足（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未按招标文件所提供的样式填写《投标函》；未按招标文件所提供的《</w:t>
            </w:r>
            <w:r>
              <w:rPr>
                <w:rFonts w:hint="eastAsia"/>
                <w:lang w:eastAsia="zh-CN"/>
              </w:rPr>
              <w:t>采购投标及履约承诺函</w:t>
            </w:r>
            <w:r>
              <w:rPr>
                <w:rFonts w:hint="eastAsia"/>
              </w:rPr>
              <w:t>》进行承诺或不符合承诺的；未按招标文件对投标文件组成的要求提供投标文件；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8</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9</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10</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26"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1</w:t>
            </w:r>
          </w:p>
        </w:tc>
        <w:tc>
          <w:tcPr>
            <w:tcW w:w="8452"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34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271"/>
        <w:gridCol w:w="676"/>
        <w:gridCol w:w="793"/>
        <w:gridCol w:w="1522"/>
        <w:gridCol w:w="1050"/>
        <w:gridCol w:w="4760"/>
        <w:gridCol w:w="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271" w:type="dxa"/>
          <w:tblCellSpacing w:w="0" w:type="dxa"/>
          <w:jc w:val="center"/>
        </w:trPr>
        <w:tc>
          <w:tcPr>
            <w:tcW w:w="9072" w:type="dxa"/>
            <w:gridSpan w:val="6"/>
            <w:vAlign w:val="center"/>
          </w:tcPr>
          <w:p>
            <w:pPr>
              <w:jc w:val="left"/>
              <w:rPr>
                <w:rFonts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After w:val="1"/>
          <w:wAfter w:w="271" w:type="dxa"/>
          <w:tblCellSpacing w:w="0" w:type="dxa"/>
          <w:jc w:val="center"/>
        </w:trPr>
        <w:tc>
          <w:tcPr>
            <w:tcW w:w="9072" w:type="dxa"/>
            <w:gridSpan w:val="6"/>
            <w:vAlign w:val="center"/>
          </w:tcPr>
          <w:p>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w:t>
            </w:r>
          </w:p>
          <w:p>
            <w:pPr>
              <w:pStyle w:val="37"/>
              <w:ind w:firstLine="420"/>
              <w:rPr>
                <w:sz w:val="21"/>
                <w:szCs w:val="21"/>
              </w:rPr>
            </w:pPr>
            <w:r>
              <w:rPr>
                <w:sz w:val="21"/>
                <w:szCs w:val="21"/>
              </w:rPr>
              <w:t>价格分计算方法：</w:t>
            </w:r>
          </w:p>
          <w:p>
            <w:pPr>
              <w:pStyle w:val="37"/>
              <w:spacing w:line="324" w:lineRule="auto"/>
              <w:ind w:left="420"/>
              <w:rPr>
                <w:rFonts w:hint="eastAsia" w:eastAsia="宋体"/>
                <w:sz w:val="21"/>
                <w:szCs w:val="21"/>
                <w:lang w:eastAsia="zh-CN"/>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p>
          <w:p>
            <w:pPr>
              <w:pStyle w:val="37"/>
              <w:spacing w:line="324" w:lineRule="auto"/>
              <w:ind w:left="420"/>
              <w:rPr>
                <w:rFonts w:hint="eastAsia" w:eastAsia="宋体"/>
                <w:sz w:val="21"/>
                <w:szCs w:val="21"/>
                <w:lang w:eastAsia="zh-CN"/>
              </w:rPr>
            </w:pPr>
            <w:r>
              <w:rPr>
                <w:sz w:val="21"/>
                <w:szCs w:val="21"/>
              </w:rPr>
              <w:t xml:space="preserve">投标报价得分=(评标基准价／投标报价)×100 </w:t>
            </w:r>
          </w:p>
          <w:p>
            <w:pPr>
              <w:pStyle w:val="37"/>
              <w:spacing w:line="324" w:lineRule="auto"/>
              <w:ind w:left="420"/>
              <w:rPr>
                <w:rFonts w:hint="eastAsia" w:eastAsia="宋体"/>
                <w:sz w:val="21"/>
                <w:szCs w:val="21"/>
                <w:lang w:eastAsia="zh-CN"/>
              </w:rPr>
            </w:pPr>
            <w:r>
              <w:rPr>
                <w:sz w:val="21"/>
                <w:szCs w:val="21"/>
              </w:rPr>
              <w:t xml:space="preserve">评标总得分＝F1×A1＋F2×A2＋……＋Fn×An </w:t>
            </w:r>
          </w:p>
          <w:p>
            <w:pPr>
              <w:pStyle w:val="37"/>
              <w:spacing w:line="324" w:lineRule="auto"/>
              <w:ind w:left="420"/>
              <w:rPr>
                <w:rFonts w:hint="eastAsia" w:eastAsia="宋体"/>
                <w:sz w:val="21"/>
                <w:szCs w:val="21"/>
                <w:lang w:eastAsia="zh-CN"/>
              </w:rPr>
            </w:pPr>
            <w:r>
              <w:rPr>
                <w:sz w:val="21"/>
                <w:szCs w:val="21"/>
              </w:rPr>
              <w:t xml:space="preserve">F1、F2……Fn分别为各项评审因素的得分； </w:t>
            </w:r>
          </w:p>
          <w:p>
            <w:pPr>
              <w:pStyle w:val="37"/>
              <w:spacing w:line="324" w:lineRule="auto"/>
              <w:ind w:left="420"/>
              <w:rPr>
                <w:rFonts w:hint="eastAsia" w:eastAsia="宋体"/>
                <w:sz w:val="21"/>
                <w:szCs w:val="21"/>
                <w:lang w:eastAsia="zh-CN"/>
              </w:rPr>
            </w:pPr>
            <w:r>
              <w:rPr>
                <w:sz w:val="21"/>
                <w:szCs w:val="21"/>
              </w:rPr>
              <w:t xml:space="preserve">A1、A2、……An 分别为各项评审因素所占的权重(A1＋A2＋……＋An＝1)。 </w:t>
            </w:r>
          </w:p>
          <w:p>
            <w:pPr>
              <w:pStyle w:val="37"/>
              <w:spacing w:line="324" w:lineRule="auto"/>
              <w:ind w:left="420"/>
              <w:rPr>
                <w:sz w:val="21"/>
                <w:szCs w:val="21"/>
              </w:rPr>
            </w:pPr>
            <w:r>
              <w:rPr>
                <w:sz w:val="21"/>
                <w:szCs w:val="21"/>
              </w:rPr>
              <w:t>评标过程中，不得去掉报价中的最高报价和最低报价。</w:t>
            </w:r>
          </w:p>
          <w:p>
            <w:pPr>
              <w:pStyle w:val="37"/>
              <w:spacing w:line="324" w:lineRule="auto"/>
              <w:ind w:left="420"/>
              <w:rPr>
                <w:sz w:val="21"/>
                <w:szCs w:val="21"/>
              </w:rPr>
            </w:pPr>
            <w:r>
              <w:rPr>
                <w:rFonts w:hint="eastAsia"/>
                <w:sz w:val="21"/>
                <w:szCs w:val="21"/>
                <w:highlight w:val="yellow"/>
                <w:lang w:val="en-US" w:eastAsia="zh-CN"/>
              </w:rPr>
              <w:t>注：投标人的“</w:t>
            </w:r>
            <w:r>
              <w:rPr>
                <w:rFonts w:hint="eastAsia"/>
                <w:color w:val="FF0000"/>
                <w:sz w:val="21"/>
                <w:szCs w:val="21"/>
                <w:highlight w:val="yellow"/>
                <w:lang w:val="en-US" w:eastAsia="zh-CN"/>
              </w:rPr>
              <w:t>技术规格响应情况</w:t>
            </w:r>
            <w:r>
              <w:rPr>
                <w:rFonts w:hint="eastAsia"/>
                <w:sz w:val="21"/>
                <w:szCs w:val="21"/>
                <w:highlight w:val="yellow"/>
                <w:lang w:val="en-US" w:eastAsia="zh-CN"/>
              </w:rPr>
              <w:t>”“技术规格偏离情况”等必须与客观实际保持一致，响应不实且情节严重的，经查实，将依法记入供应商诚信档案或受到行政处罚。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序号</w:t>
            </w:r>
          </w:p>
        </w:tc>
        <w:tc>
          <w:tcPr>
            <w:tcW w:w="3365" w:type="dxa"/>
            <w:gridSpan w:val="3"/>
            <w:tcBorders>
              <w:top w:val="single" w:color="000000" w:sz="8" w:space="0"/>
              <w:left w:val="nil"/>
              <w:bottom w:val="single" w:color="000000" w:sz="8" w:space="0"/>
              <w:right w:val="single" w:color="000000" w:sz="8"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评分项</w:t>
            </w:r>
          </w:p>
        </w:tc>
        <w:tc>
          <w:tcPr>
            <w:tcW w:w="5031" w:type="dxa"/>
            <w:gridSpan w:val="2"/>
            <w:tcBorders>
              <w:top w:val="single" w:color="000000" w:sz="8" w:space="0"/>
              <w:left w:val="nil"/>
              <w:bottom w:val="single" w:color="000000" w:sz="8" w:space="0"/>
              <w:right w:val="single" w:color="000000" w:sz="8"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restart"/>
            <w:tcBorders>
              <w:top w:val="nil"/>
              <w:left w:val="single" w:color="000000" w:sz="8" w:space="0"/>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w:t>
            </w:r>
          </w:p>
        </w:tc>
        <w:tc>
          <w:tcPr>
            <w:tcW w:w="3365" w:type="dxa"/>
            <w:gridSpan w:val="3"/>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价格</w:t>
            </w:r>
          </w:p>
        </w:tc>
        <w:tc>
          <w:tcPr>
            <w:tcW w:w="5031" w:type="dxa"/>
            <w:gridSpan w:val="2"/>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8396" w:type="dxa"/>
            <w:gridSpan w:val="5"/>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restart"/>
            <w:tcBorders>
              <w:top w:val="nil"/>
              <w:left w:val="single" w:color="000000" w:sz="8" w:space="0"/>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2</w:t>
            </w:r>
          </w:p>
        </w:tc>
        <w:tc>
          <w:tcPr>
            <w:tcW w:w="3365" w:type="dxa"/>
            <w:gridSpan w:val="3"/>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技术部分</w:t>
            </w:r>
          </w:p>
        </w:tc>
        <w:tc>
          <w:tcPr>
            <w:tcW w:w="5031" w:type="dxa"/>
            <w:gridSpan w:val="2"/>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en-US" w:eastAsia="zh-CN"/>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8396" w:type="dxa"/>
            <w:gridSpan w:val="5"/>
            <w:tcBorders>
              <w:top w:val="single" w:color="000000" w:sz="8" w:space="0"/>
              <w:left w:val="nil"/>
              <w:bottom w:val="single" w:color="000000" w:sz="8"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single" w:color="auto" w:sz="0" w:space="0"/>
              <w:left w:val="single" w:color="000000" w:sz="8" w:space="0"/>
              <w:bottom w:val="single" w:color="000000" w:sz="8" w:space="0"/>
              <w:right w:val="single" w:color="000000" w:sz="8" w:space="0"/>
            </w:tcBorders>
            <w:shd w:val="clear" w:color="auto" w:fill="auto"/>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inset" w:color="000000" w:sz="6" w:space="0"/>
              <w:left w:val="inset" w:color="000000" w:sz="6"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522"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w:t>
            </w:r>
          </w:p>
        </w:tc>
        <w:tc>
          <w:tcPr>
            <w:tcW w:w="1050"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权重(%)</w:t>
            </w:r>
          </w:p>
        </w:tc>
        <w:tc>
          <w:tcPr>
            <w:tcW w:w="5031" w:type="dxa"/>
            <w:gridSpan w:val="2"/>
            <w:tcBorders>
              <w:top w:val="inset" w:color="000000" w:sz="6" w:space="0"/>
              <w:left w:val="single" w:color="auto" w:sz="0"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2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实施方案</w:t>
            </w:r>
          </w:p>
        </w:tc>
        <w:tc>
          <w:tcPr>
            <w:tcW w:w="105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5031" w:type="dxa"/>
            <w:gridSpan w:val="2"/>
            <w:tcBorders>
              <w:top w:val="single" w:color="000000" w:sz="8" w:space="0"/>
              <w:left w:val="nil"/>
              <w:bottom w:val="single" w:color="000000" w:sz="8" w:space="0"/>
              <w:right w:val="single" w:color="000000" w:sz="8" w:space="0"/>
            </w:tcBorders>
            <w:noWrap w:val="0"/>
            <w:vAlign w:val="top"/>
          </w:tcPr>
          <w:p>
            <w:pPr>
              <w:keepNext w:val="0"/>
              <w:keepLines w:val="0"/>
              <w:pageBreakBefore w:val="0"/>
              <w:kinsoku/>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（一）评分内容：</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根据本项目招标文件的用户需求，制定符合本项目特点的实施方案，内容包括：</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1、对本项目建设背景、建设目标的认识与理解；2、对本项目总体架构设计的认识与理解，要求包括系统设计、关键技术设计、安全设计等；</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3、对项目建设的认识和理解，要求包括项目核心模块的数据与业务的认识与理解。</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（二）评分依据：</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上述1-3项累计得分，每满足一项得20分，本项最高得60分。</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在此基础上，专家根据各投标人的具体响应内容按照量化的评审因素指标进一步评审，根据投标人提供的方案内容是否科学，可行，合理进行打分：</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1、评审为优：项目整体设想及策划思路清晰明确，方案合理可行，满足服务要求，针对性强，得40分； </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2、评审为良：项目整体设想及策划总体思路比较清晰，方案比较合理可行，可以满足服务要求，得20分；</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3、评审为中：项目整体设想及策划思路基本清晰，方案基本合理可行，基本可以满足服务要求，得10分； </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4、评审为差：项目整体设想及策划思路不清晰，方案不完整，不能满足服务需要，不得分。</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本项最高得40分。</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以上累计得分，最高得100分</w:t>
            </w:r>
            <w:r>
              <w:rPr>
                <w:rFonts w:hint="eastAsia" w:asciiTheme="minorEastAsia" w:hAnsiTheme="minorEastAsia" w:eastAsiaTheme="minorEastAsia" w:cstheme="minorEastAsia"/>
                <w:color w:val="auto"/>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w:t>
            </w:r>
          </w:p>
        </w:tc>
        <w:tc>
          <w:tcPr>
            <w:tcW w:w="152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项目重点难点分析、应对措施及相关的合理化建议</w:t>
            </w:r>
          </w:p>
        </w:tc>
        <w:tc>
          <w:tcPr>
            <w:tcW w:w="105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15</w:t>
            </w:r>
          </w:p>
        </w:tc>
        <w:tc>
          <w:tcPr>
            <w:tcW w:w="5031" w:type="dxa"/>
            <w:gridSpan w:val="2"/>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overflowPunct/>
              <w:topLinePunct w:val="0"/>
              <w:autoSpaceDE/>
              <w:autoSpaceDN/>
              <w:bidi w:val="0"/>
              <w:adjustRightInd/>
              <w:snapToGrid/>
              <w:spacing w:line="276" w:lineRule="auto"/>
              <w:textAlignment w:val="auto"/>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（一）评分内容：</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投标人须针对本项目需求提供对项目重点难点分析、应对措施及相关的合理化建议，包括下述内容：</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1.项目重点难点分析；</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2.应对措施；</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3.相关的合理化建议。</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（二）评分依据：</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满足以上3项要求得60分，满足以上2项要求得40分，满足以上1项要求得20分，其他不得分。本项最高得60分。</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在此基础上，按照下列要求进行加分：</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1.从前瞻性、系统性等角度研判重难点；</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2.从可实施、可操作的角度提出应对措施；</w:t>
            </w:r>
          </w:p>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3.多角度、有针对性的提出指引；</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每体现一点内容得15分，本项最高得40分。</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以上累计得分，最高得100分。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p>
        </w:tc>
        <w:tc>
          <w:tcPr>
            <w:tcW w:w="79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w:t>
            </w:r>
          </w:p>
        </w:tc>
        <w:tc>
          <w:tcPr>
            <w:tcW w:w="152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服务要求偏离情况</w:t>
            </w:r>
          </w:p>
        </w:tc>
        <w:tc>
          <w:tcPr>
            <w:tcW w:w="105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eastAsia="zh-CN"/>
              </w:rPr>
              <w:t>10</w:t>
            </w:r>
          </w:p>
        </w:tc>
        <w:tc>
          <w:tcPr>
            <w:tcW w:w="5031" w:type="dxa"/>
            <w:gridSpan w:val="2"/>
            <w:tcBorders>
              <w:top w:val="single" w:color="000000" w:sz="8" w:space="0"/>
              <w:left w:val="nil"/>
              <w:bottom w:val="single" w:color="000000" w:sz="8" w:space="0"/>
              <w:right w:val="single" w:color="000000" w:sz="8" w:space="0"/>
            </w:tcBorders>
            <w:noWrap w:val="0"/>
            <w:vAlign w:val="center"/>
          </w:tcPr>
          <w:p>
            <w:pPr>
              <w:pStyle w:val="8"/>
              <w:keepNext w:val="0"/>
              <w:keepLines w:val="0"/>
              <w:pageBreakBefore w:val="0"/>
              <w:kinsoku/>
              <w:overflowPunct/>
              <w:topLinePunct w:val="0"/>
              <w:autoSpaceDE/>
              <w:autoSpaceDN/>
              <w:bidi w:val="0"/>
              <w:adjustRightInd/>
              <w:snapToGrid/>
              <w:spacing w:line="276" w:lineRule="auto"/>
              <w:ind w:firstLine="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（一）评审内容： 针对项目管理和服务要求中的服务要求进行响应，投标人须如实填写《服务需求条款响应一览表》，全部满足得100分。</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（二）评分标准： 每负偏离一项扣5分。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4</w:t>
            </w:r>
          </w:p>
        </w:tc>
        <w:tc>
          <w:tcPr>
            <w:tcW w:w="152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违约承诺</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5031"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（一）评分内容：</w:t>
            </w:r>
          </w:p>
          <w:p>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1.人员严格按照招标文件及投标承诺配置；</w:t>
            </w:r>
          </w:p>
          <w:p>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2.服务质量达到招标文件要求；</w:t>
            </w:r>
          </w:p>
          <w:p>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3.对未能达到的管理要求承担管理责任。</w:t>
            </w:r>
          </w:p>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（二）评分依据：</w:t>
            </w:r>
          </w:p>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投标人承诺以上全部三项的得100分，要求提供承诺函（格式自定）作为得分依据，未提供承诺或承诺内容不满足要求不得分。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p>
        </w:tc>
        <w:tc>
          <w:tcPr>
            <w:tcW w:w="79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152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拟安排的项目负责人情况（仅限一人）</w:t>
            </w:r>
          </w:p>
        </w:tc>
        <w:tc>
          <w:tcPr>
            <w:tcW w:w="105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p>
        </w:tc>
        <w:tc>
          <w:tcPr>
            <w:tcW w:w="5031" w:type="dxa"/>
            <w:gridSpan w:val="2"/>
            <w:tcBorders>
              <w:top w:val="single" w:color="000000" w:sz="8" w:space="0"/>
              <w:left w:val="nil"/>
              <w:bottom w:val="single" w:color="000000" w:sz="8" w:space="0"/>
              <w:right w:val="single" w:color="000000" w:sz="8" w:space="0"/>
            </w:tcBorders>
            <w:noWrap w:val="0"/>
            <w:vAlign w:val="top"/>
          </w:tcPr>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（一）评分内容：</w:t>
            </w:r>
          </w:p>
          <w:p>
            <w:pPr>
              <w:keepNext w:val="0"/>
              <w:keepLines w:val="0"/>
              <w:pageBreakBefore w:val="0"/>
              <w:kinsoku/>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投标人拟安排的项目负责人具备PMP 项目</w:t>
            </w:r>
            <w:r>
              <w:rPr>
                <w:rFonts w:hint="eastAsia" w:asciiTheme="minorEastAsia" w:hAnsiTheme="minorEastAsia" w:eastAsiaTheme="minorEastAsia" w:cstheme="minorEastAsia"/>
                <w:color w:val="auto"/>
                <w:kern w:val="0"/>
                <w:sz w:val="21"/>
                <w:szCs w:val="21"/>
                <w:highlight w:val="none"/>
                <w:lang w:val="en-US" w:eastAsia="zh-CN"/>
              </w:rPr>
              <w:t>管理</w:t>
            </w:r>
            <w:r>
              <w:rPr>
                <w:rFonts w:hint="eastAsia" w:asciiTheme="minorEastAsia" w:hAnsiTheme="minorEastAsia" w:eastAsiaTheme="minorEastAsia" w:cstheme="minorEastAsia"/>
                <w:color w:val="auto"/>
                <w:kern w:val="0"/>
                <w:sz w:val="21"/>
                <w:szCs w:val="21"/>
                <w:highlight w:val="none"/>
              </w:rPr>
              <w:t xml:space="preserve">证书者得 </w:t>
            </w:r>
            <w:r>
              <w:rPr>
                <w:rFonts w:hint="eastAsia" w:asciiTheme="minorEastAsia" w:hAnsiTheme="minorEastAsia" w:eastAsiaTheme="minorEastAsia" w:cstheme="minorEastAsia"/>
                <w:color w:val="auto"/>
                <w:kern w:val="0"/>
                <w:sz w:val="21"/>
                <w:szCs w:val="21"/>
                <w:highlight w:val="none"/>
                <w:lang w:val="en-US" w:eastAsia="zh-CN"/>
              </w:rPr>
              <w:t>100</w:t>
            </w:r>
            <w:r>
              <w:rPr>
                <w:rFonts w:hint="eastAsia" w:asciiTheme="minorEastAsia" w:hAnsiTheme="minorEastAsia" w:eastAsiaTheme="minorEastAsia" w:cstheme="minorEastAsia"/>
                <w:color w:val="auto"/>
                <w:kern w:val="0"/>
                <w:sz w:val="21"/>
                <w:szCs w:val="21"/>
                <w:highlight w:val="none"/>
              </w:rPr>
              <w:t xml:space="preserve"> 分，不具备者不得分。</w:t>
            </w:r>
          </w:p>
          <w:p>
            <w:pPr>
              <w:keepNext w:val="0"/>
              <w:keepLines w:val="0"/>
              <w:pageBreakBefore w:val="0"/>
              <w:numPr>
                <w:ilvl w:val="0"/>
                <w:numId w:val="7"/>
              </w:numPr>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评分依据：</w:t>
            </w:r>
          </w:p>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1.需提供投标截止日前一个月投标人为其购买的社保清单，如开标日上一个月的社保材料因社保部门原因暂时无法取得，则可以往前顺延一个月。如投标方注册成立时间不足1个月的，可提供承诺函（格式自拟）</w:t>
            </w:r>
            <w:r>
              <w:rPr>
                <w:rFonts w:hint="eastAsia" w:asciiTheme="minorEastAsia" w:hAnsiTheme="minorEastAsia" w:eastAsiaTheme="minorEastAsia" w:cstheme="minorEastAsia"/>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2.证书</w:t>
            </w:r>
            <w:r>
              <w:rPr>
                <w:rFonts w:hint="eastAsia" w:asciiTheme="minorEastAsia" w:hAnsiTheme="minorEastAsia" w:eastAsiaTheme="minorEastAsia" w:cstheme="minorEastAsia"/>
                <w:color w:val="auto"/>
                <w:sz w:val="21"/>
                <w:szCs w:val="21"/>
                <w:highlight w:val="none"/>
              </w:rPr>
              <w:t>提供相关证明文件；</w:t>
            </w:r>
          </w:p>
          <w:p>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评分中出现无证明资料或专家无法凭所提供资料判断是否得分的情况，一律作不得分处理。</w:t>
            </w:r>
          </w:p>
          <w:p>
            <w:pPr>
              <w:keepNext w:val="0"/>
              <w:keepLines w:val="0"/>
              <w:pageBreakBefore w:val="0"/>
              <w:kinsoku/>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nil"/>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w:t>
            </w:r>
          </w:p>
        </w:tc>
        <w:tc>
          <w:tcPr>
            <w:tcW w:w="152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拟安排的项目主要团队成员（主要技术人员）情况（项目负责人除外）</w:t>
            </w:r>
          </w:p>
        </w:tc>
        <w:tc>
          <w:tcPr>
            <w:tcW w:w="105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30</w:t>
            </w:r>
          </w:p>
        </w:tc>
        <w:tc>
          <w:tcPr>
            <w:tcW w:w="5031" w:type="dxa"/>
            <w:gridSpan w:val="2"/>
            <w:tcBorders>
              <w:top w:val="single" w:color="000000" w:sz="8" w:space="0"/>
              <w:left w:val="nil"/>
              <w:bottom w:val="single" w:color="000000" w:sz="8" w:space="0"/>
              <w:right w:val="single" w:color="000000" w:sz="8" w:space="0"/>
            </w:tcBorders>
            <w:noWrap w:val="0"/>
            <w:vAlign w:val="top"/>
          </w:tcPr>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bCs/>
                <w:color w:val="auto"/>
                <w:sz w:val="21"/>
                <w:szCs w:val="21"/>
                <w:highlight w:val="none"/>
              </w:rPr>
              <w:t>（一）评分内容：</w:t>
            </w:r>
          </w:p>
          <w:p>
            <w:pPr>
              <w:keepNext w:val="0"/>
              <w:keepLines w:val="0"/>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投标人拟安排的项目主要团队成员:</w:t>
            </w:r>
          </w:p>
          <w:p>
            <w:pPr>
              <w:keepNext w:val="0"/>
              <w:keepLines w:val="0"/>
              <w:pageBreakBefore w:val="0"/>
              <w:kinsoku/>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拟安排的项目成员具备视频录制相关工作经验并提供工作证明，每提供1人得</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分，最多可得</w:t>
            </w:r>
            <w:r>
              <w:rPr>
                <w:rFonts w:hint="eastAsia" w:asciiTheme="minorEastAsia" w:hAnsiTheme="minorEastAsia" w:eastAsiaTheme="minorEastAsia" w:cstheme="minorEastAsia"/>
                <w:color w:val="auto"/>
                <w:sz w:val="21"/>
                <w:szCs w:val="21"/>
                <w:highlight w:val="none"/>
                <w:lang w:val="en-US" w:eastAsia="zh-CN"/>
              </w:rPr>
              <w:t>40</w:t>
            </w:r>
            <w:r>
              <w:rPr>
                <w:rFonts w:hint="eastAsia" w:asciiTheme="minorEastAsia" w:hAnsiTheme="minorEastAsia" w:eastAsiaTheme="minorEastAsia" w:cstheme="minorEastAsia"/>
                <w:color w:val="auto"/>
                <w:sz w:val="21"/>
                <w:szCs w:val="21"/>
                <w:highlight w:val="none"/>
              </w:rPr>
              <w:t>分。</w:t>
            </w:r>
          </w:p>
          <w:p>
            <w:pPr>
              <w:pStyle w:val="17"/>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拟安排的项目</w:t>
            </w:r>
            <w:r>
              <w:rPr>
                <w:rFonts w:hint="eastAsia" w:asciiTheme="minorEastAsia" w:hAnsiTheme="minorEastAsia" w:eastAsiaTheme="minorEastAsia" w:cstheme="minorEastAsia"/>
                <w:color w:val="auto"/>
                <w:sz w:val="21"/>
                <w:szCs w:val="21"/>
                <w:highlight w:val="none"/>
                <w:lang w:val="en-US" w:eastAsia="zh-CN"/>
              </w:rPr>
              <w:t>成员具备云相关专业认证</w:t>
            </w:r>
            <w:r>
              <w:rPr>
                <w:rFonts w:hint="eastAsia" w:asciiTheme="minorEastAsia" w:hAnsiTheme="minorEastAsia" w:eastAsiaTheme="minorEastAsia" w:cstheme="minorEastAsia"/>
                <w:color w:val="auto"/>
                <w:kern w:val="0"/>
                <w:sz w:val="21"/>
                <w:szCs w:val="21"/>
                <w:highlight w:val="none"/>
                <w:lang w:val="en-US" w:eastAsia="zh-CN" w:bidi="ar-SA"/>
              </w:rPr>
              <w:t>，每具有</w:t>
            </w:r>
            <w:r>
              <w:rPr>
                <w:rFonts w:hint="eastAsia" w:asciiTheme="minorEastAsia" w:hAnsiTheme="minorEastAsia" w:eastAsiaTheme="minorEastAsia" w:cstheme="minorEastAsia"/>
                <w:color w:val="auto"/>
                <w:kern w:val="0"/>
                <w:sz w:val="21"/>
                <w:szCs w:val="21"/>
                <w:highlight w:val="none"/>
              </w:rPr>
              <w:t>一个证书得</w:t>
            </w: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sz w:val="21"/>
                <w:szCs w:val="21"/>
                <w:highlight w:val="none"/>
              </w:rPr>
              <w:t>，最多可得</w:t>
            </w:r>
            <w:r>
              <w:rPr>
                <w:rFonts w:hint="eastAsia" w:asciiTheme="minorEastAsia" w:hAnsiTheme="minorEastAsia" w:eastAsiaTheme="minorEastAsia" w:cstheme="minorEastAsia"/>
                <w:color w:val="auto"/>
                <w:sz w:val="21"/>
                <w:szCs w:val="21"/>
                <w:highlight w:val="none"/>
                <w:lang w:val="en-US" w:eastAsia="zh-CN"/>
              </w:rPr>
              <w:t>60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kern w:val="0"/>
                <w:sz w:val="21"/>
                <w:szCs w:val="21"/>
                <w:highlight w:val="none"/>
              </w:rPr>
              <w:t>。</w:t>
            </w:r>
          </w:p>
          <w:p>
            <w:pPr>
              <w:keepNext w:val="0"/>
              <w:keepLines w:val="0"/>
              <w:pageBreakBefore w:val="0"/>
              <w:kinsoku/>
              <w:overflowPunct/>
              <w:topLinePunct w:val="0"/>
              <w:autoSpaceDE/>
              <w:autoSpaceDN/>
              <w:bidi w:val="0"/>
              <w:adjustRightInd/>
              <w:snapToGrid/>
              <w:spacing w:line="320" w:lineRule="exact"/>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云相关专业</w:t>
            </w:r>
            <w:r>
              <w:rPr>
                <w:rFonts w:hint="eastAsia" w:asciiTheme="minorEastAsia" w:hAnsiTheme="minorEastAsia" w:eastAsiaTheme="minorEastAsia" w:cstheme="minorEastAsia"/>
                <w:color w:val="auto"/>
                <w:kern w:val="0"/>
                <w:sz w:val="21"/>
                <w:szCs w:val="21"/>
                <w:highlight w:val="none"/>
              </w:rPr>
              <w:t>认证证书：</w:t>
            </w:r>
          </w:p>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 AWS Certified Solutions Architect - Professional certificate（AWS解决方案架构师认证-专家级）</w:t>
            </w:r>
          </w:p>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（2）阿里云</w:t>
            </w:r>
          </w:p>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（3）华为云</w:t>
            </w:r>
          </w:p>
          <w:p>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3.同一人具备相关工作经验及多项证书可累计评分。</w:t>
            </w:r>
          </w:p>
          <w:p>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rPr>
              <w:t>（二）评分依据：</w:t>
            </w:r>
          </w:p>
          <w:p>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1.需提供投标截止日前一个月投标人为其购买的社保清单，如开标日上一个月的社保材料因社保部门原因暂时无法取得，则可以往前顺延一个月。如投标方注册成立时间不足1个月的，可提供承诺函（格式自拟）</w:t>
            </w:r>
            <w:r>
              <w:rPr>
                <w:rFonts w:hint="eastAsia" w:asciiTheme="minorEastAsia" w:hAnsiTheme="minorEastAsia" w:eastAsiaTheme="minorEastAsia" w:cstheme="minorEastAsia"/>
                <w:color w:val="auto"/>
                <w:kern w:val="0"/>
                <w:sz w:val="21"/>
                <w:szCs w:val="21"/>
                <w:highlight w:val="none"/>
                <w:lang w:eastAsia="zh-CN"/>
              </w:rPr>
              <w:t>。</w:t>
            </w:r>
          </w:p>
          <w:p>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如涉及考察人员工作经验，要求提供项目合同关键信息</w:t>
            </w:r>
            <w:r>
              <w:rPr>
                <w:rFonts w:hint="eastAsia" w:asciiTheme="minorEastAsia" w:hAnsiTheme="minorEastAsia" w:eastAsiaTheme="minorEastAsia" w:cstheme="minorEastAsia"/>
                <w:color w:val="auto"/>
                <w:kern w:val="0"/>
                <w:sz w:val="21"/>
                <w:szCs w:val="21"/>
                <w:highlight w:val="none"/>
                <w:lang w:eastAsia="zh-CN"/>
              </w:rPr>
              <w:t>（如：应包含但不限于合同签约主体名称、项目（合同）名称、</w:t>
            </w:r>
            <w:r>
              <w:rPr>
                <w:rFonts w:hint="eastAsia" w:asciiTheme="minorEastAsia" w:hAnsiTheme="minorEastAsia" w:eastAsiaTheme="minorEastAsia" w:cstheme="minorEastAsia"/>
                <w:color w:val="auto"/>
                <w:kern w:val="0"/>
                <w:sz w:val="21"/>
                <w:szCs w:val="21"/>
                <w:highlight w:val="none"/>
                <w:lang w:val="en-US" w:eastAsia="zh-CN"/>
              </w:rPr>
              <w:t>服务内容、</w:t>
            </w:r>
            <w:r>
              <w:rPr>
                <w:rFonts w:hint="eastAsia" w:asciiTheme="minorEastAsia" w:hAnsiTheme="minorEastAsia" w:eastAsiaTheme="minorEastAsia" w:cstheme="minorEastAsia"/>
                <w:color w:val="auto"/>
                <w:kern w:val="0"/>
                <w:sz w:val="21"/>
                <w:szCs w:val="21"/>
                <w:highlight w:val="none"/>
                <w:lang w:eastAsia="zh-CN"/>
              </w:rPr>
              <w:t>人员名单、签订合同时间、签约主体公章等关键信息）</w:t>
            </w:r>
            <w:r>
              <w:rPr>
                <w:rFonts w:hint="eastAsia" w:asciiTheme="minorEastAsia" w:hAnsiTheme="minorEastAsia" w:eastAsiaTheme="minorEastAsia" w:cstheme="minorEastAsia"/>
                <w:color w:val="auto"/>
                <w:kern w:val="0"/>
                <w:sz w:val="21"/>
                <w:szCs w:val="21"/>
                <w:highlight w:val="none"/>
              </w:rPr>
              <w:t>作为得分依据，通过合同关键信息无法判断是否得分的，还须同时提供</w:t>
            </w:r>
            <w:r>
              <w:rPr>
                <w:rFonts w:hint="eastAsia" w:asciiTheme="minorEastAsia" w:hAnsiTheme="minorEastAsia" w:eastAsiaTheme="minorEastAsia" w:cstheme="minorEastAsia"/>
                <w:color w:val="auto"/>
                <w:kern w:val="0"/>
                <w:sz w:val="21"/>
                <w:szCs w:val="21"/>
                <w:highlight w:val="none"/>
                <w:lang w:val="en-US" w:eastAsia="zh-CN"/>
              </w:rPr>
              <w:t>项目</w:t>
            </w:r>
            <w:r>
              <w:rPr>
                <w:rFonts w:hint="eastAsia" w:asciiTheme="minorEastAsia" w:hAnsiTheme="minorEastAsia" w:eastAsiaTheme="minorEastAsia" w:cstheme="minorEastAsia"/>
                <w:color w:val="auto"/>
                <w:kern w:val="0"/>
                <w:sz w:val="21"/>
                <w:szCs w:val="21"/>
                <w:highlight w:val="none"/>
              </w:rPr>
              <w:t>合同甲方出具的</w:t>
            </w:r>
            <w:r>
              <w:rPr>
                <w:rFonts w:hint="eastAsia" w:asciiTheme="minorEastAsia" w:hAnsiTheme="minorEastAsia" w:eastAsiaTheme="minorEastAsia" w:cstheme="minorEastAsia"/>
                <w:color w:val="auto"/>
                <w:kern w:val="0"/>
                <w:sz w:val="21"/>
                <w:szCs w:val="21"/>
                <w:highlight w:val="none"/>
                <w:lang w:val="en-US" w:eastAsia="zh-CN"/>
              </w:rPr>
              <w:t>盖公章（或业务章）</w:t>
            </w:r>
            <w:r>
              <w:rPr>
                <w:rFonts w:hint="eastAsia" w:asciiTheme="minorEastAsia" w:hAnsiTheme="minorEastAsia" w:eastAsiaTheme="minorEastAsia" w:cstheme="minorEastAsia"/>
                <w:color w:val="auto"/>
                <w:kern w:val="0"/>
                <w:sz w:val="21"/>
                <w:szCs w:val="21"/>
                <w:highlight w:val="none"/>
              </w:rPr>
              <w:t>证明文件。</w:t>
            </w:r>
          </w:p>
          <w:p>
            <w:pPr>
              <w:pStyle w:val="17"/>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3.证书</w:t>
            </w:r>
            <w:r>
              <w:rPr>
                <w:rFonts w:hint="eastAsia" w:asciiTheme="minorEastAsia" w:hAnsiTheme="minorEastAsia" w:eastAsiaTheme="minorEastAsia" w:cstheme="minorEastAsia"/>
                <w:color w:val="auto"/>
                <w:kern w:val="0"/>
                <w:sz w:val="21"/>
                <w:szCs w:val="21"/>
                <w:highlight w:val="none"/>
              </w:rPr>
              <w:t>提供相关证明文件；</w:t>
            </w:r>
          </w:p>
          <w:p>
            <w:pPr>
              <w:keepNext w:val="0"/>
              <w:keepLines w:val="0"/>
              <w:pageBreakBefore w:val="0"/>
              <w:kinsoku/>
              <w:overflowPunct/>
              <w:topLinePunct w:val="0"/>
              <w:autoSpaceDE/>
              <w:autoSpaceDN/>
              <w:bidi w:val="0"/>
              <w:adjustRightInd/>
              <w:snapToGrid/>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tcBorders>
              <w:top w:val="single" w:color="000000" w:sz="8" w:space="0"/>
              <w:left w:val="single" w:color="000000" w:sz="8" w:space="0"/>
              <w:bottom w:val="single" w:color="auto" w:sz="4"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p>
        </w:tc>
        <w:tc>
          <w:tcPr>
            <w:tcW w:w="3365" w:type="dxa"/>
            <w:gridSpan w:val="3"/>
            <w:tcBorders>
              <w:top w:val="single" w:color="000000" w:sz="8" w:space="0"/>
              <w:left w:val="nil"/>
              <w:bottom w:val="single" w:color="auto" w:sz="4"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诚信情况</w:t>
            </w:r>
          </w:p>
        </w:tc>
        <w:tc>
          <w:tcPr>
            <w:tcW w:w="5031" w:type="dxa"/>
            <w:gridSpan w:val="2"/>
            <w:tcBorders>
              <w:top w:val="single" w:color="000000" w:sz="8" w:space="0"/>
              <w:left w:val="nil"/>
              <w:bottom w:val="single" w:color="auto" w:sz="4" w:space="0"/>
              <w:right w:val="single" w:color="000000" w:sz="8" w:space="0"/>
            </w:tcBorders>
            <w:noWrap w:val="0"/>
            <w:vAlign w:val="top"/>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restart"/>
            <w:tcBorders>
              <w:top w:val="single" w:color="000000" w:sz="8" w:space="0"/>
              <w:left w:val="single" w:color="000000" w:sz="8" w:space="0"/>
              <w:bottom w:val="single" w:color="000000" w:sz="8" w:space="0"/>
              <w:right w:val="single" w:color="000000" w:sz="8" w:space="0"/>
            </w:tcBorders>
            <w:shd w:val="clear" w:color="auto" w:fill="E6EFFA"/>
            <w:noWrap w:val="0"/>
            <w:vAlign w:val="center"/>
          </w:tcPr>
          <w:p>
            <w:pPr>
              <w:keepNext w:val="0"/>
              <w:keepLines w:val="0"/>
              <w:pageBreakBefore w:val="0"/>
              <w:kinsoku/>
              <w:overflowPunct/>
              <w:topLinePunct w:val="0"/>
              <w:autoSpaceDE/>
              <w:autoSpaceDN/>
              <w:bidi w:val="0"/>
              <w:adjustRightInd/>
              <w:snapToGrid/>
              <w:textAlignment w:val="auto"/>
              <w:rPr>
                <w:rFonts w:hint="eastAsia" w:asciiTheme="minorEastAsia" w:hAnsiTheme="minorEastAsia" w:eastAsiaTheme="minorEastAsia" w:cstheme="minorEastAsia"/>
                <w:b/>
                <w:bCs/>
                <w:color w:val="auto"/>
                <w:sz w:val="21"/>
                <w:szCs w:val="21"/>
              </w:rPr>
            </w:pPr>
          </w:p>
        </w:tc>
        <w:tc>
          <w:tcPr>
            <w:tcW w:w="793" w:type="dxa"/>
            <w:tcBorders>
              <w:top w:val="inset" w:color="000000" w:sz="6" w:space="0"/>
              <w:left w:val="inset" w:color="000000" w:sz="6"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序号</w:t>
            </w:r>
          </w:p>
        </w:tc>
        <w:tc>
          <w:tcPr>
            <w:tcW w:w="1522"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评分因素</w:t>
            </w:r>
          </w:p>
        </w:tc>
        <w:tc>
          <w:tcPr>
            <w:tcW w:w="1050" w:type="dxa"/>
            <w:tcBorders>
              <w:top w:val="inset" w:color="000000" w:sz="6" w:space="0"/>
              <w:left w:val="single" w:color="auto" w:sz="0"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分数</w:t>
            </w:r>
          </w:p>
        </w:tc>
        <w:tc>
          <w:tcPr>
            <w:tcW w:w="5031" w:type="dxa"/>
            <w:gridSpan w:val="2"/>
            <w:tcBorders>
              <w:top w:val="inset" w:color="000000" w:sz="6" w:space="0"/>
              <w:left w:val="single" w:color="auto" w:sz="0" w:space="0"/>
              <w:bottom w:val="inset" w:color="000000" w:sz="6" w:space="0"/>
              <w:right w:val="inset" w:color="000000" w:sz="6" w:space="0"/>
            </w:tcBorders>
            <w:shd w:val="clear" w:color="auto" w:fill="E6EFFA"/>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gridBefore w:val="1"/>
          <w:wBefore w:w="271" w:type="dxa"/>
          <w:tblCellSpacing w:w="0" w:type="dxa"/>
          <w:jc w:val="center"/>
        </w:trPr>
        <w:tc>
          <w:tcPr>
            <w:tcW w:w="676" w:type="dxa"/>
            <w:vMerge w:val="continue"/>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kinsoku/>
              <w:overflowPunct/>
              <w:topLinePunct w:val="0"/>
              <w:autoSpaceDE/>
              <w:autoSpaceDN/>
              <w:bidi w:val="0"/>
              <w:adjustRightInd/>
              <w:snapToGrid/>
              <w:jc w:val="left"/>
              <w:textAlignment w:val="auto"/>
              <w:rPr>
                <w:rFonts w:hint="eastAsia" w:asciiTheme="minorEastAsia" w:hAnsiTheme="minorEastAsia" w:eastAsiaTheme="minorEastAsia" w:cstheme="minorEastAsia"/>
                <w:b/>
                <w:bCs/>
                <w:color w:val="auto"/>
                <w:sz w:val="21"/>
                <w:szCs w:val="21"/>
              </w:rPr>
            </w:pPr>
          </w:p>
        </w:tc>
        <w:tc>
          <w:tcPr>
            <w:tcW w:w="793"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1522"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诚信情况</w:t>
            </w:r>
          </w:p>
        </w:tc>
        <w:tc>
          <w:tcPr>
            <w:tcW w:w="1050" w:type="dxa"/>
            <w:tcBorders>
              <w:top w:val="single" w:color="000000" w:sz="8" w:space="0"/>
              <w:left w:val="nil"/>
              <w:bottom w:val="single" w:color="000000" w:sz="8" w:space="0"/>
              <w:right w:val="single" w:color="000000" w:sz="8" w:space="0"/>
            </w:tcBorders>
            <w:noWrap w:val="0"/>
            <w:vAlign w:val="center"/>
          </w:tcPr>
          <w:p>
            <w:pPr>
              <w:keepNext w:val="0"/>
              <w:keepLines w:val="0"/>
              <w:pageBreakBefore w:val="0"/>
              <w:kinsoku/>
              <w:wordWrap w:val="0"/>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val="en-US" w:eastAsia="zh-CN"/>
              </w:rPr>
              <w:t>5</w:t>
            </w:r>
          </w:p>
        </w:tc>
        <w:tc>
          <w:tcPr>
            <w:tcW w:w="5031" w:type="dxa"/>
            <w:gridSpan w:val="2"/>
            <w:tcBorders>
              <w:top w:val="single" w:color="000000" w:sz="8" w:space="0"/>
              <w:left w:val="nil"/>
              <w:bottom w:val="single" w:color="000000" w:sz="8" w:space="0"/>
              <w:right w:val="single" w:color="000000" w:sz="8" w:space="0"/>
            </w:tcBorders>
            <w:noWrap w:val="0"/>
            <w:vAlign w:val="top"/>
          </w:tcPr>
          <w:p>
            <w:pPr>
              <w:pStyle w:val="2"/>
              <w:keepNext w:val="0"/>
              <w:keepLines w:val="0"/>
              <w:pageBreakBefore w:val="0"/>
              <w:widowControl w:val="0"/>
              <w:kinsoku/>
              <w:wordWrap w:val="0"/>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w:t>
            </w:r>
            <w:r>
              <w:rPr>
                <w:rFonts w:hint="eastAsia" w:asciiTheme="minorEastAsia" w:hAnsiTheme="minorEastAsia" w:eastAsiaTheme="minorEastAsia" w:cstheme="minorEastAsia"/>
                <w:b w:val="0"/>
                <w:bCs w:val="0"/>
                <w:color w:val="auto"/>
                <w:sz w:val="21"/>
                <w:szCs w:val="21"/>
                <w:lang w:val="en-US" w:eastAsia="zh-CN"/>
              </w:rPr>
              <w:t>有关</w:t>
            </w:r>
            <w:r>
              <w:rPr>
                <w:rFonts w:hint="eastAsia" w:asciiTheme="minorEastAsia" w:hAnsiTheme="minorEastAsia" w:eastAsiaTheme="minorEastAsia" w:cstheme="minorEastAsia"/>
                <w:b w:val="0"/>
                <w:bCs w:val="0"/>
                <w:color w:val="auto"/>
                <w:sz w:val="21"/>
                <w:szCs w:val="21"/>
              </w:rPr>
              <w:t>供应商诚信查询结果。</w:t>
            </w:r>
          </w:p>
          <w:p>
            <w:pPr>
              <w:keepNext w:val="0"/>
              <w:keepLines w:val="0"/>
              <w:pageBreakBefore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val="0"/>
                <w:color w:val="auto"/>
                <w:sz w:val="21"/>
                <w:szCs w:val="21"/>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24年）</w:t>
      </w:r>
      <w:bookmarkEnd w:id="0"/>
    </w:p>
    <w:p>
      <w:pPr>
        <w:jc w:val="center"/>
        <w:rPr>
          <w:rFonts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w:t>
      </w:r>
      <w:r>
        <w:rPr>
          <w:rFonts w:hint="eastAsia" w:ascii="宋体" w:hAnsi="宋体"/>
          <w:color w:val="FF0000"/>
          <w:sz w:val="20"/>
          <w:szCs w:val="20"/>
          <w:lang w:val="en-US" w:eastAsia="zh-CN"/>
        </w:rPr>
        <w:t>采购人内控制度</w:t>
      </w:r>
      <w:r>
        <w:rPr>
          <w:rFonts w:hint="eastAsia" w:ascii="宋体" w:hAnsi="宋体"/>
          <w:color w:val="FF0000"/>
          <w:sz w:val="20"/>
          <w:szCs w:val="20"/>
        </w:rPr>
        <w:t>，通过公开招标方式确定中标供应商。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rFonts w:hint="eastAsia"/>
          <w:b/>
          <w:color w:val="FF0000"/>
        </w:rPr>
      </w:pPr>
      <w:r>
        <w:rPr>
          <w:rFonts w:hint="eastAsia"/>
          <w:b/>
          <w:color w:val="FF0000"/>
        </w:rPr>
        <w:t>四、请投标供应商阅读《</w:t>
      </w:r>
      <w:r>
        <w:rPr>
          <w:rFonts w:hint="eastAsia"/>
          <w:b/>
          <w:color w:val="FF0000"/>
          <w:lang w:val="en-US" w:eastAsia="zh-CN"/>
        </w:rPr>
        <w:t>自行</w:t>
      </w:r>
      <w:r>
        <w:rPr>
          <w:rFonts w:hint="eastAsia"/>
          <w:b/>
          <w:color w:val="FF0000"/>
        </w:rPr>
        <w:t>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hint="eastAsia" w:ascii="宋体" w:hAnsi="宋体" w:eastAsia="宋体"/>
          <w:color w:val="FF0000"/>
          <w:sz w:val="20"/>
          <w:szCs w:val="20"/>
          <w:lang w:eastAsia="zh-CN"/>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pStyle w:val="2"/>
        <w:rPr>
          <w:rFonts w:hint="eastAsia"/>
          <w:lang w:eastAsia="zh-CN"/>
        </w:rPr>
      </w:pPr>
    </w:p>
    <w:bookmarkEnd w:id="1"/>
    <w:p>
      <w:pPr>
        <w:widowControl/>
        <w:jc w:val="left"/>
        <w:rPr>
          <w:rFonts w:ascii="宋体" w:hAnsi="宋体" w:eastAsia="黑体"/>
          <w:b/>
          <w:bCs/>
          <w:kern w:val="44"/>
          <w:sz w:val="28"/>
          <w:szCs w:val="44"/>
        </w:rPr>
      </w:pPr>
      <w:r>
        <w:br w:type="page"/>
      </w:r>
    </w:p>
    <w:p>
      <w:pPr>
        <w:pStyle w:val="3"/>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招标文件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评审要求</w:t>
      </w:r>
    </w:p>
    <w:p>
      <w:pPr>
        <w:ind w:left="630" w:leftChars="300" w:firstLine="630" w:firstLineChars="300"/>
        <w:rPr>
          <w:rFonts w:ascii="宋体" w:hAnsi="宋体"/>
          <w:szCs w:val="21"/>
        </w:rPr>
      </w:pPr>
      <w:r>
        <w:rPr>
          <w:rFonts w:hint="eastAsia" w:ascii="宋体" w:hAnsi="宋体"/>
          <w:szCs w:val="21"/>
        </w:rPr>
        <w:t>第七章  评审程序及评审方法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公开招标失败的后续处理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3" w:name="bt商务标投标文件格式"/>
      <w:bookmarkEnd w:id="3"/>
      <w:bookmarkStart w:id="4" w:name="bt投标人须知"/>
      <w:bookmarkEnd w:id="4"/>
      <w:bookmarkStart w:id="5" w:name="bt其他资料2"/>
      <w:bookmarkEnd w:id="5"/>
      <w:bookmarkStart w:id="6" w:name="bt合同条款及格式"/>
      <w:bookmarkEnd w:id="6"/>
      <w:bookmarkStart w:id="7" w:name="bt投标函"/>
      <w:bookmarkEnd w:id="7"/>
      <w:bookmarkStart w:id="8" w:name="bt投标文件签署授权委托书"/>
      <w:bookmarkEnd w:id="8"/>
      <w:bookmarkStart w:id="9" w:name="bt合同格式"/>
      <w:bookmarkEnd w:id="9"/>
      <w:bookmarkStart w:id="10" w:name="bt合同条款"/>
      <w:bookmarkEnd w:id="10"/>
      <w:bookmarkStart w:id="11" w:name="bt说明"/>
      <w:bookmarkEnd w:id="11"/>
      <w:bookmarkStart w:id="12" w:name="bt技术标投标文件格式"/>
      <w:bookmarkEnd w:id="12"/>
      <w:bookmarkStart w:id="13" w:name="bt项目管理班子配备情况"/>
      <w:bookmarkEnd w:id="13"/>
      <w:bookmarkStart w:id="14" w:name="bt投标报价汇总表"/>
      <w:bookmarkEnd w:id="14"/>
      <w:bookmarkStart w:id="15" w:name="合同格式"/>
      <w:bookmarkEnd w:id="15"/>
      <w:bookmarkStart w:id="16" w:name="bt其他资料由投标人自定"/>
      <w:bookmarkEnd w:id="16"/>
      <w:bookmarkStart w:id="17" w:name="bt投标人情况介绍"/>
      <w:bookmarkEnd w:id="17"/>
      <w:bookmarkStart w:id="18" w:name="bt本工程承诺书"/>
      <w:bookmarkEnd w:id="18"/>
      <w:bookmarkStart w:id="19" w:name="bt开标一览表"/>
      <w:bookmarkEnd w:id="19"/>
      <w:r>
        <w:rPr>
          <w:rFonts w:hint="eastAsia"/>
        </w:rPr>
        <w:t>第一册专用条款</w:t>
      </w:r>
    </w:p>
    <w:p>
      <w:pPr>
        <w:pStyle w:val="6"/>
        <w:rPr>
          <w:b/>
          <w:bCs/>
          <w:sz w:val="28"/>
          <w:szCs w:val="28"/>
        </w:rPr>
      </w:pPr>
      <w:r>
        <w:rPr>
          <w:rFonts w:hint="eastAsia"/>
          <w:b/>
          <w:bCs/>
          <w:sz w:val="28"/>
          <w:szCs w:val="28"/>
        </w:rPr>
        <w:t>第一章  招标公告</w:t>
      </w:r>
    </w:p>
    <w:p/>
    <w:p>
      <w:pPr>
        <w:spacing w:line="360" w:lineRule="auto"/>
        <w:rPr>
          <w:rFonts w:ascii="宋体" w:hAnsi="宋体" w:cs="宋体"/>
          <w:b/>
          <w:bCs/>
          <w:kern w:val="0"/>
          <w:szCs w:val="21"/>
        </w:rPr>
      </w:pPr>
      <w:r>
        <w:rPr>
          <w:rFonts w:hint="eastAsia" w:ascii="宋体" w:hAnsi="宋体" w:cs="宋体"/>
          <w:b/>
          <w:bCs/>
          <w:kern w:val="0"/>
          <w:szCs w:val="21"/>
          <w:lang w:eastAsia="zh-CN"/>
        </w:rPr>
        <w:t>投标人的资格要求</w:t>
      </w:r>
      <w:r>
        <w:rPr>
          <w:rFonts w:hint="eastAsia" w:ascii="宋体" w:hAnsi="宋体" w:cs="宋体"/>
          <w:b/>
          <w:bCs/>
          <w:kern w:val="0"/>
          <w:szCs w:val="21"/>
        </w:rPr>
        <w:t>：</w:t>
      </w:r>
    </w:p>
    <w:p>
      <w:pPr>
        <w:ind w:firstLine="630" w:firstLineChars="300"/>
        <w:rPr>
          <w:rFonts w:hint="eastAsia" w:ascii="宋体" w:hAnsi="宋体" w:eastAsia="宋体" w:cs="宋体"/>
          <w:kern w:val="0"/>
          <w:szCs w:val="21"/>
          <w:highlight w:val="yellow"/>
          <w:lang w:eastAsia="zh-CN"/>
        </w:rPr>
      </w:pPr>
      <w:r>
        <w:rPr>
          <w:rFonts w:hint="eastAsia" w:ascii="宋体" w:hAnsi="宋体" w:cs="宋体"/>
          <w:kern w:val="0"/>
          <w:szCs w:val="21"/>
          <w:highlight w:val="yellow"/>
        </w:rPr>
        <w:t>1</w:t>
      </w:r>
      <w:r>
        <w:rPr>
          <w:rFonts w:ascii="宋体" w:hAnsi="宋体" w:cs="宋体"/>
          <w:kern w:val="0"/>
          <w:szCs w:val="21"/>
          <w:highlight w:val="yellow"/>
        </w:rPr>
        <w:t>.</w:t>
      </w:r>
      <w:bookmarkStart w:id="20" w:name="_Hlk72162904"/>
      <w:r>
        <w:rPr>
          <w:rFonts w:hint="eastAsia" w:ascii="宋体" w:hAnsi="宋体" w:cs="宋体"/>
          <w:kern w:val="0"/>
          <w:szCs w:val="21"/>
          <w:highlight w:val="yellow"/>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630" w:firstLineChars="300"/>
        <w:rPr>
          <w:rFonts w:ascii="宋体" w:hAnsi="宋体" w:cs="宋体"/>
          <w:kern w:val="0"/>
          <w:szCs w:val="21"/>
          <w:highlight w:val="yellow"/>
        </w:rPr>
      </w:pPr>
      <w:r>
        <w:rPr>
          <w:rFonts w:hint="eastAsia" w:ascii="宋体" w:hAnsi="宋体" w:cs="宋体"/>
          <w:color w:val="FF0000"/>
          <w:kern w:val="0"/>
          <w:szCs w:val="21"/>
          <w:highlight w:val="yellow"/>
        </w:rPr>
        <w:t>2.本项目不接受联合体投标，不接受投标人选用进口产品参与投标（由供应商在《</w:t>
      </w:r>
      <w:r>
        <w:rPr>
          <w:rFonts w:hint="eastAsia" w:ascii="宋体" w:hAnsi="宋体" w:cs="宋体"/>
          <w:color w:val="FF0000"/>
          <w:kern w:val="0"/>
          <w:szCs w:val="21"/>
          <w:highlight w:val="yellow"/>
          <w:lang w:eastAsia="zh-CN"/>
        </w:rPr>
        <w:t>采购投标及履约承诺函</w:t>
      </w:r>
      <w:r>
        <w:rPr>
          <w:rFonts w:hint="eastAsia" w:ascii="宋体" w:hAnsi="宋体" w:cs="宋体"/>
          <w:color w:val="FF0000"/>
          <w:kern w:val="0"/>
          <w:szCs w:val="21"/>
          <w:highlight w:val="yellow"/>
        </w:rPr>
        <w:t>》中作出声明）；</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w:t>
      </w:r>
      <w:r>
        <w:rPr>
          <w:rFonts w:hint="eastAsia" w:ascii="宋体" w:hAnsi="宋体" w:cs="宋体"/>
          <w:color w:val="FF0000"/>
          <w:kern w:val="0"/>
          <w:szCs w:val="21"/>
          <w:lang w:eastAsia="zh-CN"/>
        </w:rPr>
        <w:t>采购投标及履约承诺函</w:t>
      </w:r>
      <w:r>
        <w:rPr>
          <w:rFonts w:hint="eastAsia" w:ascii="宋体" w:hAnsi="宋体" w:cs="宋体"/>
          <w:color w:val="FF0000"/>
          <w:kern w:val="0"/>
          <w:szCs w:val="21"/>
        </w:rPr>
        <w:t>》中作出声明）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pPr>
        <w:ind w:firstLine="630" w:firstLineChars="300"/>
        <w:rPr>
          <w:rFonts w:ascii="宋体" w:hAnsi="宋体" w:cs="宋体"/>
          <w:b/>
          <w:bCs/>
          <w:kern w:val="0"/>
          <w:szCs w:val="21"/>
        </w:rPr>
      </w:pPr>
      <w:r>
        <w:rPr>
          <w:rFonts w:hint="eastAsia" w:ascii="宋体" w:hAnsi="宋体" w:cs="宋体"/>
          <w:kern w:val="0"/>
          <w:szCs w:val="21"/>
          <w:lang w:val="en-US" w:eastAsia="zh-CN"/>
        </w:rPr>
        <w:t>8</w:t>
      </w:r>
      <w:r>
        <w:rPr>
          <w:rFonts w:hint="eastAsia" w:ascii="宋体" w:hAnsi="宋体" w:cs="宋体"/>
          <w:kern w:val="0"/>
          <w:szCs w:val="21"/>
        </w:rPr>
        <w:t>.本项目是（否）专门面向中小企业采购：否</w:t>
      </w:r>
      <w:r>
        <w:rPr>
          <w:rFonts w:hint="eastAsia" w:ascii="宋体" w:hAnsi="宋体" w:cs="宋体"/>
          <w:kern w:val="0"/>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highlight w:val="yellow"/>
          <w:lang w:val="en-US" w:eastAsia="zh-CN"/>
        </w:rPr>
        <w:t>或者下载信用信息报告</w:t>
      </w:r>
      <w:r>
        <w:rPr>
          <w:rFonts w:hint="eastAsia" w:ascii="宋体" w:hAnsi="宋体" w:cs="宋体"/>
          <w:kern w:val="0"/>
          <w:szCs w:val="21"/>
          <w:lang w:val="en-US" w:eastAsia="zh-CN"/>
        </w:rPr>
        <w:t>）</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s="宋体"/>
          <w:kern w:val="0"/>
          <w:szCs w:val="21"/>
        </w:rPr>
      </w:pPr>
      <w:r>
        <w:rPr>
          <w:rFonts w:hint="eastAsia" w:ascii="宋体" w:hAnsi="宋体"/>
        </w:rPr>
        <w:t>（2）供应商投标（上传投标文件）必须先行办理注册手续，具体</w:t>
      </w:r>
      <w:r>
        <w:rPr>
          <w:rFonts w:hint="eastAsia" w:ascii="宋体" w:hAnsi="宋体"/>
          <w:lang w:val="en-US" w:eastAsia="zh-CN"/>
        </w:rPr>
        <w:t>操作指引</w:t>
      </w:r>
      <w:r>
        <w:rPr>
          <w:rFonts w:hint="eastAsia" w:ascii="宋体" w:hAnsi="宋体"/>
        </w:rPr>
        <w:t>请按照深圳公共资源交易网/交易服务指南/资料下载/深圳自行采购系统用户操作指引（供应商）相关内容指引办理。</w:t>
      </w:r>
    </w:p>
    <w:p>
      <w:pPr>
        <w:ind w:firstLine="420" w:firstLineChars="200"/>
        <w:rPr>
          <w:rFonts w:ascii="宋体" w:hAnsi="宋体" w:cs="宋体"/>
          <w:color w:val="FF0000"/>
          <w:kern w:val="0"/>
          <w:szCs w:val="21"/>
        </w:rPr>
      </w:pPr>
    </w:p>
    <w:p>
      <w:pPr>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6"/>
        <w:rPr>
          <w:b/>
          <w:bCs/>
          <w:sz w:val="28"/>
          <w:szCs w:val="28"/>
        </w:rPr>
      </w:pPr>
      <w:r>
        <w:rPr>
          <w:rFonts w:hint="eastAsia"/>
          <w:b/>
          <w:bCs/>
          <w:sz w:val="28"/>
          <w:szCs w:val="28"/>
        </w:rPr>
        <w:t>第二章 对通用条款的补充内容及其他关键信息</w:t>
      </w:r>
    </w:p>
    <w:p>
      <w:pPr>
        <w:pStyle w:val="6"/>
        <w:spacing w:before="120" w:beforeLines="50" w:after="120" w:afterLines="50"/>
        <w:rPr>
          <w:sz w:val="28"/>
          <w:szCs w:val="28"/>
        </w:rPr>
      </w:pPr>
      <w:bookmarkStart w:id="21" w:name="_Toc73521635"/>
      <w:bookmarkStart w:id="22" w:name="_Toc73518117"/>
      <w:bookmarkStart w:id="23" w:name="_Toc101074876"/>
      <w:bookmarkStart w:id="24" w:name="_Toc73517639"/>
      <w:bookmarkStart w:id="25" w:name="_Toc60560625"/>
      <w:bookmarkStart w:id="26" w:name="_Toc100052364"/>
      <w:bookmarkStart w:id="27" w:name="_Toc73521547"/>
      <w:bookmarkStart w:id="28" w:name="_Toc60631620"/>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b/>
                <w:bCs/>
              </w:rPr>
            </w:pPr>
            <w:r>
              <w:rPr>
                <w:rFonts w:hint="eastAsia" w:ascii="宋体" w:hAnsi="宋体"/>
                <w:b/>
                <w:bCs/>
              </w:rPr>
              <w:t>通用条款序号</w:t>
            </w:r>
          </w:p>
        </w:tc>
        <w:tc>
          <w:tcPr>
            <w:tcW w:w="2526" w:type="dxa"/>
            <w:vAlign w:val="center"/>
          </w:tcPr>
          <w:p>
            <w:pPr>
              <w:jc w:val="center"/>
              <w:rPr>
                <w:rFonts w:ascii="宋体" w:hAnsi="宋体"/>
                <w:b/>
                <w:bCs/>
              </w:rPr>
            </w:pPr>
            <w:r>
              <w:rPr>
                <w:rFonts w:hint="eastAsia" w:ascii="宋体" w:hAnsi="宋体"/>
                <w:b/>
                <w:bCs/>
              </w:rPr>
              <w:t>涉及事项</w:t>
            </w:r>
          </w:p>
        </w:tc>
        <w:tc>
          <w:tcPr>
            <w:tcW w:w="4871"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ascii="宋体" w:hAnsi="宋体"/>
              </w:rPr>
            </w:pPr>
            <w:r>
              <w:rPr>
                <w:rFonts w:hint="eastAsia" w:ascii="宋体" w:hAnsi="宋体" w:eastAsia="宋体" w:cs="Times New Roman"/>
              </w:rPr>
              <w:t xml:space="preserve">深圳技师学院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.2</w:t>
            </w:r>
          </w:p>
        </w:tc>
        <w:tc>
          <w:tcPr>
            <w:tcW w:w="2526" w:type="dxa"/>
            <w:vAlign w:val="center"/>
          </w:tcPr>
          <w:p>
            <w:pPr>
              <w:jc w:val="center"/>
              <w:rPr>
                <w:rFonts w:ascii="宋体" w:hAnsi="宋体"/>
              </w:rPr>
            </w:pPr>
            <w:r>
              <w:rPr>
                <w:rFonts w:hint="eastAsia" w:ascii="宋体" w:hAnsi="宋体"/>
              </w:rPr>
              <w:t>政府集中采购机构</w:t>
            </w:r>
          </w:p>
        </w:tc>
        <w:tc>
          <w:tcPr>
            <w:tcW w:w="4871"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9</w:t>
            </w:r>
          </w:p>
        </w:tc>
        <w:tc>
          <w:tcPr>
            <w:tcW w:w="2526" w:type="dxa"/>
            <w:vAlign w:val="center"/>
          </w:tcPr>
          <w:p>
            <w:pPr>
              <w:jc w:val="center"/>
              <w:rPr>
                <w:rFonts w:ascii="宋体" w:hAnsi="宋体"/>
              </w:rPr>
            </w:pPr>
            <w:r>
              <w:rPr>
                <w:rFonts w:hint="eastAsia" w:ascii="宋体" w:hAnsi="宋体"/>
              </w:rPr>
              <w:t>踏勘现场</w:t>
            </w:r>
          </w:p>
        </w:tc>
        <w:tc>
          <w:tcPr>
            <w:tcW w:w="4871" w:type="dxa"/>
            <w:vAlign w:val="center"/>
          </w:tcPr>
          <w:p>
            <w:pPr>
              <w:jc w:val="center"/>
              <w:rPr>
                <w:rFonts w:ascii="宋体" w:hAnsi="宋体"/>
                <w:highlight w:val="none"/>
              </w:rPr>
            </w:pPr>
            <w:r>
              <w:rPr>
                <w:rFonts w:hint="eastAsia" w:ascii="宋体" w:hAnsi="宋体" w:eastAsia="宋体" w:cs="Times New Roman"/>
                <w:highlight w:val="none"/>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0</w:t>
            </w:r>
          </w:p>
        </w:tc>
        <w:tc>
          <w:tcPr>
            <w:tcW w:w="2526" w:type="dxa"/>
            <w:vAlign w:val="center"/>
          </w:tcPr>
          <w:p>
            <w:pPr>
              <w:jc w:val="center"/>
              <w:rPr>
                <w:rFonts w:ascii="宋体" w:hAnsi="宋体"/>
              </w:rPr>
            </w:pPr>
            <w:r>
              <w:rPr>
                <w:rFonts w:hint="eastAsia" w:ascii="宋体" w:hAnsi="宋体"/>
              </w:rPr>
              <w:t>标前会议</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ascii="宋体" w:hAnsi="宋体"/>
              </w:rPr>
            </w:pPr>
            <w:r>
              <w:rPr>
                <w:rFonts w:hint="eastAsia" w:ascii="宋体" w:hAnsi="宋体"/>
              </w:rPr>
              <w:t>招标文件的澄清和修改</w:t>
            </w:r>
          </w:p>
        </w:tc>
        <w:tc>
          <w:tcPr>
            <w:tcW w:w="4871" w:type="dxa"/>
            <w:vAlign w:val="center"/>
          </w:tcPr>
          <w:p>
            <w:pPr>
              <w:jc w:val="left"/>
              <w:rPr>
                <w:rFonts w:ascii="宋体" w:hAnsi="宋体"/>
                <w:highlight w:val="none"/>
              </w:rPr>
            </w:pPr>
            <w:r>
              <w:rPr>
                <w:rFonts w:hint="eastAsia" w:ascii="宋体" w:hAnsi="宋体"/>
                <w:highlight w:val="none"/>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0</w:t>
            </w:r>
          </w:p>
        </w:tc>
        <w:tc>
          <w:tcPr>
            <w:tcW w:w="2526" w:type="dxa"/>
            <w:vAlign w:val="center"/>
          </w:tcPr>
          <w:p>
            <w:pPr>
              <w:jc w:val="center"/>
              <w:rPr>
                <w:rFonts w:ascii="宋体" w:hAnsi="宋体"/>
              </w:rPr>
            </w:pPr>
            <w:r>
              <w:rPr>
                <w:rFonts w:hint="eastAsia" w:ascii="宋体" w:hAnsi="宋体"/>
              </w:rPr>
              <w:t>投标有效期</w:t>
            </w:r>
          </w:p>
        </w:tc>
        <w:tc>
          <w:tcPr>
            <w:tcW w:w="4871"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2</w:t>
            </w:r>
          </w:p>
        </w:tc>
        <w:tc>
          <w:tcPr>
            <w:tcW w:w="2526" w:type="dxa"/>
            <w:vAlign w:val="center"/>
          </w:tcPr>
          <w:p>
            <w:pPr>
              <w:jc w:val="center"/>
              <w:rPr>
                <w:rFonts w:ascii="宋体" w:hAnsi="宋体"/>
              </w:rPr>
            </w:pPr>
            <w:r>
              <w:rPr>
                <w:rFonts w:hint="eastAsia" w:ascii="宋体" w:hAnsi="宋体"/>
              </w:rPr>
              <w:t>投标人的替代方案</w:t>
            </w:r>
          </w:p>
        </w:tc>
        <w:tc>
          <w:tcPr>
            <w:tcW w:w="4871"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5</w:t>
            </w:r>
          </w:p>
        </w:tc>
        <w:tc>
          <w:tcPr>
            <w:tcW w:w="2526" w:type="dxa"/>
            <w:vAlign w:val="center"/>
          </w:tcPr>
          <w:p>
            <w:pPr>
              <w:jc w:val="center"/>
              <w:rPr>
                <w:rFonts w:ascii="宋体" w:hAnsi="宋体"/>
              </w:rPr>
            </w:pPr>
            <w:r>
              <w:rPr>
                <w:rFonts w:hint="eastAsia" w:ascii="宋体" w:hAnsi="宋体"/>
              </w:rPr>
              <w:t>投标文件的大小</w:t>
            </w:r>
          </w:p>
        </w:tc>
        <w:tc>
          <w:tcPr>
            <w:tcW w:w="4871"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6</w:t>
            </w:r>
          </w:p>
        </w:tc>
        <w:tc>
          <w:tcPr>
            <w:tcW w:w="2526" w:type="dxa"/>
            <w:vAlign w:val="center"/>
          </w:tcPr>
          <w:p>
            <w:pPr>
              <w:jc w:val="center"/>
              <w:rPr>
                <w:rFonts w:ascii="宋体" w:hAnsi="宋体"/>
              </w:rPr>
            </w:pPr>
            <w:bookmarkStart w:id="29" w:name="_Hlk71664860"/>
            <w:r>
              <w:rPr>
                <w:rFonts w:hint="eastAsia" w:ascii="宋体" w:hAnsi="宋体"/>
              </w:rPr>
              <w:t>样品、演示、方案讲解</w:t>
            </w:r>
            <w:bookmarkEnd w:id="29"/>
          </w:p>
        </w:tc>
        <w:tc>
          <w:tcPr>
            <w:tcW w:w="4871"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7</w:t>
            </w:r>
          </w:p>
        </w:tc>
        <w:tc>
          <w:tcPr>
            <w:tcW w:w="2526" w:type="dxa"/>
            <w:vAlign w:val="center"/>
          </w:tcPr>
          <w:p>
            <w:pPr>
              <w:jc w:val="center"/>
              <w:rPr>
                <w:rFonts w:ascii="宋体" w:hAnsi="宋体"/>
              </w:rPr>
            </w:pPr>
            <w:r>
              <w:rPr>
                <w:rFonts w:hint="eastAsia" w:ascii="宋体" w:hAnsi="宋体"/>
              </w:rPr>
              <w:t>评审方法</w:t>
            </w:r>
          </w:p>
        </w:tc>
        <w:tc>
          <w:tcPr>
            <w:tcW w:w="4871" w:type="dxa"/>
            <w:vAlign w:val="center"/>
          </w:tcPr>
          <w:p>
            <w:pPr>
              <w:jc w:val="left"/>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8</w:t>
            </w:r>
          </w:p>
        </w:tc>
        <w:tc>
          <w:tcPr>
            <w:tcW w:w="2526" w:type="dxa"/>
            <w:vAlign w:val="center"/>
          </w:tcPr>
          <w:p>
            <w:pPr>
              <w:jc w:val="center"/>
              <w:rPr>
                <w:rFonts w:ascii="宋体" w:hAnsi="宋体"/>
              </w:rPr>
            </w:pPr>
            <w:r>
              <w:rPr>
                <w:rFonts w:hint="eastAsia" w:ascii="宋体" w:hAnsi="宋体"/>
              </w:rPr>
              <w:t>定标方法</w:t>
            </w:r>
          </w:p>
        </w:tc>
        <w:tc>
          <w:tcPr>
            <w:tcW w:w="4871" w:type="dxa"/>
            <w:vAlign w:val="center"/>
          </w:tcPr>
          <w:p>
            <w:pPr>
              <w:jc w:val="left"/>
              <w:rPr>
                <w:rFonts w:hint="eastAsia" w:ascii="宋体" w:hAnsi="宋体"/>
              </w:rPr>
            </w:pPr>
            <w:r>
              <w:rPr>
                <w:rFonts w:hint="eastAsia" w:ascii="宋体" w:hAnsi="宋体"/>
                <w:b/>
              </w:rPr>
              <w:t xml:space="preserve">□ </w:t>
            </w:r>
            <w:r>
              <w:rPr>
                <w:rFonts w:hint="eastAsia" w:ascii="宋体" w:hAnsi="宋体"/>
              </w:rPr>
              <w:t>非评定分离</w:t>
            </w:r>
          </w:p>
          <w:p>
            <w:pPr>
              <w:jc w:val="left"/>
              <w:rPr>
                <w:rFonts w:ascii="宋体" w:hAns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52.8</w:t>
            </w:r>
          </w:p>
        </w:tc>
        <w:tc>
          <w:tcPr>
            <w:tcW w:w="2526" w:type="dxa"/>
            <w:vAlign w:val="center"/>
          </w:tcPr>
          <w:p>
            <w:pPr>
              <w:jc w:val="center"/>
              <w:rPr>
                <w:rFonts w:ascii="宋体" w:hAnsi="宋体"/>
              </w:rPr>
            </w:pPr>
            <w:r>
              <w:rPr>
                <w:rFonts w:hint="eastAsia" w:ascii="宋体" w:hAnsi="宋体"/>
              </w:rPr>
              <w:t>投诉</w:t>
            </w:r>
          </w:p>
        </w:tc>
        <w:tc>
          <w:tcPr>
            <w:tcW w:w="4871"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评标方法</w:t>
            </w:r>
          </w:p>
        </w:tc>
        <w:tc>
          <w:tcPr>
            <w:tcW w:w="2660" w:type="pct"/>
          </w:tcPr>
          <w:p>
            <w:pPr>
              <w:jc w:val="center"/>
              <w:rPr>
                <w:rFonts w:hint="default" w:eastAsia="宋体"/>
                <w:lang w:val="en-US" w:eastAsia="zh-CN"/>
              </w:rP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候选中标供应商家数</w:t>
            </w:r>
          </w:p>
        </w:tc>
        <w:tc>
          <w:tcPr>
            <w:tcW w:w="2660" w:type="pct"/>
          </w:tcPr>
          <w:p>
            <w:pPr>
              <w:jc w:val="center"/>
              <w:rPr>
                <w:rFonts w:hint="default" w:eastAsia="宋体"/>
                <w:lang w:val="en-US" w:eastAsia="zh-CN"/>
              </w:rP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中标供应商家数</w:t>
            </w:r>
          </w:p>
        </w:tc>
        <w:tc>
          <w:tcPr>
            <w:tcW w:w="2660" w:type="pct"/>
          </w:tcPr>
          <w:p>
            <w:pPr>
              <w:jc w:val="center"/>
            </w:pPr>
            <w:r>
              <w:rPr>
                <w:rFonts w:hint="eastAsia"/>
              </w:rPr>
              <w:t>1</w:t>
            </w:r>
          </w:p>
        </w:tc>
      </w:tr>
    </w:tbl>
    <w:p>
      <w:pPr>
        <w:ind w:firstLine="422" w:firstLineChars="200"/>
        <w:rPr>
          <w:rFonts w:ascii="宋体" w:hAnsi="宋体"/>
          <w:b/>
        </w:rPr>
      </w:pPr>
    </w:p>
    <w:bookmarkEnd w:id="30"/>
    <w:p>
      <w:pPr>
        <w:ind w:firstLine="422" w:firstLineChars="200"/>
        <w:rPr>
          <w:rFonts w:hint="eastAsia"/>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8"/>
        </w:numPr>
        <w:ind w:firstLine="420" w:firstLineChars="200"/>
        <w:rPr>
          <w:rFonts w:hint="eastAsia"/>
          <w:sz w:val="21"/>
          <w:szCs w:val="21"/>
        </w:rPr>
      </w:pPr>
      <w:r>
        <w:rPr>
          <w:rFonts w:ascii="宋体" w:hAnsi="宋体" w:eastAsia="宋体" w:cs="宋体"/>
          <w:sz w:val="21"/>
          <w:szCs w:val="21"/>
        </w:rPr>
        <w:t>中小企业参加</w:t>
      </w:r>
      <w:r>
        <w:rPr>
          <w:rFonts w:hint="eastAsia" w:ascii="宋体" w:hAnsi="宋体" w:eastAsia="宋体" w:cs="宋体"/>
          <w:sz w:val="21"/>
          <w:szCs w:val="21"/>
          <w:lang w:val="en-US" w:eastAsia="zh-CN"/>
        </w:rPr>
        <w:t>政府采购、自行采购</w:t>
      </w:r>
      <w:r>
        <w:rPr>
          <w:rFonts w:ascii="宋体" w:hAnsi="宋体" w:eastAsia="宋体" w:cs="宋体"/>
          <w:sz w:val="21"/>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《中小企业声明函》中相关企业所属行业应当与采购标的所属行业相一致。</w:t>
      </w:r>
      <w:r>
        <w:rPr>
          <w:rFonts w:hint="eastAsia"/>
          <w:sz w:val="21"/>
          <w:szCs w:val="21"/>
        </w:rPr>
        <w:t>本项目采购标的（</w:t>
      </w:r>
      <w:r>
        <w:rPr>
          <w:rFonts w:hint="eastAsia" w:ascii="Times New Roman" w:eastAsia="宋体"/>
          <w:sz w:val="21"/>
          <w:szCs w:val="21"/>
          <w:lang w:val="en-US" w:eastAsia="zh-CN"/>
        </w:rPr>
        <w:t>服务需求</w:t>
      </w:r>
      <w:r>
        <w:rPr>
          <w:rFonts w:hint="eastAsia"/>
          <w:sz w:val="21"/>
          <w:szCs w:val="21"/>
        </w:rPr>
        <w:t>）对应的中小企业划分标准所属行业为</w:t>
      </w:r>
      <w:r>
        <w:rPr>
          <w:b/>
          <w:bCs/>
          <w:color w:val="FF0000"/>
          <w:sz w:val="21"/>
          <w:szCs w:val="21"/>
          <w:highlight w:val="yellow"/>
          <w:u w:val="single"/>
        </w:rPr>
        <w:t xml:space="preserve"> </w:t>
      </w:r>
      <w:r>
        <w:rPr>
          <w:rFonts w:hint="eastAsia"/>
          <w:b/>
          <w:bCs/>
          <w:color w:val="FF0000"/>
          <w:sz w:val="21"/>
          <w:szCs w:val="21"/>
          <w:highlight w:val="yellow"/>
          <w:u w:val="single"/>
        </w:rPr>
        <w:t>其他未列明行业</w:t>
      </w:r>
      <w:r>
        <w:rPr>
          <w:rFonts w:hint="eastAsia"/>
          <w:sz w:val="21"/>
          <w:szCs w:val="21"/>
        </w:rPr>
        <w:t>。</w:t>
      </w:r>
    </w:p>
    <w:p>
      <w:pPr>
        <w:numPr>
          <w:ilvl w:val="0"/>
          <w:numId w:val="8"/>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w:t>
      </w:r>
      <w:r>
        <w:rPr>
          <w:rFonts w:hint="eastAsia"/>
          <w:highlight w:val="none"/>
        </w:rPr>
        <w:t>》；监狱企业作为优惠主体的认定资料为省级以上监狱管理局、戒毒管理局出具的监狱企业证明文件。声明函样式见本招标文件第一册专用条款第</w:t>
      </w:r>
      <w:r>
        <w:rPr>
          <w:rFonts w:hint="eastAsia" w:ascii="Times New Roman" w:eastAsia="宋体"/>
          <w:highlight w:val="none"/>
          <w:lang w:val="en-US" w:eastAsia="zh-CN"/>
        </w:rPr>
        <w:t>四</w:t>
      </w:r>
      <w:r>
        <w:rPr>
          <w:rFonts w:hint="eastAsia"/>
          <w:highlight w:val="none"/>
        </w:rPr>
        <w:t>章“</w:t>
      </w:r>
      <w:r>
        <w:rPr>
          <w:rFonts w:hint="eastAsia"/>
          <w:highlight w:val="none"/>
          <w:lang w:eastAsia="zh-CN"/>
        </w:rPr>
        <w:t>投标文件组成要求及格式</w:t>
      </w:r>
      <w:r>
        <w:rPr>
          <w:rFonts w:hint="eastAsia"/>
          <w:highlight w:val="none"/>
        </w:rPr>
        <w:t>”中“</w:t>
      </w:r>
      <w:r>
        <w:rPr>
          <w:rFonts w:hint="eastAsia" w:ascii="Times New Roman" w:eastAsia="宋体"/>
          <w:highlight w:val="none"/>
          <w:lang w:val="en-US" w:eastAsia="zh-CN"/>
        </w:rPr>
        <w:t>三、</w:t>
      </w:r>
      <w:r>
        <w:rPr>
          <w:rFonts w:hint="eastAsia"/>
        </w:rPr>
        <w:t>投标人情况介绍及资格证明文件”章节提供的格式）。</w:t>
      </w:r>
    </w:p>
    <w:p>
      <w:pPr>
        <w:ind w:firstLine="420" w:firstLineChars="200"/>
      </w:pPr>
      <w:r>
        <w:rPr>
          <w:rFonts w:hint="eastAsia"/>
        </w:rPr>
        <w:t>（</w:t>
      </w:r>
      <w:r>
        <w:rPr>
          <w:rFonts w:hint="eastAsia"/>
          <w:lang w:val="en-US" w:eastAsia="zh-CN"/>
        </w:rPr>
        <w:t>5</w:t>
      </w:r>
      <w:r>
        <w:rPr>
          <w:rFonts w:hint="eastAsia"/>
        </w:rPr>
        <w:t>）享受价格扣除获得采购合同的，小微企业不得将合同分包给大中型企业。</w:t>
      </w:r>
    </w:p>
    <w:p>
      <w:pPr>
        <w:spacing w:line="360" w:lineRule="auto"/>
        <w:ind w:firstLine="422" w:firstLineChars="200"/>
        <w:rPr>
          <w:rFonts w:ascii="宋体" w:hAnsi="宋体" w:cs="宋体"/>
          <w:b/>
          <w:bCs/>
        </w:rPr>
      </w:pPr>
      <w:r>
        <w:rPr>
          <w:rFonts w:hint="eastAsia" w:ascii="宋体" w:hAnsi="宋体" w:cs="宋体"/>
          <w:b/>
          <w:bCs/>
        </w:rPr>
        <w:t>2.关于采购订单融资政策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hint="eastAsia"/>
          <w:b/>
        </w:rPr>
      </w:pPr>
      <w:r>
        <w:rPr>
          <w:rFonts w:hint="eastAsia"/>
          <w:b/>
        </w:rPr>
        <w:t>3、</w:t>
      </w:r>
      <w:bookmarkStart w:id="31" w:name="_Hlk76855768"/>
      <w:bookmarkStart w:id="32" w:name="_Hlk72594729"/>
      <w:r>
        <w:rPr>
          <w:rFonts w:hint="eastAsia"/>
          <w:b/>
        </w:rPr>
        <w:t>本项目为代理服务项目，将向中标</w:t>
      </w:r>
      <w:r>
        <w:rPr>
          <w:rFonts w:hint="eastAsia" w:eastAsia="宋体"/>
          <w:b/>
          <w:lang w:eastAsia="zh-CN"/>
        </w:rPr>
        <w:t>（</w:t>
      </w:r>
      <w:r>
        <w:rPr>
          <w:rFonts w:hint="eastAsia" w:ascii="Times New Roman" w:eastAsia="宋体"/>
          <w:b/>
          <w:lang w:val="en-US" w:eastAsia="zh-CN"/>
        </w:rPr>
        <w:t>成交</w:t>
      </w:r>
      <w:r>
        <w:rPr>
          <w:rFonts w:hint="eastAsia" w:eastAsia="宋体"/>
          <w:b/>
          <w:lang w:eastAsia="zh-CN"/>
        </w:rPr>
        <w:t>）</w:t>
      </w:r>
      <w:r>
        <w:rPr>
          <w:rFonts w:hint="eastAsia"/>
          <w:b/>
        </w:rPr>
        <w:t>供应商收取代理服务费。</w:t>
      </w:r>
    </w:p>
    <w:bookmarkEnd w:id="31"/>
    <w:bookmarkEnd w:id="32"/>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政府采购业务分公司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eastAsia="宋体"/>
          <w:lang w:eastAsia="zh-CN"/>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w:t>
      </w:r>
      <w:r>
        <w:rPr>
          <w:rFonts w:hint="eastAsia" w:eastAsia="宋体"/>
          <w:lang w:eastAsia="zh-CN"/>
        </w:rPr>
        <w:t>：</w:t>
      </w:r>
    </w:p>
    <w:p>
      <w:pPr>
        <w:ind w:firstLine="422" w:firstLineChars="200"/>
        <w:rPr>
          <w:rFonts w:ascii="宋体" w:hAnsi="宋体" w:eastAsia="宋体" w:cs="宋体"/>
          <w:bCs/>
          <w:color w:val="FF0000"/>
          <w:szCs w:val="21"/>
          <w:highlight w:val="yellow"/>
        </w:rPr>
      </w:pPr>
      <w:r>
        <w:rPr>
          <w:rFonts w:hint="eastAsia" w:ascii="宋体" w:hAnsi="宋体" w:eastAsia="宋体" w:cs="宋体"/>
          <w:b/>
          <w:bCs/>
          <w:color w:val="FF0000"/>
          <w:szCs w:val="21"/>
          <w:highlight w:val="yellow"/>
        </w:rPr>
        <w:t>基本户信息：</w:t>
      </w:r>
    </w:p>
    <w:p>
      <w:pPr>
        <w:ind w:firstLine="420" w:firstLineChars="200"/>
        <w:rPr>
          <w:rFonts w:ascii="宋体" w:hAnsi="宋体" w:eastAsia="宋体" w:cs="宋体"/>
          <w:color w:val="FF0000"/>
          <w:szCs w:val="21"/>
          <w:highlight w:val="yellow"/>
        </w:rPr>
      </w:pPr>
      <w:r>
        <w:rPr>
          <w:rFonts w:hint="eastAsia" w:ascii="宋体" w:hAnsi="宋体" w:eastAsia="宋体" w:cs="宋体"/>
          <w:color w:val="FF0000"/>
          <w:szCs w:val="21"/>
          <w:highlight w:val="yellow"/>
        </w:rPr>
        <w:t>账户名：深圳交易集团有限公司</w:t>
      </w:r>
    </w:p>
    <w:p>
      <w:pPr>
        <w:ind w:firstLine="420" w:firstLineChars="200"/>
        <w:rPr>
          <w:rFonts w:ascii="宋体" w:hAnsi="宋体" w:eastAsia="宋体" w:cs="宋体"/>
          <w:color w:val="FF0000"/>
          <w:szCs w:val="21"/>
          <w:highlight w:val="yellow"/>
        </w:rPr>
      </w:pPr>
      <w:r>
        <w:rPr>
          <w:rFonts w:hint="eastAsia" w:ascii="宋体" w:hAnsi="宋体" w:eastAsia="宋体" w:cs="宋体"/>
          <w:color w:val="FF0000"/>
          <w:szCs w:val="21"/>
          <w:highlight w:val="yellow"/>
        </w:rPr>
        <w:t>账号：632765883</w:t>
      </w:r>
    </w:p>
    <w:p>
      <w:pPr>
        <w:ind w:firstLine="420" w:firstLineChars="200"/>
        <w:rPr>
          <w:rFonts w:ascii="宋体" w:hAnsi="宋体" w:eastAsia="宋体" w:cs="宋体"/>
          <w:color w:val="FF0000"/>
          <w:szCs w:val="21"/>
          <w:highlight w:val="yellow"/>
        </w:rPr>
      </w:pPr>
      <w:r>
        <w:rPr>
          <w:rFonts w:hint="eastAsia" w:ascii="宋体" w:hAnsi="宋体" w:eastAsia="宋体" w:cs="宋体"/>
          <w:color w:val="FF0000"/>
          <w:szCs w:val="21"/>
          <w:highlight w:val="yellow"/>
        </w:rPr>
        <w:t>开户行：民生银行深圳五洲支行</w:t>
      </w:r>
    </w:p>
    <w:p>
      <w:pPr>
        <w:ind w:firstLine="422" w:firstLineChars="200"/>
        <w:rPr>
          <w:rFonts w:ascii="宋体" w:hAnsi="宋体" w:eastAsia="宋体" w:cs="宋体"/>
          <w:bCs/>
          <w:color w:val="FF0000"/>
          <w:szCs w:val="21"/>
          <w:highlight w:val="yellow"/>
        </w:rPr>
      </w:pPr>
      <w:r>
        <w:rPr>
          <w:rFonts w:hint="eastAsia" w:ascii="宋体" w:hAnsi="宋体" w:eastAsia="宋体" w:cs="宋体"/>
          <w:b/>
          <w:bCs/>
          <w:color w:val="FF0000"/>
          <w:szCs w:val="21"/>
          <w:highlight w:val="yellow"/>
        </w:rPr>
        <w:t>转账备注：</w:t>
      </w:r>
    </w:p>
    <w:p>
      <w:pPr>
        <w:ind w:firstLine="420" w:firstLineChars="200"/>
        <w:rPr>
          <w:rFonts w:hint="eastAsia" w:ascii="宋体" w:hAnsi="宋体" w:eastAsia="宋体" w:cs="宋体"/>
          <w:bCs/>
          <w:color w:val="FF0000"/>
          <w:szCs w:val="21"/>
          <w:highlight w:val="yellow"/>
        </w:rPr>
      </w:pPr>
      <w:r>
        <w:rPr>
          <w:rFonts w:hint="eastAsia" w:ascii="宋体" w:hAnsi="宋体" w:eastAsia="宋体" w:cs="宋体"/>
          <w:bCs/>
          <w:color w:val="FF0000"/>
          <w:szCs w:val="21"/>
          <w:highlight w:val="yellow"/>
        </w:rPr>
        <w:t>项目编号+项目名称</w:t>
      </w:r>
    </w:p>
    <w:p>
      <w:pPr>
        <w:ind w:firstLine="420" w:firstLineChars="200"/>
        <w:jc w:val="left"/>
      </w:pPr>
    </w:p>
    <w:p>
      <w:pPr>
        <w:rPr>
          <w:rFonts w:ascii="宋体" w:hAnsi="宋体"/>
          <w:b/>
          <w:bCs/>
          <w:kern w:val="0"/>
          <w:sz w:val="28"/>
          <w:szCs w:val="28"/>
        </w:rPr>
      </w:pPr>
      <w:bookmarkStart w:id="33" w:name="_Toc128884461"/>
      <w:r>
        <w:rPr>
          <w:sz w:val="28"/>
          <w:szCs w:val="28"/>
        </w:rPr>
        <w:br w:type="page"/>
      </w:r>
    </w:p>
    <w:p>
      <w:pPr>
        <w:pStyle w:val="6"/>
        <w:rPr>
          <w:b/>
          <w:bCs/>
          <w:sz w:val="28"/>
          <w:szCs w:val="28"/>
        </w:rPr>
      </w:pPr>
      <w:r>
        <w:rPr>
          <w:rFonts w:hint="eastAsia"/>
          <w:b/>
          <w:bCs/>
          <w:sz w:val="28"/>
          <w:szCs w:val="28"/>
        </w:rPr>
        <w:t>第三章 用户需求书</w:t>
      </w:r>
    </w:p>
    <w:p>
      <w:pPr>
        <w:pStyle w:val="6"/>
        <w:spacing w:before="120" w:beforeLines="50" w:after="120" w:afterLines="50"/>
        <w:rPr>
          <w:szCs w:val="24"/>
        </w:rPr>
      </w:pPr>
      <w:r>
        <w:rPr>
          <w:rFonts w:hint="eastAsia"/>
          <w:szCs w:val="24"/>
        </w:rPr>
        <w:t>一、项目基本信息</w:t>
      </w: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224"/>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33" w:type="pct"/>
            <w:vAlign w:val="center"/>
          </w:tcPr>
          <w:p>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序号</w:t>
            </w:r>
          </w:p>
        </w:tc>
        <w:tc>
          <w:tcPr>
            <w:tcW w:w="1890" w:type="pct"/>
            <w:vAlign w:val="center"/>
          </w:tcPr>
          <w:p>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采购项目名称</w:t>
            </w:r>
          </w:p>
        </w:tc>
        <w:tc>
          <w:tcPr>
            <w:tcW w:w="2775" w:type="pct"/>
            <w:vAlign w:val="center"/>
          </w:tcPr>
          <w:p>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33" w:type="pct"/>
            <w:vAlign w:val="center"/>
          </w:tcPr>
          <w:p>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1</w:t>
            </w:r>
          </w:p>
        </w:tc>
        <w:tc>
          <w:tcPr>
            <w:tcW w:w="1890" w:type="pct"/>
            <w:vAlign w:val="center"/>
          </w:tcPr>
          <w:p>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深圳技师学院世界技能大赛云计算项目专业资源库课程建设</w:t>
            </w:r>
          </w:p>
        </w:tc>
        <w:tc>
          <w:tcPr>
            <w:tcW w:w="2775" w:type="pct"/>
            <w:vAlign w:val="center"/>
          </w:tcPr>
          <w:p>
            <w:pPr>
              <w:jc w:val="center"/>
              <w:rPr>
                <w:rFonts w:hint="eastAsia" w:asciiTheme="minorEastAsia" w:hAnsiTheme="minorEastAsia" w:eastAsiaTheme="minorEastAsia" w:cstheme="minorEastAsia"/>
                <w:b w:val="0"/>
                <w:bCs/>
                <w:color w:val="auto"/>
                <w:sz w:val="21"/>
                <w:szCs w:val="21"/>
              </w:rPr>
            </w:pPr>
            <w:r>
              <w:rPr>
                <w:rFonts w:hint="eastAsia" w:asciiTheme="minorEastAsia" w:hAnsiTheme="minorEastAsia" w:eastAsiaTheme="minorEastAsia" w:cstheme="minorEastAsia"/>
                <w:b w:val="0"/>
                <w:bCs/>
                <w:color w:val="auto"/>
                <w:sz w:val="21"/>
                <w:szCs w:val="21"/>
              </w:rPr>
              <w:t>256,800</w:t>
            </w:r>
          </w:p>
        </w:tc>
      </w:tr>
    </w:tbl>
    <w:p>
      <w:pPr>
        <w:pStyle w:val="6"/>
        <w:spacing w:before="120" w:beforeLines="50" w:after="120" w:afterLines="50"/>
        <w:rPr>
          <w:szCs w:val="24"/>
        </w:rPr>
      </w:pPr>
      <w:r>
        <w:rPr>
          <w:rFonts w:hint="eastAsia"/>
          <w:szCs w:val="24"/>
        </w:rPr>
        <w:t>二、项目概况</w:t>
      </w:r>
    </w:p>
    <w:p>
      <w:pPr>
        <w:ind w:firstLine="480" w:firstLineChars="200"/>
        <w:rPr>
          <w:rFonts w:hint="eastAsia"/>
          <w:sz w:val="24"/>
        </w:rPr>
      </w:pPr>
      <w:r>
        <w:rPr>
          <w:rFonts w:hint="eastAsia"/>
          <w:sz w:val="24"/>
        </w:rPr>
        <w:t>为加快职业教育专业课程发展，推动世界技能大赛（世赛）成果转化，完成职业教育专业教学资源库子项目《世界技能大赛-云计算项目》课程建设，本项目需遴选一家中标人围绕世赛云计算项目完成课程资源开发、实操案例制作以及微课视频录制等服务。</w:t>
      </w:r>
    </w:p>
    <w:p>
      <w:pPr>
        <w:pStyle w:val="6"/>
        <w:spacing w:before="120" w:beforeLines="50" w:after="120" w:afterLines="50"/>
        <w:rPr>
          <w:szCs w:val="24"/>
        </w:rPr>
      </w:pPr>
      <w:r>
        <w:rPr>
          <w:rFonts w:hint="eastAsia"/>
          <w:szCs w:val="24"/>
        </w:rPr>
        <w:t>三、</w:t>
      </w:r>
      <w:bookmarkStart w:id="34" w:name="_Hlk72073432"/>
      <w:r>
        <w:rPr>
          <w:rFonts w:hint="eastAsia"/>
          <w:szCs w:val="24"/>
        </w:rPr>
        <w:t>服务需求明细</w:t>
      </w:r>
      <w:bookmarkEnd w:id="34"/>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asciiTheme="minorEastAsia" w:hAnsiTheme="minorEastAsia" w:eastAsiaTheme="minorEastAsia" w:cstheme="minorEastAsia"/>
                <w:b w:val="0"/>
                <w:bCs/>
                <w:color w:val="auto"/>
                <w:sz w:val="21"/>
                <w:szCs w:val="21"/>
              </w:rPr>
              <w:t>深圳技师学院世界技能大赛云计算项目专业资源库课程建设</w:t>
            </w:r>
          </w:p>
        </w:tc>
        <w:tc>
          <w:tcPr>
            <w:tcW w:w="851" w:type="dxa"/>
            <w:vAlign w:val="center"/>
          </w:tcPr>
          <w:p>
            <w:pPr>
              <w:jc w:val="center"/>
              <w:rPr>
                <w:rFonts w:hint="eastAsia" w:eastAsia="宋体"/>
                <w:bCs/>
                <w:szCs w:val="21"/>
                <w:lang w:val="en-US" w:eastAsia="zh-CN"/>
              </w:rPr>
            </w:pPr>
            <w:r>
              <w:rPr>
                <w:rFonts w:hint="eastAsia"/>
                <w:bCs/>
                <w:szCs w:val="21"/>
                <w:lang w:val="en-US" w:eastAsia="zh-CN"/>
              </w:rPr>
              <w:t>1</w:t>
            </w:r>
          </w:p>
        </w:tc>
        <w:tc>
          <w:tcPr>
            <w:tcW w:w="850" w:type="dxa"/>
            <w:vAlign w:val="center"/>
          </w:tcPr>
          <w:p>
            <w:pPr>
              <w:jc w:val="center"/>
              <w:rPr>
                <w:rFonts w:hint="eastAsia" w:eastAsia="宋体"/>
                <w:bCs/>
                <w:szCs w:val="21"/>
                <w:lang w:val="en-US" w:eastAsia="zh-CN"/>
              </w:rPr>
            </w:pPr>
            <w:r>
              <w:rPr>
                <w:rFonts w:hint="eastAsia"/>
                <w:bCs/>
                <w:szCs w:val="21"/>
                <w:lang w:val="en-US" w:eastAsia="zh-CN"/>
              </w:rPr>
              <w:t>项</w:t>
            </w:r>
          </w:p>
        </w:tc>
      </w:tr>
    </w:tbl>
    <w:p>
      <w:pPr>
        <w:rPr>
          <w:rFonts w:ascii="宋体" w:hAnsi="宋体"/>
          <w:b/>
          <w:color w:val="FF0000"/>
          <w:szCs w:val="21"/>
        </w:rPr>
      </w:pPr>
    </w:p>
    <w:p>
      <w:pPr>
        <w:pStyle w:val="6"/>
        <w:spacing w:before="120" w:beforeLines="50" w:after="120"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Ansi="宋体" w:eastAsiaTheme="minorEastAsia"/>
                <w:kern w:val="0"/>
                <w:szCs w:val="21"/>
              </w:rPr>
            </w:pPr>
            <w:r>
              <w:rPr>
                <w:rFonts w:hint="eastAsia"/>
              </w:rPr>
              <w:t>满足本项目标★的条款要求</w:t>
            </w:r>
          </w:p>
        </w:tc>
      </w:tr>
      <w:bookmarkEnd w:id="33"/>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pPr>
        <w:pStyle w:val="2"/>
      </w:pPr>
    </w:p>
    <w:p>
      <w:pPr>
        <w:pStyle w:val="6"/>
        <w:spacing w:before="120" w:beforeLines="50" w:after="120" w:afterLines="50"/>
        <w:rPr>
          <w:szCs w:val="24"/>
        </w:rPr>
      </w:pPr>
      <w:r>
        <w:rPr>
          <w:rFonts w:hint="eastAsia"/>
          <w:szCs w:val="24"/>
        </w:rPr>
        <w:t>五、技术要求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 总体要求</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围绕世赛云计算项目进行课程具体的开发，根据课程大纲完成包括制作课程教案；制作涵盖不少于80个知识点的单元课程PPT；将世赛云计算真题拆解为课程实操案例，案例题库不少于200道；制作微课视频录制知识讲解及实操演示，视频总时长不少于400分钟。</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 具体要求</w:t>
      </w:r>
    </w:p>
    <w:p>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2.2.1基于世赛云计算项目，根据课程大纲（见下表），制作课程教案(格式规范的word)和配套的作业习题(格式规范的word)。习题形式包括单选、多选、判断等客观题，</w:t>
      </w:r>
      <w:r>
        <w:rPr>
          <w:rFonts w:hint="eastAsia" w:asciiTheme="minorEastAsia" w:hAnsiTheme="minorEastAsia" w:eastAsiaTheme="minorEastAsia" w:cstheme="minorEastAsia"/>
          <w:color w:val="000000"/>
          <w:sz w:val="21"/>
          <w:szCs w:val="21"/>
        </w:rPr>
        <w:t>也可包含主观题</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课程大纲</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2"/>
        <w:gridCol w:w="2463"/>
        <w:gridCol w:w="4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12"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w:t>
            </w:r>
          </w:p>
        </w:tc>
        <w:tc>
          <w:tcPr>
            <w:tcW w:w="2463"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模块名称</w:t>
            </w:r>
          </w:p>
        </w:tc>
        <w:tc>
          <w:tcPr>
            <w:tcW w:w="4508"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模块一</w:t>
            </w:r>
          </w:p>
        </w:tc>
        <w:tc>
          <w:tcPr>
            <w:tcW w:w="2463"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世赛云计算项目介绍</w:t>
            </w:r>
          </w:p>
        </w:tc>
        <w:tc>
          <w:tcPr>
            <w:tcW w:w="4508"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世赛技能大赛介绍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云计算赛项介绍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技术文件解读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竞赛平台Cloud Raiser介绍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职业标准解读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312"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模块二</w:t>
            </w:r>
          </w:p>
        </w:tc>
        <w:tc>
          <w:tcPr>
            <w:tcW w:w="2463"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构建标准3层电商平台</w:t>
            </w: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添加计算层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添加存储层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添加数据库层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保护用户和应用程序访问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高可用和可靠性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模块三</w:t>
            </w:r>
          </w:p>
        </w:tc>
        <w:tc>
          <w:tcPr>
            <w:tcW w:w="2463"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构建电商网站的自动化运维</w:t>
            </w:r>
          </w:p>
        </w:tc>
        <w:tc>
          <w:tcPr>
            <w:tcW w:w="4508"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自动化运维的基本概念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构建云上基础设施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实现应用的CI/CD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创建日志、监控和告警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模块四</w:t>
            </w:r>
          </w:p>
        </w:tc>
        <w:tc>
          <w:tcPr>
            <w:tcW w:w="2463"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构建电商网站的容器化</w:t>
            </w:r>
          </w:p>
        </w:tc>
        <w:tc>
          <w:tcPr>
            <w:tcW w:w="4508"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容器化的基本概念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创建ECR库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创建ECS服务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创建EKS服务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2"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模块五</w:t>
            </w:r>
          </w:p>
        </w:tc>
        <w:tc>
          <w:tcPr>
            <w:tcW w:w="2463"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世赛真题解析</w:t>
            </w:r>
          </w:p>
        </w:tc>
        <w:tc>
          <w:tcPr>
            <w:tcW w:w="4508" w:type="dxa"/>
            <w:noWrap w:val="0"/>
            <w:vAlign w:val="center"/>
          </w:tcPr>
          <w:p>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如何解题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1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2463"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4508" w:type="dxa"/>
            <w:noWrap w:val="0"/>
            <w:vAlign w:val="center"/>
          </w:tcPr>
          <w:p>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世赛题目实战解析</w:t>
            </w:r>
          </w:p>
        </w:tc>
      </w:tr>
    </w:tbl>
    <w:p>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 基于课程教案，提取知识点制作知识单元PPT 不少于80个，总计需涵盖不少于80个知识点，每个知识单元包含1个或多个知识点，并提供知识单元PPT 讲解脚本用于录制课程视频。</w:t>
      </w:r>
    </w:p>
    <w:p>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 将世赛云计算真题拆解为课程实操案例，案例题库不少于200道，要求覆盖不少于80个知识点。同时，实操案例需提供实操指导手册或说明文档，包含课程实验的架构图、详细操作步骤、对应实验的综合评价方法说明，以及用于教学的实操视频、实操讲解和答疑的脚本。</w:t>
      </w:r>
    </w:p>
    <w:p>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 依据知识单元PPT 和课程实操案例，制作课程讲解和案例实操的微课视频，每个知识单元PPT录制一个视频，单个视频时间5～10分钟，视频总时长不少于400分钟。</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 管理及服务要求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 课程资源开发要求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2.3.1.1 课程开发内容要求</w:t>
      </w:r>
    </w:p>
    <w:p>
      <w:pPr>
        <w:keepNext w:val="0"/>
        <w:keepLines w:val="0"/>
        <w:pageBreakBefore w:val="0"/>
        <w:widowControl w:val="0"/>
        <w:kinsoku/>
        <w:wordWrap/>
        <w:overflowPunct/>
        <w:topLinePunct w:val="0"/>
        <w:autoSpaceDE/>
        <w:autoSpaceDN/>
        <w:bidi w:val="0"/>
        <w:adjustRightInd/>
        <w:spacing w:after="156" w:afterLines="50" w:line="240" w:lineRule="auto"/>
        <w:ind w:firstLine="64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课程内容包含符合2.2具体项目要求的课程教案、课程PPT和课程实操案例等。</w:t>
      </w:r>
    </w:p>
    <w:p>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yellow"/>
        </w:rPr>
        <w:t>★  2.3.1.2 课程开发人员要求</w:t>
      </w:r>
    </w:p>
    <w:p>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yellow"/>
        </w:rPr>
        <w:t>投标公司需承诺提供专业团队完成课程资源开发并在投标文件中提供相关经验证明，承诺专业人员包含：</w:t>
      </w:r>
    </w:p>
    <w:p>
      <w:pPr>
        <w:keepNext w:val="0"/>
        <w:keepLines w:val="0"/>
        <w:pageBreakBefore w:val="0"/>
        <w:widowControl w:val="0"/>
        <w:kinsoku/>
        <w:wordWrap/>
        <w:overflowPunct/>
        <w:topLinePunct w:val="0"/>
        <w:autoSpaceDE/>
        <w:autoSpaceDN/>
        <w:bidi w:val="0"/>
        <w:adjustRightInd/>
        <w:snapToGrid w:val="0"/>
        <w:spacing w:before="156" w:beforeLines="50" w:line="240" w:lineRule="auto"/>
        <w:jc w:val="left"/>
        <w:textAlignment w:val="auto"/>
        <w:rPr>
          <w:rFonts w:hint="eastAsia"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kern w:val="0"/>
          <w:sz w:val="21"/>
          <w:szCs w:val="21"/>
          <w:highlight w:val="yellow"/>
        </w:rPr>
        <w:t>A.至少1名具备国家级竞赛经验的资深人员，需提供赛事支持证明材料。</w:t>
      </w:r>
    </w:p>
    <w:p>
      <w:pPr>
        <w:keepNext w:val="0"/>
        <w:keepLines w:val="0"/>
        <w:pageBreakBefore w:val="0"/>
        <w:widowControl w:val="0"/>
        <w:kinsoku/>
        <w:wordWrap/>
        <w:overflowPunct/>
        <w:topLinePunct w:val="0"/>
        <w:autoSpaceDE/>
        <w:autoSpaceDN/>
        <w:bidi w:val="0"/>
        <w:adjustRightInd/>
        <w:snapToGrid w:val="0"/>
        <w:spacing w:before="156" w:beforeLines="50" w:line="240" w:lineRule="auto"/>
        <w:jc w:val="left"/>
        <w:textAlignment w:val="auto"/>
        <w:rPr>
          <w:rFonts w:hint="eastAsia" w:asciiTheme="minorEastAsia" w:hAnsiTheme="minorEastAsia" w:eastAsiaTheme="minorEastAsia" w:cstheme="minorEastAsia"/>
          <w:kern w:val="0"/>
          <w:sz w:val="21"/>
          <w:szCs w:val="21"/>
          <w:highlight w:val="yellow"/>
        </w:rPr>
      </w:pPr>
      <w:r>
        <w:rPr>
          <w:rFonts w:hint="eastAsia" w:asciiTheme="minorEastAsia" w:hAnsiTheme="minorEastAsia" w:eastAsiaTheme="minorEastAsia" w:cstheme="minorEastAsia"/>
          <w:kern w:val="0"/>
          <w:sz w:val="21"/>
          <w:szCs w:val="21"/>
          <w:highlight w:val="yellow"/>
        </w:rPr>
        <w:t>B.至少1名具备世界技能大赛</w:t>
      </w:r>
      <w:r>
        <w:rPr>
          <w:rFonts w:hint="eastAsia" w:asciiTheme="minorEastAsia" w:hAnsiTheme="minorEastAsia" w:eastAsiaTheme="minorEastAsia" w:cstheme="minorEastAsia"/>
          <w:kern w:val="0"/>
          <w:sz w:val="21"/>
          <w:szCs w:val="21"/>
          <w:highlight w:val="yellow"/>
          <w:lang w:val="en-US" w:eastAsia="zh-CN"/>
        </w:rPr>
        <w:t>云计算项目</w:t>
      </w:r>
      <w:r>
        <w:rPr>
          <w:rFonts w:hint="eastAsia" w:asciiTheme="minorEastAsia" w:hAnsiTheme="minorEastAsia" w:eastAsiaTheme="minorEastAsia" w:cstheme="minorEastAsia"/>
          <w:kern w:val="0"/>
          <w:sz w:val="21"/>
          <w:szCs w:val="21"/>
          <w:highlight w:val="yellow"/>
        </w:rPr>
        <w:t>经验的资深人员，需提供赛事支持证明材料。</w:t>
      </w:r>
    </w:p>
    <w:p>
      <w:pPr>
        <w:keepNext w:val="0"/>
        <w:keepLines w:val="0"/>
        <w:pageBreakBefore w:val="0"/>
        <w:widowControl w:val="0"/>
        <w:kinsoku/>
        <w:wordWrap/>
        <w:overflowPunct/>
        <w:topLinePunct w:val="0"/>
        <w:autoSpaceDE/>
        <w:autoSpaceDN/>
        <w:bidi w:val="0"/>
        <w:adjustRightInd/>
        <w:spacing w:after="156" w:afterLines="50" w:line="24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满足条件A的人员与满足条件B的人员可重复。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 微课视频录制要求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A.制作团队人员类别：应包含具备编导、创意编导、拍摄培训、片头策划、专业摄像和灯光等专业能力的人员，即2人及以上的专业团队；</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B.编导职责：与老师深度沟通课程内容，收集整理材料；</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C.创意编导职责：根据课程量身定做创意方案、片花脚本、解说词；</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D.拍摄培训师职责：辅导老师对镜头的适应、引导老师拍出更自然的课程，辅助老师进行着装的选择；</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E. 片头策划职责：根据课程量身策划并制作课程片头10-30秒；</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F. 专业摄像职责：采用高清摄象机、多机位拍摄完成摄像；</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G. 灯光师职责：采用专业影视剧用灯完成录制过程中的灯光控制工作；</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 视频制作技术要求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2.3.3.1拍摄模式要求：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A.单元知识PPT讲解模式：PPT讲解知识点+录制视频或PPT讲解知识点+录音等形式。</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B.实操演示模式：通过实际操作演示、讲解，完成教学过程；</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w:t>
      </w:r>
      <w:r>
        <w:rPr>
          <w:rFonts w:hint="eastAsia" w:asciiTheme="minorEastAsia" w:hAnsiTheme="minorEastAsia" w:eastAsiaTheme="minorEastAsia" w:cstheme="minorEastAsia"/>
          <w:color w:val="000000"/>
          <w:sz w:val="21"/>
          <w:szCs w:val="21"/>
        </w:rPr>
        <w:t>场景实操模式：根据老师课程需求，选择在特定拍摄场地，多机位拍摄；</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2.3.3.2视频质量要求</w:t>
      </w:r>
    </w:p>
    <w:p>
      <w:pPr>
        <w:keepNext w:val="0"/>
        <w:keepLines w:val="0"/>
        <w:pageBreakBefore w:val="0"/>
        <w:widowControl w:val="0"/>
        <w:kinsoku/>
        <w:wordWrap/>
        <w:overflowPunct/>
        <w:topLinePunct w:val="0"/>
        <w:autoSpaceDE/>
        <w:autoSpaceDN/>
        <w:bidi w:val="0"/>
        <w:adjustRightInd/>
        <w:spacing w:line="240" w:lineRule="auto"/>
        <w:ind w:left="105" w:leftChars="50" w:firstLine="315" w:firstLineChars="15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支持通用流媒体视频格式，支持高清、标清、网络播放等视频格式，视频支持AVI、MPEG、MP4、MOV、FLV等主流高清720P、1080P或以上格式。</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2.3.3.3视频内容与结构要求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A.教学任务：包含</w:t>
      </w:r>
      <w:r>
        <w:rPr>
          <w:rFonts w:hint="eastAsia" w:asciiTheme="minorEastAsia" w:hAnsiTheme="minorEastAsia" w:eastAsiaTheme="minorEastAsia" w:cstheme="minorEastAsia"/>
          <w:sz w:val="21"/>
          <w:szCs w:val="21"/>
        </w:rPr>
        <w:t>课程</w:t>
      </w:r>
      <w:r>
        <w:rPr>
          <w:rFonts w:hint="eastAsia" w:asciiTheme="minorEastAsia" w:hAnsiTheme="minorEastAsia" w:eastAsiaTheme="minorEastAsia" w:cstheme="minorEastAsia"/>
          <w:color w:val="000000"/>
          <w:sz w:val="21"/>
          <w:szCs w:val="21"/>
        </w:rPr>
        <w:t>授课、资料阅读、</w:t>
      </w:r>
      <w:r>
        <w:rPr>
          <w:rFonts w:hint="eastAsia" w:asciiTheme="minorEastAsia" w:hAnsiTheme="minorEastAsia" w:eastAsiaTheme="minorEastAsia" w:cstheme="minorEastAsia"/>
          <w:sz w:val="21"/>
          <w:szCs w:val="21"/>
        </w:rPr>
        <w:t>实操演练</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习题</w:t>
      </w:r>
      <w:r>
        <w:rPr>
          <w:rFonts w:hint="eastAsia" w:asciiTheme="minorEastAsia" w:hAnsiTheme="minorEastAsia" w:eastAsiaTheme="minorEastAsia" w:cstheme="minorEastAsia"/>
          <w:color w:val="000000"/>
          <w:sz w:val="21"/>
          <w:szCs w:val="21"/>
        </w:rPr>
        <w:t>作业等各种任务类型，根据需要选择；</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B.视频单元时长：基于知识单元PPT，录制视频讲解相关知识点或案例实操，单个视频时间5～10分钟左右，总计不少于400分钟，视情况决定是否包含动画视频；</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C.知识单元片头：知识单元授课内容之前加上课程片头；</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D.知识单元内容：涵盖知识单元知识点的授课视频、动画视频、资料阅读、实操演练和习题</w:t>
      </w:r>
      <w:r>
        <w:rPr>
          <w:rFonts w:hint="eastAsia" w:asciiTheme="minorEastAsia" w:hAnsiTheme="minorEastAsia" w:eastAsiaTheme="minorEastAsia" w:cstheme="minorEastAsia"/>
          <w:color w:val="000000"/>
          <w:sz w:val="21"/>
          <w:szCs w:val="21"/>
        </w:rPr>
        <w:t>作业</w:t>
      </w:r>
      <w:r>
        <w:rPr>
          <w:rFonts w:hint="eastAsia" w:asciiTheme="minorEastAsia" w:hAnsiTheme="minorEastAsia" w:eastAsiaTheme="minorEastAsia" w:cstheme="minorEastAsia"/>
          <w:sz w:val="21"/>
          <w:szCs w:val="21"/>
        </w:rPr>
        <w:t>等内容。</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后期制作要求</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.1视频处理手段：使用专业编辑系统对源视频进行最基本的处理（如抠像、颜色校正、双声道处理）。使用专业的视频编辑系统进行视频降噪、音频降噪；</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.2片头：使用专业的后期合成软件进行片头设计：用平面设计+后期合成+3D渲染，根据每个课题的内容设计出相关联的内容元素。</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.3课程内容剪辑：技术工程师通篇观看视频，按照章节框架完成课程精准剪辑，剪辑老师状态不佳、口误、出境、停顿等片段。实操部分添加必要的背景音乐。</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.4调色及影视特效包装：使用专业软件完成视频后期调色和影视特效保障。</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.5字幕制作：技术工程师通篇观看视频，对课程进行字幕的速记、校对，制作外挂字幕。</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 .6视频格式转换：所有内容编辑结束之后，生成成片，成品为高清制式。根据学校要求把成品视频转换成高清、标清、网络播放等视频格式。例如：AVI、MPEG、MP4、MOV、FLV等格式；720P、1080P等分辨率。</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2.3.4.7 后期修改：根据老师要求对视频、知识点、特效进行修改。</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 后期服务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2.4.1提供免费课程维护服务；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2.4.2课程资源功能检测、效果检测、视频质量审查与修改；</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2.4.3中标人提供自合同验收之日起2年的售后服务。</w:t>
      </w:r>
    </w:p>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 版权</w:t>
      </w:r>
    </w:p>
    <w:p>
      <w:pPr>
        <w:keepNext w:val="0"/>
        <w:keepLines w:val="0"/>
        <w:pageBreakBefore w:val="0"/>
        <w:widowControl w:val="0"/>
        <w:kinsoku/>
        <w:wordWrap/>
        <w:overflowPunct/>
        <w:topLinePunct w:val="0"/>
        <w:autoSpaceDE/>
        <w:autoSpaceDN/>
        <w:bidi w:val="0"/>
        <w:adjustRightIn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成的所有课程资源知识产权和使用权归采购人所有。用于本课程制作及展示的内容如需要使用第三方知识产权的，应取得权利人许可或者授权并由投标人承担费用。投标人保证不存在侵犯第三方合法权益（包括但不限于著作权、商标权、专利权等知识产权和物权等）的情形。如果任何第三方提出侵权指控，投标人须与该第三方交涉并承担由此发生的一切责任、费用和赔偿。</w:t>
      </w:r>
    </w:p>
    <w:p>
      <w:pPr>
        <w:spacing w:line="580" w:lineRule="exact"/>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b/>
          <w:sz w:val="24"/>
        </w:rPr>
      </w:pPr>
    </w:p>
    <w:p>
      <w:pPr>
        <w:rPr>
          <w:b/>
          <w:sz w:val="24"/>
        </w:rPr>
      </w:pPr>
    </w:p>
    <w:p>
      <w:pPr>
        <w:pStyle w:val="6"/>
        <w:spacing w:before="120" w:beforeLines="50" w:after="120" w:afterLines="50"/>
        <w:rPr>
          <w:szCs w:val="24"/>
        </w:rPr>
      </w:pPr>
      <w:r>
        <w:rPr>
          <w:rFonts w:hint="eastAsia"/>
          <w:szCs w:val="24"/>
        </w:rPr>
        <w:t>六、商务要求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（一）服务期：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1.2024年12月</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日前完成交付。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2.后期服务：见上述2.4之约定：中标人提供自合同验收之日起2年的售后服务。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（二）交付要求：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项目结束，中标人需交付满足项目需求的课程教案、单元课程PPT、课程实操案例以及微课视频等，具体要求见上述2.1、2.2 、2.3。</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（三）报价要求：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2.投标供应商应当根据本企业的成本自行决定报价，但不得以低于其企业成本的报价投标。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3.投标供应商的报价不得超过项目预算金额。</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4.投标供应商的报价，应当是本项目采购范围和采购文件及合同条款上所列的各项内容中所述的全部，不得以任何理由予以重复。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6.投标供应商应先到项目地点踏勘以充分了解项目的位置、情况、道路及任何其它足以影响投标报价的情况，任何因忽视或误解项目情况而导致的索赔或服务期限延长申请将不获批准。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7.投标供应商不得期望通过索赔等方式获取补偿，否则，除可能遭到拒绝外，还可能将被作为不良行为记录在案，并可能影响其以后参加政府采购的项目投标。各投标供应商在报价时，应充分考虑报价的风险。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（四）付款方式：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项目完成并验收合格后1</w:t>
      </w:r>
      <w:r>
        <w:rPr>
          <w:rFonts w:hint="eastAsia" w:asciiTheme="minorEastAsia" w:hAnsiTheme="minorEastAsia" w:eastAsiaTheme="minorEastAsia" w:cstheme="minorEastAsia"/>
          <w:sz w:val="21"/>
          <w:szCs w:val="21"/>
          <w:highlight w:val="none"/>
          <w:lang w:val="en-US" w:eastAsia="zh-CN"/>
        </w:rPr>
        <w:t>0</w:t>
      </w:r>
      <w:r>
        <w:rPr>
          <w:rFonts w:hint="eastAsia" w:asciiTheme="minorEastAsia" w:hAnsiTheme="minorEastAsia" w:eastAsiaTheme="minorEastAsia" w:cstheme="minorEastAsia"/>
          <w:sz w:val="21"/>
          <w:szCs w:val="21"/>
          <w:highlight w:val="none"/>
        </w:rPr>
        <w:t>个</w:t>
      </w:r>
      <w:r>
        <w:rPr>
          <w:rFonts w:hint="eastAsia" w:asciiTheme="minorEastAsia" w:hAnsiTheme="minorEastAsia" w:eastAsiaTheme="minorEastAsia" w:cstheme="minorEastAsia"/>
          <w:sz w:val="21"/>
          <w:szCs w:val="21"/>
          <w:highlight w:val="none"/>
          <w:lang w:val="en-US" w:eastAsia="zh-CN"/>
        </w:rPr>
        <w:t>工作</w:t>
      </w:r>
      <w:r>
        <w:rPr>
          <w:rFonts w:hint="eastAsia" w:asciiTheme="minorEastAsia" w:hAnsiTheme="minorEastAsia" w:eastAsiaTheme="minorEastAsia" w:cstheme="minorEastAsia"/>
          <w:sz w:val="21"/>
          <w:szCs w:val="21"/>
          <w:highlight w:val="none"/>
        </w:rPr>
        <w:t>日内一次性付清款项。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（五）违约责任：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乙方未在约定期限内提交服务成果的，每逾期1日按照合同总额5‰向甲方支付逾期违约金。乙方逾期超过10日，甲方有权要求乙方按合同总额10%支付违约金，并有权解除合同，要求乙方返还甲方已支付的合同款项。若因此造成甲方损失的，乙方应承担相应的赔偿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乙方交付的成果经验收不合格，甲方要求整改后再次验收不合格的，甲方有权要求乙方按合同总额10%支付违约金，并有权解除合同，要求乙方返还甲方已支付的合同款项。若因此造成甲方损失的，乙方应承担相应的赔偿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乙方指派的人员不能胜任甲方工作，经两次另行指派仍然不符合甲方要求的，甲方有权要求乙方按合同总额10%支付违约金，并有权解除合同，要求乙方返还甲方已支付的合同款项。若因此造成甲方损失的，乙方应承担相应的赔偿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因乙方提供的服务成果受到侵权指控或者引发法律纠纷，影响甲方使用服务成果或者导致合同目的不能实现的，甲方有权要求乙方按合同总额10%支付违约金，并有权解除合同，要求乙方返还甲方已支付的合同款项。若因此造成甲方损失的，乙方应承担相应的赔偿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乙方违反合同约定，擅自将合同义务的全部或者部分转让给第三人的，甲方有权要求乙方按合同总额10%支付违约金，并有权解除合同，要求乙方返还甲方已支付的合同款项。若因此造成甲方损失的，乙方应承担相应的赔偿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6.乙方或其工作人员违反本合同约定的保密义务，甲方有权要求乙方按合同总额10%支付违约金；造成不良影响或对甲方造成损失的，甲方有权要求乙方消除影响，承担赔偿责任，并有权解除合同。乙方与甲方另行签订本项目《保密协议》的，其中就违反保密义务的责任亦有约定的，视为本条的补充条款，两者可同时适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7.合同任何一方明确表示或者以其行为表明不履行合同主要义务，或无正当理由擅自解除合同的，应当向另一方支付合同总额10%违约金。若因此造成另一方损失的，应承担相应的赔偿责任。</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8.如果乙方破产导致合同无法履行的，甲方可以解除合同且不按照本合同支付乙方违约金以及给予乙方其他任何补偿和赔偿，但合同的解除不影响甲方任何要求乙方支付违约金、赔偿损失等的权利。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9.本合同约定的违约金总额不超过合同总额的30%。乙方的赔偿范围还应包括甲方直接损失及间接损失、公证费、担保费、律师费、诉讼费、仲裁费、鉴定费等全部款项。</w:t>
      </w:r>
    </w:p>
    <w:p>
      <w:pPr>
        <w:rPr>
          <w:b/>
          <w:sz w:val="24"/>
        </w:rPr>
      </w:pPr>
    </w:p>
    <w:p>
      <w:pPr>
        <w:pStyle w:val="78"/>
        <w:spacing w:before="156" w:beforeLines="50" w:after="156" w:afterLines="50" w:line="360" w:lineRule="auto"/>
        <w:rPr>
          <w:rFonts w:hint="eastAsia" w:ascii="宋体" w:hAnsi="宋体" w:eastAsia="宋体" w:cs="宋体"/>
          <w:spacing w:val="10"/>
          <w:sz w:val="24"/>
          <w:szCs w:val="24"/>
        </w:rPr>
      </w:pPr>
    </w:p>
    <w:p>
      <w:pPr>
        <w:pStyle w:val="6"/>
        <w:spacing w:before="120" w:beforeLines="50" w:after="120" w:afterLines="50"/>
        <w:rPr>
          <w:szCs w:val="24"/>
        </w:rPr>
      </w:pPr>
      <w:r>
        <w:rPr>
          <w:rFonts w:hint="eastAsia"/>
          <w:szCs w:val="24"/>
        </w:rPr>
        <w:t>八、其他重要条款</w:t>
      </w:r>
    </w:p>
    <w:p>
      <w:pPr>
        <w:ind w:firstLine="420" w:firstLineChars="200"/>
        <w:rPr>
          <w:bCs/>
          <w:szCs w:val="21"/>
        </w:rPr>
      </w:pPr>
      <w:bookmarkStart w:id="35" w:name="_Hlk72257111"/>
      <w:r>
        <w:rPr>
          <w:rFonts w:hint="eastAsia"/>
          <w:bCs/>
          <w:szCs w:val="21"/>
        </w:rPr>
        <w:t>1</w:t>
      </w:r>
      <w:r>
        <w:rPr>
          <w:rFonts w:hint="eastAsia"/>
          <w:bCs/>
          <w:szCs w:val="21"/>
          <w:lang w:val="en-US" w:eastAsia="zh-CN"/>
        </w:rPr>
        <w:t>.</w:t>
      </w:r>
      <w:r>
        <w:rPr>
          <w:rFonts w:hint="eastAsia"/>
          <w:bCs/>
          <w:szCs w:val="21"/>
        </w:rPr>
        <w:t>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lang w:val="en-US" w:eastAsia="zh-CN"/>
        </w:rPr>
        <w:t>.</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lang w:val="en-US" w:eastAsia="zh-CN"/>
        </w:rPr>
        <w:t>.</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lang w:val="en-US" w:eastAsia="zh-CN"/>
        </w:rPr>
        <w:t>.</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lang w:val="en-US" w:eastAsia="zh-CN"/>
        </w:rPr>
        <w:t>.</w:t>
      </w:r>
      <w:r>
        <w:rPr>
          <w:rFonts w:hint="eastAsia"/>
          <w:bCs/>
          <w:szCs w:val="21"/>
        </w:rPr>
        <w:t>除采购合同继续履行将损害国家利益和社会公共利益外，双方当事人不得擅自变更、中止或者终止合同。</w:t>
      </w:r>
      <w:bookmarkEnd w:id="35"/>
      <w:r>
        <w:br w:type="page"/>
      </w:r>
    </w:p>
    <w:p>
      <w:pPr>
        <w:pStyle w:val="6"/>
        <w:rPr>
          <w:rFonts w:hint="eastAsia" w:eastAsia="宋体"/>
          <w:b/>
          <w:bCs/>
          <w:sz w:val="28"/>
          <w:szCs w:val="28"/>
          <w:lang w:eastAsia="zh-CN"/>
        </w:rPr>
      </w:pPr>
      <w:r>
        <w:rPr>
          <w:rFonts w:hint="eastAsia"/>
          <w:b/>
          <w:bCs/>
          <w:sz w:val="28"/>
          <w:szCs w:val="28"/>
        </w:rPr>
        <w:t xml:space="preserve">第四章 </w:t>
      </w:r>
      <w:r>
        <w:rPr>
          <w:rFonts w:hint="eastAsia"/>
          <w:b/>
          <w:bCs/>
          <w:sz w:val="28"/>
          <w:szCs w:val="28"/>
          <w:lang w:eastAsia="zh-CN"/>
        </w:rPr>
        <w:t>投标文件组成要求及格式</w:t>
      </w:r>
    </w:p>
    <w:p>
      <w:pPr>
        <w:rPr>
          <w:rStyle w:val="63"/>
          <w:sz w:val="24"/>
        </w:rPr>
      </w:pPr>
      <w:r>
        <w:rPr>
          <w:rStyle w:val="63"/>
          <w:rFonts w:hint="eastAsia"/>
          <w:sz w:val="24"/>
        </w:rPr>
        <w:t>特别提醒：</w:t>
      </w:r>
    </w:p>
    <w:p>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2、投标文件正文（信息公开部分）必须编制于“正文（公开部分）”部分，投标文件附件（非信息公开部分）必须编制于“附件（不公开部分）”部分。</w:t>
      </w:r>
    </w:p>
    <w:p>
      <w:pPr>
        <w:tabs>
          <w:tab w:val="left" w:pos="1470"/>
        </w:tabs>
        <w:snapToGrid w:val="0"/>
        <w:spacing w:line="320" w:lineRule="atLeast"/>
        <w:ind w:firstLine="482" w:firstLineChars="200"/>
        <w:rPr>
          <w:rFonts w:hint="eastAsia" w:ascii="宋体" w:hAnsi="宋体" w:cs="宋体"/>
          <w:b/>
          <w:color w:val="FF0000"/>
          <w:sz w:val="24"/>
        </w:rPr>
      </w:pPr>
      <w:r>
        <w:rPr>
          <w:rFonts w:hint="eastAsia" w:ascii="宋体" w:hAnsi="宋体" w:cs="宋体"/>
          <w:b/>
          <w:color w:val="FF0000"/>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widowControl/>
        <w:jc w:val="left"/>
        <w:rPr>
          <w:rFonts w:ascii="宋体" w:hAnsi="宋体"/>
          <w:sz w:val="24"/>
        </w:rPr>
      </w:pPr>
    </w:p>
    <w:p>
      <w:pPr>
        <w:rPr>
          <w:rFonts w:ascii="宋体" w:hAnsi="宋体"/>
          <w:b/>
          <w:bCs/>
          <w:sz w:val="24"/>
        </w:rPr>
      </w:pPr>
      <w:r>
        <w:rPr>
          <w:rFonts w:hint="eastAsia" w:ascii="宋体" w:hAnsi="宋体"/>
          <w:b/>
          <w:bCs/>
          <w:sz w:val="24"/>
        </w:rPr>
        <w:t>投标文件组成：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w:t>
      </w:r>
      <w:bookmarkStart w:id="36" w:name="_Hlk72070784"/>
      <w:r>
        <w:rPr>
          <w:rFonts w:hint="eastAsia"/>
          <w:szCs w:val="21"/>
        </w:rPr>
        <w:t>投标函</w:t>
      </w:r>
      <w:bookmarkEnd w:id="36"/>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eastAsia="宋体"/>
          <w:szCs w:val="21"/>
          <w:lang w:eastAsia="zh-CN"/>
        </w:rPr>
      </w:pPr>
      <w:r>
        <w:rPr>
          <w:rFonts w:hint="eastAsia"/>
          <w:szCs w:val="21"/>
        </w:rPr>
        <w:t>（2）</w:t>
      </w:r>
      <w:r>
        <w:rPr>
          <w:rFonts w:hint="eastAsia"/>
          <w:szCs w:val="21"/>
          <w:lang w:eastAsia="zh-CN"/>
        </w:rPr>
        <w:t>采购投标及履约承诺函</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w:t>
      </w:r>
      <w:r>
        <w:rPr>
          <w:szCs w:val="21"/>
        </w:rPr>
        <w:t>3</w:t>
      </w:r>
      <w:r>
        <w:rPr>
          <w:rFonts w:hint="eastAsia"/>
          <w:szCs w:val="21"/>
        </w:rPr>
        <w:t>）投标人情况及资格证明文件</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rPr>
      </w:pPr>
      <w:bookmarkStart w:id="37" w:name="_Hlk72257201"/>
      <w:r>
        <w:rPr>
          <w:rFonts w:hint="eastAsia"/>
          <w:szCs w:val="21"/>
        </w:rPr>
        <w:t>（</w:t>
      </w:r>
      <w:r>
        <w:rPr>
          <w:szCs w:val="21"/>
        </w:rPr>
        <w:t>4</w:t>
      </w:r>
      <w:r>
        <w:rPr>
          <w:rFonts w:hint="eastAsia"/>
          <w:szCs w:val="21"/>
        </w:rPr>
        <w:t>）项目详细报价</w:t>
      </w:r>
      <w:bookmarkEnd w:id="37"/>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（1）法定代表人（负责人）证明书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（2）投标文件签署授权委托书</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（3）实质性条款响应情况表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（4）实施方案</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（5）服务需求条款响应一览表</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（6）违约承诺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szCs w:val="21"/>
          <w:lang w:bidi="ar"/>
        </w:rPr>
      </w:pPr>
      <w:r>
        <w:rPr>
          <w:rFonts w:hint="eastAsia" w:ascii="Times New Roman" w:hAnsi="Times New Roman" w:eastAsia="宋体" w:cs="Times New Roman"/>
          <w:szCs w:val="21"/>
        </w:rPr>
        <w:t>（7）拟安排的项目负责人情况（仅限一人）</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（8）</w:t>
      </w:r>
      <w:bookmarkStart w:id="112" w:name="_GoBack"/>
      <w:r>
        <w:rPr>
          <w:rFonts w:hint="eastAsia" w:ascii="Times New Roman" w:hAnsi="Times New Roman" w:eastAsia="宋体" w:cs="Times New Roman"/>
          <w:szCs w:val="21"/>
        </w:rPr>
        <w:t>拟安排的项目主要团队成员（主要技术人员）情况（项目负责人除外）</w:t>
      </w:r>
    </w:p>
    <w:bookmarkEnd w:id="112"/>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cs="Times New Roman"/>
          <w:szCs w:val="21"/>
          <w:lang w:val="en-US" w:eastAsia="zh-CN"/>
        </w:rPr>
        <w:t>0</w:t>
      </w:r>
      <w:r>
        <w:rPr>
          <w:rFonts w:hint="eastAsia" w:ascii="Times New Roman" w:hAnsi="Times New Roman" w:eastAsia="宋体" w:cs="Times New Roman"/>
          <w:szCs w:val="21"/>
        </w:rPr>
        <w:t>）投标人认为需要加以说明的其他内容（格式自定）</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38"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39" w:name="_Hlk72263588"/>
      <w:r>
        <w:rPr>
          <w:rFonts w:hint="eastAsia"/>
          <w:szCs w:val="21"/>
        </w:rPr>
        <w:t>愿意按照招标文件要求承包上述项目并修补其任何缺陷。</w:t>
      </w:r>
      <w:bookmarkEnd w:id="39"/>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3、如果我单位中标，我单位将按照招标文件的要求提交履约担保。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6、我单位理解贵单位将不受必须接受所收到的最低报价或其它任何投标文件的约束。</w:t>
      </w:r>
      <w:bookmarkEnd w:id="38"/>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4"/>
        <w:jc w:val="center"/>
        <w:rPr>
          <w:rFonts w:ascii="黑体" w:eastAsia="黑体"/>
          <w:b w:val="0"/>
          <w:kern w:val="0"/>
          <w:sz w:val="24"/>
        </w:rPr>
      </w:pPr>
      <w:r>
        <w:rPr>
          <w:rFonts w:hint="eastAsia" w:ascii="黑体" w:eastAsia="黑体"/>
          <w:b w:val="0"/>
          <w:kern w:val="0"/>
          <w:sz w:val="24"/>
        </w:rPr>
        <w:t>二、采购投标及履约承诺函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highlight w:val="yellow"/>
        </w:rPr>
      </w:pPr>
      <w:r>
        <w:rPr>
          <w:rFonts w:hint="eastAsia" w:ascii="宋体" w:hAnsi="宋体"/>
          <w:szCs w:val="21"/>
        </w:rPr>
        <w:t>2.我单位参与本项目</w:t>
      </w:r>
      <w:r>
        <w:rPr>
          <w:rFonts w:hint="eastAsia"/>
        </w:rPr>
        <w:t>采购活动时不存在被有关部门禁止参与政府采购活动且在有效期内的情况。</w:t>
      </w:r>
      <w:r>
        <w:rPr>
          <w:rFonts w:hint="eastAsia"/>
          <w:highlight w:val="yellow"/>
        </w:rPr>
        <w:t>符合招标文件关于联合体及进口产品的相关资格要求。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highlight w:val="yellow"/>
        </w:rPr>
        <w:t>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highlight w:val="yellow"/>
          <w:lang w:val="en-US"/>
        </w:rPr>
      </w:pPr>
      <w:r>
        <w:rPr>
          <w:rFonts w:hint="eastAsia" w:ascii="宋体" w:hAnsi="宋体"/>
          <w:b w:val="0"/>
          <w:bCs/>
          <w:sz w:val="21"/>
          <w:highlight w:val="yellow"/>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ascii="宋体" w:hAnsi="宋体"/>
          <w:szCs w:val="21"/>
        </w:rPr>
      </w:pP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w:t>
      </w:r>
      <w:r>
        <w:rPr>
          <w:rFonts w:hint="eastAsia"/>
          <w:b/>
          <w:bCs/>
          <w:color w:val="FF0000"/>
          <w:lang w:eastAsia="zh-CN"/>
        </w:rPr>
        <w:t>投标人的资格要求</w:t>
      </w:r>
      <w:r>
        <w:rPr>
          <w:rFonts w:hint="eastAsia"/>
          <w:b/>
          <w:bCs/>
          <w:color w:val="FF0000"/>
        </w:rPr>
        <w:t>”（即投标人资格要求）提供相关的资格证明资料，未提供或提供不完整、不符合要求的，将作投标无效处理，其中要求提供</w:t>
      </w:r>
      <w:r>
        <w:rPr>
          <w:rFonts w:hint="eastAsia"/>
          <w:b/>
          <w:bCs/>
          <w:color w:val="FF0000"/>
          <w:highlight w:val="yellow"/>
        </w:rPr>
        <w:t>《采购投标及履约承诺函》</w:t>
      </w:r>
      <w:r>
        <w:rPr>
          <w:rFonts w:hint="eastAsia"/>
          <w:b/>
          <w:bCs/>
          <w:color w:val="FF0000"/>
        </w:rPr>
        <w:t>且已在“二、采购投标及履约承诺函”章节中提供了，此处可不重复提供。）</w:t>
      </w:r>
    </w:p>
    <w:p>
      <w:pPr>
        <w:ind w:firstLine="0" w:firstLineChars="0"/>
        <w:outlineLvl w:val="9"/>
      </w:pPr>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填写指引：</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2、该部分内容填写需要参考的相关文件：</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(1)财政部《政府采购促进中小企业发展管理办法》（财库〔2020〕46号）</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(2)</w:t>
      </w:r>
      <w:bookmarkStart w:id="40" w:name="_Hlk71925120"/>
      <w:r>
        <w:rPr>
          <w:rFonts w:hint="eastAsia" w:ascii="黑体" w:hAnsi="黑体" w:eastAsia="黑体" w:cs="黑体"/>
          <w:color w:val="FF0000"/>
        </w:rPr>
        <w:t>《工业和信息化部、国家统计局、国家发展和改革委员会、财政部关于印发中小企业划型标准规定的通知》（工信部联企业〔2011〕300 号</w:t>
      </w:r>
      <w:bookmarkEnd w:id="40"/>
      <w:r>
        <w:rPr>
          <w:rFonts w:hint="eastAsia" w:ascii="黑体" w:hAnsi="黑体" w:eastAsia="黑体" w:cs="黑体"/>
          <w:color w:val="FF0000"/>
        </w:rPr>
        <w:t>，以下简称300号文）</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(3)《统计上大中小微型企业划分办法(2017)》（国统字〔2017〕213 号）</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(4)《关于促进残疾人就业政府采购政策的通知》（财库〔2017〕141号）</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(5)《关于政府采购支持监狱企业发展有关问题的通知》（财库〔2014〕68号）</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3、请依照提供的格式和内容填写声明函，不要随意变更格式；声明函不需要盖章或签字；满足多项优惠政策的投标人，不重复享受多项价格扣除政策。</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4、声明函具体填写要求：</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（1）声明是中小企业须填写《中小企业声明函》的以下内容：</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第一处，在“单位名称”下划线处如实填写采购人名称（深圳公共资源交易中心不是本项目的采购人，而是组织实施机构）；</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第二处，在“项目名称”下划线处如实填写采购项目名称；</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第四处，在“招标文件中明确的所属行业”下划线处填写采购标的对应的中小企业划分标准所属行业（所属行业可在招标文件第一册第二章“对通用条款的补充内容及其他关键信息”章节查看）；</w:t>
      </w:r>
    </w:p>
    <w:p>
      <w:pPr>
        <w:ind w:firstLine="420" w:firstLineChars="200"/>
        <w:outlineLvl w:val="9"/>
        <w:rPr>
          <w:rFonts w:hint="eastAsia" w:ascii="黑体" w:hAnsi="黑体" w:eastAsia="黑体" w:cs="黑体"/>
          <w:color w:val="FF0000"/>
          <w:lang w:eastAsia="zh-CN"/>
        </w:rPr>
      </w:pPr>
      <w:r>
        <w:rPr>
          <w:rFonts w:hint="eastAsia" w:ascii="黑体" w:hAnsi="黑体" w:eastAsia="黑体" w:cs="黑体"/>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黑体" w:eastAsia="黑体" w:cs="黑体"/>
          <w:color w:val="FF0000"/>
          <w:lang w:val="en-US" w:eastAsia="zh-CN"/>
        </w:rPr>
        <w:t>供应商</w:t>
      </w:r>
      <w:r>
        <w:rPr>
          <w:rFonts w:hint="eastAsia" w:ascii="黑体" w:hAnsi="黑体" w:eastAsia="黑体" w:cs="黑体"/>
          <w:color w:val="FF0000"/>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黑体" w:eastAsia="黑体" w:cs="黑体"/>
          <w:color w:val="FF0000"/>
          <w:lang w:eastAsia="zh-CN"/>
        </w:rPr>
        <w:t>。</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（2）声明是残疾人福利性单位须填写《残疾人福利性单位声明函》的相关内容，具体参照以上《中小企业声明函》填写要求执行。</w:t>
      </w:r>
    </w:p>
    <w:p>
      <w:pPr>
        <w:ind w:firstLine="420" w:firstLineChars="200"/>
        <w:outlineLvl w:val="9"/>
        <w:rPr>
          <w:rFonts w:hint="eastAsia" w:ascii="黑体" w:hAnsi="黑体" w:eastAsia="黑体" w:cs="黑体"/>
          <w:color w:val="FF0000"/>
        </w:rPr>
      </w:pPr>
      <w:r>
        <w:rPr>
          <w:rFonts w:hint="eastAsia" w:ascii="黑体" w:hAnsi="黑体" w:eastAsia="黑体" w:cs="黑体"/>
          <w:color w:val="FF0000"/>
        </w:rPr>
        <w:t>（3）声明是监狱企业须填写《监狱企业声明函》的三项内容（填写位置的字体已加粗），具体参照以上《中小企业声明函》填写要求执行。</w:t>
      </w:r>
    </w:p>
    <w:p>
      <w:pPr>
        <w:ind w:firstLine="420" w:firstLineChars="200"/>
        <w:rPr>
          <w:rFonts w:hint="eastAsia" w:ascii="黑体" w:hAnsi="黑体" w:eastAsia="黑体" w:cs="黑体"/>
          <w:color w:val="FF0000"/>
        </w:rPr>
      </w:pPr>
      <w:r>
        <w:rPr>
          <w:rFonts w:hint="eastAsia" w:ascii="黑体" w:hAnsi="黑体" w:eastAsia="黑体" w:cs="黑体"/>
          <w:color w:val="FF0000"/>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41"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1"/>
    </w:p>
    <w:p>
      <w:pPr>
        <w:ind w:firstLine="420" w:firstLineChars="200"/>
      </w:pPr>
    </w:p>
    <w:p>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 xml:space="preserve">……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hint="eastAsia" w:ascii="宋体" w:hAnsi="宋体"/>
          <w:szCs w:val="21"/>
        </w:rPr>
        <w:t>附：省级以上监狱管理局、戒毒管理局（含新疆生产建设兵团）出具的监狱企业证明文件。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p>
    <w:p>
      <w:pPr>
        <w:ind w:left="723" w:hanging="723" w:hangingChars="300"/>
        <w:rPr>
          <w:b/>
          <w:sz w:val="24"/>
        </w:rPr>
      </w:pPr>
    </w:p>
    <w:p>
      <w:pPr>
        <w:pStyle w:val="4"/>
        <w:jc w:val="center"/>
        <w:rPr>
          <w:rFonts w:ascii="黑体" w:eastAsia="黑体"/>
          <w:b w:val="0"/>
          <w:sz w:val="24"/>
          <w:szCs w:val="24"/>
        </w:rPr>
      </w:pPr>
      <w:r>
        <w:rPr>
          <w:rFonts w:hint="eastAsia" w:ascii="黑体" w:eastAsia="黑体"/>
          <w:b w:val="0"/>
          <w:sz w:val="24"/>
          <w:szCs w:val="24"/>
        </w:rPr>
        <w:t>四、项目详细报价</w:t>
      </w:r>
    </w:p>
    <w:p>
      <w:pPr>
        <w:pStyle w:val="35"/>
      </w:pPr>
    </w:p>
    <w:p>
      <w:pPr>
        <w:pStyle w:val="35"/>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深圳技师学院世界技能大赛云计算项目专业资源库课程建设</w:t>
            </w:r>
          </w:p>
        </w:tc>
        <w:tc>
          <w:tcPr>
            <w:tcW w:w="2625" w:type="dxa"/>
            <w:tcBorders>
              <w:top w:val="single" w:color="auto" w:sz="4" w:space="0"/>
            </w:tcBorders>
            <w:vAlign w:val="center"/>
          </w:tcPr>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ind w:left="632" w:hanging="632" w:hangingChars="300"/>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w:t>
      </w:r>
      <w:r>
        <w:rPr>
          <w:rFonts w:hint="eastAsia" w:ascii="宋体" w:hAnsi="宋体"/>
          <w:color w:val="0000FF"/>
          <w:kern w:val="0"/>
          <w:szCs w:val="21"/>
          <w:lang w:val="en-US" w:eastAsia="zh-CN"/>
        </w:rPr>
        <w:t>无效</w:t>
      </w:r>
      <w:r>
        <w:rPr>
          <w:rFonts w:hint="eastAsia" w:ascii="宋体" w:hAnsi="宋体"/>
          <w:color w:val="0000FF"/>
          <w:kern w:val="0"/>
          <w:szCs w:val="21"/>
        </w:rPr>
        <w:t>。</w:t>
      </w:r>
    </w:p>
    <w:p>
      <w:pPr>
        <w:tabs>
          <w:tab w:val="left" w:pos="720"/>
        </w:tabs>
        <w:jc w:val="both"/>
        <w:rPr>
          <w:rFonts w:hint="eastAsia"/>
          <w:b/>
          <w:sz w:val="24"/>
        </w:rPr>
      </w:pPr>
    </w:p>
    <w:p>
      <w:pPr>
        <w:tabs>
          <w:tab w:val="left" w:pos="720"/>
        </w:tabs>
        <w:jc w:val="center"/>
        <w:rPr>
          <w:rFonts w:hint="eastAsia"/>
          <w:b/>
          <w:sz w:val="24"/>
        </w:rPr>
      </w:pPr>
    </w:p>
    <w:p>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pPr>
        <w:rPr>
          <w:b/>
          <w:bCs/>
        </w:rPr>
      </w:pPr>
    </w:p>
    <w:p>
      <w:pPr>
        <w:ind w:firstLine="1446" w:firstLineChars="600"/>
        <w:rPr>
          <w:b/>
          <w:color w:val="FF0000"/>
          <w:sz w:val="24"/>
        </w:rPr>
      </w:pPr>
      <w:r>
        <w:rPr>
          <w:rFonts w:hint="eastAsia"/>
          <w:b/>
          <w:color w:val="FF0000"/>
          <w:sz w:val="24"/>
        </w:rPr>
        <w:t>（信息公开部分的内容到此为止！以下为信息不公开部分。）</w:t>
      </w:r>
    </w:p>
    <w:p>
      <w:pPr>
        <w:rPr>
          <w:rFonts w:hint="eastAsia" w:ascii="宋体" w:hAnsi="宋体"/>
          <w:b/>
          <w:color w:val="FF0000"/>
          <w:sz w:val="28"/>
          <w:szCs w:val="28"/>
        </w:rPr>
      </w:pPr>
      <w:r>
        <w:rPr>
          <w:rFonts w:hint="eastAsia" w:ascii="宋体" w:hAnsi="宋体"/>
          <w:b/>
          <w:color w:val="FF0000"/>
          <w:sz w:val="28"/>
          <w:szCs w:val="28"/>
        </w:rPr>
        <w:br w:type="page"/>
      </w: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4"/>
        <w:jc w:val="center"/>
        <w:rPr>
          <w:rFonts w:ascii="黑体" w:eastAsia="黑体"/>
          <w:b w:val="0"/>
          <w:sz w:val="24"/>
        </w:rPr>
      </w:pPr>
      <w:r>
        <w:rPr>
          <w:rFonts w:hint="eastAsia" w:ascii="黑体" w:eastAsia="黑体"/>
          <w:b w:val="0"/>
          <w:sz w:val="24"/>
        </w:rPr>
        <w:t>一、</w:t>
      </w:r>
      <w:bookmarkStart w:id="43" w:name="_Hlk72092499"/>
      <w:r>
        <w:rPr>
          <w:rFonts w:hint="eastAsia" w:ascii="黑体" w:eastAsia="黑体"/>
          <w:b w:val="0"/>
          <w:sz w:val="24"/>
        </w:rPr>
        <w:t>法定代表人（负责人）证明书</w:t>
      </w:r>
      <w:bookmarkEnd w:id="43"/>
    </w:p>
    <w:p>
      <w:pPr>
        <w:rPr>
          <w:sz w:val="24"/>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szCs w:val="21"/>
          <w:lang w:val="en-US" w:eastAsia="zh-CN"/>
        </w:rPr>
      </w:pPr>
      <w:r>
        <w:rPr>
          <w:rFonts w:hint="eastAsia"/>
          <w:szCs w:val="21"/>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特此证明。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说明：1、法定代表人为投标人（企业事业单位、国家机关、社会团体）的主要行政负责人。</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20" w:firstLineChars="200"/>
        <w:textAlignment w:val="auto"/>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20" w:firstLineChars="200"/>
        <w:textAlignment w:val="auto"/>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证件扫描件正面</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426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证件扫描件反面</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vertAlign w:val="baseline"/>
                <w:lang w:val="en-US" w:eastAsia="zh-CN"/>
              </w:rPr>
            </w:pPr>
          </w:p>
        </w:tc>
      </w:tr>
    </w:tbl>
    <w:p>
      <w:pPr>
        <w:ind w:firstLine="480" w:firstLineChars="200"/>
        <w:rPr>
          <w:sz w:val="24"/>
        </w:rPr>
      </w:pPr>
    </w:p>
    <w:p>
      <w:pPr>
        <w:rPr>
          <w:b/>
          <w:bCs/>
          <w:sz w:val="24"/>
        </w:rPr>
      </w:pPr>
    </w:p>
    <w:p>
      <w:pPr>
        <w:pStyle w:val="4"/>
        <w:spacing w:before="120" w:after="120"/>
        <w:jc w:val="center"/>
        <w:rPr>
          <w:rFonts w:ascii="黑体" w:eastAsia="黑体"/>
          <w:b w:val="0"/>
          <w:sz w:val="24"/>
        </w:rPr>
      </w:pPr>
      <w:r>
        <w:rPr>
          <w:rFonts w:hint="eastAsia" w:ascii="黑体" w:eastAsia="黑体"/>
          <w:b w:val="0"/>
          <w:sz w:val="24"/>
        </w:rPr>
        <w:t>二、投标文件签署授权委托书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代理人无转委托权，特此委托。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p>
      <w:pPr>
        <w:pStyle w:val="2"/>
        <w:numPr>
          <w:ilvl w:val="0"/>
          <w:numId w:val="15"/>
        </w:numPr>
        <w:ind w:left="600" w:leftChars="0" w:firstLine="0" w:firstLineChars="0"/>
        <w:rPr>
          <w:rFonts w:hint="eastAsia" w:ascii="Times New Roman" w:hAnsi="Times New Roman" w:eastAsia="宋体" w:cs="Times New Roman"/>
          <w:b/>
          <w:bCs w:val="0"/>
          <w:color w:val="FF0000"/>
          <w:kern w:val="2"/>
          <w:sz w:val="21"/>
          <w:szCs w:val="21"/>
          <w:highlight w:val="yellow"/>
          <w:lang w:val="en-US" w:eastAsia="zh-CN" w:bidi="ar-SA"/>
        </w:rPr>
      </w:pPr>
      <w:r>
        <w:rPr>
          <w:rFonts w:hint="eastAsia" w:ascii="Times New Roman" w:hAnsi="Times New Roman" w:eastAsia="宋体" w:cs="Times New Roman"/>
          <w:b/>
          <w:bCs w:val="0"/>
          <w:color w:val="FF0000"/>
          <w:kern w:val="2"/>
          <w:sz w:val="21"/>
          <w:szCs w:val="21"/>
          <w:highlight w:val="yellow"/>
          <w:lang w:val="en-US" w:eastAsia="zh-CN" w:bidi="ar-SA"/>
        </w:rPr>
        <w:t>提供</w:t>
      </w:r>
      <w:r>
        <w:rPr>
          <w:rFonts w:hint="eastAsia" w:ascii="Times New Roman" w:hAnsi="Times New Roman" w:eastAsia="宋体" w:cs="Times New Roman"/>
          <w:b/>
          <w:color w:val="FF0000"/>
          <w:kern w:val="2"/>
          <w:sz w:val="21"/>
          <w:szCs w:val="21"/>
          <w:highlight w:val="yellow"/>
          <w:lang w:val="en-US" w:eastAsia="zh-CN" w:bidi="ar-SA"/>
        </w:rPr>
        <w:t>法定代表人</w:t>
      </w:r>
      <w:r>
        <w:rPr>
          <w:rFonts w:hint="eastAsia" w:ascii="Times New Roman" w:hAnsi="Times New Roman" w:eastAsia="宋体" w:cs="Times New Roman"/>
          <w:b/>
          <w:bCs w:val="0"/>
          <w:color w:val="FF0000"/>
          <w:kern w:val="2"/>
          <w:sz w:val="21"/>
          <w:szCs w:val="21"/>
          <w:highlight w:val="yellow"/>
          <w:lang w:val="en-US" w:eastAsia="zh-CN" w:bidi="ar-SA"/>
        </w:rPr>
        <w:t>近一个月的社保证明材料</w:t>
      </w:r>
      <w:r>
        <w:rPr>
          <w:rFonts w:hint="eastAsia" w:cs="Times New Roman"/>
          <w:b/>
          <w:bCs w:val="0"/>
          <w:color w:val="FF0000"/>
          <w:kern w:val="2"/>
          <w:sz w:val="21"/>
          <w:szCs w:val="21"/>
          <w:highlight w:val="yellow"/>
          <w:lang w:val="en-US" w:eastAsia="zh-CN" w:bidi="ar-SA"/>
        </w:rPr>
        <w:t>，以及</w:t>
      </w:r>
      <w:r>
        <w:rPr>
          <w:rFonts w:hint="eastAsia" w:ascii="Times New Roman" w:hAnsi="Times New Roman" w:eastAsia="宋体" w:cs="Times New Roman"/>
          <w:b/>
          <w:bCs w:val="0"/>
          <w:color w:val="FF0000"/>
          <w:kern w:val="2"/>
          <w:sz w:val="21"/>
          <w:szCs w:val="21"/>
          <w:highlight w:val="yellow"/>
          <w:lang w:val="en-US" w:eastAsia="zh-CN" w:bidi="ar-SA"/>
        </w:rPr>
        <w:t>投标人为授权代表缴纳的近一个月的社保证明材料</w:t>
      </w:r>
    </w:p>
    <w:p>
      <w:pPr>
        <w:pStyle w:val="35"/>
        <w:numPr>
          <w:ilvl w:val="0"/>
          <w:numId w:val="15"/>
        </w:numPr>
        <w:ind w:left="600" w:leftChars="0" w:firstLine="0" w:firstLineChars="0"/>
        <w:rPr>
          <w:rFonts w:hint="default" w:ascii="Times New Roman" w:hAnsi="Times New Roman" w:eastAsia="宋体" w:cs="Times New Roman"/>
          <w:b/>
          <w:color w:val="FF0000"/>
          <w:kern w:val="2"/>
          <w:sz w:val="21"/>
          <w:szCs w:val="21"/>
          <w:highlight w:val="yellow"/>
          <w:lang w:val="en-US" w:eastAsia="zh-CN" w:bidi="ar-SA"/>
        </w:rPr>
      </w:pPr>
      <w:r>
        <w:rPr>
          <w:rFonts w:hint="eastAsia" w:ascii="Times New Roman" w:hAnsi="Times New Roman" w:eastAsia="宋体" w:cs="Times New Roman"/>
          <w:b/>
          <w:color w:val="FF0000"/>
          <w:kern w:val="2"/>
          <w:sz w:val="21"/>
          <w:szCs w:val="21"/>
          <w:highlight w:val="yellow"/>
          <w:lang w:val="en-US" w:eastAsia="zh-CN" w:bidi="ar-SA"/>
        </w:rPr>
        <w:t>若供应商成立不足一个月，需提供成立情况说明函（格式自拟），无需提供相关人员社保</w:t>
      </w:r>
    </w:p>
    <w:p>
      <w:pPr>
        <w:pStyle w:val="2"/>
      </w:pP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证件扫描件正面</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4265"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证件扫描件反面</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pPr>
              <w:pStyle w:val="3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vertAlign w:val="baseline"/>
                <w:lang w:val="en-US" w:eastAsia="zh-CN"/>
              </w:rPr>
            </w:pPr>
          </w:p>
        </w:tc>
      </w:tr>
    </w:tbl>
    <w:p>
      <w:pPr>
        <w:pStyle w:val="4"/>
        <w:jc w:val="center"/>
        <w:rPr>
          <w:rFonts w:ascii="黑体" w:eastAsia="黑体"/>
          <w:b w:val="0"/>
          <w:kern w:val="0"/>
          <w:sz w:val="24"/>
          <w:szCs w:val="24"/>
        </w:rPr>
      </w:pPr>
      <w:r>
        <w:rPr>
          <w:rFonts w:hint="eastAsia" w:ascii="黑体" w:eastAsia="黑体"/>
          <w:b w:val="0"/>
          <w:kern w:val="0"/>
          <w:sz w:val="24"/>
          <w:szCs w:val="24"/>
        </w:rPr>
        <w:t>三、</w:t>
      </w:r>
      <w:bookmarkStart w:id="44" w:name="_Hlk72092634"/>
      <w:r>
        <w:rPr>
          <w:rFonts w:hint="eastAsia" w:ascii="黑体" w:eastAsia="黑体"/>
          <w:b w:val="0"/>
          <w:kern w:val="0"/>
          <w:sz w:val="24"/>
          <w:szCs w:val="24"/>
        </w:rPr>
        <w:t>实质性条款响应情况表</w:t>
      </w:r>
      <w:bookmarkEnd w:id="44"/>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5"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rFonts w:hint="eastAsia"/>
          <w:b/>
          <w:sz w:val="24"/>
          <w:szCs w:val="22"/>
        </w:rPr>
      </w:pPr>
      <w:r>
        <w:rPr>
          <w:rFonts w:hint="eastAsia"/>
          <w:b/>
          <w:sz w:val="24"/>
          <w:szCs w:val="22"/>
        </w:rPr>
        <w:t>注：1.上表所列各项均为不可负偏离条款。</w:t>
      </w:r>
    </w:p>
    <w:p>
      <w:pPr>
        <w:ind w:firstLine="482" w:firstLineChars="200"/>
        <w:rPr>
          <w:rFonts w:hint="eastAsia"/>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rFonts w:hint="eastAsia"/>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rFonts w:hint="eastAsia"/>
          <w:b/>
          <w:sz w:val="24"/>
          <w:szCs w:val="22"/>
        </w:rPr>
      </w:pPr>
      <w:r>
        <w:rPr>
          <w:rFonts w:hint="eastAsia"/>
          <w:b/>
          <w:sz w:val="24"/>
          <w:szCs w:val="22"/>
        </w:rPr>
        <w:t>4.评审委员会有权对投标响应情况作出判断（作出评审结论）。</w:t>
      </w:r>
    </w:p>
    <w:p>
      <w:pPr>
        <w:ind w:firstLine="482" w:firstLineChars="200"/>
        <w:rPr>
          <w:rFonts w:hint="eastAsia"/>
          <w:b/>
          <w:sz w:val="24"/>
          <w:szCs w:val="22"/>
        </w:rPr>
      </w:pPr>
      <w:r>
        <w:rPr>
          <w:rFonts w:hint="eastAsia"/>
          <w:b/>
          <w:sz w:val="24"/>
          <w:szCs w:val="22"/>
        </w:rPr>
        <w:t>5.实质性响应条款“投标响应情况”与投标文件其它内容冲突的，以实质性响应条款“投标响应情况”为准。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rPr>
          <w:rFonts w:ascii="黑体" w:hAnsi="宋体" w:eastAsia="黑体"/>
          <w:sz w:val="24"/>
          <w:szCs w:val="20"/>
          <w:highlight w:val="yellow"/>
        </w:rPr>
      </w:pPr>
      <w:r>
        <w:rPr>
          <w:rFonts w:hint="eastAsia" w:ascii="黑体" w:hAnsi="宋体" w:eastAsia="黑体"/>
          <w:sz w:val="24"/>
          <w:szCs w:val="20"/>
          <w:highlight w:val="yellow"/>
        </w:rPr>
        <w:t>四、实施方案</w:t>
      </w:r>
    </w:p>
    <w:p>
      <w:pPr>
        <w:pStyle w:val="8"/>
        <w:ind w:firstLine="0"/>
        <w:rPr>
          <w:rFonts w:asciiTheme="minorEastAsia" w:hAnsiTheme="minorEastAsia" w:eastAsiaTheme="minorEastAsia" w:cstheme="minorEastAsia"/>
          <w:color w:val="FF0000"/>
          <w:sz w:val="24"/>
          <w:highlight w:val="yellow"/>
        </w:rPr>
      </w:pPr>
      <w:r>
        <w:rPr>
          <w:rFonts w:hint="eastAsia" w:asciiTheme="minorEastAsia" w:hAnsiTheme="minorEastAsia" w:eastAsiaTheme="minorEastAsia" w:cstheme="minorEastAsia"/>
          <w:color w:val="FF0000"/>
          <w:sz w:val="24"/>
          <w:highlight w:val="yellow"/>
        </w:rPr>
        <w:t>（特别提示：投标人须按本招标文件评标信息中这一评审因素要求，提供证明资料）</w:t>
      </w:r>
    </w:p>
    <w:p>
      <w:pPr>
        <w:pStyle w:val="8"/>
        <w:ind w:firstLine="0"/>
        <w:rPr>
          <w:rFonts w:asciiTheme="minorEastAsia" w:hAnsiTheme="minorEastAsia" w:eastAsiaTheme="minorEastAsia" w:cstheme="minorEastAsia"/>
          <w:sz w:val="24"/>
          <w:highlight w:val="yellow"/>
        </w:rPr>
      </w:pPr>
    </w:p>
    <w:p>
      <w:pPr>
        <w:pStyle w:val="8"/>
        <w:ind w:firstLine="0"/>
        <w:rPr>
          <w:rFonts w:hint="eastAsia" w:ascii="黑体" w:hAnsi="宋体" w:eastAsia="黑体"/>
          <w:sz w:val="24"/>
          <w:highlight w:val="yellow"/>
        </w:rPr>
      </w:pPr>
      <w:r>
        <w:rPr>
          <w:rFonts w:hint="eastAsia" w:ascii="黑体" w:hAnsi="宋体" w:eastAsia="黑体"/>
          <w:sz w:val="24"/>
          <w:highlight w:val="yellow"/>
        </w:rPr>
        <w:t>五、服务需求条款响应一览表</w:t>
      </w:r>
    </w:p>
    <w:tbl>
      <w:tblPr>
        <w:tblStyle w:val="42"/>
        <w:tblW w:w="522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2"/>
        <w:gridCol w:w="1208"/>
        <w:gridCol w:w="435"/>
        <w:gridCol w:w="696"/>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4"/>
                <w:szCs w:val="24"/>
                <w:u w:val="none"/>
                <w:lang w:val="en-US" w:eastAsia="zh-CN" w:bidi="ar"/>
              </w:rPr>
              <w:t>招标技术要求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投标技术响应</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偏离情况</w:t>
            </w: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2.1 总体要求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7"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围绕世赛云计算项目进行课程具体的开发，根据课程大纲完成包括制作课程教案；制作涵盖不少于80个知识点的单元课程PPT；将世赛云计算真题拆解为课程实操案例，案例题库不少于200道；制作微课视频录制知识讲解及实操演示，视频总时长不少于400分钟。</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 具体要求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2.2.1基于世赛云计算项目，根据课程大纲（见下表），制作课程教案(格式规范的word)和配套的作业习题(格式规范的word)。习题形式包括单选、多选、判断等客观题，</w:t>
            </w:r>
            <w:r>
              <w:rPr>
                <w:rStyle w:val="202"/>
                <w:lang w:val="en-US" w:eastAsia="zh-CN" w:bidi="ar"/>
              </w:rPr>
              <w:t>也可包含主观题</w:t>
            </w:r>
            <w:r>
              <w:rPr>
                <w:rFonts w:hint="eastAsia" w:ascii="宋体" w:hAnsi="宋体" w:eastAsia="宋体" w:cs="宋体"/>
                <w:i w:val="0"/>
                <w:iCs w:val="0"/>
                <w:color w:val="000000"/>
                <w:kern w:val="0"/>
                <w:sz w:val="21"/>
                <w:szCs w:val="21"/>
                <w:u w:val="none"/>
                <w:lang w:val="en-US" w:eastAsia="zh-CN" w:bidi="ar"/>
              </w:rPr>
              <w:t>。</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4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课程大纲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714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646"/>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79"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w:t>
                  </w:r>
                </w:p>
              </w:tc>
              <w:tc>
                <w:tcPr>
                  <w:tcW w:w="1646"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模块名称</w:t>
                  </w:r>
                </w:p>
              </w:tc>
              <w:tc>
                <w:tcPr>
                  <w:tcW w:w="3066" w:type="dxa"/>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模块一</w:t>
                  </w:r>
                </w:p>
              </w:tc>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世赛云计算项目介绍</w:t>
                  </w:r>
                </w:p>
              </w:tc>
              <w:tc>
                <w:tcPr>
                  <w:tcW w:w="3066"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世赛技能大赛介绍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云计算赛项介绍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技术文件解读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竞赛平台Cloud Raiser介绍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职业标准解读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9"/>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练习题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79"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模块二</w:t>
                  </w:r>
                </w:p>
              </w:tc>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构建标准3层电商平台</w:t>
                  </w: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云计算账单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全球基础设施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添加计算层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添加存储层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添加数据库层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创建网络环境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保护用户和应用程序访问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0"/>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高可用和可靠性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模块三</w:t>
                  </w:r>
                </w:p>
              </w:tc>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构建电商网站的自动化运维</w:t>
                  </w:r>
                </w:p>
              </w:tc>
              <w:tc>
                <w:tcPr>
                  <w:tcW w:w="3066"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自动化运维的基本概念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构建云上基础设施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实现应用的CI/CD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1"/>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创建日志、监控和告警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模块四</w:t>
                  </w:r>
                </w:p>
              </w:tc>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构建电商网站的容器化</w:t>
                  </w:r>
                </w:p>
              </w:tc>
              <w:tc>
                <w:tcPr>
                  <w:tcW w:w="3066"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容器化的基本概念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创建ECR库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创建ECS服务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2"/>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创建EKS服务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79"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模块五</w:t>
                  </w:r>
                </w:p>
              </w:tc>
              <w:tc>
                <w:tcPr>
                  <w:tcW w:w="1646"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世赛真题解析</w:t>
                  </w:r>
                </w:p>
              </w:tc>
              <w:tc>
                <w:tcPr>
                  <w:tcW w:w="3066" w:type="dxa"/>
                  <w:noWrap w:val="0"/>
                  <w:vAlign w:val="center"/>
                </w:tcPr>
                <w:p>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如何解题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79"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164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auto"/>
                    <w:ind w:left="425" w:hanging="425"/>
                    <w:textAlignment w:val="auto"/>
                    <w:rPr>
                      <w:rFonts w:hint="eastAsia" w:asciiTheme="minorEastAsia" w:hAnsiTheme="minorEastAsia" w:eastAsiaTheme="minorEastAsia" w:cstheme="minorEastAsia"/>
                      <w:sz w:val="21"/>
                      <w:szCs w:val="21"/>
                    </w:rPr>
                  </w:pPr>
                </w:p>
              </w:tc>
              <w:tc>
                <w:tcPr>
                  <w:tcW w:w="3066" w:type="dxa"/>
                  <w:noWrap w:val="0"/>
                  <w:vAlign w:val="center"/>
                </w:tcPr>
                <w:p>
                  <w:pPr>
                    <w:keepNext w:val="0"/>
                    <w:keepLines w:val="0"/>
                    <w:pageBreakBefore w:val="0"/>
                    <w:widowControl w:val="0"/>
                    <w:numPr>
                      <w:ilvl w:val="0"/>
                      <w:numId w:val="13"/>
                    </w:numPr>
                    <w:kinsoku/>
                    <w:wordWrap/>
                    <w:overflowPunct/>
                    <w:topLinePunct w:val="0"/>
                    <w:autoSpaceDE/>
                    <w:autoSpaceDN/>
                    <w:bidi w:val="0"/>
                    <w:adjustRightInd/>
                    <w:spacing w:line="24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世赛题目实战解析</w:t>
                  </w:r>
                </w:p>
              </w:tc>
            </w:tr>
          </w:tbl>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102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 基于课程教案，提取知识点制作知识单元PPT 不少于80个，总计需涵盖不少于80个知识点，每个知识单元包含1个或多个知识点，并提供知识单元PPT 讲解脚本用于录制课程视频。</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153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 将世赛云计算真题拆解为课程实操案例，案例题库不少于200道，要求覆盖不少于80个知识点。同时，实操案例需提供实操指导手册或说明文档，包含课程实验的架构图、详细操作步骤、对应实验的综合评价方法说明，以及用于教学的实操视频、实操讲解和答疑的脚本。</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102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 依据知识单元PPT 和课程实操案例，制作课程讲解和案例实操的微课视频，每个知识单元PPT录制一个视频，单个视频时间5～10分钟，视频总时长不少于400分钟。</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43"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 管理及服务要求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2.3.1 课程资源开发要求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2.3.1.1 课程开发内容要求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1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课程内容包含符合2.2具体项目要求的课程教案、课程PPT和课程实操案例等。</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2.3.2 微课视频录制要求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293" w:hRule="atLeast"/>
        </w:trPr>
        <w:tc>
          <w:tcPr>
            <w:tcW w:w="367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A.制作团队人员类别：应包含具备编导、创意编导、拍摄培训、片头策划、专业摄像和灯光等专业能力的人员，即2人及以上的专业团队；</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B.编导职责：与老师深度沟通课程内容，收集整理材料；</w:t>
            </w:r>
          </w:p>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C.创意编导职责：根据课程量身定做创意方案、片花脚本、解说词；</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D.拍摄培训师职责：辅导老师对镜头的适应、引导老师拍出更自然的课程，辅助老师进行着装的选择；</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 片头策划职责：根据课程量身策划并制作课程片头10-30秒；</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 专业摄像职责：采用高清摄象机、多机位拍摄完成摄像；</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 灯光师职责：采用专业影视剧用灯完成录制过程中的灯光控制工作；</w:t>
            </w:r>
          </w:p>
        </w:tc>
        <w:tc>
          <w:tcPr>
            <w:tcW w:w="677"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2.3.3 视频制作技术要求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2.3.3.1拍摄模式要求：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1540" w:hRule="atLeast"/>
        </w:trPr>
        <w:tc>
          <w:tcPr>
            <w:tcW w:w="367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A.单元知识PPT讲解模式：PPT讲解知识点+录制视频或PPT讲解知识点+录音等形式。</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B.实操演示模式：通过实际操作演示、讲解，完成教学过程；</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w:t>
            </w:r>
            <w:r>
              <w:rPr>
                <w:rStyle w:val="202"/>
                <w:lang w:val="en-US" w:eastAsia="zh-CN" w:bidi="ar"/>
              </w:rPr>
              <w:t>场景实操模式：根据老师课程需求，选择在特定拍摄场地，多机位拍摄；</w:t>
            </w:r>
          </w:p>
        </w:tc>
        <w:tc>
          <w:tcPr>
            <w:tcW w:w="677"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7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2.3.3.2视频质量要求</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765"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支持通用流媒体视频格式，支持高清、标清、网络播放等视频格式，视频支持AVI、MPEG、MP4、MOV、FLV等主流高清720P、1080P或以上格式。</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765"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2.3.3.3视频内容与结构要求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263" w:hRule="atLeast"/>
        </w:trPr>
        <w:tc>
          <w:tcPr>
            <w:tcW w:w="3678" w:type="pc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A.教学任务：包含课程</w:t>
            </w:r>
            <w:r>
              <w:rPr>
                <w:rStyle w:val="202"/>
                <w:lang w:val="en-US" w:eastAsia="zh-CN" w:bidi="ar"/>
              </w:rPr>
              <w:t>授课、资料阅读、</w:t>
            </w:r>
            <w:r>
              <w:rPr>
                <w:rFonts w:hint="eastAsia" w:ascii="宋体" w:hAnsi="宋体" w:eastAsia="宋体" w:cs="宋体"/>
                <w:i w:val="0"/>
                <w:iCs w:val="0"/>
                <w:color w:val="000000"/>
                <w:kern w:val="0"/>
                <w:sz w:val="21"/>
                <w:szCs w:val="21"/>
                <w:u w:val="none"/>
                <w:lang w:val="en-US" w:eastAsia="zh-CN" w:bidi="ar"/>
              </w:rPr>
              <w:t>实操演练</w:t>
            </w:r>
            <w:r>
              <w:rPr>
                <w:rStyle w:val="202"/>
                <w:lang w:val="en-US" w:eastAsia="zh-CN" w:bidi="ar"/>
              </w:rPr>
              <w:t>、</w:t>
            </w:r>
            <w:r>
              <w:rPr>
                <w:rFonts w:hint="eastAsia" w:ascii="宋体" w:hAnsi="宋体" w:eastAsia="宋体" w:cs="宋体"/>
                <w:i w:val="0"/>
                <w:iCs w:val="0"/>
                <w:color w:val="000000"/>
                <w:kern w:val="0"/>
                <w:sz w:val="21"/>
                <w:szCs w:val="21"/>
                <w:u w:val="none"/>
                <w:lang w:val="en-US" w:eastAsia="zh-CN" w:bidi="ar"/>
              </w:rPr>
              <w:t>习题</w:t>
            </w:r>
            <w:r>
              <w:rPr>
                <w:rStyle w:val="202"/>
                <w:lang w:val="en-US" w:eastAsia="zh-CN" w:bidi="ar"/>
              </w:rPr>
              <w:t>作业等各种任务类型，根据需要选择；</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B.视频单元时长：基于知识单元PPT，录制视频讲解相关知识点或案例实操，单个视频时间5～10分钟左右，总计不少于400分钟，视情况决定是否包含动画视频；</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C.知识单元片头：知识单元授课内容之前加上课程片头；</w:t>
            </w:r>
          </w:p>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D.知识单元内容：涵盖知识单元知识点的授课视频、动画视频、资料阅读、实操演练和习题</w:t>
            </w:r>
            <w:r>
              <w:rPr>
                <w:rStyle w:val="202"/>
                <w:lang w:val="en-US" w:eastAsia="zh-CN" w:bidi="ar"/>
              </w:rPr>
              <w:t>作业</w:t>
            </w:r>
            <w:r>
              <w:rPr>
                <w:rFonts w:hint="eastAsia" w:ascii="宋体" w:hAnsi="宋体" w:eastAsia="宋体" w:cs="宋体"/>
                <w:i w:val="0"/>
                <w:iCs w:val="0"/>
                <w:color w:val="000000"/>
                <w:kern w:val="0"/>
                <w:sz w:val="21"/>
                <w:szCs w:val="21"/>
                <w:u w:val="none"/>
                <w:lang w:val="en-US" w:eastAsia="zh-CN" w:bidi="ar"/>
              </w:rPr>
              <w:t>等内容。</w:t>
            </w:r>
          </w:p>
        </w:tc>
        <w:tc>
          <w:tcPr>
            <w:tcW w:w="677"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211"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2.3.4 后期制作要求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45"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.1视频处理手段：使用专业编辑系统对源视频进行最基本的处理（如抠像、颜色校正、双声道处理）。使用专业的视频编辑系统进行视频降噪、音频降噪；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374"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.2片头：使用专业的后期合成软件进行片头设计：用平面设计+后期合成+3D渲染，根据每个课题的内容设计出相关联的内容元素。</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67"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.3课程内容剪辑：技术工程师通篇观看视频，按照章节框架完成课程精准剪辑，剪辑老师状态不佳、口误、出境、停顿等片段。实操部分添加必要的背景音乐。</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79"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.4调色及影视特效包装：使用专业软件完成视频后期调色和影视特效保障。</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82"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.5字幕制作：技术工程师通篇观看视频，对课程进行字幕的速记、校对，制作外挂字幕。</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607"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 .6视频格式转换：所有内容编辑结束之后，生成成片，成品为高清制式。根据学校要求把成品视频转换成高清、标清、网络播放等视频格式。例如：AVI、MPEG、MP4、MOV、FLV等格式；720P、1080P等分辨率。</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49"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2.3.4.7 后期修改：根据老师要求对视频、知识点、特效进行修改。</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1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2.4 后期服务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466"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2.4.1提供免费课程维护服务；</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350"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2.4.2课程资源功能检测、效果检测、视频质量审查与修改；</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 w:type="pct"/>
          <w:trHeight w:val="545"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2.4.3中标人提供自合同验收之日起2年的售后服务。</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270" w:hRule="atLeast"/>
        </w:trPr>
        <w:tc>
          <w:tcPr>
            <w:tcW w:w="49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2.5 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 w:type="pct"/>
          <w:trHeight w:val="759" w:hRule="atLeast"/>
        </w:trPr>
        <w:tc>
          <w:tcPr>
            <w:tcW w:w="36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完成的所有课程资源知识产权和使用权归采购人所有。用于本课程制作及展示的内容如需要使用第三方知识产权的，应取得权利人许可或者授权并由投标人承担费用。投标人保证不存在侵犯第三方合法权益（包括但不限于著作权、商标权、专利权等知识产权和物权等）的情形。如果任何第三方提出侵权指控，投标人须与该第三方交涉并承担由此发生的一切责任、费用和赔偿。</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ind w:firstLine="420" w:firstLineChars="200"/>
        <w:rPr>
          <w:bCs/>
          <w:szCs w:val="21"/>
        </w:rPr>
      </w:pPr>
      <w:r>
        <w:rPr>
          <w:rFonts w:hint="eastAsia"/>
          <w:bCs/>
          <w:szCs w:val="21"/>
        </w:rPr>
        <w:t>编制指引：</w:t>
      </w:r>
    </w:p>
    <w:p>
      <w:pPr>
        <w:ind w:firstLine="420" w:firstLineChars="200"/>
        <w:rPr>
          <w:bCs/>
          <w:szCs w:val="21"/>
        </w:rPr>
      </w:pPr>
      <w:r>
        <w:rPr>
          <w:rFonts w:hint="eastAsia"/>
          <w:bCs/>
          <w:szCs w:val="21"/>
        </w:rPr>
        <w:t>1、技术要求偏离表的序号、货物名称、招标技术要求等栏目</w:t>
      </w:r>
      <w:bookmarkStart w:id="46" w:name="_Hlk72094407"/>
      <w:r>
        <w:rPr>
          <w:rFonts w:hint="eastAsia"/>
          <w:bCs/>
          <w:szCs w:val="21"/>
        </w:rPr>
        <w:t>对应“用户需求书”中的“技术要求”章节</w:t>
      </w:r>
      <w:bookmarkEnd w:id="46"/>
      <w:r>
        <w:rPr>
          <w:rFonts w:hint="eastAsia"/>
          <w:bCs/>
          <w:szCs w:val="21"/>
        </w:rPr>
        <w:t>相关内容。</w:t>
      </w:r>
    </w:p>
    <w:p>
      <w:pPr>
        <w:pStyle w:val="37"/>
        <w:widowControl/>
        <w:spacing w:beforeAutospacing="0" w:afterAutospacing="0"/>
        <w:ind w:firstLine="420" w:firstLineChars="200"/>
        <w:jc w:val="both"/>
        <w:outlineLvl w:val="1"/>
        <w:rPr>
          <w:bCs/>
          <w:color w:val="FF0000"/>
          <w:kern w:val="2"/>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bCs/>
          <w:color w:val="FF0000"/>
          <w:kern w:val="2"/>
          <w:sz w:val="21"/>
          <w:szCs w:val="21"/>
        </w:rPr>
        <w:t>“投标技术响应”必须与所投产品客观实际保持一致，响应不实且情节严重的，经查实，将依法记入供应商诚信档案或受到行政处罚。</w:t>
      </w:r>
    </w:p>
    <w:p>
      <w:pPr>
        <w:ind w:firstLine="420" w:firstLineChars="200"/>
        <w:rPr>
          <w:bCs/>
          <w:color w:val="FF0000"/>
          <w:szCs w:val="21"/>
        </w:rPr>
      </w:pPr>
      <w:r>
        <w:rPr>
          <w:bCs/>
          <w:szCs w:val="21"/>
        </w:rPr>
        <w:t>3</w:t>
      </w:r>
      <w:r>
        <w:rPr>
          <w:rFonts w:hint="eastAsia"/>
          <w:bCs/>
          <w:szCs w:val="21"/>
        </w:rPr>
        <w:t>、</w:t>
      </w:r>
      <w:bookmarkStart w:id="47" w:name="_Hlk72158270"/>
      <w:r>
        <w:rPr>
          <w:rFonts w:hint="eastAsia"/>
          <w:bCs/>
          <w:szCs w:val="21"/>
        </w:rPr>
        <w:t>“偏离情况”</w:t>
      </w:r>
      <w:bookmarkEnd w:id="47"/>
      <w:r>
        <w:rPr>
          <w:rFonts w:hint="eastAsia"/>
          <w:bCs/>
          <w:szCs w:val="21"/>
        </w:rPr>
        <w:t>一栏填写如实填写“正偏离”、“负偏离”或“无偏离”，其中：</w:t>
      </w:r>
      <w:bookmarkStart w:id="48" w:name="_Hlk72093866"/>
      <w:r>
        <w:rPr>
          <w:rFonts w:hint="eastAsia"/>
          <w:bCs/>
          <w:szCs w:val="21"/>
        </w:rPr>
        <w:t>“正偏离”表示“投标响应优于招标技术要求”，“负偏离”表示“投标响应不满足招标技术要求”，“无偏离”表示“投标响应与招标技术要求一致”</w:t>
      </w:r>
      <w:bookmarkEnd w:id="48"/>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pPr>
        <w:ind w:firstLine="420" w:firstLineChars="200"/>
        <w:rPr>
          <w:bCs/>
          <w:szCs w:val="21"/>
        </w:rPr>
      </w:pPr>
      <w:r>
        <w:rPr>
          <w:bCs/>
          <w:szCs w:val="21"/>
        </w:rPr>
        <w:t>4</w:t>
      </w:r>
      <w:r>
        <w:rPr>
          <w:rFonts w:hint="eastAsia"/>
          <w:bCs/>
          <w:szCs w:val="21"/>
        </w:rPr>
        <w:t>、未要求提供证明资料的招标技术要求，可以不提供证明资料（如实响应即可）。</w:t>
      </w:r>
    </w:p>
    <w:p>
      <w:pPr>
        <w:ind w:firstLine="420" w:firstLineChars="200"/>
        <w:rPr>
          <w:bCs/>
          <w:szCs w:val="21"/>
        </w:rPr>
      </w:pPr>
      <w:r>
        <w:rPr>
          <w:rFonts w:hint="eastAsia"/>
          <w:bCs/>
          <w:szCs w:val="21"/>
        </w:rPr>
        <w:t>5、</w:t>
      </w:r>
      <w:bookmarkStart w:id="49" w:name="_Hlk72096106"/>
      <w:r>
        <w:rPr>
          <w:rFonts w:hint="eastAsia"/>
          <w:bCs/>
          <w:szCs w:val="21"/>
        </w:rPr>
        <w:t>证明资料条款响应要求</w:t>
      </w:r>
      <w:bookmarkEnd w:id="49"/>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0"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1" w:name="_Hlk73558164"/>
      <w:r>
        <w:rPr>
          <w:rFonts w:hint="eastAsia"/>
          <w:bCs/>
          <w:szCs w:val="21"/>
        </w:rPr>
        <w:t>且投标人在“偏离情况”一栏响应为“正偏离”或“无偏离”的，经评审委员会认定，将判定为负偏离。</w:t>
      </w:r>
      <w:bookmarkEnd w:id="50"/>
      <w:bookmarkEnd w:id="51"/>
    </w:p>
    <w:p>
      <w:pPr>
        <w:ind w:firstLine="420" w:firstLineChars="200"/>
        <w:rPr>
          <w:bCs/>
          <w:szCs w:val="21"/>
        </w:rPr>
      </w:pPr>
      <w:r>
        <w:rPr>
          <w:rFonts w:hint="eastAsia"/>
          <w:bCs/>
          <w:szCs w:val="21"/>
        </w:rPr>
        <w:t>6、</w:t>
      </w:r>
      <w:bookmarkStart w:id="52" w:name="_Hlk72096137"/>
      <w:r>
        <w:rPr>
          <w:rFonts w:hint="eastAsia"/>
          <w:bCs/>
          <w:szCs w:val="21"/>
        </w:rPr>
        <w:t>表后“证明资料”部分内容的编制</w:t>
      </w:r>
      <w:bookmarkEnd w:id="52"/>
      <w:r>
        <w:rPr>
          <w:rFonts w:hint="eastAsia"/>
          <w:bCs/>
          <w:szCs w:val="21"/>
        </w:rPr>
        <w:t>：提供的所有证明资料应当统一编号（排序），且证明资料的编号（顺序）、数量和名称（形式）均应与“说明”一栏所填内容保持一致（一一对应），以便评审委员会查看。</w:t>
      </w:r>
      <w:bookmarkStart w:id="53" w:name="_Hlk73558180"/>
      <w:r>
        <w:rPr>
          <w:rFonts w:hint="eastAsia"/>
          <w:bCs/>
          <w:szCs w:val="21"/>
        </w:rPr>
        <w:t>未按照招标文件要求在表后放置证明材料的供应商将承担不利后果，经评审委员会认定，相关技术要求将判定为负偏离。</w:t>
      </w:r>
      <w:bookmarkEnd w:id="53"/>
    </w:p>
    <w:p>
      <w:pPr>
        <w:ind w:firstLine="420" w:firstLineChars="200"/>
        <w:rPr>
          <w:bCs/>
          <w:szCs w:val="21"/>
        </w:rPr>
      </w:pPr>
      <w:r>
        <w:rPr>
          <w:rFonts w:hint="eastAsia"/>
          <w:bCs/>
          <w:szCs w:val="21"/>
        </w:rPr>
        <w:t>7、</w:t>
      </w:r>
      <w:bookmarkStart w:id="54" w:name="_Hlk72096176"/>
      <w:r>
        <w:rPr>
          <w:rFonts w:hint="eastAsia"/>
          <w:bCs/>
          <w:szCs w:val="21"/>
        </w:rPr>
        <w:t>证明资料的形式及其它具体要求</w:t>
      </w:r>
      <w:bookmarkEnd w:id="54"/>
      <w:r>
        <w:rPr>
          <w:rFonts w:hint="eastAsia"/>
          <w:bCs/>
          <w:szCs w:val="21"/>
        </w:rPr>
        <w:t>：</w:t>
      </w:r>
    </w:p>
    <w:p>
      <w:pPr>
        <w:ind w:firstLine="420" w:firstLineChars="200"/>
        <w:rPr>
          <w:bCs/>
          <w:szCs w:val="21"/>
        </w:rPr>
      </w:pPr>
      <w:r>
        <w:rPr>
          <w:rFonts w:hint="eastAsia"/>
          <w:bCs/>
          <w:szCs w:val="21"/>
        </w:rPr>
        <w:t>（1）除照片、图片（截图）及不需加盖公章的文字说明（技术说明）外，其它证明资料均要求为原件扫描件；</w:t>
      </w:r>
    </w:p>
    <w:p>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Cs/>
          <w:szCs w:val="21"/>
        </w:rPr>
      </w:pPr>
      <w:r>
        <w:rPr>
          <w:rFonts w:hint="eastAsia"/>
          <w:bCs/>
          <w:szCs w:val="21"/>
        </w:rPr>
        <w:t>其它证明资料的形式要求参照以上要求执行；</w:t>
      </w:r>
    </w:p>
    <w:p>
      <w:pPr>
        <w:ind w:firstLine="420" w:firstLineChars="200"/>
        <w:rPr>
          <w:bCs/>
          <w:szCs w:val="21"/>
        </w:rPr>
      </w:pPr>
      <w:r>
        <w:rPr>
          <w:rFonts w:hint="eastAsia"/>
          <w:bCs/>
          <w:szCs w:val="21"/>
        </w:rPr>
        <w:t>（4）证明资料均要求原件备查。</w:t>
      </w:r>
    </w:p>
    <w:p>
      <w:pPr>
        <w:ind w:firstLine="420" w:firstLineChars="200"/>
        <w:rPr>
          <w:bCs/>
          <w:szCs w:val="21"/>
        </w:rPr>
      </w:pPr>
      <w:r>
        <w:rPr>
          <w:rFonts w:hint="eastAsia"/>
          <w:bCs/>
          <w:szCs w:val="21"/>
        </w:rPr>
        <w:t>8、其它注意事项：</w:t>
      </w:r>
    </w:p>
    <w:p>
      <w:pPr>
        <w:ind w:firstLine="420" w:firstLineChars="200"/>
        <w:rPr>
          <w:bCs/>
          <w:szCs w:val="21"/>
        </w:rPr>
      </w:pPr>
      <w:r>
        <w:rPr>
          <w:rFonts w:hint="eastAsia"/>
          <w:bCs/>
          <w:szCs w:val="21"/>
        </w:rPr>
        <w:t>（1）评审委员会有权对投标人的响应情况作出判断（评审结论）；</w:t>
      </w:r>
    </w:p>
    <w:p>
      <w:pPr>
        <w:ind w:firstLine="420" w:firstLineChars="200"/>
        <w:rPr>
          <w:bCs/>
          <w:szCs w:val="21"/>
        </w:rPr>
      </w:pPr>
      <w:r>
        <w:rPr>
          <w:rFonts w:hint="eastAsia"/>
          <w:bCs/>
          <w:szCs w:val="21"/>
        </w:rPr>
        <w:t>（2）</w:t>
      </w:r>
      <w:bookmarkStart w:id="55"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55"/>
    </w:p>
    <w:p>
      <w:pPr>
        <w:pStyle w:val="8"/>
        <w:ind w:firstLine="0"/>
        <w:rPr>
          <w:rFonts w:asciiTheme="minorEastAsia" w:hAnsiTheme="minorEastAsia" w:eastAsiaTheme="minorEastAsia" w:cstheme="minorEastAsia"/>
          <w:sz w:val="24"/>
          <w:highlight w:val="yellow"/>
        </w:rPr>
      </w:pPr>
    </w:p>
    <w:p>
      <w:pPr>
        <w:pStyle w:val="8"/>
        <w:ind w:firstLine="0"/>
        <w:rPr>
          <w:rFonts w:hint="eastAsia" w:ascii="黑体" w:hAnsi="宋体" w:eastAsia="黑体"/>
          <w:sz w:val="24"/>
          <w:highlight w:val="none"/>
        </w:rPr>
      </w:pPr>
      <w:r>
        <w:rPr>
          <w:rFonts w:hint="eastAsia" w:ascii="黑体" w:hAnsi="宋体" w:eastAsia="黑体"/>
          <w:sz w:val="24"/>
          <w:highlight w:val="none"/>
        </w:rPr>
        <w:t>六、违约承诺</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8"/>
        <w:numPr>
          <w:ilvl w:val="0"/>
          <w:numId w:val="16"/>
        </w:numPr>
        <w:ind w:firstLine="0"/>
        <w:rPr>
          <w:rFonts w:hint="eastAsia" w:ascii="黑体" w:hAnsi="宋体" w:eastAsia="黑体"/>
          <w:sz w:val="24"/>
          <w:highlight w:val="none"/>
        </w:rPr>
      </w:pPr>
      <w:r>
        <w:rPr>
          <w:rFonts w:hint="eastAsia" w:ascii="黑体" w:hAnsi="宋体" w:eastAsia="黑体"/>
          <w:sz w:val="24"/>
          <w:highlight w:val="none"/>
        </w:rPr>
        <w:t>拟安排的项目负责人情况（仅限一人）</w:t>
      </w:r>
    </w:p>
    <w:p>
      <w:pPr>
        <w:pStyle w:val="8"/>
        <w:numPr>
          <w:ilvl w:val="0"/>
          <w:numId w:val="0"/>
        </w:numPr>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pPr>
        <w:pStyle w:val="8"/>
        <w:ind w:firstLine="0"/>
        <w:rPr>
          <w:rFonts w:asciiTheme="minorEastAsia" w:hAnsiTheme="minorEastAsia" w:eastAsiaTheme="minorEastAsia" w:cstheme="minorEastAsia"/>
          <w:sz w:val="24"/>
          <w:highlight w:val="none"/>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宋体" w:eastAsia="黑体" w:cs="Times New Roman"/>
          <w:kern w:val="2"/>
          <w:sz w:val="24"/>
          <w:szCs w:val="20"/>
          <w:highlight w:val="none"/>
          <w:lang w:val="en-US" w:eastAsia="zh-CN" w:bidi="ar-SA"/>
        </w:rPr>
      </w:pPr>
      <w:r>
        <w:rPr>
          <w:rFonts w:hint="eastAsia" w:ascii="黑体" w:hAnsi="宋体" w:eastAsia="黑体" w:cs="Times New Roman"/>
          <w:kern w:val="2"/>
          <w:sz w:val="24"/>
          <w:szCs w:val="20"/>
          <w:highlight w:val="none"/>
          <w:lang w:val="en-US" w:eastAsia="zh-CN" w:bidi="ar-SA"/>
        </w:rPr>
        <w:t>八、拟安排的项目主要团队成员（主要技术人员）情况（项目负责人除外）</w:t>
      </w:r>
    </w:p>
    <w:p>
      <w:pPr>
        <w:pStyle w:val="8"/>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（特别提示：投标人须按本招标文件评标信息中这一评审因素要求，提供证明资料）</w:t>
      </w:r>
    </w:p>
    <w:p>
      <w:pPr>
        <w:pStyle w:val="8"/>
        <w:spacing w:before="60" w:beforeLines="25" w:after="60" w:afterLines="25"/>
        <w:ind w:firstLine="0"/>
        <w:rPr>
          <w:rFonts w:asciiTheme="minorEastAsia" w:hAnsiTheme="minorEastAsia" w:eastAsiaTheme="minorEastAsia" w:cstheme="minorEastAsia"/>
          <w:sz w:val="24"/>
          <w:highlight w:val="yellow"/>
        </w:rPr>
      </w:pPr>
    </w:p>
    <w:p>
      <w:pPr>
        <w:pStyle w:val="2"/>
      </w:pPr>
    </w:p>
    <w:p>
      <w:pPr>
        <w:numPr>
          <w:ilvl w:val="0"/>
          <w:numId w:val="0"/>
        </w:numPr>
        <w:rPr>
          <w:rFonts w:ascii="黑体" w:hAnsi="宋体" w:eastAsia="黑体"/>
          <w:sz w:val="24"/>
          <w:szCs w:val="20"/>
        </w:rPr>
      </w:pPr>
      <w:r>
        <w:rPr>
          <w:rFonts w:hint="eastAsia" w:ascii="黑体" w:hAnsi="宋体" w:eastAsia="黑体"/>
          <w:sz w:val="24"/>
          <w:szCs w:val="20"/>
          <w:lang w:val="en-US" w:eastAsia="zh-CN"/>
        </w:rPr>
        <w:t>九、</w:t>
      </w:r>
      <w:r>
        <w:rPr>
          <w:rFonts w:hint="eastAsia" w:ascii="黑体" w:hAnsi="宋体" w:eastAsia="黑体"/>
          <w:sz w:val="24"/>
          <w:szCs w:val="20"/>
        </w:rPr>
        <w:t>投标人认为需要加以说明的其他内容（格式自定）</w:t>
      </w:r>
    </w:p>
    <w:p>
      <w:pPr>
        <w:pStyle w:val="2"/>
      </w:pP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w:t>
      </w:r>
      <w:r>
        <w:rPr>
          <w:rFonts w:hint="eastAsia"/>
          <w:lang w:val="en-US" w:eastAsia="zh-CN"/>
        </w:rPr>
        <w:t>自行</w:t>
      </w:r>
      <w:r>
        <w:rPr>
          <w:rFonts w:hint="eastAsia"/>
        </w:rPr>
        <w:t>采购活动时的重大风险事项，并承诺已对下述风险提示事项重点排查，做到严谨、诚信、依法依规参与</w:t>
      </w:r>
      <w:r>
        <w:rPr>
          <w:rFonts w:hint="eastAsia"/>
          <w:lang w:val="en-US" w:eastAsia="zh-CN"/>
        </w:rPr>
        <w:t>自行</w:t>
      </w:r>
      <w:r>
        <w:rPr>
          <w:rFonts w:hint="eastAsia"/>
        </w:rPr>
        <w:t>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w:t>
      </w:r>
      <w:r>
        <w:rPr>
          <w:rFonts w:hint="eastAsia"/>
          <w:lang w:val="en-US" w:eastAsia="zh-CN"/>
        </w:rPr>
        <w:t>自行</w:t>
      </w:r>
      <w:r>
        <w:rPr>
          <w:rFonts w:hint="eastAsia"/>
        </w:rPr>
        <w:t>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 w:val="24"/>
          <w:szCs w:val="20"/>
        </w:rPr>
        <w:t>（二）投标人认为需要加以说明的其他内容（格式自定）</w:t>
      </w:r>
    </w:p>
    <w:p>
      <w:pPr>
        <w:pStyle w:val="35"/>
      </w:pPr>
    </w:p>
    <w:p>
      <w:pPr>
        <w:widowControl/>
        <w:jc w:val="left"/>
        <w:rPr>
          <w:rFonts w:ascii="宋体" w:hAnsi="宋体"/>
          <w:b/>
          <w:bCs/>
          <w:kern w:val="0"/>
          <w:sz w:val="24"/>
          <w:szCs w:val="20"/>
        </w:rPr>
      </w:pPr>
      <w:r>
        <w:br w:type="page"/>
      </w:r>
    </w:p>
    <w:p>
      <w:pPr>
        <w:pStyle w:val="6"/>
        <w:rPr>
          <w:b/>
          <w:bCs/>
          <w:sz w:val="28"/>
          <w:szCs w:val="28"/>
        </w:rPr>
      </w:pPr>
      <w:r>
        <w:rPr>
          <w:rFonts w:hint="eastAsia"/>
          <w:b/>
          <w:bCs/>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根据深圳公共资源交易中心（深圳交易集团有限公司政府采购业务分公司）*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2"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8"/>
        <w:rPr>
          <w:rFonts w:ascii="宋体" w:hAnsi="宋体"/>
          <w:szCs w:val="21"/>
        </w:rPr>
      </w:pPr>
      <w:r>
        <w:rPr>
          <w:rFonts w:hint="eastAsia" w:ascii="宋体" w:hAnsi="宋体"/>
          <w:szCs w:val="21"/>
        </w:rPr>
        <w:t>支付方式：分期支付。</w:t>
      </w:r>
    </w:p>
    <w:p>
      <w:pPr>
        <w:ind w:firstLine="422"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3、其他合同未明示的相关工作。</w:t>
      </w:r>
    </w:p>
    <w:p>
      <w:pPr>
        <w:ind w:firstLine="422"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w:t>
      </w:r>
    </w:p>
    <w:p>
      <w:pPr>
        <w:ind w:firstLine="422" w:firstLineChars="200"/>
        <w:rPr>
          <w:rFonts w:ascii="宋体" w:hAnsi="宋体"/>
          <w:b/>
          <w:bCs/>
          <w:szCs w:val="21"/>
        </w:rPr>
      </w:pPr>
      <w:r>
        <w:rPr>
          <w:rFonts w:hint="eastAsia" w:ascii="宋体" w:hAnsi="宋体"/>
          <w:b/>
          <w:bCs/>
          <w:szCs w:val="21"/>
        </w:rPr>
        <w:t>第四条  咨询服务资料归属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2"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3、负责组织有关专家对项目成果报告的评审。</w:t>
      </w:r>
    </w:p>
    <w:p>
      <w:pPr>
        <w:ind w:firstLine="422" w:firstLineChars="200"/>
        <w:rPr>
          <w:rFonts w:ascii="宋体" w:hAnsi="宋体"/>
          <w:b/>
          <w:bCs/>
          <w:szCs w:val="21"/>
        </w:rPr>
      </w:pPr>
      <w:r>
        <w:rPr>
          <w:rFonts w:hint="eastAsia" w:ascii="宋体" w:hAnsi="宋体"/>
          <w:b/>
          <w:bCs/>
          <w:szCs w:val="21"/>
        </w:rPr>
        <w:t>第七条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2、负责组织项目的实施，保证进度和工作质量，并满足验收相关标准。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2" w:firstLineChars="200"/>
        <w:rPr>
          <w:rFonts w:ascii="宋体" w:hAnsi="宋体"/>
          <w:b/>
          <w:bCs/>
          <w:szCs w:val="21"/>
        </w:rPr>
      </w:pPr>
      <w:r>
        <w:rPr>
          <w:rFonts w:hint="eastAsia" w:ascii="宋体" w:hAnsi="宋体"/>
          <w:b/>
          <w:bCs/>
          <w:szCs w:val="21"/>
        </w:rPr>
        <w:t>第八条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2" w:firstLineChars="200"/>
        <w:rPr>
          <w:rFonts w:ascii="宋体" w:hAnsi="宋体"/>
          <w:b/>
          <w:bCs/>
          <w:szCs w:val="21"/>
        </w:rPr>
      </w:pPr>
      <w:r>
        <w:rPr>
          <w:rFonts w:hint="eastAsia" w:ascii="宋体" w:hAnsi="宋体"/>
          <w:b/>
          <w:bCs/>
          <w:szCs w:val="21"/>
        </w:rPr>
        <w:t>第九条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、乙方在本项目服务过程中，有权对第三方提出与本咨询服务业务有关的问题进行核对或查问。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、乙方在本项目服务过程中，有到现场勘察的权利。</w:t>
      </w:r>
    </w:p>
    <w:p>
      <w:pPr>
        <w:ind w:firstLine="422" w:firstLineChars="200"/>
        <w:rPr>
          <w:rFonts w:ascii="宋体" w:hAnsi="宋体"/>
          <w:b/>
          <w:bCs/>
          <w:szCs w:val="21"/>
        </w:rPr>
      </w:pPr>
      <w:r>
        <w:rPr>
          <w:rFonts w:hint="eastAsia" w:ascii="宋体" w:hAnsi="宋体"/>
          <w:b/>
          <w:bCs/>
          <w:szCs w:val="21"/>
        </w:rPr>
        <w:t>第十条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2" w:firstLineChars="200"/>
        <w:rPr>
          <w:rFonts w:ascii="宋体" w:hAnsi="宋体"/>
          <w:b/>
          <w:bCs/>
          <w:szCs w:val="21"/>
        </w:rPr>
      </w:pPr>
      <w:r>
        <w:rPr>
          <w:rFonts w:hint="eastAsia" w:ascii="宋体" w:hAnsi="宋体"/>
          <w:b/>
          <w:bCs/>
          <w:szCs w:val="21"/>
        </w:rPr>
        <w:t>第十一条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2" w:firstLineChars="200"/>
        <w:rPr>
          <w:rFonts w:ascii="宋体" w:hAnsi="宋体"/>
          <w:b/>
          <w:bCs/>
          <w:szCs w:val="21"/>
        </w:rPr>
      </w:pPr>
      <w:r>
        <w:rPr>
          <w:rFonts w:hint="eastAsia" w:ascii="宋体" w:hAnsi="宋体"/>
          <w:b/>
          <w:bCs/>
          <w:szCs w:val="21"/>
        </w:rPr>
        <w:t>第十二条  人员要求</w:t>
      </w:r>
    </w:p>
    <w:p>
      <w:pPr>
        <w:ind w:firstLine="420" w:firstLineChars="200"/>
        <w:rPr>
          <w:rFonts w:ascii="宋体" w:hAnsi="宋体" w:cs="宋体"/>
          <w:szCs w:val="21"/>
        </w:rPr>
      </w:pPr>
      <w:r>
        <w:rPr>
          <w:rFonts w:hint="eastAsia" w:ascii="宋体" w:hAnsi="宋体" w:cs="宋体"/>
          <w:szCs w:val="21"/>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ind w:firstLine="420" w:firstLineChars="200"/>
        <w:rPr>
          <w:rFonts w:ascii="宋体" w:hAnsi="宋体" w:cs="宋体"/>
          <w:szCs w:val="21"/>
        </w:rPr>
      </w:pPr>
      <w:r>
        <w:rPr>
          <w:rFonts w:hint="eastAsia" w:ascii="宋体" w:hAnsi="宋体" w:cs="宋体"/>
          <w:szCs w:val="21"/>
        </w:rPr>
        <w:t>2.执行项目的档案整理员具备良好的沟通能力，能熟练操作计算机、办公室软件、档案管理系统软件。</w:t>
      </w:r>
    </w:p>
    <w:p>
      <w:pPr>
        <w:ind w:firstLine="420" w:firstLineChars="200"/>
        <w:rPr>
          <w:rFonts w:ascii="宋体" w:hAnsi="宋体" w:cs="宋体"/>
          <w:szCs w:val="21"/>
        </w:rPr>
      </w:pPr>
      <w:r>
        <w:rPr>
          <w:rFonts w:hint="eastAsia" w:ascii="宋体" w:hAnsi="宋体" w:cs="宋体"/>
          <w:szCs w:val="21"/>
        </w:rPr>
        <w:t>3.执行项目的档案整理员政治历史和社会关系清楚，无犯罪记录。</w:t>
      </w:r>
    </w:p>
    <w:p>
      <w:pPr>
        <w:ind w:firstLine="420" w:firstLineChars="200"/>
        <w:rPr>
          <w:rFonts w:ascii="宋体" w:hAnsi="宋体" w:cs="宋体"/>
          <w:szCs w:val="21"/>
        </w:rPr>
      </w:pPr>
      <w:r>
        <w:rPr>
          <w:rFonts w:hint="eastAsia" w:ascii="宋体" w:hAnsi="宋体" w:cs="宋体"/>
          <w:szCs w:val="21"/>
        </w:rPr>
        <w:t>4.执行项目的档案整理员应当遵守甲方相关工作纪律，接受甲方的管理。</w:t>
      </w:r>
    </w:p>
    <w:p>
      <w:pPr>
        <w:ind w:firstLine="420" w:firstLineChars="200"/>
        <w:rPr>
          <w:rFonts w:ascii="宋体" w:hAnsi="宋体" w:cs="宋体"/>
          <w:szCs w:val="21"/>
        </w:rPr>
      </w:pPr>
      <w:r>
        <w:rPr>
          <w:rFonts w:hint="eastAsia" w:ascii="宋体" w:hAnsi="宋体" w:cs="宋体"/>
          <w:szCs w:val="21"/>
        </w:rPr>
        <w:t>5.如遇特殊情况需要加班或增加工作人员的，乙方需无条件进行保障。</w:t>
      </w:r>
    </w:p>
    <w:p>
      <w:pPr>
        <w:ind w:firstLine="422" w:firstLineChars="200"/>
        <w:rPr>
          <w:rFonts w:ascii="宋体" w:hAnsi="宋体"/>
          <w:b/>
          <w:bCs/>
          <w:szCs w:val="21"/>
        </w:rPr>
      </w:pPr>
      <w:r>
        <w:rPr>
          <w:rFonts w:hint="eastAsia" w:ascii="宋体" w:hAnsi="宋体"/>
          <w:b/>
          <w:bCs/>
          <w:szCs w:val="21"/>
        </w:rPr>
        <w:t>第十三条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2" w:firstLineChars="200"/>
        <w:rPr>
          <w:rFonts w:ascii="宋体" w:hAnsi="宋体"/>
          <w:b/>
          <w:bCs/>
          <w:szCs w:val="21"/>
        </w:rPr>
      </w:pPr>
      <w:r>
        <w:rPr>
          <w:rFonts w:hint="eastAsia" w:ascii="宋体" w:hAnsi="宋体"/>
          <w:b/>
          <w:bCs/>
          <w:szCs w:val="21"/>
        </w:rPr>
        <w:t>第十四条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2" w:firstLineChars="200"/>
        <w:rPr>
          <w:rFonts w:ascii="宋体" w:hAnsi="宋体"/>
          <w:b/>
          <w:bCs/>
          <w:szCs w:val="21"/>
        </w:rPr>
      </w:pPr>
      <w:r>
        <w:rPr>
          <w:rFonts w:hint="eastAsia" w:ascii="宋体" w:hAnsi="宋体"/>
          <w:b/>
          <w:bCs/>
          <w:szCs w:val="21"/>
        </w:rPr>
        <w:t xml:space="preserve">第十五条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2" w:firstLineChars="200"/>
        <w:rPr>
          <w:rFonts w:ascii="宋体" w:hAnsi="宋体"/>
          <w:b/>
          <w:bCs/>
          <w:szCs w:val="21"/>
        </w:rPr>
      </w:pPr>
      <w:r>
        <w:rPr>
          <w:rFonts w:hint="eastAsia" w:ascii="宋体" w:hAnsi="宋体"/>
          <w:b/>
          <w:bCs/>
          <w:szCs w:val="21"/>
        </w:rPr>
        <w:t>第十六条  付款方式</w:t>
      </w:r>
    </w:p>
    <w:p>
      <w:pPr>
        <w:ind w:firstLine="420" w:firstLineChars="200"/>
        <w:rPr>
          <w:rFonts w:ascii="宋体" w:hAnsi="宋体"/>
          <w:szCs w:val="21"/>
        </w:rPr>
      </w:pPr>
      <w:r>
        <w:rPr>
          <w:rFonts w:hint="eastAsia" w:ascii="宋体" w:hAnsi="宋体"/>
          <w:szCs w:val="21"/>
        </w:rPr>
        <w:t>1.该项目以人民币结算，合同签定后，甲方收到乙方提供的等额税务发票后15日内，支付合同总价款50%的款项；</w:t>
      </w:r>
    </w:p>
    <w:p>
      <w:pPr>
        <w:ind w:firstLine="420" w:firstLineChars="200"/>
        <w:rPr>
          <w:rFonts w:ascii="宋体" w:hAnsi="宋体"/>
          <w:szCs w:val="21"/>
        </w:rPr>
      </w:pPr>
      <w:r>
        <w:rPr>
          <w:rFonts w:hint="eastAsia" w:ascii="宋体" w:hAnsi="宋体"/>
          <w:szCs w:val="21"/>
        </w:rPr>
        <w:t>2.在合同履行满5个月后，乙方依约履行合同义务并通过甲方中期验收，甲方收到发票后15日内向乙方支付合同金额的40%；</w:t>
      </w:r>
    </w:p>
    <w:p>
      <w:pPr>
        <w:ind w:firstLine="420" w:firstLineChars="200"/>
        <w:rPr>
          <w:rFonts w:ascii="宋体" w:hAnsi="宋体"/>
          <w:szCs w:val="21"/>
        </w:rPr>
      </w:pPr>
      <w:r>
        <w:rPr>
          <w:rFonts w:hint="eastAsia" w:ascii="宋体" w:hAnsi="宋体"/>
          <w:szCs w:val="21"/>
        </w:rPr>
        <w:t>3.在乙方依约完成全部项目内容，乙方向甲方申请终期验收，经甲方确认验收合格，甲方收到乙方提供的等额税务发票后15日内支付剩余10%项目尾款经费。</w:t>
      </w:r>
    </w:p>
    <w:p>
      <w:pPr>
        <w:ind w:firstLine="422" w:firstLineChars="200"/>
        <w:rPr>
          <w:rFonts w:ascii="宋体" w:hAnsi="宋体"/>
          <w:b/>
          <w:bCs/>
          <w:szCs w:val="21"/>
        </w:rPr>
      </w:pPr>
      <w:r>
        <w:rPr>
          <w:rFonts w:hint="eastAsia" w:ascii="宋体" w:hAnsi="宋体"/>
          <w:b/>
          <w:bCs/>
          <w:szCs w:val="21"/>
        </w:rPr>
        <w:t>第十七条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2" w:firstLineChars="200"/>
        <w:rPr>
          <w:rFonts w:ascii="宋体" w:hAnsi="宋体"/>
          <w:b/>
          <w:bCs/>
          <w:szCs w:val="21"/>
        </w:rPr>
      </w:pPr>
      <w:r>
        <w:rPr>
          <w:rFonts w:hint="eastAsia" w:ascii="宋体" w:hAnsi="宋体"/>
          <w:b/>
          <w:bCs/>
          <w:szCs w:val="21"/>
        </w:rPr>
        <w:t>第十八条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2、乙方在实施过程中应对自身的安全生产负责，若非因甲方原因发生的各种事故甲方不承担任何责任。</w:t>
      </w:r>
    </w:p>
    <w:p>
      <w:pPr>
        <w:ind w:firstLine="422" w:firstLineChars="200"/>
        <w:rPr>
          <w:rFonts w:ascii="宋体" w:hAnsi="宋体"/>
          <w:b/>
          <w:bCs/>
          <w:szCs w:val="21"/>
        </w:rPr>
      </w:pPr>
      <w:r>
        <w:rPr>
          <w:rFonts w:hint="eastAsia" w:ascii="宋体" w:hAnsi="宋体"/>
          <w:b/>
          <w:bCs/>
          <w:szCs w:val="21"/>
        </w:rPr>
        <w:t>第十九条  违约责任</w:t>
      </w:r>
    </w:p>
    <w:p>
      <w:pPr>
        <w:pStyle w:val="19"/>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2、由于乙方原因造成成果质量低劣，不能满足要求时，应继续完善工作，其费用由乙方承担。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2" w:firstLineChars="200"/>
        <w:rPr>
          <w:rFonts w:ascii="宋体" w:hAnsi="宋体"/>
          <w:b/>
          <w:bCs/>
          <w:szCs w:val="21"/>
        </w:rPr>
      </w:pPr>
      <w:r>
        <w:rPr>
          <w:rFonts w:hint="eastAsia" w:ascii="宋体" w:hAnsi="宋体"/>
          <w:b/>
          <w:bCs/>
          <w:szCs w:val="21"/>
        </w:rPr>
        <w:t>第二十条  其他</w:t>
      </w:r>
    </w:p>
    <w:p>
      <w:pPr>
        <w:ind w:firstLine="420" w:firstLineChars="200"/>
        <w:rPr>
          <w:rFonts w:ascii="宋体" w:hAnsi="宋体"/>
          <w:szCs w:val="21"/>
        </w:rPr>
      </w:pPr>
      <w:r>
        <w:rPr>
          <w:rFonts w:hint="eastAsia" w:ascii="宋体" w:hAnsi="宋体"/>
          <w:szCs w:val="21"/>
        </w:rPr>
        <w:t>1、本合同与招标文件、乙方投标文件如有抵触之处，以本合同条款为准。</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r>
        <w:rPr>
          <w:rFonts w:hint="eastAsia"/>
          <w:sz w:val="28"/>
          <w:szCs w:val="28"/>
        </w:rPr>
        <w:t>第二册  通用条款（公开招标）</w:t>
      </w: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56" w:name="_Hlk72399513"/>
      <w:bookmarkStart w:id="57" w:name="_Hlk72439706"/>
      <w:r>
        <w:rPr>
          <w:rFonts w:hint="eastAsia" w:asciiTheme="majorHAnsi" w:hAnsiTheme="majorHAnsi" w:eastAsiaTheme="majorEastAsia" w:cstheme="majorBidi"/>
          <w:b/>
          <w:bCs/>
          <w:sz w:val="28"/>
          <w:szCs w:val="28"/>
        </w:rPr>
        <w:t>总则</w:t>
      </w:r>
    </w:p>
    <w:bookmarkEnd w:id="56"/>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8" w:name="_Hlk72399729"/>
      <w:r>
        <w:rPr>
          <w:rFonts w:hint="eastAsia" w:ascii="宋体" w:hAnsi="宋体"/>
          <w:szCs w:val="21"/>
        </w:rPr>
        <w:t>如有需要，政府集中采购机构可以对通用条款的内容进行补充。</w:t>
      </w:r>
      <w:bookmarkEnd w:id="58"/>
    </w:p>
    <w:p>
      <w:pPr>
        <w:ind w:firstLine="420" w:firstLineChars="200"/>
        <w:rPr>
          <w:rFonts w:ascii="宋体" w:hAnsi="宋体"/>
          <w:szCs w:val="21"/>
        </w:rPr>
      </w:pPr>
      <w:r>
        <w:rPr>
          <w:rFonts w:hint="eastAsia" w:ascii="宋体" w:hAnsi="宋体"/>
          <w:szCs w:val="21"/>
        </w:rPr>
        <w:t>1.2招标文件分为第一册“专用条款”和第二册“通用条款”。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招标</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w:t>
      </w:r>
      <w:r>
        <w:rPr>
          <w:rFonts w:hint="eastAsia" w:ascii="Arial" w:hAnsi="Arial" w:cs="Arial"/>
          <w:szCs w:val="21"/>
          <w:shd w:val="clear" w:color="auto" w:fill="FFFFFF"/>
          <w:lang w:eastAsia="zh-CN"/>
        </w:rPr>
        <w:t>采购</w:t>
      </w:r>
      <w:r>
        <w:rPr>
          <w:rFonts w:hint="eastAsia" w:ascii="Arial" w:hAnsi="Arial" w:cs="Arial"/>
          <w:szCs w:val="21"/>
          <w:shd w:val="clear" w:color="auto" w:fill="FFFFFF"/>
        </w:rPr>
        <w:t>项目，并对</w:t>
      </w:r>
      <w:r>
        <w:rPr>
          <w:rFonts w:hint="eastAsia" w:ascii="Arial" w:hAnsi="Arial" w:cs="Arial"/>
          <w:szCs w:val="21"/>
          <w:shd w:val="clear" w:color="auto" w:fill="FFFFFF"/>
          <w:lang w:eastAsia="zh-CN"/>
        </w:rPr>
        <w:t>采购</w:t>
      </w:r>
      <w:r>
        <w:rPr>
          <w:rFonts w:hint="eastAsia" w:ascii="Arial" w:hAnsi="Arial" w:cs="Arial"/>
          <w:szCs w:val="21"/>
          <w:shd w:val="clear" w:color="auto" w:fill="FFFFFF"/>
        </w:rPr>
        <w:t>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3.6“合同”指由本次招标所产生的合同或合约文件；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59"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w:t>
      </w:r>
      <w:r>
        <w:rPr>
          <w:rFonts w:hint="eastAsia" w:ascii="宋体" w:hAnsi="宋体"/>
          <w:szCs w:val="21"/>
          <w:lang w:val="en-US" w:eastAsia="zh-CN"/>
        </w:rPr>
        <w:t>-资料下载</w:t>
      </w:r>
      <w:r>
        <w:rPr>
          <w:rFonts w:hint="eastAsia" w:ascii="宋体" w:hAnsi="宋体"/>
          <w:szCs w:val="21"/>
        </w:rPr>
        <w:t>”。</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w:t>
      </w:r>
      <w:r>
        <w:rPr>
          <w:rFonts w:hint="eastAsia" w:ascii="宋体" w:hAnsi="宋体"/>
          <w:szCs w:val="21"/>
          <w:lang w:eastAsia="zh-CN"/>
        </w:rPr>
        <w:t>采购</w:t>
      </w:r>
      <w:r>
        <w:rPr>
          <w:rFonts w:hint="eastAsia" w:ascii="宋体" w:hAnsi="宋体"/>
          <w:szCs w:val="21"/>
        </w:rPr>
        <w:t>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w:t>
      </w:r>
      <w:r>
        <w:rPr>
          <w:rFonts w:hint="eastAsia" w:ascii="宋体" w:hAnsi="宋体"/>
          <w:szCs w:val="21"/>
          <w:lang w:eastAsia="zh-CN"/>
        </w:rPr>
        <w:t>采购</w:t>
      </w:r>
      <w:r>
        <w:rPr>
          <w:rFonts w:hint="eastAsia" w:ascii="宋体" w:hAnsi="宋体"/>
          <w:szCs w:val="21"/>
        </w:rPr>
        <w:t>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w:t>
      </w:r>
      <w:r>
        <w:rPr>
          <w:rFonts w:hint="eastAsia" w:ascii="宋体" w:hAnsi="宋体"/>
          <w:szCs w:val="21"/>
          <w:lang w:eastAsia="zh-CN"/>
        </w:rPr>
        <w:t>采购</w:t>
      </w:r>
      <w:r>
        <w:rPr>
          <w:rFonts w:hint="eastAsia" w:ascii="宋体" w:hAnsi="宋体"/>
          <w:szCs w:val="21"/>
        </w:rPr>
        <w:t>活动的，联合体各方不得再单独参加或者与其他供应商另外组成联合体参加同一合同项下的</w:t>
      </w:r>
      <w:r>
        <w:rPr>
          <w:rFonts w:hint="eastAsia" w:ascii="宋体" w:hAnsi="宋体"/>
          <w:szCs w:val="21"/>
          <w:lang w:eastAsia="zh-CN"/>
        </w:rPr>
        <w:t>采购</w:t>
      </w:r>
      <w:r>
        <w:rPr>
          <w:rFonts w:hint="eastAsia" w:ascii="宋体" w:hAnsi="宋体"/>
          <w:szCs w:val="21"/>
        </w:rPr>
        <w:t>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lang w:eastAsia="zh-CN"/>
        </w:rPr>
        <w:t>采购</w:t>
      </w:r>
      <w:r>
        <w:rPr>
          <w:rFonts w:hint="eastAsia" w:ascii="宋体" w:hAnsi="宋体"/>
          <w:szCs w:val="21"/>
        </w:rPr>
        <w:t>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0"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0"/>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9"/>
    <w:p>
      <w:pPr>
        <w:ind w:firstLine="411" w:firstLineChars="196"/>
        <w:rPr>
          <w:rFonts w:ascii="宋体" w:hAnsi="宋体"/>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1" w:name="_Hlk72399819"/>
      <w:r>
        <w:rPr>
          <w:rFonts w:hint="eastAsia" w:ascii="黑体" w:hAnsi="宋体" w:eastAsia="黑体"/>
          <w:szCs w:val="21"/>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20" w:firstLineChars="200"/>
        <w:rPr>
          <w:rFonts w:ascii="宋体" w:hAnsi="宋体"/>
          <w:szCs w:val="21"/>
        </w:rPr>
      </w:pPr>
      <w:r>
        <w:rPr>
          <w:rFonts w:hint="eastAsia" w:ascii="宋体" w:hAnsi="宋体"/>
          <w:szCs w:val="21"/>
        </w:rPr>
        <w:t>招标文件包括下列内容：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招标公告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招标文件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公开招标失败的后续处理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w:t>
      </w:r>
      <w:r>
        <w:rPr>
          <w:rFonts w:hint="eastAsia" w:ascii="宋体" w:hAnsi="宋体"/>
          <w:color w:val="FF0000"/>
          <w:szCs w:val="21"/>
          <w:lang w:val="en-US" w:eastAsia="zh-CN"/>
        </w:rPr>
        <w:t>将疑问内容加盖公章书面</w:t>
      </w:r>
      <w:r>
        <w:rPr>
          <w:rFonts w:hint="eastAsia" w:ascii="宋体" w:hAnsi="宋体"/>
          <w:color w:val="FF0000"/>
          <w:szCs w:val="21"/>
        </w:rPr>
        <w:t>提交</w:t>
      </w:r>
      <w:r>
        <w:rPr>
          <w:rFonts w:hint="eastAsia" w:ascii="宋体" w:hAnsi="宋体"/>
          <w:color w:val="FF0000"/>
          <w:szCs w:val="21"/>
          <w:lang w:val="en-US" w:eastAsia="zh-CN"/>
        </w:rPr>
        <w:t>至</w:t>
      </w:r>
      <w:r>
        <w:rPr>
          <w:rFonts w:hint="eastAsia" w:ascii="宋体" w:hAnsi="宋体"/>
          <w:color w:val="FF0000"/>
          <w:szCs w:val="21"/>
        </w:rPr>
        <w:t>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3．招标文件的修改</w:t>
      </w:r>
    </w:p>
    <w:p>
      <w:pPr>
        <w:ind w:firstLine="420" w:firstLineChars="200"/>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1"/>
    </w:p>
    <w:p>
      <w:pPr>
        <w:rPr>
          <w:rFonts w:ascii="宋体" w:hAnsi="宋体"/>
          <w:szCs w:val="21"/>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62"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62"/>
    <w:p>
      <w:pPr>
        <w:ind w:firstLine="420" w:firstLineChars="200"/>
        <w:rPr>
          <w:rFonts w:ascii="黑体" w:hAnsi="宋体" w:eastAsia="黑体"/>
          <w:szCs w:val="21"/>
        </w:rPr>
      </w:pPr>
      <w:r>
        <w:rPr>
          <w:rFonts w:hint="eastAsia" w:ascii="黑体" w:hAnsi="宋体" w:eastAsia="黑体"/>
          <w:szCs w:val="21"/>
        </w:rPr>
        <w:t>15．</w:t>
      </w:r>
      <w:bookmarkStart w:id="63"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具体内容在招标文件专用条款中进行规定。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63"/>
    <w:p>
      <w:pPr>
        <w:ind w:firstLine="420" w:firstLineChars="200"/>
        <w:rPr>
          <w:rFonts w:ascii="黑体" w:hAnsi="宋体" w:eastAsia="黑体"/>
          <w:szCs w:val="21"/>
        </w:rPr>
      </w:pPr>
      <w:r>
        <w:rPr>
          <w:rFonts w:hint="eastAsia" w:ascii="黑体" w:hAnsi="宋体" w:eastAsia="黑体"/>
          <w:szCs w:val="21"/>
        </w:rPr>
        <w:t>18．</w:t>
      </w:r>
      <w:bookmarkStart w:id="64" w:name="_Hlk72401735"/>
      <w:r>
        <w:rPr>
          <w:rFonts w:hint="eastAsia" w:ascii="黑体" w:hAnsi="宋体" w:eastAsia="黑体"/>
          <w:szCs w:val="21"/>
        </w:rPr>
        <w:t>证明投标文件投标技术方案的合格性和符合招标文件规定的文件要求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64"/>
    <w:p>
      <w:pPr>
        <w:ind w:firstLine="420" w:firstLineChars="200"/>
        <w:rPr>
          <w:rFonts w:ascii="黑体" w:hAnsi="宋体" w:eastAsia="黑体"/>
          <w:szCs w:val="21"/>
        </w:rPr>
      </w:pPr>
      <w:r>
        <w:rPr>
          <w:rFonts w:hint="eastAsia" w:ascii="黑体" w:hAnsi="宋体" w:eastAsia="黑体"/>
          <w:szCs w:val="21"/>
        </w:rPr>
        <w:t>19．</w:t>
      </w:r>
      <w:bookmarkStart w:id="65"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66" w:name="_Hlk71407299"/>
    </w:p>
    <w:bookmarkEnd w:id="66"/>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65"/>
    <w:p>
      <w:pPr>
        <w:ind w:firstLine="420" w:firstLineChars="200"/>
        <w:rPr>
          <w:rFonts w:ascii="宋体" w:hAnsi="宋体"/>
          <w:szCs w:val="21"/>
        </w:rPr>
      </w:pPr>
      <w:bookmarkStart w:id="6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7"/>
    <w:p>
      <w:pPr>
        <w:ind w:firstLine="420" w:firstLineChars="200"/>
        <w:rPr>
          <w:rFonts w:ascii="黑体" w:hAnsi="宋体" w:eastAsia="黑体"/>
          <w:szCs w:val="21"/>
        </w:rPr>
      </w:pPr>
      <w:r>
        <w:rPr>
          <w:rFonts w:hint="eastAsia" w:ascii="黑体" w:hAnsi="宋体" w:eastAsia="黑体"/>
          <w:szCs w:val="21"/>
        </w:rPr>
        <w:t>21．</w:t>
      </w:r>
      <w:bookmarkStart w:id="68"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8"/>
    <w:p>
      <w:pPr>
        <w:ind w:firstLine="420" w:firstLineChars="200"/>
        <w:rPr>
          <w:rFonts w:ascii="黑体" w:hAnsi="宋体" w:eastAsia="黑体"/>
          <w:szCs w:val="21"/>
        </w:rPr>
      </w:pPr>
      <w:r>
        <w:rPr>
          <w:rFonts w:hint="eastAsia" w:ascii="黑体" w:hAnsi="宋体" w:eastAsia="黑体"/>
          <w:szCs w:val="21"/>
        </w:rPr>
        <w:t>23．</w:t>
      </w:r>
      <w:bookmarkStart w:id="69"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23.2.3要求用《投标书编制软件》编制投标书的包，不能用其它方式编制投标书。编制投标文件时，电脑须连通互联网。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23.2.4投标文件不能带病毒。政府集中采购机构将用专业杀毒软件对投标文件进行病毒检测，如果这两种软件均报告发现病毒，则政府集中采购机构认为该投标文件带病毒。</w:t>
      </w:r>
    </w:p>
    <w:p>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23.2.7投标文件编写完成后，</w:t>
      </w:r>
      <w:r>
        <w:rPr>
          <w:rFonts w:hint="eastAsia" w:ascii="宋体" w:hAnsi="宋体"/>
          <w:b/>
          <w:szCs w:val="21"/>
        </w:rPr>
        <w:t>必须用属于投标人的电子密钥进行加密，否则视同未盖公章，将导致投标文件无效。</w:t>
      </w:r>
    </w:p>
    <w:p>
      <w:pPr>
        <w:ind w:firstLine="420" w:firstLineChars="200"/>
        <w:rPr>
          <w:rFonts w:ascii="宋体" w:hAnsi="宋体"/>
          <w:szCs w:val="21"/>
        </w:rPr>
      </w:pPr>
      <w:r>
        <w:rPr>
          <w:rFonts w:hint="eastAsia" w:ascii="宋体" w:hAnsi="宋体"/>
          <w:szCs w:val="21"/>
        </w:rPr>
        <w:t>23.2.8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23.2.9如果开标时出现网络故障、技术故障，影响了采购活动，政府集中采购机构有权采取措施如延期、接受无法从网上上传的投标书等，以保障采购活动的公开、公平和公正。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9"/>
    </w:p>
    <w:p>
      <w:pPr>
        <w:ind w:firstLine="411" w:firstLineChars="196"/>
        <w:rPr>
          <w:rFonts w:ascii="宋体" w:hAnsi="宋体"/>
          <w:szCs w:val="21"/>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ascii="黑体" w:hAnsi="宋体" w:eastAsia="黑体"/>
          <w:szCs w:val="21"/>
        </w:rPr>
      </w:pPr>
      <w:bookmarkStart w:id="70" w:name="_Hlk72405459"/>
      <w:r>
        <w:rPr>
          <w:rFonts w:hint="eastAsia" w:ascii="黑体" w:hAnsi="宋体" w:eastAsia="黑体"/>
          <w:szCs w:val="21"/>
        </w:rPr>
        <w:t>24．投标文件的保密</w:t>
      </w:r>
    </w:p>
    <w:p>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0"/>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ascii="黑体" w:hAnsi="宋体" w:eastAsia="黑体"/>
          <w:szCs w:val="21"/>
        </w:rPr>
      </w:pPr>
      <w:bookmarkStart w:id="71"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71"/>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72"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2"/>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30.1公开发布的招标文件，包括图纸、服务清单、答疑文件等；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30.3评审委员会应当认真研究招标文件，至少应了解熟悉以下内容：</w:t>
      </w:r>
    </w:p>
    <w:p>
      <w:pPr>
        <w:ind w:firstLine="420" w:firstLineChars="200"/>
        <w:rPr>
          <w:rFonts w:ascii="宋体" w:hAnsi="宋体"/>
          <w:szCs w:val="21"/>
        </w:rPr>
      </w:pPr>
      <w:r>
        <w:rPr>
          <w:rFonts w:hint="eastAsia" w:ascii="宋体" w:hAnsi="宋体"/>
          <w:szCs w:val="21"/>
        </w:rPr>
        <w:t>（1）招标的目的；</w:t>
      </w:r>
    </w:p>
    <w:p>
      <w:pPr>
        <w:ind w:firstLine="420" w:firstLineChars="200"/>
        <w:rPr>
          <w:rFonts w:ascii="宋体" w:hAnsi="宋体"/>
          <w:szCs w:val="21"/>
        </w:rPr>
      </w:pPr>
      <w:r>
        <w:rPr>
          <w:rFonts w:hint="eastAsia" w:ascii="宋体" w:hAnsi="宋体"/>
          <w:szCs w:val="21"/>
        </w:rPr>
        <w:t>（2）招标项目需求的范围和性质；</w:t>
      </w:r>
    </w:p>
    <w:p>
      <w:pPr>
        <w:ind w:firstLine="420" w:firstLineChars="200"/>
        <w:rPr>
          <w:rFonts w:ascii="宋体" w:hAnsi="宋体"/>
          <w:szCs w:val="21"/>
        </w:rPr>
      </w:pPr>
      <w:r>
        <w:rPr>
          <w:rFonts w:hint="eastAsia" w:ascii="宋体" w:hAnsi="宋体"/>
          <w:szCs w:val="21"/>
        </w:rPr>
        <w:t>（3）招标文件规定的投标人的资格、财政预算限额、商务条款；</w:t>
      </w:r>
    </w:p>
    <w:p>
      <w:pPr>
        <w:ind w:firstLine="420" w:firstLineChars="200"/>
        <w:rPr>
          <w:rFonts w:ascii="宋体" w:hAnsi="宋体"/>
          <w:szCs w:val="21"/>
        </w:rPr>
      </w:pPr>
      <w:r>
        <w:rPr>
          <w:rFonts w:hint="eastAsia" w:ascii="宋体" w:hAnsi="宋体"/>
          <w:szCs w:val="21"/>
        </w:rPr>
        <w:t>（4）招标文件规定的评标程序、评标方法和评标因素；</w:t>
      </w:r>
    </w:p>
    <w:p>
      <w:pPr>
        <w:ind w:firstLine="420" w:firstLineChars="200"/>
        <w:rPr>
          <w:rFonts w:ascii="宋体" w:hAnsi="宋体"/>
          <w:szCs w:val="21"/>
        </w:rPr>
      </w:pPr>
      <w:r>
        <w:rPr>
          <w:rFonts w:hint="eastAsia" w:ascii="宋体" w:hAnsi="宋体"/>
          <w:szCs w:val="21"/>
        </w:rPr>
        <w:t>（5）招标文件所列示的资格性审查表及符合性审查表。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73"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73"/>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74" w:name="_Toc73517673"/>
      <w:bookmarkStart w:id="75" w:name="_Toc100052400"/>
      <w:bookmarkStart w:id="76" w:name="_Toc73518151"/>
      <w:bookmarkStart w:id="77" w:name="_Toc73521669"/>
      <w:bookmarkStart w:id="78" w:name="_Toc73521581"/>
      <w:r>
        <w:rPr>
          <w:rFonts w:hint="eastAsia" w:ascii="黑体" w:hAnsi="宋体" w:eastAsia="黑体"/>
          <w:szCs w:val="21"/>
        </w:rPr>
        <w:t>34．错误的修正</w:t>
      </w:r>
      <w:bookmarkEnd w:id="74"/>
      <w:bookmarkEnd w:id="75"/>
      <w:bookmarkEnd w:id="76"/>
      <w:bookmarkEnd w:id="77"/>
      <w:bookmarkEnd w:id="78"/>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79"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9"/>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80"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81" w:name="_Hlk73821177"/>
      <w:r>
        <w:rPr>
          <w:rFonts w:hint="eastAsia" w:ascii="ˎ̥" w:hAnsi="ˎ̥"/>
          <w:szCs w:val="21"/>
        </w:rPr>
        <w:t>唯一候选中标供应商</w:t>
      </w:r>
      <w:bookmarkEnd w:id="81"/>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82" w:name="_Hlk71469733"/>
      <w:r>
        <w:rPr>
          <w:szCs w:val="21"/>
        </w:rPr>
        <w:t>适用评定分离的</w:t>
      </w:r>
      <w:r>
        <w:rPr>
          <w:rFonts w:hint="eastAsia"/>
          <w:szCs w:val="21"/>
          <w:lang w:eastAsia="zh-CN"/>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83" w:name="_Hlk71469688"/>
      <w:r>
        <w:rPr>
          <w:szCs w:val="21"/>
        </w:rPr>
        <w:t>适用评定分离的</w:t>
      </w:r>
      <w:r>
        <w:rPr>
          <w:rFonts w:hint="eastAsia"/>
          <w:szCs w:val="21"/>
          <w:lang w:eastAsia="zh-CN"/>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2"/>
      <w:bookmarkEnd w:id="83"/>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w:t>
      </w:r>
      <w:r>
        <w:rPr>
          <w:rFonts w:hint="eastAsia"/>
          <w:szCs w:val="21"/>
          <w:lang w:val="en-US" w:eastAsia="zh-CN"/>
        </w:rPr>
        <w:t>参</w:t>
      </w:r>
      <w:r>
        <w:rPr>
          <w:rFonts w:hint="eastAsia"/>
          <w:szCs w:val="21"/>
        </w:rPr>
        <w:t>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80"/>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40．中标公告</w:t>
      </w:r>
    </w:p>
    <w:p>
      <w:pPr>
        <w:ind w:firstLine="420" w:firstLineChars="200"/>
        <w:rPr>
          <w:rFonts w:ascii="宋体" w:hAnsi="宋体"/>
          <w:szCs w:val="21"/>
        </w:rPr>
      </w:pPr>
      <w:r>
        <w:rPr>
          <w:rFonts w:hint="eastAsia" w:ascii="宋体" w:hAnsi="宋体"/>
          <w:szCs w:val="21"/>
        </w:rPr>
        <w:t>40.1</w:t>
      </w:r>
      <w:bookmarkStart w:id="84" w:name="_Hlk72438709"/>
      <w:r>
        <w:rPr>
          <w:rFonts w:hint="eastAsia" w:ascii="宋体" w:hAnsi="宋体"/>
          <w:szCs w:val="21"/>
        </w:rPr>
        <w:t>为体现“公开、公平、公正”的原则，评审结束后经采购人确认（确定）评审结果，政府集中采购机构将在</w:t>
      </w:r>
      <w:r>
        <w:rPr>
          <w:rFonts w:hint="eastAsia" w:ascii="宋体" w:hAnsi="宋体"/>
          <w:szCs w:val="21"/>
          <w:lang w:val="en-US" w:eastAsia="zh-CN"/>
        </w:rPr>
        <w:t>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84"/>
      <w:bookmarkStart w:id="8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85"/>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6"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6"/>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87" w:name="_Hlk71407340"/>
      <w:r>
        <w:rPr>
          <w:rFonts w:hint="eastAsia" w:ascii="宋体" w:hAnsi="宋体"/>
          <w:szCs w:val="21"/>
        </w:rPr>
        <w:t>41.3因质疑投诉或其它原因导致项目结果变更或采购终止的，政府集中采购机构有权吊销中标通知书。</w:t>
      </w:r>
    </w:p>
    <w:bookmarkEnd w:id="87"/>
    <w:p>
      <w:pPr>
        <w:ind w:firstLine="411" w:firstLineChars="196"/>
        <w:rPr>
          <w:rFonts w:ascii="宋体" w:hAnsi="宋体"/>
          <w:szCs w:val="21"/>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pPr>
        <w:ind w:firstLine="420" w:firstLineChars="200"/>
        <w:rPr>
          <w:rFonts w:ascii="黑体" w:hAnsi="宋体" w:eastAsia="黑体"/>
          <w:szCs w:val="21"/>
        </w:rPr>
      </w:pPr>
      <w:r>
        <w:rPr>
          <w:rFonts w:hint="eastAsia" w:ascii="黑体" w:hAnsi="宋体" w:eastAsia="黑体"/>
          <w:szCs w:val="21"/>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ind w:firstLine="420" w:firstLineChars="200"/>
        <w:rPr>
          <w:rFonts w:ascii="宋体" w:hAnsi="宋体"/>
          <w:szCs w:val="21"/>
        </w:rPr>
      </w:pPr>
    </w:p>
    <w:p>
      <w:pPr>
        <w:rPr>
          <w:rFonts w:ascii="黑体" w:hAnsi="宋体" w:eastAsia="黑体"/>
          <w:sz w:val="24"/>
        </w:rPr>
      </w:pPr>
    </w:p>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8" w:name="_Hlk72439043"/>
      <w:r>
        <w:rPr>
          <w:rFonts w:hint="eastAsia" w:asciiTheme="majorHAnsi" w:hAnsiTheme="majorHAnsi" w:eastAsiaTheme="majorEastAsia" w:cstheme="majorBidi"/>
          <w:b/>
          <w:bCs/>
          <w:sz w:val="28"/>
          <w:szCs w:val="28"/>
        </w:rPr>
        <w:t>合同的授予与备案</w:t>
      </w:r>
      <w:bookmarkEnd w:id="88"/>
    </w:p>
    <w:p>
      <w:pPr>
        <w:ind w:firstLine="420" w:firstLineChars="200"/>
        <w:rPr>
          <w:rFonts w:ascii="黑体" w:hAnsi="宋体" w:eastAsia="黑体"/>
          <w:szCs w:val="21"/>
        </w:rPr>
      </w:pPr>
      <w:bookmarkStart w:id="89" w:name="_Toc73521674"/>
      <w:bookmarkStart w:id="90" w:name="_Toc73521586"/>
      <w:bookmarkStart w:id="91" w:name="_Toc73517679"/>
      <w:bookmarkStart w:id="92" w:name="_Toc100052408"/>
      <w:bookmarkStart w:id="93" w:name="_Toc73518157"/>
      <w:bookmarkStart w:id="94" w:name="_Hlk72439088"/>
      <w:r>
        <w:rPr>
          <w:rFonts w:hint="eastAsia" w:ascii="黑体" w:hAnsi="宋体" w:eastAsia="黑体"/>
          <w:szCs w:val="21"/>
        </w:rPr>
        <w:t>43．合同授予标准</w:t>
      </w:r>
      <w:bookmarkEnd w:id="89"/>
      <w:bookmarkEnd w:id="90"/>
      <w:bookmarkEnd w:id="91"/>
      <w:bookmarkEnd w:id="92"/>
      <w:bookmarkEnd w:id="93"/>
    </w:p>
    <w:p>
      <w:pPr>
        <w:ind w:firstLine="420" w:firstLineChars="200"/>
        <w:rPr>
          <w:rFonts w:ascii="宋体" w:hAnsi="宋体"/>
          <w:szCs w:val="21"/>
        </w:rPr>
      </w:pPr>
      <w:r>
        <w:rPr>
          <w:rFonts w:hint="eastAsia" w:ascii="宋体" w:hAnsi="宋体"/>
          <w:szCs w:val="21"/>
        </w:rPr>
        <w:t>本项目的合同将授予经本招标文件规定评审确定的中标供应商。</w:t>
      </w:r>
    </w:p>
    <w:p>
      <w:pPr>
        <w:ind w:firstLine="420" w:firstLineChars="200"/>
        <w:rPr>
          <w:rFonts w:ascii="黑体" w:hAnsi="宋体" w:eastAsia="黑体"/>
          <w:szCs w:val="21"/>
        </w:rPr>
      </w:pPr>
      <w:bookmarkStart w:id="95" w:name="_Toc73517680"/>
      <w:bookmarkStart w:id="96" w:name="_Toc73521675"/>
      <w:bookmarkStart w:id="97" w:name="_Toc73518158"/>
      <w:bookmarkStart w:id="98" w:name="_Toc100052409"/>
      <w:bookmarkStart w:id="99" w:name="_Toc73521587"/>
      <w:r>
        <w:rPr>
          <w:rFonts w:hint="eastAsia" w:ascii="黑体" w:hAnsi="宋体" w:eastAsia="黑体"/>
          <w:szCs w:val="21"/>
        </w:rPr>
        <w:t>44．</w:t>
      </w:r>
      <w:bookmarkEnd w:id="95"/>
      <w:bookmarkEnd w:id="96"/>
      <w:bookmarkEnd w:id="97"/>
      <w:bookmarkEnd w:id="98"/>
      <w:bookmarkEnd w:id="99"/>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100" w:name="_Toc100052410"/>
      <w:bookmarkStart w:id="101" w:name="_Toc73517682"/>
      <w:bookmarkStart w:id="102" w:name="_Toc73518160"/>
      <w:bookmarkStart w:id="103" w:name="_Toc73521589"/>
      <w:bookmarkStart w:id="104" w:name="_Toc73521677"/>
      <w:r>
        <w:rPr>
          <w:rFonts w:hint="eastAsia" w:ascii="黑体" w:hAnsi="宋体" w:eastAsia="黑体"/>
          <w:szCs w:val="21"/>
        </w:rPr>
        <w:t>45．合同的签订</w:t>
      </w:r>
      <w:bookmarkEnd w:id="100"/>
      <w:bookmarkEnd w:id="101"/>
      <w:bookmarkEnd w:id="102"/>
      <w:bookmarkEnd w:id="103"/>
      <w:bookmarkEnd w:id="104"/>
    </w:p>
    <w:p>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pPr>
        <w:ind w:firstLine="420" w:firstLineChars="200"/>
        <w:rPr>
          <w:rFonts w:ascii="黑体" w:hAnsi="宋体" w:eastAsia="黑体"/>
          <w:szCs w:val="21"/>
        </w:rPr>
      </w:pPr>
      <w:bookmarkStart w:id="105" w:name="_Toc73521590"/>
      <w:bookmarkStart w:id="106" w:name="_Toc73517683"/>
      <w:bookmarkStart w:id="107" w:name="_Toc100052411"/>
      <w:bookmarkStart w:id="108" w:name="_Toc73518161"/>
      <w:bookmarkStart w:id="109" w:name="_Toc73521678"/>
      <w:r>
        <w:rPr>
          <w:rFonts w:hint="eastAsia" w:ascii="黑体" w:hAnsi="宋体" w:eastAsia="黑体"/>
          <w:szCs w:val="21"/>
        </w:rPr>
        <w:t>46．履约担保</w:t>
      </w:r>
      <w:bookmarkEnd w:id="105"/>
      <w:bookmarkEnd w:id="106"/>
      <w:bookmarkEnd w:id="107"/>
      <w:bookmarkEnd w:id="108"/>
      <w:bookmarkEnd w:id="109"/>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w:t>
      </w:r>
      <w:r>
        <w:rPr>
          <w:rFonts w:hint="eastAsia" w:ascii="宋体" w:hAnsi="宋体"/>
          <w:szCs w:val="21"/>
          <w:lang w:eastAsia="zh-CN"/>
        </w:rPr>
        <w:t>采购</w:t>
      </w:r>
      <w:r>
        <w:rPr>
          <w:rFonts w:hint="eastAsia" w:ascii="宋体" w:hAnsi="宋体"/>
          <w:szCs w:val="21"/>
        </w:rPr>
        <w:t>活动中出现《深圳经济特区政府采购条例实施细则》第八十条所列情形的，</w:t>
      </w:r>
      <w:bookmarkStart w:id="110" w:name="_Hlk72440769"/>
      <w:r>
        <w:rPr>
          <w:rFonts w:hint="eastAsia" w:ascii="宋体" w:hAnsi="宋体"/>
          <w:szCs w:val="21"/>
        </w:rPr>
        <w:t>政府集中采购机构或采购人不予退还其交纳的谈判保证金，情节严重的，并由主管部门</w:t>
      </w:r>
      <w:bookmarkEnd w:id="110"/>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rPr>
          <w:rFonts w:hint="eastAsia"/>
        </w:rPr>
      </w:pPr>
    </w:p>
    <w:bookmarkEnd w:id="94"/>
    <w:p>
      <w:pPr>
        <w:pStyle w:val="78"/>
        <w:keepNext/>
        <w:keepLines/>
        <w:numPr>
          <w:ilvl w:val="0"/>
          <w:numId w:val="17"/>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11" w:name="_Hlk75374941"/>
      <w:r>
        <w:rPr>
          <w:rFonts w:hint="eastAsia" w:ascii="宋体" w:hAnsi="宋体"/>
          <w:szCs w:val="21"/>
        </w:rPr>
        <w:t>以联合体形式参与的，质疑应当由组成联合体的所有成员共同提出</w:t>
      </w:r>
      <w:bookmarkEnd w:id="111"/>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57"/>
    </w:p>
    <w:p>
      <w:pPr>
        <w:rPr>
          <w:rFonts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AE0FD86-080A-4183-9F6A-EBC4A8CA5ABA}"/>
  </w:font>
  <w:font w:name="Arial">
    <w:panose1 w:val="020B0604020202020204"/>
    <w:charset w:val="01"/>
    <w:family w:val="swiss"/>
    <w:pitch w:val="default"/>
    <w:sig w:usb0="E0002EFF" w:usb1="C000785B" w:usb2="00000009" w:usb3="00000000" w:csb0="400001FF" w:csb1="FFFF0000"/>
    <w:embedRegular r:id="rId2" w:fontKey="{9CBC9094-92D3-473E-8845-26F364ECB4F0}"/>
  </w:font>
  <w:font w:name="黑体">
    <w:panose1 w:val="02010609060101010101"/>
    <w:charset w:val="86"/>
    <w:family w:val="auto"/>
    <w:pitch w:val="default"/>
    <w:sig w:usb0="800002BF" w:usb1="38CF7CFA" w:usb2="00000016" w:usb3="00000000" w:csb0="00040001" w:csb1="00000000"/>
    <w:embedRegular r:id="rId3" w:fontKey="{1A43F824-C1B9-459C-B890-6774074219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ADF9F14F-4240-45B8-8FD7-EBD244828CBD}"/>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1D76344F-0FE2-4444-AB5C-A75C875DB793}"/>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6" w:fontKey="{B43E0308-4D8B-4E5F-9D70-8C5A03752E41}"/>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embedRegular r:id="rId7" w:fontKey="{646A811D-84BC-4484-A515-1DCCD418D2E8}"/>
  </w:font>
  <w:font w:name="ˎ̥">
    <w:altName w:val="Times New Roman"/>
    <w:panose1 w:val="00000000000000000000"/>
    <w:charset w:val="00"/>
    <w:family w:val="roman"/>
    <w:pitch w:val="default"/>
    <w:sig w:usb0="00000000" w:usb1="00000000" w:usb2="00000000" w:usb3="00000000" w:csb0="00000000" w:csb1="00000000"/>
    <w:embedRegular r:id="rId8" w:fontKey="{A7BA3E16-CE5D-44EE-BCDA-454E7FCB37A4}"/>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9" w:fontKey="{03401B93-BE2B-401E-9A09-55641408B57A}"/>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7067"/>
    <w:multiLevelType w:val="singleLevel"/>
    <w:tmpl w:val="93EF7067"/>
    <w:lvl w:ilvl="0" w:tentative="0">
      <w:start w:val="1"/>
      <w:numFmt w:val="decimal"/>
      <w:lvlText w:val="%1."/>
      <w:lvlJc w:val="left"/>
      <w:pPr>
        <w:ind w:left="425" w:hanging="425"/>
      </w:pPr>
      <w:rPr>
        <w:rFonts w:hint="default"/>
      </w:rPr>
    </w:lvl>
  </w:abstractNum>
  <w:abstractNum w:abstractNumId="1">
    <w:nsid w:val="B2F58853"/>
    <w:multiLevelType w:val="singleLevel"/>
    <w:tmpl w:val="B2F58853"/>
    <w:lvl w:ilvl="0" w:tentative="0">
      <w:start w:val="1"/>
      <w:numFmt w:val="decimal"/>
      <w:lvlText w:val="%1."/>
      <w:lvlJc w:val="left"/>
      <w:pPr>
        <w:ind w:left="425" w:hanging="425"/>
      </w:pPr>
      <w:rPr>
        <w:rFonts w:hint="default"/>
      </w:rPr>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49689F4"/>
    <w:multiLevelType w:val="singleLevel"/>
    <w:tmpl w:val="149689F4"/>
    <w:lvl w:ilvl="0" w:tentative="0">
      <w:start w:val="7"/>
      <w:numFmt w:val="chineseCounting"/>
      <w:suff w:val="nothing"/>
      <w:lvlText w:val="%1、"/>
      <w:lvlJc w:val="left"/>
      <w:rPr>
        <w:rFonts w:hint="eastAsia"/>
      </w:rPr>
    </w:lvl>
  </w:abstractNum>
  <w:abstractNum w:abstractNumId="8">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AD31DB3"/>
    <w:multiLevelType w:val="singleLevel"/>
    <w:tmpl w:val="3AD31DB3"/>
    <w:lvl w:ilvl="0" w:tentative="0">
      <w:start w:val="2"/>
      <w:numFmt w:val="chineseCounting"/>
      <w:suff w:val="nothing"/>
      <w:lvlText w:val="（%1）"/>
      <w:lvlJc w:val="left"/>
      <w:rPr>
        <w:rFonts w:hint="eastAsia"/>
      </w:rPr>
    </w:lvl>
  </w:abstractNum>
  <w:abstractNum w:abstractNumId="12">
    <w:nsid w:val="3FB3DBEB"/>
    <w:multiLevelType w:val="singleLevel"/>
    <w:tmpl w:val="3FB3DBEB"/>
    <w:lvl w:ilvl="0" w:tentative="0">
      <w:start w:val="1"/>
      <w:numFmt w:val="decimal"/>
      <w:lvlText w:val="%1."/>
      <w:lvlJc w:val="left"/>
      <w:pPr>
        <w:ind w:left="425" w:hanging="425"/>
      </w:pPr>
      <w:rPr>
        <w:rFonts w:hint="default"/>
      </w:rPr>
    </w:lvl>
  </w:abstractNum>
  <w:abstractNum w:abstractNumId="13">
    <w:nsid w:val="4FCD0A13"/>
    <w:multiLevelType w:val="singleLevel"/>
    <w:tmpl w:val="4FCD0A13"/>
    <w:lvl w:ilvl="0" w:tentative="0">
      <w:start w:val="1"/>
      <w:numFmt w:val="decimal"/>
      <w:lvlText w:val="%1."/>
      <w:lvlJc w:val="left"/>
      <w:pPr>
        <w:ind w:left="425" w:hanging="425"/>
      </w:pPr>
      <w:rPr>
        <w:rFonts w:hint="default"/>
      </w:rPr>
    </w:lvl>
  </w:abstractNum>
  <w:abstractNum w:abstractNumId="14">
    <w:nsid w:val="6AEEDBBA"/>
    <w:multiLevelType w:val="singleLevel"/>
    <w:tmpl w:val="6AEEDBBA"/>
    <w:lvl w:ilvl="0" w:tentative="0">
      <w:start w:val="1"/>
      <w:numFmt w:val="decimal"/>
      <w:lvlText w:val="%1."/>
      <w:lvlJc w:val="left"/>
      <w:pPr>
        <w:ind w:left="425" w:hanging="425"/>
      </w:pPr>
      <w:rPr>
        <w:rFonts w:hint="default"/>
      </w:rPr>
    </w:lvl>
  </w:abstractNum>
  <w:abstractNum w:abstractNumId="15">
    <w:nsid w:val="773D0D92"/>
    <w:multiLevelType w:val="singleLevel"/>
    <w:tmpl w:val="773D0D92"/>
    <w:lvl w:ilvl="0" w:tentative="0">
      <w:start w:val="2"/>
      <w:numFmt w:val="decimal"/>
      <w:lvlText w:val="%1."/>
      <w:lvlJc w:val="left"/>
      <w:pPr>
        <w:tabs>
          <w:tab w:val="left" w:pos="312"/>
        </w:tabs>
        <w:ind w:left="600" w:leftChars="0" w:firstLine="0" w:firstLineChars="0"/>
      </w:pPr>
    </w:lvl>
  </w:abstractNum>
  <w:abstractNum w:abstractNumId="16">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6"/>
  </w:num>
  <w:num w:numId="5">
    <w:abstractNumId w:val="16"/>
  </w:num>
  <w:num w:numId="6">
    <w:abstractNumId w:val="9"/>
  </w:num>
  <w:num w:numId="7">
    <w:abstractNumId w:val="11"/>
  </w:num>
  <w:num w:numId="8">
    <w:abstractNumId w:val="2"/>
  </w:num>
  <w:num w:numId="9">
    <w:abstractNumId w:val="14"/>
  </w:num>
  <w:num w:numId="10">
    <w:abstractNumId w:val="0"/>
  </w:num>
  <w:num w:numId="11">
    <w:abstractNumId w:val="1"/>
  </w:num>
  <w:num w:numId="12">
    <w:abstractNumId w:val="12"/>
  </w:num>
  <w:num w:numId="13">
    <w:abstractNumId w:val="13"/>
  </w:num>
  <w:num w:numId="14">
    <w:abstractNumId w:val="3"/>
  </w:num>
  <w:num w:numId="15">
    <w:abstractNumId w:val="15"/>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MjQyYWZiM2QxZDA4NjVmNjY5ZWFjYjA3NmY3MjcifQ=="/>
    <w:docVar w:name="KSO_WPS_MARK_KEY" w:val="b4349f00-3c2f-4c06-97de-9ee43f556153"/>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5D11D1B"/>
    <w:rsid w:val="05FA7789"/>
    <w:rsid w:val="06016F3E"/>
    <w:rsid w:val="067D4F9E"/>
    <w:rsid w:val="06877DFA"/>
    <w:rsid w:val="07AF301F"/>
    <w:rsid w:val="08204893"/>
    <w:rsid w:val="086F7E62"/>
    <w:rsid w:val="08E27D9B"/>
    <w:rsid w:val="093A1D5C"/>
    <w:rsid w:val="099512B1"/>
    <w:rsid w:val="09F07824"/>
    <w:rsid w:val="0A40746F"/>
    <w:rsid w:val="0B0104DC"/>
    <w:rsid w:val="0B5C3E34"/>
    <w:rsid w:val="0B60651B"/>
    <w:rsid w:val="0B9340C0"/>
    <w:rsid w:val="0BB26C18"/>
    <w:rsid w:val="0BDF6813"/>
    <w:rsid w:val="0CBA3508"/>
    <w:rsid w:val="0D1077DD"/>
    <w:rsid w:val="0D32334D"/>
    <w:rsid w:val="0D646E2A"/>
    <w:rsid w:val="0ECD6BB9"/>
    <w:rsid w:val="0F5170F1"/>
    <w:rsid w:val="0FDF53A3"/>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F77FBB"/>
    <w:rsid w:val="22E67766"/>
    <w:rsid w:val="23286980"/>
    <w:rsid w:val="23486984"/>
    <w:rsid w:val="23FF13A9"/>
    <w:rsid w:val="245E4A59"/>
    <w:rsid w:val="25184241"/>
    <w:rsid w:val="25E22D55"/>
    <w:rsid w:val="260E7FC9"/>
    <w:rsid w:val="26284DDB"/>
    <w:rsid w:val="27BF3329"/>
    <w:rsid w:val="27D72D69"/>
    <w:rsid w:val="27D864ED"/>
    <w:rsid w:val="28C768EF"/>
    <w:rsid w:val="28DD6E23"/>
    <w:rsid w:val="29422464"/>
    <w:rsid w:val="2A31206B"/>
    <w:rsid w:val="2ACE1AD5"/>
    <w:rsid w:val="2B9C7E34"/>
    <w:rsid w:val="2BA96061"/>
    <w:rsid w:val="2CED6C3A"/>
    <w:rsid w:val="2D0C788F"/>
    <w:rsid w:val="2D295F9A"/>
    <w:rsid w:val="2E2B27AB"/>
    <w:rsid w:val="2E921DA5"/>
    <w:rsid w:val="2EBB09DD"/>
    <w:rsid w:val="30006A18"/>
    <w:rsid w:val="30045057"/>
    <w:rsid w:val="30067888"/>
    <w:rsid w:val="30667B76"/>
    <w:rsid w:val="307410C2"/>
    <w:rsid w:val="30852128"/>
    <w:rsid w:val="313C5E2A"/>
    <w:rsid w:val="33052E4F"/>
    <w:rsid w:val="33A7782C"/>
    <w:rsid w:val="34CC52D7"/>
    <w:rsid w:val="34FF745B"/>
    <w:rsid w:val="35AF558A"/>
    <w:rsid w:val="364A5420"/>
    <w:rsid w:val="37FA3B07"/>
    <w:rsid w:val="38125841"/>
    <w:rsid w:val="393435C0"/>
    <w:rsid w:val="3A660185"/>
    <w:rsid w:val="3BDD4E74"/>
    <w:rsid w:val="3BF16943"/>
    <w:rsid w:val="3BF76679"/>
    <w:rsid w:val="3C254167"/>
    <w:rsid w:val="3C3A56FC"/>
    <w:rsid w:val="3C54617F"/>
    <w:rsid w:val="3D9C10CD"/>
    <w:rsid w:val="3DC6005E"/>
    <w:rsid w:val="3DF02037"/>
    <w:rsid w:val="3E734A16"/>
    <w:rsid w:val="3E80785E"/>
    <w:rsid w:val="3EDE6333"/>
    <w:rsid w:val="3FA34647"/>
    <w:rsid w:val="411529FB"/>
    <w:rsid w:val="41CA2D0D"/>
    <w:rsid w:val="41CF23DC"/>
    <w:rsid w:val="41DB399D"/>
    <w:rsid w:val="42A11473"/>
    <w:rsid w:val="42CD7868"/>
    <w:rsid w:val="454C7069"/>
    <w:rsid w:val="458F0387"/>
    <w:rsid w:val="45D41AB1"/>
    <w:rsid w:val="45E17242"/>
    <w:rsid w:val="46634A89"/>
    <w:rsid w:val="46BE3798"/>
    <w:rsid w:val="47462CC7"/>
    <w:rsid w:val="4764220C"/>
    <w:rsid w:val="47833F1C"/>
    <w:rsid w:val="47B6656B"/>
    <w:rsid w:val="48DF3CF4"/>
    <w:rsid w:val="496D2C84"/>
    <w:rsid w:val="49F76548"/>
    <w:rsid w:val="4A621C58"/>
    <w:rsid w:val="4A8907BB"/>
    <w:rsid w:val="4B110B90"/>
    <w:rsid w:val="4C2149E6"/>
    <w:rsid w:val="4D986247"/>
    <w:rsid w:val="4DAD0AEE"/>
    <w:rsid w:val="4DE33966"/>
    <w:rsid w:val="4E8135B3"/>
    <w:rsid w:val="4F267444"/>
    <w:rsid w:val="503C40AD"/>
    <w:rsid w:val="508D27A6"/>
    <w:rsid w:val="51C4760A"/>
    <w:rsid w:val="52101936"/>
    <w:rsid w:val="53083749"/>
    <w:rsid w:val="55B84EAE"/>
    <w:rsid w:val="56382C47"/>
    <w:rsid w:val="59171178"/>
    <w:rsid w:val="597B4491"/>
    <w:rsid w:val="59A57D21"/>
    <w:rsid w:val="5A9B6510"/>
    <w:rsid w:val="5C1B17B8"/>
    <w:rsid w:val="5C8A1451"/>
    <w:rsid w:val="5D0A42CB"/>
    <w:rsid w:val="5ED8763C"/>
    <w:rsid w:val="5F0E70B0"/>
    <w:rsid w:val="5F6D308F"/>
    <w:rsid w:val="5FE23A7E"/>
    <w:rsid w:val="5FFC7D0A"/>
    <w:rsid w:val="60515EE8"/>
    <w:rsid w:val="61250170"/>
    <w:rsid w:val="61603C1A"/>
    <w:rsid w:val="61910E2C"/>
    <w:rsid w:val="62324D67"/>
    <w:rsid w:val="62854069"/>
    <w:rsid w:val="62A241F2"/>
    <w:rsid w:val="63331D15"/>
    <w:rsid w:val="64220BB4"/>
    <w:rsid w:val="64F40429"/>
    <w:rsid w:val="64F9215C"/>
    <w:rsid w:val="651E6376"/>
    <w:rsid w:val="660D7080"/>
    <w:rsid w:val="6658788B"/>
    <w:rsid w:val="67297071"/>
    <w:rsid w:val="67E1648C"/>
    <w:rsid w:val="69A9410F"/>
    <w:rsid w:val="6A217DF6"/>
    <w:rsid w:val="6A371DEF"/>
    <w:rsid w:val="6B100175"/>
    <w:rsid w:val="6B122952"/>
    <w:rsid w:val="6B37721A"/>
    <w:rsid w:val="6BD91572"/>
    <w:rsid w:val="6BEB3CFE"/>
    <w:rsid w:val="6C662F7C"/>
    <w:rsid w:val="6C804AB4"/>
    <w:rsid w:val="6DE55656"/>
    <w:rsid w:val="6E261BA7"/>
    <w:rsid w:val="6E6713A2"/>
    <w:rsid w:val="732E2E41"/>
    <w:rsid w:val="73762E92"/>
    <w:rsid w:val="73FA724D"/>
    <w:rsid w:val="74B75416"/>
    <w:rsid w:val="751050E8"/>
    <w:rsid w:val="768C6099"/>
    <w:rsid w:val="77736FF8"/>
    <w:rsid w:val="784576F8"/>
    <w:rsid w:val="78767A5E"/>
    <w:rsid w:val="79960562"/>
    <w:rsid w:val="79FA5A10"/>
    <w:rsid w:val="7A2307C6"/>
    <w:rsid w:val="7A54626B"/>
    <w:rsid w:val="7BF02C60"/>
    <w:rsid w:val="7C050DEC"/>
    <w:rsid w:val="7C8D66C7"/>
    <w:rsid w:val="7CC43D31"/>
    <w:rsid w:val="7D0050EB"/>
    <w:rsid w:val="7DFD76C5"/>
    <w:rsid w:val="7DFF53A3"/>
    <w:rsid w:val="7E816BC7"/>
    <w:rsid w:val="7ECA59B1"/>
    <w:rsid w:val="7F6C2EA6"/>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1"/>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6"/>
    <w:qFormat/>
    <w:uiPriority w:val="0"/>
    <w:pPr>
      <w:adjustRightInd w:val="0"/>
      <w:jc w:val="center"/>
      <w:textAlignment w:val="baseline"/>
      <w:outlineLvl w:val="1"/>
    </w:pPr>
    <w:rPr>
      <w:kern w:val="0"/>
      <w:sz w:val="24"/>
      <w:szCs w:val="20"/>
    </w:rPr>
  </w:style>
  <w:style w:type="paragraph" w:styleId="4">
    <w:name w:val="heading 3"/>
    <w:basedOn w:val="5"/>
    <w:next w:val="1"/>
    <w:link w:val="60"/>
    <w:qFormat/>
    <w:uiPriority w:val="9"/>
    <w:pPr>
      <w:spacing w:before="260" w:after="260" w:line="240" w:lineRule="auto"/>
      <w:outlineLvl w:val="2"/>
    </w:pPr>
    <w:rPr>
      <w:rFonts w:ascii="宋体" w:hAnsi="宋体" w:eastAsia="宋体"/>
      <w:szCs w:val="32"/>
    </w:rPr>
  </w:style>
  <w:style w:type="paragraph" w:styleId="5">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keepLines/>
      <w:spacing w:before="280" w:after="290" w:line="376" w:lineRule="auto"/>
      <w:outlineLvl w:val="4"/>
    </w:pPr>
    <w:rPr>
      <w:b/>
      <w:sz w:val="28"/>
      <w:szCs w:val="20"/>
    </w:rPr>
  </w:style>
  <w:style w:type="paragraph" w:styleId="9">
    <w:name w:val="heading 6"/>
    <w:basedOn w:val="1"/>
    <w:next w:val="8"/>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9"/>
    <w:qFormat/>
    <w:uiPriority w:val="0"/>
    <w:pPr>
      <w:keepNext/>
      <w:keepLines/>
      <w:spacing w:before="240" w:after="64" w:line="320" w:lineRule="auto"/>
      <w:outlineLvl w:val="6"/>
    </w:pPr>
    <w:rPr>
      <w:b/>
      <w:sz w:val="24"/>
      <w:szCs w:val="20"/>
    </w:rPr>
  </w:style>
  <w:style w:type="paragraph" w:styleId="11">
    <w:name w:val="heading 8"/>
    <w:basedOn w:val="1"/>
    <w:next w:val="8"/>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line="360" w:lineRule="auto"/>
    </w:pPr>
    <w:rPr>
      <w:b/>
      <w:bCs/>
      <w:sz w:val="24"/>
    </w:rPr>
  </w:style>
  <w:style w:type="paragraph" w:styleId="8">
    <w:name w:val="Normal Indent"/>
    <w:basedOn w:val="1"/>
    <w:link w:val="62"/>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next w:val="2"/>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5"/>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4"/>
    <w:qFormat/>
    <w:uiPriority w:val="9"/>
    <w:rPr>
      <w:rFonts w:ascii="宋体" w:hAnsi="宋体" w:eastAsia="宋体"/>
      <w:b/>
      <w:bCs/>
      <w:kern w:val="2"/>
      <w:sz w:val="28"/>
      <w:szCs w:val="32"/>
      <w:lang w:val="en-US" w:eastAsia="zh-CN" w:bidi="ar-SA"/>
    </w:rPr>
  </w:style>
  <w:style w:type="character" w:customStyle="1" w:styleId="61">
    <w:name w:val="标题 1 字符"/>
    <w:link w:val="3"/>
    <w:qFormat/>
    <w:uiPriority w:val="0"/>
    <w:rPr>
      <w:rFonts w:ascii="宋体" w:hAnsi="宋体" w:eastAsia="黑体"/>
      <w:b/>
      <w:bCs/>
      <w:kern w:val="44"/>
      <w:sz w:val="28"/>
      <w:szCs w:val="44"/>
      <w:lang w:val="en-US" w:eastAsia="zh-CN" w:bidi="ar-SA"/>
    </w:rPr>
  </w:style>
  <w:style w:type="character" w:customStyle="1" w:styleId="62">
    <w:name w:val="正文缩进 字符"/>
    <w:link w:val="8"/>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6"/>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6"/>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19"/>
    <w:qFormat/>
    <w:uiPriority w:val="0"/>
    <w:rPr>
      <w:rFonts w:eastAsia="宋体"/>
      <w:kern w:val="2"/>
      <w:sz w:val="21"/>
      <w:szCs w:val="24"/>
      <w:lang w:val="en-US" w:eastAsia="zh-CN" w:bidi="ar-SA"/>
    </w:rPr>
  </w:style>
  <w:style w:type="character" w:customStyle="1" w:styleId="85">
    <w:name w:val="标题 5 字符"/>
    <w:link w:val="7"/>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4"/>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5"/>
    <w:qFormat/>
    <w:uiPriority w:val="0"/>
    <w:rPr>
      <w:rFonts w:ascii="宋体" w:hAnsi="宋体" w:eastAsia="宋体"/>
      <w:kern w:val="2"/>
      <w:sz w:val="21"/>
      <w:szCs w:val="24"/>
      <w:lang w:val="en-US" w:eastAsia="zh-CN" w:bidi="ar-SA"/>
    </w:rPr>
  </w:style>
  <w:style w:type="character" w:customStyle="1" w:styleId="99">
    <w:name w:val="页眉 字符"/>
    <w:link w:val="28"/>
    <w:qFormat/>
    <w:uiPriority w:val="99"/>
    <w:rPr>
      <w:rFonts w:eastAsia="宋体"/>
      <w:kern w:val="2"/>
      <w:sz w:val="18"/>
      <w:szCs w:val="18"/>
      <w:lang w:val="en-US" w:eastAsia="zh-CN" w:bidi="ar-SA"/>
    </w:rPr>
  </w:style>
  <w:style w:type="character" w:customStyle="1" w:styleId="100">
    <w:name w:val="正文文本缩进 3 字符"/>
    <w:link w:val="32"/>
    <w:qFormat/>
    <w:uiPriority w:val="0"/>
    <w:rPr>
      <w:rFonts w:ascii="宋体" w:eastAsia="宋体"/>
      <w:b/>
      <w:bCs/>
      <w:kern w:val="2"/>
      <w:sz w:val="24"/>
      <w:szCs w:val="24"/>
      <w:lang w:val="en-US" w:eastAsia="zh-CN" w:bidi="ar-SA"/>
    </w:rPr>
  </w:style>
  <w:style w:type="character" w:customStyle="1" w:styleId="101">
    <w:name w:val="正文文本 2 字符"/>
    <w:link w:val="35"/>
    <w:qFormat/>
    <w:uiPriority w:val="0"/>
    <w:rPr>
      <w:rFonts w:eastAsia="宋体"/>
      <w:kern w:val="2"/>
      <w:sz w:val="24"/>
      <w:szCs w:val="24"/>
      <w:lang w:val="en-US" w:eastAsia="zh-CN" w:bidi="ar-SA"/>
    </w:rPr>
  </w:style>
  <w:style w:type="character" w:customStyle="1" w:styleId="102">
    <w:name w:val="页脚 字符"/>
    <w:link w:val="27"/>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2">
    <w:name w:val="font31"/>
    <w:basedOn w:val="4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43588</Words>
  <Characters>45983</Characters>
  <Lines>339</Lines>
  <Paragraphs>95</Paragraphs>
  <TotalTime>89</TotalTime>
  <ScaleCrop>false</ScaleCrop>
  <LinksUpToDate>false</LinksUpToDate>
  <CharactersWithSpaces>50135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2024-06-27T01:45:00Z</dcterms:created>
  <dc:creator>thsware</dc:creator>
  <cp:lastModifiedBy>张泓</cp:lastModifiedBy>
  <cp:lastPrinted>2021-05-09T08:02:00Z</cp:lastPrinted>
  <dcterms:modified xsi:type="dcterms:W3CDTF">2024-11-20T09:42:36Z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AE38B5248F2D4513A7277F624D432CFB</vt:lpwstr>
  </property>
</Properties>
</file>