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8DC86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20" w:lineRule="exact"/>
        <w:ind w:left="0" w:leftChars="0" w:right="0" w:firstLine="643" w:firstLineChars="200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highlight w:val="none"/>
        </w:rPr>
        <w:t>东部公交采购管理系统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highlight w:val="none"/>
        </w:rPr>
        <w:t>说明</w:t>
      </w:r>
    </w:p>
    <w:p w14:paraId="03CF5624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请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参与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我公司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采购项目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的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供应商进入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东部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公交采购管理系统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https://cg.ebuscloud.com:18076)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完成供应商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注册、报名、保证金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转账凭证上传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流程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操作步骤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简述如下：</w:t>
      </w:r>
    </w:p>
    <w:p w14:paraId="6BB0C0B0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outlineLvl w:val="1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1.供应商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注册</w:t>
      </w:r>
    </w:p>
    <w:p w14:paraId="0939ACF0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注册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:进入东部公交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网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https://cg.ebuscloud.com:18076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，选择【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用户身份注册-投标人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供应商）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注册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58641A77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1.2信息完善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注册信息-信息完善-提交审批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注册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录入，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完善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基本信息、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资质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信息、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联系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人信息、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银行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账户、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主体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业绩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完成后提交审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；若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需信息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变更，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则请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变更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后再次提交审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79BDF89A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default" w:ascii="宋体" w:hAnsi="宋体" w:eastAsia="仿宋_GB2312" w:cs="仿宋_GB2312"/>
          <w:b w:val="0"/>
          <w:bCs w:val="0"/>
          <w:sz w:val="32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1.3审批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审核通过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为注册成功，供应商可进入报名环节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如提交后一直未审批，可及时联系项目负责人。</w:t>
      </w:r>
    </w:p>
    <w:p w14:paraId="6D1F3668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outlineLvl w:val="1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2.供应商报名</w:t>
      </w:r>
    </w:p>
    <w:p w14:paraId="3B8F5846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2.1进入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项目管理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选择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我要报名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，选择要报名的采购项目进行报名，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设置投标联系人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上传项目报名材料提交审核</w:t>
      </w:r>
    </w:p>
    <w:p w14:paraId="21E79DB8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2.2审批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批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为报名成功，供应商可进入投标环节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如提交后一直未审批，可及时联系项目负责人。</w:t>
      </w:r>
    </w:p>
    <w:p w14:paraId="1852D55B">
      <w:pPr>
        <w:keepNext w:val="0"/>
        <w:keepLines/>
        <w:pageBreakBefore w:val="0"/>
        <w:widowControl w:val="0"/>
        <w:kinsoku/>
        <w:overflowPunct/>
        <w:topLinePunct w:val="0"/>
        <w:bidi w:val="0"/>
        <w:spacing w:beforeAutospacing="0" w:afterAutospacing="0" w:line="520" w:lineRule="exact"/>
        <w:ind w:left="0" w:leftChars="0" w:right="0" w:firstLine="640" w:firstLineChars="200"/>
        <w:jc w:val="both"/>
        <w:outlineLvl w:val="1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3.投标/响应保证金转账凭证上传</w:t>
      </w:r>
    </w:p>
    <w:p w14:paraId="4ACE408F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人应在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文件规定的时间内完成保证金的递交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</w:p>
    <w:p w14:paraId="5D70E0D1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递交操作：在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文件中查看保证金收款账户信息，并及时将保证金款项汇至指定账户中。</w:t>
      </w:r>
    </w:p>
    <w:p w14:paraId="0C903590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由于财务审核需要一定时间，建议投标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人尽量提前完成保证金递交。保证金递交完成后，请在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东部公交采购管理系统上传投标保证金转账凭证，未在指定时间缴纳响应保证金导致影响投标/响应不成功的由投标/响应人自行负责。</w:t>
      </w:r>
    </w:p>
    <w:p w14:paraId="4AB91D5D">
      <w:pPr>
        <w:keepNext w:val="0"/>
        <w:keepLines/>
        <w:pageBreakBefore w:val="0"/>
        <w:widowControl w:val="0"/>
        <w:kinsoku/>
        <w:overflowPunct/>
        <w:topLinePunct w:val="0"/>
        <w:bidi w:val="0"/>
        <w:spacing w:beforeAutospacing="0" w:afterAutospacing="0" w:line="520" w:lineRule="exact"/>
        <w:ind w:left="0" w:leftChars="0" w:right="0" w:firstLine="640" w:firstLineChars="200"/>
        <w:jc w:val="both"/>
        <w:outlineLvl w:val="1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4.供应商投标/响应</w:t>
      </w:r>
    </w:p>
    <w:p w14:paraId="68F69FFD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报名成功后，供应商登录之后，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在左侧的菜单中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找到【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项目管理-我参与的项目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】菜单并点击，右侧操作窗口展示该供应商报名审核通过的项目信息。</w:t>
      </w:r>
    </w:p>
    <w:p w14:paraId="4B3592B9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在项目信息列表，点击【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参与项目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】按钮，切换到投标界面，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输入报价、上传盖章版的标书扫描pdf附件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，点击【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提交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】按钮可以提交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投标，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未在指定时间上传投标文件导致投标/响应不成功的由投标/响应人自行负责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72DA9F32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4.3如在以上任何步骤中有不明确或操作有误的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请尽快咨询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项目负责人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以保证正常投标。</w:t>
      </w:r>
    </w:p>
    <w:p w14:paraId="3EBAF95B">
      <w:pPr>
        <w:keepNext w:val="0"/>
        <w:keepLines/>
        <w:pageBreakBefore w:val="0"/>
        <w:widowControl w:val="0"/>
        <w:kinsoku/>
        <w:overflowPunct/>
        <w:topLinePunct w:val="0"/>
        <w:bidi w:val="0"/>
        <w:spacing w:beforeAutospacing="0" w:afterAutospacing="0" w:line="520" w:lineRule="exact"/>
        <w:ind w:left="0" w:leftChars="0" w:right="0" w:firstLine="640" w:firstLineChars="200"/>
        <w:jc w:val="both"/>
        <w:outlineLvl w:val="1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5.招标结果的发布</w:t>
      </w:r>
    </w:p>
    <w:p w14:paraId="2D692A6C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深圳阳光采购平台（www.szygcgpt.com）及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东部公交采购管理系统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http://cg.ebuscloud.com:18076)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等相关网站发布招标结果公告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00C303B8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宋体" w:hAnsi="宋体" w:eastAsia="仿宋_GB2312" w:cs="宋体"/>
          <w:b w:val="0"/>
          <w:bCs w:val="0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人登陆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后，在供应商向导中点击【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结果公告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】，打开查看结果公告界面，展示项目结果公告信息。</w:t>
      </w:r>
    </w:p>
    <w:p w14:paraId="47CE6907">
      <w:pPr>
        <w:keepNext w:val="0"/>
        <w:keepLines/>
        <w:pageBreakBefore w:val="0"/>
        <w:widowControl w:val="0"/>
        <w:kinsoku/>
        <w:overflowPunct/>
        <w:topLinePunct w:val="0"/>
        <w:bidi w:val="0"/>
        <w:spacing w:beforeAutospacing="0" w:afterAutospacing="0" w:line="520" w:lineRule="exact"/>
        <w:ind w:left="0" w:leftChars="0" w:right="0" w:firstLine="640" w:firstLineChars="200"/>
        <w:jc w:val="both"/>
        <w:outlineLvl w:val="1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6.投标/响应人注意事项</w:t>
      </w:r>
    </w:p>
    <w:p w14:paraId="04FFBD4B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在系统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递交投标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递交投标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文件时，电子投标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文件必须在投标截止时间前上传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并及时联系项目负责人，确认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/响应文件已成功上传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。为防止网络阻塞，建议在投标截止时间之日前一天上传文件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未在指定时间上传投标文件导致投标/响应不成功的由投标/响应人自行负责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039076C5">
      <w:pPr>
        <w:keepNext w:val="0"/>
        <w:keepLines/>
        <w:pageBreakBefore w:val="0"/>
        <w:widowControl w:val="0"/>
        <w:kinsoku/>
        <w:overflowPunct/>
        <w:topLinePunct w:val="0"/>
        <w:bidi w:val="0"/>
        <w:spacing w:beforeAutospacing="0" w:afterAutospacing="0" w:line="520" w:lineRule="exact"/>
        <w:ind w:left="0" w:leftChars="0" w:right="0" w:firstLine="640" w:firstLineChars="200"/>
        <w:jc w:val="both"/>
        <w:outlineLvl w:val="1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7.其他</w:t>
      </w:r>
    </w:p>
    <w:p w14:paraId="2DE89BEE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详细操作可在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东部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公交采购管理系统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首页右下角的“帮助中心”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下载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《采购管理系统操作指引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--供应商角色登记备案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《采购管理系统操作指引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--供应商角色参与招标采购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》。</w:t>
      </w:r>
    </w:p>
    <w:p w14:paraId="198867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OTY2YTdiYzMzNTIzYjFlMmY5MmI3ZTFlMzg2NmUifQ=="/>
  </w:docVars>
  <w:rsids>
    <w:rsidRoot w:val="1D0535EB"/>
    <w:rsid w:val="1CF37A46"/>
    <w:rsid w:val="1D0535EB"/>
    <w:rsid w:val="3FBC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1134</Words>
  <Characters>1291</Characters>
  <Lines>0</Lines>
  <Paragraphs>0</Paragraphs>
  <TotalTime>0</TotalTime>
  <ScaleCrop>false</ScaleCrop>
  <LinksUpToDate>false</LinksUpToDate>
  <CharactersWithSpaces>1291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2024-04-23T09:07:00Z</dcterms:created>
  <dc:creator>刘彦岑</dc:creator>
  <cp:lastModifiedBy>刘彦岑</cp:lastModifiedBy>
  <dcterms:modified xsi:type="dcterms:W3CDTF">2025-09-10T08:42:12Z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C63452E2FFD5467EA88E5DB6461E9097_11</vt:lpwstr>
  </property>
  <property fmtid="{D5CDD505-2E9C-101B-9397-08002B2CF9AE}" pid="4" name="KSOTemplateDocerSaveRecord">
    <vt:lpwstr>eyJoZGlkIjoiZDdiMDMzYzFhZTVkYmNlMzJiZDkxNDdhNWE5ZWMyMDMiLCJ1c2VySWQiOiIxNTc1NzU3MTMwIn0=</vt:lpwstr>
  </property>
</Properties>
</file>