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8D3D0">
      <w:pPr>
        <w:pStyle w:val="3"/>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auto"/>
        <w:rPr>
          <w:rStyle w:val="11"/>
          <w:rFonts w:hint="eastAsia" w:ascii="方正小标宋简体" w:hAnsi="方正小标宋简体" w:eastAsia="方正小标宋简体" w:cs="方正小标宋简体"/>
          <w:b w:val="0"/>
          <w:bCs w:val="0"/>
          <w:sz w:val="44"/>
          <w:szCs w:val="44"/>
          <w:lang w:val="en-US" w:eastAsia="zh-CN"/>
        </w:rPr>
      </w:pPr>
      <w:r>
        <w:rPr>
          <w:rStyle w:val="11"/>
          <w:rFonts w:hint="eastAsia" w:ascii="方正小标宋简体" w:hAnsi="方正小标宋简体" w:eastAsia="方正小标宋简体" w:cs="方正小标宋简体"/>
          <w:b w:val="0"/>
          <w:bCs w:val="0"/>
          <w:sz w:val="44"/>
          <w:szCs w:val="44"/>
          <w:lang w:val="en-US" w:eastAsia="zh-CN"/>
        </w:rPr>
        <w:t>货物报关及配套服务框架采购</w:t>
      </w:r>
    </w:p>
    <w:p w14:paraId="7009BBAE">
      <w:pPr>
        <w:pStyle w:val="3"/>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auto"/>
        <w:rPr>
          <w:rFonts w:hint="eastAsia" w:ascii="方正小标宋简体" w:hAnsi="方正小标宋简体" w:eastAsia="方正小标宋简体" w:cs="方正小标宋简体"/>
          <w:b w:val="0"/>
          <w:bCs w:val="0"/>
          <w:sz w:val="44"/>
          <w:szCs w:val="44"/>
        </w:rPr>
      </w:pPr>
      <w:r>
        <w:rPr>
          <w:rStyle w:val="11"/>
          <w:rFonts w:hint="eastAsia" w:ascii="方正小标宋简体" w:hAnsi="方正小标宋简体" w:eastAsia="方正小标宋简体" w:cs="方正小标宋简体"/>
          <w:b w:val="0"/>
          <w:bCs w:val="0"/>
          <w:sz w:val="44"/>
          <w:szCs w:val="44"/>
          <w:lang w:val="en-US" w:eastAsia="zh-CN"/>
        </w:rPr>
        <w:t>项目</w:t>
      </w:r>
      <w:r>
        <w:rPr>
          <w:rStyle w:val="11"/>
          <w:rFonts w:hint="eastAsia" w:ascii="方正小标宋简体" w:hAnsi="方正小标宋简体" w:eastAsia="方正小标宋简体" w:cs="方正小标宋简体"/>
          <w:b w:val="0"/>
          <w:bCs w:val="0"/>
          <w:sz w:val="44"/>
          <w:szCs w:val="44"/>
        </w:rPr>
        <w:t>招标文件</w:t>
      </w:r>
    </w:p>
    <w:p w14:paraId="2CDF28D6">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textAlignment w:val="auto"/>
        <w:rPr>
          <w:rStyle w:val="11"/>
          <w:rFonts w:hint="eastAsia" w:ascii="黑体" w:hAnsi="黑体" w:eastAsia="黑体" w:cs="黑体"/>
          <w:b w:val="0"/>
          <w:bCs w:val="0"/>
          <w:sz w:val="32"/>
          <w:szCs w:val="32"/>
        </w:rPr>
      </w:pPr>
    </w:p>
    <w:p w14:paraId="749AB0CC">
      <w:pPr>
        <w:pStyle w:val="4"/>
        <w:keepNext w:val="0"/>
        <w:keepLines w:val="0"/>
        <w:pageBreakBefore w:val="0"/>
        <w:widowControl/>
        <w:numPr>
          <w:ilvl w:val="0"/>
          <w:numId w:val="1"/>
        </w:numPr>
        <w:suppressLineNumbers w:val="0"/>
        <w:kinsoku/>
        <w:wordWrap/>
        <w:overflowPunct/>
        <w:topLinePunct w:val="0"/>
        <w:autoSpaceDE/>
        <w:autoSpaceDN/>
        <w:bidi w:val="0"/>
        <w:adjustRightInd/>
        <w:snapToGrid w:val="0"/>
        <w:spacing w:beforeAutospacing="0" w:afterAutospacing="0" w:line="560" w:lineRule="exact"/>
        <w:ind w:left="0" w:leftChars="0" w:firstLine="420" w:firstLineChars="0"/>
        <w:textAlignment w:val="auto"/>
        <w:rPr>
          <w:rFonts w:hint="eastAsia" w:ascii="黑体" w:hAnsi="黑体" w:eastAsia="黑体" w:cs="黑体"/>
          <w:b w:val="0"/>
          <w:bCs w:val="0"/>
          <w:sz w:val="32"/>
          <w:szCs w:val="32"/>
        </w:rPr>
      </w:pPr>
      <w:r>
        <w:rPr>
          <w:rStyle w:val="11"/>
          <w:rFonts w:hint="eastAsia" w:ascii="黑体" w:hAnsi="黑体" w:eastAsia="黑体" w:cs="黑体"/>
          <w:b w:val="0"/>
          <w:bCs w:val="0"/>
          <w:sz w:val="32"/>
          <w:szCs w:val="32"/>
        </w:rPr>
        <w:t>项目概况</w:t>
      </w:r>
      <w:r>
        <w:rPr>
          <w:rFonts w:hint="eastAsia" w:ascii="黑体" w:hAnsi="黑体" w:eastAsia="黑体" w:cs="黑体"/>
          <w:b w:val="0"/>
          <w:bCs w:val="0"/>
          <w:sz w:val="32"/>
          <w:szCs w:val="32"/>
        </w:rPr>
        <w:t xml:space="preserve"> </w:t>
      </w:r>
    </w:p>
    <w:p w14:paraId="7E4D38FF">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为保障采购人</w:t>
      </w:r>
      <w:r>
        <w:rPr>
          <w:rFonts w:hint="eastAsia" w:ascii="仿宋_GB2312" w:hAnsi="仿宋_GB2312" w:eastAsia="仿宋_GB2312" w:cs="仿宋_GB2312"/>
          <w:sz w:val="32"/>
          <w:szCs w:val="32"/>
          <w:lang w:eastAsia="zh-CN"/>
        </w:rPr>
        <w:t>进出口</w:t>
      </w:r>
      <w:r>
        <w:rPr>
          <w:rFonts w:hint="eastAsia" w:ascii="仿宋_GB2312" w:hAnsi="仿宋_GB2312" w:eastAsia="仿宋_GB2312" w:cs="仿宋_GB2312"/>
          <w:sz w:val="32"/>
          <w:szCs w:val="32"/>
        </w:rPr>
        <w:t>货物的通关效率及供应链稳定性，现拟通过公开招标方式遴选合格的供应商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提供</w:t>
      </w:r>
      <w:r>
        <w:rPr>
          <w:rFonts w:hint="eastAsia" w:ascii="仿宋_GB2312" w:hAnsi="仿宋_GB2312" w:eastAsia="仿宋_GB2312" w:cs="仿宋_GB2312"/>
          <w:sz w:val="32"/>
          <w:szCs w:val="32"/>
          <w:highlight w:val="none"/>
          <w:lang w:val="en-US" w:eastAsia="zh-CN"/>
        </w:rPr>
        <w:t>包括但不限于</w:t>
      </w:r>
      <w:r>
        <w:rPr>
          <w:rFonts w:hint="eastAsia" w:ascii="仿宋_GB2312" w:hAnsi="仿宋_GB2312" w:eastAsia="仿宋_GB2312" w:cs="仿宋_GB2312"/>
          <w:sz w:val="32"/>
          <w:szCs w:val="32"/>
          <w:highlight w:val="none"/>
        </w:rPr>
        <w:t>进</w:t>
      </w:r>
      <w:r>
        <w:rPr>
          <w:rFonts w:hint="eastAsia" w:ascii="仿宋_GB2312" w:hAnsi="仿宋_GB2312" w:eastAsia="仿宋_GB2312" w:cs="仿宋_GB2312"/>
          <w:sz w:val="32"/>
          <w:szCs w:val="32"/>
          <w:highlight w:val="none"/>
          <w:lang w:val="en-US" w:eastAsia="zh-CN"/>
        </w:rPr>
        <w:t>出</w:t>
      </w:r>
      <w:r>
        <w:rPr>
          <w:rFonts w:hint="eastAsia" w:ascii="仿宋_GB2312" w:hAnsi="仿宋_GB2312" w:eastAsia="仿宋_GB2312" w:cs="仿宋_GB2312"/>
          <w:sz w:val="32"/>
          <w:szCs w:val="32"/>
          <w:highlight w:val="none"/>
        </w:rPr>
        <w:t>口货物报关、报检、查验配合、单证制作与归档等全流程通关服务；货物短期暂存、分拣、贴标、打包等仓储管理服务；仓库至客户指定地点的配送服务；以及协助完成进口货物对外付汇手续</w:t>
      </w:r>
      <w:r>
        <w:rPr>
          <w:rFonts w:hint="eastAsia" w:ascii="仿宋_GB2312" w:hAnsi="仿宋_GB2312" w:eastAsia="仿宋_GB2312" w:cs="仿宋_GB2312"/>
          <w:sz w:val="32"/>
          <w:szCs w:val="32"/>
        </w:rPr>
        <w:t>。</w:t>
      </w:r>
    </w:p>
    <w:p w14:paraId="4AF52DB2">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本次招标</w:t>
      </w:r>
      <w:r>
        <w:rPr>
          <w:rFonts w:hint="eastAsia" w:ascii="仿宋_GB2312" w:hAnsi="仿宋_GB2312" w:eastAsia="仿宋_GB2312" w:cs="仿宋_GB2312"/>
          <w:sz w:val="32"/>
          <w:szCs w:val="32"/>
          <w:lang w:val="en-US" w:eastAsia="zh-CN"/>
        </w:rPr>
        <w:t>为框架性采购</w:t>
      </w:r>
      <w:r>
        <w:rPr>
          <w:rFonts w:hint="eastAsia" w:ascii="仿宋_GB2312" w:hAnsi="仿宋_GB2312" w:eastAsia="仿宋_GB2312" w:cs="仿宋_GB2312"/>
          <w:sz w:val="32"/>
          <w:szCs w:val="32"/>
        </w:rPr>
        <w:t>。采购人根据实际业务需要向中标供应商下达具体服务订单，采购人不承诺最低业务量、最低货值或最低结算金额，最终以实际发生且验收合格的服务据实结算。</w:t>
      </w:r>
    </w:p>
    <w:p w14:paraId="3352D428">
      <w:pPr>
        <w:pStyle w:val="7"/>
        <w:keepNext w:val="0"/>
        <w:keepLines w:val="0"/>
        <w:pageBreakBefore w:val="0"/>
        <w:widowControl/>
        <w:numPr>
          <w:ilvl w:val="0"/>
          <w:numId w:val="2"/>
        </w:numPr>
        <w:suppressLineNumbers w:val="0"/>
        <w:kinsoku/>
        <w:wordWrap/>
        <w:overflowPunct/>
        <w:topLinePunct w:val="0"/>
        <w:autoSpaceDE/>
        <w:autoSpaceDN/>
        <w:bidi w:val="0"/>
        <w:adjustRightInd/>
        <w:snapToGrid w:val="0"/>
        <w:spacing w:beforeAutospacing="0" w:afterAutospacing="0" w:line="560" w:lineRule="exact"/>
        <w:ind w:left="0" w:leftChars="0" w:firstLine="420" w:firstLineChars="0"/>
        <w:textAlignment w:val="auto"/>
        <w:rPr>
          <w:rFonts w:hint="eastAsia" w:ascii="楷体_GB2312" w:hAnsi="楷体_GB2312" w:eastAsia="楷体_GB2312" w:cs="楷体_GB2312"/>
          <w:b w:val="0"/>
          <w:bCs/>
          <w:sz w:val="32"/>
          <w:szCs w:val="32"/>
        </w:rPr>
      </w:pPr>
      <w:r>
        <w:rPr>
          <w:rStyle w:val="11"/>
          <w:rFonts w:hint="eastAsia" w:ascii="楷体_GB2312" w:hAnsi="楷体_GB2312" w:eastAsia="楷体_GB2312" w:cs="楷体_GB2312"/>
          <w:b w:val="0"/>
          <w:bCs/>
          <w:sz w:val="32"/>
          <w:szCs w:val="32"/>
        </w:rPr>
        <w:t>项目名称</w:t>
      </w:r>
    </w:p>
    <w:p w14:paraId="43A54756">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货物</w:t>
      </w:r>
      <w:r>
        <w:rPr>
          <w:rFonts w:hint="eastAsia" w:ascii="仿宋_GB2312" w:hAnsi="仿宋_GB2312" w:eastAsia="仿宋_GB2312" w:cs="仿宋_GB2312"/>
          <w:sz w:val="32"/>
          <w:szCs w:val="32"/>
        </w:rPr>
        <w:t>报关及配套服务</w:t>
      </w:r>
      <w:r>
        <w:rPr>
          <w:rFonts w:hint="eastAsia" w:ascii="仿宋_GB2312" w:hAnsi="仿宋_GB2312" w:eastAsia="仿宋_GB2312" w:cs="仿宋_GB2312"/>
          <w:sz w:val="32"/>
          <w:szCs w:val="32"/>
          <w:lang w:val="en-US" w:eastAsia="zh-CN"/>
        </w:rPr>
        <w:t>框架</w:t>
      </w:r>
      <w:r>
        <w:rPr>
          <w:rFonts w:hint="eastAsia" w:ascii="仿宋_GB2312" w:hAnsi="仿宋_GB2312" w:eastAsia="仿宋_GB2312" w:cs="仿宋_GB2312"/>
          <w:sz w:val="32"/>
          <w:szCs w:val="32"/>
        </w:rPr>
        <w:t>采购项目</w:t>
      </w:r>
    </w:p>
    <w:p w14:paraId="63C9D9F5">
      <w:pPr>
        <w:pStyle w:val="7"/>
        <w:keepNext w:val="0"/>
        <w:keepLines w:val="0"/>
        <w:pageBreakBefore w:val="0"/>
        <w:widowControl/>
        <w:numPr>
          <w:ilvl w:val="0"/>
          <w:numId w:val="2"/>
        </w:numPr>
        <w:suppressLineNumbers w:val="0"/>
        <w:kinsoku/>
        <w:wordWrap/>
        <w:overflowPunct/>
        <w:topLinePunct w:val="0"/>
        <w:autoSpaceDE/>
        <w:autoSpaceDN/>
        <w:bidi w:val="0"/>
        <w:adjustRightInd/>
        <w:snapToGrid w:val="0"/>
        <w:spacing w:beforeAutospacing="0" w:afterAutospacing="0" w:line="560" w:lineRule="exact"/>
        <w:ind w:left="0" w:leftChars="0" w:firstLine="420" w:firstLineChars="0"/>
        <w:jc w:val="left"/>
        <w:textAlignment w:val="auto"/>
        <w:rPr>
          <w:rStyle w:val="11"/>
          <w:rFonts w:hint="eastAsia" w:ascii="楷体_GB2312" w:hAnsi="楷体_GB2312" w:eastAsia="楷体_GB2312" w:cs="楷体_GB2312"/>
          <w:b w:val="0"/>
          <w:bCs/>
          <w:sz w:val="32"/>
          <w:szCs w:val="32"/>
        </w:rPr>
      </w:pPr>
      <w:r>
        <w:rPr>
          <w:rStyle w:val="11"/>
          <w:rFonts w:hint="eastAsia" w:ascii="楷体_GB2312" w:hAnsi="楷体_GB2312" w:eastAsia="楷体_GB2312" w:cs="楷体_GB2312"/>
          <w:b w:val="0"/>
          <w:bCs/>
          <w:sz w:val="32"/>
          <w:szCs w:val="32"/>
        </w:rPr>
        <w:t>采购内容</w:t>
      </w:r>
    </w:p>
    <w:p w14:paraId="1283ABD5">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采购满足</w:t>
      </w:r>
      <w:r>
        <w:rPr>
          <w:rFonts w:hint="eastAsia" w:ascii="仿宋_GB2312" w:hAnsi="仿宋_GB2312" w:eastAsia="仿宋_GB2312" w:cs="仿宋_GB2312"/>
          <w:sz w:val="32"/>
          <w:szCs w:val="32"/>
          <w:lang w:val="en-US" w:eastAsia="zh-CN"/>
        </w:rPr>
        <w:t>进出口</w:t>
      </w:r>
      <w:r>
        <w:rPr>
          <w:rFonts w:hint="eastAsia" w:ascii="仿宋_GB2312" w:hAnsi="仿宋_GB2312" w:eastAsia="仿宋_GB2312" w:cs="仿宋_GB2312"/>
          <w:sz w:val="32"/>
          <w:szCs w:val="32"/>
        </w:rPr>
        <w:t>货物清关、暂存及配送需求的综合服务。具体包括：</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1.报关服务：从境外进出口至境内的货物报关、报检、查验配合、单证制作与归档等。</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2.仓储服务：提供货物短期暂存、分拣、贴标、打包等仓储管理服务。</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3.物流服务：从发货仓至采购人指定地点（包括但不限于深圳市内及广东省内）的配送服务。</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4.付汇服务：中标供应商作为代理付汇主体，协助采购人完成采购货物的对外付汇手续。</w:t>
      </w:r>
    </w:p>
    <w:p w14:paraId="7CA7349B">
      <w:pPr>
        <w:pStyle w:val="7"/>
        <w:keepNext w:val="0"/>
        <w:keepLines w:val="0"/>
        <w:pageBreakBefore w:val="0"/>
        <w:widowControl/>
        <w:numPr>
          <w:ilvl w:val="0"/>
          <w:numId w:val="2"/>
        </w:numPr>
        <w:suppressLineNumbers w:val="0"/>
        <w:kinsoku/>
        <w:wordWrap/>
        <w:overflowPunct/>
        <w:topLinePunct w:val="0"/>
        <w:autoSpaceDE/>
        <w:autoSpaceDN/>
        <w:bidi w:val="0"/>
        <w:adjustRightInd/>
        <w:snapToGrid w:val="0"/>
        <w:spacing w:beforeAutospacing="0" w:afterAutospacing="0" w:line="560" w:lineRule="exact"/>
        <w:ind w:left="0" w:leftChars="0" w:firstLine="420" w:firstLineChars="0"/>
        <w:jc w:val="left"/>
        <w:textAlignment w:val="auto"/>
        <w:rPr>
          <w:rStyle w:val="11"/>
          <w:rFonts w:hint="eastAsia" w:ascii="楷体_GB2312" w:hAnsi="楷体_GB2312" w:eastAsia="楷体_GB2312" w:cs="楷体_GB2312"/>
          <w:b w:val="0"/>
          <w:bCs/>
          <w:sz w:val="32"/>
          <w:szCs w:val="32"/>
        </w:rPr>
      </w:pPr>
      <w:r>
        <w:rPr>
          <w:rStyle w:val="11"/>
          <w:rFonts w:hint="eastAsia" w:ascii="楷体_GB2312" w:hAnsi="楷体_GB2312" w:eastAsia="楷体_GB2312" w:cs="楷体_GB2312"/>
          <w:b w:val="0"/>
          <w:bCs/>
          <w:sz w:val="32"/>
          <w:szCs w:val="32"/>
        </w:rPr>
        <w:t>服务期限</w:t>
      </w:r>
    </w:p>
    <w:p w14:paraId="68537AB4">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本次框架协议的服务期限采用双重截止机制：</w:t>
      </w:r>
    </w:p>
    <w:p w14:paraId="7D0A65B7">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自框架协议签订之日起有</w:t>
      </w:r>
      <w:r>
        <w:rPr>
          <w:rFonts w:hint="eastAsia" w:ascii="仿宋_GB2312" w:hAnsi="仿宋_GB2312" w:eastAsia="仿宋_GB2312" w:cs="仿宋_GB2312"/>
          <w:sz w:val="32"/>
          <w:szCs w:val="32"/>
          <w:highlight w:val="none"/>
        </w:rPr>
        <w:t>效期1年；</w:t>
      </w:r>
    </w:p>
    <w:p w14:paraId="438F3D69">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框架协议约定的预算总金额（</w:t>
      </w:r>
      <w:r>
        <w:rPr>
          <w:rFonts w:hint="eastAsia" w:ascii="仿宋_GB2312" w:hAnsi="仿宋_GB2312" w:eastAsia="仿宋_GB2312" w:cs="仿宋_GB2312"/>
          <w:sz w:val="32"/>
          <w:szCs w:val="32"/>
          <w:highlight w:val="none"/>
          <w:lang w:val="en-US" w:eastAsia="zh-CN"/>
        </w:rPr>
        <w:t>75</w:t>
      </w:r>
      <w:r>
        <w:rPr>
          <w:rFonts w:hint="eastAsia" w:ascii="仿宋_GB2312" w:hAnsi="仿宋_GB2312" w:eastAsia="仿宋_GB2312" w:cs="仿宋_GB2312"/>
          <w:sz w:val="32"/>
          <w:szCs w:val="32"/>
          <w:highlight w:val="none"/>
        </w:rPr>
        <w:t>万元）使用完毕。</w:t>
      </w:r>
    </w:p>
    <w:p w14:paraId="74B40A52">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以上两项条件中任意一项先达到，则框架协议自动终止。协议到期后，采购人可根据供应商在服务期内的交付效能、服务质量、配合度等综合能力评估结果，决定是否与其续签框架协议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如</w:t>
      </w:r>
      <w:r>
        <w:rPr>
          <w:rFonts w:hint="eastAsia" w:ascii="仿宋_GB2312" w:hAnsi="仿宋_GB2312" w:eastAsia="仿宋_GB2312" w:cs="仿宋_GB2312"/>
          <w:sz w:val="32"/>
          <w:szCs w:val="32"/>
          <w:highlight w:val="none"/>
        </w:rPr>
        <w:t>续签最多不超过2次。</w:t>
      </w:r>
    </w:p>
    <w:p w14:paraId="58DE5476">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若中标供应商为两家，则两家供应商共同享有本框架协议项下的预算总额（75万元），采购人有权根据供应商的服务能力、履约质量、价格水平等多维因素进行综合评估，自主选择其中一家供应商承接具体业务订单。当两家供应商累计完成的业务结算金额达到预算总额时，框架协议自动终止。中标供应商不得就采购人的业务分配决策提出任何异议或索赔。</w:t>
      </w:r>
    </w:p>
    <w:p w14:paraId="273A29AB">
      <w:pPr>
        <w:pStyle w:val="7"/>
        <w:keepNext w:val="0"/>
        <w:keepLines w:val="0"/>
        <w:pageBreakBefore w:val="0"/>
        <w:widowControl/>
        <w:numPr>
          <w:ilvl w:val="0"/>
          <w:numId w:val="2"/>
        </w:numPr>
        <w:suppressLineNumbers w:val="0"/>
        <w:kinsoku/>
        <w:wordWrap/>
        <w:overflowPunct/>
        <w:topLinePunct w:val="0"/>
        <w:autoSpaceDE/>
        <w:autoSpaceDN/>
        <w:bidi w:val="0"/>
        <w:adjustRightInd/>
        <w:snapToGrid w:val="0"/>
        <w:spacing w:beforeAutospacing="0" w:afterAutospacing="0" w:line="560" w:lineRule="exact"/>
        <w:ind w:left="0" w:leftChars="0" w:firstLine="420" w:firstLineChars="0"/>
        <w:jc w:val="left"/>
        <w:textAlignment w:val="auto"/>
        <w:rPr>
          <w:rFonts w:hint="eastAsia" w:ascii="仿宋_GB2312" w:hAnsi="仿宋_GB2312" w:eastAsia="仿宋_GB2312" w:cs="仿宋_GB2312"/>
          <w:sz w:val="32"/>
          <w:szCs w:val="32"/>
          <w:highlight w:val="none"/>
        </w:rPr>
      </w:pPr>
      <w:r>
        <w:rPr>
          <w:rStyle w:val="11"/>
          <w:rFonts w:hint="eastAsia" w:ascii="楷体_GB2312" w:hAnsi="楷体_GB2312" w:eastAsia="楷体_GB2312" w:cs="楷体_GB2312"/>
          <w:b w:val="0"/>
          <w:bCs/>
          <w:sz w:val="32"/>
          <w:szCs w:val="32"/>
          <w:highlight w:val="none"/>
        </w:rPr>
        <w:t>服务地点：</w:t>
      </w:r>
      <w:r>
        <w:rPr>
          <w:rFonts w:hint="eastAsia" w:ascii="仿宋_GB2312" w:hAnsi="仿宋_GB2312" w:eastAsia="仿宋_GB2312" w:cs="仿宋_GB2312"/>
          <w:sz w:val="32"/>
          <w:szCs w:val="32"/>
          <w:highlight w:val="none"/>
          <w:lang w:val="en-US" w:eastAsia="zh-CN"/>
        </w:rPr>
        <w:t>包括但不限于深圳市、广东省其他地区，具体以采购人指定地区为准</w:t>
      </w:r>
      <w:r>
        <w:rPr>
          <w:rFonts w:hint="eastAsia" w:ascii="仿宋_GB2312" w:hAnsi="仿宋_GB2312" w:eastAsia="仿宋_GB2312" w:cs="仿宋_GB2312"/>
          <w:sz w:val="32"/>
          <w:szCs w:val="32"/>
          <w:highlight w:val="none"/>
        </w:rPr>
        <w:t>。</w:t>
      </w:r>
    </w:p>
    <w:p w14:paraId="3F5DE570">
      <w:pPr>
        <w:pStyle w:val="7"/>
        <w:keepNext w:val="0"/>
        <w:keepLines w:val="0"/>
        <w:pageBreakBefore w:val="0"/>
        <w:widowControl/>
        <w:numPr>
          <w:ilvl w:val="0"/>
          <w:numId w:val="2"/>
        </w:numPr>
        <w:suppressLineNumbers w:val="0"/>
        <w:kinsoku/>
        <w:wordWrap/>
        <w:overflowPunct/>
        <w:topLinePunct w:val="0"/>
        <w:autoSpaceDE/>
        <w:autoSpaceDN/>
        <w:bidi w:val="0"/>
        <w:adjustRightInd/>
        <w:snapToGrid w:val="0"/>
        <w:spacing w:beforeAutospacing="0" w:afterAutospacing="0" w:line="560" w:lineRule="exact"/>
        <w:ind w:left="0" w:leftChars="0" w:firstLine="420" w:firstLineChars="0"/>
        <w:jc w:val="left"/>
        <w:textAlignment w:val="auto"/>
        <w:rPr>
          <w:rStyle w:val="11"/>
          <w:rFonts w:hint="eastAsia" w:ascii="楷体_GB2312" w:hAnsi="楷体_GB2312" w:eastAsia="楷体_GB2312" w:cs="楷体_GB2312"/>
          <w:b w:val="0"/>
          <w:bCs/>
          <w:sz w:val="32"/>
          <w:szCs w:val="32"/>
        </w:rPr>
      </w:pPr>
      <w:r>
        <w:rPr>
          <w:rStyle w:val="11"/>
          <w:rFonts w:hint="eastAsia" w:ascii="楷体_GB2312" w:hAnsi="楷体_GB2312" w:eastAsia="楷体_GB2312" w:cs="楷体_GB2312"/>
          <w:b w:val="0"/>
          <w:bCs/>
          <w:sz w:val="32"/>
          <w:szCs w:val="32"/>
        </w:rPr>
        <w:t>服务模式：</w:t>
      </w:r>
      <w:r>
        <w:rPr>
          <w:rFonts w:hint="eastAsia" w:ascii="仿宋_GB2312" w:hAnsi="仿宋_GB2312" w:eastAsia="仿宋_GB2312" w:cs="仿宋_GB2312"/>
          <w:sz w:val="32"/>
          <w:szCs w:val="32"/>
        </w:rPr>
        <w:t>采购人根据</w:t>
      </w:r>
      <w:r>
        <w:rPr>
          <w:rFonts w:hint="eastAsia" w:ascii="仿宋_GB2312" w:hAnsi="仿宋_GB2312" w:eastAsia="仿宋_GB2312" w:cs="仿宋_GB2312"/>
          <w:sz w:val="32"/>
          <w:szCs w:val="32"/>
          <w:lang w:eastAsia="zh-CN"/>
        </w:rPr>
        <w:t>进出口</w:t>
      </w:r>
      <w:r>
        <w:rPr>
          <w:rFonts w:hint="eastAsia" w:ascii="仿宋_GB2312" w:hAnsi="仿宋_GB2312" w:eastAsia="仿宋_GB2312" w:cs="仿宋_GB2312"/>
          <w:sz w:val="32"/>
          <w:szCs w:val="32"/>
        </w:rPr>
        <w:t>计划，一般提前1-2个工作日向中标供应商下达服务指令。中标供应商应按要求完成报关、入库、配送等全链条操作。中标供应商应具备货物贸易项下代理付汇的合规资质与实操能力，能够实现“报关+付汇”主体一致性，确保资金流与货物流匹配，满足外汇管理局监管要求。</w:t>
      </w:r>
    </w:p>
    <w:p w14:paraId="421531B5">
      <w:pPr>
        <w:pStyle w:val="4"/>
        <w:keepNext w:val="0"/>
        <w:keepLines w:val="0"/>
        <w:pageBreakBefore w:val="0"/>
        <w:widowControl/>
        <w:numPr>
          <w:ilvl w:val="0"/>
          <w:numId w:val="1"/>
        </w:numPr>
        <w:suppressLineNumbers w:val="0"/>
        <w:kinsoku/>
        <w:wordWrap/>
        <w:overflowPunct/>
        <w:topLinePunct w:val="0"/>
        <w:autoSpaceDE/>
        <w:autoSpaceDN/>
        <w:bidi w:val="0"/>
        <w:adjustRightInd/>
        <w:snapToGrid w:val="0"/>
        <w:spacing w:beforeAutospacing="0" w:afterAutospacing="0" w:line="560" w:lineRule="exact"/>
        <w:ind w:left="0" w:leftChars="0" w:firstLine="420" w:firstLineChars="0"/>
        <w:jc w:val="left"/>
        <w:textAlignment w:val="auto"/>
        <w:rPr>
          <w:rStyle w:val="11"/>
          <w:rFonts w:hint="eastAsia" w:ascii="黑体" w:hAnsi="黑体" w:eastAsia="黑体" w:cs="黑体"/>
          <w:b w:val="0"/>
          <w:bCs w:val="0"/>
          <w:sz w:val="32"/>
          <w:szCs w:val="32"/>
        </w:rPr>
      </w:pPr>
      <w:r>
        <w:rPr>
          <w:rStyle w:val="11"/>
          <w:rFonts w:hint="eastAsia" w:ascii="黑体" w:hAnsi="黑体" w:eastAsia="黑体" w:cs="黑体"/>
          <w:b w:val="0"/>
          <w:bCs w:val="0"/>
          <w:sz w:val="32"/>
          <w:szCs w:val="32"/>
        </w:rPr>
        <w:t xml:space="preserve">投标人须知 </w:t>
      </w:r>
    </w:p>
    <w:p w14:paraId="4D8ACF22">
      <w:pPr>
        <w:pStyle w:val="7"/>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560" w:lineRule="exact"/>
        <w:ind w:left="0" w:leftChars="0" w:right="0" w:rightChars="0" w:firstLine="420" w:firstLineChars="0"/>
        <w:textAlignment w:val="auto"/>
        <w:rPr>
          <w:rFonts w:hint="eastAsia" w:ascii="仿宋_GB2312" w:hAnsi="仿宋_GB2312" w:eastAsia="仿宋_GB2312" w:cs="仿宋_GB2312"/>
          <w:sz w:val="32"/>
          <w:szCs w:val="32"/>
        </w:rPr>
      </w:pPr>
      <w:r>
        <w:rPr>
          <w:rStyle w:val="11"/>
          <w:rFonts w:hint="eastAsia" w:ascii="楷体_GB2312" w:hAnsi="楷体_GB2312" w:eastAsia="楷体_GB2312" w:cs="楷体_GB2312"/>
          <w:b w:val="0"/>
          <w:bCs/>
          <w:sz w:val="32"/>
          <w:szCs w:val="32"/>
          <w:lang w:val="en-US" w:eastAsia="zh-CN"/>
        </w:rPr>
        <w:t>（一）</w:t>
      </w:r>
      <w:r>
        <w:rPr>
          <w:rStyle w:val="11"/>
          <w:rFonts w:hint="eastAsia" w:ascii="楷体_GB2312" w:hAnsi="楷体_GB2312" w:eastAsia="楷体_GB2312" w:cs="楷体_GB2312"/>
          <w:b w:val="0"/>
          <w:bCs/>
          <w:sz w:val="32"/>
          <w:szCs w:val="32"/>
        </w:rPr>
        <w:t>招标文件澄清</w:t>
      </w:r>
      <w:r>
        <w:rPr>
          <w:rStyle w:val="11"/>
          <w:rFonts w:hint="eastAsia" w:ascii="楷体_GB2312" w:hAnsi="楷体_GB2312" w:eastAsia="楷体_GB2312" w:cs="楷体_GB2312"/>
          <w:b w:val="0"/>
          <w:bCs/>
          <w:sz w:val="32"/>
          <w:szCs w:val="32"/>
          <w:lang w:eastAsia="zh-CN"/>
        </w:rPr>
        <w:t>：</w:t>
      </w:r>
      <w:r>
        <w:rPr>
          <w:rFonts w:hint="eastAsia" w:ascii="仿宋_GB2312" w:hAnsi="仿宋_GB2312" w:eastAsia="仿宋_GB2312" w:cs="仿宋_GB2312"/>
          <w:sz w:val="32"/>
          <w:szCs w:val="32"/>
        </w:rPr>
        <w:t>投标人对招标文件有疑问的，应在投标截止时间至少3日前以书面形式向采购人提出，采购人将以书面形式进行澄清。</w:t>
      </w:r>
    </w:p>
    <w:p w14:paraId="234C8C8F">
      <w:pPr>
        <w:pStyle w:val="7"/>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560" w:lineRule="exact"/>
        <w:ind w:left="0" w:leftChars="0" w:right="0" w:rightChars="0" w:firstLine="420" w:firstLineChars="0"/>
        <w:jc w:val="left"/>
        <w:textAlignment w:val="auto"/>
        <w:rPr>
          <w:rFonts w:hint="eastAsia" w:ascii="仿宋_GB2312" w:hAnsi="仿宋_GB2312" w:eastAsia="仿宋_GB2312" w:cs="仿宋_GB2312"/>
          <w:sz w:val="32"/>
          <w:szCs w:val="32"/>
        </w:rPr>
      </w:pPr>
      <w:r>
        <w:rPr>
          <w:rStyle w:val="11"/>
          <w:rFonts w:hint="eastAsia" w:ascii="楷体_GB2312" w:hAnsi="楷体_GB2312" w:eastAsia="楷体_GB2312" w:cs="楷体_GB2312"/>
          <w:b w:val="0"/>
          <w:bCs/>
          <w:sz w:val="32"/>
          <w:szCs w:val="32"/>
          <w:lang w:val="en-US" w:eastAsia="zh-CN"/>
        </w:rPr>
        <w:t>（二）</w:t>
      </w:r>
      <w:r>
        <w:rPr>
          <w:rStyle w:val="11"/>
          <w:rFonts w:hint="eastAsia" w:ascii="楷体_GB2312" w:hAnsi="楷体_GB2312" w:eastAsia="楷体_GB2312" w:cs="楷体_GB2312"/>
          <w:b w:val="0"/>
          <w:bCs/>
          <w:sz w:val="32"/>
          <w:szCs w:val="32"/>
        </w:rPr>
        <w:t>投标文件构成</w:t>
      </w:r>
      <w:r>
        <w:rPr>
          <w:rStyle w:val="11"/>
          <w:rFonts w:hint="eastAsia" w:ascii="楷体_GB2312" w:hAnsi="楷体_GB2312" w:eastAsia="楷体_GB2312" w:cs="楷体_GB2312"/>
          <w:b w:val="0"/>
          <w:bCs/>
          <w:sz w:val="32"/>
          <w:szCs w:val="32"/>
          <w:lang w:eastAsia="zh-CN"/>
        </w:rPr>
        <w:t>：</w:t>
      </w:r>
      <w:r>
        <w:rPr>
          <w:rFonts w:hint="eastAsia" w:ascii="仿宋_GB2312" w:hAnsi="仿宋_GB2312" w:eastAsia="仿宋_GB2312" w:cs="仿宋_GB2312"/>
          <w:sz w:val="32"/>
          <w:szCs w:val="32"/>
        </w:rPr>
        <w:t>投标文件应由商务文件、技术文件、报价文件三部分按本文件要求的内容和顺序编制装订。</w:t>
      </w:r>
    </w:p>
    <w:p w14:paraId="7914A042">
      <w:pPr>
        <w:pStyle w:val="7"/>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560" w:lineRule="exact"/>
        <w:ind w:left="0" w:leftChars="0" w:right="0" w:rightChars="0" w:firstLine="420" w:firstLineChars="0"/>
        <w:jc w:val="left"/>
        <w:textAlignment w:val="auto"/>
        <w:rPr>
          <w:rFonts w:hint="default" w:ascii="仿宋_GB2312" w:hAnsi="仿宋_GB2312" w:eastAsia="仿宋_GB2312" w:cs="仿宋_GB2312"/>
          <w:sz w:val="32"/>
          <w:szCs w:val="32"/>
          <w:lang w:val="en-US" w:eastAsia="zh-CN"/>
        </w:rPr>
      </w:pPr>
      <w:r>
        <w:rPr>
          <w:rStyle w:val="11"/>
          <w:rFonts w:hint="eastAsia" w:ascii="楷体_GB2312" w:hAnsi="楷体_GB2312" w:eastAsia="楷体_GB2312" w:cs="楷体_GB2312"/>
          <w:b w:val="0"/>
          <w:bCs/>
          <w:sz w:val="32"/>
          <w:szCs w:val="32"/>
          <w:lang w:val="en-US" w:eastAsia="zh-CN"/>
        </w:rPr>
        <w:t>（三）投标文件递交：</w:t>
      </w:r>
      <w:r>
        <w:rPr>
          <w:rFonts w:hint="eastAsia" w:ascii="仿宋_GB2312" w:hAnsi="仿宋_GB2312" w:eastAsia="仿宋_GB2312" w:cs="仿宋_GB2312"/>
          <w:sz w:val="32"/>
          <w:szCs w:val="32"/>
          <w:lang w:val="en-US" w:eastAsia="zh-CN"/>
        </w:rPr>
        <w:t>投标文件应密封递交，密封袋上应注明项目名称、编号、投标人名称并加盖公章，由授权代表人于投标截止时间前携带至开标现场。</w:t>
      </w:r>
    </w:p>
    <w:p w14:paraId="0941D153">
      <w:pPr>
        <w:pStyle w:val="7"/>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560" w:lineRule="exact"/>
        <w:ind w:left="0" w:leftChars="0" w:right="0" w:rightChars="0" w:firstLine="420" w:firstLineChars="0"/>
        <w:jc w:val="left"/>
        <w:textAlignment w:val="auto"/>
        <w:rPr>
          <w:rFonts w:hint="eastAsia" w:ascii="仿宋_GB2312" w:hAnsi="仿宋_GB2312" w:eastAsia="仿宋_GB2312" w:cs="仿宋_GB2312"/>
          <w:sz w:val="32"/>
          <w:szCs w:val="32"/>
          <w:highlight w:val="none"/>
        </w:rPr>
      </w:pPr>
      <w:r>
        <w:rPr>
          <w:rStyle w:val="11"/>
          <w:rFonts w:hint="eastAsia" w:ascii="楷体_GB2312" w:hAnsi="楷体_GB2312" w:eastAsia="楷体_GB2312" w:cs="楷体_GB2312"/>
          <w:b w:val="0"/>
          <w:bCs/>
          <w:sz w:val="32"/>
          <w:szCs w:val="32"/>
          <w:lang w:val="en-US" w:eastAsia="zh-CN"/>
        </w:rPr>
        <w:t>（四）投标截止时间：</w:t>
      </w:r>
      <w:r>
        <w:rPr>
          <w:rFonts w:hint="eastAsia" w:ascii="仿宋_GB2312" w:hAnsi="仿宋_GB2312" w:eastAsia="仿宋_GB2312" w:cs="仿宋_GB2312"/>
          <w:sz w:val="32"/>
          <w:szCs w:val="32"/>
          <w:highlight w:val="none"/>
        </w:rPr>
        <w:t>2026年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0</w:t>
      </w:r>
    </w:p>
    <w:p w14:paraId="67BFA224">
      <w:pPr>
        <w:pStyle w:val="7"/>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560" w:lineRule="exact"/>
        <w:ind w:left="0" w:leftChars="0" w:right="0" w:rightChars="0" w:firstLine="420" w:firstLineChars="0"/>
        <w:jc w:val="left"/>
        <w:textAlignment w:val="auto"/>
        <w:rPr>
          <w:rFonts w:hint="eastAsia" w:ascii="仿宋_GB2312" w:hAnsi="仿宋_GB2312" w:eastAsia="仿宋_GB2312" w:cs="仿宋_GB2312"/>
          <w:sz w:val="32"/>
          <w:szCs w:val="32"/>
          <w:highlight w:val="none"/>
          <w:lang w:val="en-US" w:eastAsia="zh-CN"/>
        </w:rPr>
      </w:pPr>
      <w:r>
        <w:rPr>
          <w:rStyle w:val="11"/>
          <w:rFonts w:hint="eastAsia" w:ascii="楷体_GB2312" w:hAnsi="楷体_GB2312" w:eastAsia="楷体_GB2312" w:cs="楷体_GB2312"/>
          <w:b w:val="0"/>
          <w:bCs/>
          <w:sz w:val="32"/>
          <w:szCs w:val="32"/>
          <w:highlight w:val="none"/>
          <w:lang w:val="en-US" w:eastAsia="zh-CN"/>
        </w:rPr>
        <w:t>（五）投标有效期：</w:t>
      </w:r>
      <w:r>
        <w:rPr>
          <w:rFonts w:hint="eastAsia" w:ascii="仿宋_GB2312" w:hAnsi="仿宋_GB2312" w:eastAsia="仿宋_GB2312" w:cs="仿宋_GB2312"/>
          <w:sz w:val="32"/>
          <w:szCs w:val="32"/>
          <w:highlight w:val="none"/>
          <w:lang w:val="en-US" w:eastAsia="zh-CN"/>
        </w:rPr>
        <w:t>自开标之日起90个日历日。</w:t>
      </w:r>
    </w:p>
    <w:p w14:paraId="3397F8C8">
      <w:pPr>
        <w:pStyle w:val="7"/>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560" w:lineRule="exact"/>
        <w:ind w:left="0" w:leftChars="0" w:right="0" w:rightChars="0" w:firstLine="420" w:firstLineChars="0"/>
        <w:jc w:val="left"/>
        <w:textAlignment w:val="auto"/>
        <w:rPr>
          <w:rFonts w:hint="eastAsia" w:ascii="仿宋_GB2312" w:hAnsi="仿宋_GB2312" w:eastAsia="仿宋_GB2312" w:cs="仿宋_GB2312"/>
          <w:sz w:val="32"/>
          <w:szCs w:val="32"/>
          <w:highlight w:val="none"/>
        </w:rPr>
      </w:pPr>
      <w:r>
        <w:rPr>
          <w:rStyle w:val="11"/>
          <w:rFonts w:hint="eastAsia" w:ascii="楷体_GB2312" w:hAnsi="楷体_GB2312" w:eastAsia="楷体_GB2312" w:cs="楷体_GB2312"/>
          <w:b w:val="0"/>
          <w:bCs/>
          <w:sz w:val="32"/>
          <w:szCs w:val="32"/>
          <w:highlight w:val="none"/>
          <w:lang w:val="en-US" w:eastAsia="zh-CN"/>
        </w:rPr>
        <w:t>（六）开标与评标</w:t>
      </w:r>
    </w:p>
    <w:p w14:paraId="1DEC2212">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开标时间：2026年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0</w:t>
      </w:r>
    </w:p>
    <w:p w14:paraId="70811D4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开标地点：</w:t>
      </w:r>
      <w:r>
        <w:rPr>
          <w:rFonts w:hint="eastAsia" w:ascii="仿宋_GB2312" w:hAnsi="仿宋_GB2312" w:eastAsia="仿宋_GB2312" w:cs="仿宋_GB2312"/>
          <w:snapToGrid/>
          <w:color w:val="000000"/>
          <w:kern w:val="2"/>
          <w:sz w:val="32"/>
          <w:szCs w:val="32"/>
          <w:lang w:val="en-US" w:eastAsia="en-US" w:bidi="ar-SA"/>
        </w:rPr>
        <w:t>深圳市罗湖区笋岗街道罗湖鸿蒙生态大厦(原深业泰富科创大厦)</w:t>
      </w:r>
      <w:r>
        <w:rPr>
          <w:rFonts w:hint="eastAsia" w:ascii="仿宋_GB2312" w:hAnsi="仿宋_GB2312" w:eastAsia="仿宋_GB2312" w:cs="仿宋_GB2312"/>
          <w:snapToGrid/>
          <w:color w:val="000000"/>
          <w:kern w:val="2"/>
          <w:sz w:val="32"/>
          <w:szCs w:val="32"/>
          <w:lang w:val="en-US" w:eastAsia="zh-CN" w:bidi="ar-SA"/>
        </w:rPr>
        <w:t>2</w:t>
      </w:r>
      <w:r>
        <w:rPr>
          <w:rFonts w:hint="eastAsia" w:ascii="仿宋_GB2312" w:hAnsi="仿宋_GB2312" w:eastAsia="仿宋_GB2312" w:cs="仿宋_GB2312"/>
          <w:snapToGrid/>
          <w:color w:val="000000"/>
          <w:kern w:val="2"/>
          <w:sz w:val="32"/>
          <w:szCs w:val="32"/>
          <w:lang w:val="en-US" w:eastAsia="en-US" w:bidi="ar-SA"/>
        </w:rPr>
        <w:t>楼会议室。</w:t>
      </w:r>
    </w:p>
    <w:p w14:paraId="08AFF3B5">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b/>
          <w:bCs/>
          <w:sz w:val="32"/>
          <w:szCs w:val="32"/>
        </w:rPr>
        <w:t>开标时，投标人授权代表需持有效身份证件及授权委托书出席。</w:t>
      </w:r>
      <w:r>
        <w:rPr>
          <w:rFonts w:hint="eastAsia" w:ascii="仿宋_GB2312" w:hAnsi="仿宋_GB2312" w:eastAsia="仿宋_GB2312" w:cs="仿宋_GB2312"/>
          <w:sz w:val="32"/>
          <w:szCs w:val="32"/>
        </w:rPr>
        <w:t>评审委员会将按照本文件规定的评审标准和方法进行评审。</w:t>
      </w:r>
    </w:p>
    <w:p w14:paraId="3A9686A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请投标人安排授权委托人于指定时间携带如下资料参加开标会：</w:t>
      </w:r>
    </w:p>
    <w:p w14:paraId="670A8A19">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72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投标标书五套（一正四副）；</w:t>
      </w:r>
    </w:p>
    <w:p w14:paraId="35E49181">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部分其他文件单独封装一份。</w:t>
      </w:r>
    </w:p>
    <w:p w14:paraId="220D7545">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Style w:val="11"/>
          <w:rFonts w:hint="eastAsia" w:ascii="楷体_GB2312" w:hAnsi="楷体_GB2312" w:eastAsia="楷体_GB2312" w:cs="楷体_GB2312"/>
          <w:b w:val="0"/>
          <w:bCs/>
          <w:sz w:val="32"/>
          <w:szCs w:val="32"/>
          <w:lang w:val="en-US" w:eastAsia="zh-CN"/>
        </w:rPr>
        <w:t>（八）定标：</w:t>
      </w:r>
      <w:r>
        <w:rPr>
          <w:rFonts w:hint="eastAsia" w:ascii="仿宋_GB2312" w:hAnsi="仿宋_GB2312" w:eastAsia="仿宋_GB2312" w:cs="仿宋_GB2312"/>
          <w:sz w:val="32"/>
          <w:szCs w:val="32"/>
        </w:rPr>
        <w:t>采购人将根据评审委员会的推荐，确定综合排名第一的投标人为中标人，并发出中标通知书。</w:t>
      </w:r>
    </w:p>
    <w:p w14:paraId="1326CA3C">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Style w:val="11"/>
          <w:rFonts w:hint="eastAsia" w:ascii="楷体_GB2312" w:hAnsi="楷体_GB2312" w:eastAsia="楷体_GB2312" w:cs="楷体_GB2312"/>
          <w:b w:val="0"/>
          <w:bCs/>
          <w:sz w:val="32"/>
          <w:szCs w:val="32"/>
          <w:lang w:val="en-US" w:eastAsia="zh-CN"/>
        </w:rPr>
        <w:t>（九）签订合同：</w:t>
      </w:r>
      <w:r>
        <w:rPr>
          <w:rFonts w:hint="eastAsia" w:ascii="仿宋_GB2312" w:hAnsi="仿宋_GB2312" w:eastAsia="仿宋_GB2312" w:cs="仿宋_GB2312"/>
          <w:sz w:val="32"/>
          <w:szCs w:val="32"/>
        </w:rPr>
        <w:t>中标人应在收到中标通知书后10个工作日内，与采购人签订服务合同。</w:t>
      </w:r>
    </w:p>
    <w:p w14:paraId="0DE421CF">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Style w:val="11"/>
          <w:rFonts w:hint="eastAsia" w:ascii="楷体_GB2312" w:hAnsi="楷体_GB2312" w:eastAsia="楷体_GB2312" w:cs="楷体_GB2312"/>
          <w:b w:val="0"/>
          <w:bCs/>
          <w:sz w:val="32"/>
          <w:szCs w:val="32"/>
          <w:lang w:val="en-US" w:eastAsia="zh-CN"/>
        </w:rPr>
        <w:t>（十）质疑与投诉：</w:t>
      </w:r>
      <w:r>
        <w:rPr>
          <w:rFonts w:hint="eastAsia" w:ascii="仿宋_GB2312" w:hAnsi="仿宋_GB2312" w:eastAsia="仿宋_GB2312" w:cs="仿宋_GB2312"/>
          <w:sz w:val="32"/>
          <w:szCs w:val="32"/>
        </w:rPr>
        <w:t>投标人如对招标过程或结果有异议，应在知道或应知其权益受到损害之日起</w:t>
      </w:r>
      <w:r>
        <w:rPr>
          <w:rFonts w:hint="eastAsia" w:ascii="仿宋_GB2312" w:hAnsi="仿宋_GB2312" w:eastAsia="仿宋_GB2312" w:cs="仿宋_GB2312"/>
          <w:sz w:val="32"/>
          <w:szCs w:val="32"/>
          <w:lang w:val="en-US" w:eastAsia="zh-CN"/>
        </w:rPr>
        <w:t>3天</w:t>
      </w:r>
      <w:r>
        <w:rPr>
          <w:rFonts w:hint="eastAsia" w:ascii="仿宋_GB2312" w:hAnsi="仿宋_GB2312" w:eastAsia="仿宋_GB2312" w:cs="仿宋_GB2312"/>
          <w:sz w:val="32"/>
          <w:szCs w:val="32"/>
        </w:rPr>
        <w:t>内，以书面形式向采购人提出。</w:t>
      </w:r>
    </w:p>
    <w:p w14:paraId="16717D01">
      <w:pPr>
        <w:pStyle w:val="4"/>
        <w:keepNext w:val="0"/>
        <w:keepLines w:val="0"/>
        <w:pageBreakBefore w:val="0"/>
        <w:widowControl/>
        <w:numPr>
          <w:ilvl w:val="0"/>
          <w:numId w:val="1"/>
        </w:numPr>
        <w:suppressLineNumbers w:val="0"/>
        <w:kinsoku/>
        <w:wordWrap/>
        <w:overflowPunct/>
        <w:topLinePunct w:val="0"/>
        <w:autoSpaceDE/>
        <w:autoSpaceDN/>
        <w:bidi w:val="0"/>
        <w:adjustRightInd/>
        <w:snapToGrid w:val="0"/>
        <w:spacing w:beforeAutospacing="0" w:afterAutospacing="0" w:line="560" w:lineRule="exact"/>
        <w:ind w:left="0" w:leftChars="0" w:firstLine="420" w:firstLineChars="0"/>
        <w:jc w:val="left"/>
        <w:textAlignment w:val="auto"/>
        <w:rPr>
          <w:rStyle w:val="11"/>
          <w:rFonts w:hint="eastAsia" w:ascii="黑体" w:hAnsi="黑体" w:eastAsia="黑体" w:cs="黑体"/>
          <w:b w:val="0"/>
          <w:bCs w:val="0"/>
          <w:sz w:val="32"/>
          <w:szCs w:val="32"/>
        </w:rPr>
      </w:pPr>
      <w:r>
        <w:rPr>
          <w:rStyle w:val="11"/>
          <w:rFonts w:hint="eastAsia" w:ascii="黑体" w:hAnsi="黑体" w:eastAsia="黑体" w:cs="黑体"/>
          <w:b w:val="0"/>
          <w:bCs w:val="0"/>
          <w:sz w:val="32"/>
          <w:szCs w:val="32"/>
        </w:rPr>
        <w:t>投标人资格要求</w:t>
      </w:r>
    </w:p>
    <w:p w14:paraId="282FE8DA">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Style w:val="11"/>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rPr>
        <w:t>投标人</w:t>
      </w:r>
      <w:r>
        <w:rPr>
          <w:rFonts w:hint="eastAsia" w:ascii="仿宋_GB2312" w:hAnsi="仿宋_GB2312" w:eastAsia="仿宋_GB2312" w:cs="仿宋_GB2312"/>
          <w:sz w:val="32"/>
          <w:szCs w:val="32"/>
        </w:rPr>
        <w:t>必须是在中华人民共和国境内注册的独立法人，具有独立承担民事责任的能力（不含分公司/分支机构）。提供有效的营业执照扫描件并加盖公章。</w:t>
      </w:r>
    </w:p>
    <w:p w14:paraId="59982E51">
      <w:pPr>
        <w:pStyle w:val="7"/>
        <w:widowControl/>
        <w:snapToGrid w:val="0"/>
        <w:spacing w:beforeAutospacing="0" w:afterAutospacing="0" w:line="560" w:lineRule="exact"/>
        <w:ind w:firstLine="640" w:firstLineChars="200"/>
        <w:rPr>
          <w:rFonts w:hint="eastAsia" w:ascii="仿宋_GB2312" w:hAnsi="仿宋_GB2312" w:eastAsia="仿宋_GB2312" w:cs="仿宋_GB2312"/>
          <w:sz w:val="32"/>
          <w:szCs w:val="32"/>
        </w:rPr>
      </w:pPr>
      <w:r>
        <w:rPr>
          <w:rStyle w:val="11"/>
          <w:rFonts w:hint="eastAsia" w:ascii="仿宋_GB2312" w:hAnsi="仿宋_GB2312" w:eastAsia="仿宋_GB2312" w:cs="仿宋_GB2312"/>
          <w:b w:val="0"/>
          <w:bCs/>
          <w:sz w:val="32"/>
          <w:szCs w:val="32"/>
          <w:lang w:val="en-US" w:eastAsia="zh-CN"/>
        </w:rPr>
        <w:t>2</w:t>
      </w:r>
      <w:r>
        <w:rPr>
          <w:rStyle w:val="11"/>
          <w:rFonts w:hint="eastAsia" w:ascii="仿宋_GB2312" w:hAnsi="仿宋_GB2312" w:eastAsia="仿宋_GB2312" w:cs="仿宋_GB2312"/>
          <w:b w:val="0"/>
          <w:bCs/>
          <w:sz w:val="32"/>
          <w:szCs w:val="32"/>
          <w:highlight w:val="none"/>
          <w:lang w:val="en-US" w:eastAsia="zh-CN"/>
        </w:rPr>
        <w:t>.</w:t>
      </w:r>
      <w:r>
        <w:rPr>
          <w:rFonts w:hint="eastAsia" w:ascii="仿宋_GB2312" w:hAnsi="仿宋_GB2312" w:eastAsia="仿宋_GB2312" w:cs="仿宋_GB2312"/>
          <w:bCs/>
          <w:sz w:val="32"/>
          <w:szCs w:val="32"/>
          <w:highlight w:val="none"/>
          <w:lang w:val="en-US" w:eastAsia="zh-CN"/>
        </w:rPr>
        <w:t>投标人应为在海关注册登记或备案的企业，且不得为海关失信企业或严重失信企业。投标时须提供在中国海关企业进出口信用信息公示平台的查询页面截图，截图须清晰体现企业名称及备案信息，信用等级显示为“高级认证企业”“认证企业”或“常规企业”之一，不得显示为“失信企业”或“严重失信企业”。截图须加盖投标人公章</w:t>
      </w:r>
      <w:r>
        <w:rPr>
          <w:rFonts w:hint="eastAsia" w:ascii="仿宋_GB2312" w:hAnsi="仿宋_GB2312" w:eastAsia="仿宋_GB2312" w:cs="仿宋_GB2312"/>
          <w:sz w:val="32"/>
          <w:szCs w:val="32"/>
          <w:highlight w:val="none"/>
        </w:rPr>
        <w:t>。</w:t>
      </w:r>
    </w:p>
    <w:p w14:paraId="692EB2AE">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投标人应具备有效的《报关企业注册登记证书》或已在海关完成报关企业备案。</w:t>
      </w:r>
    </w:p>
    <w:p w14:paraId="16F54158">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投标人近三年内在经营活动中不存在重大违法记录及不良信用记录（提供</w:t>
      </w:r>
      <w:r>
        <w:rPr>
          <w:rFonts w:hint="eastAsia" w:ascii="仿宋_GB2312" w:hAnsi="仿宋_GB2312" w:eastAsia="仿宋_GB2312" w:cs="仿宋_GB2312"/>
          <w:sz w:val="32"/>
          <w:szCs w:val="32"/>
          <w:lang w:val="en-US" w:eastAsia="zh-CN"/>
        </w:rPr>
        <w:t>投标</w:t>
      </w:r>
      <w:r>
        <w:rPr>
          <w:rFonts w:hint="eastAsia" w:ascii="仿宋_GB2312" w:hAnsi="仿宋_GB2312" w:eastAsia="仿宋_GB2312" w:cs="仿宋_GB2312"/>
          <w:sz w:val="32"/>
          <w:szCs w:val="32"/>
        </w:rPr>
        <w:t>承诺函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详见附件</w:t>
      </w:r>
      <w:r>
        <w:rPr>
          <w:rFonts w:hint="eastAsia" w:ascii="仿宋_GB2312" w:hAnsi="仿宋_GB2312" w:eastAsia="仿宋_GB2312" w:cs="仿宋_GB2312"/>
          <w:sz w:val="32"/>
          <w:szCs w:val="32"/>
        </w:rPr>
        <w:t>）。</w:t>
      </w:r>
    </w:p>
    <w:p w14:paraId="2970AF4C">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本项目不接受联合体投标。</w:t>
      </w:r>
    </w:p>
    <w:p w14:paraId="101B5784">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与采购人存在利害关系可能影响采购公正性的法人、其他组织或者个人，不得参加投标。单位负责人为同一人或者存在控股、管理关系的不同单位，不得同时参加。违反以上规定的，相关投标均无效。</w:t>
      </w:r>
    </w:p>
    <w:p w14:paraId="3F454A52">
      <w:pPr>
        <w:pStyle w:val="4"/>
        <w:keepNext w:val="0"/>
        <w:keepLines w:val="0"/>
        <w:pageBreakBefore w:val="0"/>
        <w:widowControl/>
        <w:numPr>
          <w:ilvl w:val="0"/>
          <w:numId w:val="1"/>
        </w:numPr>
        <w:suppressLineNumbers w:val="0"/>
        <w:kinsoku/>
        <w:wordWrap/>
        <w:overflowPunct/>
        <w:topLinePunct w:val="0"/>
        <w:autoSpaceDE/>
        <w:autoSpaceDN/>
        <w:bidi w:val="0"/>
        <w:adjustRightInd/>
        <w:snapToGrid w:val="0"/>
        <w:spacing w:beforeAutospacing="0" w:afterAutospacing="0" w:line="560" w:lineRule="exact"/>
        <w:ind w:left="0" w:leftChars="0" w:firstLine="420" w:firstLineChars="0"/>
        <w:jc w:val="left"/>
        <w:textAlignment w:val="auto"/>
        <w:rPr>
          <w:rStyle w:val="11"/>
          <w:rFonts w:hint="eastAsia" w:ascii="黑体" w:hAnsi="黑体" w:eastAsia="黑体" w:cs="黑体"/>
          <w:b w:val="0"/>
          <w:bCs w:val="0"/>
          <w:sz w:val="32"/>
          <w:szCs w:val="32"/>
        </w:rPr>
      </w:pPr>
      <w:r>
        <w:rPr>
          <w:rStyle w:val="11"/>
          <w:rFonts w:hint="eastAsia" w:ascii="黑体" w:hAnsi="黑体" w:eastAsia="黑体" w:cs="黑体"/>
          <w:b w:val="0"/>
          <w:bCs w:val="0"/>
          <w:sz w:val="32"/>
          <w:szCs w:val="32"/>
        </w:rPr>
        <w:t xml:space="preserve">采购具体需求 </w:t>
      </w:r>
    </w:p>
    <w:p w14:paraId="63F7AFE9">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Style w:val="11"/>
          <w:rFonts w:hint="eastAsia" w:ascii="楷体_GB2312" w:hAnsi="楷体_GB2312" w:eastAsia="楷体_GB2312" w:cs="楷体_GB2312"/>
          <w:b w:val="0"/>
          <w:bCs/>
          <w:sz w:val="32"/>
          <w:szCs w:val="32"/>
          <w:lang w:val="en-US" w:eastAsia="zh-CN"/>
        </w:rPr>
        <w:t>（一）服务内容</w:t>
      </w:r>
    </w:p>
    <w:p w14:paraId="4CBC9C00">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3" w:firstLineChars="200"/>
        <w:textAlignment w:val="auto"/>
        <w:rPr>
          <w:rFonts w:hint="eastAsia" w:ascii="仿宋_GB2312" w:hAnsi="仿宋_GB2312" w:eastAsia="仿宋_GB2312" w:cs="仿宋_GB2312"/>
          <w:sz w:val="32"/>
          <w:szCs w:val="32"/>
        </w:rPr>
      </w:pPr>
      <w:r>
        <w:rPr>
          <w:rStyle w:val="11"/>
          <w:rFonts w:hint="eastAsia" w:ascii="仿宋_GB2312" w:hAnsi="仿宋_GB2312" w:eastAsia="仿宋_GB2312" w:cs="仿宋_GB2312"/>
          <w:sz w:val="32"/>
          <w:szCs w:val="32"/>
          <w:lang w:val="en-US" w:eastAsia="zh-CN"/>
        </w:rPr>
        <w:t>1.</w:t>
      </w:r>
      <w:r>
        <w:rPr>
          <w:rStyle w:val="11"/>
          <w:rFonts w:hint="eastAsia" w:ascii="仿宋_GB2312" w:hAnsi="仿宋_GB2312" w:eastAsia="仿宋_GB2312" w:cs="仿宋_GB2312"/>
          <w:sz w:val="32"/>
          <w:szCs w:val="32"/>
        </w:rPr>
        <w:t>报关服务：</w:t>
      </w:r>
      <w:r>
        <w:rPr>
          <w:rFonts w:hint="eastAsia" w:ascii="仿宋_GB2312" w:hAnsi="仿宋_GB2312" w:eastAsia="仿宋_GB2312" w:cs="仿宋_GB2312"/>
          <w:sz w:val="32"/>
          <w:szCs w:val="32"/>
          <w:highlight w:val="none"/>
        </w:rPr>
        <w:t>须提供全流程进出口通关服务，包括但不限于：进出口货物报关、报检、查验配合、单证制作与归档等。报关资料由供应商制作，对报关合规性负全责。负责跟进海关查验、配合验货，处理异常通关情况。按时完成报关单证制作、口岸及属地海关所有查验、资料抽检、EDI申报、放行跟踪及结关后的单证归档。供应商须在境内主要口岸及业务关联区域具备报关服务能力。</w:t>
      </w:r>
    </w:p>
    <w:p w14:paraId="560D6664">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Style w:val="11"/>
          <w:rFonts w:hint="eastAsia" w:ascii="仿宋_GB2312" w:hAnsi="仿宋_GB2312" w:eastAsia="仿宋_GB2312" w:cs="仿宋_GB2312"/>
          <w:sz w:val="32"/>
          <w:szCs w:val="32"/>
        </w:rPr>
        <w:t>仓储服务：</w:t>
      </w:r>
      <w:r>
        <w:rPr>
          <w:rFonts w:hint="eastAsia" w:ascii="仿宋_GB2312" w:hAnsi="仿宋_GB2312" w:eastAsia="仿宋_GB2312" w:cs="仿宋_GB2312"/>
          <w:sz w:val="32"/>
          <w:szCs w:val="32"/>
          <w:highlight w:val="none"/>
        </w:rPr>
        <w:t>提供在业务涉及的境内外关键节点提供货物临时暂存、入库验收、装卸、堆码、库存管理、分拣、再包装等仓储管理服务，存储周期应能满足分批出库需求。仓库须实现库存实时查询，并提供24小时监控及消防设施。供应商须购买仓储保险，按货值全额对仓储过程中发生的货损货差进行赔偿。</w:t>
      </w:r>
    </w:p>
    <w:p w14:paraId="5C95CF42">
      <w:pPr>
        <w:pStyle w:val="7"/>
        <w:widowControl/>
        <w:snapToGrid w:val="0"/>
        <w:spacing w:beforeAutospacing="0" w:afterAutospacing="0" w:line="560" w:lineRule="exact"/>
        <w:ind w:firstLine="643" w:firstLineChars="200"/>
        <w:rPr>
          <w:rFonts w:hint="eastAsia" w:ascii="仿宋_GB2312" w:hAnsi="仿宋_GB2312" w:eastAsia="仿宋_GB2312" w:cs="仿宋_GB2312"/>
          <w:sz w:val="32"/>
          <w:szCs w:val="32"/>
        </w:rPr>
      </w:pPr>
      <w:r>
        <w:rPr>
          <w:rStyle w:val="11"/>
          <w:rFonts w:hint="eastAsia" w:ascii="仿宋_GB2312" w:hAnsi="仿宋_GB2312" w:eastAsia="仿宋_GB2312" w:cs="仿宋_GB2312"/>
          <w:sz w:val="32"/>
          <w:szCs w:val="32"/>
          <w:lang w:val="en-US" w:eastAsia="zh-CN"/>
        </w:rPr>
        <w:t>3.</w:t>
      </w:r>
      <w:r>
        <w:rPr>
          <w:rStyle w:val="11"/>
          <w:rFonts w:hint="eastAsia" w:ascii="仿宋_GB2312" w:hAnsi="仿宋_GB2312" w:eastAsia="仿宋_GB2312" w:cs="仿宋_GB2312"/>
          <w:sz w:val="32"/>
          <w:szCs w:val="32"/>
        </w:rPr>
        <w:t>物流服务：</w:t>
      </w:r>
      <w:r>
        <w:rPr>
          <w:rFonts w:hint="eastAsia" w:ascii="仿宋_GB2312" w:hAnsi="仿宋_GB2312" w:eastAsia="仿宋_GB2312" w:cs="仿宋_GB2312"/>
          <w:sz w:val="32"/>
          <w:szCs w:val="32"/>
          <w:highlight w:val="none"/>
        </w:rPr>
        <w:t>根据采购人指令，将货物从仓库配送至指定地点。提供定时达、加急配送等服务选项。配送车辆需干净整洁，司机需配合卸货。供应商须购买运输保险，按货值全额对运输过程中发生的货损货差进行赔偿。</w:t>
      </w:r>
    </w:p>
    <w:p w14:paraId="062D1952">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 付汇服务：</w:t>
      </w:r>
    </w:p>
    <w:p w14:paraId="3822D06D">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 根据采购人提供的</w:t>
      </w:r>
      <w:r>
        <w:rPr>
          <w:rFonts w:hint="eastAsia" w:ascii="仿宋_GB2312" w:hAnsi="仿宋_GB2312" w:eastAsia="仿宋_GB2312" w:cs="仿宋_GB2312"/>
          <w:sz w:val="32"/>
          <w:szCs w:val="32"/>
          <w:lang w:eastAsia="zh-CN"/>
        </w:rPr>
        <w:t>进出口</w:t>
      </w:r>
      <w:r>
        <w:rPr>
          <w:rFonts w:hint="eastAsia" w:ascii="仿宋_GB2312" w:hAnsi="仿宋_GB2312" w:eastAsia="仿宋_GB2312" w:cs="仿宋_GB2312"/>
          <w:sz w:val="32"/>
          <w:szCs w:val="32"/>
        </w:rPr>
        <w:t>合同、发票、装箱单等贸易单据，代为向境外卖方支付货款。</w:t>
      </w:r>
    </w:p>
    <w:p w14:paraId="1DA1256B">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 负责办理对外支付税务备案。</w:t>
      </w:r>
    </w:p>
    <w:p w14:paraId="4B8369EB">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 配合银行审核贸易背景真实性，确保付汇主体（中标供应商）与报关单经营单位一致。</w:t>
      </w:r>
    </w:p>
    <w:p w14:paraId="21520544">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 在付汇完成后3个工作日内，向采购人提供付汇水单、结汇凭证及税务备案回执（如有）的电子扫描件。</w:t>
      </w:r>
    </w:p>
    <w:p w14:paraId="21451A24">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 如遇付汇被银行退回、汇率波动导致金额差异等异常情况，需在1小时内通知采购人并提供处理方案。</w:t>
      </w:r>
    </w:p>
    <w:p w14:paraId="181D6619">
      <w:pPr>
        <w:pStyle w:val="7"/>
        <w:widowControl/>
        <w:snapToGrid w:val="0"/>
        <w:spacing w:beforeAutospacing="0" w:afterAutospacing="0" w:line="560" w:lineRule="exact"/>
        <w:ind w:firstLine="643" w:firstLineChars="200"/>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5.其他服务：</w:t>
      </w:r>
    </w:p>
    <w:p w14:paraId="633F3643">
      <w:pPr>
        <w:pStyle w:val="7"/>
        <w:widowControl/>
        <w:snapToGrid w:val="0"/>
        <w:spacing w:beforeAutospacing="0" w:afterAutospacing="0" w:line="560" w:lineRule="exact"/>
        <w:ind w:firstLine="640" w:firstLineChars="200"/>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供应商须提供预归类服务、关务数据系统对接、报关单及税单整理归档、同批货物多次派送等服务，并具备物流跟踪及线上报关纠错能力。</w:t>
      </w:r>
    </w:p>
    <w:p w14:paraId="109AF9F3">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Style w:val="11"/>
          <w:rFonts w:hint="eastAsia" w:ascii="楷体_GB2312" w:hAnsi="楷体_GB2312" w:eastAsia="楷体_GB2312" w:cs="楷体_GB2312"/>
          <w:b w:val="0"/>
          <w:bCs/>
          <w:sz w:val="32"/>
          <w:szCs w:val="32"/>
          <w:lang w:val="en-US" w:eastAsia="zh-CN"/>
        </w:rPr>
      </w:pPr>
      <w:r>
        <w:rPr>
          <w:rStyle w:val="11"/>
          <w:rFonts w:hint="eastAsia" w:ascii="楷体_GB2312" w:hAnsi="楷体_GB2312" w:eastAsia="楷体_GB2312" w:cs="楷体_GB2312"/>
          <w:b w:val="0"/>
          <w:bCs/>
          <w:sz w:val="32"/>
          <w:szCs w:val="32"/>
          <w:lang w:val="en-US" w:eastAsia="zh-CN"/>
        </w:rPr>
        <w:t>（二） 服务要求</w:t>
      </w:r>
    </w:p>
    <w:p w14:paraId="75CFD517">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Style w:val="11"/>
          <w:rFonts w:hint="eastAsia" w:ascii="楷体_GB2312" w:hAnsi="楷体_GB2312" w:eastAsia="楷体_GB2312" w:cs="楷体_GB2312"/>
          <w:b w:val="0"/>
          <w:bCs/>
          <w:sz w:val="32"/>
          <w:szCs w:val="32"/>
          <w:lang w:val="en-US" w:eastAsia="zh-CN"/>
        </w:rPr>
        <w:t>1.</w:t>
      </w:r>
      <w:r>
        <w:rPr>
          <w:rFonts w:hint="eastAsia" w:ascii="仿宋_GB2312" w:hAnsi="仿宋_GB2312" w:eastAsia="仿宋_GB2312" w:cs="仿宋_GB2312"/>
          <w:sz w:val="32"/>
          <w:szCs w:val="32"/>
        </w:rPr>
        <w:t>采购人下达指令后，中标供应商需在2小时内确认。报关资料齐全的情况下，确保在4小时内完成申报，24小时内完成通关放行（除查验等特殊情况）。</w:t>
      </w:r>
    </w:p>
    <w:p w14:paraId="20E3FBF9">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供应商应提供在线查询系统，供采购人实时追踪报关进度、库存状态和物流轨迹。</w:t>
      </w:r>
    </w:p>
    <w:p w14:paraId="3E5EDA70">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Style w:val="11"/>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对于查验、退单、丢件等异常情况，需在1小时内启动应急响应</w:t>
      </w:r>
      <w:r>
        <w:rPr>
          <w:rFonts w:hint="eastAsia" w:ascii="仿宋_GB2312" w:hAnsi="仿宋_GB2312" w:eastAsia="仿宋_GB2312" w:cs="仿宋_GB2312"/>
          <w:sz w:val="32"/>
          <w:szCs w:val="32"/>
        </w:rPr>
        <w:t>，并主动向采购人汇报进展。</w:t>
      </w:r>
    </w:p>
    <w:p w14:paraId="3C35557F">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对接触到的采购人商业信息、货物信息、客户信息严格保密，不得泄露给第三方。</w:t>
      </w:r>
    </w:p>
    <w:p w14:paraId="6D14FEBD">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付汇服务时限要求：</w:t>
      </w:r>
    </w:p>
    <w:p w14:paraId="77CA79C7">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 采购人提供完整付汇资料后，中标供应商需在2小时内确认收悉。</w:t>
      </w:r>
    </w:p>
    <w:p w14:paraId="66FC2966">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 正常情况下，中标供应商应在收到采购人付汇指令及资料后</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个工作日内完成对外付汇（遇节假日顺延）。</w:t>
      </w:r>
    </w:p>
    <w:p w14:paraId="08A52542">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 如需紧急付汇（如赶上供应商付款截止日），中标供应商应提供加急通道，在1个工作日内完成。</w:t>
      </w:r>
    </w:p>
    <w:p w14:paraId="1FB27BAE">
      <w:pPr>
        <w:pStyle w:val="4"/>
        <w:keepNext w:val="0"/>
        <w:keepLines w:val="0"/>
        <w:pageBreakBefore w:val="0"/>
        <w:widowControl/>
        <w:numPr>
          <w:ilvl w:val="0"/>
          <w:numId w:val="1"/>
        </w:numPr>
        <w:suppressLineNumbers w:val="0"/>
        <w:kinsoku/>
        <w:wordWrap/>
        <w:overflowPunct/>
        <w:topLinePunct w:val="0"/>
        <w:autoSpaceDE/>
        <w:autoSpaceDN/>
        <w:bidi w:val="0"/>
        <w:adjustRightInd/>
        <w:snapToGrid w:val="0"/>
        <w:spacing w:beforeAutospacing="0" w:afterAutospacing="0" w:line="560" w:lineRule="exact"/>
        <w:ind w:left="0" w:leftChars="0" w:firstLine="420" w:firstLineChars="0"/>
        <w:jc w:val="left"/>
        <w:textAlignment w:val="auto"/>
        <w:rPr>
          <w:rStyle w:val="11"/>
          <w:rFonts w:hint="eastAsia" w:ascii="黑体" w:hAnsi="黑体" w:eastAsia="黑体" w:cs="黑体"/>
          <w:b w:val="0"/>
          <w:bCs w:val="0"/>
          <w:sz w:val="32"/>
          <w:szCs w:val="32"/>
        </w:rPr>
      </w:pPr>
      <w:r>
        <w:rPr>
          <w:rStyle w:val="11"/>
          <w:rFonts w:hint="eastAsia" w:ascii="黑体" w:hAnsi="黑体" w:eastAsia="黑体" w:cs="黑体"/>
          <w:b w:val="0"/>
          <w:bCs w:val="0"/>
          <w:sz w:val="32"/>
          <w:szCs w:val="32"/>
        </w:rPr>
        <w:t xml:space="preserve">交付与验收 </w:t>
      </w:r>
    </w:p>
    <w:p w14:paraId="5E457BAD">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Style w:val="11"/>
          <w:rFonts w:hint="eastAsia" w:ascii="楷体_GB2312" w:hAnsi="楷体_GB2312" w:eastAsia="楷体_GB2312" w:cs="楷体_GB2312"/>
          <w:b w:val="0"/>
          <w:bCs/>
          <w:sz w:val="32"/>
          <w:szCs w:val="32"/>
          <w:lang w:val="en-US" w:eastAsia="zh-CN"/>
        </w:rPr>
      </w:pPr>
      <w:r>
        <w:rPr>
          <w:rStyle w:val="11"/>
          <w:rFonts w:hint="eastAsia" w:ascii="楷体_GB2312" w:hAnsi="楷体_GB2312" w:eastAsia="楷体_GB2312" w:cs="楷体_GB2312"/>
          <w:b w:val="0"/>
          <w:bCs/>
          <w:sz w:val="32"/>
          <w:szCs w:val="32"/>
          <w:lang w:val="en-US" w:eastAsia="zh-CN"/>
        </w:rPr>
        <w:t>（一）单次服务验收</w:t>
      </w:r>
    </w:p>
    <w:p w14:paraId="56825D17">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Style w:val="11"/>
          <w:rFonts w:hint="eastAsia" w:ascii="仿宋_GB2312" w:hAnsi="仿宋_GB2312" w:eastAsia="仿宋_GB2312" w:cs="仿宋_GB2312"/>
          <w:b w:val="0"/>
          <w:bCs/>
          <w:sz w:val="32"/>
          <w:szCs w:val="32"/>
          <w:lang w:val="en-US" w:eastAsia="zh-CN"/>
        </w:rPr>
        <w:t>1.</w:t>
      </w:r>
      <w:r>
        <w:rPr>
          <w:rStyle w:val="11"/>
          <w:rFonts w:hint="eastAsia" w:ascii="仿宋_GB2312" w:hAnsi="仿宋_GB2312" w:eastAsia="仿宋_GB2312" w:cs="仿宋_GB2312"/>
          <w:b w:val="0"/>
          <w:bCs/>
          <w:sz w:val="32"/>
          <w:szCs w:val="32"/>
        </w:rPr>
        <w:t>报关服务：</w:t>
      </w:r>
      <w:r>
        <w:rPr>
          <w:rFonts w:hint="eastAsia" w:ascii="仿宋_GB2312" w:hAnsi="仿宋_GB2312" w:eastAsia="仿宋_GB2312" w:cs="仿宋_GB2312"/>
          <w:b w:val="0"/>
          <w:bCs/>
          <w:sz w:val="32"/>
          <w:szCs w:val="32"/>
        </w:rPr>
        <w:t>以海关放行通知及完成的电子/纸质报关单作为初步验收依据。</w:t>
      </w:r>
    </w:p>
    <w:p w14:paraId="76A317C4">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Style w:val="11"/>
          <w:rFonts w:hint="eastAsia" w:ascii="仿宋_GB2312" w:hAnsi="仿宋_GB2312" w:eastAsia="仿宋_GB2312" w:cs="仿宋_GB2312"/>
          <w:b w:val="0"/>
          <w:bCs/>
          <w:sz w:val="32"/>
          <w:szCs w:val="32"/>
          <w:lang w:val="en-US" w:eastAsia="zh-CN"/>
        </w:rPr>
        <w:t>2.</w:t>
      </w:r>
      <w:r>
        <w:rPr>
          <w:rStyle w:val="11"/>
          <w:rFonts w:hint="eastAsia" w:ascii="仿宋_GB2312" w:hAnsi="仿宋_GB2312" w:eastAsia="仿宋_GB2312" w:cs="仿宋_GB2312"/>
          <w:b w:val="0"/>
          <w:bCs/>
          <w:sz w:val="32"/>
          <w:szCs w:val="32"/>
        </w:rPr>
        <w:t>仓储服务：</w:t>
      </w:r>
      <w:r>
        <w:rPr>
          <w:rFonts w:hint="eastAsia" w:ascii="仿宋_GB2312" w:hAnsi="仿宋_GB2312" w:eastAsia="仿宋_GB2312" w:cs="仿宋_GB2312"/>
          <w:b w:val="0"/>
          <w:bCs/>
          <w:sz w:val="32"/>
          <w:szCs w:val="32"/>
        </w:rPr>
        <w:t>以入库单、出库单及库存盘点报告作为验收依据。</w:t>
      </w:r>
    </w:p>
    <w:p w14:paraId="6A49048A">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Style w:val="11"/>
          <w:rFonts w:hint="eastAsia" w:ascii="仿宋_GB2312" w:hAnsi="仿宋_GB2312" w:eastAsia="仿宋_GB2312" w:cs="仿宋_GB2312"/>
          <w:b w:val="0"/>
          <w:bCs/>
          <w:sz w:val="32"/>
          <w:szCs w:val="32"/>
          <w:lang w:val="en-US" w:eastAsia="zh-CN"/>
        </w:rPr>
        <w:t>3.</w:t>
      </w:r>
      <w:r>
        <w:rPr>
          <w:rStyle w:val="11"/>
          <w:rFonts w:hint="eastAsia" w:ascii="仿宋_GB2312" w:hAnsi="仿宋_GB2312" w:eastAsia="仿宋_GB2312" w:cs="仿宋_GB2312"/>
          <w:b w:val="0"/>
          <w:bCs/>
          <w:sz w:val="32"/>
          <w:szCs w:val="32"/>
        </w:rPr>
        <w:t>物流服务：</w:t>
      </w:r>
      <w:r>
        <w:rPr>
          <w:rFonts w:hint="eastAsia" w:ascii="仿宋_GB2312" w:hAnsi="仿宋_GB2312" w:eastAsia="仿宋_GB2312" w:cs="仿宋_GB2312"/>
          <w:b w:val="0"/>
          <w:bCs/>
          <w:sz w:val="32"/>
          <w:szCs w:val="32"/>
        </w:rPr>
        <w:t>以签收单（POD）作为验收依据。</w:t>
      </w:r>
    </w:p>
    <w:p w14:paraId="1BF8BD52">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lang w:val="en-US" w:eastAsia="zh-CN"/>
        </w:rPr>
        <w:t>4.付汇服务：以</w:t>
      </w:r>
      <w:r>
        <w:rPr>
          <w:rFonts w:hint="eastAsia" w:ascii="仿宋_GB2312" w:hAnsi="仿宋_GB2312" w:eastAsia="仿宋_GB2312" w:cs="仿宋_GB2312"/>
          <w:sz w:val="32"/>
          <w:szCs w:val="32"/>
          <w:lang w:val="en-US" w:eastAsia="zh-CN"/>
        </w:rPr>
        <w:t>银行出具的付汇水单/结汇凭证、对外支付税务备案回执（如有）作为验收依据。</w:t>
      </w:r>
    </w:p>
    <w:p w14:paraId="0D775858">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Style w:val="11"/>
          <w:rFonts w:hint="eastAsia" w:ascii="楷体_GB2312" w:hAnsi="楷体_GB2312" w:eastAsia="楷体_GB2312" w:cs="楷体_GB2312"/>
          <w:b w:val="0"/>
          <w:bCs/>
          <w:sz w:val="32"/>
          <w:szCs w:val="32"/>
          <w:lang w:val="en-US" w:eastAsia="zh-CN"/>
        </w:rPr>
      </w:pPr>
      <w:r>
        <w:rPr>
          <w:rStyle w:val="11"/>
          <w:rFonts w:hint="eastAsia" w:ascii="楷体_GB2312" w:hAnsi="楷体_GB2312" w:eastAsia="楷体_GB2312" w:cs="楷体_GB2312"/>
          <w:b w:val="0"/>
          <w:bCs/>
          <w:sz w:val="32"/>
          <w:szCs w:val="32"/>
          <w:lang w:val="en-US" w:eastAsia="zh-CN"/>
        </w:rPr>
        <w:t>（二）月度结算验收</w:t>
      </w:r>
    </w:p>
    <w:p w14:paraId="06AE931E">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每月5日前，供应商需提交上一月的《服务结算确认单》，包含所有已完成服务的明细、费用及对应的验收凭证。采购人核对无误后签字确认。</w:t>
      </w:r>
    </w:p>
    <w:p w14:paraId="279227CA">
      <w:pPr>
        <w:pStyle w:val="4"/>
        <w:keepNext w:val="0"/>
        <w:keepLines w:val="0"/>
        <w:pageBreakBefore w:val="0"/>
        <w:widowControl/>
        <w:numPr>
          <w:ilvl w:val="0"/>
          <w:numId w:val="1"/>
        </w:numPr>
        <w:suppressLineNumbers w:val="0"/>
        <w:kinsoku/>
        <w:wordWrap/>
        <w:overflowPunct/>
        <w:topLinePunct w:val="0"/>
        <w:autoSpaceDE/>
        <w:autoSpaceDN/>
        <w:bidi w:val="0"/>
        <w:adjustRightInd/>
        <w:snapToGrid w:val="0"/>
        <w:spacing w:beforeAutospacing="0" w:afterAutospacing="0" w:line="560" w:lineRule="exact"/>
        <w:ind w:left="0" w:leftChars="0" w:firstLine="420" w:firstLineChars="0"/>
        <w:jc w:val="left"/>
        <w:textAlignment w:val="auto"/>
        <w:rPr>
          <w:rStyle w:val="11"/>
          <w:rFonts w:hint="eastAsia" w:ascii="黑体" w:hAnsi="黑体" w:eastAsia="黑体" w:cs="黑体"/>
          <w:b w:val="0"/>
          <w:bCs w:val="0"/>
          <w:sz w:val="32"/>
          <w:szCs w:val="32"/>
        </w:rPr>
      </w:pPr>
      <w:r>
        <w:rPr>
          <w:rStyle w:val="11"/>
          <w:rFonts w:hint="eastAsia" w:ascii="黑体" w:hAnsi="黑体" w:eastAsia="黑体" w:cs="黑体"/>
          <w:b w:val="0"/>
          <w:bCs w:val="0"/>
          <w:sz w:val="32"/>
          <w:szCs w:val="32"/>
        </w:rPr>
        <w:t xml:space="preserve">付款与结算 </w:t>
      </w:r>
    </w:p>
    <w:p w14:paraId="26B04B72">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Style w:val="11"/>
          <w:rFonts w:hint="eastAsia" w:ascii="仿宋_GB2312" w:hAnsi="仿宋_GB2312" w:eastAsia="仿宋_GB2312" w:cs="仿宋_GB2312"/>
          <w:b w:val="0"/>
          <w:bCs/>
          <w:sz w:val="32"/>
          <w:szCs w:val="32"/>
          <w:lang w:val="en-US" w:eastAsia="zh-CN"/>
        </w:rPr>
        <w:t>1.本项目为框架采购项目，费用</w:t>
      </w:r>
      <w:r>
        <w:rPr>
          <w:rFonts w:hint="eastAsia" w:ascii="仿宋_GB2312" w:hAnsi="仿宋_GB2312" w:eastAsia="仿宋_GB2312" w:cs="仿宋_GB2312"/>
          <w:sz w:val="32"/>
          <w:szCs w:val="32"/>
        </w:rPr>
        <w:t>按</w:t>
      </w:r>
      <w:r>
        <w:rPr>
          <w:rFonts w:hint="eastAsia" w:ascii="仿宋_GB2312" w:hAnsi="仿宋_GB2312" w:eastAsia="仿宋_GB2312" w:cs="仿宋_GB2312"/>
          <w:sz w:val="32"/>
          <w:szCs w:val="32"/>
          <w:lang w:val="en-US" w:eastAsia="zh-CN"/>
        </w:rPr>
        <w:t>单个子项目</w:t>
      </w:r>
      <w:r>
        <w:rPr>
          <w:rFonts w:hint="eastAsia" w:ascii="仿宋_GB2312" w:hAnsi="仿宋_GB2312" w:eastAsia="仿宋_GB2312" w:cs="仿宋_GB2312"/>
          <w:sz w:val="32"/>
          <w:szCs w:val="32"/>
        </w:rPr>
        <w:t>据实结算。供应商在</w:t>
      </w:r>
      <w:r>
        <w:rPr>
          <w:rFonts w:hint="eastAsia" w:ascii="仿宋_GB2312" w:hAnsi="仿宋_GB2312" w:eastAsia="仿宋_GB2312" w:cs="仿宋_GB2312"/>
          <w:sz w:val="32"/>
          <w:szCs w:val="32"/>
          <w:lang w:val="en-US" w:eastAsia="zh-CN"/>
        </w:rPr>
        <w:t>单个子项目服务完结后5个工作日内</w:t>
      </w:r>
      <w:r>
        <w:rPr>
          <w:rFonts w:hint="eastAsia" w:ascii="仿宋_GB2312" w:hAnsi="仿宋_GB2312" w:eastAsia="仿宋_GB2312" w:cs="仿宋_GB2312"/>
          <w:sz w:val="32"/>
          <w:szCs w:val="32"/>
        </w:rPr>
        <w:t>，根据双方确认的结算金额开具合规的增值税专用发票。采购人在收到发票后15个工作日内支付相应款项。</w:t>
      </w:r>
    </w:p>
    <w:p w14:paraId="380B1008">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因供应商原因造成服务延迟、差错、货物损坏或丢失的，采购人有权按合同约定在当期结算中直接扣减相应费用或要求赔偿。</w:t>
      </w:r>
    </w:p>
    <w:p w14:paraId="2E510B23">
      <w:pPr>
        <w:pStyle w:val="4"/>
        <w:keepNext w:val="0"/>
        <w:keepLines w:val="0"/>
        <w:pageBreakBefore w:val="0"/>
        <w:widowControl/>
        <w:numPr>
          <w:ilvl w:val="0"/>
          <w:numId w:val="1"/>
        </w:numPr>
        <w:suppressLineNumbers w:val="0"/>
        <w:kinsoku/>
        <w:wordWrap/>
        <w:overflowPunct/>
        <w:topLinePunct w:val="0"/>
        <w:autoSpaceDE/>
        <w:autoSpaceDN/>
        <w:bidi w:val="0"/>
        <w:adjustRightInd/>
        <w:snapToGrid w:val="0"/>
        <w:spacing w:beforeAutospacing="0" w:afterAutospacing="0" w:line="560" w:lineRule="exact"/>
        <w:ind w:left="0" w:leftChars="0" w:firstLine="420" w:firstLineChars="0"/>
        <w:jc w:val="left"/>
        <w:textAlignment w:val="auto"/>
        <w:rPr>
          <w:rStyle w:val="11"/>
          <w:rFonts w:hint="eastAsia" w:ascii="黑体" w:hAnsi="黑体" w:eastAsia="黑体" w:cs="黑体"/>
          <w:b w:val="0"/>
          <w:bCs w:val="0"/>
          <w:sz w:val="32"/>
          <w:szCs w:val="32"/>
        </w:rPr>
      </w:pPr>
      <w:r>
        <w:rPr>
          <w:rStyle w:val="11"/>
          <w:rFonts w:hint="eastAsia" w:ascii="黑体" w:hAnsi="黑体" w:eastAsia="黑体" w:cs="黑体"/>
          <w:b w:val="0"/>
          <w:bCs w:val="0"/>
          <w:sz w:val="32"/>
          <w:szCs w:val="32"/>
        </w:rPr>
        <w:t xml:space="preserve">投标价格要求 </w:t>
      </w:r>
    </w:p>
    <w:p w14:paraId="081D6C68">
      <w:pPr>
        <w:keepNext w:val="0"/>
        <w:keepLines w:val="0"/>
        <w:pageBreakBefore w:val="0"/>
        <w:widowControl w:val="0"/>
        <w:numPr>
          <w:ilvl w:val="0"/>
          <w:numId w:val="3"/>
        </w:numPr>
        <w:kinsoku/>
        <w:wordWrap/>
        <w:overflowPunct/>
        <w:topLinePunct w:val="0"/>
        <w:autoSpaceDE/>
        <w:autoSpaceDN/>
        <w:bidi w:val="0"/>
        <w:adjustRightInd/>
        <w:snapToGrid w:val="0"/>
        <w:spacing w:beforeAutospacing="0" w:afterAutospacing="0" w:line="560" w:lineRule="exact"/>
        <w:ind w:left="0" w:leftChars="0" w:firstLine="420" w:firstLineChars="0"/>
        <w:textAlignment w:val="auto"/>
        <w:rPr>
          <w:rFonts w:hint="eastAsia" w:ascii="Times New Roman" w:hAnsi="Times New Roman" w:eastAsia="楷体_GB2312" w:cs="楷体_GB2312"/>
          <w:sz w:val="32"/>
          <w:szCs w:val="32"/>
          <w:highlight w:val="none"/>
        </w:rPr>
      </w:pPr>
      <w:r>
        <w:rPr>
          <w:rFonts w:hint="eastAsia" w:ascii="Times New Roman" w:hAnsi="Times New Roman" w:eastAsia="楷体_GB2312" w:cs="楷体_GB2312"/>
          <w:sz w:val="32"/>
          <w:szCs w:val="32"/>
          <w:highlight w:val="none"/>
        </w:rPr>
        <w:t xml:space="preserve">最高限价 </w:t>
      </w:r>
    </w:p>
    <w:p w14:paraId="6B687DB6">
      <w:pPr>
        <w:keepNext w:val="0"/>
        <w:keepLines w:val="0"/>
        <w:pageBreakBefore w:val="0"/>
        <w:kinsoku/>
        <w:wordWrap/>
        <w:overflowPunct/>
        <w:topLinePunct w:val="0"/>
        <w:autoSpaceDE/>
        <w:autoSpaceDN/>
        <w:bidi w:val="0"/>
        <w:adjustRightInd/>
        <w:snapToGrid w:val="0"/>
        <w:spacing w:beforeAutospacing="0" w:afterAutospacing="0" w:line="560" w:lineRule="exact"/>
        <w:ind w:left="0"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val="en-US" w:eastAsia="zh-CN"/>
        </w:rPr>
        <w:t>1.</w:t>
      </w:r>
      <w:r>
        <w:rPr>
          <w:rFonts w:hint="eastAsia" w:ascii="Times New Roman" w:hAnsi="Times New Roman" w:eastAsia="仿宋_GB2312" w:cs="仿宋_GB2312"/>
          <w:sz w:val="32"/>
          <w:szCs w:val="32"/>
          <w:highlight w:val="none"/>
        </w:rPr>
        <w:t>本采购项目年度总预算不超过人民币</w:t>
      </w:r>
      <w:r>
        <w:rPr>
          <w:rFonts w:hint="eastAsia" w:ascii="Times New Roman" w:hAnsi="Times New Roman" w:eastAsia="仿宋_GB2312" w:cs="仿宋_GB2312"/>
          <w:sz w:val="32"/>
          <w:szCs w:val="32"/>
          <w:highlight w:val="none"/>
          <w:lang w:val="en-US" w:eastAsia="zh-CN"/>
        </w:rPr>
        <w:t>75</w:t>
      </w:r>
      <w:r>
        <w:rPr>
          <w:rFonts w:hint="eastAsia" w:ascii="Times New Roman" w:hAnsi="Times New Roman" w:eastAsia="仿宋_GB2312" w:cs="仿宋_GB2312"/>
          <w:sz w:val="32"/>
          <w:szCs w:val="32"/>
          <w:highlight w:val="none"/>
        </w:rPr>
        <w:t>万元（大写：</w:t>
      </w:r>
      <w:r>
        <w:rPr>
          <w:rFonts w:hint="eastAsia" w:ascii="Times New Roman" w:hAnsi="Times New Roman" w:eastAsia="仿宋_GB2312" w:cs="仿宋_GB2312"/>
          <w:sz w:val="32"/>
          <w:szCs w:val="32"/>
          <w:highlight w:val="none"/>
          <w:lang w:val="en-US" w:eastAsia="zh-CN"/>
        </w:rPr>
        <w:t>柒</w:t>
      </w:r>
      <w:r>
        <w:rPr>
          <w:rFonts w:hint="eastAsia" w:ascii="Times New Roman" w:hAnsi="Times New Roman" w:eastAsia="仿宋_GB2312" w:cs="仿宋_GB2312"/>
          <w:sz w:val="32"/>
          <w:szCs w:val="32"/>
          <w:highlight w:val="none"/>
        </w:rPr>
        <w:t>拾</w:t>
      </w:r>
      <w:r>
        <w:rPr>
          <w:rFonts w:hint="eastAsia" w:ascii="Times New Roman" w:hAnsi="Times New Roman" w:eastAsia="仿宋_GB2312" w:cs="仿宋_GB2312"/>
          <w:sz w:val="32"/>
          <w:szCs w:val="32"/>
          <w:highlight w:val="none"/>
          <w:lang w:val="en-US" w:eastAsia="zh-CN"/>
        </w:rPr>
        <w:t>伍</w:t>
      </w:r>
      <w:r>
        <w:rPr>
          <w:rFonts w:hint="eastAsia" w:ascii="Times New Roman" w:hAnsi="Times New Roman" w:eastAsia="仿宋_GB2312" w:cs="仿宋_GB2312"/>
          <w:sz w:val="32"/>
          <w:szCs w:val="32"/>
          <w:highlight w:val="none"/>
        </w:rPr>
        <w:t>万元整）。</w:t>
      </w:r>
    </w:p>
    <w:p w14:paraId="391FAC18">
      <w:pPr>
        <w:keepNext w:val="0"/>
        <w:keepLines w:val="0"/>
        <w:pageBreakBefore w:val="0"/>
        <w:kinsoku/>
        <w:wordWrap/>
        <w:overflowPunct/>
        <w:topLinePunct w:val="0"/>
        <w:autoSpaceDE/>
        <w:autoSpaceDN/>
        <w:bidi w:val="0"/>
        <w:adjustRightInd/>
        <w:snapToGrid w:val="0"/>
        <w:spacing w:beforeAutospacing="0" w:afterAutospacing="0" w:line="560" w:lineRule="exact"/>
        <w:ind w:left="0"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val="en-US" w:eastAsia="zh-CN"/>
        </w:rPr>
        <w:t>2.本次招标采用综合服务费率报价，</w:t>
      </w:r>
      <w:r>
        <w:rPr>
          <w:rFonts w:hint="eastAsia" w:ascii="Times New Roman" w:hAnsi="Times New Roman" w:eastAsia="仿宋_GB2312" w:cs="仿宋_GB2312"/>
          <w:sz w:val="32"/>
          <w:szCs w:val="32"/>
          <w:highlight w:val="none"/>
        </w:rPr>
        <w:t>综合服务费率最高限价为</w:t>
      </w:r>
      <w:r>
        <w:rPr>
          <w:rFonts w:hint="eastAsia" w:ascii="Times New Roman" w:hAnsi="Times New Roman" w:eastAsia="仿宋_GB2312" w:cs="仿宋_GB2312"/>
          <w:sz w:val="32"/>
          <w:szCs w:val="32"/>
          <w:highlight w:val="none"/>
          <w:lang w:val="en-US" w:eastAsia="zh-CN"/>
        </w:rPr>
        <w:t>2.5‰</w:t>
      </w:r>
      <w:r>
        <w:rPr>
          <w:rFonts w:hint="eastAsia" w:ascii="Times New Roman" w:hAnsi="Times New Roman" w:eastAsia="仿宋_GB2312" w:cs="仿宋_GB2312"/>
          <w:sz w:val="32"/>
          <w:szCs w:val="32"/>
          <w:highlight w:val="none"/>
        </w:rPr>
        <w:t>（即每1000元货值的服务费不超过</w:t>
      </w:r>
      <w:r>
        <w:rPr>
          <w:rFonts w:hint="eastAsia" w:ascii="Times New Roman" w:hAnsi="Times New Roman" w:eastAsia="仿宋_GB2312" w:cs="仿宋_GB2312"/>
          <w:sz w:val="32"/>
          <w:szCs w:val="32"/>
          <w:highlight w:val="none"/>
          <w:lang w:val="en-US" w:eastAsia="zh-CN"/>
        </w:rPr>
        <w:t>2.5</w:t>
      </w:r>
      <w:r>
        <w:rPr>
          <w:rFonts w:hint="eastAsia" w:ascii="Times New Roman" w:hAnsi="Times New Roman" w:eastAsia="仿宋_GB2312" w:cs="仿宋_GB2312"/>
          <w:sz w:val="32"/>
          <w:szCs w:val="32"/>
          <w:highlight w:val="none"/>
        </w:rPr>
        <w:t>元）</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投标人的报价不得高于此限价，超过视为无效投标。</w:t>
      </w:r>
      <w:r>
        <w:rPr>
          <w:rFonts w:hint="eastAsia" w:ascii="仿宋_GB2312" w:hAnsi="仿宋_GB2312" w:eastAsia="仿宋_GB2312" w:cs="仿宋_GB2312"/>
          <w:sz w:val="32"/>
          <w:szCs w:val="32"/>
          <w:lang w:val="en-US" w:eastAsia="zh-CN"/>
        </w:rPr>
        <w:t>价格评审以投标人填报的“综合服务费率”为依据，按本文件第九条规定的公式计算得分。</w:t>
      </w:r>
    </w:p>
    <w:p w14:paraId="78201AC0">
      <w:pPr>
        <w:keepNext w:val="0"/>
        <w:keepLines w:val="0"/>
        <w:pageBreakBefore w:val="0"/>
        <w:kinsoku/>
        <w:wordWrap/>
        <w:overflowPunct/>
        <w:topLinePunct w:val="0"/>
        <w:autoSpaceDE/>
        <w:autoSpaceDN/>
        <w:bidi w:val="0"/>
        <w:adjustRightInd/>
        <w:snapToGrid w:val="0"/>
        <w:spacing w:beforeAutospacing="0" w:afterAutospacing="0" w:line="560" w:lineRule="exact"/>
        <w:ind w:left="0"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val="en-US" w:eastAsia="zh-CN"/>
        </w:rPr>
        <w:t>3.</w:t>
      </w:r>
      <w:r>
        <w:rPr>
          <w:rFonts w:hint="eastAsia" w:ascii="Times New Roman" w:hAnsi="Times New Roman" w:eastAsia="仿宋_GB2312" w:cs="仿宋_GB2312"/>
          <w:sz w:val="32"/>
          <w:szCs w:val="32"/>
          <w:highlight w:val="none"/>
        </w:rPr>
        <w:t>采购人不承诺最低业务量、最低货值或最低结算金额。</w:t>
      </w:r>
    </w:p>
    <w:p w14:paraId="5BC196F5">
      <w:pPr>
        <w:keepNext w:val="0"/>
        <w:keepLines w:val="0"/>
        <w:pageBreakBefore w:val="0"/>
        <w:widowControl w:val="0"/>
        <w:numPr>
          <w:ilvl w:val="0"/>
          <w:numId w:val="3"/>
        </w:numPr>
        <w:kinsoku/>
        <w:wordWrap/>
        <w:overflowPunct/>
        <w:topLinePunct w:val="0"/>
        <w:autoSpaceDE/>
        <w:autoSpaceDN/>
        <w:bidi w:val="0"/>
        <w:adjustRightInd/>
        <w:snapToGrid w:val="0"/>
        <w:spacing w:beforeAutospacing="0" w:afterAutospacing="0" w:line="560" w:lineRule="exact"/>
        <w:ind w:left="0" w:leftChars="0" w:firstLine="420" w:firstLineChars="0"/>
        <w:textAlignment w:val="auto"/>
        <w:rPr>
          <w:rFonts w:hint="eastAsia" w:ascii="Times New Roman" w:hAnsi="Times New Roman" w:eastAsia="楷体_GB2312" w:cs="楷体_GB2312"/>
          <w:sz w:val="32"/>
          <w:szCs w:val="32"/>
          <w:highlight w:val="none"/>
        </w:rPr>
      </w:pPr>
      <w:r>
        <w:rPr>
          <w:rFonts w:hint="eastAsia" w:ascii="Times New Roman" w:hAnsi="Times New Roman" w:eastAsia="楷体_GB2312" w:cs="楷体_GB2312"/>
          <w:sz w:val="32"/>
          <w:szCs w:val="32"/>
          <w:highlight w:val="none"/>
          <w:lang w:val="en-US" w:eastAsia="zh-CN"/>
        </w:rPr>
        <w:t>费用确定</w:t>
      </w:r>
    </w:p>
    <w:p w14:paraId="2E671BD1">
      <w:pPr>
        <w:keepNext w:val="0"/>
        <w:keepLines w:val="0"/>
        <w:pageBreakBefore w:val="0"/>
        <w:kinsoku/>
        <w:wordWrap/>
        <w:overflowPunct/>
        <w:topLinePunct w:val="0"/>
        <w:autoSpaceDE/>
        <w:autoSpaceDN/>
        <w:bidi w:val="0"/>
        <w:adjustRightInd/>
        <w:snapToGrid w:val="0"/>
        <w:spacing w:beforeAutospacing="0" w:afterAutospacing="0" w:line="560" w:lineRule="exact"/>
        <w:ind w:left="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1.费用定义：“货物标的金额”指每批次进/出口货物的CIF价值（Cost, Insurance and Freight, 成本加保险费加运费），以海关出具的进/出口货物报关单上列明的完税价格为准。</w:t>
      </w:r>
    </w:p>
    <w:p w14:paraId="666EEDAC">
      <w:pPr>
        <w:keepNext w:val="0"/>
        <w:keepLines w:val="0"/>
        <w:pageBreakBefore w:val="0"/>
        <w:kinsoku/>
        <w:wordWrap/>
        <w:overflowPunct/>
        <w:topLinePunct w:val="0"/>
        <w:autoSpaceDE/>
        <w:autoSpaceDN/>
        <w:bidi w:val="0"/>
        <w:adjustRightInd/>
        <w:snapToGrid w:val="0"/>
        <w:spacing w:beforeAutospacing="0" w:afterAutospacing="0" w:line="560" w:lineRule="exact"/>
        <w:ind w:left="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2.结算公式</w:t>
      </w:r>
    </w:p>
    <w:p w14:paraId="2A5D19F4">
      <w:pPr>
        <w:keepNext w:val="0"/>
        <w:keepLines w:val="0"/>
        <w:pageBreakBefore w:val="0"/>
        <w:kinsoku/>
        <w:wordWrap/>
        <w:overflowPunct/>
        <w:topLinePunct w:val="0"/>
        <w:autoSpaceDE/>
        <w:autoSpaceDN/>
        <w:bidi w:val="0"/>
        <w:adjustRightInd/>
        <w:snapToGrid w:val="0"/>
        <w:spacing w:beforeAutospacing="0" w:afterAutospacing="0" w:line="560" w:lineRule="exact"/>
        <w:ind w:left="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（1）当配送地址位于深圳市内时，单次服务费用=该批次进/出口货物CIF价值×中标供应商的综合服务费率。</w:t>
      </w:r>
    </w:p>
    <w:p w14:paraId="3ED12C02">
      <w:pPr>
        <w:keepNext w:val="0"/>
        <w:keepLines w:val="0"/>
        <w:pageBreakBefore w:val="0"/>
        <w:kinsoku/>
        <w:wordWrap/>
        <w:overflowPunct/>
        <w:topLinePunct w:val="0"/>
        <w:autoSpaceDE/>
        <w:autoSpaceDN/>
        <w:bidi w:val="0"/>
        <w:adjustRightInd/>
        <w:snapToGrid w:val="0"/>
        <w:spacing w:beforeAutospacing="0" w:afterAutospacing="0" w:line="560" w:lineRule="exact"/>
        <w:ind w:left="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（2）当配送地址位于深圳市以外时，单次服务费用= [该批次进/出口货物CIF价值×中标供应商的综合服务费率] + 该批次对应的深圳市外物流配送费用（按投标人单独列明的收费标准计算）。</w:t>
      </w:r>
    </w:p>
    <w:p w14:paraId="03D736AE">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highlight w:val="none"/>
          <w:lang w:val="en-US" w:eastAsia="zh-CN"/>
        </w:rPr>
        <w:t>3.</w:t>
      </w:r>
      <w:r>
        <w:rPr>
          <w:rFonts w:hint="eastAsia" w:ascii="仿宋_GB2312" w:hAnsi="仿宋_GB2312" w:eastAsia="仿宋_GB2312" w:cs="仿宋_GB2312"/>
          <w:sz w:val="32"/>
          <w:szCs w:val="32"/>
          <w:lang w:val="en-US" w:eastAsia="zh-CN"/>
        </w:rPr>
        <w:t>费用包含：该综合服务费率应包含但不限于：</w:t>
      </w:r>
    </w:p>
    <w:p w14:paraId="260AC5E7">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（1）进出口报关、报检、查验配合、单证制作及归档费用；</w:t>
      </w:r>
    </w:p>
    <w:p w14:paraId="661FEECE">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（2）货物暂存（最长免费存放3天）、装卸、分拣、库存管理等费用；</w:t>
      </w:r>
    </w:p>
    <w:p w14:paraId="3655CACF">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（3）从仓库至深圳市内采购人指定地点的配送费用；</w:t>
      </w:r>
    </w:p>
    <w:p w14:paraId="69D41D92">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（4）所有相关的税费、管理费、利润等。</w:t>
      </w:r>
    </w:p>
    <w:p w14:paraId="3EB2BC4A">
      <w:pPr>
        <w:keepNext w:val="0"/>
        <w:keepLines w:val="0"/>
        <w:pageBreakBefore w:val="0"/>
        <w:kinsoku/>
        <w:wordWrap/>
        <w:overflowPunct/>
        <w:topLinePunct w:val="0"/>
        <w:autoSpaceDE/>
        <w:autoSpaceDN/>
        <w:bidi w:val="0"/>
        <w:adjustRightInd/>
        <w:snapToGrid w:val="0"/>
        <w:spacing w:beforeAutospacing="0" w:afterAutospacing="0" w:line="560" w:lineRule="exact"/>
        <w:ind w:left="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4.深圳市外物流费用：若采购人要求配送至深圳市以外地区，该部分物流费用不包含在上述综合服务费率内，由投标人单独列明收费标准，作为后续合同执行的结算依据。</w:t>
      </w:r>
    </w:p>
    <w:p w14:paraId="54B827B0">
      <w:pPr>
        <w:keepNext w:val="0"/>
        <w:keepLines w:val="0"/>
        <w:pageBreakBefore w:val="0"/>
        <w:kinsoku/>
        <w:wordWrap/>
        <w:overflowPunct/>
        <w:topLinePunct w:val="0"/>
        <w:autoSpaceDE/>
        <w:autoSpaceDN/>
        <w:bidi w:val="0"/>
        <w:adjustRightInd/>
        <w:snapToGrid w:val="0"/>
        <w:spacing w:beforeAutospacing="0" w:afterAutospacing="0" w:line="560" w:lineRule="exact"/>
        <w:ind w:left="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5.结算依据：按月进行结算。每月5日前，供应商需提交上一月的《服务结算确认单》，包含所有已完成服务的明细、费用及对应的验收凭证（如海关放行通知、入库单、POD签收单、付汇水单等）。采购人核对无误后签字确认，供应商据此开具合规发票，采购人在收到发票后15个工作日内支付相应款项。</w:t>
      </w:r>
    </w:p>
    <w:p w14:paraId="315AFDFF">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val="en-US" w:eastAsia="zh-CN"/>
        </w:rPr>
        <w:t>框架协议预算总额：本次采购为框架协议采购，本框架协议项下的预算总金额不超过人民币750,000元（大写：柒拾伍万元整）。此金额为合同有效期内的最高结算控制金额，采购人根据实际发生的服务据实结</w:t>
      </w:r>
      <w:r>
        <w:rPr>
          <w:rFonts w:hint="eastAsia" w:ascii="仿宋_GB2312" w:hAnsi="仿宋_GB2312" w:eastAsia="仿宋_GB2312" w:cs="仿宋_GB2312"/>
          <w:sz w:val="32"/>
          <w:szCs w:val="32"/>
          <w:lang w:val="en-US" w:eastAsia="zh-CN"/>
        </w:rPr>
        <w:t>算，最终累计支付金额不超过此预算总额。采购人不承诺最低业务量、最低货值或最低结算金额。如最终中标供应商为两家，则两家供应商共同享有本框架协议项下的预算总额，采购人有权根据供应商的服务能力、履约质量、价格水平等多维因素进行综合评估，自主选择其中一家供应商承接具体业务订单，中标供应商不得就此提出任何异议或索赔。</w:t>
      </w:r>
    </w:p>
    <w:p w14:paraId="6835F1CD">
      <w:pPr>
        <w:pStyle w:val="4"/>
        <w:keepNext w:val="0"/>
        <w:keepLines w:val="0"/>
        <w:pageBreakBefore w:val="0"/>
        <w:widowControl/>
        <w:numPr>
          <w:ilvl w:val="0"/>
          <w:numId w:val="1"/>
        </w:numPr>
        <w:suppressLineNumbers w:val="0"/>
        <w:kinsoku/>
        <w:wordWrap/>
        <w:overflowPunct/>
        <w:topLinePunct w:val="0"/>
        <w:autoSpaceDE/>
        <w:autoSpaceDN/>
        <w:bidi w:val="0"/>
        <w:adjustRightInd/>
        <w:snapToGrid w:val="0"/>
        <w:spacing w:beforeAutospacing="0" w:afterAutospacing="0" w:line="560" w:lineRule="exact"/>
        <w:ind w:left="0" w:leftChars="0" w:firstLine="420" w:firstLineChars="0"/>
        <w:jc w:val="left"/>
        <w:textAlignment w:val="auto"/>
        <w:rPr>
          <w:rStyle w:val="11"/>
          <w:rFonts w:hint="eastAsia" w:ascii="黑体" w:hAnsi="黑体" w:eastAsia="黑体" w:cs="黑体"/>
          <w:b w:val="0"/>
          <w:bCs w:val="0"/>
          <w:sz w:val="32"/>
          <w:szCs w:val="32"/>
        </w:rPr>
      </w:pPr>
      <w:r>
        <w:rPr>
          <w:rStyle w:val="11"/>
          <w:rFonts w:hint="eastAsia" w:ascii="黑体" w:hAnsi="黑体" w:eastAsia="黑体" w:cs="黑体"/>
          <w:b w:val="0"/>
          <w:bCs w:val="0"/>
          <w:sz w:val="32"/>
          <w:szCs w:val="32"/>
        </w:rPr>
        <w:t xml:space="preserve">中选供应商规则 </w:t>
      </w:r>
    </w:p>
    <w:p w14:paraId="34A58A8E">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本项目采用公开招标方式。评审委员会将根据通过符合性审查的有效投标人数量，按以下规则确定中选供应商：</w:t>
      </w:r>
    </w:p>
    <w:p w14:paraId="2FD8B6B7">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1.若通过符合性审查的有效投标人数量≥4家，则确定综合得分排名前2名的投标人为中选供应商。</w:t>
      </w:r>
    </w:p>
    <w:p w14:paraId="4D2287AF">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2.若通过符合性审查的有效投标人数量为3家，则确定综合得分排名第1名的投标人为中选供应商。</w:t>
      </w:r>
    </w:p>
    <w:p w14:paraId="2F90E523">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当综合得分相同时，依次按以下规则排序：先以技术评审得分从高至低排序；技术得分仍一致的，由评标委员会现场抽签确定排序位次。中标供应商应在收到中标通知书后规定时间内，与采购人签订框架协议。逾期不签或放弃，采购人可按排序递补或重新采购。</w:t>
      </w:r>
    </w:p>
    <w:p w14:paraId="0B864878">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4.若通过符合性审查的有效投标人数量不足3家，采购人有权否决全部投标或终止招标活动，并依法变更采购方式或重新组织招标。</w:t>
      </w:r>
    </w:p>
    <w:p w14:paraId="3259BDAA">
      <w:pPr>
        <w:pStyle w:val="4"/>
        <w:keepNext w:val="0"/>
        <w:keepLines w:val="0"/>
        <w:pageBreakBefore w:val="0"/>
        <w:widowControl/>
        <w:numPr>
          <w:ilvl w:val="0"/>
          <w:numId w:val="1"/>
        </w:numPr>
        <w:suppressLineNumbers w:val="0"/>
        <w:kinsoku/>
        <w:wordWrap/>
        <w:overflowPunct/>
        <w:topLinePunct w:val="0"/>
        <w:autoSpaceDE/>
        <w:autoSpaceDN/>
        <w:bidi w:val="0"/>
        <w:adjustRightInd/>
        <w:snapToGrid w:val="0"/>
        <w:spacing w:beforeAutospacing="0" w:afterAutospacing="0" w:line="560" w:lineRule="exact"/>
        <w:ind w:left="0" w:leftChars="0" w:firstLine="420" w:firstLineChars="0"/>
        <w:jc w:val="left"/>
        <w:textAlignment w:val="auto"/>
        <w:rPr>
          <w:rStyle w:val="11"/>
          <w:rFonts w:hint="eastAsia" w:ascii="黑体" w:hAnsi="黑体" w:eastAsia="黑体" w:cs="黑体"/>
          <w:b w:val="0"/>
          <w:bCs w:val="0"/>
          <w:sz w:val="32"/>
          <w:szCs w:val="32"/>
        </w:rPr>
      </w:pPr>
      <w:r>
        <w:rPr>
          <w:rStyle w:val="11"/>
          <w:rFonts w:hint="eastAsia" w:ascii="黑体" w:hAnsi="黑体" w:eastAsia="黑体" w:cs="黑体"/>
          <w:b w:val="0"/>
          <w:bCs w:val="0"/>
          <w:sz w:val="32"/>
          <w:szCs w:val="32"/>
        </w:rPr>
        <w:t xml:space="preserve">评审标准 </w:t>
      </w:r>
    </w:p>
    <w:p w14:paraId="50A1A25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本项目评审采用综合评分法，总分100分。其中</w:t>
      </w:r>
      <w:r>
        <w:rPr>
          <w:rFonts w:hint="eastAsia" w:ascii="仿宋_GB2312" w:hAnsi="仿宋_GB2312" w:eastAsia="仿宋_GB2312" w:cs="仿宋_GB2312"/>
          <w:sz w:val="32"/>
          <w:szCs w:val="32"/>
          <w:lang w:val="en-US" w:eastAsia="zh-CN"/>
        </w:rPr>
        <w:t>价格部分20分，商务部分30分，技术部分50分，具体评审标准如下</w:t>
      </w:r>
      <w:r>
        <w:rPr>
          <w:rFonts w:hint="eastAsia" w:ascii="仿宋_GB2312" w:hAnsi="仿宋_GB2312" w:eastAsia="仿宋_GB2312" w:cs="仿宋_GB2312"/>
          <w:sz w:val="32"/>
          <w:szCs w:val="32"/>
        </w:rPr>
        <w:t>：</w:t>
      </w:r>
    </w:p>
    <w:p w14:paraId="44CB710E">
      <w:pPr>
        <w:rPr>
          <w:rFonts w:hint="eastAsia"/>
        </w:rPr>
      </w:pPr>
    </w:p>
    <w:tbl>
      <w:tblPr>
        <w:tblStyle w:val="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15"/>
        <w:gridCol w:w="1368"/>
        <w:gridCol w:w="5439"/>
      </w:tblGrid>
      <w:tr w14:paraId="2A46C6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22" w:type="dxa"/>
            <w:gridSpan w:val="3"/>
            <w:tcBorders>
              <w:tl2br w:val="nil"/>
              <w:tr2bl w:val="nil"/>
            </w:tcBorders>
            <w:vAlign w:val="center"/>
          </w:tcPr>
          <w:p w14:paraId="208E889F">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eastAsiaTheme="minorEastAsia"/>
                <w:sz w:val="21"/>
                <w:szCs w:val="21"/>
                <w:vertAlign w:val="baseline"/>
                <w:lang w:val="en-US" w:eastAsia="zh-CN"/>
              </w:rPr>
            </w:pPr>
            <w:r>
              <w:rPr>
                <w:rFonts w:hint="eastAsia" w:ascii="仿宋_GB2312" w:hAnsi="仿宋_GB2312" w:eastAsia="仿宋_GB2312" w:cs="仿宋_GB2312"/>
                <w:b/>
                <w:bCs/>
                <w:spacing w:val="-1"/>
                <w:sz w:val="36"/>
                <w:szCs w:val="36"/>
                <w:lang w:val="en-US" w:eastAsia="zh-CN"/>
                <w14:textOutline w14:w="3831" w14:cap="flat" w14:cmpd="sng">
                  <w14:solidFill>
                    <w14:srgbClr w14:val="000000"/>
                  </w14:solidFill>
                  <w14:prstDash w14:val="solid"/>
                  <w14:miter w14:val="0"/>
                </w14:textOutline>
              </w:rPr>
              <w:t>评审标准</w:t>
            </w:r>
          </w:p>
        </w:tc>
      </w:tr>
      <w:tr w14:paraId="76BE38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22" w:type="dxa"/>
            <w:gridSpan w:val="3"/>
            <w:tcBorders>
              <w:tl2br w:val="nil"/>
              <w:tr2bl w:val="nil"/>
            </w:tcBorders>
            <w:vAlign w:val="center"/>
          </w:tcPr>
          <w:p w14:paraId="6F95CDF9">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eastAsia="仿宋_GB2312"/>
                <w:sz w:val="18"/>
                <w:szCs w:val="21"/>
                <w:vertAlign w:val="baseline"/>
                <w:lang w:eastAsia="zh-CN"/>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一、价格部分（20分）</w:t>
            </w:r>
          </w:p>
        </w:tc>
      </w:tr>
      <w:tr w14:paraId="71B896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15" w:type="dxa"/>
            <w:tcBorders>
              <w:tl2br w:val="nil"/>
              <w:tr2bl w:val="nil"/>
            </w:tcBorders>
            <w:vAlign w:val="center"/>
          </w:tcPr>
          <w:p w14:paraId="58D6DDA6">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评分项</w:t>
            </w:r>
          </w:p>
        </w:tc>
        <w:tc>
          <w:tcPr>
            <w:tcW w:w="1368" w:type="dxa"/>
            <w:tcBorders>
              <w:tl2br w:val="nil"/>
              <w:tr2bl w:val="nil"/>
            </w:tcBorders>
            <w:vAlign w:val="center"/>
          </w:tcPr>
          <w:p w14:paraId="1DABCC4A">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分值</w:t>
            </w:r>
          </w:p>
        </w:tc>
        <w:tc>
          <w:tcPr>
            <w:tcW w:w="5439" w:type="dxa"/>
            <w:tcBorders>
              <w:tl2br w:val="nil"/>
              <w:tr2bl w:val="nil"/>
            </w:tcBorders>
            <w:vAlign w:val="center"/>
          </w:tcPr>
          <w:p w14:paraId="288892FC">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评审内容与评分标准</w:t>
            </w:r>
          </w:p>
        </w:tc>
      </w:tr>
      <w:tr w14:paraId="29EF64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15" w:type="dxa"/>
            <w:tcBorders>
              <w:tl2br w:val="nil"/>
              <w:tr2bl w:val="nil"/>
            </w:tcBorders>
            <w:vAlign w:val="center"/>
          </w:tcPr>
          <w:p w14:paraId="7D43C87C">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sz w:val="21"/>
                <w:szCs w:val="21"/>
                <w:vertAlign w:val="baseline"/>
              </w:rPr>
            </w:pPr>
            <w:r>
              <w:rPr>
                <w:rFonts w:hint="eastAsia" w:ascii="仿宋_GB2312" w:hAnsi="仿宋_GB2312" w:eastAsia="仿宋_GB2312" w:cs="仿宋_GB2312"/>
                <w:sz w:val="24"/>
                <w:szCs w:val="24"/>
              </w:rPr>
              <w:t>报价</w:t>
            </w:r>
          </w:p>
        </w:tc>
        <w:tc>
          <w:tcPr>
            <w:tcW w:w="1368" w:type="dxa"/>
            <w:tcBorders>
              <w:tl2br w:val="nil"/>
              <w:tr2bl w:val="nil"/>
            </w:tcBorders>
            <w:vAlign w:val="center"/>
          </w:tcPr>
          <w:p w14:paraId="28253172">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sz w:val="21"/>
                <w:szCs w:val="21"/>
                <w:vertAlign w:val="baseline"/>
              </w:rPr>
            </w:pPr>
            <w:r>
              <w:rPr>
                <w:rFonts w:hint="eastAsia" w:ascii="仿宋_GB2312" w:hAnsi="仿宋_GB2312" w:eastAsia="仿宋_GB2312" w:cs="仿宋_GB2312"/>
                <w:sz w:val="24"/>
                <w:szCs w:val="24"/>
              </w:rPr>
              <w:t>20</w:t>
            </w:r>
          </w:p>
        </w:tc>
        <w:tc>
          <w:tcPr>
            <w:tcW w:w="5439" w:type="dxa"/>
            <w:tcBorders>
              <w:tl2br w:val="nil"/>
              <w:tr2bl w:val="nil"/>
            </w:tcBorders>
            <w:vAlign w:val="center"/>
          </w:tcPr>
          <w:p w14:paraId="3395795B">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left"/>
              <w:textAlignment w:val="auto"/>
              <w:rPr>
                <w:rFonts w:hint="eastAsia"/>
                <w:sz w:val="21"/>
                <w:szCs w:val="21"/>
                <w:vertAlign w:val="baseline"/>
              </w:rPr>
            </w:pPr>
            <w:r>
              <w:rPr>
                <w:rFonts w:hint="eastAsia" w:ascii="仿宋_GB2312" w:hAnsi="仿宋_GB2312" w:eastAsia="仿宋_GB2312" w:cs="仿宋_GB2312"/>
                <w:sz w:val="24"/>
                <w:szCs w:val="24"/>
                <w:lang w:val="en-US" w:eastAsia="zh-CN"/>
              </w:rPr>
              <w:t>计算公式：以满足招标文件要求且通过资格审查的有效投标人中，最低的综合服务费率作为基准价，得满分20分。</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其他投标人的价格得分 = (基准价÷该投标人的综合服务费率)×20。</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特别规定：为防止恶性低价竞争，若评标工作组认定某投标费率明显低于市场合理水平，可能影响服务质量，有权要求其提供书面说明及成本测算依据。不能合理说明的，作无效投标处理。</w:t>
            </w:r>
          </w:p>
        </w:tc>
      </w:tr>
      <w:tr w14:paraId="3601C8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22" w:type="dxa"/>
            <w:gridSpan w:val="3"/>
            <w:tcBorders>
              <w:tl2br w:val="nil"/>
              <w:tr2bl w:val="nil"/>
            </w:tcBorders>
            <w:vAlign w:val="center"/>
          </w:tcPr>
          <w:p w14:paraId="0484F2A6">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二、商务部分（30分）</w:t>
            </w:r>
          </w:p>
        </w:tc>
      </w:tr>
      <w:tr w14:paraId="061F4D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15" w:type="dxa"/>
            <w:tcBorders>
              <w:tl2br w:val="nil"/>
              <w:tr2bl w:val="nil"/>
            </w:tcBorders>
            <w:vAlign w:val="center"/>
          </w:tcPr>
          <w:p w14:paraId="46B86AC9">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评分项</w:t>
            </w:r>
          </w:p>
        </w:tc>
        <w:tc>
          <w:tcPr>
            <w:tcW w:w="1368" w:type="dxa"/>
            <w:tcBorders>
              <w:tl2br w:val="nil"/>
              <w:tr2bl w:val="nil"/>
            </w:tcBorders>
            <w:vAlign w:val="center"/>
          </w:tcPr>
          <w:p w14:paraId="3B1CDF03">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分值</w:t>
            </w:r>
          </w:p>
        </w:tc>
        <w:tc>
          <w:tcPr>
            <w:tcW w:w="5439" w:type="dxa"/>
            <w:tcBorders>
              <w:tl2br w:val="nil"/>
              <w:tr2bl w:val="nil"/>
            </w:tcBorders>
            <w:vAlign w:val="center"/>
          </w:tcPr>
          <w:p w14:paraId="02F3AEA2">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评审内容与评分标准</w:t>
            </w:r>
          </w:p>
        </w:tc>
      </w:tr>
      <w:tr w14:paraId="0E2E69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15" w:type="dxa"/>
            <w:tcBorders>
              <w:tl2br w:val="nil"/>
              <w:tr2bl w:val="nil"/>
            </w:tcBorders>
            <w:vAlign w:val="center"/>
          </w:tcPr>
          <w:p w14:paraId="1614B4D5">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sz w:val="21"/>
                <w:szCs w:val="21"/>
                <w:vertAlign w:val="baseline"/>
              </w:rPr>
            </w:pPr>
            <w:r>
              <w:rPr>
                <w:rFonts w:hint="eastAsia" w:ascii="仿宋_GB2312" w:hAnsi="仿宋_GB2312" w:eastAsia="仿宋_GB2312" w:cs="仿宋_GB2312"/>
                <w:sz w:val="24"/>
                <w:szCs w:val="24"/>
              </w:rPr>
              <w:t>同类项目业绩</w:t>
            </w:r>
          </w:p>
        </w:tc>
        <w:tc>
          <w:tcPr>
            <w:tcW w:w="1368" w:type="dxa"/>
            <w:tcBorders>
              <w:tl2br w:val="nil"/>
              <w:tr2bl w:val="nil"/>
            </w:tcBorders>
            <w:vAlign w:val="center"/>
          </w:tcPr>
          <w:p w14:paraId="0257C336">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sz w:val="21"/>
                <w:szCs w:val="21"/>
                <w:vertAlign w:val="baseline"/>
              </w:rPr>
            </w:pPr>
            <w:r>
              <w:rPr>
                <w:rFonts w:hint="eastAsia" w:ascii="仿宋_GB2312" w:hAnsi="仿宋_GB2312" w:eastAsia="仿宋_GB2312" w:cs="仿宋_GB2312"/>
                <w:sz w:val="24"/>
                <w:szCs w:val="24"/>
              </w:rPr>
              <w:t>15</w:t>
            </w:r>
          </w:p>
        </w:tc>
        <w:tc>
          <w:tcPr>
            <w:tcW w:w="5439" w:type="dxa"/>
            <w:tcBorders>
              <w:tl2br w:val="nil"/>
              <w:tr2bl w:val="nil"/>
            </w:tcBorders>
            <w:vAlign w:val="center"/>
          </w:tcPr>
          <w:p w14:paraId="38C85030">
            <w:pPr>
              <w:pStyle w:val="7"/>
              <w:widowControl/>
              <w:snapToGrid w:val="0"/>
              <w:spacing w:beforeAutospacing="0" w:afterAutospacing="0"/>
              <w:rPr>
                <w:rFonts w:ascii="仿宋_GB2312" w:hAnsi="仿宋_GB2312" w:eastAsia="仿宋_GB2312" w:cs="仿宋_GB2312"/>
                <w:b/>
                <w:bCs/>
                <w:highlight w:val="none"/>
              </w:rPr>
            </w:pPr>
            <w:r>
              <w:rPr>
                <w:rFonts w:hint="eastAsia" w:ascii="仿宋_GB2312" w:hAnsi="仿宋_GB2312" w:eastAsia="仿宋_GB2312" w:cs="仿宋_GB2312"/>
                <w:b/>
                <w:bCs/>
                <w:highlight w:val="none"/>
              </w:rPr>
              <w:t>评审内容：</w:t>
            </w:r>
          </w:p>
          <w:p w14:paraId="0FEC8A63">
            <w:pPr>
              <w:pStyle w:val="7"/>
              <w:widowControl/>
              <w:snapToGrid w:val="0"/>
              <w:spacing w:beforeAutospacing="0" w:afterAutospacing="0"/>
              <w:rPr>
                <w:rFonts w:ascii="仿宋_GB2312" w:hAnsi="仿宋_GB2312" w:eastAsia="仿宋_GB2312" w:cs="仿宋_GB2312"/>
                <w:highlight w:val="none"/>
              </w:rPr>
            </w:pPr>
            <w:r>
              <w:rPr>
                <w:rFonts w:hint="eastAsia" w:ascii="仿宋_GB2312" w:hAnsi="仿宋_GB2312" w:eastAsia="仿宋_GB2312" w:cs="仿宋_GB2312"/>
                <w:highlight w:val="none"/>
              </w:rPr>
              <w:t>考察2023年1月1日以来，投标人承接的报关、仓储、物流综合服务项目。每提供1个有效合同得</w:t>
            </w:r>
            <w:r>
              <w:rPr>
                <w:rFonts w:ascii="仿宋_GB2312" w:hAnsi="仿宋_GB2312" w:eastAsia="仿宋_GB2312" w:cs="仿宋_GB2312"/>
                <w:highlight w:val="none"/>
              </w:rPr>
              <w:t>2</w:t>
            </w:r>
            <w:r>
              <w:rPr>
                <w:rFonts w:hint="eastAsia" w:ascii="仿宋_GB2312" w:hAnsi="仿宋_GB2312" w:eastAsia="仿宋_GB2312" w:cs="仿宋_GB2312"/>
                <w:highlight w:val="none"/>
              </w:rPr>
              <w:t>分，最高</w:t>
            </w:r>
            <w:r>
              <w:rPr>
                <w:rFonts w:ascii="仿宋_GB2312" w:hAnsi="仿宋_GB2312" w:eastAsia="仿宋_GB2312" w:cs="仿宋_GB2312"/>
                <w:highlight w:val="none"/>
              </w:rPr>
              <w:t>10</w:t>
            </w:r>
            <w:r>
              <w:rPr>
                <w:rFonts w:hint="eastAsia" w:ascii="仿宋_GB2312" w:hAnsi="仿宋_GB2312" w:eastAsia="仿宋_GB2312" w:cs="仿宋_GB2312"/>
                <w:highlight w:val="none"/>
              </w:rPr>
              <w:t>分。额外加分：若提供的合同中包含付汇服务内容</w:t>
            </w:r>
            <w:r>
              <w:rPr>
                <w:rFonts w:hint="eastAsia" w:ascii="仿宋_GB2312" w:hAnsi="仿宋_GB2312" w:eastAsia="仿宋_GB2312" w:cs="仿宋_GB2312"/>
                <w:color w:val="auto"/>
                <w:highlight w:val="none"/>
                <w:lang w:val="en-US" w:eastAsia="zh-CN"/>
              </w:rPr>
              <w:t>且</w:t>
            </w:r>
            <w:r>
              <w:rPr>
                <w:rFonts w:hint="eastAsia" w:ascii="仿宋_GB2312" w:hAnsi="仿宋_GB2312" w:eastAsia="仿宋_GB2312" w:cs="仿宋_GB2312"/>
                <w:color w:val="auto"/>
                <w:highlight w:val="none"/>
              </w:rPr>
              <w:t>单个合同额超过1亿人币民以上额外加1分，最高加</w:t>
            </w:r>
            <w:r>
              <w:rPr>
                <w:rFonts w:ascii="仿宋_GB2312" w:hAnsi="仿宋_GB2312" w:eastAsia="仿宋_GB2312" w:cs="仿宋_GB2312"/>
                <w:color w:val="auto"/>
                <w:highlight w:val="none"/>
              </w:rPr>
              <w:t>5</w:t>
            </w:r>
            <w:r>
              <w:rPr>
                <w:rFonts w:hint="eastAsia" w:ascii="仿宋_GB2312" w:hAnsi="仿宋_GB2312" w:eastAsia="仿宋_GB2312" w:cs="仿宋_GB2312"/>
                <w:color w:val="auto"/>
                <w:highlight w:val="none"/>
              </w:rPr>
              <w:t>分。</w:t>
            </w:r>
            <w:r>
              <w:rPr>
                <w:rFonts w:hint="eastAsia" w:ascii="仿宋_GB2312" w:hAnsi="仿宋_GB2312" w:eastAsia="仿宋_GB2312" w:cs="仿宋_GB2312"/>
                <w:highlight w:val="none"/>
              </w:rPr>
              <w:t>合计最高15分。</w:t>
            </w:r>
          </w:p>
          <w:p w14:paraId="0EB71856">
            <w:pPr>
              <w:pStyle w:val="7"/>
              <w:widowControl/>
              <w:snapToGrid w:val="0"/>
              <w:spacing w:beforeAutospacing="0" w:afterAutospacing="0"/>
              <w:rPr>
                <w:rFonts w:ascii="仿宋_GB2312" w:hAnsi="仿宋_GB2312" w:eastAsia="仿宋_GB2312" w:cs="仿宋_GB2312"/>
                <w:b/>
                <w:bCs/>
                <w:highlight w:val="none"/>
              </w:rPr>
            </w:pPr>
            <w:r>
              <w:rPr>
                <w:rFonts w:hint="eastAsia" w:ascii="仿宋_GB2312" w:hAnsi="仿宋_GB2312" w:eastAsia="仿宋_GB2312" w:cs="仿宋_GB2312"/>
                <w:b/>
                <w:bCs/>
                <w:highlight w:val="none"/>
              </w:rPr>
              <w:t>评审依据：</w:t>
            </w:r>
          </w:p>
          <w:p w14:paraId="0527DDFF">
            <w:pPr>
              <w:pStyle w:val="7"/>
              <w:widowControl/>
              <w:snapToGrid w:val="0"/>
              <w:spacing w:beforeAutospacing="0" w:afterAutospacing="0"/>
              <w:rPr>
                <w:rFonts w:ascii="仿宋_GB2312" w:hAnsi="仿宋_GB2312" w:eastAsia="仿宋_GB2312" w:cs="仿宋_GB2312"/>
                <w:snapToGrid w:val="0"/>
                <w:color w:val="000000"/>
                <w:highlight w:val="none"/>
                <w:lang w:eastAsia="zh"/>
              </w:rPr>
            </w:pPr>
            <w:r>
              <w:rPr>
                <w:rFonts w:hint="eastAsia" w:ascii="仿宋_GB2312" w:hAnsi="仿宋_GB2312" w:eastAsia="仿宋_GB2312" w:cs="仿宋_GB2312"/>
                <w:snapToGrid w:val="0"/>
                <w:color w:val="000000"/>
                <w:highlight w:val="none"/>
              </w:rPr>
              <w:t>1.</w:t>
            </w:r>
            <w:r>
              <w:rPr>
                <w:rFonts w:hint="eastAsia" w:ascii="仿宋_GB2312" w:hAnsi="仿宋_GB2312" w:eastAsia="仿宋_GB2312" w:cs="仿宋_GB2312"/>
                <w:highlight w:val="none"/>
              </w:rPr>
              <w:t>投标人</w:t>
            </w:r>
            <w:r>
              <w:rPr>
                <w:rFonts w:hint="eastAsia" w:ascii="仿宋_GB2312" w:hAnsi="仿宋_GB2312" w:eastAsia="仿宋_GB2312" w:cs="仿宋_GB2312"/>
                <w:snapToGrid w:val="0"/>
                <w:color w:val="000000"/>
                <w:highlight w:val="none"/>
              </w:rPr>
              <w:t>提供</w:t>
            </w:r>
            <w:r>
              <w:rPr>
                <w:rFonts w:hint="eastAsia" w:ascii="仿宋_GB2312" w:hAnsi="仿宋_GB2312" w:eastAsia="仿宋_GB2312" w:cs="仿宋_GB2312"/>
                <w:snapToGrid w:val="0"/>
                <w:color w:val="000000"/>
                <w:highlight w:val="none"/>
                <w:lang w:eastAsia="zh"/>
              </w:rPr>
              <w:t>同类项目业绩一览表；</w:t>
            </w:r>
          </w:p>
          <w:p w14:paraId="020D91FD">
            <w:pPr>
              <w:pStyle w:val="7"/>
              <w:widowControl/>
              <w:snapToGrid w:val="0"/>
              <w:spacing w:beforeAutospacing="0" w:afterAutospacing="0"/>
              <w:rPr>
                <w:rFonts w:ascii="仿宋_GB2312" w:hAnsi="仿宋_GB2312" w:eastAsia="仿宋_GB2312" w:cs="仿宋_GB2312"/>
                <w:snapToGrid w:val="0"/>
                <w:color w:val="000000"/>
                <w:highlight w:val="none"/>
                <w:lang w:eastAsia="zh"/>
              </w:rPr>
            </w:pPr>
            <w:r>
              <w:rPr>
                <w:rFonts w:hint="eastAsia" w:ascii="仿宋_GB2312" w:hAnsi="仿宋_GB2312" w:eastAsia="仿宋_GB2312" w:cs="仿宋_GB2312"/>
                <w:snapToGrid w:val="0"/>
                <w:color w:val="000000"/>
                <w:highlight w:val="none"/>
              </w:rPr>
              <w:t>2.</w:t>
            </w:r>
            <w:r>
              <w:rPr>
                <w:rFonts w:hint="eastAsia" w:ascii="仿宋_GB2312" w:hAnsi="仿宋_GB2312" w:eastAsia="仿宋_GB2312" w:cs="仿宋_GB2312"/>
                <w:highlight w:val="none"/>
              </w:rPr>
              <w:t>提供综合服务项目合同复印件关键页，</w:t>
            </w:r>
            <w:r>
              <w:rPr>
                <w:rFonts w:hint="eastAsia" w:ascii="仿宋_GB2312" w:hAnsi="仿宋_GB2312" w:eastAsia="仿宋_GB2312" w:cs="仿宋_GB2312"/>
                <w:snapToGrid w:val="0"/>
                <w:color w:val="000000"/>
                <w:highlight w:val="none"/>
                <w:lang w:eastAsia="zh"/>
              </w:rPr>
              <w:t>包括合同</w:t>
            </w:r>
            <w:r>
              <w:rPr>
                <w:rFonts w:hint="eastAsia" w:ascii="仿宋_GB2312" w:hAnsi="仿宋_GB2312" w:eastAsia="仿宋_GB2312" w:cs="仿宋_GB2312"/>
                <w:snapToGrid w:val="0"/>
                <w:color w:val="000000"/>
                <w:highlight w:val="none"/>
              </w:rPr>
              <w:t>双方、</w:t>
            </w:r>
            <w:r>
              <w:rPr>
                <w:rFonts w:hint="eastAsia" w:ascii="仿宋_GB2312" w:hAnsi="仿宋_GB2312" w:eastAsia="仿宋_GB2312" w:cs="仿宋_GB2312"/>
                <w:snapToGrid w:val="0"/>
                <w:color w:val="000000"/>
                <w:highlight w:val="none"/>
                <w:lang w:eastAsia="zh"/>
              </w:rPr>
              <w:t>项目名称、服务内容、</w:t>
            </w:r>
            <w:r>
              <w:rPr>
                <w:rFonts w:hint="eastAsia" w:ascii="仿宋_GB2312" w:hAnsi="仿宋_GB2312" w:eastAsia="仿宋_GB2312" w:cs="仿宋_GB2312"/>
                <w:snapToGrid w:val="0"/>
                <w:color w:val="000000"/>
                <w:highlight w:val="none"/>
                <w:lang w:val="en-US" w:eastAsia="zh-CN"/>
              </w:rPr>
              <w:t>合同金额、</w:t>
            </w:r>
            <w:r>
              <w:rPr>
                <w:rFonts w:hint="eastAsia" w:ascii="仿宋_GB2312" w:hAnsi="仿宋_GB2312" w:eastAsia="仿宋_GB2312" w:cs="仿宋_GB2312"/>
                <w:snapToGrid w:val="0"/>
                <w:color w:val="000000"/>
                <w:highlight w:val="none"/>
                <w:lang w:eastAsia="zh"/>
              </w:rPr>
              <w:t>签章页、签订日期；</w:t>
            </w:r>
          </w:p>
          <w:p w14:paraId="6031A374">
            <w:pPr>
              <w:pStyle w:val="7"/>
              <w:widowControl/>
              <w:snapToGrid w:val="0"/>
              <w:spacing w:beforeAutospacing="0" w:afterAutospacing="0"/>
              <w:rPr>
                <w:rFonts w:ascii="仿宋_GB2312" w:hAnsi="仿宋_GB2312" w:eastAsia="仿宋_GB2312" w:cs="仿宋_GB2312"/>
                <w:snapToGrid w:val="0"/>
                <w:color w:val="000000"/>
                <w:highlight w:val="none"/>
              </w:rPr>
            </w:pPr>
            <w:r>
              <w:rPr>
                <w:rFonts w:hint="eastAsia" w:ascii="仿宋_GB2312" w:hAnsi="仿宋_GB2312" w:eastAsia="仿宋_GB2312" w:cs="仿宋_GB2312"/>
                <w:snapToGrid w:val="0"/>
                <w:color w:val="000000"/>
                <w:highlight w:val="none"/>
              </w:rPr>
              <w:t>3.提供①进出口报关单（消费使用单位可为采购人、经营单位为投标人）复印件、②付汇水单/银行回单复印件（可隐去汇率细节但须保留金额、日期、收款方地区信息）、③对外支付税务备案表。三项至少提供一项可佐证付汇已由投标人完成；</w:t>
            </w:r>
          </w:p>
          <w:p w14:paraId="0EE015CB">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napToGrid w:val="0"/>
                <w:color w:val="000000"/>
                <w:highlight w:val="none"/>
              </w:rPr>
              <w:t>4.提供扫描件不清晰、内容不全、无法识别的不得分。</w:t>
            </w:r>
          </w:p>
        </w:tc>
      </w:tr>
      <w:tr w14:paraId="4B349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15" w:type="dxa"/>
            <w:tcBorders>
              <w:tl2br w:val="nil"/>
              <w:tr2bl w:val="nil"/>
            </w:tcBorders>
            <w:vAlign w:val="center"/>
          </w:tcPr>
          <w:p w14:paraId="38BFD4A2">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sz w:val="21"/>
                <w:szCs w:val="21"/>
                <w:vertAlign w:val="baseline"/>
              </w:rPr>
            </w:pPr>
            <w:r>
              <w:rPr>
                <w:rFonts w:hint="eastAsia" w:ascii="仿宋_GB2312" w:hAnsi="仿宋_GB2312" w:eastAsia="仿宋_GB2312" w:cs="仿宋_GB2312"/>
                <w:sz w:val="24"/>
                <w:szCs w:val="24"/>
              </w:rPr>
              <w:t>企业资质与规模</w:t>
            </w:r>
          </w:p>
        </w:tc>
        <w:tc>
          <w:tcPr>
            <w:tcW w:w="1368" w:type="dxa"/>
            <w:tcBorders>
              <w:tl2br w:val="nil"/>
              <w:tr2bl w:val="nil"/>
            </w:tcBorders>
            <w:vAlign w:val="center"/>
          </w:tcPr>
          <w:p w14:paraId="149D2FD7">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eastAsiaTheme="minorEastAsia"/>
                <w:sz w:val="21"/>
                <w:szCs w:val="21"/>
                <w:vertAlign w:val="baseline"/>
                <w:lang w:eastAsia="zh-CN"/>
              </w:rPr>
            </w:pPr>
            <w:r>
              <w:rPr>
                <w:rFonts w:hint="eastAsia" w:ascii="仿宋_GB2312" w:hAnsi="仿宋_GB2312" w:eastAsia="仿宋_GB2312" w:cs="仿宋_GB2312"/>
                <w:sz w:val="24"/>
                <w:szCs w:val="24"/>
                <w:lang w:val="en-US" w:eastAsia="zh-CN"/>
              </w:rPr>
              <w:t>9</w:t>
            </w:r>
          </w:p>
        </w:tc>
        <w:tc>
          <w:tcPr>
            <w:tcW w:w="5439" w:type="dxa"/>
            <w:tcBorders>
              <w:tl2br w:val="nil"/>
              <w:tr2bl w:val="nil"/>
            </w:tcBorders>
            <w:vAlign w:val="center"/>
          </w:tcPr>
          <w:p w14:paraId="4A6B5525">
            <w:pPr>
              <w:pStyle w:val="7"/>
              <w:widowControl/>
              <w:snapToGrid w:val="0"/>
              <w:spacing w:beforeAutospacing="0" w:afterAutospacing="0"/>
              <w:rPr>
                <w:rFonts w:ascii="仿宋_GB2312" w:hAnsi="仿宋_GB2312" w:eastAsia="仿宋_GB2312" w:cs="仿宋_GB2312"/>
                <w:b/>
                <w:bCs/>
                <w:highlight w:val="none"/>
              </w:rPr>
            </w:pPr>
            <w:r>
              <w:rPr>
                <w:rFonts w:hint="eastAsia" w:ascii="仿宋_GB2312" w:hAnsi="仿宋_GB2312" w:eastAsia="仿宋_GB2312" w:cs="仿宋_GB2312"/>
                <w:b/>
                <w:bCs/>
                <w:highlight w:val="none"/>
              </w:rPr>
              <w:t>评审内容：</w:t>
            </w:r>
          </w:p>
          <w:p w14:paraId="06026F54">
            <w:pPr>
              <w:pStyle w:val="7"/>
              <w:widowControl/>
              <w:snapToGrid w:val="0"/>
              <w:spacing w:beforeAutospacing="0" w:afterAutospacing="0"/>
              <w:rPr>
                <w:rFonts w:ascii="仿宋_GB2312" w:hAnsi="仿宋_GB2312" w:eastAsia="仿宋_GB2312" w:cs="仿宋_GB2312"/>
                <w:highlight w:val="none"/>
              </w:rPr>
            </w:pP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投标人为海关高级认证企业的，得6分；投标人为海关认证企业的，得3分；其他情况（常规企业、失信企业、严重失信企业或未在海关备案的），得 0分。</w:t>
            </w:r>
          </w:p>
          <w:p w14:paraId="4C459F9A">
            <w:pPr>
              <w:pStyle w:val="7"/>
              <w:widowControl/>
              <w:snapToGrid w:val="0"/>
              <w:spacing w:beforeAutospacing="0" w:afterAutospacing="0"/>
              <w:rPr>
                <w:rFonts w:ascii="仿宋_GB2312" w:hAnsi="仿宋_GB2312" w:eastAsia="仿宋_GB2312" w:cs="仿宋_GB2312"/>
                <w:highlight w:val="none"/>
              </w:rPr>
            </w:pP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highlight w:val="none"/>
              </w:rPr>
              <w:t>投标人自身已完成货物贸易外汇收支企业名录登记</w:t>
            </w:r>
            <w:r>
              <w:rPr>
                <w:rFonts w:hint="eastAsia" w:ascii="仿宋_GB2312" w:hAnsi="仿宋_GB2312" w:eastAsia="仿宋_GB2312" w:cs="仿宋_GB2312"/>
                <w:highlight w:val="none"/>
                <w:lang w:val="en-US" w:eastAsia="zh-CN"/>
              </w:rPr>
              <w:t>得3</w:t>
            </w:r>
            <w:r>
              <w:rPr>
                <w:rFonts w:hint="eastAsia" w:ascii="仿宋_GB2312" w:hAnsi="仿宋_GB2312" w:eastAsia="仿宋_GB2312" w:cs="仿宋_GB2312"/>
                <w:highlight w:val="none"/>
              </w:rPr>
              <w:t>分</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投标人未自身登记，但与具备名录登记资质的关联公司/合作机构有正式合作协议且该机构已实际开展代理付汇业务的</w:t>
            </w:r>
            <w:r>
              <w:rPr>
                <w:rFonts w:hint="eastAsia" w:ascii="仿宋_GB2312" w:hAnsi="仿宋_GB2312" w:eastAsia="仿宋_GB2312" w:cs="仿宋_GB2312"/>
                <w:highlight w:val="none"/>
                <w:lang w:val="en-US" w:eastAsia="zh-CN"/>
              </w:rPr>
              <w:t>得</w:t>
            </w:r>
            <w:r>
              <w:rPr>
                <w:rFonts w:hint="eastAsia" w:ascii="仿宋_GB2312" w:hAnsi="仿宋_GB2312" w:eastAsia="仿宋_GB2312" w:cs="仿宋_GB2312"/>
                <w:highlight w:val="none"/>
              </w:rPr>
              <w:t>1分</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br w:type="textWrapping"/>
            </w:r>
            <w:r>
              <w:rPr>
                <w:rFonts w:hint="eastAsia" w:ascii="仿宋_GB2312" w:hAnsi="仿宋_GB2312" w:eastAsia="仿宋_GB2312" w:cs="仿宋_GB2312"/>
                <w:highlight w:val="none"/>
                <w:lang w:val="en-US" w:eastAsia="zh-CN"/>
              </w:rPr>
              <w:t>本项</w:t>
            </w:r>
            <w:r>
              <w:rPr>
                <w:rFonts w:hint="eastAsia" w:ascii="仿宋_GB2312" w:hAnsi="仿宋_GB2312" w:eastAsia="仿宋_GB2312" w:cs="仿宋_GB2312"/>
                <w:highlight w:val="none"/>
              </w:rPr>
              <w:t>最高</w:t>
            </w:r>
            <w:r>
              <w:rPr>
                <w:rFonts w:hint="eastAsia" w:ascii="仿宋_GB2312" w:hAnsi="仿宋_GB2312" w:eastAsia="仿宋_GB2312" w:cs="仿宋_GB2312"/>
                <w:highlight w:val="none"/>
                <w:lang w:val="en-US" w:eastAsia="zh-CN"/>
              </w:rPr>
              <w:t>9</w:t>
            </w:r>
            <w:r>
              <w:rPr>
                <w:rFonts w:hint="eastAsia" w:ascii="仿宋_GB2312" w:hAnsi="仿宋_GB2312" w:eastAsia="仿宋_GB2312" w:cs="仿宋_GB2312"/>
                <w:highlight w:val="none"/>
              </w:rPr>
              <w:t>分。</w:t>
            </w:r>
          </w:p>
          <w:p w14:paraId="42CCB5D7">
            <w:pPr>
              <w:pStyle w:val="7"/>
              <w:widowControl/>
              <w:snapToGrid w:val="0"/>
              <w:spacing w:beforeAutospacing="0" w:afterAutospacing="0"/>
              <w:rPr>
                <w:rFonts w:ascii="仿宋_GB2312" w:hAnsi="仿宋_GB2312" w:eastAsia="仿宋_GB2312" w:cs="仿宋_GB2312"/>
                <w:b/>
                <w:bCs/>
                <w:highlight w:val="none"/>
              </w:rPr>
            </w:pPr>
            <w:r>
              <w:rPr>
                <w:rFonts w:hint="eastAsia" w:ascii="仿宋_GB2312" w:hAnsi="仿宋_GB2312" w:eastAsia="仿宋_GB2312" w:cs="仿宋_GB2312"/>
                <w:b/>
                <w:bCs/>
                <w:highlight w:val="none"/>
              </w:rPr>
              <w:t>评审依据：</w:t>
            </w:r>
          </w:p>
          <w:p w14:paraId="69C688C0">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 投标人须在投标文件中提供中国海关企业进出口信用信息公示平台查询截图，须清晰体现企业名称及信用等级；海关制发的《高级认证企业证书》或《认证企业证书》复印件。未提供有效证明材料或证明材料无法辨识信用等级的，本项得0分。</w:t>
            </w:r>
            <w:r>
              <w:rPr>
                <w:rFonts w:hint="eastAsia" w:ascii="仿宋_GB2312" w:hAnsi="仿宋_GB2312" w:eastAsia="仿宋_GB2312" w:cs="仿宋_GB2312"/>
                <w:highlight w:val="none"/>
              </w:rPr>
              <w:br w:type="textWrapping"/>
            </w:r>
            <w:r>
              <w:rPr>
                <w:rFonts w:hint="eastAsia" w:ascii="仿宋_GB2312" w:hAnsi="仿宋_GB2312" w:eastAsia="仿宋_GB2312" w:cs="仿宋_GB2312"/>
                <w:highlight w:val="none"/>
              </w:rPr>
              <w:t>2.须提供投标人自身在数字外管平台查询的名录登记结果截图（体现企业名称及名录内状态），或境内银行出具的名录登记回执/告知书，复印件加盖投标人公章；</w:t>
            </w:r>
            <w:r>
              <w:rPr>
                <w:rFonts w:hint="eastAsia" w:ascii="仿宋_GB2312" w:hAnsi="仿宋_GB2312" w:eastAsia="仿宋_GB2312" w:cs="仿宋_GB2312"/>
                <w:highlight w:val="none"/>
              </w:rPr>
              <w:br w:type="textWrapping"/>
            </w:r>
            <w:r>
              <w:rPr>
                <w:rFonts w:hint="eastAsia" w:ascii="仿宋_GB2312" w:hAnsi="仿宋_GB2312" w:eastAsia="仿宋_GB2312" w:cs="仿宋_GB2312"/>
                <w:highlight w:val="none"/>
              </w:rPr>
              <w:t xml:space="preserve">3. </w:t>
            </w:r>
            <w:r>
              <w:rPr>
                <w:rFonts w:hint="eastAsia" w:ascii="仿宋_GB2312" w:hAnsi="仿宋_GB2312" w:eastAsia="仿宋_GB2312" w:cs="仿宋_GB2312"/>
                <w:highlight w:val="none"/>
                <w:lang w:val="en-US" w:eastAsia="zh-CN"/>
              </w:rPr>
              <w:t>须提供（1）</w:t>
            </w:r>
            <w:r>
              <w:rPr>
                <w:rFonts w:hint="eastAsia" w:ascii="仿宋_GB2312" w:hAnsi="仿宋_GB2312" w:eastAsia="仿宋_GB2312" w:cs="仿宋_GB2312"/>
                <w:highlight w:val="none"/>
              </w:rPr>
              <w:t>关联公司</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rPr>
              <w:t>合作机构自身在国家外汇管理局数字外管平台的名录登记查询结果截图（或境内银行出具的名录登记回执），证明该机构具备名录登记资质；</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投标人与该机构签订的正式合作协议复印件，协议须明确约定由该机构为投标人办理货物贸易外汇收支/代理付汇业务；</w:t>
            </w:r>
          </w:p>
          <w:p w14:paraId="26FAA738">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3</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该机构已实际为投标人开展代理付汇业务的佐证材料（如付汇水单、银行盖章的付汇凭证等）复印件加盖投标人公章。</w:t>
            </w:r>
          </w:p>
          <w:p w14:paraId="43D62728">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highlight w:val="none"/>
              </w:rPr>
              <w:t>未提供有效证明材料或材料不齐备的，本项得 0 分。</w:t>
            </w:r>
          </w:p>
        </w:tc>
      </w:tr>
      <w:tr w14:paraId="7627E5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1715" w:type="dxa"/>
            <w:tcBorders>
              <w:tl2br w:val="nil"/>
              <w:tr2bl w:val="nil"/>
            </w:tcBorders>
            <w:vAlign w:val="center"/>
          </w:tcPr>
          <w:p w14:paraId="572411F8">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拟安排项目负责人（仅一人）</w:t>
            </w:r>
          </w:p>
        </w:tc>
        <w:tc>
          <w:tcPr>
            <w:tcW w:w="1368" w:type="dxa"/>
            <w:tcBorders>
              <w:tl2br w:val="nil"/>
              <w:tr2bl w:val="nil"/>
            </w:tcBorders>
            <w:vAlign w:val="center"/>
          </w:tcPr>
          <w:p w14:paraId="4D334708">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5439" w:type="dxa"/>
            <w:tcBorders>
              <w:tl2br w:val="nil"/>
              <w:tr2bl w:val="nil"/>
            </w:tcBorders>
            <w:vAlign w:val="center"/>
          </w:tcPr>
          <w:p w14:paraId="1A3D3AA3">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评审内容：</w:t>
            </w:r>
          </w:p>
          <w:p w14:paraId="01DB7C22">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拟安排项目负责人为本单位自有员工，在此基础上：</w:t>
            </w:r>
          </w:p>
          <w:p w14:paraId="276BC8F7">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highlight w:val="none"/>
              </w:rPr>
              <w:t>1.本科及以上学历，国际贸易/物流/金融相关专业</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且</w:t>
            </w:r>
            <w:r>
              <w:rPr>
                <w:rFonts w:hint="eastAsia" w:ascii="仿宋_GB2312" w:hAnsi="仿宋_GB2312" w:eastAsia="仿宋_GB2312" w:cs="仿宋_GB2312"/>
                <w:highlight w:val="none"/>
              </w:rPr>
              <w:t>持有报关员资格证或AEO内审员证书</w:t>
            </w:r>
            <w:r>
              <w:rPr>
                <w:rFonts w:hint="eastAsia" w:ascii="仿宋_GB2312" w:hAnsi="仿宋_GB2312" w:eastAsia="仿宋_GB2312" w:cs="仿宋_GB2312"/>
                <w:highlight w:val="none"/>
                <w:lang w:val="en-US" w:eastAsia="zh-CN"/>
              </w:rPr>
              <w:t>得</w:t>
            </w:r>
            <w:r>
              <w:rPr>
                <w:rFonts w:hint="eastAsia" w:ascii="仿宋_GB2312" w:hAnsi="仿宋_GB2312" w:eastAsia="仿宋_GB2312" w:cs="仿宋_GB2312"/>
                <w:highlight w:val="none"/>
              </w:rPr>
              <w:t>1分</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br w:type="textWrapping"/>
            </w: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highlight w:val="none"/>
              </w:rPr>
              <w:t>.有代理进出口</w:t>
            </w:r>
            <w:r>
              <w:rPr>
                <w:rFonts w:hint="eastAsia" w:ascii="仿宋_GB2312" w:hAnsi="仿宋_GB2312" w:eastAsia="仿宋_GB2312" w:cs="仿宋_GB2312"/>
                <w:highlight w:val="none"/>
                <w:lang w:val="en-US" w:eastAsia="zh-CN"/>
              </w:rPr>
              <w:t>货物报关/</w:t>
            </w:r>
            <w:r>
              <w:rPr>
                <w:rFonts w:hint="eastAsia" w:ascii="仿宋_GB2312" w:hAnsi="仿宋_GB2312" w:eastAsia="仿宋_GB2312" w:cs="仿宋_GB2312"/>
                <w:highlight w:val="none"/>
              </w:rPr>
              <w:t>付汇实操经验（主导过至少</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个含付汇的一体化服务项目）</w:t>
            </w:r>
            <w:r>
              <w:rPr>
                <w:rFonts w:hint="eastAsia" w:ascii="仿宋_GB2312" w:hAnsi="仿宋_GB2312" w:eastAsia="仿宋_GB2312" w:cs="仿宋_GB2312"/>
                <w:highlight w:val="none"/>
                <w:lang w:val="en-US" w:eastAsia="zh-CN"/>
              </w:rPr>
              <w:t>得1</w:t>
            </w:r>
            <w:r>
              <w:rPr>
                <w:rFonts w:hint="eastAsia" w:ascii="仿宋_GB2312" w:hAnsi="仿宋_GB2312" w:eastAsia="仿宋_GB2312" w:cs="仿宋_GB2312"/>
                <w:highlight w:val="none"/>
              </w:rPr>
              <w:t>分</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最高2分。</w:t>
            </w:r>
          </w:p>
          <w:p w14:paraId="00074172">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rPr>
              <w:t>评审依据</w:t>
            </w:r>
            <w:r>
              <w:rPr>
                <w:rFonts w:hint="eastAsia" w:ascii="仿宋_GB2312" w:hAnsi="仿宋_GB2312" w:eastAsia="仿宋_GB2312" w:cs="仿宋_GB2312"/>
                <w:b/>
                <w:bCs/>
                <w:sz w:val="24"/>
                <w:szCs w:val="24"/>
                <w:lang w:eastAsia="zh-CN"/>
              </w:rPr>
              <w:t>：</w:t>
            </w:r>
          </w:p>
          <w:p w14:paraId="1DF326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95" w:lineRule="atLeast"/>
              <w:ind w:left="0" w:right="0" w:firstLine="0"/>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1.提供项目负责人简历表（</w:t>
            </w:r>
            <w:r>
              <w:rPr>
                <w:rFonts w:hint="eastAsia" w:ascii="仿宋_GB2312" w:hAnsi="仿宋_GB2312" w:eastAsia="仿宋_GB2312" w:cs="仿宋_GB2312"/>
                <w:b w:val="0"/>
                <w:bCs w:val="0"/>
                <w:kern w:val="0"/>
                <w:sz w:val="24"/>
                <w:szCs w:val="24"/>
                <w:lang w:val="en-US" w:eastAsia="zh-CN" w:bidi="ar"/>
              </w:rPr>
              <w:t>详见附件</w:t>
            </w:r>
            <w:r>
              <w:rPr>
                <w:rFonts w:hint="eastAsia" w:ascii="仿宋_GB2312" w:hAnsi="仿宋_GB2312" w:eastAsia="仿宋_GB2312" w:cs="仿宋_GB2312"/>
                <w:b w:val="0"/>
                <w:bCs w:val="0"/>
                <w:sz w:val="24"/>
                <w:szCs w:val="24"/>
                <w:lang w:val="en-US" w:eastAsia="zh-CN"/>
              </w:rPr>
              <w:t>）；</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2.提供项目负责人学历证书、学信网</w:t>
            </w:r>
            <w:r>
              <w:rPr>
                <w:rFonts w:hint="eastAsia" w:ascii="仿宋_GB2312" w:hAnsi="仿宋_GB2312" w:eastAsia="仿宋_GB2312" w:cs="仿宋_GB2312"/>
                <w:b w:val="0"/>
                <w:bCs w:val="0"/>
                <w:kern w:val="0"/>
                <w:sz w:val="24"/>
                <w:szCs w:val="24"/>
                <w:lang w:val="en-US" w:eastAsia="zh-CN" w:bidi="ar"/>
              </w:rPr>
              <w:t>《</w:t>
            </w:r>
            <w:r>
              <w:rPr>
                <w:rFonts w:hint="default" w:ascii="仿宋_GB2312" w:hAnsi="仿宋_GB2312" w:eastAsia="仿宋_GB2312" w:cs="仿宋_GB2312"/>
                <w:b w:val="0"/>
                <w:bCs w:val="0"/>
                <w:kern w:val="0"/>
                <w:sz w:val="24"/>
                <w:szCs w:val="24"/>
                <w:lang w:val="en-US" w:eastAsia="zh-CN" w:bidi="ar"/>
              </w:rPr>
              <w:t>教育部学历证书电子注册备案表</w:t>
            </w:r>
            <w:r>
              <w:rPr>
                <w:rFonts w:hint="eastAsia" w:ascii="仿宋_GB2312" w:hAnsi="仿宋_GB2312" w:eastAsia="仿宋_GB2312" w:cs="仿宋_GB2312"/>
                <w:b w:val="0"/>
                <w:bCs w:val="0"/>
                <w:kern w:val="0"/>
                <w:sz w:val="24"/>
                <w:szCs w:val="24"/>
                <w:lang w:val="en-US" w:eastAsia="zh-CN" w:bidi="ar"/>
              </w:rPr>
              <w:t>》及</w:t>
            </w:r>
            <w:r>
              <w:rPr>
                <w:rFonts w:hint="eastAsia" w:ascii="仿宋_GB2312" w:hAnsi="仿宋_GB2312" w:eastAsia="仿宋_GB2312" w:cs="仿宋_GB2312"/>
                <w:b w:val="0"/>
                <w:bCs w:val="0"/>
                <w:sz w:val="24"/>
                <w:szCs w:val="24"/>
                <w:lang w:val="en-US" w:eastAsia="zh-CN"/>
              </w:rPr>
              <w:t>资格证书扫描件，；</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3.提供项目负责人近三个月</w:t>
            </w:r>
            <w:r>
              <w:rPr>
                <w:rFonts w:hint="eastAsia" w:ascii="仿宋_GB2312" w:hAnsi="仿宋_GB2312" w:eastAsia="仿宋_GB2312" w:cs="仿宋_GB2312"/>
                <w:b w:val="0"/>
                <w:bCs w:val="0"/>
                <w:kern w:val="0"/>
                <w:sz w:val="24"/>
                <w:szCs w:val="24"/>
                <w:lang w:val="en-US" w:eastAsia="zh-CN" w:bidi="ar"/>
              </w:rPr>
              <w:t>社保缴交凭证。</w:t>
            </w:r>
          </w:p>
          <w:p w14:paraId="0FB56E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95" w:lineRule="atLeast"/>
              <w:ind w:left="0" w:right="0" w:firstLine="0"/>
              <w:rPr>
                <w:rFonts w:hint="eastAsia" w:ascii="仿宋_GB2312" w:hAnsi="仿宋_GB2312" w:eastAsia="仿宋_GB2312" w:cs="仿宋_GB2312"/>
                <w:sz w:val="24"/>
                <w:szCs w:val="24"/>
                <w:lang w:eastAsia="zh-CN"/>
              </w:rPr>
            </w:pPr>
            <w:r>
              <w:rPr>
                <w:rFonts w:hint="eastAsia" w:ascii="仿宋_GB2312" w:hAnsi="仿宋_GB2312" w:eastAsia="仿宋_GB2312" w:cs="仿宋_GB2312"/>
                <w:b w:val="0"/>
                <w:bCs w:val="0"/>
                <w:sz w:val="24"/>
                <w:szCs w:val="24"/>
                <w:lang w:val="en-US" w:eastAsia="zh-CN"/>
              </w:rPr>
              <w:t>4.提供项目负责人付汇经验佐证：由投标人出具的项目负责人履职说明+所主导项目的合同关键页/付汇水单（可隐敏）。</w:t>
            </w:r>
          </w:p>
        </w:tc>
      </w:tr>
      <w:tr w14:paraId="2C79C1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715" w:type="dxa"/>
            <w:tcBorders>
              <w:tl2br w:val="nil"/>
              <w:tr2bl w:val="nil"/>
            </w:tcBorders>
            <w:vAlign w:val="center"/>
          </w:tcPr>
          <w:p w14:paraId="2F77371D">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项目服务团队（项目负责人除外）</w:t>
            </w:r>
          </w:p>
        </w:tc>
        <w:tc>
          <w:tcPr>
            <w:tcW w:w="1368" w:type="dxa"/>
            <w:tcBorders>
              <w:tl2br w:val="nil"/>
              <w:tr2bl w:val="nil"/>
            </w:tcBorders>
            <w:vAlign w:val="center"/>
          </w:tcPr>
          <w:p w14:paraId="1681D0DC">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4</w:t>
            </w:r>
          </w:p>
        </w:tc>
        <w:tc>
          <w:tcPr>
            <w:tcW w:w="5439" w:type="dxa"/>
            <w:tcBorders>
              <w:tl2br w:val="nil"/>
              <w:tr2bl w:val="nil"/>
            </w:tcBorders>
            <w:vAlign w:val="center"/>
          </w:tcPr>
          <w:p w14:paraId="4418EEE0">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评审内容：</w:t>
            </w:r>
          </w:p>
          <w:p w14:paraId="44B54595">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1.团队人数≥5人（含报关、仓储调度、物流、付汇专员至少各1人）：2分</w:t>
            </w:r>
            <w:r>
              <w:rPr>
                <w:rFonts w:hint="eastAsia" w:ascii="仿宋_GB2312" w:hAnsi="仿宋_GB2312" w:eastAsia="仿宋_GB2312" w:cs="仿宋_GB2312"/>
                <w:b w:val="0"/>
                <w:bCs w:val="0"/>
                <w:kern w:val="0"/>
                <w:sz w:val="24"/>
                <w:szCs w:val="24"/>
                <w:lang w:val="en-US" w:eastAsia="zh-CN" w:bidi="ar"/>
              </w:rPr>
              <w:br w:type="textWrapping"/>
            </w:r>
            <w:r>
              <w:rPr>
                <w:rFonts w:hint="eastAsia" w:ascii="仿宋_GB2312" w:hAnsi="仿宋_GB2312" w:eastAsia="仿宋_GB2312" w:cs="仿宋_GB2312"/>
                <w:b w:val="0"/>
                <w:bCs w:val="0"/>
                <w:kern w:val="0"/>
                <w:sz w:val="24"/>
                <w:szCs w:val="24"/>
                <w:lang w:val="en-US" w:eastAsia="zh-CN" w:bidi="ar"/>
              </w:rPr>
              <w:t>2.团队成员平均从业年限≥3年：2分</w:t>
            </w:r>
            <w:r>
              <w:rPr>
                <w:rFonts w:hint="eastAsia" w:ascii="仿宋_GB2312" w:hAnsi="仿宋_GB2312" w:eastAsia="仿宋_GB2312" w:cs="仿宋_GB2312"/>
                <w:b w:val="0"/>
                <w:bCs w:val="0"/>
                <w:kern w:val="0"/>
                <w:sz w:val="24"/>
                <w:szCs w:val="24"/>
                <w:lang w:val="en-US" w:eastAsia="zh-CN" w:bidi="ar"/>
              </w:rPr>
              <w:br w:type="textWrapping"/>
            </w:r>
            <w:r>
              <w:rPr>
                <w:rFonts w:hint="eastAsia" w:ascii="仿宋_GB2312" w:hAnsi="仿宋_GB2312" w:eastAsia="仿宋_GB2312" w:cs="仿宋_GB2312"/>
                <w:b w:val="0"/>
                <w:bCs w:val="0"/>
                <w:kern w:val="0"/>
                <w:sz w:val="24"/>
                <w:szCs w:val="24"/>
                <w:lang w:val="en-US" w:eastAsia="zh-CN" w:bidi="ar"/>
              </w:rPr>
              <w:t>最高4分。</w:t>
            </w:r>
          </w:p>
          <w:p w14:paraId="27011CC0">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1.《项目团队配置表》（详见附件，列明姓名、岗位、从业年限、资格证书、本项目中的岗位职责）；</w:t>
            </w:r>
            <w:r>
              <w:rPr>
                <w:rFonts w:hint="eastAsia" w:ascii="仿宋_GB2312" w:hAnsi="仿宋_GB2312" w:eastAsia="仿宋_GB2312" w:cs="仿宋_GB2312"/>
                <w:b w:val="0"/>
                <w:bCs w:val="0"/>
                <w:kern w:val="0"/>
                <w:sz w:val="24"/>
                <w:szCs w:val="24"/>
                <w:lang w:val="en-US" w:eastAsia="zh-CN" w:bidi="ar"/>
              </w:rPr>
              <w:br w:type="textWrapping"/>
            </w:r>
            <w:r>
              <w:rPr>
                <w:rFonts w:hint="eastAsia" w:ascii="仿宋_GB2312" w:hAnsi="仿宋_GB2312" w:eastAsia="仿宋_GB2312" w:cs="仿宋_GB2312"/>
                <w:b w:val="0"/>
                <w:bCs w:val="0"/>
                <w:kern w:val="0"/>
                <w:sz w:val="24"/>
                <w:szCs w:val="24"/>
                <w:lang w:val="en-US" w:eastAsia="zh-CN" w:bidi="ar"/>
              </w:rPr>
              <w:t>2.项目服务团队拟投入成员</w:t>
            </w:r>
            <w:r>
              <w:rPr>
                <w:rFonts w:hint="eastAsia" w:ascii="仿宋_GB2312" w:hAnsi="仿宋_GB2312" w:eastAsia="仿宋_GB2312" w:cs="仿宋_GB2312"/>
                <w:b w:val="0"/>
                <w:bCs w:val="0"/>
                <w:sz w:val="24"/>
                <w:szCs w:val="24"/>
                <w:lang w:val="en-US" w:eastAsia="zh-CN"/>
              </w:rPr>
              <w:t>近三个月</w:t>
            </w:r>
            <w:r>
              <w:rPr>
                <w:rFonts w:hint="eastAsia" w:ascii="仿宋_GB2312" w:hAnsi="仿宋_GB2312" w:eastAsia="仿宋_GB2312" w:cs="仿宋_GB2312"/>
                <w:b w:val="0"/>
                <w:bCs w:val="0"/>
                <w:kern w:val="0"/>
                <w:sz w:val="24"/>
                <w:szCs w:val="24"/>
                <w:lang w:val="en-US" w:eastAsia="zh-CN" w:bidi="ar"/>
              </w:rPr>
              <w:t>社保缴交凭证。</w:t>
            </w:r>
          </w:p>
        </w:tc>
      </w:tr>
      <w:tr w14:paraId="371B73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22" w:type="dxa"/>
            <w:gridSpan w:val="3"/>
            <w:tcBorders>
              <w:tl2br w:val="nil"/>
              <w:tr2bl w:val="nil"/>
            </w:tcBorders>
            <w:vAlign w:val="center"/>
          </w:tcPr>
          <w:p w14:paraId="236228E0">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三、技术部分（50分）</w:t>
            </w:r>
          </w:p>
        </w:tc>
      </w:tr>
      <w:tr w14:paraId="054EE3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15" w:type="dxa"/>
            <w:tcBorders>
              <w:tl2br w:val="nil"/>
              <w:tr2bl w:val="nil"/>
            </w:tcBorders>
            <w:vAlign w:val="center"/>
          </w:tcPr>
          <w:p w14:paraId="4224CD89">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评分项</w:t>
            </w:r>
          </w:p>
        </w:tc>
        <w:tc>
          <w:tcPr>
            <w:tcW w:w="1368" w:type="dxa"/>
            <w:tcBorders>
              <w:tl2br w:val="nil"/>
              <w:tr2bl w:val="nil"/>
            </w:tcBorders>
            <w:vAlign w:val="center"/>
          </w:tcPr>
          <w:p w14:paraId="68955493">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分值</w:t>
            </w:r>
          </w:p>
        </w:tc>
        <w:tc>
          <w:tcPr>
            <w:tcW w:w="5439" w:type="dxa"/>
            <w:tcBorders>
              <w:tl2br w:val="nil"/>
              <w:tr2bl w:val="nil"/>
            </w:tcBorders>
            <w:vAlign w:val="center"/>
          </w:tcPr>
          <w:p w14:paraId="3DB9542C">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评审内容与评分标准</w:t>
            </w:r>
          </w:p>
        </w:tc>
      </w:tr>
      <w:tr w14:paraId="023B41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15" w:type="dxa"/>
            <w:tcBorders>
              <w:tl2br w:val="nil"/>
              <w:tr2bl w:val="nil"/>
            </w:tcBorders>
            <w:vAlign w:val="center"/>
          </w:tcPr>
          <w:p w14:paraId="43F86576">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sz w:val="21"/>
                <w:szCs w:val="21"/>
                <w:vertAlign w:val="baseline"/>
              </w:rPr>
            </w:pPr>
            <w:r>
              <w:rPr>
                <w:rFonts w:hint="eastAsia" w:ascii="仿宋_GB2312" w:hAnsi="仿宋_GB2312" w:eastAsia="仿宋_GB2312" w:cs="仿宋_GB2312"/>
                <w:sz w:val="24"/>
                <w:szCs w:val="24"/>
              </w:rPr>
              <w:t>整体服务方案</w:t>
            </w:r>
          </w:p>
        </w:tc>
        <w:tc>
          <w:tcPr>
            <w:tcW w:w="1368" w:type="dxa"/>
            <w:tcBorders>
              <w:tl2br w:val="nil"/>
              <w:tr2bl w:val="nil"/>
            </w:tcBorders>
            <w:vAlign w:val="center"/>
          </w:tcPr>
          <w:p w14:paraId="63B77066">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eastAsiaTheme="minorEastAsia"/>
                <w:sz w:val="21"/>
                <w:szCs w:val="21"/>
                <w:vertAlign w:val="baseline"/>
                <w:lang w:val="en-US" w:eastAsia="zh-CN"/>
              </w:rPr>
            </w:pPr>
            <w:r>
              <w:rPr>
                <w:rFonts w:hint="eastAsia" w:ascii="仿宋_GB2312" w:hAnsi="仿宋_GB2312" w:eastAsia="仿宋_GB2312" w:cs="仿宋_GB2312"/>
                <w:sz w:val="24"/>
                <w:szCs w:val="24"/>
                <w:lang w:val="en-US" w:eastAsia="zh-CN"/>
              </w:rPr>
              <w:t>18</w:t>
            </w:r>
          </w:p>
        </w:tc>
        <w:tc>
          <w:tcPr>
            <w:tcW w:w="5439" w:type="dxa"/>
            <w:tcBorders>
              <w:tl2br w:val="nil"/>
              <w:tr2bl w:val="nil"/>
            </w:tcBorders>
            <w:vAlign w:val="center"/>
          </w:tcPr>
          <w:p w14:paraId="43D51A46">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评审内容：</w:t>
            </w:r>
          </w:p>
          <w:p w14:paraId="6BE829CA">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针对本项目制定的专属方案，包含报关、仓储、物流</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付汇</w:t>
            </w:r>
            <w:r>
              <w:rPr>
                <w:rFonts w:hint="eastAsia" w:ascii="仿宋_GB2312" w:hAnsi="仿宋_GB2312" w:eastAsia="仿宋_GB2312" w:cs="仿宋_GB2312"/>
                <w:sz w:val="24"/>
                <w:szCs w:val="24"/>
              </w:rPr>
              <w:t>全链条流程设计、操作SOP、异常处理机制等。方案详实、贴合度高得1</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18</w:t>
            </w:r>
            <w:r>
              <w:rPr>
                <w:rFonts w:hint="eastAsia" w:ascii="仿宋_GB2312" w:hAnsi="仿宋_GB2312" w:eastAsia="仿宋_GB2312" w:cs="仿宋_GB2312"/>
                <w:sz w:val="24"/>
                <w:szCs w:val="24"/>
              </w:rPr>
              <w:t>分；</w:t>
            </w:r>
          </w:p>
          <w:p w14:paraId="79FB2CD9">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方案基本完整得</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分；</w:t>
            </w:r>
          </w:p>
          <w:p w14:paraId="13BA8C83">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方案简略得1-</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分。</w:t>
            </w:r>
          </w:p>
          <w:p w14:paraId="06C6DA70">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评审依据：</w:t>
            </w:r>
          </w:p>
          <w:p w14:paraId="736535DA">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投标人提供《</w:t>
            </w:r>
            <w:r>
              <w:rPr>
                <w:rFonts w:hint="eastAsia" w:ascii="仿宋_GB2312" w:hAnsi="仿宋_GB2312" w:eastAsia="仿宋_GB2312" w:cs="仿宋_GB2312"/>
                <w:sz w:val="24"/>
                <w:szCs w:val="24"/>
              </w:rPr>
              <w:t>整体服务方案</w:t>
            </w:r>
            <w:r>
              <w:rPr>
                <w:rFonts w:hint="eastAsia" w:ascii="仿宋_GB2312" w:hAnsi="仿宋_GB2312" w:eastAsia="仿宋_GB2312" w:cs="仿宋_GB2312"/>
                <w:sz w:val="24"/>
                <w:szCs w:val="24"/>
                <w:lang w:val="en-US" w:eastAsia="zh-CN"/>
              </w:rPr>
              <w:t>》</w:t>
            </w:r>
          </w:p>
        </w:tc>
      </w:tr>
      <w:tr w14:paraId="147934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15" w:type="dxa"/>
            <w:tcBorders>
              <w:tl2br w:val="nil"/>
              <w:tr2bl w:val="nil"/>
            </w:tcBorders>
            <w:vAlign w:val="center"/>
          </w:tcPr>
          <w:p w14:paraId="23BDAB6A">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sz w:val="21"/>
                <w:szCs w:val="21"/>
                <w:vertAlign w:val="baseline"/>
              </w:rPr>
            </w:pPr>
            <w:r>
              <w:rPr>
                <w:rFonts w:hint="eastAsia" w:ascii="仿宋_GB2312" w:hAnsi="仿宋_GB2312" w:eastAsia="仿宋_GB2312" w:cs="仿宋_GB2312"/>
                <w:sz w:val="24"/>
                <w:szCs w:val="24"/>
              </w:rPr>
              <w:t>信息化系统</w:t>
            </w:r>
          </w:p>
        </w:tc>
        <w:tc>
          <w:tcPr>
            <w:tcW w:w="1368" w:type="dxa"/>
            <w:tcBorders>
              <w:tl2br w:val="nil"/>
              <w:tr2bl w:val="nil"/>
            </w:tcBorders>
            <w:vAlign w:val="center"/>
          </w:tcPr>
          <w:p w14:paraId="204767C4">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sz w:val="21"/>
                <w:szCs w:val="21"/>
                <w:vertAlign w:val="baseline"/>
              </w:rPr>
            </w:pPr>
            <w:r>
              <w:rPr>
                <w:rFonts w:hint="eastAsia" w:ascii="仿宋_GB2312" w:hAnsi="仿宋_GB2312" w:eastAsia="仿宋_GB2312" w:cs="仿宋_GB2312"/>
                <w:sz w:val="24"/>
                <w:szCs w:val="24"/>
              </w:rPr>
              <w:t>10</w:t>
            </w:r>
          </w:p>
        </w:tc>
        <w:tc>
          <w:tcPr>
            <w:tcW w:w="5439" w:type="dxa"/>
            <w:tcBorders>
              <w:tl2br w:val="nil"/>
              <w:tr2bl w:val="nil"/>
            </w:tcBorders>
            <w:vAlign w:val="center"/>
          </w:tcPr>
          <w:p w14:paraId="47243F08">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评审内容：</w:t>
            </w:r>
          </w:p>
          <w:p w14:paraId="064EE680">
            <w:pPr>
              <w:pStyle w:val="7"/>
              <w:widowControl/>
              <w:snapToGrid w:val="0"/>
              <w:spacing w:beforeAutospacing="0" w:afterAutospacing="0"/>
              <w:rPr>
                <w:rFonts w:ascii="仿宋_GB2312" w:hAnsi="仿宋_GB2312" w:eastAsia="仿宋_GB2312" w:cs="仿宋_GB2312"/>
                <w:highlight w:val="none"/>
              </w:rPr>
            </w:pPr>
            <w:r>
              <w:rPr>
                <w:rFonts w:hint="eastAsia" w:ascii="仿宋_GB2312" w:hAnsi="仿宋_GB2312" w:eastAsia="仿宋_GB2312" w:cs="仿宋_GB2312"/>
                <w:highlight w:val="none"/>
              </w:rPr>
              <w:t>拥有成熟的报关、仓储、物流管理系统。</w:t>
            </w:r>
          </w:p>
          <w:p w14:paraId="25FF3BF5">
            <w:pPr>
              <w:pStyle w:val="7"/>
              <w:widowControl/>
              <w:snapToGrid w:val="0"/>
              <w:spacing w:beforeAutospacing="0" w:afterAutospacing="0"/>
              <w:rPr>
                <w:rFonts w:ascii="仿宋_GB2312" w:hAnsi="仿宋_GB2312" w:eastAsia="仿宋_GB2312" w:cs="仿宋_GB2312"/>
                <w:highlight w:val="none"/>
              </w:rPr>
            </w:pPr>
            <w:r>
              <w:rPr>
                <w:rFonts w:hint="eastAsia" w:ascii="仿宋_GB2312" w:hAnsi="仿宋_GB2312" w:eastAsia="仿宋_GB2312" w:cs="仿宋_GB2312"/>
                <w:highlight w:val="none"/>
              </w:rPr>
              <w:t>系统功能强大得8-10分；</w:t>
            </w:r>
          </w:p>
          <w:p w14:paraId="7E410FA5">
            <w:pPr>
              <w:pStyle w:val="7"/>
              <w:widowControl/>
              <w:snapToGrid w:val="0"/>
              <w:spacing w:beforeAutospacing="0" w:afterAutospacing="0"/>
              <w:rPr>
                <w:rFonts w:ascii="仿宋_GB2312" w:hAnsi="仿宋_GB2312" w:eastAsia="仿宋_GB2312" w:cs="仿宋_GB2312"/>
                <w:highlight w:val="none"/>
              </w:rPr>
            </w:pPr>
            <w:r>
              <w:rPr>
                <w:rFonts w:hint="eastAsia" w:ascii="仿宋_GB2312" w:hAnsi="仿宋_GB2312" w:eastAsia="仿宋_GB2312" w:cs="仿宋_GB2312"/>
                <w:highlight w:val="none"/>
              </w:rPr>
              <w:t>系统</w:t>
            </w:r>
            <w:r>
              <w:rPr>
                <w:rFonts w:hint="eastAsia" w:ascii="仿宋_GB2312" w:hAnsi="仿宋_GB2312" w:eastAsia="仿宋_GB2312" w:cs="仿宋_GB2312"/>
                <w:highlight w:val="none"/>
                <w:lang w:val="en-US" w:eastAsia="zh-CN"/>
              </w:rPr>
              <w:t>功能</w:t>
            </w:r>
            <w:r>
              <w:rPr>
                <w:rFonts w:hint="eastAsia" w:ascii="仿宋_GB2312" w:hAnsi="仿宋_GB2312" w:eastAsia="仿宋_GB2312" w:cs="仿宋_GB2312"/>
                <w:highlight w:val="none"/>
              </w:rPr>
              <w:t>一般得4-7分；</w:t>
            </w:r>
          </w:p>
          <w:p w14:paraId="6442F0D7">
            <w:pPr>
              <w:pStyle w:val="7"/>
              <w:widowControl/>
              <w:snapToGrid w:val="0"/>
              <w:spacing w:beforeAutospacing="0" w:afterAutospacing="0"/>
              <w:rPr>
                <w:rFonts w:ascii="仿宋_GB2312" w:hAnsi="仿宋_GB2312" w:eastAsia="仿宋_GB2312" w:cs="仿宋_GB2312"/>
                <w:highlight w:val="none"/>
              </w:rPr>
            </w:pPr>
            <w:r>
              <w:rPr>
                <w:rFonts w:hint="eastAsia" w:ascii="仿宋_GB2312" w:hAnsi="仿宋_GB2312" w:eastAsia="仿宋_GB2312" w:cs="仿宋_GB2312"/>
                <w:highlight w:val="none"/>
              </w:rPr>
              <w:t>无系统或系统简陋得1-3分。</w:t>
            </w:r>
          </w:p>
          <w:p w14:paraId="0D017C11">
            <w:pPr>
              <w:pStyle w:val="7"/>
              <w:widowControl/>
              <w:snapToGrid w:val="0"/>
              <w:spacing w:beforeAutospacing="0" w:afterAutospacing="0"/>
              <w:rPr>
                <w:rFonts w:ascii="仿宋_GB2312" w:hAnsi="仿宋_GB2312" w:eastAsia="仿宋_GB2312" w:cs="仿宋_GB2312"/>
                <w:b/>
                <w:bCs/>
                <w:highlight w:val="none"/>
              </w:rPr>
            </w:pPr>
            <w:r>
              <w:rPr>
                <w:rFonts w:hint="eastAsia" w:ascii="仿宋_GB2312" w:hAnsi="仿宋_GB2312" w:eastAsia="仿宋_GB2312" w:cs="仿宋_GB2312"/>
                <w:b/>
                <w:bCs/>
                <w:highlight w:val="none"/>
              </w:rPr>
              <w:t>评审依据：</w:t>
            </w:r>
          </w:p>
          <w:p w14:paraId="0407083D">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highlight w:val="none"/>
              </w:rPr>
              <w:t>投标人提供信息化系统截图及功能介绍</w:t>
            </w:r>
          </w:p>
        </w:tc>
      </w:tr>
      <w:tr w14:paraId="5C1528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15" w:type="dxa"/>
            <w:tcBorders>
              <w:tl2br w:val="nil"/>
              <w:tr2bl w:val="nil"/>
            </w:tcBorders>
            <w:vAlign w:val="center"/>
          </w:tcPr>
          <w:p w14:paraId="16048F0A">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sz w:val="21"/>
                <w:szCs w:val="21"/>
                <w:vertAlign w:val="baseline"/>
              </w:rPr>
            </w:pPr>
            <w:r>
              <w:rPr>
                <w:rFonts w:hint="eastAsia" w:ascii="仿宋_GB2312" w:hAnsi="仿宋_GB2312" w:eastAsia="仿宋_GB2312" w:cs="仿宋_GB2312"/>
                <w:sz w:val="24"/>
                <w:szCs w:val="24"/>
              </w:rPr>
              <w:t>应急与响应保障</w:t>
            </w:r>
          </w:p>
        </w:tc>
        <w:tc>
          <w:tcPr>
            <w:tcW w:w="1368" w:type="dxa"/>
            <w:tcBorders>
              <w:tl2br w:val="nil"/>
              <w:tr2bl w:val="nil"/>
            </w:tcBorders>
            <w:vAlign w:val="center"/>
          </w:tcPr>
          <w:p w14:paraId="00384FE6">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eastAsia="仿宋_GB2312"/>
                <w:sz w:val="21"/>
                <w:szCs w:val="21"/>
                <w:vertAlign w:val="baseline"/>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2</w:t>
            </w:r>
          </w:p>
        </w:tc>
        <w:tc>
          <w:tcPr>
            <w:tcW w:w="5439" w:type="dxa"/>
            <w:tcBorders>
              <w:tl2br w:val="nil"/>
              <w:tr2bl w:val="nil"/>
            </w:tcBorders>
            <w:vAlign w:val="center"/>
          </w:tcPr>
          <w:p w14:paraId="59DBA8F2">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评审内容：</w:t>
            </w:r>
          </w:p>
          <w:p w14:paraId="11EA76FC">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针对通关受阻、车辆故障、仓库爆仓、付汇被银行退单、汇率大幅波动、税务备案异常等情况有详细的应急预案。</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预案完善、覆盖上述场景且可操作性强得</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有基本预案但付汇相关场景缺失得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仅有承诺无具体措施得1-</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w:t>
            </w:r>
          </w:p>
          <w:p w14:paraId="52EB59EA">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评审依据：</w:t>
            </w:r>
          </w:p>
          <w:p w14:paraId="67100C80">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投标人提供《应急与响应保障方案》</w:t>
            </w:r>
          </w:p>
        </w:tc>
      </w:tr>
      <w:tr w14:paraId="0C3321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715" w:type="dxa"/>
            <w:tcBorders>
              <w:tl2br w:val="nil"/>
              <w:tr2bl w:val="nil"/>
            </w:tcBorders>
            <w:vAlign w:val="center"/>
          </w:tcPr>
          <w:p w14:paraId="240EDF1F">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Style w:val="11"/>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增值服务</w:t>
            </w:r>
          </w:p>
        </w:tc>
        <w:tc>
          <w:tcPr>
            <w:tcW w:w="1368" w:type="dxa"/>
            <w:tcBorders>
              <w:tl2br w:val="nil"/>
              <w:tr2bl w:val="nil"/>
            </w:tcBorders>
            <w:vAlign w:val="center"/>
          </w:tcPr>
          <w:p w14:paraId="4A8116EF">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Style w:val="11"/>
                <w:rFonts w:hint="default" w:ascii="仿宋_GB2312" w:hAnsi="仿宋_GB2312" w:eastAsia="仿宋_GB2312" w:cs="仿宋_GB2312"/>
                <w:sz w:val="24"/>
                <w:szCs w:val="24"/>
                <w:lang w:val="en-US" w:eastAsia="zh-CN"/>
              </w:rPr>
            </w:pPr>
            <w:r>
              <w:rPr>
                <w:rStyle w:val="11"/>
                <w:rFonts w:hint="eastAsia" w:ascii="仿宋_GB2312" w:hAnsi="仿宋_GB2312" w:eastAsia="仿宋_GB2312" w:cs="仿宋_GB2312"/>
                <w:b w:val="0"/>
                <w:bCs/>
                <w:sz w:val="24"/>
                <w:szCs w:val="24"/>
                <w:lang w:val="en-US" w:eastAsia="zh-CN"/>
              </w:rPr>
              <w:t>10</w:t>
            </w:r>
          </w:p>
        </w:tc>
        <w:tc>
          <w:tcPr>
            <w:tcW w:w="5439" w:type="dxa"/>
            <w:tcBorders>
              <w:tl2br w:val="nil"/>
              <w:tr2bl w:val="nil"/>
            </w:tcBorders>
            <w:vAlign w:val="center"/>
          </w:tcPr>
          <w:p w14:paraId="69BB2107">
            <w:pPr>
              <w:snapToGrid w:val="0"/>
              <w:rPr>
                <w:rFonts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考察投标人在满足招标文件基本服务要求（3天免费仓储、基础配送次数等）之外，额外提供的免费或优惠服务承诺，重点评估以下三个方面：</w:t>
            </w:r>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1.免费仓储天数（</w:t>
            </w:r>
            <w:r>
              <w:rPr>
                <w:rFonts w:ascii="仿宋_GB2312" w:hAnsi="仿宋_GB2312" w:eastAsia="仿宋_GB2312" w:cs="仿宋_GB2312"/>
                <w:kern w:val="0"/>
                <w:sz w:val="24"/>
                <w:highlight w:val="none"/>
                <w:lang w:bidi="ar"/>
              </w:rPr>
              <w:t>3</w:t>
            </w:r>
            <w:r>
              <w:rPr>
                <w:rFonts w:hint="eastAsia" w:ascii="仿宋_GB2312" w:hAnsi="仿宋_GB2312" w:eastAsia="仿宋_GB2312" w:cs="仿宋_GB2312"/>
                <w:kern w:val="0"/>
                <w:sz w:val="24"/>
                <w:highlight w:val="none"/>
                <w:lang w:bidi="ar"/>
              </w:rPr>
              <w:t>分）：</w:t>
            </w:r>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承诺免费仓储天数≥3天：</w:t>
            </w:r>
            <w:r>
              <w:rPr>
                <w:rFonts w:ascii="仿宋_GB2312" w:hAnsi="仿宋_GB2312" w:eastAsia="仿宋_GB2312" w:cs="仿宋_GB2312"/>
                <w:kern w:val="0"/>
                <w:sz w:val="24"/>
                <w:highlight w:val="none"/>
                <w:lang w:bidi="ar"/>
              </w:rPr>
              <w:t>3</w:t>
            </w:r>
            <w:r>
              <w:rPr>
                <w:rFonts w:hint="eastAsia" w:ascii="仿宋_GB2312" w:hAnsi="仿宋_GB2312" w:eastAsia="仿宋_GB2312" w:cs="仿宋_GB2312"/>
                <w:kern w:val="0"/>
                <w:sz w:val="24"/>
                <w:highlight w:val="none"/>
                <w:lang w:bidi="ar"/>
              </w:rPr>
              <w:t>分</w:t>
            </w:r>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承诺免费仓储天数2天：2分</w:t>
            </w:r>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承诺免费仓储天数1天：1分</w:t>
            </w:r>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不提供免费仓储的：0分</w:t>
            </w:r>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2.免费配送范围与次数（</w:t>
            </w:r>
            <w:r>
              <w:rPr>
                <w:rFonts w:ascii="仿宋_GB2312" w:hAnsi="仿宋_GB2312" w:eastAsia="仿宋_GB2312" w:cs="仿宋_GB2312"/>
                <w:kern w:val="0"/>
                <w:sz w:val="24"/>
                <w:highlight w:val="none"/>
                <w:lang w:bidi="ar"/>
              </w:rPr>
              <w:t>3</w:t>
            </w:r>
            <w:r>
              <w:rPr>
                <w:rFonts w:hint="eastAsia" w:ascii="仿宋_GB2312" w:hAnsi="仿宋_GB2312" w:eastAsia="仿宋_GB2312" w:cs="仿宋_GB2312"/>
                <w:kern w:val="0"/>
                <w:sz w:val="24"/>
                <w:highlight w:val="none"/>
                <w:lang w:bidi="ar"/>
              </w:rPr>
              <w:t>分）：</w:t>
            </w:r>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承诺深圳市内无限次免费配送（不限次数，不限件数/重量上限）：</w:t>
            </w:r>
            <w:r>
              <w:rPr>
                <w:rFonts w:ascii="仿宋_GB2312" w:hAnsi="仿宋_GB2312" w:eastAsia="仿宋_GB2312" w:cs="仿宋_GB2312"/>
                <w:kern w:val="0"/>
                <w:sz w:val="24"/>
                <w:highlight w:val="none"/>
                <w:lang w:bidi="ar"/>
              </w:rPr>
              <w:t>3</w:t>
            </w:r>
            <w:r>
              <w:rPr>
                <w:rFonts w:hint="eastAsia" w:ascii="仿宋_GB2312" w:hAnsi="仿宋_GB2312" w:eastAsia="仿宋_GB2312" w:cs="仿宋_GB2312"/>
                <w:kern w:val="0"/>
                <w:sz w:val="24"/>
                <w:highlight w:val="none"/>
                <w:lang w:bidi="ar"/>
              </w:rPr>
              <w:t>分</w:t>
            </w:r>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承诺深圳市内免费配送，但有限制条件：</w:t>
            </w:r>
            <w:r>
              <w:rPr>
                <w:rFonts w:ascii="仿宋_GB2312" w:hAnsi="仿宋_GB2312" w:eastAsia="仿宋_GB2312" w:cs="仿宋_GB2312"/>
                <w:kern w:val="0"/>
                <w:sz w:val="24"/>
                <w:highlight w:val="none"/>
                <w:lang w:bidi="ar"/>
              </w:rPr>
              <w:t>2</w:t>
            </w:r>
            <w:r>
              <w:rPr>
                <w:rFonts w:hint="eastAsia" w:ascii="仿宋_GB2312" w:hAnsi="仿宋_GB2312" w:eastAsia="仿宋_GB2312" w:cs="仿宋_GB2312"/>
                <w:kern w:val="0"/>
                <w:sz w:val="24"/>
                <w:highlight w:val="none"/>
                <w:lang w:bidi="ar"/>
              </w:rPr>
              <w:t>分</w:t>
            </w:r>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仅满足招标文件基础要求（有基础配送次数/月，超出部分另行计费）：1分</w:t>
            </w:r>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无额外承诺：0分</w:t>
            </w:r>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3.免费验货及其他增值服务（</w:t>
            </w:r>
            <w:r>
              <w:rPr>
                <w:rFonts w:ascii="仿宋_GB2312" w:hAnsi="仿宋_GB2312" w:eastAsia="仿宋_GB2312" w:cs="仿宋_GB2312"/>
                <w:kern w:val="0"/>
                <w:sz w:val="24"/>
                <w:highlight w:val="none"/>
                <w:lang w:bidi="ar"/>
              </w:rPr>
              <w:t>4</w:t>
            </w:r>
            <w:r>
              <w:rPr>
                <w:rFonts w:hint="eastAsia" w:ascii="仿宋_GB2312" w:hAnsi="仿宋_GB2312" w:eastAsia="仿宋_GB2312" w:cs="仿宋_GB2312"/>
                <w:kern w:val="0"/>
                <w:sz w:val="24"/>
                <w:highlight w:val="none"/>
                <w:lang w:bidi="ar"/>
              </w:rPr>
              <w:t>分）：</w:t>
            </w:r>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（1）承诺到货时免费提供验货服务（包括但不限于：核对品牌/型号/数量、检查外包装完整性、拍照存档、出具简易验货报告）：</w:t>
            </w:r>
            <w:r>
              <w:rPr>
                <w:rFonts w:ascii="仿宋_GB2312" w:hAnsi="仿宋_GB2312" w:eastAsia="仿宋_GB2312" w:cs="仿宋_GB2312"/>
                <w:kern w:val="0"/>
                <w:sz w:val="24"/>
                <w:highlight w:val="none"/>
                <w:lang w:bidi="ar"/>
              </w:rPr>
              <w:t>1</w:t>
            </w:r>
            <w:r>
              <w:rPr>
                <w:rFonts w:hint="eastAsia" w:ascii="仿宋_GB2312" w:hAnsi="仿宋_GB2312" w:eastAsia="仿宋_GB2312" w:cs="仿宋_GB2312"/>
                <w:kern w:val="0"/>
                <w:sz w:val="24"/>
                <w:highlight w:val="none"/>
                <w:lang w:bidi="ar"/>
              </w:rPr>
              <w:t>分</w:t>
            </w:r>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（2）额外提供以下任一项免费服务，每项加0.5分，最高加1分：</w:t>
            </w:r>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 免费贴标/换标服务</w:t>
            </w:r>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 免费分拣/打包服务</w:t>
            </w:r>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 免费提供货物保险（仓至仓）</w:t>
            </w:r>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 免费提供加急配送（4小时内送达）</w:t>
            </w:r>
          </w:p>
          <w:p w14:paraId="01CECE47">
            <w:pPr>
              <w:snapToGrid w:val="0"/>
              <w:rPr>
                <w:rFonts w:ascii="仿宋_GB2312" w:hAnsi="仿宋_GB2312" w:eastAsia="仿宋_GB2312" w:cs="仿宋_GB2312"/>
                <w:kern w:val="0"/>
                <w:sz w:val="24"/>
                <w:highlight w:val="none"/>
                <w:lang w:bidi="ar"/>
              </w:rPr>
            </w:pPr>
            <w:bookmarkStart w:id="0" w:name="OLE_LINK2"/>
            <w:bookmarkStart w:id="1" w:name="OLE_LINK1"/>
            <w:r>
              <w:rPr>
                <w:rFonts w:hint="eastAsia" w:ascii="仿宋_GB2312" w:hAnsi="仿宋_GB2312" w:eastAsia="仿宋_GB2312" w:cs="仿宋_GB2312"/>
                <w:color w:val="auto"/>
                <w:kern w:val="0"/>
                <w:sz w:val="24"/>
                <w:highlight w:val="none"/>
                <w:lang w:bidi="ar"/>
              </w:rPr>
              <w:t>（3）仓库自动化程度高，有配套的自动化贴标机及出入库流水线:2分</w:t>
            </w:r>
            <w:bookmarkEnd w:id="0"/>
            <w:bookmarkEnd w:id="1"/>
            <w:r>
              <w:rPr>
                <w:rFonts w:hint="eastAsia" w:ascii="仿宋_GB2312" w:hAnsi="仿宋_GB2312" w:eastAsia="仿宋_GB2312" w:cs="仿宋_GB2312"/>
                <w:kern w:val="0"/>
                <w:sz w:val="24"/>
                <w:highlight w:val="none"/>
                <w:lang w:bidi="ar"/>
              </w:rPr>
              <w:br w:type="textWrapping"/>
            </w:r>
            <w:r>
              <w:rPr>
                <w:rFonts w:hint="eastAsia" w:ascii="仿宋_GB2312" w:hAnsi="仿宋_GB2312" w:eastAsia="仿宋_GB2312" w:cs="仿宋_GB2312"/>
                <w:kern w:val="0"/>
                <w:sz w:val="24"/>
                <w:highlight w:val="none"/>
                <w:lang w:bidi="ar"/>
              </w:rPr>
              <w:t>以上合计最高</w:t>
            </w:r>
            <w:r>
              <w:rPr>
                <w:rFonts w:ascii="仿宋_GB2312" w:hAnsi="仿宋_GB2312" w:eastAsia="仿宋_GB2312" w:cs="仿宋_GB2312"/>
                <w:kern w:val="0"/>
                <w:sz w:val="24"/>
                <w:highlight w:val="none"/>
                <w:lang w:bidi="ar"/>
              </w:rPr>
              <w:t>4</w:t>
            </w:r>
            <w:r>
              <w:rPr>
                <w:rFonts w:hint="eastAsia" w:ascii="仿宋_GB2312" w:hAnsi="仿宋_GB2312" w:eastAsia="仿宋_GB2312" w:cs="仿宋_GB2312"/>
                <w:kern w:val="0"/>
                <w:sz w:val="24"/>
                <w:highlight w:val="none"/>
                <w:lang w:bidi="ar"/>
              </w:rPr>
              <w:t>分。</w:t>
            </w:r>
          </w:p>
          <w:p w14:paraId="2C6EB914">
            <w:pPr>
              <w:keepNext w:val="0"/>
              <w:keepLines w:val="0"/>
              <w:pageBreakBefore w:val="0"/>
              <w:kinsoku/>
              <w:wordWrap/>
              <w:overflowPunct/>
              <w:topLinePunct w:val="0"/>
              <w:autoSpaceDE/>
              <w:autoSpaceDN/>
              <w:bidi w:val="0"/>
              <w:adjustRightInd/>
              <w:snapToGrid w:val="0"/>
              <w:spacing w:beforeAutospacing="0" w:afterAutospacing="0" w:line="240" w:lineRule="auto"/>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本项总分10分</w:t>
            </w:r>
          </w:p>
          <w:p w14:paraId="556259CB">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评审依据：</w:t>
            </w:r>
          </w:p>
          <w:p w14:paraId="315D4BC2">
            <w:pPr>
              <w:keepNext w:val="0"/>
              <w:keepLines w:val="0"/>
              <w:pageBreakBefore w:val="0"/>
              <w:kinsoku/>
              <w:wordWrap/>
              <w:overflowPunct/>
              <w:topLinePunct w:val="0"/>
              <w:autoSpaceDE/>
              <w:autoSpaceDN/>
              <w:bidi w:val="0"/>
              <w:adjustRightInd/>
              <w:snapToGrid w:val="0"/>
              <w:spacing w:beforeAutospacing="0" w:afterAutospacing="0" w:line="240" w:lineRule="auto"/>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投标人提供《增值服务承诺函》（格式自拟，须加盖公章），逐项列明。</w:t>
            </w:r>
          </w:p>
          <w:p w14:paraId="4F465B91">
            <w:pPr>
              <w:keepNext w:val="0"/>
              <w:keepLines w:val="0"/>
              <w:pageBreakBefore w:val="0"/>
              <w:kinsoku/>
              <w:wordWrap/>
              <w:overflowPunct/>
              <w:topLinePunct w:val="0"/>
              <w:autoSpaceDE/>
              <w:autoSpaceDN/>
              <w:bidi w:val="0"/>
              <w:adjustRightInd/>
              <w:snapToGrid w:val="0"/>
              <w:spacing w:beforeAutospacing="0" w:afterAutospacing="0" w:line="240" w:lineRule="auto"/>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说明：以上所有承诺均需在投标文件中明确列出，并作为合同附件写入。中标后未兑现的，按合同违约条款处理。</w:t>
            </w:r>
          </w:p>
        </w:tc>
      </w:tr>
      <w:tr w14:paraId="6E91C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715" w:type="dxa"/>
            <w:tcBorders>
              <w:tl2br w:val="nil"/>
              <w:tr2bl w:val="nil"/>
            </w:tcBorders>
            <w:vAlign w:val="center"/>
          </w:tcPr>
          <w:p w14:paraId="59164FD8">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textAlignment w:val="auto"/>
              <w:rPr>
                <w:rFonts w:hint="eastAsia"/>
                <w:sz w:val="21"/>
                <w:szCs w:val="21"/>
                <w:vertAlign w:val="baseline"/>
              </w:rPr>
            </w:pPr>
            <w:r>
              <w:rPr>
                <w:rStyle w:val="11"/>
                <w:rFonts w:hint="eastAsia" w:ascii="仿宋_GB2312" w:hAnsi="仿宋_GB2312" w:eastAsia="仿宋_GB2312" w:cs="仿宋_GB2312"/>
                <w:sz w:val="24"/>
                <w:szCs w:val="24"/>
              </w:rPr>
              <w:t>总分</w:t>
            </w:r>
          </w:p>
        </w:tc>
        <w:tc>
          <w:tcPr>
            <w:tcW w:w="1368" w:type="dxa"/>
            <w:tcBorders>
              <w:tl2br w:val="nil"/>
              <w:tr2bl w:val="nil"/>
            </w:tcBorders>
            <w:vAlign w:val="center"/>
          </w:tcPr>
          <w:p w14:paraId="0BF4F4D6">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sz w:val="21"/>
                <w:szCs w:val="21"/>
                <w:vertAlign w:val="baseline"/>
              </w:rPr>
            </w:pPr>
            <w:r>
              <w:rPr>
                <w:rStyle w:val="11"/>
                <w:rFonts w:hint="eastAsia" w:ascii="仿宋_GB2312" w:hAnsi="仿宋_GB2312" w:eastAsia="仿宋_GB2312" w:cs="仿宋_GB2312"/>
                <w:sz w:val="24"/>
                <w:szCs w:val="24"/>
              </w:rPr>
              <w:t>100分</w:t>
            </w:r>
          </w:p>
        </w:tc>
        <w:tc>
          <w:tcPr>
            <w:tcW w:w="5439" w:type="dxa"/>
            <w:tcBorders>
              <w:tl2br w:val="nil"/>
              <w:tr2bl w:val="nil"/>
            </w:tcBorders>
            <w:vAlign w:val="center"/>
          </w:tcPr>
          <w:p w14:paraId="4F90839F">
            <w:pPr>
              <w:keepNext w:val="0"/>
              <w:keepLines w:val="0"/>
              <w:pageBreakBefore w:val="0"/>
              <w:kinsoku/>
              <w:wordWrap/>
              <w:overflowPunct/>
              <w:topLinePunct w:val="0"/>
              <w:autoSpaceDE/>
              <w:autoSpaceDN/>
              <w:bidi w:val="0"/>
              <w:adjustRightInd/>
              <w:snapToGrid w:val="0"/>
              <w:spacing w:beforeAutospacing="0" w:afterAutospacing="0" w:line="240" w:lineRule="auto"/>
              <w:textAlignment w:val="auto"/>
              <w:rPr>
                <w:rFonts w:hint="eastAsia"/>
                <w:sz w:val="18"/>
                <w:szCs w:val="21"/>
                <w:vertAlign w:val="baseline"/>
              </w:rPr>
            </w:pPr>
          </w:p>
        </w:tc>
      </w:tr>
    </w:tbl>
    <w:p w14:paraId="4C61513C">
      <w:pPr>
        <w:pStyle w:val="4"/>
        <w:keepNext w:val="0"/>
        <w:keepLines w:val="0"/>
        <w:pageBreakBefore w:val="0"/>
        <w:widowControl/>
        <w:numPr>
          <w:ilvl w:val="0"/>
          <w:numId w:val="1"/>
        </w:numPr>
        <w:suppressLineNumbers w:val="0"/>
        <w:kinsoku/>
        <w:wordWrap/>
        <w:overflowPunct/>
        <w:topLinePunct w:val="0"/>
        <w:autoSpaceDE/>
        <w:autoSpaceDN/>
        <w:bidi w:val="0"/>
        <w:adjustRightInd/>
        <w:snapToGrid w:val="0"/>
        <w:spacing w:beforeAutospacing="0" w:afterAutospacing="0" w:line="560" w:lineRule="exact"/>
        <w:ind w:left="0" w:leftChars="0" w:firstLine="420" w:firstLineChars="0"/>
        <w:jc w:val="left"/>
        <w:textAlignment w:val="auto"/>
        <w:rPr>
          <w:rStyle w:val="11"/>
          <w:rFonts w:hint="eastAsia" w:ascii="黑体" w:hAnsi="黑体" w:eastAsia="黑体" w:cs="黑体"/>
          <w:b w:val="0"/>
          <w:bCs w:val="0"/>
          <w:sz w:val="32"/>
          <w:szCs w:val="32"/>
        </w:rPr>
      </w:pPr>
      <w:r>
        <w:rPr>
          <w:rStyle w:val="11"/>
          <w:rFonts w:hint="eastAsia" w:ascii="黑体" w:hAnsi="黑体" w:eastAsia="黑体" w:cs="黑体"/>
          <w:b w:val="0"/>
          <w:bCs w:val="0"/>
          <w:sz w:val="32"/>
          <w:szCs w:val="32"/>
        </w:rPr>
        <w:t xml:space="preserve">投标文件的编制 </w:t>
      </w:r>
    </w:p>
    <w:p w14:paraId="52920948">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500" w:lineRule="exact"/>
        <w:ind w:left="0" w:leftChars="0" w:firstLine="420" w:firstLineChars="0"/>
        <w:textAlignment w:val="auto"/>
        <w:rPr>
          <w:rStyle w:val="11"/>
          <w:rFonts w:hint="eastAsia" w:ascii="楷体_GB2312" w:hAnsi="楷体_GB2312" w:eastAsia="楷体_GB2312" w:cs="楷体_GB2312"/>
          <w:b w:val="0"/>
          <w:bCs/>
          <w:sz w:val="32"/>
          <w:szCs w:val="32"/>
        </w:rPr>
      </w:pPr>
      <w:r>
        <w:rPr>
          <w:rStyle w:val="11"/>
          <w:rFonts w:hint="eastAsia" w:ascii="楷体_GB2312" w:hAnsi="楷体_GB2312" w:eastAsia="楷体_GB2312" w:cs="楷体_GB2312"/>
          <w:b w:val="0"/>
          <w:bCs/>
          <w:sz w:val="32"/>
          <w:szCs w:val="32"/>
        </w:rPr>
        <w:t>投标文件编制要求</w:t>
      </w:r>
    </w:p>
    <w:p w14:paraId="5DACBF44">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w:t>
      </w:r>
      <w:r>
        <w:rPr>
          <w:rFonts w:hint="eastAsia" w:ascii="仿宋_GB2312" w:hAnsi="仿宋_GB2312" w:eastAsia="仿宋_GB2312" w:cs="仿宋_GB2312"/>
          <w:sz w:val="32"/>
          <w:szCs w:val="32"/>
          <w:lang w:val="en-US" w:eastAsia="zh-CN"/>
        </w:rPr>
        <w:t>标文件由</w:t>
      </w:r>
      <w:r>
        <w:rPr>
          <w:rFonts w:hint="eastAsia" w:ascii="仿宋_GB2312" w:hAnsi="仿宋_GB2312" w:eastAsia="仿宋_GB2312" w:cs="仿宋_GB2312"/>
          <w:b/>
          <w:bCs/>
          <w:sz w:val="32"/>
          <w:szCs w:val="32"/>
          <w:lang w:val="en-US" w:eastAsia="zh-CN"/>
        </w:rPr>
        <w:t>商务文件、技术文件、报价文件</w:t>
      </w:r>
      <w:r>
        <w:rPr>
          <w:rFonts w:hint="eastAsia" w:ascii="仿宋_GB2312" w:hAnsi="仿宋_GB2312" w:eastAsia="仿宋_GB2312" w:cs="仿宋_GB2312"/>
          <w:sz w:val="32"/>
          <w:szCs w:val="32"/>
          <w:lang w:val="en-US" w:eastAsia="zh-CN"/>
        </w:rPr>
        <w:t>三部分组成，三部分缺一不可。投标文件严格按照下述投标文件格式要求顺序编制，</w:t>
      </w:r>
      <w:r>
        <w:rPr>
          <w:rFonts w:hint="eastAsia" w:ascii="仿宋_GB2312" w:hAnsi="仿宋_GB2312" w:eastAsia="仿宋_GB2312" w:cs="仿宋_GB2312"/>
          <w:b/>
          <w:bCs/>
          <w:sz w:val="32"/>
          <w:szCs w:val="32"/>
          <w:lang w:val="en-US" w:eastAsia="zh-CN"/>
        </w:rPr>
        <w:t>其中第四部分内容需单独密封并加盖公章</w:t>
      </w:r>
      <w:r>
        <w:rPr>
          <w:rFonts w:hint="eastAsia" w:ascii="仿宋_GB2312" w:hAnsi="仿宋_GB2312" w:eastAsia="仿宋_GB2312" w:cs="仿宋_GB2312"/>
          <w:sz w:val="32"/>
          <w:szCs w:val="32"/>
          <w:lang w:val="en-US" w:eastAsia="zh-CN"/>
        </w:rPr>
        <w:t>。标书封面和内部有要求的文件，必须加盖投标人公章并由法定代表人或授权代表签署，投标人应写全称。</w:t>
      </w:r>
    </w:p>
    <w:p w14:paraId="6D9146A2">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500" w:lineRule="exact"/>
        <w:ind w:left="0" w:leftChars="0" w:firstLine="420" w:firstLineChars="0"/>
        <w:textAlignment w:val="auto"/>
        <w:rPr>
          <w:rStyle w:val="11"/>
          <w:rFonts w:hint="eastAsia" w:ascii="楷体_GB2312" w:hAnsi="楷体_GB2312" w:eastAsia="楷体_GB2312" w:cs="楷体_GB2312"/>
          <w:b w:val="0"/>
          <w:bCs/>
          <w:sz w:val="32"/>
          <w:szCs w:val="32"/>
        </w:rPr>
      </w:pPr>
      <w:r>
        <w:rPr>
          <w:rStyle w:val="11"/>
          <w:rFonts w:hint="eastAsia" w:ascii="楷体_GB2312" w:hAnsi="楷体_GB2312" w:eastAsia="楷体_GB2312" w:cs="楷体_GB2312"/>
          <w:b w:val="0"/>
          <w:bCs/>
          <w:sz w:val="32"/>
          <w:szCs w:val="32"/>
        </w:rPr>
        <w:t>投标文件格式要求</w:t>
      </w:r>
    </w:p>
    <w:p w14:paraId="0A7C2FF0">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textAlignment w:val="auto"/>
        <w:rPr>
          <w:rStyle w:val="11"/>
          <w:rFonts w:hint="eastAsia" w:ascii="仿宋_GB2312" w:hAnsi="仿宋_GB2312" w:eastAsia="仿宋_GB2312" w:cs="仿宋_GB2312"/>
          <w:sz w:val="32"/>
          <w:szCs w:val="32"/>
          <w:lang w:val="en-US" w:eastAsia="zh-CN"/>
        </w:rPr>
      </w:pPr>
      <w:r>
        <w:rPr>
          <w:rStyle w:val="11"/>
          <w:rFonts w:hint="eastAsia" w:ascii="仿宋_GB2312" w:hAnsi="仿宋_GB2312" w:eastAsia="仿宋_GB2312" w:cs="仿宋_GB2312"/>
          <w:sz w:val="32"/>
          <w:szCs w:val="32"/>
        </w:rPr>
        <w:t xml:space="preserve">第一部分 </w:t>
      </w:r>
      <w:r>
        <w:rPr>
          <w:rStyle w:val="11"/>
          <w:rFonts w:hint="eastAsia" w:ascii="仿宋_GB2312" w:hAnsi="仿宋_GB2312" w:eastAsia="仿宋_GB2312" w:cs="仿宋_GB2312"/>
          <w:sz w:val="32"/>
          <w:szCs w:val="32"/>
          <w:lang w:val="en-US" w:eastAsia="zh-CN"/>
        </w:rPr>
        <w:t>报价文件</w:t>
      </w:r>
    </w:p>
    <w:p w14:paraId="10FB1B41">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Style w:val="11"/>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报价一览表</w:t>
      </w:r>
      <w:r>
        <w:rPr>
          <w:rFonts w:hint="eastAsia" w:ascii="仿宋_GB2312" w:hAnsi="仿宋_GB2312" w:eastAsia="仿宋_GB2312" w:cs="仿宋_GB2312"/>
          <w:sz w:val="32"/>
          <w:szCs w:val="32"/>
          <w:lang w:val="en-US" w:eastAsia="zh-CN"/>
        </w:rPr>
        <w:t>（格式详见附件）</w:t>
      </w:r>
    </w:p>
    <w:p w14:paraId="5D84B363">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textAlignment w:val="auto"/>
        <w:rPr>
          <w:rFonts w:hint="eastAsia" w:ascii="仿宋_GB2312" w:hAnsi="仿宋_GB2312" w:eastAsia="仿宋_GB2312" w:cs="仿宋_GB2312"/>
          <w:sz w:val="32"/>
          <w:szCs w:val="32"/>
        </w:rPr>
      </w:pPr>
      <w:r>
        <w:rPr>
          <w:rStyle w:val="11"/>
          <w:rFonts w:hint="eastAsia" w:ascii="仿宋_GB2312" w:hAnsi="仿宋_GB2312" w:eastAsia="仿宋_GB2312" w:cs="仿宋_GB2312"/>
          <w:sz w:val="32"/>
          <w:szCs w:val="32"/>
          <w:lang w:val="en-US" w:eastAsia="zh-CN"/>
        </w:rPr>
        <w:t xml:space="preserve">第二部分 </w:t>
      </w:r>
      <w:r>
        <w:rPr>
          <w:rStyle w:val="11"/>
          <w:rFonts w:hint="eastAsia" w:ascii="仿宋_GB2312" w:hAnsi="仿宋_GB2312" w:eastAsia="仿宋_GB2312" w:cs="仿宋_GB2312"/>
          <w:sz w:val="32"/>
          <w:szCs w:val="32"/>
        </w:rPr>
        <w:t>商务文件</w:t>
      </w:r>
    </w:p>
    <w:p w14:paraId="39F427AC">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投标人基本情况一览表</w:t>
      </w:r>
      <w:r>
        <w:rPr>
          <w:rFonts w:hint="eastAsia" w:ascii="仿宋_GB2312" w:hAnsi="仿宋_GB2312" w:eastAsia="仿宋_GB2312" w:cs="仿宋_GB2312"/>
          <w:sz w:val="32"/>
          <w:szCs w:val="32"/>
          <w:lang w:val="en-US" w:eastAsia="zh-CN"/>
        </w:rPr>
        <w:t>（格式详见附件）</w:t>
      </w:r>
    </w:p>
    <w:p w14:paraId="035266CC">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营业执照复印件</w:t>
      </w:r>
    </w:p>
    <w:p w14:paraId="7F4921A1">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3.法定代表人身份证明（格式详见附件）</w:t>
      </w:r>
    </w:p>
    <w:p w14:paraId="16FDCC76">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4.授权委托书（格式详见附件）</w:t>
      </w:r>
    </w:p>
    <w:p w14:paraId="33862EC9">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5.中国海关企业进出口信用信息公示平台查询页面截图</w:t>
      </w:r>
    </w:p>
    <w:p w14:paraId="4180A75C">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highlight w:val="none"/>
        </w:rPr>
        <w:t>《</w:t>
      </w:r>
      <w:r>
        <w:rPr>
          <w:rFonts w:hint="default" w:ascii="仿宋_GB2312" w:hAnsi="仿宋_GB2312" w:eastAsia="仿宋_GB2312" w:cs="仿宋_GB2312"/>
          <w:sz w:val="32"/>
          <w:szCs w:val="32"/>
          <w:highlight w:val="none"/>
          <w:lang w:val="en-US"/>
        </w:rPr>
        <w:t>报关企业注册登记证书</w:t>
      </w:r>
      <w:r>
        <w:rPr>
          <w:rFonts w:hint="eastAsia" w:ascii="仿宋_GB2312" w:hAnsi="仿宋_GB2312" w:eastAsia="仿宋_GB2312" w:cs="仿宋_GB2312"/>
          <w:sz w:val="32"/>
          <w:szCs w:val="32"/>
          <w:highlight w:val="none"/>
        </w:rPr>
        <w:t>》或</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报关单位备案证明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复印件</w:t>
      </w:r>
    </w:p>
    <w:p w14:paraId="13F372C9">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7.投标承诺函（格式详见附件）</w:t>
      </w:r>
    </w:p>
    <w:p w14:paraId="0754B96C">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8.同类项目业绩（格式详见附件）</w:t>
      </w:r>
    </w:p>
    <w:p w14:paraId="71440266">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9.企业资质与规模</w:t>
      </w:r>
    </w:p>
    <w:p w14:paraId="18CAE43A">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10.拟安排项目负责人及项目服务团队（格式详见附件）</w:t>
      </w:r>
    </w:p>
    <w:p w14:paraId="0A15F977">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textAlignment w:val="auto"/>
        <w:rPr>
          <w:rFonts w:hint="eastAsia" w:ascii="仿宋_GB2312" w:hAnsi="仿宋_GB2312" w:eastAsia="仿宋_GB2312" w:cs="仿宋_GB2312"/>
          <w:sz w:val="32"/>
          <w:szCs w:val="32"/>
        </w:rPr>
      </w:pPr>
      <w:r>
        <w:rPr>
          <w:rStyle w:val="11"/>
          <w:rFonts w:hint="eastAsia" w:ascii="仿宋_GB2312" w:hAnsi="仿宋_GB2312" w:eastAsia="仿宋_GB2312" w:cs="仿宋_GB2312"/>
          <w:sz w:val="32"/>
          <w:szCs w:val="32"/>
        </w:rPr>
        <w:t>第</w:t>
      </w:r>
      <w:r>
        <w:rPr>
          <w:rStyle w:val="11"/>
          <w:rFonts w:hint="eastAsia" w:ascii="仿宋_GB2312" w:hAnsi="仿宋_GB2312" w:eastAsia="仿宋_GB2312" w:cs="仿宋_GB2312"/>
          <w:sz w:val="32"/>
          <w:szCs w:val="32"/>
          <w:lang w:val="en-US" w:eastAsia="zh-CN"/>
        </w:rPr>
        <w:t>三</w:t>
      </w:r>
      <w:r>
        <w:rPr>
          <w:rStyle w:val="11"/>
          <w:rFonts w:hint="eastAsia" w:ascii="仿宋_GB2312" w:hAnsi="仿宋_GB2312" w:eastAsia="仿宋_GB2312" w:cs="仿宋_GB2312"/>
          <w:sz w:val="32"/>
          <w:szCs w:val="32"/>
        </w:rPr>
        <w:t>部分 技术文件</w:t>
      </w:r>
    </w:p>
    <w:p w14:paraId="694151DF">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1.整体服务方案</w:t>
      </w:r>
    </w:p>
    <w:p w14:paraId="5393B578">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2.信息化系统介绍</w:t>
      </w:r>
    </w:p>
    <w:p w14:paraId="2596E449">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3.应急与响应保障方案</w:t>
      </w:r>
    </w:p>
    <w:p w14:paraId="22C02660">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4.增值服务承诺函（格式自拟）</w:t>
      </w:r>
    </w:p>
    <w:p w14:paraId="7C07B87E">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5.投标人认为需提供的其他内容</w:t>
      </w:r>
    </w:p>
    <w:p w14:paraId="447490E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textAlignment w:val="auto"/>
        <w:rPr>
          <w:rFonts w:hint="eastAsia" w:ascii="仿宋_GB2312" w:hAnsi="仿宋_GB2312" w:eastAsia="仿宋_GB2312" w:cs="仿宋_GB2312"/>
          <w:sz w:val="32"/>
          <w:szCs w:val="32"/>
        </w:rPr>
      </w:pPr>
      <w:r>
        <w:rPr>
          <w:rStyle w:val="11"/>
          <w:rFonts w:hint="eastAsia" w:ascii="仿宋_GB2312" w:hAnsi="仿宋_GB2312" w:eastAsia="仿宋_GB2312" w:cs="仿宋_GB2312"/>
          <w:sz w:val="32"/>
          <w:szCs w:val="32"/>
        </w:rPr>
        <w:t>第</w:t>
      </w:r>
      <w:r>
        <w:rPr>
          <w:rStyle w:val="11"/>
          <w:rFonts w:hint="eastAsia" w:ascii="仿宋_GB2312" w:hAnsi="仿宋_GB2312" w:eastAsia="仿宋_GB2312" w:cs="仿宋_GB2312"/>
          <w:sz w:val="32"/>
          <w:szCs w:val="32"/>
          <w:lang w:val="en-US" w:eastAsia="zh-CN"/>
        </w:rPr>
        <w:t>四</w:t>
      </w:r>
      <w:r>
        <w:rPr>
          <w:rStyle w:val="11"/>
          <w:rFonts w:hint="eastAsia" w:ascii="仿宋_GB2312" w:hAnsi="仿宋_GB2312" w:eastAsia="仿宋_GB2312" w:cs="仿宋_GB2312"/>
          <w:sz w:val="32"/>
          <w:szCs w:val="32"/>
        </w:rPr>
        <w:t>部分 其他文件（单独封装）</w:t>
      </w:r>
    </w:p>
    <w:p w14:paraId="440C0556">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1.营业执照复印件</w:t>
      </w:r>
    </w:p>
    <w:p w14:paraId="7AB1085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2.法定代表人证明</w:t>
      </w:r>
    </w:p>
    <w:p w14:paraId="1D811E45">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3.授权委托书（非法人到场时提供，授权委托人需与现场参加开标的人员一致）</w:t>
      </w:r>
    </w:p>
    <w:p w14:paraId="2C322B4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4.报价一览表</w:t>
      </w:r>
    </w:p>
    <w:p w14:paraId="18882559">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5.U盘存储的电子投标文件1份</w:t>
      </w:r>
    </w:p>
    <w:p w14:paraId="28E6823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八、无效投标与废标处理 </w:t>
      </w:r>
    </w:p>
    <w:p w14:paraId="36DBBE2D">
      <w:pPr>
        <w:keepNext w:val="0"/>
        <w:keepLines w:val="0"/>
        <w:pageBreakBefore w:val="0"/>
        <w:widowControl w:val="0"/>
        <w:numPr>
          <w:ilvl w:val="0"/>
          <w:numId w:val="5"/>
        </w:numPr>
        <w:kinsoku/>
        <w:wordWrap/>
        <w:overflowPunct/>
        <w:topLinePunct w:val="0"/>
        <w:autoSpaceDE/>
        <w:autoSpaceDN/>
        <w:bidi w:val="0"/>
        <w:adjustRightInd/>
        <w:snapToGrid w:val="0"/>
        <w:spacing w:line="500" w:lineRule="exact"/>
        <w:ind w:left="0" w:leftChars="0" w:right="0" w:rightChars="0" w:firstLine="420" w:firstLineChars="0"/>
        <w:jc w:val="both"/>
        <w:textAlignment w:val="auto"/>
        <w:rPr>
          <w:rFonts w:hint="eastAsia" w:ascii="楷体_GB2312" w:hAnsi="楷体_GB2312" w:eastAsia="楷体_GB2312" w:cs="楷体_GB2312"/>
          <w:snapToGrid/>
          <w:color w:val="000000"/>
          <w:kern w:val="2"/>
          <w:sz w:val="32"/>
          <w:szCs w:val="32"/>
          <w:lang w:val="en-US" w:eastAsia="zh-CN" w:bidi="ar-SA"/>
        </w:rPr>
      </w:pPr>
      <w:r>
        <w:rPr>
          <w:rFonts w:hint="eastAsia" w:ascii="楷体_GB2312" w:hAnsi="楷体_GB2312" w:eastAsia="楷体_GB2312" w:cs="楷体_GB2312"/>
          <w:snapToGrid/>
          <w:color w:val="000000"/>
          <w:kern w:val="2"/>
          <w:sz w:val="32"/>
          <w:szCs w:val="32"/>
          <w:lang w:val="en-US" w:eastAsia="zh-CN" w:bidi="ar-SA"/>
        </w:rPr>
        <w:t>出现下列情形之一的，作无效投标处理：</w:t>
      </w:r>
    </w:p>
    <w:p w14:paraId="1A54D40B">
      <w:pPr>
        <w:pStyle w:val="6"/>
        <w:keepNext w:val="0"/>
        <w:keepLines w:val="0"/>
        <w:pageBreakBefore w:val="0"/>
        <w:kinsoku/>
        <w:wordWrap/>
        <w:overflowPunct/>
        <w:topLinePunct w:val="0"/>
        <w:bidi w:val="0"/>
        <w:snapToGrid w:val="0"/>
        <w:spacing w:line="500" w:lineRule="exact"/>
        <w:ind w:left="0" w:right="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1.投标文件未按规定要求装订、密封、签署、盖章的；</w:t>
      </w:r>
    </w:p>
    <w:p w14:paraId="715D3732">
      <w:pPr>
        <w:pStyle w:val="6"/>
        <w:keepNext w:val="0"/>
        <w:keepLines w:val="0"/>
        <w:pageBreakBefore w:val="0"/>
        <w:kinsoku/>
        <w:wordWrap/>
        <w:overflowPunct/>
        <w:topLinePunct w:val="0"/>
        <w:bidi w:val="0"/>
        <w:snapToGrid w:val="0"/>
        <w:spacing w:line="500" w:lineRule="exact"/>
        <w:ind w:left="0" w:right="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2.不具备招标文件规定的资格要求的；</w:t>
      </w:r>
    </w:p>
    <w:p w14:paraId="3BC5D936">
      <w:pPr>
        <w:pStyle w:val="6"/>
        <w:keepNext w:val="0"/>
        <w:keepLines w:val="0"/>
        <w:pageBreakBefore w:val="0"/>
        <w:kinsoku/>
        <w:wordWrap/>
        <w:overflowPunct/>
        <w:topLinePunct w:val="0"/>
        <w:bidi w:val="0"/>
        <w:snapToGrid w:val="0"/>
        <w:spacing w:line="500" w:lineRule="exact"/>
        <w:ind w:left="0" w:right="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3.不符合法律、法规和招标文件中规定的其他实质性要求的，依据法律法规可以认定为无效投标的其他情况。</w:t>
      </w:r>
    </w:p>
    <w:p w14:paraId="70197706">
      <w:pPr>
        <w:keepNext w:val="0"/>
        <w:keepLines w:val="0"/>
        <w:pageBreakBefore w:val="0"/>
        <w:widowControl w:val="0"/>
        <w:numPr>
          <w:ilvl w:val="0"/>
          <w:numId w:val="5"/>
        </w:numPr>
        <w:kinsoku/>
        <w:wordWrap/>
        <w:overflowPunct/>
        <w:topLinePunct w:val="0"/>
        <w:autoSpaceDE/>
        <w:autoSpaceDN/>
        <w:bidi w:val="0"/>
        <w:adjustRightInd/>
        <w:snapToGrid w:val="0"/>
        <w:spacing w:line="500" w:lineRule="exact"/>
        <w:ind w:left="0" w:leftChars="0" w:right="0" w:rightChars="0" w:firstLine="420" w:firstLineChars="0"/>
        <w:jc w:val="both"/>
        <w:textAlignment w:val="auto"/>
        <w:rPr>
          <w:rFonts w:hint="eastAsia" w:ascii="楷体_GB2312" w:hAnsi="楷体_GB2312" w:eastAsia="楷体_GB2312" w:cs="楷体_GB2312"/>
          <w:snapToGrid/>
          <w:color w:val="000000"/>
          <w:kern w:val="2"/>
          <w:sz w:val="32"/>
          <w:szCs w:val="32"/>
          <w:lang w:val="en-US" w:eastAsia="zh-CN" w:bidi="ar-SA"/>
        </w:rPr>
      </w:pPr>
      <w:r>
        <w:rPr>
          <w:rFonts w:hint="eastAsia" w:ascii="楷体_GB2312" w:hAnsi="楷体_GB2312" w:eastAsia="楷体_GB2312" w:cs="楷体_GB2312"/>
          <w:snapToGrid/>
          <w:color w:val="000000"/>
          <w:kern w:val="2"/>
          <w:sz w:val="32"/>
          <w:szCs w:val="32"/>
          <w:lang w:val="en-US" w:eastAsia="zh-CN" w:bidi="ar-SA"/>
        </w:rPr>
        <w:t>出现下列情形之一的，作废标处理：</w:t>
      </w:r>
    </w:p>
    <w:p w14:paraId="520160B0">
      <w:pPr>
        <w:pStyle w:val="6"/>
        <w:keepNext w:val="0"/>
        <w:keepLines w:val="0"/>
        <w:pageBreakBefore w:val="0"/>
        <w:kinsoku/>
        <w:wordWrap/>
        <w:overflowPunct/>
        <w:topLinePunct w:val="0"/>
        <w:bidi w:val="0"/>
        <w:snapToGrid w:val="0"/>
        <w:spacing w:line="500" w:lineRule="exact"/>
        <w:ind w:left="0" w:right="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1.对招标文件作实质响应的投标单位不足三家的；</w:t>
      </w:r>
    </w:p>
    <w:p w14:paraId="55926D0D">
      <w:pPr>
        <w:pStyle w:val="6"/>
        <w:keepNext w:val="0"/>
        <w:keepLines w:val="0"/>
        <w:pageBreakBefore w:val="0"/>
        <w:kinsoku/>
        <w:wordWrap/>
        <w:overflowPunct/>
        <w:topLinePunct w:val="0"/>
        <w:bidi w:val="0"/>
        <w:snapToGrid w:val="0"/>
        <w:spacing w:line="500" w:lineRule="exact"/>
        <w:ind w:left="0" w:right="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2.出现影响采购公正的违法违规行为的；</w:t>
      </w:r>
    </w:p>
    <w:p w14:paraId="08FFB7F4">
      <w:pPr>
        <w:pStyle w:val="6"/>
        <w:keepNext w:val="0"/>
        <w:keepLines w:val="0"/>
        <w:pageBreakBefore w:val="0"/>
        <w:kinsoku/>
        <w:wordWrap/>
        <w:overflowPunct/>
        <w:topLinePunct w:val="0"/>
        <w:bidi w:val="0"/>
        <w:snapToGrid w:val="0"/>
        <w:spacing w:line="500" w:lineRule="exact"/>
        <w:ind w:left="0" w:right="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3.因重大变故，采购任务被取消的；</w:t>
      </w:r>
    </w:p>
    <w:p w14:paraId="49047987">
      <w:pPr>
        <w:pStyle w:val="6"/>
        <w:keepNext w:val="0"/>
        <w:keepLines w:val="0"/>
        <w:pageBreakBefore w:val="0"/>
        <w:kinsoku/>
        <w:wordWrap/>
        <w:overflowPunct/>
        <w:topLinePunct w:val="0"/>
        <w:bidi w:val="0"/>
        <w:snapToGrid w:val="0"/>
        <w:spacing w:line="500" w:lineRule="exact"/>
        <w:ind w:left="0" w:right="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4.报价不满足招标文件要求的；</w:t>
      </w:r>
    </w:p>
    <w:p w14:paraId="39D69E6A">
      <w:pPr>
        <w:pStyle w:val="6"/>
        <w:keepNext w:val="0"/>
        <w:keepLines w:val="0"/>
        <w:pageBreakBefore w:val="0"/>
        <w:kinsoku/>
        <w:wordWrap/>
        <w:overflowPunct/>
        <w:topLinePunct w:val="0"/>
        <w:bidi w:val="0"/>
        <w:snapToGrid w:val="0"/>
        <w:spacing w:line="500" w:lineRule="exact"/>
        <w:ind w:left="0" w:right="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5.依据法律法规可以认定为废标的其他情况。</w:t>
      </w:r>
    </w:p>
    <w:p w14:paraId="5FAAE58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九、保密要求 </w:t>
      </w:r>
    </w:p>
    <w:p w14:paraId="7903B0A8">
      <w:pPr>
        <w:pStyle w:val="6"/>
        <w:keepNext w:val="0"/>
        <w:keepLines w:val="0"/>
        <w:pageBreakBefore w:val="0"/>
        <w:kinsoku/>
        <w:wordWrap/>
        <w:overflowPunct/>
        <w:topLinePunct w:val="0"/>
        <w:bidi w:val="0"/>
        <w:snapToGrid w:val="0"/>
        <w:spacing w:line="500" w:lineRule="exact"/>
        <w:ind w:left="0" w:right="0" w:firstLine="640" w:firstLineChars="200"/>
        <w:jc w:val="both"/>
        <w:textAlignment w:val="auto"/>
        <w:rPr>
          <w:rFonts w:hint="eastAsia"/>
          <w:lang w:val="en-US" w:eastAsia="zh-CN"/>
        </w:rPr>
      </w:pPr>
      <w:r>
        <w:rPr>
          <w:rFonts w:hint="default" w:ascii="仿宋_GB2312" w:hAnsi="仿宋_GB2312" w:eastAsia="仿宋_GB2312" w:cs="仿宋_GB2312"/>
          <w:snapToGrid/>
          <w:color w:val="000000"/>
          <w:kern w:val="2"/>
          <w:sz w:val="32"/>
          <w:szCs w:val="32"/>
          <w:lang w:val="en-US" w:eastAsia="zh-CN" w:bidi="ar-SA"/>
        </w:rPr>
        <w:t>供应商将严格遵守我司关于保密方面的规定，切实保守我司商业秘密。我司为项目实施所提供给供应商的关于我司的组织架构信息、人员信息、工作流程、管理模式、规程、程序等相关资料文档，项目实施过程中投标人所了解到的关于我司的组织架构信息、人员相关信息等与我司有关的敏感信息，以及项目过程中所产生的资料、文档、数据，未经我司书面授权同意，投标人不得另作他用。因投标人原因导致的上述资料、文档、数据或我司商业秘密泄露的，我司有权要求投标人采取措施消除影响，赔偿我司损失。</w:t>
      </w:r>
    </w:p>
    <w:p w14:paraId="35FAEBE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十、其它 </w:t>
      </w:r>
    </w:p>
    <w:p w14:paraId="62B9AB36">
      <w:pPr>
        <w:pStyle w:val="6"/>
        <w:keepNext w:val="0"/>
        <w:keepLines w:val="0"/>
        <w:pageBreakBefore w:val="0"/>
        <w:kinsoku/>
        <w:wordWrap/>
        <w:overflowPunct/>
        <w:topLinePunct w:val="0"/>
        <w:bidi w:val="0"/>
        <w:snapToGrid w:val="0"/>
        <w:spacing w:line="500" w:lineRule="exact"/>
        <w:ind w:left="0" w:right="0" w:firstLine="640" w:firstLineChars="200"/>
        <w:jc w:val="both"/>
        <w:textAlignment w:val="auto"/>
        <w:rPr>
          <w:rFonts w:hint="default"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(一)如投标人符合上述条件，并愿意接受各项要求而参加本次项目投标，</w:t>
      </w:r>
      <w:r>
        <w:rPr>
          <w:rFonts w:hint="eastAsia" w:ascii="仿宋_GB2312" w:hAnsi="仿宋_GB2312" w:eastAsia="仿宋_GB2312" w:cs="仿宋_GB2312"/>
          <w:b/>
          <w:bCs/>
          <w:snapToGrid/>
          <w:color w:val="000000"/>
          <w:kern w:val="2"/>
          <w:sz w:val="32"/>
          <w:szCs w:val="32"/>
          <w:lang w:val="en-US" w:eastAsia="zh-CN" w:bidi="ar-SA"/>
        </w:rPr>
        <w:t>请于</w:t>
      </w:r>
      <w:r>
        <w:rPr>
          <w:rFonts w:hint="eastAsia" w:ascii="仿宋_GB2312" w:hAnsi="仿宋_GB2312" w:eastAsia="仿宋_GB2312" w:cs="仿宋_GB2312"/>
          <w:b/>
          <w:bCs/>
          <w:snapToGrid/>
          <w:color w:val="000000"/>
          <w:kern w:val="2"/>
          <w:sz w:val="32"/>
          <w:szCs w:val="32"/>
          <w:highlight w:val="none"/>
          <w:lang w:val="en-US" w:eastAsia="zh-CN" w:bidi="ar-SA"/>
        </w:rPr>
        <w:t>2026年8月3日12：00之前</w:t>
      </w:r>
      <w:r>
        <w:rPr>
          <w:rFonts w:hint="eastAsia" w:ascii="仿宋_GB2312" w:hAnsi="仿宋_GB2312" w:eastAsia="仿宋_GB2312" w:cs="仿宋_GB2312"/>
          <w:b/>
          <w:bCs/>
          <w:snapToGrid/>
          <w:color w:val="000000"/>
          <w:kern w:val="2"/>
          <w:sz w:val="32"/>
          <w:szCs w:val="32"/>
          <w:lang w:val="en-US" w:eastAsia="zh-CN" w:bidi="ar-SA"/>
        </w:rPr>
        <w:t>将附件中的《回执》(见附件8)盖章扫描成PDF格式后发送至以下邮箱：yuxinwu@joingdt.com</w:t>
      </w:r>
      <w:r>
        <w:rPr>
          <w:rFonts w:hint="eastAsia" w:ascii="仿宋_GB2312" w:hAnsi="仿宋_GB2312" w:eastAsia="仿宋_GB2312" w:cs="仿宋_GB2312"/>
          <w:snapToGrid/>
          <w:color w:val="000000"/>
          <w:kern w:val="2"/>
          <w:sz w:val="32"/>
          <w:szCs w:val="32"/>
          <w:lang w:val="en-US" w:eastAsia="zh-CN" w:bidi="ar-SA"/>
        </w:rPr>
        <w:t>;</w:t>
      </w:r>
    </w:p>
    <w:p w14:paraId="295D923F">
      <w:pPr>
        <w:pStyle w:val="6"/>
        <w:keepNext w:val="0"/>
        <w:keepLines w:val="0"/>
        <w:pageBreakBefore w:val="0"/>
        <w:kinsoku/>
        <w:wordWrap/>
        <w:overflowPunct/>
        <w:topLinePunct w:val="0"/>
        <w:bidi w:val="0"/>
        <w:snapToGrid w:val="0"/>
        <w:spacing w:line="500" w:lineRule="exact"/>
        <w:ind w:left="0" w:right="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(二)招投标双方承诺对相关资料的保密；</w:t>
      </w:r>
    </w:p>
    <w:p w14:paraId="19593821">
      <w:pPr>
        <w:pStyle w:val="6"/>
        <w:keepNext w:val="0"/>
        <w:keepLines w:val="0"/>
        <w:pageBreakBefore w:val="0"/>
        <w:kinsoku/>
        <w:wordWrap/>
        <w:overflowPunct/>
        <w:topLinePunct w:val="0"/>
        <w:bidi w:val="0"/>
        <w:snapToGrid w:val="0"/>
        <w:spacing w:line="500" w:lineRule="exact"/>
        <w:ind w:left="0" w:right="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(三)投标单位如有疑问，请联系：</w:t>
      </w:r>
    </w:p>
    <w:p w14:paraId="543A86F2">
      <w:pPr>
        <w:pStyle w:val="6"/>
        <w:keepNext w:val="0"/>
        <w:keepLines w:val="0"/>
        <w:pageBreakBefore w:val="0"/>
        <w:kinsoku/>
        <w:wordWrap/>
        <w:overflowPunct/>
        <w:topLinePunct w:val="0"/>
        <w:bidi w:val="0"/>
        <w:snapToGrid w:val="0"/>
        <w:spacing w:line="500" w:lineRule="exact"/>
        <w:ind w:left="0" w:right="0" w:firstLine="640" w:firstLineChars="200"/>
        <w:jc w:val="both"/>
        <w:textAlignment w:val="auto"/>
        <w:rPr>
          <w:rFonts w:hint="default" w:ascii="仿宋_GB2312" w:hAnsi="仿宋_GB2312" w:eastAsia="仿宋_GB2312" w:cs="仿宋_GB2312"/>
          <w:snapToGrid/>
          <w:color w:val="000000"/>
          <w:kern w:val="2"/>
          <w:sz w:val="32"/>
          <w:szCs w:val="32"/>
          <w:highlight w:val="none"/>
          <w:lang w:val="en-US" w:eastAsia="zh-CN" w:bidi="ar-SA"/>
        </w:rPr>
      </w:pPr>
      <w:r>
        <w:rPr>
          <w:rFonts w:hint="eastAsia" w:ascii="仿宋_GB2312" w:hAnsi="仿宋_GB2312" w:eastAsia="仿宋_GB2312" w:cs="仿宋_GB2312"/>
          <w:snapToGrid/>
          <w:color w:val="000000"/>
          <w:kern w:val="2"/>
          <w:sz w:val="32"/>
          <w:szCs w:val="32"/>
          <w:lang w:val="en-US" w:eastAsia="zh-CN" w:bidi="ar-SA"/>
        </w:rPr>
        <w:t>联系人：</w:t>
      </w:r>
      <w:r>
        <w:rPr>
          <w:rFonts w:hint="eastAsia" w:ascii="仿宋_GB2312" w:hAnsi="仿宋_GB2312" w:eastAsia="仿宋_GB2312" w:cs="仿宋_GB2312"/>
          <w:snapToGrid/>
          <w:color w:val="000000"/>
          <w:kern w:val="2"/>
          <w:sz w:val="32"/>
          <w:szCs w:val="32"/>
          <w:highlight w:val="none"/>
          <w:lang w:val="en-US" w:eastAsia="zh-CN" w:bidi="ar-SA"/>
        </w:rPr>
        <w:t>吴语欣</w:t>
      </w:r>
    </w:p>
    <w:p w14:paraId="2796D460">
      <w:pPr>
        <w:pStyle w:val="6"/>
        <w:keepNext w:val="0"/>
        <w:keepLines w:val="0"/>
        <w:pageBreakBefore w:val="0"/>
        <w:kinsoku/>
        <w:wordWrap/>
        <w:overflowPunct/>
        <w:topLinePunct w:val="0"/>
        <w:bidi w:val="0"/>
        <w:snapToGrid w:val="0"/>
        <w:spacing w:line="500" w:lineRule="exact"/>
        <w:ind w:left="0" w:right="0" w:firstLine="640" w:firstLineChars="200"/>
        <w:jc w:val="both"/>
        <w:textAlignment w:val="auto"/>
        <w:rPr>
          <w:rFonts w:hint="default" w:ascii="仿宋_GB2312" w:hAnsi="仿宋_GB2312" w:eastAsia="仿宋_GB2312" w:cs="仿宋_GB2312"/>
          <w:snapToGrid/>
          <w:color w:val="000000"/>
          <w:kern w:val="2"/>
          <w:sz w:val="32"/>
          <w:szCs w:val="32"/>
          <w:highlight w:val="none"/>
          <w:lang w:val="en-US" w:eastAsia="zh-CN" w:bidi="ar-SA"/>
        </w:rPr>
      </w:pPr>
      <w:r>
        <w:rPr>
          <w:rFonts w:hint="eastAsia" w:ascii="仿宋_GB2312" w:hAnsi="仿宋_GB2312" w:eastAsia="仿宋_GB2312" w:cs="仿宋_GB2312"/>
          <w:snapToGrid/>
          <w:color w:val="000000"/>
          <w:kern w:val="2"/>
          <w:sz w:val="32"/>
          <w:szCs w:val="32"/>
          <w:highlight w:val="none"/>
          <w:lang w:val="en-US" w:eastAsia="zh-CN" w:bidi="ar-SA"/>
        </w:rPr>
        <w:t>联系电话：19806440373</w:t>
      </w:r>
    </w:p>
    <w:p w14:paraId="5841F86F">
      <w:pPr>
        <w:pStyle w:val="6"/>
        <w:keepNext w:val="0"/>
        <w:keepLines w:val="0"/>
        <w:pageBreakBefore w:val="0"/>
        <w:kinsoku/>
        <w:wordWrap/>
        <w:overflowPunct/>
        <w:topLinePunct w:val="0"/>
        <w:bidi w:val="0"/>
        <w:snapToGrid w:val="0"/>
        <w:spacing w:line="500" w:lineRule="exact"/>
        <w:ind w:left="0" w:right="0" w:firstLine="640" w:firstLineChars="200"/>
        <w:jc w:val="both"/>
        <w:textAlignment w:val="auto"/>
        <w:rPr>
          <w:rFonts w:hint="default"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联系邮箱：yuxinwu@joingdt.com</w:t>
      </w:r>
    </w:p>
    <w:p w14:paraId="577136B5">
      <w:pPr>
        <w:keepNext w:val="0"/>
        <w:keepLines w:val="0"/>
        <w:pageBreakBefore w:val="0"/>
        <w:kinsoku/>
        <w:wordWrap/>
        <w:overflowPunct/>
        <w:topLinePunct w:val="0"/>
        <w:bidi w:val="0"/>
        <w:spacing w:line="50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十一、附件列表</w:t>
      </w:r>
    </w:p>
    <w:p w14:paraId="0B521B0E">
      <w:pPr>
        <w:keepNext w:val="0"/>
        <w:keepLines w:val="0"/>
        <w:pageBreakBefore w:val="0"/>
        <w:kinsoku/>
        <w:wordWrap/>
        <w:overflowPunct/>
        <w:topLinePunct w:val="0"/>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附件1.</w:t>
      </w:r>
      <w:r>
        <w:rPr>
          <w:rFonts w:hint="eastAsia" w:ascii="仿宋_GB2312" w:hAnsi="仿宋_GB2312" w:eastAsia="仿宋_GB2312" w:cs="仿宋_GB2312"/>
          <w:sz w:val="32"/>
          <w:szCs w:val="32"/>
        </w:rPr>
        <w:t>报价一览表</w:t>
      </w:r>
    </w:p>
    <w:p w14:paraId="48E3C375">
      <w:pPr>
        <w:keepNext w:val="0"/>
        <w:keepLines w:val="0"/>
        <w:pageBreakBefore w:val="0"/>
        <w:kinsoku/>
        <w:wordWrap/>
        <w:overflowPunct/>
        <w:topLinePunct w:val="0"/>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附件2.</w:t>
      </w:r>
      <w:r>
        <w:rPr>
          <w:rFonts w:hint="eastAsia" w:ascii="仿宋_GB2312" w:hAnsi="仿宋_GB2312" w:eastAsia="仿宋_GB2312" w:cs="仿宋_GB2312"/>
          <w:sz w:val="32"/>
          <w:szCs w:val="32"/>
        </w:rPr>
        <w:t>投标人基本情况一览表</w:t>
      </w:r>
    </w:p>
    <w:p w14:paraId="2DF4275C">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附件3.法定代表人身份证明</w:t>
      </w:r>
    </w:p>
    <w:p w14:paraId="79666CDA">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附件4.授权委托书</w:t>
      </w:r>
    </w:p>
    <w:p w14:paraId="1AB0D304">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附件5.投标承诺函</w:t>
      </w:r>
    </w:p>
    <w:p w14:paraId="2BF76C34">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附件6.同类项目业绩</w:t>
      </w:r>
    </w:p>
    <w:p w14:paraId="09EC0426">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附件7.项目团队配置表</w:t>
      </w:r>
    </w:p>
    <w:p w14:paraId="61F72E67">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附件8.回执</w:t>
      </w:r>
    </w:p>
    <w:p w14:paraId="5488F80B">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p>
    <w:p w14:paraId="4BC96224">
      <w:pPr>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br w:type="page"/>
      </w:r>
    </w:p>
    <w:p w14:paraId="0D929CEB">
      <w:pPr>
        <w:keepNext w:val="0"/>
        <w:keepLines w:val="0"/>
        <w:pageBreakBefore w:val="0"/>
        <w:kinsoku/>
        <w:wordWrap/>
        <w:overflowPunct/>
        <w:topLinePunct w:val="0"/>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附件1.</w:t>
      </w:r>
      <w:r>
        <w:rPr>
          <w:rFonts w:hint="eastAsia" w:ascii="仿宋_GB2312" w:hAnsi="仿宋_GB2312" w:eastAsia="仿宋_GB2312" w:cs="仿宋_GB2312"/>
          <w:sz w:val="32"/>
          <w:szCs w:val="32"/>
        </w:rPr>
        <w:t>报价一览表</w:t>
      </w:r>
    </w:p>
    <w:p w14:paraId="4AEBB1C1">
      <w:pPr>
        <w:keepNext w:val="0"/>
        <w:keepLines w:val="0"/>
        <w:pageBreakBefore w:val="0"/>
        <w:kinsoku/>
        <w:wordWrap/>
        <w:overflowPunct/>
        <w:topLinePunct w:val="0"/>
        <w:bidi w:val="0"/>
        <w:spacing w:line="500" w:lineRule="exact"/>
        <w:jc w:val="center"/>
        <w:textAlignment w:val="auto"/>
        <w:rPr>
          <w:rFonts w:hint="eastAsia" w:ascii="黑体" w:hAnsi="黑体" w:eastAsia="黑体" w:cs="黑体"/>
          <w:b w:val="0"/>
          <w:bCs w:val="0"/>
          <w:snapToGrid w:val="0"/>
          <w:color w:val="auto"/>
          <w:spacing w:val="19"/>
          <w:kern w:val="0"/>
          <w:sz w:val="32"/>
          <w:szCs w:val="32"/>
          <w:lang w:val="en-US" w:eastAsia="zh-CN" w:bidi="ar-SA"/>
        </w:rPr>
      </w:pPr>
      <w:r>
        <w:rPr>
          <w:rFonts w:hint="eastAsia" w:ascii="黑体" w:hAnsi="黑体" w:eastAsia="黑体" w:cs="黑体"/>
          <w:b w:val="0"/>
          <w:bCs w:val="0"/>
          <w:snapToGrid w:val="0"/>
          <w:color w:val="auto"/>
          <w:spacing w:val="19"/>
          <w:kern w:val="0"/>
          <w:sz w:val="32"/>
          <w:szCs w:val="32"/>
          <w:lang w:val="en-US" w:eastAsia="zh-CN" w:bidi="ar-SA"/>
        </w:rPr>
        <w:t>报价一览表</w:t>
      </w:r>
    </w:p>
    <w:p w14:paraId="34CB3CEA">
      <w:pPr>
        <w:pStyle w:val="7"/>
        <w:keepNext w:val="0"/>
        <w:keepLines w:val="0"/>
        <w:widowControl/>
        <w:suppressLineNumbers w:val="0"/>
        <w:autoSpaceDE w:val="0"/>
        <w:autoSpaceDN/>
        <w:snapToGrid w:val="0"/>
        <w:spacing w:before="0" w:beforeAutospacing="0" w:after="0" w:afterAutospacing="0" w:line="240" w:lineRule="auto"/>
        <w:ind w:left="0" w:right="0"/>
        <w:jc w:val="left"/>
        <w:rPr>
          <w:rStyle w:val="12"/>
          <w:rFonts w:hint="eastAsia" w:ascii="宋体" w:hAnsi="宋体" w:eastAsia="宋体" w:cs="宋体"/>
          <w:b/>
          <w:bCs w:val="0"/>
          <w:sz w:val="40"/>
          <w:szCs w:val="40"/>
          <w:lang w:val="en-US" w:eastAsia="zh-CN" w:bidi="ar"/>
          <w:woUserID w:val="2"/>
        </w:rPr>
      </w:pPr>
    </w:p>
    <w:p w14:paraId="11D86A91">
      <w:pPr>
        <w:pStyle w:val="7"/>
        <w:keepNext w:val="0"/>
        <w:keepLines w:val="0"/>
        <w:widowControl/>
        <w:suppressLineNumbers w:val="0"/>
        <w:autoSpaceDE w:val="0"/>
        <w:autoSpaceDN/>
        <w:snapToGrid w:val="0"/>
        <w:spacing w:before="0" w:beforeAutospacing="0" w:after="0" w:afterAutospacing="0" w:line="240" w:lineRule="auto"/>
        <w:ind w:left="0" w:right="0"/>
        <w:jc w:val="left"/>
        <w:rPr>
          <w:rFonts w:hint="default" w:ascii="仿宋_GB2312" w:eastAsia="仿宋_GB2312" w:cs="仿宋_GB2312"/>
          <w:kern w:val="0"/>
          <w:sz w:val="28"/>
          <w:szCs w:val="28"/>
          <w:woUserID w:val="2"/>
        </w:rPr>
      </w:pPr>
      <w:r>
        <w:rPr>
          <w:rFonts w:hint="default" w:ascii="仿宋_GB2312" w:hAnsi="宋体" w:eastAsia="仿宋_GB2312" w:cs="仿宋_GB2312"/>
          <w:kern w:val="0"/>
          <w:sz w:val="28"/>
          <w:szCs w:val="28"/>
          <w:lang w:val="en-US" w:eastAsia="zh-CN" w:bidi="ar"/>
          <w:woUserID w:val="2"/>
        </w:rPr>
        <w:t>项目名称：货物报关及配套服务框架采购项目</w:t>
      </w: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1856"/>
        <w:gridCol w:w="1606"/>
        <w:gridCol w:w="1284"/>
        <w:gridCol w:w="3030"/>
      </w:tblGrid>
      <w:tr w14:paraId="598A8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tcBorders>
              <w:top w:val="single" w:color="auto" w:sz="12" w:space="0"/>
              <w:left w:val="single" w:color="auto" w:sz="12" w:space="0"/>
            </w:tcBorders>
            <w:vAlign w:val="center"/>
          </w:tcPr>
          <w:p w14:paraId="0F2577A1">
            <w:pPr>
              <w:pStyle w:val="7"/>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jc w:val="center"/>
              <w:textAlignment w:val="auto"/>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序号</w:t>
            </w:r>
          </w:p>
        </w:tc>
        <w:tc>
          <w:tcPr>
            <w:tcW w:w="1856" w:type="dxa"/>
            <w:tcBorders>
              <w:top w:val="single" w:color="auto" w:sz="12" w:space="0"/>
            </w:tcBorders>
            <w:vAlign w:val="center"/>
          </w:tcPr>
          <w:p w14:paraId="7443DDEE">
            <w:pPr>
              <w:pStyle w:val="7"/>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jc w:val="center"/>
              <w:textAlignment w:val="auto"/>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报价内容</w:t>
            </w:r>
          </w:p>
        </w:tc>
        <w:tc>
          <w:tcPr>
            <w:tcW w:w="1606" w:type="dxa"/>
            <w:tcBorders>
              <w:top w:val="single" w:color="auto" w:sz="12" w:space="0"/>
            </w:tcBorders>
            <w:vAlign w:val="center"/>
          </w:tcPr>
          <w:p w14:paraId="152BEAEA">
            <w:pPr>
              <w:pStyle w:val="7"/>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jc w:val="center"/>
              <w:textAlignment w:val="auto"/>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综合服务费率上限</w:t>
            </w:r>
          </w:p>
        </w:tc>
        <w:tc>
          <w:tcPr>
            <w:tcW w:w="1284" w:type="dxa"/>
            <w:tcBorders>
              <w:top w:val="single" w:color="auto" w:sz="12" w:space="0"/>
            </w:tcBorders>
            <w:vAlign w:val="center"/>
          </w:tcPr>
          <w:p w14:paraId="7683CBA8">
            <w:pPr>
              <w:pStyle w:val="7"/>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jc w:val="center"/>
              <w:textAlignment w:val="auto"/>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综合服务费率报价</w:t>
            </w:r>
          </w:p>
        </w:tc>
        <w:tc>
          <w:tcPr>
            <w:tcW w:w="3030" w:type="dxa"/>
            <w:tcBorders>
              <w:top w:val="single" w:color="auto" w:sz="12" w:space="0"/>
              <w:right w:val="single" w:color="auto" w:sz="12" w:space="0"/>
            </w:tcBorders>
            <w:vAlign w:val="center"/>
          </w:tcPr>
          <w:p w14:paraId="6199D379">
            <w:pPr>
              <w:pStyle w:val="7"/>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jc w:val="center"/>
              <w:textAlignment w:val="auto"/>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备注</w:t>
            </w:r>
          </w:p>
        </w:tc>
      </w:tr>
      <w:tr w14:paraId="7F9E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tcBorders>
              <w:left w:val="single" w:color="auto" w:sz="12" w:space="0"/>
              <w:bottom w:val="single" w:color="auto" w:sz="12" w:space="0"/>
            </w:tcBorders>
            <w:vAlign w:val="center"/>
          </w:tcPr>
          <w:p w14:paraId="00F547A3">
            <w:pPr>
              <w:pStyle w:val="7"/>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w:t>
            </w:r>
          </w:p>
        </w:tc>
        <w:tc>
          <w:tcPr>
            <w:tcW w:w="1856" w:type="dxa"/>
            <w:tcBorders>
              <w:bottom w:val="single" w:color="auto" w:sz="12" w:space="0"/>
            </w:tcBorders>
            <w:vAlign w:val="center"/>
          </w:tcPr>
          <w:p w14:paraId="72EE3537">
            <w:pPr>
              <w:pStyle w:val="7"/>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jc w:val="center"/>
              <w:textAlignment w:val="auto"/>
              <w:rPr>
                <w:rFonts w:hint="default" w:ascii="仿宋_GB2312" w:hAnsi="仿宋_GB2312" w:eastAsia="仿宋_GB2312" w:cs="仿宋_GB2312"/>
                <w:kern w:val="2"/>
                <w:sz w:val="28"/>
                <w:szCs w:val="28"/>
                <w:highlight w:val="none"/>
                <w:lang w:val="en-US" w:eastAsia="zh-CN" w:bidi="ar-SA"/>
              </w:rPr>
            </w:pPr>
            <w:r>
              <w:rPr>
                <w:rFonts w:hint="default" w:ascii="仿宋_GB2312" w:hAnsi="仿宋_GB2312" w:eastAsia="仿宋_GB2312" w:cs="仿宋_GB2312"/>
                <w:kern w:val="2"/>
                <w:sz w:val="28"/>
                <w:szCs w:val="28"/>
                <w:highlight w:val="none"/>
                <w:lang w:val="en-US" w:eastAsia="zh-CN" w:bidi="ar-SA"/>
              </w:rPr>
              <w:t>综合服务费率</w:t>
            </w:r>
          </w:p>
        </w:tc>
        <w:tc>
          <w:tcPr>
            <w:tcW w:w="1606" w:type="dxa"/>
            <w:tcBorders>
              <w:bottom w:val="single" w:color="auto" w:sz="12" w:space="0"/>
            </w:tcBorders>
            <w:vAlign w:val="center"/>
          </w:tcPr>
          <w:p w14:paraId="43BDE136">
            <w:pPr>
              <w:pStyle w:val="7"/>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jc w:val="center"/>
              <w:textAlignment w:val="auto"/>
              <w:rPr>
                <w:rFonts w:hint="default" w:ascii="仿宋_GB2312" w:hAnsi="仿宋_GB2312" w:eastAsia="仿宋_GB2312" w:cs="仿宋_GB2312"/>
                <w:kern w:val="2"/>
                <w:sz w:val="28"/>
                <w:szCs w:val="28"/>
                <w:highlight w:val="none"/>
                <w:u w:val="single"/>
                <w:lang w:val="en-US" w:eastAsia="zh-CN" w:bidi="ar-SA"/>
              </w:rPr>
            </w:pPr>
            <w:r>
              <w:rPr>
                <w:rFonts w:hint="eastAsia" w:ascii="仿宋_GB2312" w:hAnsi="仿宋_GB2312" w:eastAsia="仿宋_GB2312" w:cs="仿宋_GB2312"/>
                <w:kern w:val="2"/>
                <w:sz w:val="28"/>
                <w:szCs w:val="28"/>
                <w:highlight w:val="none"/>
                <w:lang w:val="en-US" w:eastAsia="zh-CN" w:bidi="ar-SA"/>
              </w:rPr>
              <w:t>不得超过</w:t>
            </w:r>
            <w:r>
              <w:rPr>
                <w:rFonts w:hint="eastAsia" w:ascii="仿宋_GB2312" w:hAnsi="仿宋_GB2312" w:eastAsia="仿宋_GB2312" w:cs="仿宋_GB2312"/>
                <w:kern w:val="2"/>
                <w:sz w:val="28"/>
                <w:szCs w:val="28"/>
                <w:highlight w:val="none"/>
                <w:u w:val="none"/>
                <w:lang w:val="en-US" w:eastAsia="zh-CN" w:bidi="ar-SA"/>
              </w:rPr>
              <w:t>2.5‰​</w:t>
            </w:r>
          </w:p>
        </w:tc>
        <w:tc>
          <w:tcPr>
            <w:tcW w:w="1284" w:type="dxa"/>
            <w:tcBorders>
              <w:bottom w:val="single" w:color="auto" w:sz="12" w:space="0"/>
            </w:tcBorders>
            <w:vAlign w:val="center"/>
          </w:tcPr>
          <w:p w14:paraId="457C5C62">
            <w:pPr>
              <w:pStyle w:val="7"/>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jc w:val="both"/>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u w:val="single"/>
                <w:lang w:val="en-US" w:eastAsia="zh-CN" w:bidi="ar-SA"/>
              </w:rPr>
              <w:t xml:space="preserve">     </w:t>
            </w:r>
            <w:r>
              <w:rPr>
                <w:rFonts w:hint="eastAsia" w:ascii="仿宋_GB2312" w:hAnsi="仿宋_GB2312" w:eastAsia="仿宋_GB2312" w:cs="仿宋_GB2312"/>
                <w:kern w:val="2"/>
                <w:sz w:val="28"/>
                <w:szCs w:val="28"/>
                <w:u w:val="none"/>
                <w:lang w:val="en-US" w:eastAsia="zh-CN" w:bidi="ar-SA"/>
              </w:rPr>
              <w:t>‰</w:t>
            </w:r>
          </w:p>
        </w:tc>
        <w:tc>
          <w:tcPr>
            <w:tcW w:w="3030" w:type="dxa"/>
            <w:tcBorders>
              <w:bottom w:val="single" w:color="auto" w:sz="12" w:space="0"/>
              <w:right w:val="single" w:color="auto" w:sz="12" w:space="0"/>
            </w:tcBorders>
            <w:vAlign w:val="center"/>
          </w:tcPr>
          <w:p w14:paraId="1D7C9187">
            <w:pPr>
              <w:pStyle w:val="7"/>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该费率在框架协议服务期内固定不变。</w:t>
            </w:r>
          </w:p>
        </w:tc>
      </w:tr>
    </w:tbl>
    <w:p w14:paraId="757681E6">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0"/>
        <w:textAlignment w:val="auto"/>
        <w:rPr>
          <w:rFonts w:hint="eastAsia" w:ascii="仿宋_GB2312" w:hAnsi="宋体" w:eastAsia="仿宋_GB2312" w:cs="仿宋_GB2312"/>
          <w:snapToGrid w:val="0"/>
          <w:color w:val="000000"/>
          <w:kern w:val="0"/>
          <w:sz w:val="28"/>
          <w:szCs w:val="28"/>
          <w:lang w:val="en-US" w:eastAsia="zh-CN" w:bidi="ar"/>
          <w:woUserID w:val="2"/>
        </w:rPr>
      </w:pPr>
      <w:r>
        <w:rPr>
          <w:rFonts w:hint="eastAsia" w:ascii="仿宋_GB2312" w:hAnsi="宋体" w:eastAsia="仿宋_GB2312" w:cs="仿宋_GB2312"/>
          <w:snapToGrid w:val="0"/>
          <w:color w:val="000000"/>
          <w:kern w:val="0"/>
          <w:sz w:val="28"/>
          <w:szCs w:val="28"/>
          <w:lang w:val="en-US" w:eastAsia="zh-CN" w:bidi="ar"/>
          <w:woUserID w:val="2"/>
        </w:rPr>
        <w:t>说明：</w:t>
      </w:r>
    </w:p>
    <w:p w14:paraId="6A546CE7">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560" w:firstLineChars="200"/>
        <w:textAlignment w:val="auto"/>
        <w:rPr>
          <w:rFonts w:hint="eastAsia" w:ascii="仿宋_GB2312" w:hAnsi="宋体" w:eastAsia="仿宋_GB2312" w:cs="仿宋_GB2312"/>
          <w:snapToGrid w:val="0"/>
          <w:color w:val="000000"/>
          <w:kern w:val="0"/>
          <w:sz w:val="28"/>
          <w:szCs w:val="28"/>
          <w:lang w:val="en-US" w:eastAsia="zh-CN" w:bidi="ar"/>
          <w:woUserID w:val="2"/>
        </w:rPr>
      </w:pPr>
      <w:r>
        <w:rPr>
          <w:rFonts w:hint="eastAsia" w:ascii="仿宋_GB2312" w:hAnsi="宋体" w:eastAsia="仿宋_GB2312" w:cs="仿宋_GB2312"/>
          <w:snapToGrid w:val="0"/>
          <w:color w:val="000000"/>
          <w:kern w:val="0"/>
          <w:sz w:val="28"/>
          <w:szCs w:val="28"/>
          <w:lang w:val="en-US" w:eastAsia="zh-CN" w:bidi="ar"/>
          <w:woUserID w:val="2"/>
        </w:rPr>
        <w:t>1.供应商须填报一个统一的综合服务费率（精确至小数点后一位，该费率将作为计算单次服务费的唯一依据。</w:t>
      </w:r>
    </w:p>
    <w:p w14:paraId="7F30C103">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2.结算公式：</w:t>
      </w:r>
    </w:p>
    <w:p w14:paraId="5F7ECC04">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（1）当配送地址位于深圳市内时，单次服务费用=该批次进/出口货物CIF价值×中标供应商的综合服务费率。</w:t>
      </w:r>
    </w:p>
    <w:p w14:paraId="68E1D727">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560" w:firstLineChars="200"/>
        <w:textAlignment w:val="auto"/>
        <w:rPr>
          <w:rFonts w:hint="eastAsia" w:ascii="仿宋_GB2312" w:hAnsi="宋体" w:eastAsia="仿宋_GB2312" w:cs="仿宋_GB2312"/>
          <w:snapToGrid w:val="0"/>
          <w:color w:val="000000"/>
          <w:kern w:val="0"/>
          <w:sz w:val="28"/>
          <w:szCs w:val="28"/>
          <w:lang w:val="en-US" w:eastAsia="zh-CN" w:bidi="ar"/>
          <w:woUserID w:val="2"/>
        </w:rPr>
      </w:pPr>
      <w:r>
        <w:rPr>
          <w:rFonts w:hint="eastAsia" w:ascii="仿宋_GB2312" w:hAnsi="仿宋_GB2312" w:eastAsia="仿宋_GB2312" w:cs="仿宋_GB2312"/>
          <w:kern w:val="2"/>
          <w:sz w:val="28"/>
          <w:szCs w:val="28"/>
          <w:lang w:val="en-US" w:eastAsia="zh-CN" w:bidi="ar-SA"/>
        </w:rPr>
        <w:t>（2）当配送地址位于深圳市以外时，单次服务费用= [该批次进/出口货物CIF价值×中标供应商的综合服务费率]+该批次对应的深圳市外物流配送费用（按投标人单独列明的收费标准计算）。</w:t>
      </w:r>
    </w:p>
    <w:p w14:paraId="6452DA01">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3.报价费率不得高于采购人设定的综合服务费率上限，否则报价无效。</w:t>
      </w:r>
    </w:p>
    <w:p w14:paraId="7E6179C6">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560" w:firstLineChars="200"/>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4.深圳市外物流配送费</w:t>
      </w:r>
      <w:bookmarkStart w:id="2" w:name="_GoBack"/>
      <w:bookmarkEnd w:id="2"/>
      <w:r>
        <w:rPr>
          <w:rFonts w:hint="eastAsia" w:ascii="仿宋_GB2312" w:hAnsi="仿宋_GB2312" w:eastAsia="仿宋_GB2312" w:cs="仿宋_GB2312"/>
          <w:kern w:val="2"/>
          <w:sz w:val="28"/>
          <w:szCs w:val="28"/>
          <w:lang w:val="en-US" w:eastAsia="zh-CN" w:bidi="ar-SA"/>
        </w:rPr>
        <w:t>用不包含在上述综合服务费率内，投标人须在报价文件或技术方案中单独列明深圳市外物流配送收费标准。</w:t>
      </w:r>
    </w:p>
    <w:p w14:paraId="01AD2FF2">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5.本报价一览表须加盖公章，并与投标文件一同密封递交。</w:t>
      </w:r>
    </w:p>
    <w:p w14:paraId="78454735">
      <w:pPr>
        <w:pStyle w:val="7"/>
        <w:keepNext w:val="0"/>
        <w:keepLines w:val="0"/>
        <w:widowControl/>
        <w:suppressLineNumbers w:val="0"/>
        <w:spacing w:beforeAutospacing="0" w:afterAutospacing="0"/>
        <w:ind w:left="0" w:firstLine="0"/>
        <w:rPr>
          <w:rFonts w:hint="eastAsia" w:ascii="仿宋_GB2312" w:hAnsi="仿宋_GB2312" w:eastAsia="仿宋_GB2312" w:cs="仿宋_GB2312"/>
          <w:kern w:val="2"/>
          <w:sz w:val="32"/>
          <w:szCs w:val="32"/>
          <w:lang w:val="en-US" w:eastAsia="zh-CN" w:bidi="ar-SA"/>
        </w:rPr>
      </w:pPr>
    </w:p>
    <w:p w14:paraId="78FEC99E">
      <w:pPr>
        <w:pStyle w:val="7"/>
        <w:keepNext w:val="0"/>
        <w:keepLines w:val="0"/>
        <w:widowControl/>
        <w:suppressLineNumbers w:val="0"/>
        <w:spacing w:beforeAutospacing="0" w:afterAutospacing="0"/>
        <w:ind w:left="0" w:firstLine="0"/>
        <w:rPr>
          <w:rFonts w:hint="eastAsia" w:ascii="仿宋_GB2312" w:hAnsi="仿宋_GB2312" w:eastAsia="仿宋_GB2312" w:cs="仿宋_GB2312"/>
          <w:kern w:val="2"/>
          <w:sz w:val="32"/>
          <w:szCs w:val="32"/>
          <w:lang w:val="en-US" w:eastAsia="zh-CN" w:bidi="ar-SA"/>
        </w:rPr>
      </w:pPr>
    </w:p>
    <w:p w14:paraId="10A0758A">
      <w:pPr>
        <w:keepNext w:val="0"/>
        <w:keepLines w:val="0"/>
        <w:pageBreakBefore w:val="0"/>
        <w:widowControl w:val="0"/>
        <w:kinsoku/>
        <w:wordWrap/>
        <w:overflowPunct/>
        <w:topLinePunct w:val="0"/>
        <w:autoSpaceDE/>
        <w:autoSpaceDN/>
        <w:bidi w:val="0"/>
        <w:adjustRightInd/>
        <w:snapToGrid w:val="0"/>
        <w:spacing w:line="500" w:lineRule="exact"/>
        <w:ind w:firstLine="2880" w:firstLineChars="9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投标人（盖公章）：</w:t>
      </w:r>
      <w:r>
        <w:rPr>
          <w:rFonts w:hint="eastAsia" w:ascii="仿宋_GB2312" w:hAnsi="仿宋_GB2312" w:eastAsia="仿宋_GB2312" w:cs="仿宋_GB2312"/>
          <w:sz w:val="32"/>
          <w:szCs w:val="32"/>
          <w:lang w:val="en-US" w:eastAsia="zh-CN"/>
        </w:rPr>
        <w:t xml:space="preserve"> </w:t>
      </w:r>
    </w:p>
    <w:p w14:paraId="025C5C74">
      <w:pPr>
        <w:keepNext w:val="0"/>
        <w:keepLines w:val="0"/>
        <w:pageBreakBefore w:val="0"/>
        <w:widowControl w:val="0"/>
        <w:kinsoku/>
        <w:wordWrap/>
        <w:overflowPunct/>
        <w:topLinePunct w:val="0"/>
        <w:autoSpaceDE/>
        <w:autoSpaceDN/>
        <w:bidi w:val="0"/>
        <w:adjustRightInd/>
        <w:snapToGrid w:val="0"/>
        <w:spacing w:line="500" w:lineRule="exact"/>
        <w:ind w:firstLine="2880" w:firstLineChars="9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法定代表人或授权代表签字：</w:t>
      </w:r>
      <w:r>
        <w:rPr>
          <w:rFonts w:hint="eastAsia" w:ascii="仿宋_GB2312" w:hAnsi="仿宋_GB2312" w:eastAsia="仿宋_GB2312" w:cs="仿宋_GB2312"/>
          <w:sz w:val="32"/>
          <w:szCs w:val="32"/>
          <w:lang w:val="en-US" w:eastAsia="zh-CN"/>
        </w:rPr>
        <w:t xml:space="preserve"> </w:t>
      </w:r>
    </w:p>
    <w:p w14:paraId="5AED6EC7">
      <w:pPr>
        <w:keepNext w:val="0"/>
        <w:keepLines w:val="0"/>
        <w:pageBreakBefore w:val="0"/>
        <w:widowControl w:val="0"/>
        <w:kinsoku/>
        <w:wordWrap/>
        <w:overflowPunct/>
        <w:topLinePunct w:val="0"/>
        <w:autoSpaceDE/>
        <w:autoSpaceDN/>
        <w:bidi w:val="0"/>
        <w:adjustRightInd/>
        <w:snapToGrid w:val="0"/>
        <w:spacing w:line="50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3DD29BC9">
      <w:pPr>
        <w:rPr>
          <w:rFonts w:hint="eastAsia" w:ascii="仿宋_GB2312" w:hAnsi="仿宋_GB2312" w:eastAsia="仿宋_GB2312" w:cs="仿宋_GB2312"/>
          <w:sz w:val="32"/>
          <w:szCs w:val="32"/>
        </w:rPr>
      </w:pPr>
    </w:p>
    <w:p w14:paraId="3B33802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6CD6246D">
      <w:pPr>
        <w:keepNext w:val="0"/>
        <w:keepLines w:val="0"/>
        <w:pageBreakBefore w:val="0"/>
        <w:kinsoku/>
        <w:wordWrap/>
        <w:overflowPunct/>
        <w:topLinePunct w:val="0"/>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附件2.</w:t>
      </w:r>
      <w:r>
        <w:rPr>
          <w:rFonts w:hint="eastAsia" w:ascii="仿宋_GB2312" w:hAnsi="仿宋_GB2312" w:eastAsia="仿宋_GB2312" w:cs="仿宋_GB2312"/>
          <w:sz w:val="32"/>
          <w:szCs w:val="32"/>
        </w:rPr>
        <w:t>投标人基本情况一览表</w:t>
      </w:r>
    </w:p>
    <w:p w14:paraId="41AF667D">
      <w:pPr>
        <w:keepNext w:val="0"/>
        <w:keepLines w:val="0"/>
        <w:pageBreakBefore w:val="0"/>
        <w:kinsoku/>
        <w:wordWrap/>
        <w:overflowPunct/>
        <w:topLinePunct w:val="0"/>
        <w:bidi w:val="0"/>
        <w:snapToGrid w:val="0"/>
        <w:spacing w:line="500" w:lineRule="exact"/>
        <w:jc w:val="center"/>
        <w:textAlignment w:val="auto"/>
        <w:outlineLvl w:val="0"/>
        <w:rPr>
          <w:rFonts w:hint="eastAsia" w:ascii="黑体" w:hAnsi="黑体" w:eastAsia="黑体" w:cs="黑体"/>
          <w:b/>
          <w:bCs/>
          <w:color w:val="auto"/>
          <w:spacing w:val="-6"/>
          <w:sz w:val="32"/>
          <w:szCs w:val="32"/>
          <w:lang w:val="en-US" w:eastAsia="zh-CN"/>
        </w:rPr>
      </w:pPr>
      <w:r>
        <w:rPr>
          <w:rFonts w:hint="eastAsia" w:ascii="黑体" w:hAnsi="黑体" w:eastAsia="黑体" w:cs="黑体"/>
          <w:b/>
          <w:bCs/>
          <w:color w:val="auto"/>
          <w:spacing w:val="-6"/>
          <w:sz w:val="32"/>
          <w:szCs w:val="32"/>
          <w:lang w:val="en-US" w:eastAsia="zh-CN"/>
        </w:rPr>
        <w:t>投标人基本情况一览表</w:t>
      </w:r>
    </w:p>
    <w:tbl>
      <w:tblPr>
        <w:tblStyle w:val="13"/>
        <w:tblpPr w:leftFromText="180" w:rightFromText="180" w:vertAnchor="text" w:horzAnchor="page" w:tblpX="1225" w:tblpY="241"/>
        <w:tblOverlap w:val="never"/>
        <w:tblW w:w="9725"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2459"/>
        <w:gridCol w:w="2908"/>
        <w:gridCol w:w="2277"/>
        <w:gridCol w:w="2081"/>
      </w:tblGrid>
      <w:tr w14:paraId="5989C4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10" w:hRule="atLeast"/>
        </w:trPr>
        <w:tc>
          <w:tcPr>
            <w:tcW w:w="2459" w:type="dxa"/>
            <w:tcBorders>
              <w:tl2br w:val="nil"/>
              <w:tr2bl w:val="nil"/>
            </w:tcBorders>
            <w:shd w:val="clear" w:color="auto" w:fill="auto"/>
            <w:vAlign w:val="center"/>
          </w:tcPr>
          <w:p w14:paraId="3839CFDC">
            <w:pPr>
              <w:keepNext w:val="0"/>
              <w:keepLines w:val="0"/>
              <w:pageBreakBefore w:val="0"/>
              <w:kinsoku/>
              <w:wordWrap/>
              <w:overflowPunct/>
              <w:topLinePunct w:val="0"/>
              <w:bidi w:val="0"/>
              <w:spacing w:before="127" w:line="50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3"/>
                <w:sz w:val="28"/>
                <w:szCs w:val="28"/>
                <w:lang w:val="en-US" w:eastAsia="zh-CN"/>
                <w14:textOutline w14:w="3831" w14:cap="flat" w14:cmpd="sng">
                  <w14:solidFill>
                    <w14:srgbClr w14:val="000000"/>
                  </w14:solidFill>
                  <w14:prstDash w14:val="solid"/>
                  <w14:miter w14:val="0"/>
                </w14:textOutline>
              </w:rPr>
              <w:t>单位</w:t>
            </w:r>
            <w:r>
              <w:rPr>
                <w:rFonts w:hint="eastAsia" w:ascii="仿宋_GB2312" w:hAnsi="仿宋_GB2312" w:eastAsia="仿宋_GB2312" w:cs="仿宋_GB2312"/>
                <w:b w:val="0"/>
                <w:bCs w:val="0"/>
                <w:spacing w:val="-3"/>
                <w:sz w:val="28"/>
                <w:szCs w:val="28"/>
                <w14:textOutline w14:w="3831" w14:cap="flat" w14:cmpd="sng">
                  <w14:solidFill>
                    <w14:srgbClr w14:val="000000"/>
                  </w14:solidFill>
                  <w14:prstDash w14:val="solid"/>
                  <w14:miter w14:val="0"/>
                </w14:textOutline>
              </w:rPr>
              <w:t>名</w:t>
            </w:r>
            <w:r>
              <w:rPr>
                <w:rFonts w:hint="eastAsia" w:ascii="仿宋_GB2312" w:hAnsi="仿宋_GB2312" w:eastAsia="仿宋_GB2312" w:cs="仿宋_GB2312"/>
                <w:b w:val="0"/>
                <w:bCs w:val="0"/>
                <w:spacing w:val="-2"/>
                <w:sz w:val="28"/>
                <w:szCs w:val="28"/>
                <w14:textOutline w14:w="3831" w14:cap="flat" w14:cmpd="sng">
                  <w14:solidFill>
                    <w14:srgbClr w14:val="000000"/>
                  </w14:solidFill>
                  <w14:prstDash w14:val="solid"/>
                  <w14:miter w14:val="0"/>
                </w14:textOutline>
              </w:rPr>
              <w:t>称</w:t>
            </w:r>
          </w:p>
        </w:tc>
        <w:tc>
          <w:tcPr>
            <w:tcW w:w="7266" w:type="dxa"/>
            <w:gridSpan w:val="3"/>
            <w:tcBorders>
              <w:tl2br w:val="nil"/>
              <w:tr2bl w:val="nil"/>
            </w:tcBorders>
            <w:shd w:val="clear" w:color="auto" w:fill="auto"/>
            <w:vAlign w:val="center"/>
          </w:tcPr>
          <w:p w14:paraId="2524FCBE">
            <w:pPr>
              <w:keepNext w:val="0"/>
              <w:keepLines w:val="0"/>
              <w:pageBreakBefore w:val="0"/>
              <w:kinsoku/>
              <w:wordWrap/>
              <w:overflowPunct/>
              <w:topLinePunct w:val="0"/>
              <w:bidi w:val="0"/>
              <w:spacing w:before="127" w:line="500" w:lineRule="exact"/>
              <w:jc w:val="both"/>
              <w:textAlignment w:val="auto"/>
              <w:rPr>
                <w:rFonts w:hint="eastAsia" w:ascii="仿宋_GB2312" w:hAnsi="仿宋_GB2312" w:eastAsia="仿宋_GB2312" w:cs="仿宋_GB2312"/>
                <w:sz w:val="28"/>
                <w:szCs w:val="28"/>
              </w:rPr>
            </w:pPr>
          </w:p>
        </w:tc>
      </w:tr>
      <w:tr w14:paraId="76C981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459" w:type="dxa"/>
            <w:tcBorders>
              <w:tl2br w:val="nil"/>
              <w:tr2bl w:val="nil"/>
            </w:tcBorders>
            <w:shd w:val="clear" w:color="auto" w:fill="auto"/>
            <w:vAlign w:val="center"/>
          </w:tcPr>
          <w:p w14:paraId="242AB650">
            <w:pPr>
              <w:keepNext w:val="0"/>
              <w:keepLines w:val="0"/>
              <w:pageBreakBefore w:val="0"/>
              <w:kinsoku/>
              <w:wordWrap/>
              <w:overflowPunct/>
              <w:topLinePunct w:val="0"/>
              <w:bidi w:val="0"/>
              <w:spacing w:before="127" w:line="500" w:lineRule="exact"/>
              <w:jc w:val="center"/>
              <w:textAlignment w:val="auto"/>
              <w:rPr>
                <w:rFonts w:hint="default" w:ascii="仿宋_GB2312" w:hAnsi="仿宋_GB2312" w:eastAsia="仿宋_GB2312" w:cs="仿宋_GB2312"/>
                <w:b w:val="0"/>
                <w:bCs w:val="0"/>
                <w:spacing w:val="-3"/>
                <w:sz w:val="28"/>
                <w:szCs w:val="28"/>
                <w:lang w:val="en-US" w:eastAsia="zh-CN"/>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pacing w:val="-3"/>
                <w:sz w:val="28"/>
                <w:szCs w:val="28"/>
                <w:lang w:val="en-US" w:eastAsia="zh-CN"/>
                <w14:textOutline w14:w="3831" w14:cap="flat" w14:cmpd="sng">
                  <w14:solidFill>
                    <w14:srgbClr w14:val="000000"/>
                  </w14:solidFill>
                  <w14:prstDash w14:val="solid"/>
                  <w14:miter w14:val="0"/>
                </w14:textOutline>
              </w:rPr>
              <w:t>单位曾用名</w:t>
            </w:r>
          </w:p>
        </w:tc>
        <w:tc>
          <w:tcPr>
            <w:tcW w:w="7266" w:type="dxa"/>
            <w:gridSpan w:val="3"/>
            <w:tcBorders>
              <w:tl2br w:val="nil"/>
              <w:tr2bl w:val="nil"/>
            </w:tcBorders>
            <w:shd w:val="clear" w:color="auto" w:fill="auto"/>
            <w:vAlign w:val="center"/>
          </w:tcPr>
          <w:p w14:paraId="075D6D1E">
            <w:pPr>
              <w:keepNext w:val="0"/>
              <w:keepLines w:val="0"/>
              <w:pageBreakBefore w:val="0"/>
              <w:kinsoku/>
              <w:wordWrap/>
              <w:overflowPunct/>
              <w:topLinePunct w:val="0"/>
              <w:bidi w:val="0"/>
              <w:spacing w:before="127" w:line="500" w:lineRule="exact"/>
              <w:jc w:val="both"/>
              <w:textAlignment w:val="auto"/>
              <w:rPr>
                <w:rFonts w:hint="eastAsia" w:ascii="仿宋_GB2312" w:hAnsi="仿宋_GB2312" w:eastAsia="仿宋_GB2312" w:cs="仿宋_GB2312"/>
                <w:sz w:val="28"/>
                <w:szCs w:val="28"/>
              </w:rPr>
            </w:pPr>
          </w:p>
        </w:tc>
      </w:tr>
      <w:tr w14:paraId="31488C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10" w:hRule="atLeast"/>
        </w:trPr>
        <w:tc>
          <w:tcPr>
            <w:tcW w:w="2459" w:type="dxa"/>
            <w:tcBorders>
              <w:tl2br w:val="nil"/>
              <w:tr2bl w:val="nil"/>
            </w:tcBorders>
            <w:shd w:val="clear" w:color="auto" w:fill="auto"/>
            <w:vAlign w:val="center"/>
          </w:tcPr>
          <w:p w14:paraId="4FB166BA">
            <w:pPr>
              <w:keepNext w:val="0"/>
              <w:keepLines w:val="0"/>
              <w:pageBreakBefore w:val="0"/>
              <w:kinsoku/>
              <w:wordWrap/>
              <w:overflowPunct/>
              <w:topLinePunct w:val="0"/>
              <w:bidi w:val="0"/>
              <w:spacing w:before="123" w:line="50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2"/>
                <w:sz w:val="28"/>
                <w:szCs w:val="28"/>
                <w:lang w:val="en-US" w:eastAsia="zh-CN"/>
                <w14:textOutline w14:w="3831" w14:cap="flat" w14:cmpd="sng">
                  <w14:solidFill>
                    <w14:srgbClr w14:val="000000"/>
                  </w14:solidFill>
                  <w14:prstDash w14:val="solid"/>
                  <w14:miter w14:val="0"/>
                </w14:textOutline>
              </w:rPr>
              <w:t>单位</w:t>
            </w:r>
            <w:r>
              <w:rPr>
                <w:rFonts w:hint="eastAsia" w:ascii="仿宋_GB2312" w:hAnsi="仿宋_GB2312" w:eastAsia="仿宋_GB2312" w:cs="仿宋_GB2312"/>
                <w:b w:val="0"/>
                <w:bCs w:val="0"/>
                <w:spacing w:val="-2"/>
                <w:sz w:val="28"/>
                <w:szCs w:val="28"/>
                <w14:textOutline w14:w="3831" w14:cap="flat" w14:cmpd="sng">
                  <w14:solidFill>
                    <w14:srgbClr w14:val="000000"/>
                  </w14:solidFill>
                  <w14:prstDash w14:val="solid"/>
                  <w14:miter w14:val="0"/>
                </w14:textOutline>
              </w:rPr>
              <w:t>类</w:t>
            </w:r>
            <w:r>
              <w:rPr>
                <w:rFonts w:hint="eastAsia" w:ascii="仿宋_GB2312" w:hAnsi="仿宋_GB2312" w:eastAsia="仿宋_GB2312" w:cs="仿宋_GB2312"/>
                <w:b w:val="0"/>
                <w:bCs w:val="0"/>
                <w:spacing w:val="-1"/>
                <w:sz w:val="28"/>
                <w:szCs w:val="28"/>
                <w14:textOutline w14:w="3831" w14:cap="flat" w14:cmpd="sng">
                  <w14:solidFill>
                    <w14:srgbClr w14:val="000000"/>
                  </w14:solidFill>
                  <w14:prstDash w14:val="solid"/>
                  <w14:miter w14:val="0"/>
                </w14:textOutline>
              </w:rPr>
              <w:t>型</w:t>
            </w:r>
          </w:p>
        </w:tc>
        <w:tc>
          <w:tcPr>
            <w:tcW w:w="7266" w:type="dxa"/>
            <w:gridSpan w:val="3"/>
            <w:tcBorders>
              <w:tl2br w:val="nil"/>
              <w:tr2bl w:val="nil"/>
            </w:tcBorders>
            <w:shd w:val="clear" w:color="auto" w:fill="auto"/>
            <w:vAlign w:val="center"/>
          </w:tcPr>
          <w:p w14:paraId="123DA72A">
            <w:pPr>
              <w:keepNext w:val="0"/>
              <w:keepLines w:val="0"/>
              <w:pageBreakBefore w:val="0"/>
              <w:kinsoku/>
              <w:wordWrap/>
              <w:overflowPunct/>
              <w:topLinePunct w:val="0"/>
              <w:bidi w:val="0"/>
              <w:spacing w:before="123" w:line="500" w:lineRule="exact"/>
              <w:jc w:val="both"/>
              <w:textAlignment w:val="auto"/>
              <w:rPr>
                <w:rFonts w:hint="eastAsia" w:ascii="仿宋_GB2312" w:hAnsi="仿宋_GB2312" w:eastAsia="仿宋_GB2312" w:cs="仿宋_GB2312"/>
                <w:sz w:val="28"/>
                <w:szCs w:val="28"/>
              </w:rPr>
            </w:pPr>
          </w:p>
        </w:tc>
      </w:tr>
      <w:tr w14:paraId="479150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10" w:hRule="atLeast"/>
        </w:trPr>
        <w:tc>
          <w:tcPr>
            <w:tcW w:w="2459" w:type="dxa"/>
            <w:tcBorders>
              <w:tl2br w:val="nil"/>
              <w:tr2bl w:val="nil"/>
            </w:tcBorders>
            <w:shd w:val="clear" w:color="auto" w:fill="auto"/>
            <w:vAlign w:val="center"/>
          </w:tcPr>
          <w:p w14:paraId="1895163A">
            <w:pPr>
              <w:keepNext w:val="0"/>
              <w:keepLines w:val="0"/>
              <w:pageBreakBefore w:val="0"/>
              <w:kinsoku/>
              <w:wordWrap/>
              <w:overflowPunct/>
              <w:topLinePunct w:val="0"/>
              <w:bidi w:val="0"/>
              <w:spacing w:before="124" w:line="50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1"/>
                <w:sz w:val="28"/>
                <w:szCs w:val="28"/>
                <w14:textOutline w14:w="3831" w14:cap="flat" w14:cmpd="sng">
                  <w14:solidFill>
                    <w14:srgbClr w14:val="000000"/>
                  </w14:solidFill>
                  <w14:prstDash w14:val="solid"/>
                  <w14:miter w14:val="0"/>
                </w14:textOutline>
              </w:rPr>
              <w:t>统一社会</w:t>
            </w:r>
            <w:r>
              <w:rPr>
                <w:rFonts w:hint="eastAsia" w:ascii="仿宋_GB2312" w:hAnsi="仿宋_GB2312" w:eastAsia="仿宋_GB2312" w:cs="仿宋_GB2312"/>
                <w:b w:val="0"/>
                <w:bCs w:val="0"/>
                <w:sz w:val="28"/>
                <w:szCs w:val="28"/>
                <w14:textOutline w14:w="3831" w14:cap="flat" w14:cmpd="sng">
                  <w14:solidFill>
                    <w14:srgbClr w14:val="000000"/>
                  </w14:solidFill>
                  <w14:prstDash w14:val="solid"/>
                  <w14:miter w14:val="0"/>
                </w14:textOutline>
              </w:rPr>
              <w:t>信用代码</w:t>
            </w:r>
          </w:p>
        </w:tc>
        <w:tc>
          <w:tcPr>
            <w:tcW w:w="7266" w:type="dxa"/>
            <w:gridSpan w:val="3"/>
            <w:tcBorders>
              <w:tl2br w:val="nil"/>
              <w:tr2bl w:val="nil"/>
            </w:tcBorders>
            <w:shd w:val="clear" w:color="auto" w:fill="auto"/>
            <w:vAlign w:val="center"/>
          </w:tcPr>
          <w:p w14:paraId="5B0DCDB6">
            <w:pPr>
              <w:keepNext w:val="0"/>
              <w:keepLines w:val="0"/>
              <w:pageBreakBefore w:val="0"/>
              <w:kinsoku/>
              <w:wordWrap/>
              <w:overflowPunct/>
              <w:topLinePunct w:val="0"/>
              <w:bidi w:val="0"/>
              <w:spacing w:before="159" w:line="500" w:lineRule="exact"/>
              <w:jc w:val="both"/>
              <w:textAlignment w:val="auto"/>
              <w:rPr>
                <w:rFonts w:hint="eastAsia" w:ascii="仿宋_GB2312" w:hAnsi="仿宋_GB2312" w:eastAsia="仿宋_GB2312" w:cs="仿宋_GB2312"/>
                <w:sz w:val="28"/>
                <w:szCs w:val="28"/>
              </w:rPr>
            </w:pPr>
          </w:p>
        </w:tc>
      </w:tr>
      <w:tr w14:paraId="0F858F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459" w:type="dxa"/>
            <w:tcBorders>
              <w:tl2br w:val="nil"/>
              <w:tr2bl w:val="nil"/>
            </w:tcBorders>
            <w:shd w:val="clear" w:color="auto" w:fill="auto"/>
            <w:vAlign w:val="center"/>
          </w:tcPr>
          <w:p w14:paraId="0985E0FB">
            <w:pPr>
              <w:keepNext w:val="0"/>
              <w:keepLines w:val="0"/>
              <w:pageBreakBefore w:val="0"/>
              <w:kinsoku/>
              <w:wordWrap/>
              <w:overflowPunct/>
              <w:topLinePunct w:val="0"/>
              <w:bidi w:val="0"/>
              <w:spacing w:before="124" w:line="50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1"/>
                <w:sz w:val="28"/>
                <w:szCs w:val="28"/>
                <w14:textOutline w14:w="3831" w14:cap="flat" w14:cmpd="sng">
                  <w14:solidFill>
                    <w14:srgbClr w14:val="000000"/>
                  </w14:solidFill>
                  <w14:prstDash w14:val="solid"/>
                  <w14:miter w14:val="0"/>
                </w14:textOutline>
              </w:rPr>
              <w:t>注册资</w:t>
            </w:r>
            <w:r>
              <w:rPr>
                <w:rFonts w:hint="eastAsia" w:ascii="仿宋_GB2312" w:hAnsi="仿宋_GB2312" w:eastAsia="仿宋_GB2312" w:cs="仿宋_GB2312"/>
                <w:b w:val="0"/>
                <w:bCs w:val="0"/>
                <w:sz w:val="28"/>
                <w:szCs w:val="28"/>
                <w14:textOutline w14:w="3831" w14:cap="flat" w14:cmpd="sng">
                  <w14:solidFill>
                    <w14:srgbClr w14:val="000000"/>
                  </w14:solidFill>
                  <w14:prstDash w14:val="solid"/>
                  <w14:miter w14:val="0"/>
                </w14:textOutline>
              </w:rPr>
              <w:t>本</w:t>
            </w:r>
          </w:p>
        </w:tc>
        <w:tc>
          <w:tcPr>
            <w:tcW w:w="7266" w:type="dxa"/>
            <w:gridSpan w:val="3"/>
            <w:tcBorders>
              <w:tl2br w:val="nil"/>
              <w:tr2bl w:val="nil"/>
            </w:tcBorders>
            <w:shd w:val="clear" w:color="auto" w:fill="auto"/>
            <w:vAlign w:val="center"/>
          </w:tcPr>
          <w:p w14:paraId="6B566E21">
            <w:pPr>
              <w:keepNext w:val="0"/>
              <w:keepLines w:val="0"/>
              <w:pageBreakBefore w:val="0"/>
              <w:kinsoku/>
              <w:wordWrap/>
              <w:overflowPunct/>
              <w:topLinePunct w:val="0"/>
              <w:bidi w:val="0"/>
              <w:spacing w:before="124" w:line="500" w:lineRule="exact"/>
              <w:jc w:val="both"/>
              <w:textAlignment w:val="auto"/>
              <w:rPr>
                <w:rFonts w:hint="eastAsia" w:ascii="仿宋_GB2312" w:hAnsi="仿宋_GB2312" w:eastAsia="仿宋_GB2312" w:cs="仿宋_GB2312"/>
                <w:sz w:val="28"/>
                <w:szCs w:val="28"/>
              </w:rPr>
            </w:pPr>
          </w:p>
        </w:tc>
      </w:tr>
      <w:tr w14:paraId="2643A1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10" w:hRule="atLeast"/>
        </w:trPr>
        <w:tc>
          <w:tcPr>
            <w:tcW w:w="2459" w:type="dxa"/>
            <w:tcBorders>
              <w:tl2br w:val="nil"/>
              <w:tr2bl w:val="nil"/>
            </w:tcBorders>
            <w:shd w:val="clear" w:color="auto" w:fill="auto"/>
            <w:vAlign w:val="center"/>
          </w:tcPr>
          <w:p w14:paraId="1E0876C6">
            <w:pPr>
              <w:keepNext w:val="0"/>
              <w:keepLines w:val="0"/>
              <w:pageBreakBefore w:val="0"/>
              <w:kinsoku/>
              <w:wordWrap/>
              <w:overflowPunct/>
              <w:topLinePunct w:val="0"/>
              <w:bidi w:val="0"/>
              <w:spacing w:before="125" w:line="50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2"/>
                <w:sz w:val="28"/>
                <w:szCs w:val="28"/>
                <w14:textOutline w14:w="3831" w14:cap="flat" w14:cmpd="sng">
                  <w14:solidFill>
                    <w14:srgbClr w14:val="000000"/>
                  </w14:solidFill>
                  <w14:prstDash w14:val="solid"/>
                  <w14:miter w14:val="0"/>
                </w14:textOutline>
              </w:rPr>
              <w:t>实缴资</w:t>
            </w:r>
            <w:r>
              <w:rPr>
                <w:rFonts w:hint="eastAsia" w:ascii="仿宋_GB2312" w:hAnsi="仿宋_GB2312" w:eastAsia="仿宋_GB2312" w:cs="仿宋_GB2312"/>
                <w:b w:val="0"/>
                <w:bCs w:val="0"/>
                <w:spacing w:val="-1"/>
                <w:sz w:val="28"/>
                <w:szCs w:val="28"/>
                <w14:textOutline w14:w="3831" w14:cap="flat" w14:cmpd="sng">
                  <w14:solidFill>
                    <w14:srgbClr w14:val="000000"/>
                  </w14:solidFill>
                  <w14:prstDash w14:val="solid"/>
                  <w14:miter w14:val="0"/>
                </w14:textOutline>
              </w:rPr>
              <w:t>本</w:t>
            </w:r>
          </w:p>
        </w:tc>
        <w:tc>
          <w:tcPr>
            <w:tcW w:w="7266" w:type="dxa"/>
            <w:gridSpan w:val="3"/>
            <w:tcBorders>
              <w:tl2br w:val="nil"/>
              <w:tr2bl w:val="nil"/>
            </w:tcBorders>
            <w:shd w:val="clear" w:color="auto" w:fill="auto"/>
            <w:vAlign w:val="center"/>
          </w:tcPr>
          <w:p w14:paraId="589A3134">
            <w:pPr>
              <w:keepNext w:val="0"/>
              <w:keepLines w:val="0"/>
              <w:pageBreakBefore w:val="0"/>
              <w:kinsoku/>
              <w:wordWrap/>
              <w:overflowPunct/>
              <w:topLinePunct w:val="0"/>
              <w:bidi w:val="0"/>
              <w:spacing w:before="124" w:line="500" w:lineRule="exact"/>
              <w:jc w:val="both"/>
              <w:textAlignment w:val="auto"/>
              <w:rPr>
                <w:rFonts w:hint="eastAsia" w:ascii="仿宋_GB2312" w:hAnsi="仿宋_GB2312" w:eastAsia="仿宋_GB2312" w:cs="仿宋_GB2312"/>
                <w:sz w:val="28"/>
                <w:szCs w:val="28"/>
              </w:rPr>
            </w:pPr>
          </w:p>
        </w:tc>
      </w:tr>
      <w:tr w14:paraId="04612B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459" w:type="dxa"/>
            <w:tcBorders>
              <w:tl2br w:val="nil"/>
              <w:tr2bl w:val="nil"/>
            </w:tcBorders>
            <w:shd w:val="clear" w:color="auto" w:fill="auto"/>
            <w:vAlign w:val="center"/>
          </w:tcPr>
          <w:p w14:paraId="6EE4B996">
            <w:pPr>
              <w:keepNext w:val="0"/>
              <w:keepLines w:val="0"/>
              <w:pageBreakBefore w:val="0"/>
              <w:kinsoku/>
              <w:wordWrap/>
              <w:overflowPunct/>
              <w:topLinePunct w:val="0"/>
              <w:bidi w:val="0"/>
              <w:spacing w:before="124" w:line="50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1"/>
                <w:sz w:val="28"/>
                <w:szCs w:val="28"/>
                <w14:textOutline w14:w="3831" w14:cap="flat" w14:cmpd="sng">
                  <w14:solidFill>
                    <w14:srgbClr w14:val="000000"/>
                  </w14:solidFill>
                  <w14:prstDash w14:val="solid"/>
                  <w14:miter w14:val="0"/>
                </w14:textOutline>
              </w:rPr>
              <w:t>法定代</w:t>
            </w:r>
            <w:r>
              <w:rPr>
                <w:rFonts w:hint="eastAsia" w:ascii="仿宋_GB2312" w:hAnsi="仿宋_GB2312" w:eastAsia="仿宋_GB2312" w:cs="仿宋_GB2312"/>
                <w:b w:val="0"/>
                <w:bCs w:val="0"/>
                <w:sz w:val="28"/>
                <w:szCs w:val="28"/>
                <w14:textOutline w14:w="3831" w14:cap="flat" w14:cmpd="sng">
                  <w14:solidFill>
                    <w14:srgbClr w14:val="000000"/>
                  </w14:solidFill>
                  <w14:prstDash w14:val="solid"/>
                  <w14:miter w14:val="0"/>
                </w14:textOutline>
              </w:rPr>
              <w:t>表人</w:t>
            </w:r>
          </w:p>
        </w:tc>
        <w:tc>
          <w:tcPr>
            <w:tcW w:w="7266" w:type="dxa"/>
            <w:gridSpan w:val="3"/>
            <w:tcBorders>
              <w:tl2br w:val="nil"/>
              <w:tr2bl w:val="nil"/>
            </w:tcBorders>
            <w:shd w:val="clear" w:color="auto" w:fill="auto"/>
            <w:vAlign w:val="center"/>
          </w:tcPr>
          <w:p w14:paraId="585A823E">
            <w:pPr>
              <w:keepNext w:val="0"/>
              <w:keepLines w:val="0"/>
              <w:pageBreakBefore w:val="0"/>
              <w:kinsoku/>
              <w:wordWrap/>
              <w:overflowPunct/>
              <w:topLinePunct w:val="0"/>
              <w:bidi w:val="0"/>
              <w:spacing w:before="125" w:line="500" w:lineRule="exact"/>
              <w:jc w:val="both"/>
              <w:textAlignment w:val="auto"/>
              <w:rPr>
                <w:rFonts w:hint="eastAsia" w:ascii="仿宋_GB2312" w:hAnsi="仿宋_GB2312" w:eastAsia="仿宋_GB2312" w:cs="仿宋_GB2312"/>
                <w:sz w:val="28"/>
                <w:szCs w:val="28"/>
              </w:rPr>
            </w:pPr>
          </w:p>
        </w:tc>
      </w:tr>
      <w:tr w14:paraId="6A650C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459" w:type="dxa"/>
            <w:tcBorders>
              <w:tl2br w:val="nil"/>
              <w:tr2bl w:val="nil"/>
            </w:tcBorders>
            <w:shd w:val="clear" w:color="auto" w:fill="auto"/>
            <w:vAlign w:val="center"/>
          </w:tcPr>
          <w:p w14:paraId="2C35E9F2">
            <w:pPr>
              <w:keepNext w:val="0"/>
              <w:keepLines w:val="0"/>
              <w:pageBreakBefore w:val="0"/>
              <w:kinsoku/>
              <w:wordWrap/>
              <w:overflowPunct/>
              <w:topLinePunct w:val="0"/>
              <w:bidi w:val="0"/>
              <w:spacing w:before="124" w:line="500" w:lineRule="exact"/>
              <w:jc w:val="center"/>
              <w:textAlignment w:val="auto"/>
              <w:rPr>
                <w:rFonts w:hint="eastAsia" w:ascii="仿宋_GB2312" w:hAnsi="仿宋_GB2312" w:eastAsia="仿宋_GB2312" w:cs="仿宋_GB2312"/>
                <w:b w:val="0"/>
                <w:bCs w:val="0"/>
                <w:spacing w:val="-1"/>
                <w:sz w:val="28"/>
                <w:szCs w:val="28"/>
                <w:lang w:val="en-US" w:eastAsia="zh-Hans"/>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pacing w:val="-1"/>
                <w:sz w:val="28"/>
                <w:szCs w:val="28"/>
                <w:lang w:val="en-US" w:eastAsia="zh-Hans"/>
                <w14:textOutline w14:w="3831" w14:cap="flat" w14:cmpd="sng">
                  <w14:solidFill>
                    <w14:srgbClr w14:val="000000"/>
                  </w14:solidFill>
                  <w14:prstDash w14:val="solid"/>
                  <w14:miter w14:val="0"/>
                </w14:textOutline>
              </w:rPr>
              <w:t>成立日期</w:t>
            </w:r>
          </w:p>
        </w:tc>
        <w:tc>
          <w:tcPr>
            <w:tcW w:w="7266" w:type="dxa"/>
            <w:gridSpan w:val="3"/>
            <w:tcBorders>
              <w:tl2br w:val="nil"/>
              <w:tr2bl w:val="nil"/>
            </w:tcBorders>
            <w:shd w:val="clear" w:color="auto" w:fill="auto"/>
            <w:vAlign w:val="center"/>
          </w:tcPr>
          <w:p w14:paraId="33620C65">
            <w:pPr>
              <w:keepNext w:val="0"/>
              <w:keepLines w:val="0"/>
              <w:pageBreakBefore w:val="0"/>
              <w:kinsoku/>
              <w:wordWrap/>
              <w:overflowPunct/>
              <w:topLinePunct w:val="0"/>
              <w:bidi w:val="0"/>
              <w:spacing w:before="125" w:line="500" w:lineRule="exact"/>
              <w:ind w:firstLine="840" w:firstLineChars="3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Hans"/>
              </w:rPr>
              <w:t>年</w:t>
            </w:r>
            <w:r>
              <w:rPr>
                <w:rFonts w:hint="eastAsia" w:ascii="仿宋_GB2312" w:hAnsi="仿宋_GB2312" w:eastAsia="仿宋_GB2312" w:cs="仿宋_GB2312"/>
                <w:sz w:val="28"/>
                <w:szCs w:val="28"/>
                <w:lang w:eastAsia="zh-Hans"/>
              </w:rPr>
              <w:t xml:space="preserve">   </w:t>
            </w:r>
            <w:r>
              <w:rPr>
                <w:rFonts w:hint="eastAsia" w:ascii="仿宋_GB2312" w:hAnsi="仿宋_GB2312" w:eastAsia="仿宋_GB2312" w:cs="仿宋_GB2312"/>
                <w:sz w:val="28"/>
                <w:szCs w:val="28"/>
                <w:lang w:val="en-US" w:eastAsia="zh-Hans"/>
              </w:rPr>
              <w:t>月</w:t>
            </w:r>
            <w:r>
              <w:rPr>
                <w:rFonts w:hint="eastAsia" w:ascii="仿宋_GB2312" w:hAnsi="仿宋_GB2312" w:eastAsia="仿宋_GB2312" w:cs="仿宋_GB2312"/>
                <w:sz w:val="28"/>
                <w:szCs w:val="28"/>
                <w:lang w:eastAsia="zh-Hans"/>
              </w:rPr>
              <w:t xml:space="preserve">   </w:t>
            </w:r>
            <w:r>
              <w:rPr>
                <w:rFonts w:hint="eastAsia" w:ascii="仿宋_GB2312" w:hAnsi="仿宋_GB2312" w:eastAsia="仿宋_GB2312" w:cs="仿宋_GB2312"/>
                <w:sz w:val="28"/>
                <w:szCs w:val="28"/>
                <w:lang w:val="en-US" w:eastAsia="zh-Hans"/>
              </w:rPr>
              <w:t>日</w:t>
            </w:r>
          </w:p>
        </w:tc>
      </w:tr>
      <w:tr w14:paraId="7F5F58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10" w:hRule="atLeast"/>
        </w:trPr>
        <w:tc>
          <w:tcPr>
            <w:tcW w:w="2459" w:type="dxa"/>
            <w:tcBorders>
              <w:tl2br w:val="nil"/>
              <w:tr2bl w:val="nil"/>
            </w:tcBorders>
            <w:shd w:val="clear" w:color="auto" w:fill="auto"/>
            <w:vAlign w:val="center"/>
          </w:tcPr>
          <w:p w14:paraId="657974ED">
            <w:pPr>
              <w:keepNext w:val="0"/>
              <w:keepLines w:val="0"/>
              <w:pageBreakBefore w:val="0"/>
              <w:kinsoku/>
              <w:wordWrap/>
              <w:overflowPunct/>
              <w:topLinePunct w:val="0"/>
              <w:bidi w:val="0"/>
              <w:spacing w:before="124" w:line="500" w:lineRule="exact"/>
              <w:jc w:val="center"/>
              <w:textAlignment w:val="auto"/>
              <w:rPr>
                <w:rFonts w:hint="eastAsia" w:ascii="仿宋_GB2312" w:hAnsi="仿宋_GB2312" w:eastAsia="仿宋_GB2312" w:cs="仿宋_GB2312"/>
                <w:b w:val="0"/>
                <w:bCs w:val="0"/>
                <w:spacing w:val="-1"/>
                <w:sz w:val="28"/>
                <w:szCs w:val="28"/>
                <w:lang w:val="en-US" w:eastAsia="zh-Hans"/>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pacing w:val="-1"/>
                <w:sz w:val="28"/>
                <w:szCs w:val="28"/>
                <w:lang w:val="en-US" w:eastAsia="zh-Hans"/>
                <w14:textOutline w14:w="3831" w14:cap="flat" w14:cmpd="sng">
                  <w14:solidFill>
                    <w14:srgbClr w14:val="000000"/>
                  </w14:solidFill>
                  <w14:prstDash w14:val="solid"/>
                  <w14:miter w14:val="0"/>
                </w14:textOutline>
              </w:rPr>
              <w:t>营业期限</w:t>
            </w:r>
          </w:p>
        </w:tc>
        <w:tc>
          <w:tcPr>
            <w:tcW w:w="7266" w:type="dxa"/>
            <w:gridSpan w:val="3"/>
            <w:tcBorders>
              <w:tl2br w:val="nil"/>
              <w:tr2bl w:val="nil"/>
            </w:tcBorders>
            <w:shd w:val="clear" w:color="auto" w:fill="auto"/>
            <w:vAlign w:val="center"/>
          </w:tcPr>
          <w:p w14:paraId="0BE3B5A6">
            <w:pPr>
              <w:keepNext w:val="0"/>
              <w:keepLines w:val="0"/>
              <w:pageBreakBefore w:val="0"/>
              <w:kinsoku/>
              <w:wordWrap/>
              <w:overflowPunct/>
              <w:topLinePunct w:val="0"/>
              <w:bidi w:val="0"/>
              <w:spacing w:before="125" w:line="500" w:lineRule="exact"/>
              <w:ind w:firstLine="840" w:firstLineChars="3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Hans"/>
              </w:rPr>
              <w:t>年</w:t>
            </w:r>
            <w:r>
              <w:rPr>
                <w:rFonts w:hint="eastAsia" w:ascii="仿宋_GB2312" w:hAnsi="仿宋_GB2312" w:eastAsia="仿宋_GB2312" w:cs="仿宋_GB2312"/>
                <w:sz w:val="28"/>
                <w:szCs w:val="28"/>
                <w:lang w:eastAsia="zh-Hans"/>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val="en-US" w:eastAsia="zh-Hans"/>
              </w:rPr>
              <w:t>月</w:t>
            </w:r>
            <w:r>
              <w:rPr>
                <w:rFonts w:hint="eastAsia" w:ascii="仿宋_GB2312" w:hAnsi="仿宋_GB2312" w:eastAsia="仿宋_GB2312" w:cs="仿宋_GB2312"/>
                <w:sz w:val="28"/>
                <w:szCs w:val="28"/>
                <w:lang w:eastAsia="zh-Hans"/>
              </w:rPr>
              <w:t xml:space="preserve">   </w:t>
            </w:r>
            <w:r>
              <w:rPr>
                <w:rFonts w:hint="eastAsia" w:ascii="仿宋_GB2312" w:hAnsi="仿宋_GB2312" w:eastAsia="仿宋_GB2312" w:cs="仿宋_GB2312"/>
                <w:sz w:val="28"/>
                <w:szCs w:val="28"/>
                <w:lang w:val="en-US" w:eastAsia="zh-Hans"/>
              </w:rPr>
              <w:t>日至</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val="en-US" w:eastAsia="zh-Hans"/>
              </w:rPr>
              <w:t>年</w:t>
            </w:r>
            <w:r>
              <w:rPr>
                <w:rFonts w:hint="eastAsia" w:ascii="仿宋_GB2312" w:hAnsi="仿宋_GB2312" w:eastAsia="仿宋_GB2312" w:cs="仿宋_GB2312"/>
                <w:sz w:val="28"/>
                <w:szCs w:val="28"/>
                <w:lang w:eastAsia="zh-Hans"/>
              </w:rPr>
              <w:t xml:space="preserve">   </w:t>
            </w:r>
            <w:r>
              <w:rPr>
                <w:rFonts w:hint="eastAsia" w:ascii="仿宋_GB2312" w:hAnsi="仿宋_GB2312" w:eastAsia="仿宋_GB2312" w:cs="仿宋_GB2312"/>
                <w:sz w:val="28"/>
                <w:szCs w:val="28"/>
                <w:lang w:val="en-US" w:eastAsia="zh-Hans"/>
              </w:rPr>
              <w:t>月</w:t>
            </w:r>
            <w:r>
              <w:rPr>
                <w:rFonts w:hint="eastAsia" w:ascii="仿宋_GB2312" w:hAnsi="仿宋_GB2312" w:eastAsia="仿宋_GB2312" w:cs="仿宋_GB2312"/>
                <w:sz w:val="28"/>
                <w:szCs w:val="28"/>
                <w:lang w:eastAsia="zh-Hans"/>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val="en-US" w:eastAsia="zh-Hans"/>
              </w:rPr>
              <w:t>日</w:t>
            </w:r>
          </w:p>
        </w:tc>
      </w:tr>
      <w:tr w14:paraId="2CBDB8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10" w:hRule="atLeast"/>
        </w:trPr>
        <w:tc>
          <w:tcPr>
            <w:tcW w:w="2459" w:type="dxa"/>
            <w:tcBorders>
              <w:tl2br w:val="nil"/>
              <w:tr2bl w:val="nil"/>
            </w:tcBorders>
            <w:shd w:val="clear" w:color="auto" w:fill="auto"/>
            <w:vAlign w:val="center"/>
          </w:tcPr>
          <w:p w14:paraId="75957E65">
            <w:pPr>
              <w:keepNext w:val="0"/>
              <w:keepLines w:val="0"/>
              <w:pageBreakBefore w:val="0"/>
              <w:kinsoku/>
              <w:wordWrap/>
              <w:overflowPunct/>
              <w:topLinePunct w:val="0"/>
              <w:bidi w:val="0"/>
              <w:spacing w:before="125" w:line="500" w:lineRule="exact"/>
              <w:jc w:val="center"/>
              <w:textAlignment w:val="auto"/>
              <w:rPr>
                <w:rFonts w:hint="eastAsia" w:ascii="仿宋_GB2312" w:hAnsi="仿宋_GB2312" w:eastAsia="仿宋_GB2312" w:cs="仿宋_GB2312"/>
                <w:b w:val="0"/>
                <w:bCs w:val="0"/>
                <w:sz w:val="28"/>
                <w:szCs w:val="28"/>
                <w:lang w:eastAsia="zh-Hans"/>
              </w:rPr>
            </w:pPr>
            <w:r>
              <w:rPr>
                <w:rFonts w:hint="eastAsia" w:ascii="仿宋_GB2312" w:hAnsi="仿宋_GB2312" w:eastAsia="仿宋_GB2312" w:cs="仿宋_GB2312"/>
                <w:b w:val="0"/>
                <w:bCs w:val="0"/>
                <w:spacing w:val="-2"/>
                <w:sz w:val="28"/>
                <w:szCs w:val="28"/>
                <w:lang w:val="en-US" w:eastAsia="zh-Hans"/>
                <w14:textOutline w14:w="3831" w14:cap="flat" w14:cmpd="sng">
                  <w14:solidFill>
                    <w14:srgbClr w14:val="000000"/>
                  </w14:solidFill>
                  <w14:prstDash w14:val="solid"/>
                  <w14:miter w14:val="0"/>
                </w14:textOutline>
              </w:rPr>
              <w:t>注册地址</w:t>
            </w:r>
          </w:p>
        </w:tc>
        <w:tc>
          <w:tcPr>
            <w:tcW w:w="7266" w:type="dxa"/>
            <w:gridSpan w:val="3"/>
            <w:tcBorders>
              <w:tl2br w:val="nil"/>
              <w:tr2bl w:val="nil"/>
            </w:tcBorders>
            <w:shd w:val="clear" w:color="auto" w:fill="auto"/>
            <w:vAlign w:val="center"/>
          </w:tcPr>
          <w:p w14:paraId="137EC944">
            <w:pPr>
              <w:keepNext w:val="0"/>
              <w:keepLines w:val="0"/>
              <w:pageBreakBefore w:val="0"/>
              <w:kinsoku/>
              <w:wordWrap/>
              <w:overflowPunct/>
              <w:topLinePunct w:val="0"/>
              <w:bidi w:val="0"/>
              <w:spacing w:before="125" w:line="500" w:lineRule="exact"/>
              <w:jc w:val="both"/>
              <w:textAlignment w:val="auto"/>
              <w:rPr>
                <w:rFonts w:hint="eastAsia" w:ascii="仿宋_GB2312" w:hAnsi="仿宋_GB2312" w:eastAsia="仿宋_GB2312" w:cs="仿宋_GB2312"/>
                <w:sz w:val="28"/>
                <w:szCs w:val="28"/>
              </w:rPr>
            </w:pPr>
          </w:p>
        </w:tc>
      </w:tr>
      <w:tr w14:paraId="319BE2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459" w:type="dxa"/>
            <w:tcBorders>
              <w:tl2br w:val="nil"/>
              <w:tr2bl w:val="nil"/>
            </w:tcBorders>
            <w:shd w:val="clear" w:color="auto" w:fill="auto"/>
            <w:vAlign w:val="center"/>
          </w:tcPr>
          <w:p w14:paraId="7D418D81">
            <w:pPr>
              <w:keepNext w:val="0"/>
              <w:keepLines w:val="0"/>
              <w:pageBreakBefore w:val="0"/>
              <w:kinsoku/>
              <w:wordWrap/>
              <w:overflowPunct/>
              <w:topLinePunct w:val="0"/>
              <w:bidi w:val="0"/>
              <w:spacing w:before="125" w:line="500" w:lineRule="exact"/>
              <w:jc w:val="center"/>
              <w:textAlignment w:val="auto"/>
              <w:rPr>
                <w:rFonts w:hint="eastAsia" w:ascii="仿宋_GB2312" w:hAnsi="仿宋_GB2312" w:eastAsia="仿宋_GB2312" w:cs="仿宋_GB2312"/>
                <w:b w:val="0"/>
                <w:bCs w:val="0"/>
                <w:spacing w:val="-2"/>
                <w:sz w:val="28"/>
                <w:szCs w:val="28"/>
                <w:lang w:val="en-US" w:eastAsia="zh-Hans"/>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pacing w:val="-2"/>
                <w:sz w:val="28"/>
                <w:szCs w:val="28"/>
                <w:lang w:val="en-US" w:eastAsia="zh-Hans"/>
                <w14:textOutline w14:w="3831" w14:cap="flat" w14:cmpd="sng">
                  <w14:solidFill>
                    <w14:srgbClr w14:val="000000"/>
                  </w14:solidFill>
                  <w14:prstDash w14:val="solid"/>
                  <w14:miter w14:val="0"/>
                </w14:textOutline>
              </w:rPr>
              <w:t>办公地址</w:t>
            </w:r>
          </w:p>
        </w:tc>
        <w:tc>
          <w:tcPr>
            <w:tcW w:w="7266" w:type="dxa"/>
            <w:gridSpan w:val="3"/>
            <w:tcBorders>
              <w:tl2br w:val="nil"/>
              <w:tr2bl w:val="nil"/>
            </w:tcBorders>
            <w:shd w:val="clear" w:color="auto" w:fill="auto"/>
            <w:vAlign w:val="center"/>
          </w:tcPr>
          <w:p w14:paraId="54CCA343">
            <w:pPr>
              <w:keepNext w:val="0"/>
              <w:keepLines w:val="0"/>
              <w:pageBreakBefore w:val="0"/>
              <w:kinsoku/>
              <w:wordWrap/>
              <w:overflowPunct/>
              <w:topLinePunct w:val="0"/>
              <w:bidi w:val="0"/>
              <w:spacing w:before="125" w:line="500" w:lineRule="exact"/>
              <w:jc w:val="both"/>
              <w:textAlignment w:val="auto"/>
              <w:rPr>
                <w:rFonts w:hint="eastAsia" w:ascii="仿宋_GB2312" w:hAnsi="仿宋_GB2312" w:eastAsia="仿宋_GB2312" w:cs="仿宋_GB2312"/>
                <w:sz w:val="28"/>
                <w:szCs w:val="28"/>
              </w:rPr>
            </w:pPr>
          </w:p>
        </w:tc>
      </w:tr>
      <w:tr w14:paraId="07EEC8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10" w:hRule="atLeast"/>
        </w:trPr>
        <w:tc>
          <w:tcPr>
            <w:tcW w:w="2459" w:type="dxa"/>
            <w:tcBorders>
              <w:tl2br w:val="nil"/>
              <w:tr2bl w:val="nil"/>
            </w:tcBorders>
            <w:shd w:val="clear" w:color="auto" w:fill="auto"/>
            <w:vAlign w:val="center"/>
          </w:tcPr>
          <w:p w14:paraId="61DEC308">
            <w:pPr>
              <w:keepNext w:val="0"/>
              <w:keepLines w:val="0"/>
              <w:pageBreakBefore w:val="0"/>
              <w:kinsoku/>
              <w:wordWrap/>
              <w:overflowPunct/>
              <w:topLinePunct w:val="0"/>
              <w:bidi w:val="0"/>
              <w:spacing w:before="125" w:line="500" w:lineRule="exact"/>
              <w:jc w:val="center"/>
              <w:textAlignment w:val="auto"/>
              <w:rPr>
                <w:rFonts w:hint="default" w:ascii="仿宋_GB2312" w:hAnsi="仿宋_GB2312" w:eastAsia="仿宋_GB2312" w:cs="仿宋_GB2312"/>
                <w:b w:val="0"/>
                <w:bCs w:val="0"/>
                <w:spacing w:val="-2"/>
                <w:sz w:val="28"/>
                <w:szCs w:val="28"/>
                <w:lang w:val="en-US" w:eastAsia="zh-CN"/>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pacing w:val="-2"/>
                <w:sz w:val="28"/>
                <w:szCs w:val="28"/>
                <w:lang w:val="en-US" w:eastAsia="zh-CN"/>
                <w14:textOutline w14:w="3831" w14:cap="flat" w14:cmpd="sng">
                  <w14:solidFill>
                    <w14:srgbClr w14:val="000000"/>
                  </w14:solidFill>
                  <w14:prstDash w14:val="solid"/>
                  <w14:miter w14:val="0"/>
                </w14:textOutline>
              </w:rPr>
              <w:t>投标联系人</w:t>
            </w:r>
          </w:p>
        </w:tc>
        <w:tc>
          <w:tcPr>
            <w:tcW w:w="7266" w:type="dxa"/>
            <w:gridSpan w:val="3"/>
            <w:tcBorders>
              <w:tl2br w:val="nil"/>
              <w:tr2bl w:val="nil"/>
            </w:tcBorders>
            <w:shd w:val="clear" w:color="auto" w:fill="auto"/>
            <w:vAlign w:val="center"/>
          </w:tcPr>
          <w:p w14:paraId="5E96445B">
            <w:pPr>
              <w:keepNext w:val="0"/>
              <w:keepLines w:val="0"/>
              <w:pageBreakBefore w:val="0"/>
              <w:kinsoku/>
              <w:wordWrap/>
              <w:overflowPunct/>
              <w:topLinePunct w:val="0"/>
              <w:bidi w:val="0"/>
              <w:spacing w:before="125" w:line="500" w:lineRule="exact"/>
              <w:jc w:val="both"/>
              <w:textAlignment w:val="auto"/>
              <w:rPr>
                <w:rFonts w:hint="eastAsia" w:ascii="仿宋_GB2312" w:hAnsi="仿宋_GB2312" w:eastAsia="仿宋_GB2312" w:cs="仿宋_GB2312"/>
                <w:sz w:val="28"/>
                <w:szCs w:val="28"/>
              </w:rPr>
            </w:pPr>
          </w:p>
        </w:tc>
      </w:tr>
      <w:tr w14:paraId="3C8A43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459" w:type="dxa"/>
            <w:tcBorders>
              <w:tl2br w:val="nil"/>
              <w:tr2bl w:val="nil"/>
            </w:tcBorders>
            <w:shd w:val="clear" w:color="auto" w:fill="auto"/>
            <w:vAlign w:val="center"/>
          </w:tcPr>
          <w:p w14:paraId="21FB301C">
            <w:pPr>
              <w:keepNext w:val="0"/>
              <w:keepLines w:val="0"/>
              <w:pageBreakBefore w:val="0"/>
              <w:kinsoku/>
              <w:wordWrap/>
              <w:overflowPunct/>
              <w:topLinePunct w:val="0"/>
              <w:bidi w:val="0"/>
              <w:spacing w:before="125" w:line="500" w:lineRule="exact"/>
              <w:jc w:val="center"/>
              <w:textAlignment w:val="auto"/>
              <w:rPr>
                <w:rFonts w:hint="eastAsia" w:ascii="仿宋_GB2312" w:hAnsi="仿宋_GB2312" w:eastAsia="仿宋_GB2312" w:cs="仿宋_GB2312"/>
                <w:b w:val="0"/>
                <w:bCs w:val="0"/>
                <w:spacing w:val="-2"/>
                <w:sz w:val="28"/>
                <w:szCs w:val="28"/>
                <w:lang w:val="en-US" w:eastAsia="zh-Hans"/>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pacing w:val="-2"/>
                <w:sz w:val="28"/>
                <w:szCs w:val="28"/>
                <w:lang w:val="en-US" w:eastAsia="zh-CN"/>
                <w14:textOutline w14:w="3831" w14:cap="flat" w14:cmpd="sng">
                  <w14:solidFill>
                    <w14:srgbClr w14:val="000000"/>
                  </w14:solidFill>
                  <w14:prstDash w14:val="solid"/>
                  <w14:miter w14:val="0"/>
                </w14:textOutline>
              </w:rPr>
              <w:t>投标</w:t>
            </w:r>
            <w:r>
              <w:rPr>
                <w:rFonts w:hint="eastAsia" w:ascii="仿宋_GB2312" w:hAnsi="仿宋_GB2312" w:eastAsia="仿宋_GB2312" w:cs="仿宋_GB2312"/>
                <w:b w:val="0"/>
                <w:bCs w:val="0"/>
                <w:spacing w:val="-2"/>
                <w:sz w:val="28"/>
                <w:szCs w:val="28"/>
                <w:lang w:val="en-US" w:eastAsia="zh-Hans"/>
                <w14:textOutline w14:w="3831" w14:cap="flat" w14:cmpd="sng">
                  <w14:solidFill>
                    <w14:srgbClr w14:val="000000"/>
                  </w14:solidFill>
                  <w14:prstDash w14:val="solid"/>
                  <w14:miter w14:val="0"/>
                </w14:textOutline>
              </w:rPr>
              <w:t>联系电话</w:t>
            </w:r>
          </w:p>
        </w:tc>
        <w:tc>
          <w:tcPr>
            <w:tcW w:w="7266" w:type="dxa"/>
            <w:gridSpan w:val="3"/>
            <w:tcBorders>
              <w:tl2br w:val="nil"/>
              <w:tr2bl w:val="nil"/>
            </w:tcBorders>
            <w:shd w:val="clear" w:color="auto" w:fill="auto"/>
            <w:vAlign w:val="center"/>
          </w:tcPr>
          <w:p w14:paraId="3B5F2E86">
            <w:pPr>
              <w:keepNext w:val="0"/>
              <w:keepLines w:val="0"/>
              <w:pageBreakBefore w:val="0"/>
              <w:kinsoku/>
              <w:wordWrap/>
              <w:overflowPunct/>
              <w:topLinePunct w:val="0"/>
              <w:bidi w:val="0"/>
              <w:spacing w:before="125" w:line="500" w:lineRule="exact"/>
              <w:jc w:val="both"/>
              <w:textAlignment w:val="auto"/>
              <w:rPr>
                <w:rFonts w:hint="eastAsia" w:ascii="仿宋_GB2312" w:hAnsi="仿宋_GB2312" w:eastAsia="仿宋_GB2312" w:cs="仿宋_GB2312"/>
                <w:sz w:val="28"/>
                <w:szCs w:val="28"/>
              </w:rPr>
            </w:pPr>
          </w:p>
        </w:tc>
      </w:tr>
      <w:tr w14:paraId="75D31A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10" w:hRule="atLeast"/>
        </w:trPr>
        <w:tc>
          <w:tcPr>
            <w:tcW w:w="2459" w:type="dxa"/>
            <w:tcBorders>
              <w:tl2br w:val="nil"/>
              <w:tr2bl w:val="nil"/>
            </w:tcBorders>
            <w:shd w:val="clear" w:color="auto" w:fill="auto"/>
            <w:vAlign w:val="center"/>
          </w:tcPr>
          <w:p w14:paraId="2B715A2F">
            <w:pPr>
              <w:keepNext w:val="0"/>
              <w:keepLines w:val="0"/>
              <w:pageBreakBefore w:val="0"/>
              <w:kinsoku/>
              <w:wordWrap/>
              <w:overflowPunct/>
              <w:topLinePunct w:val="0"/>
              <w:bidi w:val="0"/>
              <w:spacing w:before="125" w:line="500" w:lineRule="exact"/>
              <w:jc w:val="center"/>
              <w:textAlignment w:val="auto"/>
              <w:rPr>
                <w:rFonts w:hint="default" w:ascii="仿宋_GB2312" w:hAnsi="仿宋_GB2312" w:eastAsia="仿宋_GB2312" w:cs="仿宋_GB2312"/>
                <w:b w:val="0"/>
                <w:bCs w:val="0"/>
                <w:spacing w:val="-2"/>
                <w:sz w:val="28"/>
                <w:szCs w:val="28"/>
                <w:lang w:val="en-US" w:eastAsia="zh-CN"/>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pacing w:val="-2"/>
                <w:sz w:val="28"/>
                <w:szCs w:val="28"/>
                <w:lang w:val="en-US" w:eastAsia="zh-CN"/>
                <w14:textOutline w14:w="3831" w14:cap="flat" w14:cmpd="sng">
                  <w14:solidFill>
                    <w14:srgbClr w14:val="000000"/>
                  </w14:solidFill>
                  <w14:prstDash w14:val="solid"/>
                  <w14:miter w14:val="0"/>
                </w14:textOutline>
              </w:rPr>
              <w:t>投标人邮箱</w:t>
            </w:r>
          </w:p>
        </w:tc>
        <w:tc>
          <w:tcPr>
            <w:tcW w:w="7266" w:type="dxa"/>
            <w:gridSpan w:val="3"/>
            <w:tcBorders>
              <w:tl2br w:val="nil"/>
              <w:tr2bl w:val="nil"/>
            </w:tcBorders>
            <w:shd w:val="clear" w:color="auto" w:fill="auto"/>
            <w:vAlign w:val="center"/>
          </w:tcPr>
          <w:p w14:paraId="447DCE91">
            <w:pPr>
              <w:keepNext w:val="0"/>
              <w:keepLines w:val="0"/>
              <w:pageBreakBefore w:val="0"/>
              <w:kinsoku/>
              <w:wordWrap/>
              <w:overflowPunct/>
              <w:topLinePunct w:val="0"/>
              <w:bidi w:val="0"/>
              <w:spacing w:before="125" w:line="500" w:lineRule="exact"/>
              <w:jc w:val="both"/>
              <w:textAlignment w:val="auto"/>
              <w:rPr>
                <w:rFonts w:hint="eastAsia" w:ascii="仿宋_GB2312" w:hAnsi="仿宋_GB2312" w:eastAsia="仿宋_GB2312" w:cs="仿宋_GB2312"/>
                <w:sz w:val="28"/>
                <w:szCs w:val="28"/>
              </w:rPr>
            </w:pPr>
          </w:p>
        </w:tc>
      </w:tr>
      <w:tr w14:paraId="7EC331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42" w:hRule="atLeast"/>
        </w:trPr>
        <w:tc>
          <w:tcPr>
            <w:tcW w:w="2459" w:type="dxa"/>
            <w:tcBorders>
              <w:tl2br w:val="nil"/>
              <w:tr2bl w:val="nil"/>
            </w:tcBorders>
            <w:shd w:val="clear" w:color="auto" w:fill="auto"/>
            <w:vAlign w:val="center"/>
          </w:tcPr>
          <w:p w14:paraId="36339094">
            <w:pPr>
              <w:keepNext w:val="0"/>
              <w:keepLines w:val="0"/>
              <w:pageBreakBefore w:val="0"/>
              <w:kinsoku/>
              <w:wordWrap/>
              <w:overflowPunct/>
              <w:topLinePunct w:val="0"/>
              <w:bidi w:val="0"/>
              <w:spacing w:before="69" w:line="5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14:textOutline w14:w="3831" w14:cap="flat" w14:cmpd="sng">
                  <w14:solidFill>
                    <w14:srgbClr w14:val="000000"/>
                  </w14:solidFill>
                  <w14:prstDash w14:val="solid"/>
                  <w14:miter w14:val="0"/>
                </w14:textOutline>
              </w:rPr>
              <w:t>经营范围</w:t>
            </w:r>
          </w:p>
        </w:tc>
        <w:tc>
          <w:tcPr>
            <w:tcW w:w="7266" w:type="dxa"/>
            <w:gridSpan w:val="3"/>
            <w:tcBorders>
              <w:tl2br w:val="nil"/>
              <w:tr2bl w:val="nil"/>
            </w:tcBorders>
            <w:shd w:val="clear" w:color="auto" w:fill="auto"/>
            <w:vAlign w:val="center"/>
          </w:tcPr>
          <w:p w14:paraId="11C256E9">
            <w:pPr>
              <w:keepNext w:val="0"/>
              <w:keepLines w:val="0"/>
              <w:pageBreakBefore w:val="0"/>
              <w:kinsoku/>
              <w:wordWrap/>
              <w:overflowPunct/>
              <w:topLinePunct w:val="0"/>
              <w:bidi w:val="0"/>
              <w:spacing w:before="53" w:line="500" w:lineRule="exact"/>
              <w:ind w:right="311"/>
              <w:jc w:val="both"/>
              <w:textAlignment w:val="auto"/>
              <w:rPr>
                <w:rFonts w:hint="eastAsia" w:ascii="仿宋_GB2312" w:hAnsi="仿宋_GB2312" w:eastAsia="仿宋_GB2312" w:cs="仿宋_GB2312"/>
                <w:sz w:val="28"/>
                <w:szCs w:val="28"/>
              </w:rPr>
            </w:pPr>
          </w:p>
        </w:tc>
      </w:tr>
      <w:tr w14:paraId="61659B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459" w:type="dxa"/>
            <w:vMerge w:val="restart"/>
            <w:tcBorders>
              <w:tl2br w:val="nil"/>
              <w:tr2bl w:val="nil"/>
            </w:tcBorders>
            <w:shd w:val="clear" w:color="auto" w:fill="auto"/>
            <w:vAlign w:val="center"/>
          </w:tcPr>
          <w:p w14:paraId="18C7FF01">
            <w:pPr>
              <w:keepNext w:val="0"/>
              <w:keepLines w:val="0"/>
              <w:pageBreakBefore w:val="0"/>
              <w:kinsoku/>
              <w:wordWrap/>
              <w:overflowPunct/>
              <w:topLinePunct w:val="0"/>
              <w:bidi w:val="0"/>
              <w:spacing w:before="69" w:line="5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14:textOutline w14:w="3831" w14:cap="flat" w14:cmpd="sng">
                  <w14:solidFill>
                    <w14:srgbClr w14:val="000000"/>
                  </w14:solidFill>
                  <w14:prstDash w14:val="solid"/>
                  <w14:miter w14:val="0"/>
                </w14:textOutline>
              </w:rPr>
              <w:t>股权结</w:t>
            </w:r>
            <w:r>
              <w:rPr>
                <w:rFonts w:hint="eastAsia" w:ascii="仿宋_GB2312" w:hAnsi="仿宋_GB2312" w:eastAsia="仿宋_GB2312" w:cs="仿宋_GB2312"/>
                <w:sz w:val="28"/>
                <w:szCs w:val="28"/>
                <w14:textOutline w14:w="3831" w14:cap="flat" w14:cmpd="sng">
                  <w14:solidFill>
                    <w14:srgbClr w14:val="000000"/>
                  </w14:solidFill>
                  <w14:prstDash w14:val="solid"/>
                  <w14:miter w14:val="0"/>
                </w14:textOutline>
              </w:rPr>
              <w:t>构</w:t>
            </w:r>
          </w:p>
        </w:tc>
        <w:tc>
          <w:tcPr>
            <w:tcW w:w="2908" w:type="dxa"/>
            <w:tcBorders>
              <w:tl2br w:val="nil"/>
              <w:tr2bl w:val="nil"/>
            </w:tcBorders>
            <w:shd w:val="clear" w:color="auto" w:fill="auto"/>
            <w:vAlign w:val="center"/>
          </w:tcPr>
          <w:p w14:paraId="423A5810">
            <w:pPr>
              <w:keepNext w:val="0"/>
              <w:keepLines w:val="0"/>
              <w:pageBreakBefore w:val="0"/>
              <w:kinsoku/>
              <w:wordWrap/>
              <w:overflowPunct/>
              <w:topLinePunct w:val="0"/>
              <w:bidi w:val="0"/>
              <w:spacing w:before="121" w:line="5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14:textOutline w14:w="3831" w14:cap="flat" w14:cmpd="sng">
                  <w14:solidFill>
                    <w14:srgbClr w14:val="000000"/>
                  </w14:solidFill>
                  <w14:prstDash w14:val="solid"/>
                  <w14:miter w14:val="0"/>
                </w14:textOutline>
              </w:rPr>
              <w:t>股</w:t>
            </w:r>
            <w:r>
              <w:rPr>
                <w:rFonts w:hint="eastAsia" w:ascii="仿宋_GB2312" w:hAnsi="仿宋_GB2312" w:eastAsia="仿宋_GB2312" w:cs="仿宋_GB2312"/>
                <w:spacing w:val="-1"/>
                <w:sz w:val="28"/>
                <w:szCs w:val="28"/>
                <w14:textOutline w14:w="3831" w14:cap="flat" w14:cmpd="sng">
                  <w14:solidFill>
                    <w14:srgbClr w14:val="000000"/>
                  </w14:solidFill>
                  <w14:prstDash w14:val="solid"/>
                  <w14:miter w14:val="0"/>
                </w14:textOutline>
              </w:rPr>
              <w:t>东</w:t>
            </w:r>
          </w:p>
        </w:tc>
        <w:tc>
          <w:tcPr>
            <w:tcW w:w="2277" w:type="dxa"/>
            <w:tcBorders>
              <w:tl2br w:val="nil"/>
              <w:tr2bl w:val="nil"/>
            </w:tcBorders>
            <w:shd w:val="clear" w:color="auto" w:fill="auto"/>
            <w:vAlign w:val="center"/>
          </w:tcPr>
          <w:p w14:paraId="70569640">
            <w:pPr>
              <w:keepNext w:val="0"/>
              <w:keepLines w:val="0"/>
              <w:pageBreakBefore w:val="0"/>
              <w:kinsoku/>
              <w:wordWrap/>
              <w:overflowPunct/>
              <w:topLinePunct w:val="0"/>
              <w:bidi w:val="0"/>
              <w:spacing w:before="121" w:line="5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2"/>
                <w:sz w:val="28"/>
                <w:szCs w:val="28"/>
                <w14:textOutline w14:w="3831" w14:cap="flat" w14:cmpd="sng">
                  <w14:solidFill>
                    <w14:srgbClr w14:val="000000"/>
                  </w14:solidFill>
                  <w14:prstDash w14:val="solid"/>
                  <w14:miter w14:val="0"/>
                </w14:textOutline>
              </w:rPr>
              <w:t>出</w:t>
            </w:r>
            <w:r>
              <w:rPr>
                <w:rFonts w:hint="eastAsia" w:ascii="仿宋_GB2312" w:hAnsi="仿宋_GB2312" w:eastAsia="仿宋_GB2312" w:cs="仿宋_GB2312"/>
                <w:spacing w:val="10"/>
                <w:sz w:val="28"/>
                <w:szCs w:val="28"/>
                <w14:textOutline w14:w="3831" w14:cap="flat" w14:cmpd="sng">
                  <w14:solidFill>
                    <w14:srgbClr w14:val="000000"/>
                  </w14:solidFill>
                  <w14:prstDash w14:val="solid"/>
                  <w14:miter w14:val="0"/>
                </w14:textOutline>
              </w:rPr>
              <w:t>资额(万元)</w:t>
            </w:r>
          </w:p>
        </w:tc>
        <w:tc>
          <w:tcPr>
            <w:tcW w:w="2081" w:type="dxa"/>
            <w:tcBorders>
              <w:tl2br w:val="nil"/>
              <w:tr2bl w:val="nil"/>
            </w:tcBorders>
            <w:shd w:val="clear" w:color="auto" w:fill="auto"/>
            <w:vAlign w:val="center"/>
          </w:tcPr>
          <w:p w14:paraId="00CA9E00">
            <w:pPr>
              <w:keepNext w:val="0"/>
              <w:keepLines w:val="0"/>
              <w:pageBreakBefore w:val="0"/>
              <w:kinsoku/>
              <w:wordWrap/>
              <w:overflowPunct/>
              <w:topLinePunct w:val="0"/>
              <w:bidi w:val="0"/>
              <w:spacing w:before="122" w:line="5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14:textOutline w14:w="3831" w14:cap="flat" w14:cmpd="sng">
                  <w14:solidFill>
                    <w14:srgbClr w14:val="000000"/>
                  </w14:solidFill>
                  <w14:prstDash w14:val="solid"/>
                  <w14:miter w14:val="0"/>
                </w14:textOutline>
              </w:rPr>
              <w:t>出</w:t>
            </w:r>
            <w:r>
              <w:rPr>
                <w:rFonts w:hint="eastAsia" w:ascii="仿宋_GB2312" w:hAnsi="仿宋_GB2312" w:eastAsia="仿宋_GB2312" w:cs="仿宋_GB2312"/>
                <w:spacing w:val="-4"/>
                <w:sz w:val="28"/>
                <w:szCs w:val="28"/>
                <w14:textOutline w14:w="3831" w14:cap="flat" w14:cmpd="sng">
                  <w14:solidFill>
                    <w14:srgbClr w14:val="000000"/>
                  </w14:solidFill>
                  <w14:prstDash w14:val="solid"/>
                  <w14:miter w14:val="0"/>
                </w14:textOutline>
              </w:rPr>
              <w:t>资比例</w:t>
            </w:r>
          </w:p>
        </w:tc>
      </w:tr>
      <w:tr w14:paraId="67D6E7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10" w:hRule="atLeast"/>
        </w:trPr>
        <w:tc>
          <w:tcPr>
            <w:tcW w:w="2459" w:type="dxa"/>
            <w:vMerge w:val="continue"/>
            <w:tcBorders>
              <w:tl2br w:val="nil"/>
              <w:tr2bl w:val="nil"/>
            </w:tcBorders>
            <w:shd w:val="clear" w:color="auto" w:fill="auto"/>
            <w:vAlign w:val="center"/>
          </w:tcPr>
          <w:p w14:paraId="1D3A3E2B">
            <w:pPr>
              <w:keepNext w:val="0"/>
              <w:keepLines w:val="0"/>
              <w:pageBreakBefore w:val="0"/>
              <w:kinsoku/>
              <w:wordWrap/>
              <w:overflowPunct/>
              <w:topLinePunct w:val="0"/>
              <w:bidi w:val="0"/>
              <w:spacing w:line="500" w:lineRule="exact"/>
              <w:jc w:val="center"/>
              <w:textAlignment w:val="auto"/>
              <w:rPr>
                <w:rFonts w:hint="eastAsia" w:ascii="仿宋_GB2312" w:hAnsi="仿宋_GB2312" w:eastAsia="仿宋_GB2312" w:cs="仿宋_GB2312"/>
                <w:sz w:val="28"/>
                <w:szCs w:val="28"/>
              </w:rPr>
            </w:pPr>
          </w:p>
        </w:tc>
        <w:tc>
          <w:tcPr>
            <w:tcW w:w="2908" w:type="dxa"/>
            <w:tcBorders>
              <w:tl2br w:val="nil"/>
              <w:tr2bl w:val="nil"/>
            </w:tcBorders>
            <w:shd w:val="clear" w:color="auto" w:fill="auto"/>
            <w:vAlign w:val="center"/>
          </w:tcPr>
          <w:p w14:paraId="5B0577CE">
            <w:pPr>
              <w:keepNext w:val="0"/>
              <w:keepLines w:val="0"/>
              <w:pageBreakBefore w:val="0"/>
              <w:kinsoku/>
              <w:wordWrap/>
              <w:overflowPunct/>
              <w:topLinePunct w:val="0"/>
              <w:bidi w:val="0"/>
              <w:spacing w:before="85" w:line="500" w:lineRule="exact"/>
              <w:ind w:left="962" w:right="107" w:hanging="845"/>
              <w:jc w:val="center"/>
              <w:textAlignment w:val="auto"/>
              <w:rPr>
                <w:rFonts w:hint="eastAsia" w:ascii="仿宋_GB2312" w:hAnsi="仿宋_GB2312" w:eastAsia="仿宋_GB2312" w:cs="仿宋_GB2312"/>
                <w:sz w:val="28"/>
                <w:szCs w:val="28"/>
              </w:rPr>
            </w:pPr>
          </w:p>
        </w:tc>
        <w:tc>
          <w:tcPr>
            <w:tcW w:w="2277" w:type="dxa"/>
            <w:tcBorders>
              <w:tl2br w:val="nil"/>
              <w:tr2bl w:val="nil"/>
            </w:tcBorders>
            <w:shd w:val="clear" w:color="auto" w:fill="auto"/>
            <w:vAlign w:val="center"/>
          </w:tcPr>
          <w:p w14:paraId="14E6FC74">
            <w:pPr>
              <w:keepNext w:val="0"/>
              <w:keepLines w:val="0"/>
              <w:pageBreakBefore w:val="0"/>
              <w:kinsoku/>
              <w:wordWrap/>
              <w:overflowPunct/>
              <w:topLinePunct w:val="0"/>
              <w:bidi w:val="0"/>
              <w:spacing w:before="275" w:line="500" w:lineRule="exact"/>
              <w:ind w:left="521"/>
              <w:jc w:val="center"/>
              <w:textAlignment w:val="auto"/>
              <w:rPr>
                <w:rFonts w:hint="eastAsia" w:ascii="仿宋_GB2312" w:hAnsi="仿宋_GB2312" w:eastAsia="仿宋_GB2312" w:cs="仿宋_GB2312"/>
                <w:sz w:val="28"/>
                <w:szCs w:val="28"/>
              </w:rPr>
            </w:pPr>
          </w:p>
        </w:tc>
        <w:tc>
          <w:tcPr>
            <w:tcW w:w="2081" w:type="dxa"/>
            <w:tcBorders>
              <w:tl2br w:val="nil"/>
              <w:tr2bl w:val="nil"/>
            </w:tcBorders>
            <w:shd w:val="clear" w:color="auto" w:fill="auto"/>
            <w:vAlign w:val="center"/>
          </w:tcPr>
          <w:p w14:paraId="256445F5">
            <w:pPr>
              <w:keepNext w:val="0"/>
              <w:keepLines w:val="0"/>
              <w:pageBreakBefore w:val="0"/>
              <w:kinsoku/>
              <w:wordWrap/>
              <w:overflowPunct/>
              <w:topLinePunct w:val="0"/>
              <w:bidi w:val="0"/>
              <w:spacing w:before="275" w:line="500" w:lineRule="exact"/>
              <w:ind w:left="496"/>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r>
      <w:tr w14:paraId="423F22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459" w:type="dxa"/>
            <w:vMerge w:val="continue"/>
            <w:tcBorders>
              <w:tl2br w:val="nil"/>
              <w:tr2bl w:val="nil"/>
            </w:tcBorders>
            <w:shd w:val="clear" w:color="auto" w:fill="auto"/>
            <w:vAlign w:val="center"/>
          </w:tcPr>
          <w:p w14:paraId="528E456A">
            <w:pPr>
              <w:keepNext w:val="0"/>
              <w:keepLines w:val="0"/>
              <w:pageBreakBefore w:val="0"/>
              <w:kinsoku/>
              <w:wordWrap/>
              <w:overflowPunct/>
              <w:topLinePunct w:val="0"/>
              <w:bidi w:val="0"/>
              <w:spacing w:line="500" w:lineRule="exact"/>
              <w:jc w:val="center"/>
              <w:textAlignment w:val="auto"/>
              <w:rPr>
                <w:rFonts w:hint="eastAsia" w:ascii="仿宋_GB2312" w:hAnsi="仿宋_GB2312" w:eastAsia="仿宋_GB2312" w:cs="仿宋_GB2312"/>
                <w:sz w:val="28"/>
                <w:szCs w:val="28"/>
              </w:rPr>
            </w:pPr>
          </w:p>
        </w:tc>
        <w:tc>
          <w:tcPr>
            <w:tcW w:w="2908" w:type="dxa"/>
            <w:tcBorders>
              <w:tl2br w:val="nil"/>
              <w:tr2bl w:val="nil"/>
            </w:tcBorders>
            <w:shd w:val="clear" w:color="auto" w:fill="auto"/>
            <w:vAlign w:val="center"/>
          </w:tcPr>
          <w:p w14:paraId="75C43755">
            <w:pPr>
              <w:keepNext w:val="0"/>
              <w:keepLines w:val="0"/>
              <w:pageBreakBefore w:val="0"/>
              <w:kinsoku/>
              <w:wordWrap/>
              <w:overflowPunct/>
              <w:topLinePunct w:val="0"/>
              <w:bidi w:val="0"/>
              <w:spacing w:before="85" w:line="500" w:lineRule="exact"/>
              <w:ind w:left="962" w:right="107" w:hanging="845"/>
              <w:jc w:val="center"/>
              <w:textAlignment w:val="auto"/>
              <w:rPr>
                <w:rFonts w:hint="eastAsia" w:ascii="仿宋_GB2312" w:hAnsi="仿宋_GB2312" w:eastAsia="仿宋_GB2312" w:cs="仿宋_GB2312"/>
                <w:sz w:val="28"/>
                <w:szCs w:val="28"/>
              </w:rPr>
            </w:pPr>
          </w:p>
        </w:tc>
        <w:tc>
          <w:tcPr>
            <w:tcW w:w="2277" w:type="dxa"/>
            <w:tcBorders>
              <w:tl2br w:val="nil"/>
              <w:tr2bl w:val="nil"/>
            </w:tcBorders>
            <w:shd w:val="clear" w:color="auto" w:fill="auto"/>
            <w:vAlign w:val="center"/>
          </w:tcPr>
          <w:p w14:paraId="38904236">
            <w:pPr>
              <w:keepNext w:val="0"/>
              <w:keepLines w:val="0"/>
              <w:pageBreakBefore w:val="0"/>
              <w:kinsoku/>
              <w:wordWrap/>
              <w:overflowPunct/>
              <w:topLinePunct w:val="0"/>
              <w:bidi w:val="0"/>
              <w:spacing w:before="275" w:line="500" w:lineRule="exact"/>
              <w:ind w:left="521"/>
              <w:jc w:val="center"/>
              <w:textAlignment w:val="auto"/>
              <w:rPr>
                <w:rFonts w:hint="eastAsia" w:ascii="仿宋_GB2312" w:hAnsi="仿宋_GB2312" w:eastAsia="仿宋_GB2312" w:cs="仿宋_GB2312"/>
                <w:sz w:val="28"/>
                <w:szCs w:val="28"/>
              </w:rPr>
            </w:pPr>
          </w:p>
        </w:tc>
        <w:tc>
          <w:tcPr>
            <w:tcW w:w="2081" w:type="dxa"/>
            <w:tcBorders>
              <w:tl2br w:val="nil"/>
              <w:tr2bl w:val="nil"/>
            </w:tcBorders>
            <w:shd w:val="clear" w:color="auto" w:fill="auto"/>
            <w:vAlign w:val="center"/>
          </w:tcPr>
          <w:p w14:paraId="0E3D2AC5">
            <w:pPr>
              <w:keepNext w:val="0"/>
              <w:keepLines w:val="0"/>
              <w:pageBreakBefore w:val="0"/>
              <w:kinsoku/>
              <w:wordWrap/>
              <w:overflowPunct/>
              <w:topLinePunct w:val="0"/>
              <w:bidi w:val="0"/>
              <w:spacing w:before="275" w:line="500" w:lineRule="exact"/>
              <w:ind w:left="496"/>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r>
      <w:tr w14:paraId="49077A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367" w:type="dxa"/>
            <w:gridSpan w:val="2"/>
            <w:tcBorders>
              <w:tl2br w:val="nil"/>
              <w:tr2bl w:val="nil"/>
            </w:tcBorders>
            <w:shd w:val="clear" w:color="auto" w:fill="auto"/>
            <w:vAlign w:val="center"/>
          </w:tcPr>
          <w:p w14:paraId="0B332F30">
            <w:pPr>
              <w:keepNext w:val="0"/>
              <w:keepLines w:val="0"/>
              <w:pageBreakBefore w:val="0"/>
              <w:kinsoku/>
              <w:wordWrap/>
              <w:overflowPunct/>
              <w:topLinePunct w:val="0"/>
              <w:bidi w:val="0"/>
              <w:spacing w:before="121" w:line="500" w:lineRule="exact"/>
              <w:jc w:val="center"/>
              <w:textAlignment w:val="auto"/>
              <w:rPr>
                <w:rFonts w:hint="eastAsia" w:ascii="仿宋_GB2312" w:hAnsi="仿宋_GB2312" w:eastAsia="仿宋_GB2312" w:cs="仿宋_GB2312"/>
                <w:spacing w:val="10"/>
                <w:sz w:val="28"/>
                <w:szCs w:val="28"/>
                <w14:textOutline w14:w="3831" w14:cap="flat" w14:cmpd="sng">
                  <w14:solidFill>
                    <w14:srgbClr w14:val="000000"/>
                  </w14:solidFill>
                  <w14:prstDash w14:val="solid"/>
                  <w14:miter w14:val="0"/>
                </w14:textOutline>
              </w:rPr>
            </w:pPr>
            <w:r>
              <w:rPr>
                <w:rFonts w:hint="eastAsia" w:ascii="仿宋_GB2312" w:hAnsi="仿宋_GB2312" w:eastAsia="仿宋_GB2312" w:cs="仿宋_GB2312"/>
                <w:spacing w:val="10"/>
                <w:sz w:val="28"/>
                <w:szCs w:val="28"/>
                <w:lang w:val="en-US" w:eastAsia="zh-CN"/>
                <w14:textOutline w14:w="3831" w14:cap="flat" w14:cmpd="sng">
                  <w14:solidFill>
                    <w14:srgbClr w14:val="000000"/>
                  </w14:solidFill>
                  <w14:prstDash w14:val="solid"/>
                  <w14:miter w14:val="0"/>
                </w14:textOutline>
              </w:rPr>
              <w:t>资质名称</w:t>
            </w:r>
          </w:p>
        </w:tc>
        <w:tc>
          <w:tcPr>
            <w:tcW w:w="2277" w:type="dxa"/>
            <w:tcBorders>
              <w:tl2br w:val="nil"/>
              <w:tr2bl w:val="nil"/>
            </w:tcBorders>
            <w:shd w:val="clear" w:color="auto" w:fill="auto"/>
            <w:vAlign w:val="center"/>
          </w:tcPr>
          <w:p w14:paraId="552B55B7">
            <w:pPr>
              <w:keepNext w:val="0"/>
              <w:keepLines w:val="0"/>
              <w:pageBreakBefore w:val="0"/>
              <w:kinsoku/>
              <w:wordWrap/>
              <w:overflowPunct/>
              <w:topLinePunct w:val="0"/>
              <w:bidi w:val="0"/>
              <w:spacing w:before="121" w:line="500" w:lineRule="exact"/>
              <w:jc w:val="center"/>
              <w:textAlignment w:val="auto"/>
              <w:rPr>
                <w:rFonts w:hint="default" w:ascii="仿宋_GB2312" w:hAnsi="仿宋_GB2312" w:eastAsia="仿宋_GB2312" w:cs="仿宋_GB2312"/>
                <w:spacing w:val="10"/>
                <w:sz w:val="28"/>
                <w:szCs w:val="28"/>
                <w:lang w:val="en-US" w:eastAsia="zh-CN"/>
                <w14:textOutline w14:w="3831" w14:cap="flat" w14:cmpd="sng">
                  <w14:solidFill>
                    <w14:srgbClr w14:val="000000"/>
                  </w14:solidFill>
                  <w14:prstDash w14:val="solid"/>
                  <w14:miter w14:val="0"/>
                </w14:textOutline>
              </w:rPr>
            </w:pPr>
            <w:r>
              <w:rPr>
                <w:rFonts w:hint="eastAsia" w:ascii="仿宋_GB2312" w:hAnsi="仿宋_GB2312" w:eastAsia="仿宋_GB2312" w:cs="仿宋_GB2312"/>
                <w:spacing w:val="10"/>
                <w:sz w:val="28"/>
                <w:szCs w:val="28"/>
                <w:lang w:val="en-US" w:eastAsia="zh-CN"/>
                <w14:textOutline w14:w="3831" w14:cap="flat" w14:cmpd="sng">
                  <w14:solidFill>
                    <w14:srgbClr w14:val="000000"/>
                  </w14:solidFill>
                  <w14:prstDash w14:val="solid"/>
                  <w14:miter w14:val="0"/>
                </w14:textOutline>
              </w:rPr>
              <w:t>证书有效期</w:t>
            </w:r>
          </w:p>
        </w:tc>
        <w:tc>
          <w:tcPr>
            <w:tcW w:w="2081" w:type="dxa"/>
            <w:tcBorders>
              <w:tl2br w:val="nil"/>
              <w:tr2bl w:val="nil"/>
            </w:tcBorders>
            <w:shd w:val="clear" w:color="auto" w:fill="auto"/>
            <w:vAlign w:val="center"/>
          </w:tcPr>
          <w:p w14:paraId="4C35CCB8">
            <w:pPr>
              <w:keepNext w:val="0"/>
              <w:keepLines w:val="0"/>
              <w:pageBreakBefore w:val="0"/>
              <w:kinsoku/>
              <w:wordWrap/>
              <w:overflowPunct/>
              <w:topLinePunct w:val="0"/>
              <w:bidi w:val="0"/>
              <w:spacing w:before="121" w:line="500" w:lineRule="exact"/>
              <w:jc w:val="center"/>
              <w:textAlignment w:val="auto"/>
              <w:rPr>
                <w:rFonts w:hint="eastAsia" w:ascii="仿宋_GB2312" w:hAnsi="仿宋_GB2312" w:eastAsia="仿宋_GB2312" w:cs="仿宋_GB2312"/>
                <w:spacing w:val="10"/>
                <w:sz w:val="28"/>
                <w:szCs w:val="28"/>
                <w14:textOutline w14:w="3831" w14:cap="flat" w14:cmpd="sng">
                  <w14:solidFill>
                    <w14:srgbClr w14:val="000000"/>
                  </w14:solidFill>
                  <w14:prstDash w14:val="solid"/>
                  <w14:miter w14:val="0"/>
                </w14:textOutline>
              </w:rPr>
            </w:pPr>
            <w:r>
              <w:rPr>
                <w:rFonts w:hint="eastAsia" w:ascii="仿宋_GB2312" w:hAnsi="仿宋_GB2312" w:eastAsia="仿宋_GB2312" w:cs="仿宋_GB2312"/>
                <w:spacing w:val="10"/>
                <w:sz w:val="28"/>
                <w:szCs w:val="28"/>
                <w:lang w:val="en-US" w:eastAsia="zh-CN"/>
                <w14:textOutline w14:w="3831" w14:cap="flat" w14:cmpd="sng">
                  <w14:solidFill>
                    <w14:srgbClr w14:val="000000"/>
                  </w14:solidFill>
                  <w14:prstDash w14:val="solid"/>
                  <w14:miter w14:val="0"/>
                </w14:textOutline>
              </w:rPr>
              <w:t>发证机关</w:t>
            </w:r>
          </w:p>
        </w:tc>
      </w:tr>
      <w:tr w14:paraId="063FCE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10" w:hRule="atLeast"/>
        </w:trPr>
        <w:tc>
          <w:tcPr>
            <w:tcW w:w="5367" w:type="dxa"/>
            <w:gridSpan w:val="2"/>
            <w:tcBorders>
              <w:tl2br w:val="nil"/>
              <w:tr2bl w:val="nil"/>
            </w:tcBorders>
            <w:shd w:val="clear" w:color="auto" w:fill="auto"/>
            <w:vAlign w:val="center"/>
          </w:tcPr>
          <w:p w14:paraId="38BFB0E4">
            <w:pPr>
              <w:keepNext w:val="0"/>
              <w:keepLines w:val="0"/>
              <w:pageBreakBefore w:val="0"/>
              <w:kinsoku/>
              <w:wordWrap/>
              <w:overflowPunct/>
              <w:topLinePunct w:val="0"/>
              <w:bidi w:val="0"/>
              <w:spacing w:before="85" w:line="500" w:lineRule="exact"/>
              <w:ind w:left="962" w:right="107" w:hanging="845"/>
              <w:jc w:val="both"/>
              <w:textAlignment w:val="auto"/>
              <w:rPr>
                <w:rFonts w:hint="eastAsia" w:ascii="仿宋_GB2312" w:hAnsi="仿宋_GB2312" w:eastAsia="仿宋_GB2312" w:cs="仿宋_GB2312"/>
                <w:sz w:val="28"/>
                <w:szCs w:val="28"/>
                <w:lang w:val="en-US" w:eastAsia="zh-CN"/>
              </w:rPr>
            </w:pPr>
          </w:p>
        </w:tc>
        <w:tc>
          <w:tcPr>
            <w:tcW w:w="2277" w:type="dxa"/>
            <w:tcBorders>
              <w:tl2br w:val="nil"/>
              <w:tr2bl w:val="nil"/>
            </w:tcBorders>
            <w:shd w:val="clear" w:color="auto" w:fill="auto"/>
            <w:vAlign w:val="center"/>
          </w:tcPr>
          <w:p w14:paraId="55B463D8">
            <w:pPr>
              <w:keepNext w:val="0"/>
              <w:keepLines w:val="0"/>
              <w:pageBreakBefore w:val="0"/>
              <w:kinsoku/>
              <w:wordWrap/>
              <w:overflowPunct/>
              <w:topLinePunct w:val="0"/>
              <w:bidi w:val="0"/>
              <w:spacing w:before="275" w:line="500" w:lineRule="exact"/>
              <w:ind w:left="521"/>
              <w:jc w:val="center"/>
              <w:textAlignment w:val="auto"/>
              <w:rPr>
                <w:rFonts w:hint="eastAsia" w:ascii="仿宋_GB2312" w:hAnsi="仿宋_GB2312" w:eastAsia="仿宋_GB2312" w:cs="仿宋_GB2312"/>
                <w:sz w:val="28"/>
                <w:szCs w:val="28"/>
              </w:rPr>
            </w:pPr>
          </w:p>
        </w:tc>
        <w:tc>
          <w:tcPr>
            <w:tcW w:w="2081" w:type="dxa"/>
            <w:tcBorders>
              <w:tl2br w:val="nil"/>
              <w:tr2bl w:val="nil"/>
            </w:tcBorders>
            <w:shd w:val="clear" w:color="auto" w:fill="auto"/>
            <w:vAlign w:val="center"/>
          </w:tcPr>
          <w:p w14:paraId="5414CC6C">
            <w:pPr>
              <w:keepNext w:val="0"/>
              <w:keepLines w:val="0"/>
              <w:pageBreakBefore w:val="0"/>
              <w:kinsoku/>
              <w:wordWrap/>
              <w:overflowPunct/>
              <w:topLinePunct w:val="0"/>
              <w:bidi w:val="0"/>
              <w:spacing w:before="275" w:line="500" w:lineRule="exact"/>
              <w:ind w:left="496"/>
              <w:jc w:val="center"/>
              <w:textAlignment w:val="auto"/>
              <w:rPr>
                <w:rFonts w:hint="eastAsia" w:ascii="仿宋_GB2312" w:hAnsi="仿宋_GB2312" w:eastAsia="仿宋_GB2312" w:cs="仿宋_GB2312"/>
                <w:sz w:val="28"/>
                <w:szCs w:val="28"/>
              </w:rPr>
            </w:pPr>
          </w:p>
        </w:tc>
      </w:tr>
      <w:tr w14:paraId="08FC52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367" w:type="dxa"/>
            <w:gridSpan w:val="2"/>
            <w:tcBorders>
              <w:tl2br w:val="nil"/>
              <w:tr2bl w:val="nil"/>
            </w:tcBorders>
            <w:shd w:val="clear" w:color="auto" w:fill="auto"/>
            <w:vAlign w:val="center"/>
          </w:tcPr>
          <w:p w14:paraId="1D5CB95B">
            <w:pPr>
              <w:keepNext w:val="0"/>
              <w:keepLines w:val="0"/>
              <w:pageBreakBefore w:val="0"/>
              <w:kinsoku/>
              <w:wordWrap/>
              <w:overflowPunct/>
              <w:topLinePunct w:val="0"/>
              <w:bidi w:val="0"/>
              <w:spacing w:before="85" w:line="500" w:lineRule="exact"/>
              <w:ind w:left="962" w:right="107" w:hanging="845"/>
              <w:jc w:val="center"/>
              <w:textAlignment w:val="auto"/>
              <w:rPr>
                <w:rFonts w:hint="eastAsia" w:ascii="仿宋_GB2312" w:hAnsi="仿宋_GB2312" w:eastAsia="仿宋_GB2312" w:cs="仿宋_GB2312"/>
                <w:sz w:val="28"/>
                <w:szCs w:val="28"/>
              </w:rPr>
            </w:pPr>
          </w:p>
        </w:tc>
        <w:tc>
          <w:tcPr>
            <w:tcW w:w="2277" w:type="dxa"/>
            <w:tcBorders>
              <w:tl2br w:val="nil"/>
              <w:tr2bl w:val="nil"/>
            </w:tcBorders>
            <w:shd w:val="clear" w:color="auto" w:fill="auto"/>
            <w:vAlign w:val="center"/>
          </w:tcPr>
          <w:p w14:paraId="0757835A">
            <w:pPr>
              <w:keepNext w:val="0"/>
              <w:keepLines w:val="0"/>
              <w:pageBreakBefore w:val="0"/>
              <w:kinsoku/>
              <w:wordWrap/>
              <w:overflowPunct/>
              <w:topLinePunct w:val="0"/>
              <w:bidi w:val="0"/>
              <w:spacing w:before="275" w:line="500" w:lineRule="exact"/>
              <w:ind w:left="521"/>
              <w:jc w:val="center"/>
              <w:textAlignment w:val="auto"/>
              <w:rPr>
                <w:rFonts w:hint="eastAsia" w:ascii="仿宋_GB2312" w:hAnsi="仿宋_GB2312" w:eastAsia="仿宋_GB2312" w:cs="仿宋_GB2312"/>
                <w:sz w:val="28"/>
                <w:szCs w:val="28"/>
              </w:rPr>
            </w:pPr>
          </w:p>
        </w:tc>
        <w:tc>
          <w:tcPr>
            <w:tcW w:w="2081" w:type="dxa"/>
            <w:tcBorders>
              <w:tl2br w:val="nil"/>
              <w:tr2bl w:val="nil"/>
            </w:tcBorders>
            <w:shd w:val="clear" w:color="auto" w:fill="auto"/>
            <w:vAlign w:val="center"/>
          </w:tcPr>
          <w:p w14:paraId="4D55D780">
            <w:pPr>
              <w:keepNext w:val="0"/>
              <w:keepLines w:val="0"/>
              <w:pageBreakBefore w:val="0"/>
              <w:kinsoku/>
              <w:wordWrap/>
              <w:overflowPunct/>
              <w:topLinePunct w:val="0"/>
              <w:bidi w:val="0"/>
              <w:spacing w:before="275" w:line="500" w:lineRule="exact"/>
              <w:ind w:left="496"/>
              <w:jc w:val="center"/>
              <w:textAlignment w:val="auto"/>
              <w:rPr>
                <w:rFonts w:hint="eastAsia" w:ascii="仿宋_GB2312" w:hAnsi="仿宋_GB2312" w:eastAsia="仿宋_GB2312" w:cs="仿宋_GB2312"/>
                <w:sz w:val="28"/>
                <w:szCs w:val="28"/>
              </w:rPr>
            </w:pPr>
          </w:p>
        </w:tc>
      </w:tr>
      <w:tr w14:paraId="458F5F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10" w:hRule="atLeast"/>
        </w:trPr>
        <w:tc>
          <w:tcPr>
            <w:tcW w:w="5367" w:type="dxa"/>
            <w:gridSpan w:val="2"/>
            <w:tcBorders>
              <w:tl2br w:val="nil"/>
              <w:tr2bl w:val="nil"/>
            </w:tcBorders>
            <w:shd w:val="clear" w:color="auto" w:fill="auto"/>
            <w:vAlign w:val="center"/>
          </w:tcPr>
          <w:p w14:paraId="643A0C87">
            <w:pPr>
              <w:keepNext w:val="0"/>
              <w:keepLines w:val="0"/>
              <w:pageBreakBefore w:val="0"/>
              <w:kinsoku/>
              <w:wordWrap/>
              <w:overflowPunct/>
              <w:topLinePunct w:val="0"/>
              <w:bidi w:val="0"/>
              <w:spacing w:before="85" w:line="500" w:lineRule="exact"/>
              <w:ind w:left="962" w:right="107" w:hanging="845"/>
              <w:jc w:val="center"/>
              <w:textAlignment w:val="auto"/>
              <w:rPr>
                <w:rFonts w:hint="eastAsia" w:ascii="仿宋_GB2312" w:hAnsi="仿宋_GB2312" w:eastAsia="仿宋_GB2312" w:cs="仿宋_GB2312"/>
                <w:sz w:val="28"/>
                <w:szCs w:val="28"/>
              </w:rPr>
            </w:pPr>
          </w:p>
        </w:tc>
        <w:tc>
          <w:tcPr>
            <w:tcW w:w="2277" w:type="dxa"/>
            <w:tcBorders>
              <w:tl2br w:val="nil"/>
              <w:tr2bl w:val="nil"/>
            </w:tcBorders>
            <w:shd w:val="clear" w:color="auto" w:fill="auto"/>
            <w:vAlign w:val="center"/>
          </w:tcPr>
          <w:p w14:paraId="487D20CD">
            <w:pPr>
              <w:keepNext w:val="0"/>
              <w:keepLines w:val="0"/>
              <w:pageBreakBefore w:val="0"/>
              <w:kinsoku/>
              <w:wordWrap/>
              <w:overflowPunct/>
              <w:topLinePunct w:val="0"/>
              <w:bidi w:val="0"/>
              <w:spacing w:before="275" w:line="500" w:lineRule="exact"/>
              <w:ind w:left="521"/>
              <w:jc w:val="center"/>
              <w:textAlignment w:val="auto"/>
              <w:rPr>
                <w:rFonts w:hint="eastAsia" w:ascii="仿宋_GB2312" w:hAnsi="仿宋_GB2312" w:eastAsia="仿宋_GB2312" w:cs="仿宋_GB2312"/>
                <w:sz w:val="28"/>
                <w:szCs w:val="28"/>
              </w:rPr>
            </w:pPr>
          </w:p>
        </w:tc>
        <w:tc>
          <w:tcPr>
            <w:tcW w:w="2081" w:type="dxa"/>
            <w:tcBorders>
              <w:tl2br w:val="nil"/>
              <w:tr2bl w:val="nil"/>
            </w:tcBorders>
            <w:shd w:val="clear" w:color="auto" w:fill="auto"/>
            <w:vAlign w:val="center"/>
          </w:tcPr>
          <w:p w14:paraId="39058042">
            <w:pPr>
              <w:keepNext w:val="0"/>
              <w:keepLines w:val="0"/>
              <w:pageBreakBefore w:val="0"/>
              <w:kinsoku/>
              <w:wordWrap/>
              <w:overflowPunct/>
              <w:topLinePunct w:val="0"/>
              <w:bidi w:val="0"/>
              <w:spacing w:before="275" w:line="500" w:lineRule="exact"/>
              <w:ind w:left="496"/>
              <w:jc w:val="center"/>
              <w:textAlignment w:val="auto"/>
              <w:rPr>
                <w:rFonts w:hint="eastAsia" w:ascii="仿宋_GB2312" w:hAnsi="仿宋_GB2312" w:eastAsia="仿宋_GB2312" w:cs="仿宋_GB2312"/>
                <w:sz w:val="28"/>
                <w:szCs w:val="28"/>
              </w:rPr>
            </w:pPr>
          </w:p>
        </w:tc>
      </w:tr>
      <w:tr w14:paraId="6EE0F3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10" w:hRule="atLeast"/>
        </w:trPr>
        <w:tc>
          <w:tcPr>
            <w:tcW w:w="5367" w:type="dxa"/>
            <w:gridSpan w:val="2"/>
            <w:tcBorders>
              <w:tl2br w:val="nil"/>
              <w:tr2bl w:val="nil"/>
            </w:tcBorders>
            <w:shd w:val="clear" w:color="auto" w:fill="auto"/>
            <w:vAlign w:val="center"/>
          </w:tcPr>
          <w:p w14:paraId="596370E7">
            <w:pPr>
              <w:keepNext w:val="0"/>
              <w:keepLines w:val="0"/>
              <w:pageBreakBefore w:val="0"/>
              <w:kinsoku/>
              <w:wordWrap/>
              <w:overflowPunct/>
              <w:topLinePunct w:val="0"/>
              <w:bidi w:val="0"/>
              <w:spacing w:before="85" w:line="500" w:lineRule="exact"/>
              <w:ind w:left="962" w:right="107" w:hanging="845"/>
              <w:jc w:val="center"/>
              <w:textAlignment w:val="auto"/>
              <w:rPr>
                <w:rFonts w:hint="eastAsia" w:ascii="仿宋_GB2312" w:hAnsi="仿宋_GB2312" w:eastAsia="仿宋_GB2312" w:cs="仿宋_GB2312"/>
                <w:sz w:val="28"/>
                <w:szCs w:val="28"/>
              </w:rPr>
            </w:pPr>
          </w:p>
        </w:tc>
        <w:tc>
          <w:tcPr>
            <w:tcW w:w="2277" w:type="dxa"/>
            <w:tcBorders>
              <w:tl2br w:val="nil"/>
              <w:tr2bl w:val="nil"/>
            </w:tcBorders>
            <w:shd w:val="clear" w:color="auto" w:fill="auto"/>
            <w:vAlign w:val="center"/>
          </w:tcPr>
          <w:p w14:paraId="50195F37">
            <w:pPr>
              <w:keepNext w:val="0"/>
              <w:keepLines w:val="0"/>
              <w:pageBreakBefore w:val="0"/>
              <w:kinsoku/>
              <w:wordWrap/>
              <w:overflowPunct/>
              <w:topLinePunct w:val="0"/>
              <w:bidi w:val="0"/>
              <w:spacing w:before="275" w:line="500" w:lineRule="exact"/>
              <w:ind w:left="521"/>
              <w:jc w:val="center"/>
              <w:textAlignment w:val="auto"/>
              <w:rPr>
                <w:rFonts w:hint="eastAsia" w:ascii="仿宋_GB2312" w:hAnsi="仿宋_GB2312" w:eastAsia="仿宋_GB2312" w:cs="仿宋_GB2312"/>
                <w:sz w:val="28"/>
                <w:szCs w:val="28"/>
              </w:rPr>
            </w:pPr>
          </w:p>
        </w:tc>
        <w:tc>
          <w:tcPr>
            <w:tcW w:w="2081" w:type="dxa"/>
            <w:tcBorders>
              <w:tl2br w:val="nil"/>
              <w:tr2bl w:val="nil"/>
            </w:tcBorders>
            <w:shd w:val="clear" w:color="auto" w:fill="auto"/>
            <w:vAlign w:val="center"/>
          </w:tcPr>
          <w:p w14:paraId="565310F7">
            <w:pPr>
              <w:keepNext w:val="0"/>
              <w:keepLines w:val="0"/>
              <w:pageBreakBefore w:val="0"/>
              <w:kinsoku/>
              <w:wordWrap/>
              <w:overflowPunct/>
              <w:topLinePunct w:val="0"/>
              <w:bidi w:val="0"/>
              <w:spacing w:before="275" w:line="500" w:lineRule="exact"/>
              <w:ind w:left="496"/>
              <w:jc w:val="center"/>
              <w:textAlignment w:val="auto"/>
              <w:rPr>
                <w:rFonts w:hint="eastAsia" w:ascii="仿宋_GB2312" w:hAnsi="仿宋_GB2312" w:eastAsia="仿宋_GB2312" w:cs="仿宋_GB2312"/>
                <w:sz w:val="28"/>
                <w:szCs w:val="28"/>
              </w:rPr>
            </w:pPr>
          </w:p>
        </w:tc>
      </w:tr>
    </w:tbl>
    <w:p w14:paraId="653E0514">
      <w:pP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br w:type="page"/>
      </w:r>
    </w:p>
    <w:p w14:paraId="3269BF1F">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附件3.法定代表人身份证明</w:t>
      </w:r>
    </w:p>
    <w:p w14:paraId="0D9586C6">
      <w:pPr>
        <w:keepNext w:val="0"/>
        <w:keepLines w:val="0"/>
        <w:pageBreakBefore w:val="0"/>
        <w:kinsoku/>
        <w:wordWrap/>
        <w:overflowPunct/>
        <w:topLinePunct w:val="0"/>
        <w:bidi w:val="0"/>
        <w:spacing w:line="500" w:lineRule="exact"/>
        <w:jc w:val="center"/>
        <w:textAlignment w:val="auto"/>
        <w:rPr>
          <w:rFonts w:hint="eastAsia" w:ascii="黑体" w:hAnsi="黑体" w:eastAsia="黑体" w:cs="黑体"/>
          <w:b/>
          <w:bCs/>
          <w:i w:val="0"/>
          <w:iCs w:val="0"/>
          <w:caps w:val="0"/>
          <w:color w:val="0F1115"/>
          <w:spacing w:val="0"/>
          <w:kern w:val="2"/>
          <w:sz w:val="32"/>
          <w:szCs w:val="32"/>
          <w:shd w:val="clear" w:fill="FFFFFF"/>
          <w:lang w:val="en-US" w:eastAsia="zh-CN" w:bidi="ar-SA"/>
        </w:rPr>
      </w:pPr>
      <w:r>
        <w:rPr>
          <w:rFonts w:hint="eastAsia" w:ascii="黑体" w:hAnsi="黑体" w:eastAsia="黑体" w:cs="黑体"/>
          <w:b/>
          <w:bCs/>
          <w:i w:val="0"/>
          <w:iCs w:val="0"/>
          <w:caps w:val="0"/>
          <w:color w:val="0F1115"/>
          <w:spacing w:val="0"/>
          <w:kern w:val="2"/>
          <w:sz w:val="32"/>
          <w:szCs w:val="32"/>
          <w:shd w:val="clear" w:fill="FFFFFF"/>
          <w:lang w:val="en-US" w:eastAsia="zh-CN" w:bidi="ar-SA"/>
        </w:rPr>
        <w:t>法定代表人身份证明</w:t>
      </w:r>
    </w:p>
    <w:p w14:paraId="52377D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p>
    <w:p w14:paraId="603F1C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r>
        <w:rPr>
          <w:rFonts w:hint="eastAsia" w:ascii="仿宋_GB2312" w:hAnsi="仿宋_GB2312" w:eastAsia="仿宋_GB2312" w:cs="仿宋_GB2312"/>
          <w:color w:val="000000"/>
          <w:kern w:val="0"/>
          <w:sz w:val="32"/>
          <w:szCs w:val="32"/>
          <w:u w:val="single"/>
          <w:lang w:val="en-US" w:eastAsia="zh-CN" w:bidi="ar"/>
        </w:rPr>
        <w:t xml:space="preserve">       </w:t>
      </w:r>
      <w:r>
        <w:rPr>
          <w:rFonts w:hint="eastAsia" w:ascii="仿宋_GB2312" w:hAnsi="仿宋_GB2312" w:eastAsia="仿宋_GB2312" w:cs="仿宋_GB2312"/>
          <w:color w:val="000000"/>
          <w:kern w:val="0"/>
          <w:sz w:val="32"/>
          <w:szCs w:val="32"/>
          <w:u w:val="none"/>
          <w:lang w:val="en-US" w:eastAsia="zh-CN" w:bidi="ar"/>
        </w:rPr>
        <w:t>，</w:t>
      </w:r>
      <w:r>
        <w:rPr>
          <w:rFonts w:hint="eastAsia" w:ascii="仿宋_GB2312" w:hAnsi="仿宋_GB2312" w:eastAsia="仿宋_GB2312" w:cs="仿宋_GB2312"/>
          <w:color w:val="000000"/>
          <w:kern w:val="0"/>
          <w:sz w:val="32"/>
          <w:szCs w:val="32"/>
          <w:lang w:val="en-US" w:eastAsia="zh-CN" w:bidi="ar"/>
        </w:rPr>
        <w:t>身份证号：</w:t>
      </w:r>
      <w:r>
        <w:rPr>
          <w:rFonts w:hint="eastAsia" w:ascii="仿宋_GB2312" w:hAnsi="仿宋_GB2312" w:eastAsia="仿宋_GB2312" w:cs="仿宋_GB2312"/>
          <w:color w:val="000000"/>
          <w:kern w:val="0"/>
          <w:sz w:val="32"/>
          <w:szCs w:val="32"/>
          <w:u w:val="single"/>
          <w:lang w:val="en-US" w:eastAsia="zh-CN" w:bidi="ar"/>
        </w:rPr>
        <w:t xml:space="preserve">            </w:t>
      </w:r>
      <w:r>
        <w:rPr>
          <w:rFonts w:hint="eastAsia" w:ascii="仿宋_GB2312" w:hAnsi="仿宋_GB2312" w:eastAsia="仿宋_GB2312" w:cs="仿宋_GB2312"/>
          <w:color w:val="000000"/>
          <w:kern w:val="0"/>
          <w:sz w:val="32"/>
          <w:szCs w:val="32"/>
          <w:u w:val="none"/>
          <w:lang w:val="en-US" w:eastAsia="zh-CN" w:bidi="ar"/>
        </w:rPr>
        <w:t>，</w:t>
      </w:r>
      <w:r>
        <w:rPr>
          <w:rFonts w:hint="eastAsia" w:ascii="仿宋_GB2312" w:hAnsi="仿宋_GB2312" w:eastAsia="仿宋_GB2312" w:cs="仿宋_GB2312"/>
          <w:color w:val="000000"/>
          <w:kern w:val="0"/>
          <w:sz w:val="32"/>
          <w:szCs w:val="32"/>
          <w:lang w:val="en-US" w:eastAsia="zh-CN" w:bidi="ar"/>
        </w:rPr>
        <w:t>职务：</w:t>
      </w:r>
      <w:r>
        <w:rPr>
          <w:rFonts w:hint="eastAsia" w:ascii="仿宋_GB2312" w:hAnsi="仿宋_GB2312" w:eastAsia="仿宋_GB2312" w:cs="仿宋_GB2312"/>
          <w:color w:val="000000"/>
          <w:kern w:val="0"/>
          <w:sz w:val="32"/>
          <w:szCs w:val="32"/>
          <w:u w:val="single"/>
          <w:lang w:val="en-US" w:eastAsia="zh-CN" w:bidi="ar"/>
        </w:rPr>
        <w:t xml:space="preserve">             </w:t>
      </w:r>
      <w:r>
        <w:rPr>
          <w:rFonts w:hint="eastAsia" w:ascii="仿宋_GB2312" w:hAnsi="仿宋_GB2312" w:eastAsia="仿宋_GB2312" w:cs="仿宋_GB2312"/>
          <w:color w:val="000000"/>
          <w:kern w:val="0"/>
          <w:sz w:val="32"/>
          <w:szCs w:val="32"/>
          <w:lang w:val="en-US" w:eastAsia="zh-CN" w:bidi="ar"/>
        </w:rPr>
        <w:t>系</w:t>
      </w:r>
      <w:r>
        <w:rPr>
          <w:rFonts w:hint="eastAsia" w:ascii="仿宋_GB2312" w:hAnsi="仿宋_GB2312" w:eastAsia="仿宋_GB2312" w:cs="仿宋_GB2312"/>
          <w:color w:val="000000"/>
          <w:kern w:val="0"/>
          <w:sz w:val="32"/>
          <w:szCs w:val="32"/>
          <w:u w:val="single"/>
          <w:lang w:val="en-US" w:eastAsia="zh-CN" w:bidi="ar"/>
        </w:rPr>
        <w:t xml:space="preserve">   （单位名称）    </w:t>
      </w:r>
      <w:r>
        <w:rPr>
          <w:rFonts w:hint="eastAsia" w:ascii="仿宋_GB2312" w:hAnsi="仿宋_GB2312" w:eastAsia="仿宋_GB2312" w:cs="仿宋_GB2312"/>
          <w:color w:val="000000"/>
          <w:kern w:val="0"/>
          <w:sz w:val="32"/>
          <w:szCs w:val="32"/>
          <w:lang w:val="en-US" w:eastAsia="zh-CN" w:bidi="ar"/>
        </w:rPr>
        <w:t>的法定代表人。</w:t>
      </w:r>
    </w:p>
    <w:p w14:paraId="5F3377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特此证明</w:t>
      </w:r>
    </w:p>
    <w:p w14:paraId="34B9A5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p>
    <w:p w14:paraId="230DF7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附：法定代表人身份证复印件(需同时提供正面及背面)</w:t>
      </w:r>
    </w:p>
    <w:tbl>
      <w:tblPr>
        <w:tblStyle w:val="9"/>
        <w:tblW w:w="10150" w:type="dxa"/>
        <w:tblInd w:w="-56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96"/>
        <w:gridCol w:w="5054"/>
      </w:tblGrid>
      <w:tr w14:paraId="5C28D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1" w:hRule="atLeast"/>
        </w:trPr>
        <w:tc>
          <w:tcPr>
            <w:tcW w:w="5096" w:type="dxa"/>
            <w:vAlign w:val="center"/>
          </w:tcPr>
          <w:p w14:paraId="6F1DDA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仿宋_GB2312" w:hAnsi="仿宋_GB2312" w:eastAsia="仿宋_GB2312" w:cs="仿宋_GB2312"/>
                <w:color w:val="000000"/>
                <w:kern w:val="0"/>
                <w:sz w:val="32"/>
                <w:szCs w:val="32"/>
                <w:vertAlign w:val="baseline"/>
                <w:lang w:val="en-US" w:eastAsia="zh-CN" w:bidi="ar"/>
              </w:rPr>
            </w:pPr>
            <w:r>
              <w:rPr>
                <w:rFonts w:hint="eastAsia" w:ascii="仿宋_GB2312" w:hAnsi="仿宋_GB2312" w:eastAsia="仿宋_GB2312" w:cs="仿宋_GB2312"/>
                <w:color w:val="000000"/>
                <w:kern w:val="0"/>
                <w:sz w:val="32"/>
                <w:szCs w:val="32"/>
                <w:lang w:val="en-US" w:eastAsia="zh-CN" w:bidi="ar"/>
              </w:rPr>
              <w:t>身份证正面</w:t>
            </w:r>
          </w:p>
        </w:tc>
        <w:tc>
          <w:tcPr>
            <w:tcW w:w="5054" w:type="dxa"/>
            <w:vAlign w:val="center"/>
          </w:tcPr>
          <w:p w14:paraId="46A371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仿宋_GB2312" w:hAnsi="仿宋_GB2312" w:eastAsia="仿宋_GB2312" w:cs="仿宋_GB2312"/>
                <w:color w:val="000000"/>
                <w:kern w:val="0"/>
                <w:sz w:val="32"/>
                <w:szCs w:val="32"/>
                <w:vertAlign w:val="baseline"/>
                <w:lang w:val="en-US" w:eastAsia="zh-CN" w:bidi="ar"/>
              </w:rPr>
            </w:pPr>
            <w:r>
              <w:rPr>
                <w:rFonts w:hint="eastAsia" w:ascii="仿宋_GB2312" w:hAnsi="仿宋_GB2312" w:eastAsia="仿宋_GB2312" w:cs="仿宋_GB2312"/>
                <w:color w:val="000000"/>
                <w:kern w:val="0"/>
                <w:sz w:val="32"/>
                <w:szCs w:val="32"/>
                <w:lang w:val="en-US" w:eastAsia="zh-CN" w:bidi="ar"/>
              </w:rPr>
              <w:t>身份证反面</w:t>
            </w:r>
          </w:p>
        </w:tc>
      </w:tr>
    </w:tbl>
    <w:p w14:paraId="2CDD62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仿宋_GB2312" w:hAnsi="仿宋_GB2312" w:eastAsia="仿宋_GB2312" w:cs="仿宋_GB2312"/>
          <w:color w:val="000000"/>
          <w:kern w:val="0"/>
          <w:sz w:val="32"/>
          <w:szCs w:val="32"/>
          <w:lang w:val="en-US" w:eastAsia="zh-CN" w:bidi="ar"/>
        </w:rPr>
      </w:pPr>
    </w:p>
    <w:p w14:paraId="2EDB2AEE">
      <w:pPr>
        <w:pStyle w:val="5"/>
        <w:keepNext w:val="0"/>
        <w:keepLines w:val="0"/>
        <w:pageBreakBefore w:val="0"/>
        <w:kinsoku/>
        <w:wordWrap/>
        <w:overflowPunct/>
        <w:topLinePunct w:val="0"/>
        <w:bidi w:val="0"/>
        <w:spacing w:line="500" w:lineRule="exact"/>
        <w:ind w:left="0" w:leftChars="0" w:firstLine="0" w:firstLineChars="0"/>
        <w:jc w:val="center"/>
        <w:textAlignment w:val="auto"/>
        <w:rPr>
          <w:rFonts w:hint="eastAsia" w:ascii="仿宋_GB2312" w:hAnsi="仿宋_GB2312" w:eastAsia="仿宋_GB2312" w:cs="仿宋_GB2312"/>
          <w:color w:val="000000"/>
          <w:kern w:val="0"/>
          <w:sz w:val="32"/>
          <w:szCs w:val="32"/>
          <w:lang w:val="en-US" w:eastAsia="zh-CN" w:bidi="ar"/>
        </w:rPr>
      </w:pPr>
      <w:r>
        <w:rPr>
          <w:rFonts w:hint="eastAsia" w:ascii="仿宋" w:hAnsi="仿宋" w:eastAsia="仿宋"/>
          <w:bCs/>
          <w:sz w:val="24"/>
          <w:szCs w:val="24"/>
          <w:lang w:val="en-US" w:eastAsia="zh-CN"/>
        </w:rPr>
        <w:t xml:space="preserve">   </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kern w:val="0"/>
          <w:sz w:val="32"/>
          <w:szCs w:val="32"/>
          <w:lang w:val="en-US" w:eastAsia="zh-CN" w:bidi="ar"/>
        </w:rPr>
        <w:t xml:space="preserve"> 单位：（盖公章）</w:t>
      </w:r>
    </w:p>
    <w:p w14:paraId="68566EBE">
      <w:pPr>
        <w:pStyle w:val="5"/>
        <w:keepNext w:val="0"/>
        <w:keepLines w:val="0"/>
        <w:pageBreakBefore w:val="0"/>
        <w:kinsoku/>
        <w:wordWrap/>
        <w:overflowPunct/>
        <w:topLinePunct w:val="0"/>
        <w:bidi w:val="0"/>
        <w:spacing w:line="500" w:lineRule="exact"/>
        <w:ind w:left="0" w:leftChars="0" w:firstLine="0" w:firstLineChars="0"/>
        <w:jc w:val="center"/>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法定代表人签字：</w:t>
      </w:r>
    </w:p>
    <w:p w14:paraId="6F1A6AB0">
      <w:pPr>
        <w:pStyle w:val="5"/>
        <w:keepNext w:val="0"/>
        <w:keepLines w:val="0"/>
        <w:pageBreakBefore w:val="0"/>
        <w:kinsoku/>
        <w:wordWrap/>
        <w:overflowPunct/>
        <w:topLinePunct w:val="0"/>
        <w:bidi w:val="0"/>
        <w:spacing w:line="500" w:lineRule="exact"/>
        <w:ind w:left="0" w:leftChars="0" w:firstLine="0" w:firstLineChars="0"/>
        <w:jc w:val="center"/>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日期：    年   月   日</w:t>
      </w:r>
    </w:p>
    <w:p w14:paraId="695DF922">
      <w:pPr>
        <w:rPr>
          <w:rFonts w:hint="eastAsia" w:ascii="仿宋_GB2312" w:hAnsi="仿宋_GB2312" w:eastAsia="仿宋_GB2312" w:cs="仿宋_GB2312"/>
          <w:sz w:val="32"/>
          <w:szCs w:val="32"/>
          <w:lang w:val="en-US" w:eastAsia="zh-CN"/>
        </w:rPr>
      </w:pPr>
    </w:p>
    <w:p w14:paraId="5BF6585A">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auto"/>
        <w:rPr>
          <w:rFonts w:hint="eastAsia" w:ascii="仿宋_GB2312" w:hAnsi="仿宋_GB2312" w:eastAsia="仿宋_GB2312" w:cs="仿宋_GB2312"/>
          <w:sz w:val="32"/>
          <w:szCs w:val="32"/>
          <w:lang w:val="en-US" w:eastAsia="zh-CN"/>
        </w:rPr>
      </w:pPr>
    </w:p>
    <w:p w14:paraId="7C28FBC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07AA85CD">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附件4.授权委托书</w:t>
      </w:r>
    </w:p>
    <w:p w14:paraId="42D192EC">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auto"/>
        <w:rPr>
          <w:rFonts w:hint="eastAsia" w:ascii="黑体" w:hAnsi="黑体" w:eastAsia="黑体" w:cs="黑体"/>
          <w:b/>
          <w:bCs/>
          <w:i w:val="0"/>
          <w:iCs w:val="0"/>
          <w:caps w:val="0"/>
          <w:color w:val="0F1115"/>
          <w:spacing w:val="0"/>
          <w:kern w:val="2"/>
          <w:sz w:val="32"/>
          <w:szCs w:val="32"/>
          <w:shd w:val="clear" w:fill="FFFFFF"/>
          <w:lang w:val="en-US" w:eastAsia="zh-CN" w:bidi="ar-SA"/>
        </w:rPr>
      </w:pPr>
      <w:r>
        <w:rPr>
          <w:rFonts w:hint="eastAsia" w:ascii="黑体" w:hAnsi="黑体" w:eastAsia="黑体" w:cs="黑体"/>
          <w:b/>
          <w:bCs/>
          <w:i w:val="0"/>
          <w:iCs w:val="0"/>
          <w:caps w:val="0"/>
          <w:color w:val="0F1115"/>
          <w:spacing w:val="0"/>
          <w:kern w:val="2"/>
          <w:sz w:val="32"/>
          <w:szCs w:val="32"/>
          <w:shd w:val="clear" w:fill="FFFFFF"/>
          <w:lang w:val="en-US" w:eastAsia="zh-CN" w:bidi="ar-SA"/>
        </w:rPr>
        <w:t>授权委托书</w:t>
      </w:r>
    </w:p>
    <w:p w14:paraId="68D46BD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40"/>
          <w:lang w:eastAsia="zh-CN"/>
        </w:rPr>
      </w:pPr>
    </w:p>
    <w:p w14:paraId="7DFD425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40"/>
          <w:u w:val="single"/>
          <w:lang w:val="en-US" w:eastAsia="zh-CN"/>
        </w:rPr>
      </w:pPr>
      <w:r>
        <w:rPr>
          <w:rFonts w:hint="eastAsia" w:ascii="仿宋_GB2312" w:hAnsi="仿宋_GB2312" w:eastAsia="仿宋_GB2312" w:cs="仿宋_GB2312"/>
          <w:sz w:val="32"/>
          <w:szCs w:val="40"/>
          <w:lang w:eastAsia="zh-CN"/>
        </w:rPr>
        <w:t>兹委托</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b/>
          <w:bCs/>
          <w:i/>
          <w:iCs/>
          <w:sz w:val="32"/>
          <w:szCs w:val="40"/>
          <w:u w:val="single"/>
          <w:lang w:val="en-US" w:eastAsia="zh-CN"/>
        </w:rPr>
        <w:t>（姓名）</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u w:val="none"/>
          <w:lang w:val="en-US" w:eastAsia="zh-CN"/>
        </w:rPr>
        <w:t>身份证号码：</w:t>
      </w:r>
      <w:r>
        <w:rPr>
          <w:rFonts w:hint="eastAsia" w:ascii="仿宋_GB2312" w:hAnsi="仿宋_GB2312" w:eastAsia="仿宋_GB2312" w:cs="仿宋_GB2312"/>
          <w:sz w:val="32"/>
          <w:szCs w:val="40"/>
          <w:u w:val="single"/>
          <w:lang w:val="en-US" w:eastAsia="zh-CN"/>
        </w:rPr>
        <w:t xml:space="preserve">                        </w:t>
      </w:r>
    </w:p>
    <w:p w14:paraId="6281B359">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32"/>
          <w:szCs w:val="40"/>
          <w:u w:val="none"/>
          <w:lang w:val="en-US" w:eastAsia="zh-CN"/>
        </w:rPr>
      </w:pPr>
      <w:r>
        <w:rPr>
          <w:rFonts w:hint="eastAsia" w:ascii="仿宋_GB2312" w:hAnsi="仿宋_GB2312" w:eastAsia="仿宋_GB2312" w:cs="仿宋_GB2312"/>
          <w:sz w:val="32"/>
          <w:szCs w:val="40"/>
          <w:u w:val="none"/>
          <w:lang w:val="en-US" w:eastAsia="zh-CN"/>
        </w:rPr>
        <w:t>作为</w:t>
      </w:r>
      <w:r>
        <w:rPr>
          <w:rFonts w:hint="eastAsia" w:ascii="仿宋_GB2312" w:hAnsi="仿宋_GB2312" w:eastAsia="仿宋_GB2312" w:cs="仿宋_GB2312"/>
          <w:color w:val="000000"/>
          <w:kern w:val="0"/>
          <w:sz w:val="32"/>
          <w:szCs w:val="32"/>
          <w:u w:val="single"/>
          <w:lang w:val="en-US" w:eastAsia="zh-CN" w:bidi="ar"/>
        </w:rPr>
        <w:t xml:space="preserve">   </w:t>
      </w:r>
      <w:r>
        <w:rPr>
          <w:rFonts w:hint="eastAsia" w:ascii="仿宋_GB2312" w:hAnsi="仿宋_GB2312" w:eastAsia="仿宋_GB2312" w:cs="仿宋_GB2312"/>
          <w:b/>
          <w:bCs/>
          <w:i/>
          <w:iCs/>
          <w:color w:val="auto"/>
          <w:kern w:val="0"/>
          <w:sz w:val="32"/>
          <w:szCs w:val="32"/>
          <w:u w:val="single"/>
          <w:lang w:val="en-US" w:eastAsia="zh-CN" w:bidi="ar"/>
        </w:rPr>
        <w:t xml:space="preserve">（供应商名称） </w:t>
      </w:r>
      <w:r>
        <w:rPr>
          <w:rFonts w:hint="eastAsia" w:ascii="仿宋_GB2312" w:hAnsi="仿宋_GB2312" w:eastAsia="仿宋_GB2312" w:cs="仿宋_GB2312"/>
          <w:color w:val="000000"/>
          <w:kern w:val="0"/>
          <w:sz w:val="32"/>
          <w:szCs w:val="32"/>
          <w:u w:val="single"/>
          <w:lang w:val="en-US" w:eastAsia="zh-CN" w:bidi="ar"/>
        </w:rPr>
        <w:t xml:space="preserve">   </w:t>
      </w:r>
      <w:r>
        <w:rPr>
          <w:rFonts w:hint="eastAsia" w:ascii="仿宋_GB2312" w:hAnsi="仿宋_GB2312" w:eastAsia="仿宋_GB2312" w:cs="仿宋_GB2312"/>
          <w:sz w:val="32"/>
          <w:szCs w:val="40"/>
          <w:u w:val="none"/>
          <w:lang w:val="en-US" w:eastAsia="zh-CN"/>
        </w:rPr>
        <w:t>的全权代理人，前往参加</w:t>
      </w:r>
      <w:r>
        <w:rPr>
          <w:rFonts w:hint="eastAsia" w:ascii="仿宋_GB2312" w:hAnsi="仿宋_GB2312" w:eastAsia="仿宋_GB2312" w:cs="仿宋_GB2312"/>
          <w:b/>
          <w:bCs/>
          <w:sz w:val="32"/>
          <w:szCs w:val="40"/>
          <w:u w:val="none"/>
          <w:lang w:val="en-US" w:eastAsia="zh-CN"/>
        </w:rPr>
        <w:t>货物报关及配套服务框架采购项目</w:t>
      </w:r>
      <w:r>
        <w:rPr>
          <w:rFonts w:hint="eastAsia" w:ascii="仿宋_GB2312" w:hAnsi="仿宋_GB2312" w:eastAsia="仿宋_GB2312" w:cs="仿宋_GB2312"/>
          <w:b w:val="0"/>
          <w:bCs w:val="0"/>
          <w:sz w:val="32"/>
          <w:szCs w:val="40"/>
          <w:u w:val="none"/>
          <w:lang w:val="en-US" w:eastAsia="zh-CN"/>
        </w:rPr>
        <w:t>投标，对受托人在办理上述事项过程中以本单位名义处理一切与之有关的事务，我司均予以认可，并承担相应的法律责任。</w:t>
      </w:r>
    </w:p>
    <w:p w14:paraId="736376A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40"/>
          <w:u w:val="none"/>
          <w:lang w:val="en-US" w:eastAsia="zh-CN"/>
        </w:rPr>
      </w:pPr>
      <w:r>
        <w:rPr>
          <w:rFonts w:hint="eastAsia" w:ascii="仿宋_GB2312" w:hAnsi="仿宋_GB2312" w:eastAsia="仿宋_GB2312" w:cs="仿宋_GB2312"/>
          <w:sz w:val="32"/>
          <w:szCs w:val="40"/>
          <w:u w:val="none"/>
          <w:lang w:val="en-US" w:eastAsia="zh-CN"/>
        </w:rPr>
        <w:t>本委托书有效期限为：</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u w:val="none"/>
          <w:lang w:val="en-US" w:eastAsia="zh-CN"/>
        </w:rPr>
        <w:t>年</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u w:val="none"/>
          <w:lang w:val="en-US" w:eastAsia="zh-CN"/>
        </w:rPr>
        <w:t>月</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u w:val="none"/>
          <w:lang w:val="en-US" w:eastAsia="zh-CN"/>
        </w:rPr>
        <w:t>日至</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u w:val="none"/>
          <w:lang w:val="en-US" w:eastAsia="zh-CN"/>
        </w:rPr>
        <w:t>年</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u w:val="none"/>
          <w:lang w:val="en-US" w:eastAsia="zh-CN"/>
        </w:rPr>
        <w:t>月</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u w:val="none"/>
          <w:lang w:val="en-US" w:eastAsia="zh-CN"/>
        </w:rPr>
        <w:t>日</w:t>
      </w:r>
    </w:p>
    <w:p w14:paraId="6B70777A">
      <w:pPr>
        <w:keepNext w:val="0"/>
        <w:keepLines w:val="0"/>
        <w:pageBreakBefore w:val="0"/>
        <w:widowControl w:val="0"/>
        <w:kinsoku/>
        <w:wordWrap/>
        <w:overflowPunct/>
        <w:topLinePunct w:val="0"/>
        <w:autoSpaceDE/>
        <w:autoSpaceDN/>
        <w:bidi w:val="0"/>
        <w:adjustRightInd/>
        <w:snapToGrid w:val="0"/>
        <w:spacing w:line="500" w:lineRule="exact"/>
        <w:ind w:firstLine="640"/>
        <w:textAlignment w:val="auto"/>
        <w:rPr>
          <w:rFonts w:hint="eastAsia" w:ascii="仿宋_GB2312" w:hAnsi="仿宋_GB2312" w:eastAsia="仿宋_GB2312" w:cs="仿宋_GB2312"/>
          <w:sz w:val="32"/>
          <w:szCs w:val="40"/>
          <w:u w:val="none"/>
          <w:lang w:val="en-US" w:eastAsia="zh-CN"/>
        </w:rPr>
      </w:pPr>
      <w:r>
        <w:rPr>
          <w:rFonts w:hint="eastAsia" w:ascii="仿宋_GB2312" w:hAnsi="仿宋_GB2312" w:eastAsia="仿宋_GB2312" w:cs="仿宋_GB2312"/>
          <w:sz w:val="32"/>
          <w:szCs w:val="40"/>
          <w:u w:val="none"/>
          <w:lang w:val="en-US" w:eastAsia="zh-CN"/>
        </w:rPr>
        <w:t>本委托书不得转委托。</w:t>
      </w:r>
    </w:p>
    <w:p w14:paraId="515EB0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00" w:lineRule="exact"/>
        <w:ind w:right="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附：受托人身份证复印件(需同时提供正面及反面)</w:t>
      </w:r>
    </w:p>
    <w:tbl>
      <w:tblPr>
        <w:tblStyle w:val="9"/>
        <w:tblW w:w="10150" w:type="dxa"/>
        <w:tblInd w:w="-56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96"/>
        <w:gridCol w:w="5054"/>
      </w:tblGrid>
      <w:tr w14:paraId="14A18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3" w:hRule="atLeast"/>
        </w:trPr>
        <w:tc>
          <w:tcPr>
            <w:tcW w:w="5096" w:type="dxa"/>
            <w:vAlign w:val="center"/>
          </w:tcPr>
          <w:p w14:paraId="588E39C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jc w:val="center"/>
              <w:textAlignment w:val="auto"/>
              <w:rPr>
                <w:rFonts w:hint="default" w:ascii="仿宋_GB2312" w:hAnsi="仿宋_GB2312" w:eastAsia="仿宋_GB2312" w:cs="仿宋_GB2312"/>
                <w:color w:val="000000"/>
                <w:kern w:val="0"/>
                <w:sz w:val="32"/>
                <w:szCs w:val="32"/>
                <w:vertAlign w:val="baseline"/>
                <w:lang w:val="en-US" w:eastAsia="zh-CN" w:bidi="ar"/>
              </w:rPr>
            </w:pPr>
            <w:r>
              <w:rPr>
                <w:rFonts w:hint="eastAsia" w:ascii="仿宋_GB2312" w:hAnsi="仿宋_GB2312" w:eastAsia="仿宋_GB2312" w:cs="仿宋_GB2312"/>
                <w:color w:val="000000"/>
                <w:kern w:val="0"/>
                <w:sz w:val="32"/>
                <w:szCs w:val="32"/>
                <w:lang w:val="en-US" w:eastAsia="zh-CN" w:bidi="ar"/>
              </w:rPr>
              <w:t>受托人身份证正面</w:t>
            </w:r>
          </w:p>
        </w:tc>
        <w:tc>
          <w:tcPr>
            <w:tcW w:w="5054" w:type="dxa"/>
            <w:vAlign w:val="center"/>
          </w:tcPr>
          <w:p w14:paraId="10B19F6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jc w:val="center"/>
              <w:textAlignment w:val="auto"/>
              <w:rPr>
                <w:rFonts w:hint="default" w:ascii="仿宋_GB2312" w:hAnsi="仿宋_GB2312" w:eastAsia="仿宋_GB2312" w:cs="仿宋_GB2312"/>
                <w:color w:val="000000"/>
                <w:kern w:val="0"/>
                <w:sz w:val="32"/>
                <w:szCs w:val="32"/>
                <w:vertAlign w:val="baseline"/>
                <w:lang w:val="en-US" w:eastAsia="zh-CN" w:bidi="ar"/>
              </w:rPr>
            </w:pPr>
            <w:r>
              <w:rPr>
                <w:rFonts w:hint="eastAsia" w:ascii="仿宋_GB2312" w:hAnsi="仿宋_GB2312" w:eastAsia="仿宋_GB2312" w:cs="仿宋_GB2312"/>
                <w:color w:val="000000"/>
                <w:kern w:val="0"/>
                <w:sz w:val="32"/>
                <w:szCs w:val="32"/>
                <w:lang w:val="en-US" w:eastAsia="zh-CN" w:bidi="ar"/>
              </w:rPr>
              <w:t>受托人身份证反面</w:t>
            </w:r>
          </w:p>
        </w:tc>
      </w:tr>
    </w:tbl>
    <w:p w14:paraId="297E2A0D">
      <w:pPr>
        <w:keepNext w:val="0"/>
        <w:keepLines w:val="0"/>
        <w:pageBreakBefore w:val="0"/>
        <w:kinsoku/>
        <w:wordWrap/>
        <w:overflowPunct/>
        <w:topLinePunct w:val="0"/>
        <w:bidi w:val="0"/>
        <w:snapToGrid w:val="0"/>
        <w:spacing w:line="500" w:lineRule="exact"/>
        <w:ind w:firstLine="640"/>
        <w:textAlignment w:val="auto"/>
        <w:rPr>
          <w:rFonts w:hint="eastAsia" w:ascii="仿宋_GB2312" w:hAnsi="仿宋_GB2312" w:eastAsia="仿宋_GB2312" w:cs="仿宋_GB2312"/>
          <w:sz w:val="32"/>
          <w:szCs w:val="40"/>
          <w:u w:val="none"/>
          <w:lang w:val="en-US" w:eastAsia="zh-CN"/>
        </w:rPr>
      </w:pPr>
    </w:p>
    <w:p w14:paraId="539AD9B4">
      <w:pPr>
        <w:keepNext w:val="0"/>
        <w:keepLines w:val="0"/>
        <w:pageBreakBefore w:val="0"/>
        <w:kinsoku/>
        <w:wordWrap/>
        <w:overflowPunct/>
        <w:topLinePunct w:val="0"/>
        <w:bidi w:val="0"/>
        <w:snapToGrid w:val="0"/>
        <w:spacing w:line="500" w:lineRule="exact"/>
        <w:ind w:firstLine="4480" w:firstLineChars="1400"/>
        <w:textAlignment w:val="auto"/>
        <w:rPr>
          <w:rFonts w:hint="eastAsia" w:ascii="仿宋_GB2312" w:hAnsi="仿宋_GB2312" w:eastAsia="仿宋_GB2312" w:cs="仿宋_GB2312"/>
          <w:sz w:val="32"/>
          <w:szCs w:val="40"/>
          <w:u w:val="none"/>
          <w:lang w:val="en-US" w:eastAsia="zh-CN"/>
        </w:rPr>
      </w:pPr>
      <w:r>
        <w:rPr>
          <w:rFonts w:hint="eastAsia" w:ascii="仿宋_GB2312" w:hAnsi="仿宋_GB2312" w:eastAsia="仿宋_GB2312" w:cs="仿宋_GB2312"/>
          <w:sz w:val="32"/>
          <w:szCs w:val="40"/>
          <w:u w:val="none"/>
          <w:lang w:val="en-US" w:eastAsia="zh-CN"/>
        </w:rPr>
        <w:t xml:space="preserve">委托单位（盖公章）： </w:t>
      </w:r>
    </w:p>
    <w:p w14:paraId="6D2AC227">
      <w:pPr>
        <w:keepNext w:val="0"/>
        <w:keepLines w:val="0"/>
        <w:pageBreakBefore w:val="0"/>
        <w:kinsoku/>
        <w:wordWrap/>
        <w:overflowPunct/>
        <w:topLinePunct w:val="0"/>
        <w:bidi w:val="0"/>
        <w:snapToGrid w:val="0"/>
        <w:spacing w:line="500" w:lineRule="exact"/>
        <w:ind w:firstLine="4480" w:firstLineChars="1400"/>
        <w:textAlignment w:val="auto"/>
        <w:rPr>
          <w:rFonts w:hint="eastAsia" w:ascii="仿宋_GB2312" w:hAnsi="仿宋_GB2312" w:eastAsia="仿宋_GB2312" w:cs="仿宋_GB2312"/>
          <w:sz w:val="32"/>
          <w:szCs w:val="40"/>
          <w:u w:val="none"/>
          <w:lang w:val="en-US" w:eastAsia="zh-CN"/>
        </w:rPr>
      </w:pPr>
      <w:r>
        <w:rPr>
          <w:rFonts w:hint="eastAsia" w:ascii="仿宋_GB2312" w:hAnsi="仿宋_GB2312" w:eastAsia="仿宋_GB2312" w:cs="仿宋_GB2312"/>
          <w:color w:val="000000"/>
          <w:kern w:val="0"/>
          <w:sz w:val="32"/>
          <w:szCs w:val="32"/>
          <w:lang w:val="en-US" w:eastAsia="zh-CN" w:bidi="ar"/>
        </w:rPr>
        <w:t>法定代表人签字：</w:t>
      </w:r>
    </w:p>
    <w:p w14:paraId="70F07DE7">
      <w:pPr>
        <w:keepNext w:val="0"/>
        <w:keepLines w:val="0"/>
        <w:pageBreakBefore w:val="0"/>
        <w:kinsoku/>
        <w:wordWrap/>
        <w:overflowPunct/>
        <w:topLinePunct w:val="0"/>
        <w:bidi w:val="0"/>
        <w:snapToGrid w:val="0"/>
        <w:spacing w:line="500" w:lineRule="exact"/>
        <w:ind w:firstLine="640"/>
        <w:textAlignment w:val="auto"/>
        <w:rPr>
          <w:rFonts w:hint="eastAsia" w:ascii="仿宋_GB2312" w:hAnsi="仿宋_GB2312" w:eastAsia="仿宋_GB2312" w:cs="仿宋_GB2312"/>
          <w:sz w:val="32"/>
          <w:szCs w:val="40"/>
          <w:u w:val="none"/>
          <w:lang w:val="en-US" w:eastAsia="zh-CN"/>
        </w:rPr>
      </w:pPr>
      <w:r>
        <w:rPr>
          <w:rFonts w:hint="eastAsia" w:ascii="仿宋_GB2312" w:hAnsi="仿宋_GB2312" w:eastAsia="仿宋_GB2312" w:cs="仿宋_GB2312"/>
          <w:sz w:val="32"/>
          <w:szCs w:val="40"/>
          <w:u w:val="none"/>
          <w:lang w:val="en-US" w:eastAsia="zh-CN"/>
        </w:rPr>
        <w:t xml:space="preserve">                        受托人签字：</w:t>
      </w:r>
    </w:p>
    <w:p w14:paraId="4CEB8AE9">
      <w:pPr>
        <w:keepNext w:val="0"/>
        <w:keepLines w:val="0"/>
        <w:pageBreakBefore w:val="0"/>
        <w:kinsoku/>
        <w:wordWrap/>
        <w:overflowPunct/>
        <w:topLinePunct w:val="0"/>
        <w:bidi w:val="0"/>
        <w:snapToGrid w:val="0"/>
        <w:spacing w:line="500" w:lineRule="exact"/>
        <w:ind w:firstLine="640"/>
        <w:textAlignment w:val="auto"/>
        <w:rPr>
          <w:rFonts w:hint="eastAsia" w:ascii="仿宋_GB2312" w:hAnsi="仿宋_GB2312" w:eastAsia="仿宋_GB2312" w:cs="仿宋_GB2312"/>
          <w:sz w:val="32"/>
          <w:szCs w:val="40"/>
          <w:u w:val="none"/>
          <w:lang w:val="en-US" w:eastAsia="zh-CN"/>
        </w:rPr>
      </w:pPr>
      <w:r>
        <w:rPr>
          <w:rFonts w:hint="eastAsia" w:ascii="仿宋_GB2312" w:hAnsi="仿宋_GB2312" w:eastAsia="仿宋_GB2312" w:cs="仿宋_GB2312"/>
          <w:sz w:val="32"/>
          <w:szCs w:val="40"/>
          <w:u w:val="none"/>
          <w:lang w:val="en-US" w:eastAsia="zh-CN"/>
        </w:rPr>
        <w:t xml:space="preserve">                        日期：   年   月   日</w:t>
      </w:r>
    </w:p>
    <w:p w14:paraId="561AF68E">
      <w:pPr>
        <w:rPr>
          <w:rFonts w:hint="eastAsia" w:ascii="仿宋_GB2312" w:hAnsi="仿宋_GB2312" w:eastAsia="仿宋_GB2312" w:cs="仿宋_GB2312"/>
          <w:sz w:val="32"/>
          <w:szCs w:val="32"/>
          <w:lang w:val="en-US" w:eastAsia="zh-CN"/>
        </w:rPr>
      </w:pPr>
    </w:p>
    <w:p w14:paraId="78B462BF">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auto"/>
        <w:rPr>
          <w:rFonts w:hint="eastAsia" w:ascii="仿宋_GB2312" w:hAnsi="仿宋_GB2312" w:eastAsia="仿宋_GB2312" w:cs="仿宋_GB2312"/>
          <w:sz w:val="32"/>
          <w:szCs w:val="32"/>
          <w:lang w:val="en-US" w:eastAsia="zh-CN"/>
        </w:rPr>
      </w:pPr>
    </w:p>
    <w:p w14:paraId="240D379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6063CFA0">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附件5：投标承诺函</w:t>
      </w:r>
    </w:p>
    <w:p w14:paraId="24DBE7BD">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投标承诺函</w:t>
      </w:r>
    </w:p>
    <w:p w14:paraId="74FDD3A7">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黑体" w:hAnsi="黑体" w:eastAsia="黑体" w:cs="黑体"/>
          <w:b/>
          <w:bCs/>
          <w:sz w:val="32"/>
          <w:szCs w:val="32"/>
          <w:lang w:val="en-US" w:eastAsia="zh-CN"/>
        </w:rPr>
      </w:pPr>
    </w:p>
    <w:p w14:paraId="5E31463F">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致：深圳</w:t>
      </w:r>
      <w:r>
        <w:rPr>
          <w:rFonts w:hint="eastAsia" w:ascii="仿宋_GB2312" w:hAnsi="仿宋_GB2312" w:eastAsia="仿宋_GB2312" w:cs="仿宋_GB2312"/>
          <w:sz w:val="32"/>
          <w:szCs w:val="32"/>
          <w:lang w:val="en-US" w:eastAsia="zh-CN"/>
        </w:rPr>
        <w:t>数智国际人才发展有限公</w:t>
      </w:r>
      <w:r>
        <w:rPr>
          <w:rFonts w:hint="eastAsia" w:ascii="仿宋_GB2312" w:hAnsi="仿宋_GB2312" w:eastAsia="仿宋_GB2312" w:cs="仿宋_GB2312"/>
          <w:sz w:val="32"/>
          <w:szCs w:val="32"/>
        </w:rPr>
        <w:t>司</w:t>
      </w:r>
    </w:p>
    <w:p w14:paraId="3954C42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本公司（全称：</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，统一社会信用代码：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snapToGrid w:val="0"/>
          <w:color w:val="auto"/>
          <w:spacing w:val="19"/>
          <w:kern w:val="0"/>
          <w:sz w:val="32"/>
          <w:szCs w:val="32"/>
          <w:lang w:val="en-US" w:eastAsia="zh" w:bidi="ar-SA"/>
          <w:woUserID w:val="1"/>
        </w:rPr>
        <w:t>就贵方“货物报关及配套服务框架采购项目”</w:t>
      </w:r>
      <w:r>
        <w:rPr>
          <w:rFonts w:hint="eastAsia" w:ascii="仿宋_GB2312" w:hAnsi="仿宋_GB2312" w:eastAsia="仿宋_GB2312" w:cs="仿宋_GB2312"/>
          <w:b w:val="0"/>
          <w:bCs w:val="0"/>
          <w:snapToGrid w:val="0"/>
          <w:color w:val="auto"/>
          <w:spacing w:val="19"/>
          <w:kern w:val="0"/>
          <w:sz w:val="32"/>
          <w:szCs w:val="32"/>
          <w:lang w:val="en-US" w:eastAsia="zh-CN" w:bidi="ar-SA"/>
          <w:woUserID w:val="1"/>
        </w:rPr>
        <w:t>，</w:t>
      </w:r>
      <w:r>
        <w:rPr>
          <w:rFonts w:hint="eastAsia" w:ascii="仿宋_GB2312" w:hAnsi="仿宋_GB2312" w:eastAsia="仿宋_GB2312" w:cs="仿宋_GB2312"/>
          <w:sz w:val="32"/>
          <w:szCs w:val="32"/>
        </w:rPr>
        <w:t>郑重承诺如下：</w:t>
      </w:r>
    </w:p>
    <w:p w14:paraId="4A6BE73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本公司参加本次采购活动前三年内，在经营活动中没有重大违法记录（</w:t>
      </w:r>
      <w:r>
        <w:rPr>
          <w:rFonts w:hint="eastAsia" w:ascii="仿宋_GB2312" w:hAnsi="仿宋_GB2312" w:eastAsia="仿宋_GB2312" w:cs="仿宋_GB2312"/>
          <w:b w:val="0"/>
          <w:bCs w:val="0"/>
          <w:sz w:val="32"/>
          <w:szCs w:val="40"/>
          <w:u w:val="none"/>
          <w:lang w:val="en-US" w:eastAsia="zh-CN"/>
        </w:rPr>
        <w:t>包括但不限于因违法经营受到刑</w:t>
      </w:r>
      <w:r>
        <w:rPr>
          <w:rFonts w:hint="eastAsia" w:ascii="仿宋_GB2312" w:hAnsi="仿宋_GB2312" w:eastAsia="仿宋_GB2312" w:cs="仿宋_GB2312"/>
          <w:sz w:val="32"/>
          <w:szCs w:val="32"/>
        </w:rPr>
        <w:t>事处罚或责令停产停业、吊销许可证或者执照、较大数额罚款等行政处罚）。如存在上述情形，本公司自愿承担由此产生的一切法律责任。</w:t>
      </w:r>
    </w:p>
    <w:p w14:paraId="7BA874D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公司是本次投标项目的唯一责任主体，若中标，将自行履行框架协议及各项任务的全部义务，绝不将项目以任何形式转包或分包给第三方。如违反本承诺，贵司有权取消本公司中标资格或解除协议，并要求本公司承担相应的违约责任。</w:t>
      </w:r>
    </w:p>
    <w:p w14:paraId="089B291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本公司与参加同一标段（即本项目）的其他投标人之间不存在单位负责人为同一人或者存在直接控股、管理关系的情形。若隐瞒上述关联关系，贵司有权取消本公司投标资格，且本公司愿意接受相关处理。</w:t>
      </w:r>
    </w:p>
    <w:p w14:paraId="5649B28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本项目不接受联合体投标，本公司以独立法人身份参与本次投标，不以联合体形式参与。</w:t>
      </w:r>
    </w:p>
    <w:p w14:paraId="6C7583F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本公司对上述承诺的真实性、合法性、有效性负责，并愿承担因虚假承诺所引起的一切法律后果。</w:t>
      </w:r>
    </w:p>
    <w:p w14:paraId="1ABB4CA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特此承诺。</w:t>
      </w:r>
    </w:p>
    <w:p w14:paraId="082CBD9B">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32"/>
          <w:szCs w:val="32"/>
        </w:rPr>
      </w:pPr>
    </w:p>
    <w:p w14:paraId="665D550F">
      <w:pPr>
        <w:keepNext w:val="0"/>
        <w:keepLines w:val="0"/>
        <w:pageBreakBefore w:val="0"/>
        <w:widowControl w:val="0"/>
        <w:kinsoku/>
        <w:wordWrap/>
        <w:overflowPunct/>
        <w:topLinePunct w:val="0"/>
        <w:autoSpaceDE/>
        <w:autoSpaceDN/>
        <w:bidi w:val="0"/>
        <w:adjustRightInd/>
        <w:snapToGrid w:val="0"/>
        <w:spacing w:line="500" w:lineRule="exact"/>
        <w:ind w:firstLine="2880" w:firstLineChars="9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投标人（盖公章）：</w:t>
      </w:r>
      <w:r>
        <w:rPr>
          <w:rFonts w:hint="eastAsia" w:ascii="仿宋_GB2312" w:hAnsi="仿宋_GB2312" w:eastAsia="仿宋_GB2312" w:cs="仿宋_GB2312"/>
          <w:sz w:val="32"/>
          <w:szCs w:val="32"/>
          <w:lang w:val="en-US" w:eastAsia="zh-CN"/>
        </w:rPr>
        <w:t xml:space="preserve"> </w:t>
      </w:r>
    </w:p>
    <w:p w14:paraId="759116D6">
      <w:pPr>
        <w:keepNext w:val="0"/>
        <w:keepLines w:val="0"/>
        <w:pageBreakBefore w:val="0"/>
        <w:widowControl w:val="0"/>
        <w:kinsoku/>
        <w:wordWrap/>
        <w:overflowPunct/>
        <w:topLinePunct w:val="0"/>
        <w:autoSpaceDE/>
        <w:autoSpaceDN/>
        <w:bidi w:val="0"/>
        <w:adjustRightInd/>
        <w:snapToGrid w:val="0"/>
        <w:spacing w:line="500" w:lineRule="exact"/>
        <w:ind w:firstLine="2880" w:firstLineChars="9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法定代表人或授权代表签字：</w:t>
      </w:r>
      <w:r>
        <w:rPr>
          <w:rFonts w:hint="eastAsia" w:ascii="仿宋_GB2312" w:hAnsi="仿宋_GB2312" w:eastAsia="仿宋_GB2312" w:cs="仿宋_GB2312"/>
          <w:sz w:val="32"/>
          <w:szCs w:val="32"/>
          <w:lang w:val="en-US" w:eastAsia="zh-CN"/>
        </w:rPr>
        <w:t xml:space="preserve"> </w:t>
      </w:r>
    </w:p>
    <w:p w14:paraId="55CC8F69">
      <w:pPr>
        <w:keepNext w:val="0"/>
        <w:keepLines w:val="0"/>
        <w:pageBreakBefore w:val="0"/>
        <w:widowControl w:val="0"/>
        <w:kinsoku/>
        <w:wordWrap/>
        <w:overflowPunct/>
        <w:topLinePunct w:val="0"/>
        <w:autoSpaceDE/>
        <w:autoSpaceDN/>
        <w:bidi w:val="0"/>
        <w:adjustRightInd/>
        <w:snapToGrid w:val="0"/>
        <w:spacing w:line="50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2BF2D293">
      <w:pPr>
        <w:rPr>
          <w:rFonts w:hint="eastAsia" w:ascii="仿宋_GB2312" w:hAnsi="仿宋_GB2312" w:eastAsia="仿宋_GB2312" w:cs="仿宋_GB2312"/>
          <w:sz w:val="32"/>
          <w:szCs w:val="32"/>
          <w:lang w:val="en-US" w:eastAsia="zh-CN"/>
        </w:rPr>
      </w:pPr>
    </w:p>
    <w:p w14:paraId="01E94E9B">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auto"/>
        <w:rPr>
          <w:rFonts w:hint="eastAsia" w:ascii="仿宋_GB2312" w:hAnsi="仿宋_GB2312" w:eastAsia="仿宋_GB2312" w:cs="仿宋_GB2312"/>
          <w:sz w:val="32"/>
          <w:szCs w:val="32"/>
          <w:lang w:val="en-US" w:eastAsia="zh-CN"/>
        </w:rPr>
      </w:pPr>
    </w:p>
    <w:p w14:paraId="7FE74FBF">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71D717CB">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附件6：同类项目业绩</w:t>
      </w:r>
    </w:p>
    <w:p w14:paraId="57950ED0">
      <w:p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同类项目业绩</w:t>
      </w:r>
    </w:p>
    <w:p w14:paraId="605F46B9">
      <w:pPr>
        <w:jc w:val="center"/>
        <w:rPr>
          <w:rFonts w:hint="eastAsia" w:ascii="黑体" w:hAnsi="黑体" w:eastAsia="黑体" w:cs="黑体"/>
          <w:b/>
          <w:bCs/>
          <w:sz w:val="32"/>
          <w:szCs w:val="32"/>
          <w:lang w:val="en-US" w:eastAsia="zh-CN"/>
        </w:rPr>
      </w:pPr>
    </w:p>
    <w:tbl>
      <w:tblPr>
        <w:tblStyle w:val="9"/>
        <w:tblpPr w:leftFromText="180" w:rightFromText="180" w:vertAnchor="page" w:horzAnchor="page" w:tblpX="1109" w:tblpY="3260"/>
        <w:tblOverlap w:val="never"/>
        <w:tblW w:w="97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9"/>
        <w:gridCol w:w="1583"/>
        <w:gridCol w:w="2000"/>
        <w:gridCol w:w="1775"/>
        <w:gridCol w:w="2042"/>
        <w:gridCol w:w="1445"/>
      </w:tblGrid>
      <w:tr w14:paraId="4B4E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859" w:type="dxa"/>
            <w:tcBorders>
              <w:top w:val="single" w:color="auto" w:sz="12" w:space="0"/>
              <w:left w:val="single" w:color="auto" w:sz="12" w:space="0"/>
            </w:tcBorders>
            <w:vAlign w:val="center"/>
          </w:tcPr>
          <w:p w14:paraId="264D89C0">
            <w:pPr>
              <w:keepNext w:val="0"/>
              <w:keepLines w:val="0"/>
              <w:pageBreakBefore w:val="0"/>
              <w:widowControl/>
              <w:suppressLineNumbers w:val="0"/>
              <w:kinsoku w:val="0"/>
              <w:wordWrap/>
              <w:overflowPunct/>
              <w:topLinePunct w:val="0"/>
              <w:autoSpaceDE w:val="0"/>
              <w:autoSpaceDN w:val="0"/>
              <w:bidi w:val="0"/>
              <w:adjustRightInd w:val="0"/>
              <w:snapToGrid/>
              <w:spacing w:before="121" w:beforeAutospacing="0" w:after="0" w:afterAutospacing="0" w:line="240" w:lineRule="auto"/>
              <w:ind w:left="0" w:right="0"/>
              <w:jc w:val="center"/>
              <w:textAlignment w:val="baseline"/>
              <w:rPr>
                <w:rFonts w:hint="default"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pPr>
            <w:r>
              <w:rPr>
                <w:rFonts w:hint="eastAsia"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t>序号</w:t>
            </w:r>
          </w:p>
        </w:tc>
        <w:tc>
          <w:tcPr>
            <w:tcW w:w="1583" w:type="dxa"/>
            <w:tcBorders>
              <w:top w:val="single" w:color="auto" w:sz="12" w:space="0"/>
            </w:tcBorders>
            <w:vAlign w:val="center"/>
          </w:tcPr>
          <w:p w14:paraId="4C25A31F">
            <w:pPr>
              <w:keepNext w:val="0"/>
              <w:keepLines w:val="0"/>
              <w:pageBreakBefore w:val="0"/>
              <w:widowControl/>
              <w:suppressLineNumbers w:val="0"/>
              <w:kinsoku w:val="0"/>
              <w:wordWrap/>
              <w:overflowPunct/>
              <w:topLinePunct w:val="0"/>
              <w:autoSpaceDE w:val="0"/>
              <w:autoSpaceDN w:val="0"/>
              <w:bidi w:val="0"/>
              <w:adjustRightInd w:val="0"/>
              <w:snapToGrid/>
              <w:spacing w:before="121" w:beforeAutospacing="0" w:after="0" w:afterAutospacing="0" w:line="240" w:lineRule="auto"/>
              <w:ind w:left="0" w:right="0"/>
              <w:jc w:val="center"/>
              <w:textAlignment w:val="baseline"/>
              <w:rPr>
                <w:rFonts w:hint="default"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pPr>
            <w:r>
              <w:rPr>
                <w:rFonts w:hint="eastAsia"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t>协议名称</w:t>
            </w:r>
          </w:p>
        </w:tc>
        <w:tc>
          <w:tcPr>
            <w:tcW w:w="2000" w:type="dxa"/>
            <w:tcBorders>
              <w:top w:val="single" w:color="auto" w:sz="12" w:space="0"/>
            </w:tcBorders>
            <w:vAlign w:val="center"/>
          </w:tcPr>
          <w:p w14:paraId="30048622">
            <w:pPr>
              <w:keepNext w:val="0"/>
              <w:keepLines w:val="0"/>
              <w:pageBreakBefore w:val="0"/>
              <w:widowControl/>
              <w:suppressLineNumbers w:val="0"/>
              <w:kinsoku w:val="0"/>
              <w:wordWrap/>
              <w:overflowPunct/>
              <w:topLinePunct w:val="0"/>
              <w:autoSpaceDE w:val="0"/>
              <w:autoSpaceDN w:val="0"/>
              <w:bidi w:val="0"/>
              <w:adjustRightInd w:val="0"/>
              <w:snapToGrid/>
              <w:spacing w:before="121" w:beforeAutospacing="0" w:after="0" w:afterAutospacing="0" w:line="240" w:lineRule="auto"/>
              <w:ind w:left="0" w:right="0"/>
              <w:jc w:val="center"/>
              <w:textAlignment w:val="baseline"/>
              <w:rPr>
                <w:rFonts w:hint="default"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pPr>
            <w:r>
              <w:rPr>
                <w:rFonts w:hint="eastAsia"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t>客户单位名称</w:t>
            </w:r>
          </w:p>
        </w:tc>
        <w:tc>
          <w:tcPr>
            <w:tcW w:w="1775" w:type="dxa"/>
            <w:tcBorders>
              <w:top w:val="single" w:color="auto" w:sz="12" w:space="0"/>
            </w:tcBorders>
            <w:vAlign w:val="center"/>
          </w:tcPr>
          <w:p w14:paraId="41961646">
            <w:pPr>
              <w:keepNext w:val="0"/>
              <w:keepLines w:val="0"/>
              <w:pageBreakBefore w:val="0"/>
              <w:widowControl/>
              <w:suppressLineNumbers w:val="0"/>
              <w:kinsoku w:val="0"/>
              <w:wordWrap/>
              <w:overflowPunct/>
              <w:topLinePunct w:val="0"/>
              <w:autoSpaceDE w:val="0"/>
              <w:autoSpaceDN w:val="0"/>
              <w:bidi w:val="0"/>
              <w:adjustRightInd w:val="0"/>
              <w:snapToGrid/>
              <w:spacing w:before="121" w:beforeAutospacing="0" w:after="0" w:afterAutospacing="0" w:line="240" w:lineRule="auto"/>
              <w:ind w:left="0" w:right="0"/>
              <w:jc w:val="center"/>
              <w:textAlignment w:val="baseline"/>
              <w:rPr>
                <w:rFonts w:hint="eastAsia"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pPr>
            <w:r>
              <w:rPr>
                <w:rFonts w:hint="eastAsia"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t>服务内容</w:t>
            </w:r>
          </w:p>
        </w:tc>
        <w:tc>
          <w:tcPr>
            <w:tcW w:w="2042" w:type="dxa"/>
            <w:tcBorders>
              <w:top w:val="single" w:color="auto" w:sz="12" w:space="0"/>
            </w:tcBorders>
            <w:vAlign w:val="center"/>
          </w:tcPr>
          <w:p w14:paraId="5C06D965">
            <w:pPr>
              <w:keepNext w:val="0"/>
              <w:keepLines w:val="0"/>
              <w:pageBreakBefore w:val="0"/>
              <w:widowControl/>
              <w:suppressLineNumbers w:val="0"/>
              <w:kinsoku w:val="0"/>
              <w:wordWrap/>
              <w:overflowPunct/>
              <w:topLinePunct w:val="0"/>
              <w:autoSpaceDE w:val="0"/>
              <w:autoSpaceDN w:val="0"/>
              <w:bidi w:val="0"/>
              <w:adjustRightInd w:val="0"/>
              <w:snapToGrid/>
              <w:spacing w:before="121" w:beforeAutospacing="0" w:after="0" w:afterAutospacing="0" w:line="240" w:lineRule="auto"/>
              <w:ind w:left="0" w:right="0"/>
              <w:jc w:val="center"/>
              <w:textAlignment w:val="baseline"/>
              <w:rPr>
                <w:rFonts w:hint="default"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pPr>
            <w:r>
              <w:rPr>
                <w:rFonts w:hint="eastAsia"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t>协议签订日期</w:t>
            </w:r>
          </w:p>
        </w:tc>
        <w:tc>
          <w:tcPr>
            <w:tcW w:w="1445" w:type="dxa"/>
            <w:tcBorders>
              <w:top w:val="single" w:color="auto" w:sz="12" w:space="0"/>
              <w:right w:val="single" w:color="auto" w:sz="12" w:space="0"/>
            </w:tcBorders>
            <w:vAlign w:val="center"/>
          </w:tcPr>
          <w:p w14:paraId="22A076CE">
            <w:pPr>
              <w:keepNext w:val="0"/>
              <w:keepLines w:val="0"/>
              <w:pageBreakBefore w:val="0"/>
              <w:widowControl/>
              <w:suppressLineNumbers w:val="0"/>
              <w:kinsoku w:val="0"/>
              <w:wordWrap/>
              <w:overflowPunct/>
              <w:topLinePunct w:val="0"/>
              <w:autoSpaceDE w:val="0"/>
              <w:autoSpaceDN w:val="0"/>
              <w:bidi w:val="0"/>
              <w:adjustRightInd w:val="0"/>
              <w:snapToGrid w:val="0"/>
              <w:spacing w:before="121" w:beforeAutospacing="0" w:after="0" w:afterAutospacing="0" w:line="240" w:lineRule="auto"/>
              <w:ind w:left="0" w:right="0"/>
              <w:jc w:val="center"/>
              <w:textAlignment w:val="baseline"/>
              <w:rPr>
                <w:rFonts w:hint="eastAsia"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pPr>
            <w:r>
              <w:rPr>
                <w:rFonts w:hint="eastAsia"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t>协议金额</w:t>
            </w:r>
          </w:p>
          <w:p w14:paraId="488E7053">
            <w:pPr>
              <w:keepNext w:val="0"/>
              <w:keepLines w:val="0"/>
              <w:pageBreakBefore w:val="0"/>
              <w:widowControl/>
              <w:suppressLineNumbers w:val="0"/>
              <w:kinsoku w:val="0"/>
              <w:wordWrap/>
              <w:overflowPunct/>
              <w:topLinePunct w:val="0"/>
              <w:autoSpaceDE w:val="0"/>
              <w:autoSpaceDN w:val="0"/>
              <w:bidi w:val="0"/>
              <w:adjustRightInd w:val="0"/>
              <w:snapToGrid w:val="0"/>
              <w:spacing w:before="121" w:beforeAutospacing="0" w:after="0" w:afterAutospacing="0" w:line="240" w:lineRule="auto"/>
              <w:ind w:left="0" w:right="0"/>
              <w:jc w:val="center"/>
              <w:textAlignment w:val="baseline"/>
              <w:rPr>
                <w:rFonts w:hint="eastAsia"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pPr>
            <w:r>
              <w:rPr>
                <w:rFonts w:hint="eastAsia"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t>（万元）</w:t>
            </w:r>
          </w:p>
        </w:tc>
      </w:tr>
      <w:tr w14:paraId="72F3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859" w:type="dxa"/>
            <w:tcBorders>
              <w:left w:val="single" w:color="auto" w:sz="12" w:space="0"/>
            </w:tcBorders>
            <w:vAlign w:val="center"/>
          </w:tcPr>
          <w:p w14:paraId="4CDDD7FC">
            <w:pPr>
              <w:keepNext w:val="0"/>
              <w:keepLines w:val="0"/>
              <w:pageBreakBefore w:val="0"/>
              <w:widowControl/>
              <w:suppressLineNumbers w:val="0"/>
              <w:kinsoku w:val="0"/>
              <w:wordWrap/>
              <w:overflowPunct/>
              <w:topLinePunct w:val="0"/>
              <w:autoSpaceDE w:val="0"/>
              <w:autoSpaceDN w:val="0"/>
              <w:bidi w:val="0"/>
              <w:adjustRightInd w:val="0"/>
              <w:snapToGrid/>
              <w:spacing w:before="121"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t>1</w:t>
            </w:r>
          </w:p>
        </w:tc>
        <w:tc>
          <w:tcPr>
            <w:tcW w:w="1583" w:type="dxa"/>
            <w:vAlign w:val="center"/>
          </w:tcPr>
          <w:p w14:paraId="3016AEB4">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default" w:ascii="仿宋_GB2312" w:hAnsi="仿宋_GB2312" w:eastAsia="仿宋_GB2312" w:cs="仿宋_GB2312"/>
                <w:sz w:val="24"/>
                <w:szCs w:val="24"/>
                <w:lang w:val="en-US" w:eastAsia="zh-CN"/>
              </w:rPr>
            </w:pPr>
          </w:p>
        </w:tc>
        <w:tc>
          <w:tcPr>
            <w:tcW w:w="2000" w:type="dxa"/>
            <w:vAlign w:val="center"/>
          </w:tcPr>
          <w:p w14:paraId="574FD840">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1775" w:type="dxa"/>
            <w:vAlign w:val="center"/>
          </w:tcPr>
          <w:p w14:paraId="13056ED4">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2042" w:type="dxa"/>
            <w:vAlign w:val="center"/>
          </w:tcPr>
          <w:p w14:paraId="62D1BCFA">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1445" w:type="dxa"/>
            <w:tcBorders>
              <w:right w:val="single" w:color="auto" w:sz="12" w:space="0"/>
            </w:tcBorders>
            <w:vAlign w:val="center"/>
          </w:tcPr>
          <w:p w14:paraId="054AD103">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r>
      <w:tr w14:paraId="5E27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859" w:type="dxa"/>
            <w:tcBorders>
              <w:left w:val="single" w:color="auto" w:sz="12" w:space="0"/>
            </w:tcBorders>
            <w:vAlign w:val="center"/>
          </w:tcPr>
          <w:p w14:paraId="325D0191">
            <w:pPr>
              <w:keepNext w:val="0"/>
              <w:keepLines w:val="0"/>
              <w:pageBreakBefore w:val="0"/>
              <w:widowControl/>
              <w:suppressLineNumbers w:val="0"/>
              <w:kinsoku w:val="0"/>
              <w:wordWrap/>
              <w:overflowPunct/>
              <w:topLinePunct w:val="0"/>
              <w:autoSpaceDE w:val="0"/>
              <w:autoSpaceDN w:val="0"/>
              <w:bidi w:val="0"/>
              <w:adjustRightInd w:val="0"/>
              <w:snapToGrid/>
              <w:spacing w:before="121"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t>2</w:t>
            </w:r>
          </w:p>
        </w:tc>
        <w:tc>
          <w:tcPr>
            <w:tcW w:w="1583" w:type="dxa"/>
            <w:vAlign w:val="center"/>
          </w:tcPr>
          <w:p w14:paraId="1582F9CB">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default" w:ascii="仿宋_GB2312" w:hAnsi="仿宋_GB2312" w:eastAsia="仿宋_GB2312" w:cs="仿宋_GB2312"/>
                <w:sz w:val="24"/>
                <w:szCs w:val="24"/>
                <w:lang w:val="en-US" w:eastAsia="zh-CN"/>
              </w:rPr>
            </w:pPr>
          </w:p>
        </w:tc>
        <w:tc>
          <w:tcPr>
            <w:tcW w:w="2000" w:type="dxa"/>
            <w:vAlign w:val="center"/>
          </w:tcPr>
          <w:p w14:paraId="72B3524E">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1775" w:type="dxa"/>
            <w:vAlign w:val="center"/>
          </w:tcPr>
          <w:p w14:paraId="348958ED">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2042" w:type="dxa"/>
            <w:vAlign w:val="center"/>
          </w:tcPr>
          <w:p w14:paraId="5D240E62">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1445" w:type="dxa"/>
            <w:tcBorders>
              <w:right w:val="single" w:color="auto" w:sz="12" w:space="0"/>
            </w:tcBorders>
            <w:vAlign w:val="center"/>
          </w:tcPr>
          <w:p w14:paraId="3B0E2759">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r>
      <w:tr w14:paraId="33DA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859" w:type="dxa"/>
            <w:tcBorders>
              <w:left w:val="single" w:color="auto" w:sz="12" w:space="0"/>
            </w:tcBorders>
            <w:vAlign w:val="center"/>
          </w:tcPr>
          <w:p w14:paraId="3B4D54A8">
            <w:pPr>
              <w:keepNext w:val="0"/>
              <w:keepLines w:val="0"/>
              <w:pageBreakBefore w:val="0"/>
              <w:widowControl/>
              <w:suppressLineNumbers w:val="0"/>
              <w:kinsoku w:val="0"/>
              <w:wordWrap/>
              <w:overflowPunct/>
              <w:topLinePunct w:val="0"/>
              <w:autoSpaceDE w:val="0"/>
              <w:autoSpaceDN w:val="0"/>
              <w:bidi w:val="0"/>
              <w:adjustRightInd w:val="0"/>
              <w:snapToGrid/>
              <w:spacing w:before="121"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t>3</w:t>
            </w:r>
          </w:p>
        </w:tc>
        <w:tc>
          <w:tcPr>
            <w:tcW w:w="1583" w:type="dxa"/>
            <w:vAlign w:val="center"/>
          </w:tcPr>
          <w:p w14:paraId="77023A6D">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2000" w:type="dxa"/>
            <w:vAlign w:val="center"/>
          </w:tcPr>
          <w:p w14:paraId="6A046B18">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1775" w:type="dxa"/>
            <w:vAlign w:val="center"/>
          </w:tcPr>
          <w:p w14:paraId="4EF81E37">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2042" w:type="dxa"/>
            <w:vAlign w:val="center"/>
          </w:tcPr>
          <w:p w14:paraId="0E83C143">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1445" w:type="dxa"/>
            <w:tcBorders>
              <w:right w:val="single" w:color="auto" w:sz="12" w:space="0"/>
            </w:tcBorders>
            <w:vAlign w:val="center"/>
          </w:tcPr>
          <w:p w14:paraId="5F6E5404">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r>
      <w:tr w14:paraId="6684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859" w:type="dxa"/>
            <w:tcBorders>
              <w:left w:val="single" w:color="auto" w:sz="12" w:space="0"/>
            </w:tcBorders>
            <w:vAlign w:val="center"/>
          </w:tcPr>
          <w:p w14:paraId="5573869B">
            <w:pPr>
              <w:keepNext w:val="0"/>
              <w:keepLines w:val="0"/>
              <w:pageBreakBefore w:val="0"/>
              <w:widowControl/>
              <w:suppressLineNumbers w:val="0"/>
              <w:kinsoku w:val="0"/>
              <w:wordWrap/>
              <w:overflowPunct/>
              <w:topLinePunct w:val="0"/>
              <w:autoSpaceDE w:val="0"/>
              <w:autoSpaceDN w:val="0"/>
              <w:bidi w:val="0"/>
              <w:adjustRightInd w:val="0"/>
              <w:snapToGrid/>
              <w:spacing w:before="121"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t>4</w:t>
            </w:r>
          </w:p>
        </w:tc>
        <w:tc>
          <w:tcPr>
            <w:tcW w:w="1583" w:type="dxa"/>
            <w:vAlign w:val="center"/>
          </w:tcPr>
          <w:p w14:paraId="2B07F974">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2000" w:type="dxa"/>
            <w:vAlign w:val="center"/>
          </w:tcPr>
          <w:p w14:paraId="26715F88">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1775" w:type="dxa"/>
            <w:vAlign w:val="center"/>
          </w:tcPr>
          <w:p w14:paraId="00886666">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2042" w:type="dxa"/>
            <w:vAlign w:val="center"/>
          </w:tcPr>
          <w:p w14:paraId="3F5D3D7C">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1445" w:type="dxa"/>
            <w:tcBorders>
              <w:right w:val="single" w:color="auto" w:sz="12" w:space="0"/>
            </w:tcBorders>
            <w:vAlign w:val="center"/>
          </w:tcPr>
          <w:p w14:paraId="2402D0A9">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r>
      <w:tr w14:paraId="770D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859" w:type="dxa"/>
            <w:tcBorders>
              <w:left w:val="single" w:color="auto" w:sz="12" w:space="0"/>
            </w:tcBorders>
            <w:vAlign w:val="center"/>
          </w:tcPr>
          <w:p w14:paraId="13B12DD8">
            <w:pPr>
              <w:keepNext w:val="0"/>
              <w:keepLines w:val="0"/>
              <w:pageBreakBefore w:val="0"/>
              <w:widowControl/>
              <w:suppressLineNumbers w:val="0"/>
              <w:kinsoku w:val="0"/>
              <w:wordWrap/>
              <w:overflowPunct/>
              <w:topLinePunct w:val="0"/>
              <w:autoSpaceDE w:val="0"/>
              <w:autoSpaceDN w:val="0"/>
              <w:bidi w:val="0"/>
              <w:adjustRightInd w:val="0"/>
              <w:snapToGrid/>
              <w:spacing w:before="121"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t>5</w:t>
            </w:r>
          </w:p>
        </w:tc>
        <w:tc>
          <w:tcPr>
            <w:tcW w:w="1583" w:type="dxa"/>
            <w:vAlign w:val="center"/>
          </w:tcPr>
          <w:p w14:paraId="29938022">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2000" w:type="dxa"/>
            <w:vAlign w:val="center"/>
          </w:tcPr>
          <w:p w14:paraId="28BF06F0">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1775" w:type="dxa"/>
            <w:vAlign w:val="center"/>
          </w:tcPr>
          <w:p w14:paraId="4AA38B8F">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2042" w:type="dxa"/>
            <w:vAlign w:val="center"/>
          </w:tcPr>
          <w:p w14:paraId="283F6A4A">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1445" w:type="dxa"/>
            <w:tcBorders>
              <w:right w:val="single" w:color="auto" w:sz="12" w:space="0"/>
            </w:tcBorders>
            <w:vAlign w:val="center"/>
          </w:tcPr>
          <w:p w14:paraId="69AE04D0">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r>
      <w:tr w14:paraId="6C7E3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859" w:type="dxa"/>
            <w:tcBorders>
              <w:left w:val="single" w:color="auto" w:sz="12" w:space="0"/>
              <w:bottom w:val="single" w:color="auto" w:sz="12" w:space="0"/>
            </w:tcBorders>
            <w:vAlign w:val="center"/>
          </w:tcPr>
          <w:p w14:paraId="44BA971C">
            <w:pPr>
              <w:keepNext w:val="0"/>
              <w:keepLines w:val="0"/>
              <w:pageBreakBefore w:val="0"/>
              <w:widowControl/>
              <w:suppressLineNumbers w:val="0"/>
              <w:kinsoku w:val="0"/>
              <w:wordWrap/>
              <w:overflowPunct/>
              <w:topLinePunct w:val="0"/>
              <w:autoSpaceDE w:val="0"/>
              <w:autoSpaceDN w:val="0"/>
              <w:bidi w:val="0"/>
              <w:adjustRightInd w:val="0"/>
              <w:snapToGrid/>
              <w:spacing w:before="121"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pacing w:val="-2"/>
                <w:sz w:val="28"/>
                <w:szCs w:val="28"/>
                <w:lang w:val="en-US" w:eastAsia="zh-CN"/>
                <w14:textOutline w14:w="3831" w14:cap="flat" w14:cmpd="sng">
                  <w14:solidFill>
                    <w14:srgbClr w14:val="000000"/>
                  </w14:solidFill>
                  <w14:prstDash w14:val="solid"/>
                  <w14:miter w14:val="0"/>
                </w14:textOutline>
              </w:rPr>
              <w:t>6</w:t>
            </w:r>
          </w:p>
        </w:tc>
        <w:tc>
          <w:tcPr>
            <w:tcW w:w="1583" w:type="dxa"/>
            <w:tcBorders>
              <w:bottom w:val="single" w:color="auto" w:sz="12" w:space="0"/>
            </w:tcBorders>
            <w:vAlign w:val="center"/>
          </w:tcPr>
          <w:p w14:paraId="78A304E9">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2000" w:type="dxa"/>
            <w:tcBorders>
              <w:bottom w:val="single" w:color="auto" w:sz="12" w:space="0"/>
            </w:tcBorders>
            <w:vAlign w:val="center"/>
          </w:tcPr>
          <w:p w14:paraId="0D271D20">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1775" w:type="dxa"/>
            <w:tcBorders>
              <w:bottom w:val="single" w:color="auto" w:sz="12" w:space="0"/>
            </w:tcBorders>
            <w:vAlign w:val="center"/>
          </w:tcPr>
          <w:p w14:paraId="6772C613">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2042" w:type="dxa"/>
            <w:tcBorders>
              <w:bottom w:val="single" w:color="auto" w:sz="12" w:space="0"/>
            </w:tcBorders>
            <w:vAlign w:val="center"/>
          </w:tcPr>
          <w:p w14:paraId="4779B1D0">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c>
          <w:tcPr>
            <w:tcW w:w="1445" w:type="dxa"/>
            <w:tcBorders>
              <w:bottom w:val="single" w:color="auto" w:sz="12" w:space="0"/>
              <w:right w:val="single" w:color="auto" w:sz="12" w:space="0"/>
            </w:tcBorders>
            <w:vAlign w:val="center"/>
          </w:tcPr>
          <w:p w14:paraId="56CC2190">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center"/>
              <w:textAlignment w:val="baseline"/>
              <w:rPr>
                <w:rFonts w:hint="eastAsia" w:ascii="仿宋_GB2312" w:hAnsi="仿宋_GB2312" w:eastAsia="仿宋_GB2312" w:cs="仿宋_GB2312"/>
                <w:sz w:val="24"/>
                <w:szCs w:val="24"/>
                <w:lang w:val="en-US" w:eastAsia="zh-CN"/>
              </w:rPr>
            </w:pPr>
          </w:p>
        </w:tc>
      </w:tr>
    </w:tbl>
    <w:p w14:paraId="539F82C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注：1.如提供多份业绩，请按此格式逐一填写，可自行添加行；</w:t>
      </w:r>
    </w:p>
    <w:p w14:paraId="7F41E28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2.本表由投标人填写，用于证明其2023年1月1日以来，投标人承接的报关、仓储、物流综合服务项目以及付汇服务。</w:t>
      </w:r>
    </w:p>
    <w:p w14:paraId="09CA123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3.每份案例须提供合同关键页复印件（含合同封面、服务内容页、甲乙双方签章页、协议金额页、合同签订日期页）作为证明材料，并加盖投标人公章。</w:t>
      </w:r>
    </w:p>
    <w:p w14:paraId="44D1610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4.若提供信息不全或扫描件不清晰导致无法辨别的，该业绩不得分。</w:t>
      </w:r>
    </w:p>
    <w:p w14:paraId="1C50505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kern w:val="2"/>
          <w:sz w:val="28"/>
          <w:szCs w:val="28"/>
          <w:lang w:val="en-US" w:eastAsia="zh-CN" w:bidi="ar-SA"/>
        </w:rPr>
      </w:pPr>
    </w:p>
    <w:p w14:paraId="759390F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附合同扫描件关键页：</w:t>
      </w:r>
    </w:p>
    <w:p w14:paraId="3D76C93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（1）业绩1证明材料</w:t>
      </w:r>
    </w:p>
    <w:p w14:paraId="6E02707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（2）业绩2证明材料</w:t>
      </w:r>
    </w:p>
    <w:p w14:paraId="22456C6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w:t>
      </w:r>
    </w:p>
    <w:p w14:paraId="213B29F2">
      <w:pPr>
        <w:rPr>
          <w:rFonts w:hint="eastAsia" w:ascii="仿宋_GB2312" w:hAnsi="仿宋_GB2312" w:eastAsia="仿宋_GB2312" w:cs="仿宋_GB2312"/>
          <w:sz w:val="32"/>
          <w:szCs w:val="32"/>
          <w:lang w:val="en-US" w:eastAsia="zh-CN"/>
        </w:rPr>
      </w:pPr>
    </w:p>
    <w:p w14:paraId="5A06CF6F">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附件7：项目团队配置表</w:t>
      </w:r>
    </w:p>
    <w:p w14:paraId="6F5214EA">
      <w:p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项目团队配置表</w:t>
      </w:r>
    </w:p>
    <w:tbl>
      <w:tblPr>
        <w:tblStyle w:val="8"/>
        <w:tblW w:w="5404" w:type="pct"/>
        <w:tblInd w:w="-38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9"/>
        <w:gridCol w:w="1240"/>
        <w:gridCol w:w="1550"/>
        <w:gridCol w:w="1408"/>
        <w:gridCol w:w="1970"/>
        <w:gridCol w:w="2184"/>
      </w:tblGrid>
      <w:tr w14:paraId="66D67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5000" w:type="pct"/>
            <w:gridSpan w:val="6"/>
            <w:tcBorders>
              <w:top w:val="double" w:color="000000" w:sz="4" w:space="0"/>
              <w:left w:val="double" w:color="000000" w:sz="4" w:space="0"/>
              <w:bottom w:val="single" w:color="000000" w:sz="4" w:space="0"/>
              <w:right w:val="double" w:color="000000" w:sz="4" w:space="0"/>
            </w:tcBorders>
            <w:shd w:val="clear" w:color="auto" w:fill="auto"/>
            <w:vAlign w:val="center"/>
          </w:tcPr>
          <w:p w14:paraId="6FC4F414">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仿宋_GB2312" w:hAnsi="宋体" w:eastAsia="仿宋_GB2312" w:cs="仿宋_GB2312"/>
                <w:i w:val="0"/>
                <w:iCs w:val="0"/>
                <w:color w:val="000000"/>
                <w:sz w:val="28"/>
                <w:szCs w:val="28"/>
                <w:highlight w:val="none"/>
                <w:u w:val="none"/>
                <w:lang w:val="en-US" w:eastAsia="zh-CN"/>
                <w:woUserID w:val="1"/>
              </w:rPr>
            </w:pPr>
            <w:r>
              <w:rPr>
                <w:rFonts w:hint="eastAsia" w:ascii="仿宋_GB2312" w:hAnsi="仿宋_GB2312" w:eastAsia="仿宋_GB2312" w:cs="仿宋_GB2312"/>
                <w:snapToGrid w:val="0"/>
                <w:color w:val="000000"/>
                <w:spacing w:val="-2"/>
                <w:kern w:val="0"/>
                <w:sz w:val="32"/>
                <w:szCs w:val="32"/>
                <w:highlight w:val="none"/>
                <w:lang w:val="en-US" w:eastAsia="zh-CN" w:bidi="ar-SA"/>
                <w14:textOutline w14:w="3831" w14:cap="flat" w14:cmpd="sng">
                  <w14:solidFill>
                    <w14:srgbClr w14:val="000000"/>
                  </w14:solidFill>
                  <w14:prstDash w14:val="solid"/>
                  <w14:miter w14:val="0"/>
                </w14:textOutline>
              </w:rPr>
              <w:t>项目团队与人员配置清单</w:t>
            </w:r>
          </w:p>
        </w:tc>
      </w:tr>
      <w:tr w14:paraId="20BD8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5000" w:type="pct"/>
            <w:gridSpan w:val="6"/>
            <w:tcBorders>
              <w:top w:val="single" w:color="000000" w:sz="4" w:space="0"/>
              <w:left w:val="double" w:color="000000" w:sz="4" w:space="0"/>
              <w:bottom w:val="single" w:color="000000" w:sz="4" w:space="0"/>
              <w:right w:val="double" w:color="000000" w:sz="4" w:space="0"/>
            </w:tcBorders>
            <w:shd w:val="clear" w:color="auto" w:fill="auto"/>
            <w:vAlign w:val="center"/>
          </w:tcPr>
          <w:p w14:paraId="0C0F806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firstLine="0" w:firstLineChars="0"/>
              <w:jc w:val="left"/>
              <w:textAlignment w:val="center"/>
              <w:rPr>
                <w:rFonts w:hint="eastAsia" w:ascii="仿宋_GB2312" w:hAnsi="宋体" w:eastAsia="仿宋_GB2312" w:cs="仿宋_GB2312"/>
                <w:i w:val="0"/>
                <w:iCs w:val="0"/>
                <w:color w:val="000000"/>
                <w:sz w:val="28"/>
                <w:szCs w:val="28"/>
                <w:highlight w:val="none"/>
                <w:u w:val="none"/>
                <w:lang w:val="en-US" w:eastAsia="zh-CN"/>
                <w:woUserID w:val="1"/>
              </w:rPr>
            </w:pPr>
            <w:r>
              <w:rPr>
                <w:rFonts w:hint="eastAsia" w:ascii="仿宋_GB2312" w:hAnsi="宋体" w:eastAsia="仿宋_GB2312" w:cs="仿宋_GB2312"/>
                <w:b/>
                <w:bCs/>
                <w:i w:val="0"/>
                <w:iCs w:val="0"/>
                <w:snapToGrid w:val="0"/>
                <w:color w:val="000000"/>
                <w:kern w:val="0"/>
                <w:sz w:val="28"/>
                <w:szCs w:val="28"/>
                <w:highlight w:val="none"/>
                <w:u w:val="none"/>
                <w:lang w:val="en-US" w:eastAsia="zh" w:bidi="ar"/>
                <w:woUserID w:val="1"/>
              </w:rPr>
              <w:t>我单位承诺以下拟派</w:t>
            </w: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团队成员</w:t>
            </w:r>
            <w:r>
              <w:rPr>
                <w:rFonts w:hint="eastAsia" w:ascii="仿宋_GB2312" w:hAnsi="宋体" w:eastAsia="仿宋_GB2312" w:cs="仿宋_GB2312"/>
                <w:b/>
                <w:bCs/>
                <w:i w:val="0"/>
                <w:iCs w:val="0"/>
                <w:snapToGrid w:val="0"/>
                <w:color w:val="000000"/>
                <w:kern w:val="0"/>
                <w:sz w:val="28"/>
                <w:szCs w:val="28"/>
                <w:highlight w:val="none"/>
                <w:u w:val="none"/>
                <w:lang w:val="en-US" w:eastAsia="zh" w:bidi="ar"/>
                <w:woUserID w:val="1"/>
              </w:rPr>
              <w:t>信息真实有效，</w:t>
            </w: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核心人员为我单位自有员工，</w:t>
            </w:r>
            <w:r>
              <w:rPr>
                <w:rFonts w:hint="eastAsia" w:ascii="仿宋_GB2312" w:hAnsi="宋体" w:eastAsia="仿宋_GB2312" w:cs="仿宋_GB2312"/>
                <w:b/>
                <w:bCs/>
                <w:i w:val="0"/>
                <w:iCs w:val="0"/>
                <w:snapToGrid w:val="0"/>
                <w:color w:val="000000"/>
                <w:kern w:val="0"/>
                <w:sz w:val="28"/>
                <w:szCs w:val="28"/>
                <w:highlight w:val="none"/>
                <w:u w:val="none"/>
                <w:lang w:val="en-US" w:eastAsia="zh" w:bidi="ar"/>
                <w:woUserID w:val="1"/>
              </w:rPr>
              <w:t>服务能力能够满足本项目服务要求</w:t>
            </w: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w:t>
            </w:r>
          </w:p>
        </w:tc>
      </w:tr>
      <w:tr w14:paraId="36538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5000" w:type="pct"/>
            <w:gridSpan w:val="6"/>
            <w:tcBorders>
              <w:top w:val="single" w:color="000000" w:sz="4" w:space="0"/>
              <w:left w:val="double" w:color="000000" w:sz="4" w:space="0"/>
              <w:bottom w:val="single" w:color="000000" w:sz="4" w:space="0"/>
              <w:right w:val="double" w:color="000000" w:sz="4" w:space="0"/>
            </w:tcBorders>
            <w:shd w:val="clear" w:color="auto" w:fill="auto"/>
            <w:vAlign w:val="center"/>
          </w:tcPr>
          <w:p w14:paraId="2AE6CEF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firstLine="0" w:firstLineChars="0"/>
              <w:jc w:val="center"/>
              <w:textAlignment w:val="center"/>
              <w:rPr>
                <w:rFonts w:hint="default" w:ascii="仿宋_GB2312" w:hAnsi="宋体" w:eastAsia="仿宋_GB2312" w:cs="仿宋_GB2312"/>
                <w:b/>
                <w:bCs/>
                <w:i w:val="0"/>
                <w:iCs w:val="0"/>
                <w:snapToGrid w:val="0"/>
                <w:color w:val="000000"/>
                <w:kern w:val="0"/>
                <w:sz w:val="28"/>
                <w:szCs w:val="28"/>
                <w:highlight w:val="none"/>
                <w:u w:val="none"/>
                <w:lang w:val="en-US" w:eastAsia="zh-CN" w:bidi="ar"/>
                <w:woUserID w:val="1"/>
              </w:rPr>
            </w:pP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项目负责人简历表</w:t>
            </w:r>
          </w:p>
        </w:tc>
      </w:tr>
      <w:tr w14:paraId="2D763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471" w:type="pct"/>
            <w:tcBorders>
              <w:top w:val="single" w:color="000000" w:sz="4" w:space="0"/>
              <w:left w:val="double" w:color="000000" w:sz="4" w:space="0"/>
              <w:bottom w:val="single" w:color="000000" w:sz="4" w:space="0"/>
              <w:right w:val="single" w:color="000000" w:sz="4" w:space="0"/>
            </w:tcBorders>
            <w:shd w:val="clear" w:color="auto" w:fill="auto"/>
            <w:vAlign w:val="center"/>
          </w:tcPr>
          <w:p w14:paraId="3E9F9A8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firstLine="0" w:firstLineChars="0"/>
              <w:jc w:val="center"/>
              <w:textAlignment w:val="center"/>
              <w:rPr>
                <w:rFonts w:hint="eastAsia" w:ascii="仿宋_GB2312" w:hAnsi="宋体" w:eastAsia="仿宋_GB2312" w:cs="仿宋_GB2312"/>
                <w:b/>
                <w:bCs/>
                <w:i w:val="0"/>
                <w:iCs w:val="0"/>
                <w:snapToGrid w:val="0"/>
                <w:color w:val="000000"/>
                <w:kern w:val="0"/>
                <w:sz w:val="28"/>
                <w:szCs w:val="28"/>
                <w:highlight w:val="none"/>
                <w:u w:val="none"/>
                <w:lang w:val="en-US" w:eastAsia="zh" w:bidi="ar"/>
                <w:woUserID w:val="1"/>
              </w:rPr>
            </w:pP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序号</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73DF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firstLine="0" w:firstLineChars="0"/>
              <w:jc w:val="center"/>
              <w:textAlignment w:val="center"/>
              <w:rPr>
                <w:rFonts w:hint="eastAsia" w:ascii="仿宋_GB2312" w:hAnsi="宋体" w:eastAsia="仿宋_GB2312" w:cs="仿宋_GB2312"/>
                <w:b/>
                <w:bCs/>
                <w:i w:val="0"/>
                <w:iCs w:val="0"/>
                <w:snapToGrid w:val="0"/>
                <w:color w:val="000000"/>
                <w:kern w:val="0"/>
                <w:sz w:val="28"/>
                <w:szCs w:val="28"/>
                <w:highlight w:val="none"/>
                <w:u w:val="none"/>
                <w:lang w:val="en-US" w:eastAsia="zh" w:bidi="ar"/>
                <w:woUserID w:val="1"/>
              </w:rPr>
            </w:pP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姓名</w:t>
            </w: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5D66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firstLine="0" w:firstLineChars="0"/>
              <w:jc w:val="center"/>
              <w:textAlignment w:val="cente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pP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学历</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B3F3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firstLine="0" w:firstLineChars="0"/>
              <w:jc w:val="center"/>
              <w:textAlignment w:val="center"/>
              <w:rPr>
                <w:rFonts w:hint="default" w:ascii="仿宋_GB2312" w:hAnsi="宋体" w:eastAsia="仿宋_GB2312" w:cs="仿宋_GB2312"/>
                <w:b/>
                <w:bCs/>
                <w:i w:val="0"/>
                <w:iCs w:val="0"/>
                <w:snapToGrid w:val="0"/>
                <w:color w:val="000000"/>
                <w:kern w:val="0"/>
                <w:sz w:val="28"/>
                <w:szCs w:val="28"/>
                <w:highlight w:val="none"/>
                <w:u w:val="none"/>
                <w:lang w:val="en-US" w:eastAsia="zh-CN" w:bidi="ar"/>
                <w:woUserID w:val="1"/>
              </w:rPr>
            </w:pP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专业</w:t>
            </w:r>
          </w:p>
        </w:tc>
        <w:tc>
          <w:tcPr>
            <w:tcW w:w="10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BD1D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firstLine="0" w:firstLineChars="0"/>
              <w:jc w:val="center"/>
              <w:textAlignment w:val="center"/>
              <w:rPr>
                <w:rFonts w:hint="default" w:ascii="仿宋_GB2312" w:hAnsi="宋体" w:eastAsia="仿宋_GB2312" w:cs="仿宋_GB2312"/>
                <w:b/>
                <w:bCs/>
                <w:i w:val="0"/>
                <w:iCs w:val="0"/>
                <w:snapToGrid w:val="0"/>
                <w:color w:val="000000"/>
                <w:kern w:val="0"/>
                <w:sz w:val="28"/>
                <w:szCs w:val="28"/>
                <w:highlight w:val="none"/>
                <w:u w:val="none"/>
                <w:lang w:val="en-US" w:eastAsia="zh-CN" w:bidi="ar"/>
                <w:woUserID w:val="1"/>
              </w:rPr>
            </w:pP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资格证书</w:t>
            </w:r>
          </w:p>
        </w:tc>
        <w:tc>
          <w:tcPr>
            <w:tcW w:w="1161" w:type="pct"/>
            <w:tcBorders>
              <w:top w:val="single" w:color="000000" w:sz="4" w:space="0"/>
              <w:left w:val="single" w:color="000000" w:sz="4" w:space="0"/>
              <w:bottom w:val="single" w:color="000000" w:sz="4" w:space="0"/>
              <w:right w:val="double" w:color="000000" w:sz="4" w:space="0"/>
            </w:tcBorders>
            <w:shd w:val="clear" w:color="auto" w:fill="auto"/>
            <w:vAlign w:val="center"/>
          </w:tcPr>
          <w:p w14:paraId="4E03B73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firstLine="0" w:firstLineChars="0"/>
              <w:jc w:val="center"/>
              <w:textAlignment w:val="center"/>
              <w:rPr>
                <w:rFonts w:hint="default" w:ascii="仿宋_GB2312" w:hAnsi="宋体" w:eastAsia="仿宋_GB2312" w:cs="仿宋_GB2312"/>
                <w:b/>
                <w:bCs/>
                <w:i w:val="0"/>
                <w:iCs w:val="0"/>
                <w:snapToGrid w:val="0"/>
                <w:color w:val="000000"/>
                <w:kern w:val="0"/>
                <w:sz w:val="28"/>
                <w:szCs w:val="28"/>
                <w:highlight w:val="none"/>
                <w:u w:val="none"/>
                <w:lang w:val="en-US" w:eastAsia="zh-CN" w:bidi="ar"/>
                <w:woUserID w:val="1"/>
              </w:rPr>
            </w:pP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相关经验年限</w:t>
            </w:r>
          </w:p>
        </w:tc>
      </w:tr>
      <w:tr w14:paraId="594D4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71" w:type="pct"/>
            <w:tcBorders>
              <w:top w:val="single" w:color="000000" w:sz="4" w:space="0"/>
              <w:left w:val="double" w:color="000000" w:sz="4" w:space="0"/>
              <w:bottom w:val="single" w:color="000000" w:sz="4" w:space="0"/>
              <w:right w:val="single" w:color="000000" w:sz="4" w:space="0"/>
            </w:tcBorders>
            <w:shd w:val="clear" w:color="auto" w:fill="auto"/>
            <w:vAlign w:val="center"/>
          </w:tcPr>
          <w:p w14:paraId="6C4DCC48">
            <w:pPr>
              <w:keepNext w:val="0"/>
              <w:keepLines w:val="0"/>
              <w:widowControl/>
              <w:suppressLineNumbers w:val="0"/>
              <w:spacing w:before="0" w:beforeAutospacing="0" w:after="0" w:afterAutospacing="0"/>
              <w:ind w:left="0" w:right="0"/>
              <w:jc w:val="center"/>
              <w:rPr>
                <w:rFonts w:hint="eastAsia" w:ascii="仿宋_GB2312" w:hAnsi="宋体" w:eastAsia="仿宋_GB2312" w:cs="仿宋_GB2312"/>
                <w:i w:val="0"/>
                <w:iCs w:val="0"/>
                <w:color w:val="000000"/>
                <w:sz w:val="28"/>
                <w:szCs w:val="28"/>
                <w:highlight w:val="none"/>
                <w:u w:val="none"/>
                <w:lang w:val="en-US" w:eastAsia="zh-CN"/>
              </w:rPr>
            </w:pPr>
            <w:r>
              <w:rPr>
                <w:rFonts w:hint="eastAsia" w:ascii="仿宋_GB2312" w:hAnsi="宋体" w:eastAsia="仿宋_GB2312" w:cs="仿宋_GB2312"/>
                <w:i w:val="0"/>
                <w:iCs w:val="0"/>
                <w:color w:val="000000"/>
                <w:sz w:val="28"/>
                <w:szCs w:val="28"/>
                <w:highlight w:val="none"/>
                <w:u w:val="none"/>
                <w:lang w:val="en-US" w:eastAsia="zh-CN"/>
              </w:rPr>
              <w:t>1</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D6B70">
            <w:pPr>
              <w:keepNext w:val="0"/>
              <w:keepLines w:val="0"/>
              <w:widowControl/>
              <w:suppressLineNumbers w:val="0"/>
              <w:spacing w:before="0" w:beforeAutospacing="0" w:after="0" w:afterAutospacing="0"/>
              <w:ind w:left="0" w:right="0"/>
              <w:jc w:val="center"/>
              <w:rPr>
                <w:rFonts w:hint="eastAsia" w:ascii="仿宋_GB2312" w:hAnsi="宋体" w:eastAsia="仿宋_GB2312" w:cs="仿宋_GB2312"/>
                <w:i w:val="0"/>
                <w:iCs w:val="0"/>
                <w:color w:val="000000"/>
                <w:sz w:val="28"/>
                <w:szCs w:val="28"/>
                <w:highlight w:val="none"/>
                <w:u w:val="none"/>
              </w:rPr>
            </w:pP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1F031">
            <w:pPr>
              <w:keepNext w:val="0"/>
              <w:keepLines w:val="0"/>
              <w:widowControl/>
              <w:suppressLineNumbers w:val="0"/>
              <w:spacing w:before="0" w:beforeAutospacing="0" w:after="0" w:afterAutospacing="0"/>
              <w:ind w:left="0" w:right="0"/>
              <w:rPr>
                <w:rFonts w:hint="eastAsia" w:ascii="宋体" w:hAnsi="宋体" w:eastAsia="宋体" w:cs="宋体"/>
                <w:i w:val="0"/>
                <w:iCs w:val="0"/>
                <w:color w:val="000000"/>
                <w:sz w:val="22"/>
                <w:szCs w:val="22"/>
                <w:highlight w:val="none"/>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B3CE">
            <w:pPr>
              <w:keepNext w:val="0"/>
              <w:keepLines w:val="0"/>
              <w:widowControl/>
              <w:suppressLineNumbers w:val="0"/>
              <w:spacing w:before="0" w:beforeAutospacing="0" w:after="0" w:afterAutospacing="0"/>
              <w:ind w:left="0" w:leftChars="0" w:right="0" w:firstLine="0" w:firstLineChars="0"/>
              <w:rPr>
                <w:rFonts w:hint="eastAsia" w:ascii="宋体" w:hAnsi="宋体" w:eastAsia="宋体" w:cs="宋体"/>
                <w:i w:val="0"/>
                <w:iCs w:val="0"/>
                <w:color w:val="000000"/>
                <w:sz w:val="22"/>
                <w:szCs w:val="22"/>
                <w:highlight w:val="none"/>
                <w:u w:val="none"/>
              </w:rPr>
            </w:pP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F77D7">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i w:val="0"/>
                <w:iCs w:val="0"/>
                <w:color w:val="000000"/>
                <w:sz w:val="22"/>
                <w:szCs w:val="22"/>
                <w:highlight w:val="none"/>
                <w:u w:val="none"/>
                <w:lang w:val="en-US" w:eastAsia="zh-CN"/>
              </w:rPr>
            </w:pPr>
          </w:p>
        </w:tc>
        <w:tc>
          <w:tcPr>
            <w:tcW w:w="1161" w:type="pct"/>
            <w:tcBorders>
              <w:top w:val="single" w:color="000000" w:sz="4" w:space="0"/>
              <w:left w:val="single" w:color="000000" w:sz="4" w:space="0"/>
              <w:bottom w:val="single" w:color="000000" w:sz="4" w:space="0"/>
              <w:right w:val="double" w:color="000000" w:sz="4" w:space="0"/>
            </w:tcBorders>
            <w:shd w:val="clear" w:color="auto" w:fill="auto"/>
            <w:noWrap/>
            <w:vAlign w:val="center"/>
          </w:tcPr>
          <w:p w14:paraId="5D264FDA">
            <w:pPr>
              <w:keepNext w:val="0"/>
              <w:keepLines w:val="0"/>
              <w:widowControl/>
              <w:suppressLineNumbers w:val="0"/>
              <w:spacing w:before="0" w:beforeAutospacing="0" w:after="0" w:afterAutospacing="0"/>
              <w:ind w:left="0" w:leftChars="0" w:right="0" w:firstLine="0" w:firstLineChars="0"/>
              <w:rPr>
                <w:rFonts w:hint="eastAsia" w:ascii="宋体" w:hAnsi="宋体" w:eastAsia="宋体" w:cs="宋体"/>
                <w:i w:val="0"/>
                <w:iCs w:val="0"/>
                <w:color w:val="000000"/>
                <w:sz w:val="22"/>
                <w:szCs w:val="22"/>
                <w:highlight w:val="none"/>
                <w:u w:val="none"/>
              </w:rPr>
            </w:pPr>
          </w:p>
        </w:tc>
      </w:tr>
      <w:tr w14:paraId="72C3F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49" w:type="pct"/>
            <w:gridSpan w:val="2"/>
            <w:vMerge w:val="restart"/>
            <w:tcBorders>
              <w:top w:val="single" w:color="000000" w:sz="4" w:space="0"/>
              <w:left w:val="double" w:color="000000" w:sz="4" w:space="0"/>
              <w:bottom w:val="single" w:color="000000" w:sz="4" w:space="0"/>
              <w:right w:val="single" w:color="000000" w:sz="4" w:space="0"/>
            </w:tcBorders>
            <w:shd w:val="clear" w:color="auto" w:fill="auto"/>
            <w:vAlign w:val="center"/>
          </w:tcPr>
          <w:p w14:paraId="05AA1A0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firstLine="0" w:firstLineChars="0"/>
              <w:jc w:val="center"/>
              <w:textAlignment w:val="center"/>
              <w:rPr>
                <w:rFonts w:hint="default" w:ascii="仿宋_GB2312" w:hAnsi="宋体" w:eastAsia="仿宋_GB2312" w:cs="仿宋_GB2312"/>
                <w:b/>
                <w:bCs/>
                <w:i w:val="0"/>
                <w:iCs w:val="0"/>
                <w:snapToGrid w:val="0"/>
                <w:color w:val="000000"/>
                <w:kern w:val="0"/>
                <w:sz w:val="28"/>
                <w:szCs w:val="28"/>
                <w:highlight w:val="none"/>
                <w:u w:val="none"/>
                <w:lang w:val="en-US" w:eastAsia="zh-CN" w:bidi="ar"/>
                <w:woUserID w:val="1"/>
              </w:rPr>
            </w:pP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项目经验介绍</w:t>
            </w:r>
          </w:p>
        </w:tc>
        <w:tc>
          <w:tcPr>
            <w:tcW w:w="3850" w:type="pct"/>
            <w:gridSpan w:val="4"/>
            <w:tcBorders>
              <w:top w:val="single" w:color="000000" w:sz="4" w:space="0"/>
              <w:left w:val="single" w:color="000000" w:sz="4" w:space="0"/>
              <w:bottom w:val="single" w:color="000000" w:sz="4" w:space="0"/>
              <w:right w:val="double" w:color="000000" w:sz="4" w:space="0"/>
            </w:tcBorders>
            <w:shd w:val="clear" w:color="auto" w:fill="auto"/>
            <w:vAlign w:val="center"/>
          </w:tcPr>
          <w:p w14:paraId="7E260F3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firstLine="0" w:firstLineChars="0"/>
              <w:jc w:val="center"/>
              <w:textAlignment w:val="cente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pPr>
          </w:p>
        </w:tc>
      </w:tr>
      <w:tr w14:paraId="7EBD0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49" w:type="pct"/>
            <w:gridSpan w:val="2"/>
            <w:vMerge w:val="continue"/>
            <w:tcBorders>
              <w:top w:val="single" w:color="000000" w:sz="4" w:space="0"/>
              <w:left w:val="double" w:color="000000" w:sz="4" w:space="0"/>
              <w:bottom w:val="single" w:color="000000" w:sz="4" w:space="0"/>
              <w:right w:val="single" w:color="000000" w:sz="4" w:space="0"/>
            </w:tcBorders>
            <w:shd w:val="clear" w:color="auto" w:fill="auto"/>
            <w:vAlign w:val="center"/>
          </w:tcPr>
          <w:p w14:paraId="0743064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firstLine="0" w:firstLineChars="0"/>
              <w:jc w:val="center"/>
              <w:textAlignment w:val="cente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pPr>
          </w:p>
        </w:tc>
        <w:tc>
          <w:tcPr>
            <w:tcW w:w="3850" w:type="pct"/>
            <w:gridSpan w:val="4"/>
            <w:tcBorders>
              <w:top w:val="single" w:color="000000" w:sz="4" w:space="0"/>
              <w:left w:val="single" w:color="000000" w:sz="4" w:space="0"/>
              <w:bottom w:val="single" w:color="000000" w:sz="4" w:space="0"/>
              <w:right w:val="double" w:color="000000" w:sz="4" w:space="0"/>
            </w:tcBorders>
            <w:shd w:val="clear" w:color="auto" w:fill="auto"/>
            <w:vAlign w:val="center"/>
          </w:tcPr>
          <w:p w14:paraId="5620412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firstLine="0" w:firstLineChars="0"/>
              <w:jc w:val="center"/>
              <w:textAlignment w:val="cente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pPr>
          </w:p>
        </w:tc>
      </w:tr>
      <w:tr w14:paraId="2E9CE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49" w:type="pct"/>
            <w:gridSpan w:val="2"/>
            <w:vMerge w:val="continue"/>
            <w:tcBorders>
              <w:top w:val="single" w:color="000000" w:sz="4" w:space="0"/>
              <w:left w:val="double" w:color="000000" w:sz="4" w:space="0"/>
              <w:bottom w:val="single" w:color="000000" w:sz="4" w:space="0"/>
              <w:right w:val="single" w:color="000000" w:sz="4" w:space="0"/>
            </w:tcBorders>
            <w:shd w:val="clear" w:color="auto" w:fill="auto"/>
            <w:vAlign w:val="center"/>
          </w:tcPr>
          <w:p w14:paraId="46330FD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firstLine="0" w:firstLineChars="0"/>
              <w:jc w:val="center"/>
              <w:textAlignment w:val="cente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pPr>
          </w:p>
        </w:tc>
        <w:tc>
          <w:tcPr>
            <w:tcW w:w="3850" w:type="pct"/>
            <w:gridSpan w:val="4"/>
            <w:tcBorders>
              <w:top w:val="single" w:color="000000" w:sz="4" w:space="0"/>
              <w:left w:val="single" w:color="000000" w:sz="4" w:space="0"/>
              <w:bottom w:val="single" w:color="000000" w:sz="4" w:space="0"/>
              <w:right w:val="double" w:color="000000" w:sz="4" w:space="0"/>
            </w:tcBorders>
            <w:shd w:val="clear" w:color="auto" w:fill="auto"/>
            <w:vAlign w:val="center"/>
          </w:tcPr>
          <w:p w14:paraId="60BAC00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firstLine="0" w:firstLineChars="0"/>
              <w:jc w:val="center"/>
              <w:textAlignment w:val="cente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pPr>
          </w:p>
        </w:tc>
      </w:tr>
      <w:tr w14:paraId="255F6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000" w:type="pct"/>
            <w:gridSpan w:val="6"/>
            <w:tcBorders>
              <w:top w:val="single" w:color="000000" w:sz="4" w:space="0"/>
              <w:left w:val="double" w:color="000000" w:sz="4" w:space="0"/>
              <w:bottom w:val="single" w:color="000000" w:sz="4" w:space="0"/>
              <w:right w:val="double" w:color="000000" w:sz="4" w:space="0"/>
            </w:tcBorders>
            <w:shd w:val="clear" w:color="auto" w:fill="auto"/>
            <w:vAlign w:val="center"/>
          </w:tcPr>
          <w:p w14:paraId="623ECDD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项目服务团队</w:t>
            </w:r>
          </w:p>
        </w:tc>
      </w:tr>
      <w:tr w14:paraId="26520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71" w:type="pct"/>
            <w:tcBorders>
              <w:top w:val="single" w:color="000000" w:sz="4" w:space="0"/>
              <w:left w:val="double" w:color="000000" w:sz="4" w:space="0"/>
              <w:bottom w:val="single" w:color="000000" w:sz="4" w:space="0"/>
              <w:right w:val="single" w:color="000000" w:sz="4" w:space="0"/>
            </w:tcBorders>
            <w:shd w:val="clear" w:color="auto" w:fill="auto"/>
            <w:vAlign w:val="center"/>
          </w:tcPr>
          <w:p w14:paraId="28030DC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rightChars="0" w:firstLine="0" w:firstLineChars="0"/>
              <w:jc w:val="center"/>
              <w:textAlignment w:val="center"/>
              <w:rPr>
                <w:rFonts w:hint="eastAsia" w:ascii="仿宋_GB2312" w:hAnsi="宋体" w:eastAsia="仿宋_GB2312" w:cs="仿宋_GB2312"/>
                <w:i w:val="0"/>
                <w:iCs w:val="0"/>
                <w:color w:val="000000"/>
                <w:sz w:val="28"/>
                <w:szCs w:val="28"/>
                <w:highlight w:val="none"/>
                <w:u w:val="none"/>
                <w:lang w:val="en-US" w:eastAsia="zh-CN"/>
              </w:rPr>
            </w:pP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序号</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20D2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rightChars="0" w:firstLine="0" w:firstLineChars="0"/>
              <w:jc w:val="center"/>
              <w:textAlignment w:val="center"/>
              <w:rPr>
                <w:rFonts w:hint="eastAsia" w:ascii="仿宋_GB2312" w:hAnsi="宋体" w:eastAsia="仿宋_GB2312" w:cs="仿宋_GB2312"/>
                <w:i w:val="0"/>
                <w:iCs w:val="0"/>
                <w:color w:val="000000"/>
                <w:sz w:val="28"/>
                <w:szCs w:val="28"/>
                <w:highlight w:val="none"/>
                <w:u w:val="none"/>
              </w:rPr>
            </w:pP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姓名</w:t>
            </w: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458F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岗位</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F1B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rightChars="0" w:firstLine="0" w:firstLineChars="0"/>
              <w:jc w:val="center"/>
              <w:textAlignment w:val="center"/>
              <w:rPr>
                <w:rFonts w:hint="default" w:ascii="仿宋_GB2312" w:hAnsi="宋体" w:eastAsia="仿宋_GB2312" w:cs="仿宋_GB2312"/>
                <w:b/>
                <w:bCs/>
                <w:i w:val="0"/>
                <w:iCs w:val="0"/>
                <w:snapToGrid w:val="0"/>
                <w:color w:val="000000"/>
                <w:kern w:val="0"/>
                <w:sz w:val="28"/>
                <w:szCs w:val="28"/>
                <w:highlight w:val="none"/>
                <w:u w:val="none"/>
                <w:lang w:val="en-US" w:eastAsia="zh" w:bidi="ar"/>
                <w:woUserID w:val="1"/>
              </w:rPr>
            </w:pP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从业年限</w:t>
            </w: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E343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rightChars="0" w:firstLine="0" w:firstLineChars="0"/>
              <w:jc w:val="center"/>
              <w:textAlignment w:val="center"/>
              <w:rPr>
                <w:rFonts w:hint="default" w:ascii="仿宋_GB2312" w:hAnsi="宋体" w:eastAsia="仿宋_GB2312" w:cs="仿宋_GB2312"/>
                <w:b/>
                <w:bCs/>
                <w:i w:val="0"/>
                <w:iCs w:val="0"/>
                <w:snapToGrid w:val="0"/>
                <w:color w:val="000000"/>
                <w:kern w:val="0"/>
                <w:sz w:val="28"/>
                <w:szCs w:val="28"/>
                <w:highlight w:val="none"/>
                <w:u w:val="none"/>
                <w:lang w:val="en-US" w:eastAsia="zh-CN" w:bidi="ar"/>
                <w:woUserID w:val="1"/>
              </w:rPr>
            </w:pP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资格证书</w:t>
            </w:r>
          </w:p>
        </w:tc>
        <w:tc>
          <w:tcPr>
            <w:tcW w:w="1161" w:type="pct"/>
            <w:tcBorders>
              <w:top w:val="single" w:color="000000" w:sz="4" w:space="0"/>
              <w:left w:val="single" w:color="000000" w:sz="4" w:space="0"/>
              <w:bottom w:val="single" w:color="000000" w:sz="4" w:space="0"/>
              <w:right w:val="double" w:color="000000" w:sz="4" w:space="0"/>
            </w:tcBorders>
            <w:shd w:val="clear" w:color="auto" w:fill="auto"/>
            <w:noWrap/>
            <w:vAlign w:val="center"/>
          </w:tcPr>
          <w:p w14:paraId="2E30C8F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leftChars="0" w:right="0" w:rightChars="0" w:firstLine="0" w:firstLineChars="0"/>
              <w:jc w:val="center"/>
              <w:textAlignment w:val="cente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pPr>
            <w:r>
              <w:rPr>
                <w:rFonts w:hint="eastAsia" w:ascii="仿宋_GB2312" w:hAnsi="宋体" w:eastAsia="仿宋_GB2312" w:cs="仿宋_GB2312"/>
                <w:b/>
                <w:bCs/>
                <w:i w:val="0"/>
                <w:iCs w:val="0"/>
                <w:snapToGrid w:val="0"/>
                <w:color w:val="000000"/>
                <w:kern w:val="0"/>
                <w:sz w:val="28"/>
                <w:szCs w:val="28"/>
                <w:highlight w:val="none"/>
                <w:u w:val="none"/>
                <w:lang w:val="en-US" w:eastAsia="zh-CN" w:bidi="ar"/>
                <w:woUserID w:val="1"/>
              </w:rPr>
              <w:t>本项目岗位职责</w:t>
            </w:r>
          </w:p>
        </w:tc>
      </w:tr>
      <w:tr w14:paraId="391B3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71" w:type="pct"/>
            <w:tcBorders>
              <w:top w:val="single" w:color="000000" w:sz="4" w:space="0"/>
              <w:left w:val="double" w:color="000000" w:sz="4" w:space="0"/>
              <w:bottom w:val="single" w:color="000000" w:sz="4" w:space="0"/>
              <w:right w:val="single" w:color="000000" w:sz="4" w:space="0"/>
            </w:tcBorders>
            <w:shd w:val="clear" w:color="auto" w:fill="auto"/>
            <w:vAlign w:val="center"/>
          </w:tcPr>
          <w:p w14:paraId="1F7CF307">
            <w:pPr>
              <w:keepNext w:val="0"/>
              <w:keepLines w:val="0"/>
              <w:widowControl/>
              <w:suppressLineNumbers w:val="0"/>
              <w:spacing w:before="0" w:beforeAutospacing="0" w:after="0" w:afterAutospacing="0"/>
              <w:ind w:left="0" w:right="0"/>
              <w:jc w:val="center"/>
              <w:rPr>
                <w:rFonts w:hint="default" w:ascii="仿宋_GB2312" w:hAnsi="宋体" w:eastAsia="仿宋_GB2312" w:cs="仿宋_GB2312"/>
                <w:i w:val="0"/>
                <w:iCs w:val="0"/>
                <w:color w:val="000000"/>
                <w:sz w:val="28"/>
                <w:szCs w:val="28"/>
                <w:highlight w:val="none"/>
                <w:u w:val="none"/>
                <w:lang w:val="en-US" w:eastAsia="zh-CN"/>
              </w:rPr>
            </w:pPr>
            <w:r>
              <w:rPr>
                <w:rFonts w:hint="eastAsia" w:ascii="仿宋_GB2312" w:hAnsi="宋体" w:eastAsia="仿宋_GB2312" w:cs="仿宋_GB2312"/>
                <w:i w:val="0"/>
                <w:iCs w:val="0"/>
                <w:color w:val="000000"/>
                <w:sz w:val="28"/>
                <w:szCs w:val="28"/>
                <w:highlight w:val="none"/>
                <w:u w:val="none"/>
                <w:lang w:val="en-US" w:eastAsia="zh-CN"/>
              </w:rPr>
              <w:t>1</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50FB6">
            <w:pPr>
              <w:keepNext w:val="0"/>
              <w:keepLines w:val="0"/>
              <w:widowControl/>
              <w:suppressLineNumbers w:val="0"/>
              <w:spacing w:before="0" w:beforeAutospacing="0" w:after="0" w:afterAutospacing="0"/>
              <w:ind w:left="0" w:right="0"/>
              <w:jc w:val="center"/>
              <w:rPr>
                <w:rFonts w:hint="eastAsia" w:ascii="仿宋_GB2312" w:hAnsi="宋体" w:eastAsia="仿宋_GB2312" w:cs="仿宋_GB2312"/>
                <w:i w:val="0"/>
                <w:iCs w:val="0"/>
                <w:color w:val="000000"/>
                <w:sz w:val="28"/>
                <w:szCs w:val="28"/>
                <w:highlight w:val="none"/>
                <w:u w:val="none"/>
              </w:rPr>
            </w:pP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693BF">
            <w:pPr>
              <w:keepNext w:val="0"/>
              <w:keepLines w:val="0"/>
              <w:widowControl/>
              <w:suppressLineNumbers w:val="0"/>
              <w:spacing w:before="0" w:beforeAutospacing="0" w:after="0" w:afterAutospacing="0"/>
              <w:ind w:left="0" w:right="0"/>
              <w:rPr>
                <w:rFonts w:hint="eastAsia" w:ascii="宋体" w:hAnsi="宋体" w:eastAsia="宋体" w:cs="宋体"/>
                <w:i w:val="0"/>
                <w:iCs w:val="0"/>
                <w:color w:val="000000"/>
                <w:sz w:val="22"/>
                <w:szCs w:val="22"/>
                <w:highlight w:val="none"/>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1D26E">
            <w:pPr>
              <w:keepNext w:val="0"/>
              <w:keepLines w:val="0"/>
              <w:widowControl/>
              <w:suppressLineNumbers w:val="0"/>
              <w:spacing w:before="0" w:beforeAutospacing="0" w:after="0" w:afterAutospacing="0"/>
              <w:ind w:left="0" w:leftChars="0" w:right="0" w:firstLine="0" w:firstLineChars="0"/>
              <w:rPr>
                <w:rFonts w:hint="eastAsia" w:ascii="宋体" w:hAnsi="宋体" w:eastAsia="宋体" w:cs="宋体"/>
                <w:i w:val="0"/>
                <w:iCs w:val="0"/>
                <w:color w:val="000000"/>
                <w:sz w:val="22"/>
                <w:szCs w:val="22"/>
                <w:highlight w:val="none"/>
                <w:u w:val="none"/>
              </w:rPr>
            </w:pP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6305D">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仿宋_GB2312" w:hAnsi="宋体" w:eastAsia="仿宋_GB2312" w:cs="仿宋_GB2312"/>
                <w:i w:val="0"/>
                <w:iCs w:val="0"/>
                <w:color w:val="000000"/>
                <w:sz w:val="22"/>
                <w:szCs w:val="22"/>
                <w:highlight w:val="none"/>
                <w:u w:val="none"/>
                <w:lang w:val="en-US" w:eastAsia="zh-CN"/>
                <w:woUserID w:val="1"/>
              </w:rPr>
            </w:pPr>
          </w:p>
        </w:tc>
        <w:tc>
          <w:tcPr>
            <w:tcW w:w="1161" w:type="pct"/>
            <w:tcBorders>
              <w:top w:val="single" w:color="000000" w:sz="4" w:space="0"/>
              <w:left w:val="single" w:color="000000" w:sz="4" w:space="0"/>
              <w:bottom w:val="single" w:color="000000" w:sz="4" w:space="0"/>
              <w:right w:val="double" w:color="000000" w:sz="4" w:space="0"/>
            </w:tcBorders>
            <w:shd w:val="clear" w:color="auto" w:fill="auto"/>
            <w:noWrap/>
            <w:vAlign w:val="center"/>
          </w:tcPr>
          <w:p w14:paraId="3E054063">
            <w:pPr>
              <w:keepNext w:val="0"/>
              <w:keepLines w:val="0"/>
              <w:widowControl/>
              <w:suppressLineNumbers w:val="0"/>
              <w:spacing w:before="0" w:beforeAutospacing="0" w:after="0" w:afterAutospacing="0"/>
              <w:ind w:left="0" w:leftChars="0" w:right="0" w:firstLine="0" w:firstLineChars="0"/>
              <w:rPr>
                <w:rFonts w:hint="eastAsia" w:ascii="宋体" w:hAnsi="宋体" w:eastAsia="宋体" w:cs="宋体"/>
                <w:i w:val="0"/>
                <w:iCs w:val="0"/>
                <w:color w:val="000000"/>
                <w:sz w:val="22"/>
                <w:szCs w:val="22"/>
                <w:highlight w:val="none"/>
                <w:u w:val="none"/>
              </w:rPr>
            </w:pPr>
          </w:p>
        </w:tc>
      </w:tr>
      <w:tr w14:paraId="66139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71" w:type="pct"/>
            <w:tcBorders>
              <w:top w:val="single" w:color="000000" w:sz="4" w:space="0"/>
              <w:left w:val="double" w:color="000000" w:sz="4" w:space="0"/>
              <w:bottom w:val="single" w:color="000000" w:sz="4" w:space="0"/>
              <w:right w:val="single" w:color="000000" w:sz="4" w:space="0"/>
            </w:tcBorders>
            <w:shd w:val="clear" w:color="auto" w:fill="auto"/>
            <w:vAlign w:val="center"/>
          </w:tcPr>
          <w:p w14:paraId="394E3967">
            <w:pPr>
              <w:keepNext w:val="0"/>
              <w:keepLines w:val="0"/>
              <w:widowControl/>
              <w:suppressLineNumbers w:val="0"/>
              <w:spacing w:before="0" w:beforeAutospacing="0" w:after="0" w:afterAutospacing="0"/>
              <w:ind w:left="0" w:right="0"/>
              <w:jc w:val="center"/>
              <w:rPr>
                <w:rFonts w:hint="default" w:ascii="仿宋_GB2312" w:hAnsi="宋体" w:eastAsia="仿宋_GB2312" w:cs="仿宋_GB2312"/>
                <w:i w:val="0"/>
                <w:iCs w:val="0"/>
                <w:color w:val="000000"/>
                <w:sz w:val="28"/>
                <w:szCs w:val="28"/>
                <w:highlight w:val="none"/>
                <w:u w:val="none"/>
                <w:lang w:val="en-US" w:eastAsia="zh-CN"/>
              </w:rPr>
            </w:pPr>
            <w:r>
              <w:rPr>
                <w:rFonts w:hint="eastAsia" w:ascii="仿宋_GB2312" w:hAnsi="宋体" w:eastAsia="仿宋_GB2312" w:cs="仿宋_GB2312"/>
                <w:i w:val="0"/>
                <w:iCs w:val="0"/>
                <w:color w:val="000000"/>
                <w:sz w:val="28"/>
                <w:szCs w:val="28"/>
                <w:highlight w:val="none"/>
                <w:u w:val="none"/>
                <w:lang w:val="en-US" w:eastAsia="zh-CN"/>
              </w:rPr>
              <w:t>2</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8F103">
            <w:pPr>
              <w:keepNext w:val="0"/>
              <w:keepLines w:val="0"/>
              <w:widowControl/>
              <w:suppressLineNumbers w:val="0"/>
              <w:spacing w:before="0" w:beforeAutospacing="0" w:after="0" w:afterAutospacing="0"/>
              <w:ind w:left="0" w:right="0"/>
              <w:jc w:val="center"/>
              <w:rPr>
                <w:rFonts w:hint="eastAsia" w:ascii="仿宋_GB2312" w:hAnsi="宋体" w:eastAsia="仿宋_GB2312" w:cs="仿宋_GB2312"/>
                <w:i w:val="0"/>
                <w:iCs w:val="0"/>
                <w:color w:val="000000"/>
                <w:sz w:val="28"/>
                <w:szCs w:val="28"/>
                <w:highlight w:val="none"/>
                <w:u w:val="none"/>
              </w:rPr>
            </w:pP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FF5BE">
            <w:pPr>
              <w:keepNext w:val="0"/>
              <w:keepLines w:val="0"/>
              <w:widowControl/>
              <w:suppressLineNumbers w:val="0"/>
              <w:spacing w:before="0" w:beforeAutospacing="0" w:after="0" w:afterAutospacing="0"/>
              <w:ind w:left="0" w:right="0"/>
              <w:rPr>
                <w:rFonts w:hint="eastAsia" w:ascii="宋体" w:hAnsi="宋体" w:eastAsia="宋体" w:cs="宋体"/>
                <w:i w:val="0"/>
                <w:iCs w:val="0"/>
                <w:color w:val="000000"/>
                <w:sz w:val="22"/>
                <w:szCs w:val="22"/>
                <w:highlight w:val="none"/>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4218">
            <w:pPr>
              <w:keepNext w:val="0"/>
              <w:keepLines w:val="0"/>
              <w:widowControl/>
              <w:suppressLineNumbers w:val="0"/>
              <w:spacing w:before="0" w:beforeAutospacing="0" w:after="0" w:afterAutospacing="0"/>
              <w:ind w:left="0" w:leftChars="0" w:right="0" w:firstLine="0" w:firstLineChars="0"/>
              <w:rPr>
                <w:rFonts w:hint="eastAsia" w:ascii="宋体" w:hAnsi="宋体" w:eastAsia="宋体" w:cs="宋体"/>
                <w:i w:val="0"/>
                <w:iCs w:val="0"/>
                <w:color w:val="000000"/>
                <w:sz w:val="22"/>
                <w:szCs w:val="22"/>
                <w:highlight w:val="none"/>
                <w:u w:val="none"/>
              </w:rPr>
            </w:pP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18C3">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仿宋_GB2312" w:hAnsi="宋体" w:eastAsia="仿宋_GB2312" w:cs="仿宋_GB2312"/>
                <w:i w:val="0"/>
                <w:iCs w:val="0"/>
                <w:color w:val="000000"/>
                <w:sz w:val="22"/>
                <w:szCs w:val="22"/>
                <w:highlight w:val="none"/>
                <w:u w:val="none"/>
                <w:lang w:val="en-US" w:eastAsia="zh-CN"/>
                <w:woUserID w:val="1"/>
              </w:rPr>
            </w:pPr>
          </w:p>
        </w:tc>
        <w:tc>
          <w:tcPr>
            <w:tcW w:w="1161" w:type="pct"/>
            <w:tcBorders>
              <w:top w:val="single" w:color="000000" w:sz="4" w:space="0"/>
              <w:left w:val="single" w:color="000000" w:sz="4" w:space="0"/>
              <w:bottom w:val="single" w:color="000000" w:sz="4" w:space="0"/>
              <w:right w:val="double" w:color="000000" w:sz="4" w:space="0"/>
            </w:tcBorders>
            <w:shd w:val="clear" w:color="auto" w:fill="auto"/>
            <w:noWrap/>
            <w:vAlign w:val="center"/>
          </w:tcPr>
          <w:p w14:paraId="27EEF4DC">
            <w:pPr>
              <w:keepNext w:val="0"/>
              <w:keepLines w:val="0"/>
              <w:widowControl/>
              <w:suppressLineNumbers w:val="0"/>
              <w:spacing w:before="0" w:beforeAutospacing="0" w:after="0" w:afterAutospacing="0"/>
              <w:ind w:left="0" w:leftChars="0" w:right="0" w:firstLine="0" w:firstLineChars="0"/>
              <w:rPr>
                <w:rFonts w:hint="eastAsia" w:ascii="宋体" w:hAnsi="宋体" w:eastAsia="宋体" w:cs="宋体"/>
                <w:i w:val="0"/>
                <w:iCs w:val="0"/>
                <w:color w:val="000000"/>
                <w:sz w:val="22"/>
                <w:szCs w:val="22"/>
                <w:highlight w:val="none"/>
                <w:u w:val="none"/>
              </w:rPr>
            </w:pPr>
          </w:p>
        </w:tc>
      </w:tr>
      <w:tr w14:paraId="10F78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71" w:type="pct"/>
            <w:tcBorders>
              <w:top w:val="single" w:color="000000" w:sz="4" w:space="0"/>
              <w:left w:val="double" w:color="000000" w:sz="4" w:space="0"/>
              <w:bottom w:val="single" w:color="000000" w:sz="4" w:space="0"/>
              <w:right w:val="single" w:color="000000" w:sz="4" w:space="0"/>
            </w:tcBorders>
            <w:shd w:val="clear" w:color="auto" w:fill="auto"/>
            <w:vAlign w:val="center"/>
          </w:tcPr>
          <w:p w14:paraId="6CDC86CB">
            <w:pPr>
              <w:keepNext w:val="0"/>
              <w:keepLines w:val="0"/>
              <w:widowControl/>
              <w:suppressLineNumbers w:val="0"/>
              <w:spacing w:before="0" w:beforeAutospacing="0" w:after="0" w:afterAutospacing="0"/>
              <w:ind w:left="0" w:right="0"/>
              <w:jc w:val="center"/>
              <w:rPr>
                <w:rFonts w:hint="default" w:ascii="仿宋_GB2312" w:hAnsi="宋体" w:eastAsia="仿宋_GB2312" w:cs="仿宋_GB2312"/>
                <w:i w:val="0"/>
                <w:iCs w:val="0"/>
                <w:color w:val="000000"/>
                <w:sz w:val="28"/>
                <w:szCs w:val="28"/>
                <w:highlight w:val="none"/>
                <w:u w:val="none"/>
                <w:lang w:val="en-US" w:eastAsia="zh-CN"/>
              </w:rPr>
            </w:pPr>
            <w:r>
              <w:rPr>
                <w:rFonts w:hint="eastAsia" w:ascii="仿宋_GB2312" w:hAnsi="宋体" w:eastAsia="仿宋_GB2312" w:cs="仿宋_GB2312"/>
                <w:i w:val="0"/>
                <w:iCs w:val="0"/>
                <w:color w:val="000000"/>
                <w:sz w:val="28"/>
                <w:szCs w:val="28"/>
                <w:highlight w:val="none"/>
                <w:u w:val="none"/>
                <w:lang w:val="en-US" w:eastAsia="zh-CN"/>
              </w:rPr>
              <w:t>3</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ACBA9">
            <w:pPr>
              <w:keepNext w:val="0"/>
              <w:keepLines w:val="0"/>
              <w:widowControl/>
              <w:suppressLineNumbers w:val="0"/>
              <w:spacing w:before="0" w:beforeAutospacing="0" w:after="0" w:afterAutospacing="0"/>
              <w:ind w:left="0" w:right="0"/>
              <w:jc w:val="center"/>
              <w:rPr>
                <w:rFonts w:hint="eastAsia" w:ascii="仿宋_GB2312" w:hAnsi="宋体" w:eastAsia="仿宋_GB2312" w:cs="仿宋_GB2312"/>
                <w:i w:val="0"/>
                <w:iCs w:val="0"/>
                <w:color w:val="000000"/>
                <w:sz w:val="28"/>
                <w:szCs w:val="28"/>
                <w:highlight w:val="none"/>
                <w:u w:val="none"/>
              </w:rPr>
            </w:pP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47066">
            <w:pPr>
              <w:keepNext w:val="0"/>
              <w:keepLines w:val="0"/>
              <w:widowControl/>
              <w:suppressLineNumbers w:val="0"/>
              <w:spacing w:before="0" w:beforeAutospacing="0" w:after="0" w:afterAutospacing="0"/>
              <w:ind w:left="0" w:right="0"/>
              <w:rPr>
                <w:rFonts w:hint="eastAsia" w:ascii="宋体" w:hAnsi="宋体" w:eastAsia="宋体" w:cs="宋体"/>
                <w:i w:val="0"/>
                <w:iCs w:val="0"/>
                <w:color w:val="000000"/>
                <w:sz w:val="22"/>
                <w:szCs w:val="22"/>
                <w:highlight w:val="none"/>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3DEDF">
            <w:pPr>
              <w:keepNext w:val="0"/>
              <w:keepLines w:val="0"/>
              <w:widowControl/>
              <w:suppressLineNumbers w:val="0"/>
              <w:spacing w:before="0" w:beforeAutospacing="0" w:after="0" w:afterAutospacing="0"/>
              <w:ind w:left="0" w:leftChars="0" w:right="0" w:firstLine="0" w:firstLineChars="0"/>
              <w:rPr>
                <w:rFonts w:hint="eastAsia" w:ascii="宋体" w:hAnsi="宋体" w:eastAsia="宋体" w:cs="宋体"/>
                <w:i w:val="0"/>
                <w:iCs w:val="0"/>
                <w:color w:val="000000"/>
                <w:sz w:val="22"/>
                <w:szCs w:val="22"/>
                <w:highlight w:val="none"/>
                <w:u w:val="none"/>
              </w:rPr>
            </w:pP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53F00">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仿宋_GB2312" w:hAnsi="宋体" w:eastAsia="仿宋_GB2312" w:cs="仿宋_GB2312"/>
                <w:i w:val="0"/>
                <w:iCs w:val="0"/>
                <w:color w:val="000000"/>
                <w:sz w:val="22"/>
                <w:szCs w:val="22"/>
                <w:highlight w:val="none"/>
                <w:u w:val="none"/>
                <w:lang w:val="en-US" w:eastAsia="zh-CN"/>
                <w:woUserID w:val="1"/>
              </w:rPr>
            </w:pPr>
          </w:p>
        </w:tc>
        <w:tc>
          <w:tcPr>
            <w:tcW w:w="1161" w:type="pct"/>
            <w:tcBorders>
              <w:top w:val="single" w:color="000000" w:sz="4" w:space="0"/>
              <w:left w:val="single" w:color="000000" w:sz="4" w:space="0"/>
              <w:bottom w:val="single" w:color="000000" w:sz="4" w:space="0"/>
              <w:right w:val="double" w:color="000000" w:sz="4" w:space="0"/>
            </w:tcBorders>
            <w:shd w:val="clear" w:color="auto" w:fill="auto"/>
            <w:noWrap/>
            <w:vAlign w:val="center"/>
          </w:tcPr>
          <w:p w14:paraId="163684A5">
            <w:pPr>
              <w:keepNext w:val="0"/>
              <w:keepLines w:val="0"/>
              <w:widowControl/>
              <w:suppressLineNumbers w:val="0"/>
              <w:spacing w:before="0" w:beforeAutospacing="0" w:after="0" w:afterAutospacing="0"/>
              <w:ind w:left="0" w:leftChars="0" w:right="0" w:firstLine="0" w:firstLineChars="0"/>
              <w:rPr>
                <w:rFonts w:hint="eastAsia" w:ascii="宋体" w:hAnsi="宋体" w:eastAsia="宋体" w:cs="宋体"/>
                <w:i w:val="0"/>
                <w:iCs w:val="0"/>
                <w:color w:val="000000"/>
                <w:sz w:val="22"/>
                <w:szCs w:val="22"/>
                <w:highlight w:val="none"/>
                <w:u w:val="none"/>
              </w:rPr>
            </w:pPr>
          </w:p>
        </w:tc>
      </w:tr>
      <w:tr w14:paraId="21515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71" w:type="pct"/>
            <w:tcBorders>
              <w:top w:val="single" w:color="000000" w:sz="4" w:space="0"/>
              <w:left w:val="double" w:color="000000" w:sz="4" w:space="0"/>
              <w:bottom w:val="single" w:color="000000" w:sz="4" w:space="0"/>
              <w:right w:val="single" w:color="000000" w:sz="4" w:space="0"/>
            </w:tcBorders>
            <w:shd w:val="clear" w:color="auto" w:fill="auto"/>
            <w:vAlign w:val="center"/>
          </w:tcPr>
          <w:p w14:paraId="3A91CD1D">
            <w:pPr>
              <w:keepNext w:val="0"/>
              <w:keepLines w:val="0"/>
              <w:widowControl/>
              <w:suppressLineNumbers w:val="0"/>
              <w:spacing w:before="0" w:beforeAutospacing="0" w:after="0" w:afterAutospacing="0"/>
              <w:ind w:left="0" w:right="0"/>
              <w:jc w:val="center"/>
              <w:rPr>
                <w:rFonts w:hint="default" w:ascii="仿宋_GB2312" w:hAnsi="宋体" w:eastAsia="仿宋_GB2312" w:cs="仿宋_GB2312"/>
                <w:i w:val="0"/>
                <w:iCs w:val="0"/>
                <w:color w:val="000000"/>
                <w:sz w:val="28"/>
                <w:szCs w:val="28"/>
                <w:highlight w:val="none"/>
                <w:u w:val="none"/>
                <w:lang w:val="en-US" w:eastAsia="zh-CN"/>
              </w:rPr>
            </w:pPr>
            <w:r>
              <w:rPr>
                <w:rFonts w:hint="eastAsia" w:ascii="仿宋_GB2312" w:hAnsi="宋体" w:eastAsia="仿宋_GB2312" w:cs="仿宋_GB2312"/>
                <w:i w:val="0"/>
                <w:iCs w:val="0"/>
                <w:color w:val="000000"/>
                <w:sz w:val="28"/>
                <w:szCs w:val="28"/>
                <w:highlight w:val="none"/>
                <w:u w:val="none"/>
                <w:lang w:val="en-US" w:eastAsia="zh-CN"/>
              </w:rPr>
              <w:t>4</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FA716">
            <w:pPr>
              <w:keepNext w:val="0"/>
              <w:keepLines w:val="0"/>
              <w:widowControl/>
              <w:suppressLineNumbers w:val="0"/>
              <w:spacing w:before="0" w:beforeAutospacing="0" w:after="0" w:afterAutospacing="0"/>
              <w:ind w:left="0" w:right="0"/>
              <w:jc w:val="center"/>
              <w:rPr>
                <w:rFonts w:hint="eastAsia" w:ascii="仿宋_GB2312" w:hAnsi="宋体" w:eastAsia="仿宋_GB2312" w:cs="仿宋_GB2312"/>
                <w:i w:val="0"/>
                <w:iCs w:val="0"/>
                <w:color w:val="000000"/>
                <w:sz w:val="28"/>
                <w:szCs w:val="28"/>
                <w:highlight w:val="none"/>
                <w:u w:val="none"/>
              </w:rPr>
            </w:pP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9AFD1">
            <w:pPr>
              <w:keepNext w:val="0"/>
              <w:keepLines w:val="0"/>
              <w:widowControl/>
              <w:suppressLineNumbers w:val="0"/>
              <w:spacing w:before="0" w:beforeAutospacing="0" w:after="0" w:afterAutospacing="0"/>
              <w:ind w:left="0" w:right="0"/>
              <w:rPr>
                <w:rFonts w:hint="eastAsia" w:ascii="宋体" w:hAnsi="宋体" w:eastAsia="宋体" w:cs="宋体"/>
                <w:i w:val="0"/>
                <w:iCs w:val="0"/>
                <w:color w:val="000000"/>
                <w:sz w:val="22"/>
                <w:szCs w:val="22"/>
                <w:highlight w:val="none"/>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72029">
            <w:pPr>
              <w:keepNext w:val="0"/>
              <w:keepLines w:val="0"/>
              <w:widowControl/>
              <w:suppressLineNumbers w:val="0"/>
              <w:spacing w:before="0" w:beforeAutospacing="0" w:after="0" w:afterAutospacing="0"/>
              <w:ind w:left="0" w:leftChars="0" w:right="0" w:firstLine="0" w:firstLineChars="0"/>
              <w:rPr>
                <w:rFonts w:hint="eastAsia" w:ascii="宋体" w:hAnsi="宋体" w:eastAsia="宋体" w:cs="宋体"/>
                <w:i w:val="0"/>
                <w:iCs w:val="0"/>
                <w:color w:val="000000"/>
                <w:sz w:val="22"/>
                <w:szCs w:val="22"/>
                <w:highlight w:val="none"/>
                <w:u w:val="none"/>
              </w:rPr>
            </w:pP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D7CC">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仿宋_GB2312" w:hAnsi="宋体" w:eastAsia="仿宋_GB2312" w:cs="仿宋_GB2312"/>
                <w:i w:val="0"/>
                <w:iCs w:val="0"/>
                <w:color w:val="000000"/>
                <w:sz w:val="22"/>
                <w:szCs w:val="22"/>
                <w:highlight w:val="none"/>
                <w:u w:val="none"/>
                <w:lang w:val="en-US" w:eastAsia="zh-CN"/>
                <w:woUserID w:val="1"/>
              </w:rPr>
            </w:pPr>
          </w:p>
        </w:tc>
        <w:tc>
          <w:tcPr>
            <w:tcW w:w="1161" w:type="pct"/>
            <w:tcBorders>
              <w:top w:val="single" w:color="000000" w:sz="4" w:space="0"/>
              <w:left w:val="single" w:color="000000" w:sz="4" w:space="0"/>
              <w:bottom w:val="single" w:color="000000" w:sz="4" w:space="0"/>
              <w:right w:val="double" w:color="000000" w:sz="4" w:space="0"/>
            </w:tcBorders>
            <w:shd w:val="clear" w:color="auto" w:fill="auto"/>
            <w:noWrap/>
            <w:vAlign w:val="center"/>
          </w:tcPr>
          <w:p w14:paraId="1906BB5E">
            <w:pPr>
              <w:keepNext w:val="0"/>
              <w:keepLines w:val="0"/>
              <w:widowControl/>
              <w:suppressLineNumbers w:val="0"/>
              <w:spacing w:before="0" w:beforeAutospacing="0" w:after="0" w:afterAutospacing="0"/>
              <w:ind w:left="0" w:leftChars="0" w:right="0" w:firstLine="0" w:firstLineChars="0"/>
              <w:rPr>
                <w:rFonts w:hint="eastAsia" w:ascii="宋体" w:hAnsi="宋体" w:eastAsia="宋体" w:cs="宋体"/>
                <w:i w:val="0"/>
                <w:iCs w:val="0"/>
                <w:color w:val="000000"/>
                <w:sz w:val="22"/>
                <w:szCs w:val="22"/>
                <w:highlight w:val="none"/>
                <w:u w:val="none"/>
              </w:rPr>
            </w:pPr>
          </w:p>
        </w:tc>
      </w:tr>
      <w:tr w14:paraId="3B19D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71" w:type="pct"/>
            <w:tcBorders>
              <w:top w:val="single" w:color="000000" w:sz="4" w:space="0"/>
              <w:left w:val="double" w:color="000000" w:sz="4" w:space="0"/>
              <w:bottom w:val="double" w:color="000000" w:sz="4" w:space="0"/>
              <w:right w:val="single" w:color="000000" w:sz="4" w:space="0"/>
            </w:tcBorders>
            <w:shd w:val="clear" w:color="auto" w:fill="auto"/>
            <w:vAlign w:val="center"/>
          </w:tcPr>
          <w:p w14:paraId="31BD9ABE">
            <w:pPr>
              <w:keepNext w:val="0"/>
              <w:keepLines w:val="0"/>
              <w:widowControl/>
              <w:suppressLineNumbers w:val="0"/>
              <w:spacing w:before="0" w:beforeAutospacing="0" w:after="0" w:afterAutospacing="0"/>
              <w:ind w:left="0" w:right="0"/>
              <w:jc w:val="center"/>
              <w:rPr>
                <w:rFonts w:hint="default" w:ascii="仿宋_GB2312" w:hAnsi="宋体" w:eastAsia="仿宋_GB2312" w:cs="仿宋_GB2312"/>
                <w:i w:val="0"/>
                <w:iCs w:val="0"/>
                <w:color w:val="000000"/>
                <w:sz w:val="28"/>
                <w:szCs w:val="28"/>
                <w:highlight w:val="none"/>
                <w:u w:val="none"/>
                <w:lang w:val="en-US" w:eastAsia="zh-CN"/>
              </w:rPr>
            </w:pPr>
            <w:r>
              <w:rPr>
                <w:rFonts w:hint="eastAsia" w:ascii="仿宋_GB2312" w:hAnsi="宋体" w:eastAsia="仿宋_GB2312" w:cs="仿宋_GB2312"/>
                <w:i w:val="0"/>
                <w:iCs w:val="0"/>
                <w:color w:val="000000"/>
                <w:sz w:val="28"/>
                <w:szCs w:val="28"/>
                <w:highlight w:val="none"/>
                <w:u w:val="none"/>
                <w:lang w:val="en-US" w:eastAsia="zh-CN"/>
              </w:rPr>
              <w:t>…</w:t>
            </w:r>
          </w:p>
        </w:tc>
        <w:tc>
          <w:tcPr>
            <w:tcW w:w="677" w:type="pct"/>
            <w:tcBorders>
              <w:top w:val="single" w:color="000000" w:sz="4" w:space="0"/>
              <w:left w:val="single" w:color="000000" w:sz="4" w:space="0"/>
              <w:bottom w:val="double" w:color="000000" w:sz="4" w:space="0"/>
              <w:right w:val="single" w:color="000000" w:sz="4" w:space="0"/>
            </w:tcBorders>
            <w:shd w:val="clear" w:color="auto" w:fill="auto"/>
            <w:vAlign w:val="center"/>
          </w:tcPr>
          <w:p w14:paraId="19F0CCF8">
            <w:pPr>
              <w:keepNext w:val="0"/>
              <w:keepLines w:val="0"/>
              <w:widowControl/>
              <w:suppressLineNumbers w:val="0"/>
              <w:spacing w:before="0" w:beforeAutospacing="0" w:after="0" w:afterAutospacing="0"/>
              <w:ind w:left="0" w:right="0"/>
              <w:jc w:val="center"/>
              <w:rPr>
                <w:rFonts w:hint="eastAsia" w:ascii="仿宋_GB2312" w:hAnsi="宋体" w:eastAsia="仿宋_GB2312" w:cs="仿宋_GB2312"/>
                <w:i w:val="0"/>
                <w:iCs w:val="0"/>
                <w:color w:val="000000"/>
                <w:sz w:val="28"/>
                <w:szCs w:val="28"/>
                <w:highlight w:val="none"/>
                <w:u w:val="none"/>
              </w:rPr>
            </w:pPr>
          </w:p>
        </w:tc>
        <w:tc>
          <w:tcPr>
            <w:tcW w:w="846" w:type="pct"/>
            <w:tcBorders>
              <w:top w:val="single" w:color="000000" w:sz="4" w:space="0"/>
              <w:left w:val="single" w:color="000000" w:sz="4" w:space="0"/>
              <w:bottom w:val="double" w:color="000000" w:sz="4" w:space="0"/>
              <w:right w:val="single" w:color="000000" w:sz="4" w:space="0"/>
            </w:tcBorders>
            <w:shd w:val="clear" w:color="auto" w:fill="auto"/>
            <w:vAlign w:val="center"/>
          </w:tcPr>
          <w:p w14:paraId="74FBE902">
            <w:pPr>
              <w:keepNext w:val="0"/>
              <w:keepLines w:val="0"/>
              <w:widowControl/>
              <w:suppressLineNumbers w:val="0"/>
              <w:spacing w:before="0" w:beforeAutospacing="0" w:after="0" w:afterAutospacing="0"/>
              <w:ind w:left="0" w:right="0"/>
              <w:rPr>
                <w:rFonts w:hint="eastAsia" w:ascii="宋体" w:hAnsi="宋体" w:eastAsia="宋体" w:cs="宋体"/>
                <w:i w:val="0"/>
                <w:iCs w:val="0"/>
                <w:color w:val="000000"/>
                <w:sz w:val="22"/>
                <w:szCs w:val="22"/>
                <w:highlight w:val="none"/>
                <w:u w:val="none"/>
              </w:rPr>
            </w:pPr>
          </w:p>
        </w:tc>
        <w:tc>
          <w:tcPr>
            <w:tcW w:w="769" w:type="pct"/>
            <w:tcBorders>
              <w:top w:val="single" w:color="000000" w:sz="4" w:space="0"/>
              <w:left w:val="single" w:color="000000" w:sz="4" w:space="0"/>
              <w:bottom w:val="double" w:color="000000" w:sz="4" w:space="0"/>
              <w:right w:val="single" w:color="000000" w:sz="4" w:space="0"/>
            </w:tcBorders>
            <w:shd w:val="clear" w:color="auto" w:fill="auto"/>
            <w:noWrap/>
            <w:vAlign w:val="center"/>
          </w:tcPr>
          <w:p w14:paraId="470D9594">
            <w:pPr>
              <w:keepNext w:val="0"/>
              <w:keepLines w:val="0"/>
              <w:widowControl/>
              <w:suppressLineNumbers w:val="0"/>
              <w:spacing w:before="0" w:beforeAutospacing="0" w:after="0" w:afterAutospacing="0"/>
              <w:ind w:left="0" w:leftChars="0" w:right="0" w:firstLine="0" w:firstLineChars="0"/>
              <w:rPr>
                <w:rFonts w:hint="eastAsia" w:ascii="宋体" w:hAnsi="宋体" w:eastAsia="宋体" w:cs="宋体"/>
                <w:i w:val="0"/>
                <w:iCs w:val="0"/>
                <w:color w:val="000000"/>
                <w:sz w:val="22"/>
                <w:szCs w:val="22"/>
                <w:highlight w:val="none"/>
                <w:u w:val="none"/>
              </w:rPr>
            </w:pPr>
          </w:p>
        </w:tc>
        <w:tc>
          <w:tcPr>
            <w:tcW w:w="1074" w:type="pct"/>
            <w:tcBorders>
              <w:top w:val="single" w:color="000000" w:sz="4" w:space="0"/>
              <w:left w:val="single" w:color="000000" w:sz="4" w:space="0"/>
              <w:bottom w:val="double" w:color="000000" w:sz="4" w:space="0"/>
              <w:right w:val="single" w:color="000000" w:sz="4" w:space="0"/>
            </w:tcBorders>
            <w:shd w:val="clear" w:color="auto" w:fill="auto"/>
            <w:noWrap/>
            <w:vAlign w:val="center"/>
          </w:tcPr>
          <w:p w14:paraId="3824735A">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仿宋_GB2312" w:hAnsi="宋体" w:eastAsia="仿宋_GB2312" w:cs="仿宋_GB2312"/>
                <w:i w:val="0"/>
                <w:iCs w:val="0"/>
                <w:color w:val="000000"/>
                <w:sz w:val="22"/>
                <w:szCs w:val="22"/>
                <w:highlight w:val="none"/>
                <w:u w:val="none"/>
                <w:lang w:val="en-US" w:eastAsia="zh-CN"/>
                <w:woUserID w:val="1"/>
              </w:rPr>
            </w:pPr>
          </w:p>
        </w:tc>
        <w:tc>
          <w:tcPr>
            <w:tcW w:w="1161" w:type="pct"/>
            <w:tcBorders>
              <w:top w:val="single" w:color="000000" w:sz="4" w:space="0"/>
              <w:left w:val="single" w:color="000000" w:sz="4" w:space="0"/>
              <w:bottom w:val="double" w:color="000000" w:sz="4" w:space="0"/>
              <w:right w:val="double" w:color="000000" w:sz="4" w:space="0"/>
            </w:tcBorders>
            <w:shd w:val="clear" w:color="auto" w:fill="auto"/>
            <w:noWrap/>
            <w:vAlign w:val="center"/>
          </w:tcPr>
          <w:p w14:paraId="26855A69">
            <w:pPr>
              <w:keepNext w:val="0"/>
              <w:keepLines w:val="0"/>
              <w:widowControl/>
              <w:suppressLineNumbers w:val="0"/>
              <w:spacing w:before="0" w:beforeAutospacing="0" w:after="0" w:afterAutospacing="0"/>
              <w:ind w:left="0" w:leftChars="0" w:right="0" w:firstLine="0" w:firstLineChars="0"/>
              <w:rPr>
                <w:rFonts w:hint="eastAsia" w:ascii="宋体" w:hAnsi="宋体" w:eastAsia="宋体" w:cs="宋体"/>
                <w:i w:val="0"/>
                <w:iCs w:val="0"/>
                <w:color w:val="000000"/>
                <w:sz w:val="22"/>
                <w:szCs w:val="22"/>
                <w:highlight w:val="none"/>
                <w:u w:val="none"/>
              </w:rPr>
            </w:pPr>
          </w:p>
        </w:tc>
      </w:tr>
    </w:tbl>
    <w:p w14:paraId="0A1E9ECB">
      <w:pPr>
        <w:keepNext w:val="0"/>
        <w:keepLines w:val="0"/>
        <w:widowControl/>
        <w:numPr>
          <w:ilvl w:val="0"/>
          <w:numId w:val="0"/>
        </w:numPr>
        <w:suppressLineNumbers w:val="0"/>
        <w:spacing w:before="0" w:beforeAutospacing="0" w:after="0" w:afterAutospacing="0"/>
        <w:ind w:left="0" w:right="0" w:rightChars="0"/>
        <w:jc w:val="both"/>
        <w:textAlignment w:val="bottom"/>
        <w:rPr>
          <w:rFonts w:hint="eastAsia" w:ascii="仿宋_GB2312" w:hAnsi="仿宋_GB2312" w:eastAsia="仿宋_GB2312" w:cs="仿宋_GB2312"/>
          <w:i w:val="0"/>
          <w:iCs w:val="0"/>
          <w:snapToGrid w:val="0"/>
          <w:color w:val="000000"/>
          <w:kern w:val="0"/>
          <w:sz w:val="24"/>
          <w:szCs w:val="24"/>
          <w:highlight w:val="none"/>
          <w:u w:val="none"/>
          <w:lang w:val="en-US" w:eastAsia="zh-CN" w:bidi="ar"/>
          <w:woUserID w:val="1"/>
        </w:rPr>
      </w:pPr>
      <w:r>
        <w:rPr>
          <w:rFonts w:hint="eastAsia" w:ascii="仿宋_GB2312" w:hAnsi="仿宋_GB2312" w:eastAsia="仿宋_GB2312" w:cs="仿宋_GB2312"/>
          <w:i w:val="0"/>
          <w:iCs w:val="0"/>
          <w:snapToGrid w:val="0"/>
          <w:color w:val="000000"/>
          <w:kern w:val="0"/>
          <w:sz w:val="24"/>
          <w:szCs w:val="24"/>
          <w:highlight w:val="none"/>
          <w:u w:val="none"/>
          <w:lang w:val="en-US" w:eastAsia="zh" w:bidi="ar"/>
          <w:woUserID w:val="1"/>
        </w:rPr>
        <w:t>注：</w:t>
      </w:r>
      <w:r>
        <w:rPr>
          <w:rFonts w:hint="eastAsia" w:ascii="仿宋_GB2312" w:hAnsi="仿宋_GB2312" w:eastAsia="仿宋_GB2312" w:cs="仿宋_GB2312"/>
          <w:i w:val="0"/>
          <w:iCs w:val="0"/>
          <w:snapToGrid w:val="0"/>
          <w:color w:val="000000"/>
          <w:kern w:val="0"/>
          <w:sz w:val="24"/>
          <w:szCs w:val="24"/>
          <w:highlight w:val="none"/>
          <w:u w:val="none"/>
          <w:lang w:val="en-US" w:eastAsia="zh-CN" w:bidi="ar"/>
          <w:woUserID w:val="1"/>
        </w:rPr>
        <w:t>需提供团队成员近三个月社保证明。</w:t>
      </w:r>
    </w:p>
    <w:p w14:paraId="628A80B2">
      <w:pPr>
        <w:keepNext w:val="0"/>
        <w:keepLines w:val="0"/>
        <w:widowControl/>
        <w:numPr>
          <w:ilvl w:val="0"/>
          <w:numId w:val="0"/>
        </w:numPr>
        <w:suppressLineNumbers w:val="0"/>
        <w:spacing w:before="0" w:beforeAutospacing="0" w:after="0" w:afterAutospacing="0"/>
        <w:ind w:left="0" w:right="0" w:rightChars="0"/>
        <w:jc w:val="both"/>
        <w:textAlignment w:val="bottom"/>
        <w:rPr>
          <w:rFonts w:hint="eastAsia" w:ascii="仿宋_GB2312" w:hAnsi="仿宋_GB2312" w:eastAsia="仿宋_GB2312" w:cs="仿宋_GB2312"/>
          <w:i w:val="0"/>
          <w:iCs w:val="0"/>
          <w:snapToGrid w:val="0"/>
          <w:color w:val="000000"/>
          <w:kern w:val="0"/>
          <w:sz w:val="24"/>
          <w:szCs w:val="24"/>
          <w:highlight w:val="none"/>
          <w:u w:val="none"/>
          <w:lang w:val="en-US" w:eastAsia="zh-CN" w:bidi="ar"/>
          <w:woUserID w:val="1"/>
        </w:rPr>
      </w:pPr>
    </w:p>
    <w:p w14:paraId="0A774148">
      <w:pPr>
        <w:snapToGrid w:val="0"/>
        <w:spacing w:line="500" w:lineRule="exact"/>
        <w:ind w:firstLine="640" w:firstLineChars="200"/>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投标人需提供以下证明材料：</w:t>
      </w:r>
    </w:p>
    <w:p w14:paraId="6E34AD27">
      <w:pPr>
        <w:snapToGrid w:val="0"/>
        <w:spacing w:line="500" w:lineRule="exact"/>
        <w:ind w:firstLine="640" w:firstLineChars="200"/>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1.项目经理相关证明材料</w:t>
      </w:r>
    </w:p>
    <w:p w14:paraId="660B1999">
      <w:pPr>
        <w:snapToGrid w:val="0"/>
        <w:spacing w:line="500" w:lineRule="exact"/>
        <w:ind w:firstLine="640" w:firstLineChars="200"/>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（1）学历证书</w:t>
      </w:r>
    </w:p>
    <w:p w14:paraId="4D906681">
      <w:pPr>
        <w:snapToGrid w:val="0"/>
        <w:spacing w:line="500" w:lineRule="exact"/>
        <w:ind w:firstLine="640" w:firstLineChars="200"/>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（2）项目经验证明材料</w:t>
      </w:r>
    </w:p>
    <w:p w14:paraId="30C58035">
      <w:pPr>
        <w:snapToGrid w:val="0"/>
        <w:spacing w:line="500" w:lineRule="exact"/>
        <w:ind w:firstLine="640" w:firstLineChars="200"/>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（3）资质证书</w:t>
      </w:r>
    </w:p>
    <w:p w14:paraId="5DF4B6D5">
      <w:pPr>
        <w:snapToGrid w:val="0"/>
        <w:spacing w:line="500" w:lineRule="exact"/>
        <w:ind w:firstLine="640" w:firstLineChars="200"/>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（4）近三个月社保证明</w:t>
      </w:r>
    </w:p>
    <w:p w14:paraId="64160175">
      <w:pPr>
        <w:snapToGrid w:val="0"/>
        <w:spacing w:line="500" w:lineRule="exact"/>
        <w:ind w:firstLine="640" w:firstLineChars="200"/>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2.项目团队成员近三个月社保证明</w:t>
      </w:r>
    </w:p>
    <w:p w14:paraId="17AB0109">
      <w:pPr>
        <w:snapToGrid w:val="0"/>
        <w:spacing w:line="500" w:lineRule="exact"/>
        <w:ind w:firstLine="640" w:firstLineChars="200"/>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（1）XX社保证明材料</w:t>
      </w:r>
    </w:p>
    <w:p w14:paraId="121AB21C">
      <w:pPr>
        <w:snapToGrid w:val="0"/>
        <w:spacing w:line="500" w:lineRule="exact"/>
        <w:ind w:firstLine="640" w:firstLineChars="200"/>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（2）XX社保证明材料</w:t>
      </w:r>
    </w:p>
    <w:p w14:paraId="438EED27">
      <w:pPr>
        <w:snapToGrid w:val="0"/>
        <w:spacing w:line="500" w:lineRule="exact"/>
        <w:ind w:firstLine="640" w:firstLineChars="200"/>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（3）XX社保证明材料</w:t>
      </w:r>
    </w:p>
    <w:p w14:paraId="13A4F18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1D02FC0A">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附件8：回执</w:t>
      </w:r>
    </w:p>
    <w:p w14:paraId="05726C83">
      <w:pPr>
        <w:keepNext w:val="0"/>
        <w:keepLines w:val="0"/>
        <w:pageBreakBefore w:val="0"/>
        <w:wordWrap/>
        <w:overflowPunct/>
        <w:topLinePunct w:val="0"/>
        <w:bidi w:val="0"/>
        <w:snapToGrid w:val="0"/>
        <w:spacing w:line="560" w:lineRule="exact"/>
        <w:jc w:val="center"/>
        <w:outlineLvl w:val="0"/>
        <w:rPr>
          <w:rFonts w:hint="eastAsia" w:ascii="黑体" w:hAnsi="黑体" w:eastAsia="黑体" w:cs="黑体"/>
          <w:b/>
          <w:bCs/>
          <w:color w:val="auto"/>
          <w:spacing w:val="-6"/>
          <w:sz w:val="32"/>
          <w:szCs w:val="32"/>
          <w:lang w:val="en-US" w:eastAsia="zh-CN"/>
        </w:rPr>
      </w:pPr>
      <w:r>
        <w:rPr>
          <w:rFonts w:hint="eastAsia" w:ascii="黑体" w:hAnsi="黑体" w:eastAsia="黑体" w:cs="黑体"/>
          <w:b/>
          <w:bCs/>
          <w:color w:val="auto"/>
          <w:spacing w:val="-6"/>
          <w:sz w:val="32"/>
          <w:szCs w:val="32"/>
          <w:lang w:val="en-US" w:eastAsia="zh-CN"/>
        </w:rPr>
        <w:t>回 执</w:t>
      </w:r>
    </w:p>
    <w:p w14:paraId="6CB7C538">
      <w:pPr>
        <w:pStyle w:val="6"/>
        <w:keepNext w:val="0"/>
        <w:keepLines w:val="0"/>
        <w:pageBreakBefore w:val="0"/>
        <w:wordWrap/>
        <w:overflowPunct/>
        <w:topLinePunct w:val="0"/>
        <w:bidi w:val="0"/>
        <w:snapToGrid w:val="0"/>
        <w:spacing w:line="560" w:lineRule="exact"/>
        <w:ind w:right="0"/>
        <w:jc w:val="both"/>
        <w:rPr>
          <w:rFonts w:hint="eastAsia" w:ascii="仿宋_GB2312" w:hAnsi="仿宋_GB2312" w:eastAsia="仿宋_GB2312" w:cs="仿宋_GB2312"/>
          <w:snapToGrid w:val="0"/>
          <w:color w:val="auto"/>
          <w:spacing w:val="19"/>
          <w:kern w:val="0"/>
          <w:sz w:val="32"/>
          <w:szCs w:val="32"/>
          <w:lang w:val="en-US" w:eastAsia="zh-CN" w:bidi="ar-SA"/>
        </w:rPr>
      </w:pPr>
    </w:p>
    <w:p w14:paraId="329274A0">
      <w:pPr>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致：深圳数智国际人才发展有限公司</w:t>
      </w:r>
    </w:p>
    <w:p w14:paraId="75EA6149">
      <w:pPr>
        <w:pStyle w:val="6"/>
        <w:keepNext w:val="0"/>
        <w:keepLines w:val="0"/>
        <w:pageBreakBefore w:val="0"/>
        <w:wordWrap/>
        <w:overflowPunct/>
        <w:topLinePunct w:val="0"/>
        <w:bidi w:val="0"/>
        <w:snapToGrid w:val="0"/>
        <w:spacing w:line="560" w:lineRule="exact"/>
        <w:ind w:left="0" w:right="0"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对于贵公司“</w:t>
      </w:r>
      <w:r>
        <w:rPr>
          <w:rFonts w:hint="eastAsia" w:ascii="仿宋_GB2312" w:hAnsi="仿宋_GB2312" w:eastAsia="仿宋_GB2312" w:cs="仿宋_GB2312"/>
          <w:kern w:val="0"/>
          <w:sz w:val="32"/>
          <w:szCs w:val="32"/>
          <w:lang w:val="en-US" w:eastAsia="zh" w:bidi="ar"/>
        </w:rPr>
        <w:t>货物报关及配套服务框架采购项目</w:t>
      </w:r>
      <w:r>
        <w:rPr>
          <w:rFonts w:hint="eastAsia" w:ascii="仿宋_GB2312" w:hAnsi="仿宋_GB2312" w:eastAsia="仿宋_GB2312" w:cs="仿宋_GB2312"/>
          <w:kern w:val="0"/>
          <w:sz w:val="32"/>
          <w:szCs w:val="32"/>
          <w:lang w:val="en-US" w:eastAsia="zh-CN" w:bidi="ar"/>
        </w:rPr>
        <w:t>”的招标，本单位愿意参加投标。</w:t>
      </w:r>
    </w:p>
    <w:p w14:paraId="0A5401F9">
      <w:pPr>
        <w:pStyle w:val="6"/>
        <w:keepNext w:val="0"/>
        <w:keepLines w:val="0"/>
        <w:pageBreakBefore w:val="0"/>
        <w:wordWrap/>
        <w:overflowPunct/>
        <w:topLinePunct w:val="0"/>
        <w:bidi w:val="0"/>
        <w:snapToGrid w:val="0"/>
        <w:spacing w:line="560" w:lineRule="exact"/>
        <w:ind w:left="0" w:right="0"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届时</w:t>
      </w:r>
      <w:r>
        <w:rPr>
          <w:rFonts w:hint="eastAsia" w:ascii="仿宋_GB2312" w:hAnsi="仿宋_GB2312" w:eastAsia="仿宋_GB2312" w:cs="仿宋_GB2312"/>
          <w:kern w:val="0"/>
          <w:sz w:val="32"/>
          <w:szCs w:val="32"/>
          <w:u w:val="single"/>
          <w:lang w:val="en-US" w:eastAsia="zh-CN" w:bidi="ar"/>
        </w:rPr>
        <w:t xml:space="preserve"> （投标单位名称）  </w:t>
      </w:r>
      <w:r>
        <w:rPr>
          <w:rFonts w:hint="eastAsia" w:ascii="仿宋_GB2312" w:hAnsi="仿宋_GB2312" w:eastAsia="仿宋_GB2312" w:cs="仿宋_GB2312"/>
          <w:kern w:val="0"/>
          <w:sz w:val="32"/>
          <w:szCs w:val="32"/>
          <w:lang w:val="en-US" w:eastAsia="zh-CN" w:bidi="ar"/>
        </w:rPr>
        <w:t xml:space="preserve"> □法定代表人/□授权委托本单位员工（二选一，请进行勾选）,前往参加项目开标，并承担相应责任。资料如下：</w:t>
      </w:r>
    </w:p>
    <w:tbl>
      <w:tblPr>
        <w:tblStyle w:val="9"/>
        <w:tblW w:w="9702" w:type="dxa"/>
        <w:tblInd w:w="-4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6"/>
        <w:gridCol w:w="3466"/>
        <w:gridCol w:w="2153"/>
        <w:gridCol w:w="2547"/>
      </w:tblGrid>
      <w:tr w14:paraId="6DD2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tcPr>
          <w:p w14:paraId="69117B11">
            <w:pPr>
              <w:pStyle w:val="6"/>
              <w:keepNext w:val="0"/>
              <w:keepLines w:val="0"/>
              <w:pageBreakBefore w:val="0"/>
              <w:widowControl w:val="0"/>
              <w:suppressLineNumbers w:val="0"/>
              <w:wordWrap/>
              <w:overflowPunct/>
              <w:topLinePunct w:val="0"/>
              <w:bidi w:val="0"/>
              <w:snapToGrid w:val="0"/>
              <w:spacing w:before="0" w:beforeAutospacing="0" w:after="0" w:afterAutospacing="0" w:line="560" w:lineRule="exact"/>
              <w:ind w:left="0" w:right="0"/>
              <w:jc w:val="center"/>
              <w:rPr>
                <w:rFonts w:hint="eastAsia" w:ascii="仿宋_GB2312" w:hAnsi="仿宋_GB2312" w:eastAsia="仿宋_GB2312" w:cs="仿宋_GB2312"/>
                <w:snapToGrid w:val="0"/>
                <w:color w:val="auto"/>
                <w:spacing w:val="19"/>
                <w:kern w:val="0"/>
                <w:sz w:val="32"/>
                <w:szCs w:val="32"/>
                <w:vertAlign w:val="baseline"/>
                <w:lang w:val="en-US" w:eastAsia="zh-CN" w:bidi="ar-SA"/>
              </w:rPr>
            </w:pPr>
            <w:r>
              <w:rPr>
                <w:rFonts w:hint="eastAsia" w:ascii="仿宋_GB2312" w:hAnsi="仿宋_GB2312" w:eastAsia="仿宋_GB2312" w:cs="仿宋_GB2312"/>
                <w:snapToGrid w:val="0"/>
                <w:color w:val="auto"/>
                <w:spacing w:val="19"/>
                <w:kern w:val="0"/>
                <w:sz w:val="32"/>
                <w:szCs w:val="32"/>
                <w:lang w:val="en-US" w:eastAsia="zh-CN" w:bidi="ar-SA"/>
              </w:rPr>
              <w:t>姓名</w:t>
            </w:r>
          </w:p>
        </w:tc>
        <w:tc>
          <w:tcPr>
            <w:tcW w:w="3466" w:type="dxa"/>
          </w:tcPr>
          <w:p w14:paraId="638C0D65">
            <w:pPr>
              <w:pStyle w:val="6"/>
              <w:keepNext w:val="0"/>
              <w:keepLines w:val="0"/>
              <w:pageBreakBefore w:val="0"/>
              <w:widowControl w:val="0"/>
              <w:suppressLineNumbers w:val="0"/>
              <w:wordWrap/>
              <w:overflowPunct/>
              <w:topLinePunct w:val="0"/>
              <w:bidi w:val="0"/>
              <w:snapToGrid w:val="0"/>
              <w:spacing w:before="0" w:beforeAutospacing="0" w:after="0" w:afterAutospacing="0" w:line="560" w:lineRule="exact"/>
              <w:ind w:left="0" w:right="0"/>
              <w:jc w:val="center"/>
              <w:rPr>
                <w:rFonts w:hint="eastAsia" w:ascii="仿宋_GB2312" w:hAnsi="仿宋_GB2312" w:eastAsia="仿宋_GB2312" w:cs="仿宋_GB2312"/>
                <w:snapToGrid w:val="0"/>
                <w:color w:val="auto"/>
                <w:spacing w:val="19"/>
                <w:kern w:val="0"/>
                <w:sz w:val="32"/>
                <w:szCs w:val="32"/>
                <w:vertAlign w:val="baseline"/>
                <w:lang w:val="en-US" w:eastAsia="zh-CN" w:bidi="ar-SA"/>
              </w:rPr>
            </w:pPr>
            <w:r>
              <w:rPr>
                <w:rFonts w:hint="eastAsia" w:ascii="仿宋_GB2312" w:hAnsi="仿宋_GB2312" w:eastAsia="仿宋_GB2312" w:cs="仿宋_GB2312"/>
                <w:snapToGrid w:val="0"/>
                <w:color w:val="auto"/>
                <w:spacing w:val="19"/>
                <w:kern w:val="0"/>
                <w:sz w:val="32"/>
                <w:szCs w:val="32"/>
                <w:lang w:val="en-US" w:eastAsia="zh-CN" w:bidi="ar-SA"/>
              </w:rPr>
              <w:t>身份证号码</w:t>
            </w:r>
          </w:p>
        </w:tc>
        <w:tc>
          <w:tcPr>
            <w:tcW w:w="2153" w:type="dxa"/>
          </w:tcPr>
          <w:p w14:paraId="03E7FFB8">
            <w:pPr>
              <w:pStyle w:val="6"/>
              <w:keepNext w:val="0"/>
              <w:keepLines w:val="0"/>
              <w:pageBreakBefore w:val="0"/>
              <w:widowControl w:val="0"/>
              <w:suppressLineNumbers w:val="0"/>
              <w:wordWrap/>
              <w:overflowPunct/>
              <w:topLinePunct w:val="0"/>
              <w:bidi w:val="0"/>
              <w:snapToGrid w:val="0"/>
              <w:spacing w:before="0" w:beforeAutospacing="0" w:after="0" w:afterAutospacing="0" w:line="560" w:lineRule="exact"/>
              <w:ind w:left="0" w:right="0"/>
              <w:jc w:val="center"/>
              <w:rPr>
                <w:rFonts w:hint="default" w:ascii="仿宋_GB2312" w:hAnsi="仿宋_GB2312" w:eastAsia="仿宋_GB2312" w:cs="仿宋_GB2312"/>
                <w:snapToGrid w:val="0"/>
                <w:color w:val="auto"/>
                <w:spacing w:val="19"/>
                <w:kern w:val="0"/>
                <w:sz w:val="32"/>
                <w:szCs w:val="32"/>
                <w:vertAlign w:val="baseline"/>
                <w:lang w:val="en-US" w:eastAsia="zh-CN" w:bidi="ar-SA"/>
              </w:rPr>
            </w:pPr>
            <w:r>
              <w:rPr>
                <w:rFonts w:hint="eastAsia" w:ascii="仿宋_GB2312" w:hAnsi="仿宋_GB2312" w:eastAsia="仿宋_GB2312" w:cs="仿宋_GB2312"/>
                <w:snapToGrid w:val="0"/>
                <w:color w:val="auto"/>
                <w:spacing w:val="19"/>
                <w:kern w:val="0"/>
                <w:sz w:val="32"/>
                <w:szCs w:val="32"/>
                <w:vertAlign w:val="baseline"/>
                <w:lang w:val="en-US" w:eastAsia="zh-CN" w:bidi="ar-SA"/>
              </w:rPr>
              <w:t>联系电话</w:t>
            </w:r>
          </w:p>
        </w:tc>
        <w:tc>
          <w:tcPr>
            <w:tcW w:w="2547" w:type="dxa"/>
          </w:tcPr>
          <w:p w14:paraId="180FF101">
            <w:pPr>
              <w:pStyle w:val="6"/>
              <w:keepNext w:val="0"/>
              <w:keepLines w:val="0"/>
              <w:pageBreakBefore w:val="0"/>
              <w:widowControl w:val="0"/>
              <w:suppressLineNumbers w:val="0"/>
              <w:wordWrap/>
              <w:overflowPunct/>
              <w:topLinePunct w:val="0"/>
              <w:bidi w:val="0"/>
              <w:snapToGrid w:val="0"/>
              <w:spacing w:before="0" w:beforeAutospacing="0" w:after="0" w:afterAutospacing="0" w:line="560" w:lineRule="exact"/>
              <w:ind w:left="0" w:right="0"/>
              <w:jc w:val="center"/>
              <w:rPr>
                <w:rFonts w:hint="default" w:ascii="仿宋_GB2312" w:hAnsi="仿宋_GB2312" w:eastAsia="仿宋_GB2312" w:cs="仿宋_GB2312"/>
                <w:snapToGrid w:val="0"/>
                <w:color w:val="auto"/>
                <w:spacing w:val="19"/>
                <w:kern w:val="0"/>
                <w:sz w:val="32"/>
                <w:szCs w:val="32"/>
                <w:vertAlign w:val="baseline"/>
                <w:lang w:val="en-US" w:eastAsia="zh-CN" w:bidi="ar-SA"/>
              </w:rPr>
            </w:pPr>
            <w:r>
              <w:rPr>
                <w:rFonts w:hint="eastAsia" w:ascii="仿宋_GB2312" w:hAnsi="仿宋_GB2312" w:eastAsia="仿宋_GB2312" w:cs="仿宋_GB2312"/>
                <w:snapToGrid w:val="0"/>
                <w:color w:val="auto"/>
                <w:spacing w:val="19"/>
                <w:kern w:val="0"/>
                <w:sz w:val="32"/>
                <w:szCs w:val="32"/>
                <w:vertAlign w:val="baseline"/>
                <w:lang w:val="en-US" w:eastAsia="zh-CN" w:bidi="ar-SA"/>
              </w:rPr>
              <w:t>邮箱</w:t>
            </w:r>
          </w:p>
        </w:tc>
      </w:tr>
      <w:tr w14:paraId="17B8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tcPr>
          <w:p w14:paraId="578BF18D">
            <w:pPr>
              <w:pStyle w:val="6"/>
              <w:keepNext w:val="0"/>
              <w:keepLines w:val="0"/>
              <w:pageBreakBefore w:val="0"/>
              <w:widowControl w:val="0"/>
              <w:suppressLineNumbers w:val="0"/>
              <w:wordWrap/>
              <w:overflowPunct/>
              <w:topLinePunct w:val="0"/>
              <w:bidi w:val="0"/>
              <w:snapToGrid w:val="0"/>
              <w:spacing w:before="0" w:beforeAutospacing="0" w:after="0" w:afterAutospacing="0" w:line="560" w:lineRule="exact"/>
              <w:ind w:left="0" w:right="0"/>
              <w:jc w:val="center"/>
              <w:rPr>
                <w:rFonts w:hint="eastAsia" w:ascii="仿宋_GB2312" w:hAnsi="仿宋_GB2312" w:eastAsia="仿宋_GB2312" w:cs="仿宋_GB2312"/>
                <w:snapToGrid w:val="0"/>
                <w:color w:val="auto"/>
                <w:spacing w:val="19"/>
                <w:kern w:val="0"/>
                <w:sz w:val="32"/>
                <w:szCs w:val="32"/>
                <w:vertAlign w:val="baseline"/>
                <w:lang w:val="en-US" w:eastAsia="zh-CN" w:bidi="ar-SA"/>
              </w:rPr>
            </w:pPr>
          </w:p>
        </w:tc>
        <w:tc>
          <w:tcPr>
            <w:tcW w:w="3466" w:type="dxa"/>
          </w:tcPr>
          <w:p w14:paraId="6CA6E1E3">
            <w:pPr>
              <w:pStyle w:val="6"/>
              <w:keepNext w:val="0"/>
              <w:keepLines w:val="0"/>
              <w:pageBreakBefore w:val="0"/>
              <w:widowControl w:val="0"/>
              <w:suppressLineNumbers w:val="0"/>
              <w:wordWrap/>
              <w:overflowPunct/>
              <w:topLinePunct w:val="0"/>
              <w:bidi w:val="0"/>
              <w:snapToGrid w:val="0"/>
              <w:spacing w:before="0" w:beforeAutospacing="0" w:after="0" w:afterAutospacing="0" w:line="560" w:lineRule="exact"/>
              <w:ind w:left="0" w:right="0"/>
              <w:jc w:val="center"/>
              <w:rPr>
                <w:rFonts w:hint="eastAsia" w:ascii="仿宋_GB2312" w:hAnsi="仿宋_GB2312" w:eastAsia="仿宋_GB2312" w:cs="仿宋_GB2312"/>
                <w:snapToGrid w:val="0"/>
                <w:color w:val="auto"/>
                <w:spacing w:val="19"/>
                <w:kern w:val="0"/>
                <w:sz w:val="32"/>
                <w:szCs w:val="32"/>
                <w:vertAlign w:val="baseline"/>
                <w:lang w:val="en-US" w:eastAsia="zh-CN" w:bidi="ar-SA"/>
              </w:rPr>
            </w:pPr>
          </w:p>
        </w:tc>
        <w:tc>
          <w:tcPr>
            <w:tcW w:w="2153" w:type="dxa"/>
          </w:tcPr>
          <w:p w14:paraId="64ED7810">
            <w:pPr>
              <w:pStyle w:val="6"/>
              <w:keepNext w:val="0"/>
              <w:keepLines w:val="0"/>
              <w:pageBreakBefore w:val="0"/>
              <w:widowControl w:val="0"/>
              <w:suppressLineNumbers w:val="0"/>
              <w:wordWrap/>
              <w:overflowPunct/>
              <w:topLinePunct w:val="0"/>
              <w:bidi w:val="0"/>
              <w:snapToGrid w:val="0"/>
              <w:spacing w:before="0" w:beforeAutospacing="0" w:after="0" w:afterAutospacing="0" w:line="560" w:lineRule="exact"/>
              <w:ind w:left="0" w:right="0"/>
              <w:jc w:val="center"/>
              <w:rPr>
                <w:rFonts w:hint="eastAsia" w:ascii="仿宋_GB2312" w:hAnsi="仿宋_GB2312" w:eastAsia="仿宋_GB2312" w:cs="仿宋_GB2312"/>
                <w:snapToGrid w:val="0"/>
                <w:color w:val="auto"/>
                <w:spacing w:val="19"/>
                <w:kern w:val="0"/>
                <w:sz w:val="32"/>
                <w:szCs w:val="32"/>
                <w:vertAlign w:val="baseline"/>
                <w:lang w:val="en-US" w:eastAsia="zh-CN" w:bidi="ar-SA"/>
              </w:rPr>
            </w:pPr>
          </w:p>
        </w:tc>
        <w:tc>
          <w:tcPr>
            <w:tcW w:w="2547" w:type="dxa"/>
          </w:tcPr>
          <w:p w14:paraId="6CE04CEA">
            <w:pPr>
              <w:pStyle w:val="6"/>
              <w:keepNext w:val="0"/>
              <w:keepLines w:val="0"/>
              <w:pageBreakBefore w:val="0"/>
              <w:widowControl w:val="0"/>
              <w:suppressLineNumbers w:val="0"/>
              <w:wordWrap/>
              <w:overflowPunct/>
              <w:topLinePunct w:val="0"/>
              <w:bidi w:val="0"/>
              <w:snapToGrid w:val="0"/>
              <w:spacing w:before="0" w:beforeAutospacing="0" w:after="0" w:afterAutospacing="0" w:line="560" w:lineRule="exact"/>
              <w:ind w:left="0" w:right="0"/>
              <w:jc w:val="center"/>
              <w:rPr>
                <w:rFonts w:hint="eastAsia" w:ascii="仿宋_GB2312" w:hAnsi="仿宋_GB2312" w:eastAsia="仿宋_GB2312" w:cs="仿宋_GB2312"/>
                <w:snapToGrid w:val="0"/>
                <w:color w:val="auto"/>
                <w:spacing w:val="19"/>
                <w:kern w:val="0"/>
                <w:sz w:val="32"/>
                <w:szCs w:val="32"/>
                <w:vertAlign w:val="baseline"/>
                <w:lang w:val="en-US" w:eastAsia="zh-CN" w:bidi="ar-SA"/>
              </w:rPr>
            </w:pPr>
          </w:p>
        </w:tc>
      </w:tr>
    </w:tbl>
    <w:p w14:paraId="60088205">
      <w:pPr>
        <w:pStyle w:val="6"/>
        <w:keepNext w:val="0"/>
        <w:keepLines w:val="0"/>
        <w:pageBreakBefore w:val="0"/>
        <w:wordWrap/>
        <w:overflowPunct/>
        <w:topLinePunct w:val="0"/>
        <w:bidi w:val="0"/>
        <w:snapToGrid w:val="0"/>
        <w:spacing w:line="560" w:lineRule="exact"/>
        <w:ind w:left="0" w:right="0" w:firstLine="716" w:firstLineChars="200"/>
        <w:jc w:val="both"/>
        <w:rPr>
          <w:rFonts w:hint="eastAsia" w:ascii="仿宋_GB2312" w:hAnsi="仿宋_GB2312" w:eastAsia="仿宋_GB2312" w:cs="仿宋_GB2312"/>
          <w:snapToGrid w:val="0"/>
          <w:color w:val="auto"/>
          <w:spacing w:val="19"/>
          <w:kern w:val="0"/>
          <w:sz w:val="32"/>
          <w:szCs w:val="32"/>
          <w:lang w:val="en-US" w:eastAsia="zh-CN" w:bidi="ar-SA"/>
        </w:rPr>
      </w:pPr>
      <w:r>
        <w:rPr>
          <w:rFonts w:hint="eastAsia" w:ascii="仿宋_GB2312" w:hAnsi="仿宋_GB2312" w:eastAsia="仿宋_GB2312" w:cs="仿宋_GB2312"/>
          <w:snapToGrid w:val="0"/>
          <w:color w:val="auto"/>
          <w:spacing w:val="19"/>
          <w:kern w:val="0"/>
          <w:sz w:val="32"/>
          <w:szCs w:val="32"/>
          <w:lang w:val="en-US" w:eastAsia="zh-CN" w:bidi="ar-SA"/>
        </w:rPr>
        <w:t>本公司已经确认项目要求。如若中选，本单位将保证项目的质量和品质。</w:t>
      </w:r>
    </w:p>
    <w:p w14:paraId="5C9BF7A9">
      <w:pPr>
        <w:pStyle w:val="6"/>
        <w:keepNext w:val="0"/>
        <w:keepLines w:val="0"/>
        <w:pageBreakBefore w:val="0"/>
        <w:wordWrap/>
        <w:overflowPunct/>
        <w:topLinePunct w:val="0"/>
        <w:bidi w:val="0"/>
        <w:snapToGrid w:val="0"/>
        <w:spacing w:line="560" w:lineRule="exact"/>
        <w:ind w:left="0" w:right="0" w:firstLine="716" w:firstLineChars="200"/>
        <w:jc w:val="both"/>
        <w:rPr>
          <w:rFonts w:hint="eastAsia" w:ascii="仿宋_GB2312" w:hAnsi="仿宋_GB2312" w:eastAsia="仿宋_GB2312" w:cs="仿宋_GB2312"/>
          <w:snapToGrid w:val="0"/>
          <w:color w:val="auto"/>
          <w:spacing w:val="19"/>
          <w:kern w:val="0"/>
          <w:sz w:val="32"/>
          <w:szCs w:val="32"/>
          <w:lang w:val="en-US" w:eastAsia="zh-CN" w:bidi="ar-SA"/>
        </w:rPr>
      </w:pPr>
    </w:p>
    <w:p w14:paraId="3E8C003A">
      <w:pPr>
        <w:pStyle w:val="6"/>
        <w:keepNext w:val="0"/>
        <w:keepLines w:val="0"/>
        <w:pageBreakBefore w:val="0"/>
        <w:wordWrap/>
        <w:overflowPunct/>
        <w:topLinePunct w:val="0"/>
        <w:bidi w:val="0"/>
        <w:snapToGrid w:val="0"/>
        <w:spacing w:line="560" w:lineRule="exact"/>
        <w:ind w:right="0" w:firstLine="3840" w:firstLineChars="1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单位(盖章):</w:t>
      </w:r>
    </w:p>
    <w:p w14:paraId="3C150392">
      <w:pPr>
        <w:pStyle w:val="6"/>
        <w:keepNext w:val="0"/>
        <w:keepLines w:val="0"/>
        <w:pageBreakBefore w:val="0"/>
        <w:wordWrap/>
        <w:overflowPunct/>
        <w:topLinePunct w:val="0"/>
        <w:bidi w:val="0"/>
        <w:snapToGrid w:val="0"/>
        <w:spacing w:line="560" w:lineRule="exact"/>
        <w:ind w:left="0" w:right="0" w:firstLine="3840" w:firstLineChars="1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法定代表人或授权代表(签字):</w:t>
      </w:r>
    </w:p>
    <w:p w14:paraId="21BFEE64">
      <w:pPr>
        <w:pStyle w:val="6"/>
        <w:keepNext w:val="0"/>
        <w:keepLines w:val="0"/>
        <w:pageBreakBefore w:val="0"/>
        <w:wordWrap/>
        <w:overflowPunct/>
        <w:topLinePunct w:val="0"/>
        <w:bidi w:val="0"/>
        <w:snapToGrid w:val="0"/>
        <w:spacing w:line="560" w:lineRule="exact"/>
        <w:ind w:left="0" w:right="0" w:firstLine="5120" w:firstLineChars="16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年   月   日</w:t>
      </w:r>
    </w:p>
    <w:p w14:paraId="61734026">
      <w:pPr>
        <w:pStyle w:val="7"/>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楷体_GB2312">
    <w:altName w:val="宋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464FA"/>
    <w:multiLevelType w:val="singleLevel"/>
    <w:tmpl w:val="9AA464FA"/>
    <w:lvl w:ilvl="0" w:tentative="0">
      <w:start w:val="1"/>
      <w:numFmt w:val="chineseCounting"/>
      <w:suff w:val="nothing"/>
      <w:lvlText w:val="（%1）"/>
      <w:lvlJc w:val="left"/>
      <w:pPr>
        <w:ind w:left="0" w:firstLine="420"/>
      </w:pPr>
      <w:rPr>
        <w:rFonts w:hint="eastAsia"/>
      </w:rPr>
    </w:lvl>
  </w:abstractNum>
  <w:abstractNum w:abstractNumId="1">
    <w:nsid w:val="C6E51925"/>
    <w:multiLevelType w:val="singleLevel"/>
    <w:tmpl w:val="C6E51925"/>
    <w:lvl w:ilvl="0" w:tentative="0">
      <w:start w:val="1"/>
      <w:numFmt w:val="chineseCounting"/>
      <w:suff w:val="nothing"/>
      <w:lvlText w:val="（%1）"/>
      <w:lvlJc w:val="left"/>
      <w:pPr>
        <w:ind w:left="0" w:firstLine="420"/>
      </w:pPr>
      <w:rPr>
        <w:rFonts w:hint="eastAsia" w:ascii="楷体_GB2312" w:hAnsi="楷体_GB2312" w:eastAsia="楷体_GB2312" w:cs="楷体_GB2312"/>
      </w:rPr>
    </w:lvl>
  </w:abstractNum>
  <w:abstractNum w:abstractNumId="2">
    <w:nsid w:val="CE67FCA9"/>
    <w:multiLevelType w:val="singleLevel"/>
    <w:tmpl w:val="CE67FCA9"/>
    <w:lvl w:ilvl="0" w:tentative="0">
      <w:start w:val="1"/>
      <w:numFmt w:val="chineseCounting"/>
      <w:suff w:val="nothing"/>
      <w:lvlText w:val="（%1）"/>
      <w:lvlJc w:val="left"/>
      <w:pPr>
        <w:ind w:left="0" w:firstLine="420"/>
      </w:pPr>
      <w:rPr>
        <w:rFonts w:hint="eastAsia"/>
      </w:rPr>
    </w:lvl>
  </w:abstractNum>
  <w:abstractNum w:abstractNumId="3">
    <w:nsid w:val="07F96C09"/>
    <w:multiLevelType w:val="singleLevel"/>
    <w:tmpl w:val="07F96C09"/>
    <w:lvl w:ilvl="0" w:tentative="0">
      <w:start w:val="1"/>
      <w:numFmt w:val="chineseCounting"/>
      <w:suff w:val="nothing"/>
      <w:lvlText w:val="（%1）"/>
      <w:lvlJc w:val="left"/>
      <w:pPr>
        <w:ind w:left="0" w:firstLine="420"/>
      </w:pPr>
      <w:rPr>
        <w:rFonts w:hint="eastAsia"/>
      </w:rPr>
    </w:lvl>
  </w:abstractNum>
  <w:abstractNum w:abstractNumId="4">
    <w:nsid w:val="0B4922A6"/>
    <w:multiLevelType w:val="singleLevel"/>
    <w:tmpl w:val="0B4922A6"/>
    <w:lvl w:ilvl="0" w:tentative="0">
      <w:start w:val="1"/>
      <w:numFmt w:val="chineseCounting"/>
      <w:suff w:val="nothing"/>
      <w:lvlText w:val="%1、"/>
      <w:lvlJc w:val="left"/>
      <w:pPr>
        <w:ind w:left="0" w:firstLine="420"/>
      </w:pPr>
      <w:rPr>
        <w:rFonts w:hint="eastAsia"/>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AF41E9"/>
    <w:rsid w:val="07520463"/>
    <w:rsid w:val="0D664801"/>
    <w:rsid w:val="10CB0823"/>
    <w:rsid w:val="21275B22"/>
    <w:rsid w:val="22A75E85"/>
    <w:rsid w:val="22E44084"/>
    <w:rsid w:val="26CE0D29"/>
    <w:rsid w:val="30AF41E9"/>
    <w:rsid w:val="35DB7EC8"/>
    <w:rsid w:val="3C140936"/>
    <w:rsid w:val="403501D5"/>
    <w:rsid w:val="44C722C3"/>
    <w:rsid w:val="4851383A"/>
    <w:rsid w:val="55BF00BC"/>
    <w:rsid w:val="55CC6148"/>
    <w:rsid w:val="58001B8C"/>
    <w:rsid w:val="632A6515"/>
    <w:rsid w:val="7C4B1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spacing w:line="315" w:lineRule="atLeast"/>
      <w:ind w:firstLine="420"/>
      <w:jc w:val="left"/>
    </w:pPr>
    <w:rPr>
      <w:rFonts w:ascii="方正楷体_GB2312" w:eastAsia="方正楷体_GB2312"/>
      <w:kern w:val="0"/>
      <w:sz w:val="28"/>
      <w:szCs w:val="20"/>
    </w:rPr>
  </w:style>
  <w:style w:type="paragraph" w:styleId="6">
    <w:name w:val="Body Text"/>
    <w:basedOn w:val="1"/>
    <w:semiHidden/>
    <w:qFormat/>
    <w:uiPriority w:val="0"/>
    <w:rPr>
      <w:rFonts w:ascii="仿宋" w:hAnsi="仿宋" w:eastAsia="仿宋" w:cs="仿宋"/>
      <w:sz w:val="28"/>
      <w:szCs w:val="28"/>
      <w:lang w:val="en-US" w:eastAsia="en-US" w:bidi="ar-SA"/>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15"/>
    <w:basedOn w:val="10"/>
    <w:qFormat/>
    <w:uiPriority w:val="0"/>
    <w:rPr>
      <w:rFonts w:hint="default" w:ascii="Times New Roman" w:hAnsi="Times New Roman" w:cs="Times New Roman"/>
      <w:b/>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4418</Words>
  <Characters>4551</Characters>
  <Lines>0</Lines>
  <Paragraphs>0</Paragraphs>
  <TotalTime>8</TotalTime>
  <ScaleCrop>false</ScaleCrop>
  <LinksUpToDate>false</LinksUpToDate>
  <CharactersWithSpaces>4583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2026-07-07T11:10:00Z</dcterms:created>
  <dc:creator>vanly</dc:creator>
  <cp:lastModifiedBy>vanly</cp:lastModifiedBy>
  <dcterms:modified xsi:type="dcterms:W3CDTF">2026-07-31T10:14:08Z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00BBE74D65AA439FA710C039DD24CBC0_13</vt:lpwstr>
  </property>
  <property fmtid="{D5CDD505-2E9C-101B-9397-08002B2CF9AE}" pid="4" name="KSOTemplateDocerSaveRecord">
    <vt:lpwstr>eyJoZGlkIjoiYjgyMGJlYjRhOTg3NThlMzMwMmIzMGQxMGY3ZWZjZTAiLCJ1c2VySWQiOiIzMTM1MDUyNzYifQ==</vt:lpwstr>
  </property>
</Properties>
</file>