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276" w:lineRule="auto"/>
        <w:jc w:val="center"/>
        <w:rPr>
          <w:rFonts w:ascii="黑体" w:hAnsi="黑体" w:eastAsia="黑体"/>
          <w:kern w:val="0"/>
          <w:sz w:val="40"/>
          <w:szCs w:val="40"/>
        </w:rPr>
      </w:pPr>
      <w:bookmarkStart w:id="0" w:name="OLE_LINK5"/>
      <w:bookmarkStart w:id="1" w:name="OLE_LINK6"/>
    </w:p>
    <w:p>
      <w:pPr>
        <w:widowControl/>
        <w:spacing w:before="100" w:beforeAutospacing="1" w:after="100" w:afterAutospacing="1" w:line="276" w:lineRule="auto"/>
        <w:jc w:val="center"/>
        <w:rPr>
          <w:rFonts w:ascii="黑体" w:hAnsi="黑体" w:eastAsia="黑体"/>
          <w:kern w:val="0"/>
          <w:sz w:val="40"/>
          <w:szCs w:val="40"/>
        </w:rPr>
      </w:pPr>
      <w:r>
        <w:rPr>
          <w:rFonts w:hint="eastAsia" w:ascii="黑体" w:hAnsi="黑体" w:eastAsia="黑体"/>
          <w:kern w:val="0"/>
          <w:sz w:val="40"/>
          <w:szCs w:val="40"/>
        </w:rPr>
        <w:t>北京副中心城际CRH6A型动车组四级修（120万公里）项目</w:t>
      </w:r>
    </w:p>
    <w:bookmarkEnd w:id="0"/>
    <w:bookmarkEnd w:id="1"/>
    <w:p>
      <w:pPr>
        <w:widowControl/>
        <w:spacing w:before="100" w:beforeAutospacing="1" w:after="100" w:afterAutospacing="1" w:line="276" w:lineRule="auto"/>
        <w:jc w:val="center"/>
        <w:rPr>
          <w:rFonts w:ascii="黑体" w:hAnsi="黑体" w:eastAsia="黑体"/>
          <w:kern w:val="0"/>
          <w:sz w:val="40"/>
          <w:szCs w:val="40"/>
        </w:rPr>
      </w:pPr>
    </w:p>
    <w:p>
      <w:pPr>
        <w:widowControl/>
        <w:spacing w:before="100" w:beforeAutospacing="1" w:afterAutospacing="1" w:line="276" w:lineRule="auto"/>
        <w:jc w:val="center"/>
        <w:outlineLvl w:val="1"/>
        <w:rPr>
          <w:rFonts w:ascii="黑体" w:hAnsi="黑体" w:eastAsia="黑体"/>
          <w:kern w:val="0"/>
          <w:sz w:val="40"/>
          <w:szCs w:val="40"/>
        </w:rPr>
      </w:pPr>
      <w:r>
        <w:rPr>
          <w:rFonts w:hint="eastAsia" w:ascii="黑体" w:hAnsi="黑体" w:eastAsia="黑体"/>
          <w:kern w:val="0"/>
          <w:sz w:val="40"/>
          <w:szCs w:val="40"/>
        </w:rPr>
        <w:t>招标文件信息</w:t>
      </w:r>
    </w:p>
    <w:tbl>
      <w:tblPr>
        <w:tblStyle w:val="47"/>
        <w:tblW w:w="7938" w:type="dxa"/>
        <w:jc w:val="center"/>
        <w:tblCellSpacing w:w="0" w:type="dxa"/>
        <w:tblLayout w:type="autofit"/>
        <w:tblCellMar>
          <w:top w:w="45" w:type="dxa"/>
          <w:left w:w="45" w:type="dxa"/>
          <w:bottom w:w="45" w:type="dxa"/>
          <w:right w:w="45" w:type="dxa"/>
        </w:tblCellMar>
      </w:tblPr>
      <w:tblGrid>
        <w:gridCol w:w="2722"/>
        <w:gridCol w:w="5216"/>
      </w:tblGrid>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spacing w:after="78" w:afterLines="25" w:line="276" w:lineRule="auto"/>
              <w:jc w:val="center"/>
              <w:rPr>
                <w:rFonts w:ascii="宋体" w:hAnsi="宋体"/>
                <w:sz w:val="30"/>
                <w:szCs w:val="30"/>
              </w:rPr>
            </w:pPr>
            <w:r>
              <w:rPr>
                <w:rFonts w:ascii="Arial" w:hAnsi="Arial"/>
                <w:sz w:val="30"/>
                <w:szCs w:val="30"/>
              </w:rPr>
              <w:t>项目编号：</w:t>
            </w:r>
          </w:p>
        </w:tc>
        <w:tc>
          <w:tcPr>
            <w:tcW w:w="0" w:type="auto"/>
            <w:vAlign w:val="center"/>
          </w:tcPr>
          <w:p>
            <w:pPr>
              <w:spacing w:after="78" w:afterLines="25" w:line="276" w:lineRule="auto"/>
              <w:jc w:val="left"/>
              <w:rPr>
                <w:rFonts w:ascii="Arial" w:hAnsi="Arial"/>
                <w:sz w:val="30"/>
                <w:szCs w:val="30"/>
              </w:rPr>
            </w:pPr>
            <w:bookmarkStart w:id="2" w:name="OLE_LINK4"/>
            <w:bookmarkStart w:id="3" w:name="OLE_LINK3"/>
            <w:r>
              <w:rPr>
                <w:rFonts w:hint="eastAsia" w:ascii="Arial" w:hAnsi="Arial"/>
                <w:sz w:val="30"/>
                <w:szCs w:val="30"/>
              </w:rPr>
              <w:t>SZHT2025-005</w:t>
            </w:r>
            <w:bookmarkEnd w:id="2"/>
            <w:bookmarkEnd w:id="3"/>
            <w:r>
              <w:rPr>
                <w:rFonts w:hint="eastAsia" w:ascii="Arial" w:hAnsi="Arial"/>
                <w:sz w:val="30"/>
                <w:szCs w:val="30"/>
              </w:rPr>
              <w:t>-A</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项目名称：</w:t>
            </w:r>
          </w:p>
        </w:tc>
        <w:tc>
          <w:tcPr>
            <w:tcW w:w="0" w:type="auto"/>
            <w:vAlign w:val="center"/>
          </w:tcPr>
          <w:p>
            <w:pPr>
              <w:spacing w:after="78" w:afterLines="25" w:line="276" w:lineRule="auto"/>
              <w:jc w:val="left"/>
              <w:rPr>
                <w:rFonts w:ascii="Arial" w:hAnsi="Arial"/>
                <w:sz w:val="30"/>
                <w:szCs w:val="30"/>
              </w:rPr>
            </w:pPr>
            <w:r>
              <w:rPr>
                <w:rFonts w:hint="eastAsia" w:ascii="Arial" w:hAnsi="Arial"/>
                <w:sz w:val="30"/>
                <w:szCs w:val="30"/>
              </w:rPr>
              <w:t>北京副中心城际CRH6A型动车组四级修（120万公里）项目（C包）</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bookmarkStart w:id="4" w:name="OLE_LINK8"/>
            <w:bookmarkStart w:id="5" w:name="OLE_LINK7"/>
            <w:r>
              <w:rPr>
                <w:rFonts w:ascii="Arial" w:hAnsi="Arial"/>
                <w:sz w:val="30"/>
                <w:szCs w:val="30"/>
              </w:rPr>
              <w:t xml:space="preserve">包 </w:t>
            </w:r>
            <w:r>
              <w:rPr>
                <w:rFonts w:hint="eastAsia" w:ascii="Arial" w:hAnsi="Arial"/>
                <w:sz w:val="30"/>
                <w:szCs w:val="30"/>
              </w:rPr>
              <w:t xml:space="preserve">   </w:t>
            </w:r>
            <w:r>
              <w:rPr>
                <w:rFonts w:ascii="Arial" w:hAnsi="Arial"/>
                <w:sz w:val="30"/>
                <w:szCs w:val="30"/>
              </w:rPr>
              <w:t>号</w:t>
            </w:r>
            <w:bookmarkEnd w:id="4"/>
            <w:bookmarkEnd w:id="5"/>
            <w:r>
              <w:rPr>
                <w:rFonts w:ascii="Arial" w:hAnsi="Arial"/>
                <w:sz w:val="30"/>
                <w:szCs w:val="30"/>
              </w:rPr>
              <w:t>：</w:t>
            </w:r>
          </w:p>
        </w:tc>
        <w:tc>
          <w:tcPr>
            <w:tcW w:w="0" w:type="auto"/>
            <w:vAlign w:val="center"/>
          </w:tcPr>
          <w:p>
            <w:pPr>
              <w:spacing w:after="78" w:afterLines="25" w:line="276" w:lineRule="auto"/>
              <w:jc w:val="left"/>
              <w:rPr>
                <w:rFonts w:ascii="Arial" w:hAnsi="Arial"/>
                <w:sz w:val="30"/>
                <w:szCs w:val="30"/>
              </w:rPr>
            </w:pPr>
            <w:r>
              <w:rPr>
                <w:rFonts w:hint="eastAsia" w:ascii="Arial" w:hAnsi="Arial"/>
                <w:sz w:val="30"/>
                <w:szCs w:val="30"/>
              </w:rPr>
              <w:t>C包</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项目类型：</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货物类</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采购方式：</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公开招标</w:t>
            </w:r>
          </w:p>
        </w:tc>
      </w:tr>
      <w:tr>
        <w:tblPrEx>
          <w:tblCellMar>
            <w:top w:w="45" w:type="dxa"/>
            <w:left w:w="45" w:type="dxa"/>
            <w:bottom w:w="45" w:type="dxa"/>
            <w:right w:w="45" w:type="dxa"/>
          </w:tblCellMar>
        </w:tblPrEx>
        <w:trPr>
          <w:trHeight w:val="737" w:hRule="atLeast"/>
          <w:tblCellSpacing w:w="0" w:type="dxa"/>
          <w:jc w:val="center"/>
        </w:trPr>
        <w:tc>
          <w:tcPr>
            <w:tcW w:w="0" w:type="auto"/>
            <w:vAlign w:val="center"/>
          </w:tcPr>
          <w:p>
            <w:pPr>
              <w:spacing w:after="78" w:afterLines="25" w:line="276" w:lineRule="auto"/>
              <w:jc w:val="center"/>
              <w:rPr>
                <w:rFonts w:ascii="Arial" w:hAnsi="Arial"/>
                <w:sz w:val="30"/>
                <w:szCs w:val="30"/>
              </w:rPr>
            </w:pPr>
            <w:r>
              <w:rPr>
                <w:rFonts w:ascii="Arial" w:hAnsi="Arial"/>
                <w:sz w:val="30"/>
                <w:szCs w:val="30"/>
              </w:rPr>
              <w:t>货币类型：</w:t>
            </w:r>
          </w:p>
        </w:tc>
        <w:tc>
          <w:tcPr>
            <w:tcW w:w="0" w:type="auto"/>
            <w:vAlign w:val="center"/>
          </w:tcPr>
          <w:p>
            <w:pPr>
              <w:spacing w:after="78" w:afterLines="25" w:line="276" w:lineRule="auto"/>
              <w:jc w:val="left"/>
              <w:rPr>
                <w:rFonts w:ascii="Arial" w:hAnsi="Arial"/>
                <w:sz w:val="30"/>
                <w:szCs w:val="30"/>
              </w:rPr>
            </w:pPr>
            <w:r>
              <w:rPr>
                <w:rFonts w:ascii="Arial" w:hAnsi="Arial"/>
                <w:sz w:val="30"/>
                <w:szCs w:val="30"/>
              </w:rPr>
              <w:t>人民币</w:t>
            </w:r>
          </w:p>
        </w:tc>
      </w:tr>
      <w:tr>
        <w:tblPrEx>
          <w:tblCellMar>
            <w:top w:w="45" w:type="dxa"/>
            <w:left w:w="45" w:type="dxa"/>
            <w:bottom w:w="45" w:type="dxa"/>
            <w:right w:w="45" w:type="dxa"/>
          </w:tblCellMar>
        </w:tblPrEx>
        <w:trPr>
          <w:trHeight w:val="737" w:hRule="atLeast"/>
          <w:tblCellSpacing w:w="0" w:type="dxa"/>
          <w:jc w:val="center"/>
        </w:trPr>
        <w:tc>
          <w:tcPr>
            <w:tcW w:w="2722" w:type="dxa"/>
            <w:vAlign w:val="center"/>
          </w:tcPr>
          <w:p>
            <w:pPr>
              <w:keepNext w:val="0"/>
              <w:keepLines w:val="0"/>
              <w:suppressLineNumbers w:val="0"/>
              <w:spacing w:before="0" w:beforeAutospacing="0" w:after="78" w:afterLines="25" w:afterAutospacing="0" w:line="276" w:lineRule="auto"/>
              <w:ind w:left="0" w:leftChars="0" w:right="0" w:rightChars="0"/>
              <w:jc w:val="center"/>
              <w:rPr>
                <w:rFonts w:ascii="Arial" w:hAnsi="Arial"/>
                <w:sz w:val="30"/>
                <w:szCs w:val="30"/>
              </w:rPr>
            </w:pPr>
            <w:r>
              <w:rPr>
                <w:rFonts w:hint="default" w:ascii="Arial" w:hAnsi="Arial"/>
                <w:sz w:val="30"/>
                <w:szCs w:val="30"/>
              </w:rPr>
              <w:t>评标方法：</w:t>
            </w:r>
          </w:p>
        </w:tc>
        <w:tc>
          <w:tcPr>
            <w:tcW w:w="5216" w:type="dxa"/>
            <w:vAlign w:val="center"/>
          </w:tcPr>
          <w:p>
            <w:pPr>
              <w:keepNext w:val="0"/>
              <w:keepLines w:val="0"/>
              <w:suppressLineNumbers w:val="0"/>
              <w:spacing w:before="0" w:beforeAutospacing="0" w:after="78" w:afterLines="25" w:afterAutospacing="0" w:line="276" w:lineRule="auto"/>
              <w:ind w:left="0" w:leftChars="0" w:right="0" w:rightChars="0"/>
              <w:jc w:val="left"/>
              <w:rPr>
                <w:rFonts w:ascii="Arial" w:hAnsi="Arial"/>
                <w:sz w:val="30"/>
                <w:szCs w:val="30"/>
              </w:rPr>
            </w:pPr>
            <w:r>
              <w:rPr>
                <w:rFonts w:hint="eastAsia" w:ascii="Arial" w:hAnsi="Arial"/>
                <w:sz w:val="30"/>
                <w:szCs w:val="30"/>
                <w:lang w:eastAsia="zh-CN"/>
              </w:rPr>
              <w:t>最低评标价法</w:t>
            </w:r>
          </w:p>
        </w:tc>
      </w:tr>
    </w:tbl>
    <w:p>
      <w:pPr>
        <w:spacing w:line="360" w:lineRule="auto"/>
        <w:ind w:firstLine="198" w:firstLineChars="90"/>
        <w:rPr>
          <w:rFonts w:ascii="宋体" w:hAnsi="宋体"/>
          <w:kern w:val="0"/>
          <w:sz w:val="22"/>
        </w:rPr>
      </w:pPr>
    </w:p>
    <w:p>
      <w:pPr>
        <w:widowControl/>
        <w:spacing w:after="156" w:afterLines="50"/>
        <w:jc w:val="center"/>
        <w:outlineLvl w:val="1"/>
        <w:rPr>
          <w:rFonts w:ascii="黑体" w:hAnsi="黑体" w:eastAsia="黑体"/>
          <w:kern w:val="0"/>
          <w:sz w:val="40"/>
          <w:szCs w:val="40"/>
        </w:rPr>
      </w:pPr>
      <w:r>
        <w:rPr>
          <w:rFonts w:ascii="黑体" w:hAnsi="黑体"/>
          <w:kern w:val="0"/>
          <w:sz w:val="40"/>
          <w:szCs w:val="40"/>
        </w:rPr>
        <w:br w:type="page"/>
      </w:r>
      <w:bookmarkStart w:id="6" w:name="_Toc467362628"/>
      <w:r>
        <w:rPr>
          <w:rFonts w:hint="eastAsia" w:ascii="黑体" w:hAnsi="黑体" w:eastAsia="黑体"/>
          <w:kern w:val="0"/>
          <w:sz w:val="40"/>
          <w:szCs w:val="40"/>
        </w:rPr>
        <w:t>投标须知前附表</w:t>
      </w:r>
      <w:bookmarkEnd w:id="6"/>
    </w:p>
    <w:tbl>
      <w:tblPr>
        <w:tblStyle w:val="47"/>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75"/>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b/>
                <w:szCs w:val="21"/>
              </w:rPr>
            </w:pPr>
            <w:r>
              <w:rPr>
                <w:rFonts w:hint="eastAsia" w:ascii="宋体" w:hAnsi="宋体"/>
                <w:b/>
                <w:szCs w:val="21"/>
              </w:rPr>
              <w:t>项号</w:t>
            </w:r>
          </w:p>
        </w:tc>
        <w:tc>
          <w:tcPr>
            <w:tcW w:w="1275" w:type="dxa"/>
            <w:vAlign w:val="center"/>
          </w:tcPr>
          <w:p>
            <w:pPr>
              <w:adjustRightInd w:val="0"/>
              <w:snapToGrid w:val="0"/>
              <w:jc w:val="center"/>
              <w:rPr>
                <w:rFonts w:ascii="宋体" w:hAnsi="宋体"/>
                <w:b/>
                <w:szCs w:val="21"/>
              </w:rPr>
            </w:pPr>
            <w:r>
              <w:rPr>
                <w:rFonts w:hint="eastAsia" w:ascii="宋体" w:hAnsi="宋体"/>
                <w:b/>
                <w:szCs w:val="21"/>
              </w:rPr>
              <w:t>内容</w:t>
            </w:r>
          </w:p>
        </w:tc>
        <w:tc>
          <w:tcPr>
            <w:tcW w:w="7087" w:type="dxa"/>
            <w:vAlign w:val="center"/>
          </w:tcPr>
          <w:p>
            <w:pPr>
              <w:adjustRightInd w:val="0"/>
              <w:snapToGrid w:val="0"/>
              <w:jc w:val="center"/>
              <w:rPr>
                <w:rFonts w:ascii="宋体" w:hAns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1</w:t>
            </w:r>
          </w:p>
        </w:tc>
        <w:tc>
          <w:tcPr>
            <w:tcW w:w="1275" w:type="dxa"/>
            <w:vAlign w:val="center"/>
          </w:tcPr>
          <w:p>
            <w:pPr>
              <w:jc w:val="center"/>
              <w:rPr>
                <w:rFonts w:ascii="宋体" w:hAnsi="宋体"/>
                <w:szCs w:val="21"/>
              </w:rPr>
            </w:pPr>
            <w:r>
              <w:rPr>
                <w:rFonts w:hint="eastAsia" w:ascii="宋体" w:hAnsi="宋体"/>
                <w:szCs w:val="21"/>
              </w:rPr>
              <w:t>采购人</w:t>
            </w:r>
          </w:p>
        </w:tc>
        <w:tc>
          <w:tcPr>
            <w:tcW w:w="7087" w:type="dxa"/>
            <w:vAlign w:val="center"/>
          </w:tcPr>
          <w:p>
            <w:pPr>
              <w:rPr>
                <w:rFonts w:ascii="宋体" w:hAnsi="宋体"/>
                <w:szCs w:val="21"/>
              </w:rPr>
            </w:pPr>
            <w:r>
              <w:rPr>
                <w:rFonts w:hint="eastAsia" w:ascii="宋体" w:hAnsi="宋体"/>
                <w:bCs/>
                <w:szCs w:val="21"/>
              </w:rPr>
              <w:t>深圳市长龙铁路电子工程有限公司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2</w:t>
            </w:r>
          </w:p>
        </w:tc>
        <w:tc>
          <w:tcPr>
            <w:tcW w:w="1275" w:type="dxa"/>
            <w:vAlign w:val="center"/>
          </w:tcPr>
          <w:p>
            <w:pPr>
              <w:jc w:val="center"/>
              <w:rPr>
                <w:rFonts w:ascii="宋体" w:hAnsi="宋体"/>
                <w:bCs/>
                <w:szCs w:val="21"/>
              </w:rPr>
            </w:pPr>
            <w:r>
              <w:rPr>
                <w:rFonts w:hint="eastAsia" w:ascii="宋体" w:hAnsi="宋体"/>
                <w:bCs/>
                <w:szCs w:val="21"/>
              </w:rPr>
              <w:t>采购机构</w:t>
            </w:r>
          </w:p>
        </w:tc>
        <w:tc>
          <w:tcPr>
            <w:tcW w:w="7087" w:type="dxa"/>
            <w:vAlign w:val="center"/>
          </w:tcPr>
          <w:p>
            <w:pPr>
              <w:rPr>
                <w:rFonts w:ascii="宋体" w:hAnsi="宋体"/>
                <w:bCs/>
                <w:szCs w:val="21"/>
              </w:rPr>
            </w:pPr>
            <w:r>
              <w:rPr>
                <w:rFonts w:hint="eastAsia" w:ascii="宋体" w:hAnsi="宋体"/>
                <w:bCs/>
                <w:szCs w:val="21"/>
              </w:rPr>
              <w:t>深圳市河图建设项目管理有限公司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3</w:t>
            </w:r>
          </w:p>
        </w:tc>
        <w:tc>
          <w:tcPr>
            <w:tcW w:w="1275" w:type="dxa"/>
            <w:vAlign w:val="center"/>
          </w:tcPr>
          <w:p>
            <w:pPr>
              <w:adjustRightInd w:val="0"/>
              <w:snapToGrid w:val="0"/>
              <w:jc w:val="center"/>
              <w:rPr>
                <w:rFonts w:ascii="宋体" w:hAnsi="宋体"/>
                <w:szCs w:val="21"/>
              </w:rPr>
            </w:pPr>
            <w:r>
              <w:rPr>
                <w:rFonts w:hint="eastAsia" w:ascii="宋体" w:hAnsi="宋体"/>
                <w:szCs w:val="21"/>
              </w:rPr>
              <w:t>项目名称</w:t>
            </w:r>
          </w:p>
        </w:tc>
        <w:tc>
          <w:tcPr>
            <w:tcW w:w="7087" w:type="dxa"/>
            <w:vAlign w:val="center"/>
          </w:tcPr>
          <w:p>
            <w:pPr>
              <w:adjustRightInd w:val="0"/>
              <w:snapToGrid w:val="0"/>
              <w:rPr>
                <w:rFonts w:ascii="宋体" w:hAnsi="宋体"/>
                <w:szCs w:val="21"/>
              </w:rPr>
            </w:pPr>
            <w:r>
              <w:rPr>
                <w:rFonts w:hint="eastAsia" w:ascii="宋体" w:hAnsi="宋体"/>
                <w:bCs/>
                <w:szCs w:val="21"/>
              </w:rPr>
              <w:t>北京副中心城际CRH6A型动车组四级修（120万公里）项目（C包）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4</w:t>
            </w:r>
          </w:p>
        </w:tc>
        <w:tc>
          <w:tcPr>
            <w:tcW w:w="1275" w:type="dxa"/>
            <w:vAlign w:val="center"/>
          </w:tcPr>
          <w:p>
            <w:pPr>
              <w:adjustRightInd w:val="0"/>
              <w:snapToGrid w:val="0"/>
              <w:jc w:val="center"/>
              <w:rPr>
                <w:rFonts w:ascii="宋体" w:hAnsi="宋体"/>
                <w:szCs w:val="21"/>
              </w:rPr>
            </w:pPr>
            <w:r>
              <w:rPr>
                <w:rFonts w:hint="eastAsia" w:ascii="宋体" w:hAnsi="宋体"/>
                <w:szCs w:val="21"/>
              </w:rPr>
              <w:t>项目地点</w:t>
            </w:r>
          </w:p>
        </w:tc>
        <w:tc>
          <w:tcPr>
            <w:tcW w:w="7087" w:type="dxa"/>
            <w:vAlign w:val="center"/>
          </w:tcPr>
          <w:p>
            <w:pPr>
              <w:adjustRightInd w:val="0"/>
              <w:snapToGrid w:val="0"/>
              <w:rPr>
                <w:rFonts w:ascii="宋体" w:hAnsi="宋体"/>
                <w:szCs w:val="21"/>
              </w:rPr>
            </w:pPr>
            <w:r>
              <w:rPr>
                <w:rFonts w:hint="eastAsia" w:ascii="宋体" w:hAnsi="宋体" w:cs="宋体"/>
                <w:bCs/>
                <w:szCs w:val="21"/>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5</w:t>
            </w:r>
          </w:p>
        </w:tc>
        <w:tc>
          <w:tcPr>
            <w:tcW w:w="1275" w:type="dxa"/>
            <w:vAlign w:val="center"/>
          </w:tcPr>
          <w:p>
            <w:pPr>
              <w:adjustRightInd w:val="0"/>
              <w:snapToGrid w:val="0"/>
              <w:jc w:val="center"/>
              <w:rPr>
                <w:rFonts w:ascii="宋体" w:hAnsi="宋体"/>
                <w:szCs w:val="21"/>
              </w:rPr>
            </w:pPr>
            <w:r>
              <w:rPr>
                <w:rFonts w:hint="eastAsia" w:ascii="宋体" w:hAnsi="宋体"/>
                <w:szCs w:val="21"/>
              </w:rPr>
              <w:t>采购范围</w:t>
            </w:r>
          </w:p>
        </w:tc>
        <w:tc>
          <w:tcPr>
            <w:tcW w:w="7087" w:type="dxa"/>
            <w:vAlign w:val="center"/>
          </w:tcPr>
          <w:p>
            <w:pPr>
              <w:adjustRightInd w:val="0"/>
              <w:snapToGrid w:val="0"/>
              <w:rPr>
                <w:rFonts w:ascii="宋体" w:hAnsi="宋体"/>
                <w:szCs w:val="21"/>
              </w:rPr>
            </w:pPr>
            <w:r>
              <w:rPr>
                <w:rFonts w:hint="eastAsia" w:ascii="宋体" w:hAnsi="宋体"/>
                <w:szCs w:val="21"/>
              </w:rPr>
              <w:t>北京副中心城际CRH6A型动车组四级修（120万公里）项目（C包）</w:t>
            </w:r>
            <w:r>
              <w:rPr>
                <w:rFonts w:hint="eastAsia" w:ascii="宋体" w:hAnsi="宋体"/>
                <w:bCs/>
                <w:szCs w:val="21"/>
              </w:rPr>
              <w:t>所需设备零件</w:t>
            </w:r>
            <w:r>
              <w:rPr>
                <w:rFonts w:hint="eastAsia" w:ascii="宋体" w:hAnsi="宋体"/>
                <w:kern w:val="0"/>
                <w:szCs w:val="21"/>
              </w:rPr>
              <w:t>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5" w:type="dxa"/>
            <w:vMerge w:val="restart"/>
            <w:vAlign w:val="center"/>
          </w:tcPr>
          <w:p>
            <w:pPr>
              <w:adjustRightInd w:val="0"/>
              <w:snapToGrid w:val="0"/>
              <w:jc w:val="center"/>
              <w:rPr>
                <w:rFonts w:ascii="宋体" w:hAnsi="宋体"/>
                <w:szCs w:val="21"/>
              </w:rPr>
            </w:pPr>
            <w:r>
              <w:rPr>
                <w:rFonts w:hint="eastAsia" w:ascii="宋体" w:hAnsi="宋体"/>
                <w:szCs w:val="21"/>
              </w:rPr>
              <w:t>6</w:t>
            </w:r>
          </w:p>
        </w:tc>
        <w:tc>
          <w:tcPr>
            <w:tcW w:w="1275" w:type="dxa"/>
            <w:vMerge w:val="restart"/>
            <w:vAlign w:val="center"/>
          </w:tcPr>
          <w:p>
            <w:pPr>
              <w:spacing w:after="78" w:afterLines="25" w:line="300" w:lineRule="auto"/>
              <w:jc w:val="center"/>
              <w:rPr>
                <w:rFonts w:ascii="Arial" w:hAnsi="Arial"/>
              </w:rPr>
            </w:pPr>
            <w:r>
              <w:rPr>
                <w:rFonts w:hint="eastAsia" w:ascii="宋体" w:hAnsi="宋体"/>
              </w:rPr>
              <w:t>关于交货</w:t>
            </w:r>
          </w:p>
        </w:tc>
        <w:tc>
          <w:tcPr>
            <w:tcW w:w="7087" w:type="dxa"/>
            <w:vAlign w:val="center"/>
          </w:tcPr>
          <w:p>
            <w:pPr>
              <w:adjustRightInd w:val="0"/>
              <w:snapToGrid w:val="0"/>
              <w:rPr>
                <w:rFonts w:ascii="宋体" w:hAnsi="宋体"/>
                <w:kern w:val="0"/>
                <w:szCs w:val="21"/>
              </w:rPr>
            </w:pPr>
            <w:r>
              <w:rPr>
                <w:rFonts w:hint="eastAsia" w:ascii="宋体" w:hAnsi="宋体" w:cs="宋体"/>
                <w:bCs/>
                <w:szCs w:val="21"/>
              </w:rPr>
              <w:t>★1.1交货期为</w:t>
            </w:r>
            <w:r>
              <w:rPr>
                <w:rFonts w:hint="eastAsia" w:ascii="宋体" w:hAnsi="宋体" w:cs="宋体"/>
                <w:bCs/>
                <w:szCs w:val="21"/>
                <w:highlight w:val="none"/>
              </w:rPr>
              <w:t>：</w:t>
            </w:r>
            <w:r>
              <w:rPr>
                <w:rFonts w:hint="eastAsia" w:ascii="宋体" w:hAnsi="宋体" w:cs="宋体"/>
                <w:bCs/>
                <w:szCs w:val="21"/>
                <w:highlight w:val="none"/>
                <w:lang w:val="en-US" w:eastAsia="zh-CN"/>
              </w:rPr>
              <w:t>签订合同后7天内</w:t>
            </w:r>
            <w:r>
              <w:rPr>
                <w:rFonts w:hint="eastAsia" w:ascii="宋体" w:hAnsi="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4" w:hRule="atLeast"/>
          <w:jc w:val="center"/>
        </w:trPr>
        <w:tc>
          <w:tcPr>
            <w:tcW w:w="725" w:type="dxa"/>
            <w:vMerge w:val="continue"/>
            <w:vAlign w:val="center"/>
          </w:tcPr>
          <w:p>
            <w:pPr>
              <w:adjustRightInd w:val="0"/>
              <w:snapToGrid w:val="0"/>
              <w:jc w:val="center"/>
              <w:rPr>
                <w:rFonts w:ascii="宋体" w:hAnsi="宋体"/>
                <w:szCs w:val="21"/>
              </w:rPr>
            </w:pPr>
          </w:p>
        </w:tc>
        <w:tc>
          <w:tcPr>
            <w:tcW w:w="1275" w:type="dxa"/>
            <w:vMerge w:val="continue"/>
            <w:vAlign w:val="center"/>
          </w:tcPr>
          <w:p>
            <w:pPr>
              <w:adjustRightInd w:val="0"/>
              <w:snapToGrid w:val="0"/>
              <w:jc w:val="center"/>
              <w:rPr>
                <w:rFonts w:ascii="宋体" w:hAnsi="宋体"/>
                <w:szCs w:val="21"/>
              </w:rPr>
            </w:pPr>
          </w:p>
        </w:tc>
        <w:tc>
          <w:tcPr>
            <w:tcW w:w="7087" w:type="dxa"/>
            <w:vAlign w:val="center"/>
          </w:tcPr>
          <w:p>
            <w:pPr>
              <w:adjustRightInd w:val="0"/>
              <w:snapToGrid w:val="0"/>
              <w:rPr>
                <w:rFonts w:ascii="宋体" w:hAnsi="宋体"/>
                <w:szCs w:val="21"/>
              </w:rPr>
            </w:pPr>
            <w:r>
              <w:rPr>
                <w:rFonts w:hint="eastAsia" w:ascii="宋体" w:hAnsi="宋体" w:cs="宋体"/>
                <w:bCs/>
                <w:szCs w:val="21"/>
              </w:rPr>
              <w:t>1.2投标人需承担的设备运输、安装调试、验收检测和提供设备操作说明书、图纸等其他类似的义务。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725" w:type="dxa"/>
            <w:vMerge w:val="continue"/>
            <w:vAlign w:val="center"/>
          </w:tcPr>
          <w:p>
            <w:pPr>
              <w:adjustRightInd w:val="0"/>
              <w:snapToGrid w:val="0"/>
              <w:jc w:val="center"/>
              <w:rPr>
                <w:rFonts w:ascii="宋体" w:hAnsi="宋体"/>
                <w:szCs w:val="21"/>
              </w:rPr>
            </w:pPr>
          </w:p>
        </w:tc>
        <w:tc>
          <w:tcPr>
            <w:tcW w:w="1275" w:type="dxa"/>
            <w:vMerge w:val="continue"/>
            <w:vAlign w:val="center"/>
          </w:tcPr>
          <w:p>
            <w:pPr>
              <w:adjustRightInd w:val="0"/>
              <w:snapToGrid w:val="0"/>
              <w:jc w:val="center"/>
              <w:rPr>
                <w:rFonts w:ascii="宋体" w:hAnsi="宋体"/>
                <w:szCs w:val="21"/>
              </w:rPr>
            </w:pPr>
          </w:p>
        </w:tc>
        <w:tc>
          <w:tcPr>
            <w:tcW w:w="7087" w:type="dxa"/>
            <w:vAlign w:val="center"/>
          </w:tcPr>
          <w:p>
            <w:pPr>
              <w:adjustRightInd w:val="0"/>
              <w:snapToGrid w:val="0"/>
              <w:rPr>
                <w:rFonts w:ascii="宋体" w:hAnsi="宋体" w:cs="宋体"/>
                <w:szCs w:val="21"/>
              </w:rPr>
            </w:pPr>
            <w:r>
              <w:rPr>
                <w:rFonts w:hint="eastAsia" w:ascii="宋体" w:hAnsi="宋体" w:cs="宋体"/>
                <w:bCs/>
                <w:szCs w:val="21"/>
              </w:rPr>
              <w:t>1.3 交货（具体）地点：采购人指定地点。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7</w:t>
            </w:r>
          </w:p>
        </w:tc>
        <w:tc>
          <w:tcPr>
            <w:tcW w:w="1275" w:type="dxa"/>
            <w:vAlign w:val="center"/>
          </w:tcPr>
          <w:p>
            <w:pPr>
              <w:adjustRightInd w:val="0"/>
              <w:snapToGrid w:val="0"/>
              <w:jc w:val="center"/>
              <w:rPr>
                <w:rFonts w:ascii="宋体" w:hAnsi="宋体"/>
                <w:szCs w:val="21"/>
              </w:rPr>
            </w:pPr>
            <w:r>
              <w:rPr>
                <w:rFonts w:hint="eastAsia" w:ascii="宋体" w:hAnsi="宋体"/>
                <w:szCs w:val="21"/>
              </w:rPr>
              <w:t>资金来源</w:t>
            </w:r>
          </w:p>
        </w:tc>
        <w:tc>
          <w:tcPr>
            <w:tcW w:w="7087" w:type="dxa"/>
            <w:vAlign w:val="center"/>
          </w:tcPr>
          <w:p>
            <w:pPr>
              <w:adjustRightInd w:val="0"/>
              <w:snapToGrid w:val="0"/>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5" w:type="dxa"/>
            <w:vAlign w:val="center"/>
          </w:tcPr>
          <w:p>
            <w:pPr>
              <w:adjustRightInd w:val="0"/>
              <w:snapToGrid w:val="0"/>
              <w:jc w:val="center"/>
              <w:rPr>
                <w:rFonts w:ascii="宋体" w:hAnsi="宋体"/>
                <w:szCs w:val="21"/>
              </w:rPr>
            </w:pPr>
            <w:r>
              <w:rPr>
                <w:rFonts w:hint="eastAsia" w:ascii="宋体" w:hAnsi="宋体"/>
                <w:szCs w:val="21"/>
              </w:rPr>
              <w:t>8</w:t>
            </w:r>
          </w:p>
        </w:tc>
        <w:tc>
          <w:tcPr>
            <w:tcW w:w="8362" w:type="dxa"/>
            <w:gridSpan w:val="2"/>
            <w:vAlign w:val="center"/>
          </w:tcPr>
          <w:p>
            <w:pPr>
              <w:adjustRightInd w:val="0"/>
              <w:snapToGrid w:val="0"/>
              <w:rPr>
                <w:rFonts w:ascii="宋体" w:hAnsi="宋体"/>
                <w:szCs w:val="21"/>
              </w:rPr>
            </w:pPr>
            <w:r>
              <w:rPr>
                <w:szCs w:val="21"/>
              </w:rPr>
              <w:t>供应商准备和参加谈判采购活动所发生的各种费用由供应商自行承担。</w:t>
            </w:r>
          </w:p>
        </w:tc>
      </w:tr>
    </w:tbl>
    <w:p>
      <w:pPr>
        <w:widowControl/>
        <w:spacing w:after="156" w:afterLines="50"/>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招标公告</w:t>
      </w:r>
    </w:p>
    <w:p>
      <w:pPr>
        <w:spacing w:after="78" w:afterLines="25" w:line="276" w:lineRule="auto"/>
        <w:rPr>
          <w:rFonts w:ascii="宋体" w:hAnsi="宋体" w:cs="宋体"/>
          <w:szCs w:val="21"/>
          <w:shd w:val="clear" w:color="auto" w:fill="FFFFFF"/>
        </w:rPr>
      </w:pPr>
      <w:r>
        <w:rPr>
          <w:rFonts w:hint="eastAsia" w:ascii="宋体" w:hAnsi="宋体" w:cs="宋体"/>
          <w:szCs w:val="21"/>
          <w:shd w:val="clear" w:color="auto" w:fill="FFFFFF"/>
        </w:rPr>
        <w:t>项目概况</w:t>
      </w:r>
    </w:p>
    <w:tbl>
      <w:tblPr>
        <w:tblStyle w:val="47"/>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22" w:type="dxa"/>
          </w:tcPr>
          <w:p>
            <w:pPr>
              <w:spacing w:after="78" w:afterLines="25" w:line="276" w:lineRule="auto"/>
              <w:ind w:firstLine="422" w:firstLineChars="200"/>
              <w:rPr>
                <w:rFonts w:ascii="宋体" w:hAnsi="宋体" w:cs="宋体"/>
                <w:szCs w:val="21"/>
                <w:shd w:val="clear" w:color="auto" w:fill="FFFFFF"/>
              </w:rPr>
            </w:pPr>
            <w:r>
              <w:rPr>
                <w:rFonts w:hint="eastAsia" w:ascii="宋体" w:hAnsi="宋体" w:cs="宋体"/>
                <w:b/>
                <w:szCs w:val="21"/>
                <w:shd w:val="clear" w:color="auto" w:fill="FFFFFF"/>
              </w:rPr>
              <w:t>北京副中心城际CRH6A型动车组四级修（120万公里）项目（C包）</w:t>
            </w:r>
            <w:r>
              <w:rPr>
                <w:rFonts w:hint="eastAsia" w:ascii="宋体" w:hAnsi="宋体" w:cs="宋体"/>
                <w:szCs w:val="21"/>
                <w:shd w:val="clear" w:color="auto" w:fill="FFFFFF"/>
              </w:rPr>
              <w:t>的潜在投标人应在深圳市河图建设项目管理有限公司获取招标文</w:t>
            </w:r>
            <w:r>
              <w:rPr>
                <w:rFonts w:hint="eastAsia" w:ascii="宋体" w:hAnsi="宋体" w:cs="宋体"/>
                <w:szCs w:val="21"/>
                <w:highlight w:val="none"/>
                <w:shd w:val="clear" w:color="auto" w:fill="FFFFFF"/>
              </w:rPr>
              <w:t>件，并于</w:t>
            </w:r>
            <w:bookmarkStart w:id="7" w:name="OLE_LINK39"/>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cs="宋体"/>
                <w:szCs w:val="21"/>
                <w:highlight w:val="none"/>
                <w:shd w:val="clear" w:color="auto" w:fill="FFFFFF"/>
                <w:lang w:val="en-US" w:eastAsia="zh-CN"/>
              </w:rPr>
              <w:t>14</w:t>
            </w:r>
            <w:r>
              <w:rPr>
                <w:rFonts w:hint="eastAsia" w:ascii="宋体" w:hAnsi="宋体" w:cs="宋体"/>
                <w:szCs w:val="21"/>
                <w:highlight w:val="none"/>
                <w:shd w:val="clear" w:color="auto" w:fill="FFFFFF"/>
              </w:rPr>
              <w:t>:30（</w:t>
            </w:r>
            <w:bookmarkEnd w:id="7"/>
            <w:r>
              <w:rPr>
                <w:rFonts w:hint="eastAsia" w:ascii="宋体" w:hAnsi="宋体" w:cs="宋体"/>
                <w:szCs w:val="21"/>
                <w:highlight w:val="none"/>
                <w:shd w:val="clear" w:color="auto" w:fill="FFFFFF"/>
              </w:rPr>
              <w:t>北京时间）前</w:t>
            </w:r>
            <w:r>
              <w:rPr>
                <w:rFonts w:hint="eastAsia" w:ascii="宋体" w:hAnsi="宋体" w:cs="宋体"/>
                <w:szCs w:val="21"/>
                <w:shd w:val="clear" w:color="auto" w:fill="FFFFFF"/>
              </w:rPr>
              <w:t>递交投标文件。</w:t>
            </w:r>
          </w:p>
        </w:tc>
      </w:tr>
    </w:tbl>
    <w:p>
      <w:pPr>
        <w:spacing w:after="78" w:afterLines="25" w:line="276" w:lineRule="auto"/>
        <w:rPr>
          <w:rFonts w:ascii="宋体" w:hAnsi="宋体" w:cs="宋体"/>
          <w:b/>
          <w:bCs/>
          <w:szCs w:val="21"/>
          <w:shd w:val="clear" w:color="auto" w:fill="FFFFFF"/>
        </w:rPr>
      </w:pPr>
      <w:r>
        <w:rPr>
          <w:rFonts w:hint="eastAsia" w:ascii="宋体" w:hAnsi="宋体" w:cs="宋体"/>
          <w:b/>
          <w:bCs/>
          <w:szCs w:val="21"/>
          <w:shd w:val="clear" w:color="auto" w:fill="FFFFFF"/>
        </w:rPr>
        <w:t>一、项目基本情况</w:t>
      </w:r>
    </w:p>
    <w:p>
      <w:pPr>
        <w:spacing w:after="78" w:afterLines="25" w:line="276" w:lineRule="auto"/>
        <w:ind w:firstLine="420" w:firstLineChars="200"/>
        <w:rPr>
          <w:rFonts w:hint="eastAsia" w:ascii="宋体" w:hAnsi="宋体" w:eastAsia="宋体" w:cs="宋体"/>
          <w:szCs w:val="21"/>
          <w:shd w:val="clear" w:color="auto" w:fill="FFFFFF"/>
          <w:lang w:eastAsia="zh-CN"/>
        </w:rPr>
      </w:pPr>
      <w:r>
        <w:rPr>
          <w:rFonts w:hint="eastAsia" w:ascii="宋体" w:hAnsi="宋体" w:cs="宋体"/>
          <w:szCs w:val="21"/>
          <w:shd w:val="clear" w:color="auto" w:fill="FFFFFF"/>
        </w:rPr>
        <w:t>1.项目编号：SZHT2025-005-</w:t>
      </w:r>
      <w:r>
        <w:rPr>
          <w:rFonts w:hint="eastAsia" w:ascii="宋体" w:hAnsi="宋体" w:cs="宋体"/>
          <w:szCs w:val="21"/>
          <w:shd w:val="clear" w:color="auto" w:fill="FFFFFF"/>
          <w:lang w:val="en-US" w:eastAsia="zh-CN"/>
        </w:rPr>
        <w:t>C</w:t>
      </w:r>
    </w:p>
    <w:p>
      <w:pPr>
        <w:spacing w:after="78" w:afterLines="25" w:line="276"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2.项目名称：北京副中心城际CRH6A型动车组四级修（120万公里）项目（C包）</w:t>
      </w:r>
    </w:p>
    <w:p>
      <w:pPr>
        <w:spacing w:after="78" w:afterLines="25" w:line="276" w:lineRule="auto"/>
        <w:ind w:firstLine="420" w:firstLineChars="200"/>
        <w:rPr>
          <w:rFonts w:ascii="宋体" w:hAnsi="宋体" w:cs="宋体"/>
          <w:szCs w:val="21"/>
          <w:shd w:val="clear" w:color="auto" w:fill="FFFFFF"/>
        </w:rPr>
      </w:pPr>
      <w:r>
        <w:rPr>
          <w:rFonts w:hint="eastAsia" w:ascii="宋体" w:hAnsi="宋体" w:cs="宋体"/>
          <w:szCs w:val="21"/>
          <w:shd w:val="clear" w:color="auto" w:fill="FFFFFF"/>
        </w:rPr>
        <w:t>3.预算金额：</w:t>
      </w:r>
      <w:bookmarkStart w:id="8" w:name="OLE_LINK2"/>
      <w:bookmarkStart w:id="9" w:name="OLE_LINK1"/>
      <w:r>
        <w:rPr>
          <w:rFonts w:hint="eastAsia" w:ascii="宋体" w:hAnsi="宋体" w:cs="宋体"/>
          <w:szCs w:val="21"/>
          <w:shd w:val="clear" w:color="auto" w:fill="FFFFFF"/>
        </w:rPr>
        <w:t>1,520,</w:t>
      </w:r>
      <w:r>
        <w:rPr>
          <w:rFonts w:ascii="宋体" w:hAnsi="宋体" w:cs="宋体"/>
          <w:szCs w:val="21"/>
          <w:shd w:val="clear" w:color="auto" w:fill="FFFFFF"/>
        </w:rPr>
        <w:t>000</w:t>
      </w:r>
      <w:r>
        <w:rPr>
          <w:rFonts w:hint="eastAsia" w:ascii="宋体" w:hAnsi="宋体" w:cs="宋体"/>
          <w:szCs w:val="21"/>
          <w:shd w:val="clear" w:color="auto" w:fill="FFFFFF"/>
        </w:rPr>
        <w:t>.00</w:t>
      </w:r>
      <w:bookmarkEnd w:id="8"/>
      <w:bookmarkEnd w:id="9"/>
      <w:r>
        <w:rPr>
          <w:rFonts w:hint="eastAsia" w:ascii="宋体" w:hAnsi="宋体" w:cs="宋体"/>
          <w:szCs w:val="21"/>
          <w:shd w:val="clear" w:color="auto" w:fill="FFFFFF"/>
        </w:rPr>
        <w:t>元</w:t>
      </w:r>
    </w:p>
    <w:p>
      <w:pPr>
        <w:spacing w:after="78" w:afterLines="25" w:line="276" w:lineRule="auto"/>
        <w:ind w:firstLine="420" w:firstLineChars="200"/>
        <w:rPr>
          <w:rFonts w:ascii="宋体" w:hAnsi="宋体"/>
          <w:szCs w:val="21"/>
          <w:shd w:val="clear" w:color="auto" w:fill="FFFFFF"/>
        </w:rPr>
      </w:pPr>
      <w:r>
        <w:rPr>
          <w:rFonts w:hint="eastAsia" w:ascii="宋体" w:hAnsi="宋体"/>
          <w:szCs w:val="21"/>
          <w:shd w:val="clear" w:color="auto" w:fill="FFFFFF"/>
        </w:rPr>
        <w:t>4.最高限价：</w:t>
      </w:r>
      <w:r>
        <w:rPr>
          <w:rFonts w:hint="eastAsia" w:ascii="宋体" w:hAnsi="宋体" w:cs="宋体"/>
          <w:szCs w:val="21"/>
          <w:shd w:val="clear" w:color="auto" w:fill="FFFFFF"/>
        </w:rPr>
        <w:t>1,520,</w:t>
      </w:r>
      <w:r>
        <w:rPr>
          <w:rFonts w:ascii="宋体" w:hAnsi="宋体" w:cs="宋体"/>
          <w:szCs w:val="21"/>
          <w:shd w:val="clear" w:color="auto" w:fill="FFFFFF"/>
        </w:rPr>
        <w:t>000</w:t>
      </w:r>
      <w:r>
        <w:rPr>
          <w:rFonts w:hint="eastAsia" w:ascii="宋体" w:hAnsi="宋体" w:cs="宋体"/>
          <w:szCs w:val="21"/>
          <w:shd w:val="clear" w:color="auto" w:fill="FFFFFF"/>
        </w:rPr>
        <w:t>.00元</w:t>
      </w:r>
    </w:p>
    <w:p>
      <w:pPr>
        <w:spacing w:after="78" w:afterLines="25" w:line="276" w:lineRule="auto"/>
        <w:ind w:firstLine="420" w:firstLineChars="200"/>
        <w:rPr>
          <w:rFonts w:ascii="宋体" w:hAnsi="宋体" w:cs="宋体"/>
          <w:szCs w:val="21"/>
          <w:shd w:val="clear" w:color="auto" w:fill="FFFFFF"/>
        </w:rPr>
      </w:pPr>
      <w:r>
        <w:rPr>
          <w:rFonts w:hint="eastAsia" w:ascii="宋体" w:hAnsi="宋体"/>
          <w:szCs w:val="21"/>
          <w:shd w:val="clear" w:color="auto" w:fill="FFFFFF"/>
        </w:rPr>
        <w:t>5.采购需求：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1474"/>
        <w:gridCol w:w="147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402"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bookmarkStart w:id="10" w:name="OLE_LINK21"/>
            <w:r>
              <w:rPr>
                <w:rFonts w:hint="eastAsia" w:ascii="宋体" w:hAnsi="宋体"/>
                <w:sz w:val="21"/>
              </w:rPr>
              <w:t>标的名称</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数量</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单位</w:t>
            </w:r>
          </w:p>
        </w:tc>
        <w:tc>
          <w:tcPr>
            <w:tcW w:w="181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02"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cs="宋体"/>
                <w:sz w:val="21"/>
                <w:szCs w:val="21"/>
                <w:shd w:val="clear" w:color="auto" w:fill="FFFFFF"/>
              </w:rPr>
              <w:t>北京副中心城际CRH6A型动车组四级修（120万公里）项目（</w:t>
            </w:r>
            <w:r>
              <w:rPr>
                <w:rFonts w:hint="eastAsia" w:ascii="宋体" w:hAnsi="宋体" w:cs="宋体"/>
                <w:sz w:val="21"/>
                <w:szCs w:val="21"/>
                <w:shd w:val="clear" w:color="auto" w:fill="FFFFFF"/>
                <w:lang w:val="en-US" w:eastAsia="zh-CN"/>
              </w:rPr>
              <w:t>C</w:t>
            </w:r>
            <w:r>
              <w:rPr>
                <w:rFonts w:hint="eastAsia" w:ascii="宋体" w:hAnsi="宋体" w:cs="宋体"/>
                <w:sz w:val="21"/>
                <w:szCs w:val="21"/>
                <w:shd w:val="clear" w:color="auto" w:fill="FFFFFF"/>
              </w:rPr>
              <w:t>包）</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5</w:t>
            </w:r>
          </w:p>
        </w:tc>
        <w:tc>
          <w:tcPr>
            <w:tcW w:w="147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列</w:t>
            </w:r>
          </w:p>
        </w:tc>
        <w:tc>
          <w:tcPr>
            <w:tcW w:w="1814" w:type="dxa"/>
            <w:vAlign w:val="center"/>
          </w:tcPr>
          <w:p>
            <w:pPr>
              <w:pStyle w:val="2"/>
              <w:keepNext w:val="0"/>
              <w:keepLines w:val="0"/>
              <w:pageBreakBefore w:val="0"/>
              <w:widowControl w:val="0"/>
              <w:kinsoku/>
              <w:wordWrap/>
              <w:overflowPunct/>
              <w:topLinePunct w:val="0"/>
              <w:autoSpaceDE/>
              <w:autoSpaceDN/>
              <w:bidi w:val="0"/>
              <w:adjustRightInd/>
              <w:snapToGrid w:val="0"/>
              <w:spacing w:afterLines="25" w:line="240" w:lineRule="auto"/>
              <w:jc w:val="center"/>
              <w:textAlignment w:val="auto"/>
              <w:rPr>
                <w:rFonts w:hint="eastAsia" w:ascii="宋体" w:hAnsi="宋体"/>
                <w:sz w:val="21"/>
              </w:rPr>
            </w:pPr>
            <w:r>
              <w:rPr>
                <w:rFonts w:hint="eastAsia" w:ascii="宋体" w:hAnsi="宋体"/>
                <w:sz w:val="21"/>
              </w:rPr>
              <w:t>详见招标文件</w:t>
            </w:r>
          </w:p>
        </w:tc>
      </w:tr>
    </w:tbl>
    <w:p>
      <w:pPr>
        <w:spacing w:after="78" w:afterLines="25" w:line="276" w:lineRule="auto"/>
        <w:ind w:firstLine="420" w:firstLineChars="200"/>
        <w:rPr>
          <w:rFonts w:ascii="宋体" w:hAnsi="宋体"/>
          <w:szCs w:val="21"/>
          <w:highlight w:val="none"/>
          <w:shd w:val="clear" w:color="auto" w:fill="FFFFFF"/>
        </w:rPr>
      </w:pPr>
      <w:r>
        <w:rPr>
          <w:rFonts w:hint="eastAsia" w:ascii="宋体" w:hAnsi="宋体"/>
          <w:szCs w:val="21"/>
          <w:highlight w:val="none"/>
          <w:shd w:val="clear" w:color="auto" w:fill="FFFFFF"/>
          <w:lang w:val="en-US" w:eastAsia="zh-CN"/>
        </w:rPr>
        <w:t>6.</w:t>
      </w:r>
      <w:r>
        <w:rPr>
          <w:rFonts w:hint="eastAsia" w:ascii="宋体" w:hAnsi="宋体"/>
          <w:szCs w:val="21"/>
          <w:highlight w:val="none"/>
          <w:shd w:val="clear" w:color="auto" w:fill="FFFFFF"/>
        </w:rPr>
        <w:t>交货期为：</w:t>
      </w:r>
      <w:r>
        <w:rPr>
          <w:rFonts w:hint="eastAsia" w:ascii="宋体" w:hAnsi="宋体"/>
          <w:szCs w:val="21"/>
          <w:highlight w:val="none"/>
          <w:shd w:val="clear" w:color="auto" w:fill="FFFFFF"/>
          <w:lang w:val="en-US" w:eastAsia="zh-CN"/>
        </w:rPr>
        <w:t>签订合同后7天内</w:t>
      </w:r>
    </w:p>
    <w:p>
      <w:pPr>
        <w:spacing w:after="78" w:afterLines="25" w:line="276" w:lineRule="auto"/>
        <w:ind w:firstLine="420" w:firstLineChars="200"/>
        <w:rPr>
          <w:rFonts w:ascii="宋体" w:hAnsi="宋体"/>
          <w:szCs w:val="21"/>
          <w:highlight w:val="none"/>
          <w:shd w:val="clear" w:color="auto" w:fill="FFFFFF"/>
        </w:rPr>
      </w:pPr>
      <w:r>
        <w:rPr>
          <w:rFonts w:hint="eastAsia" w:ascii="宋体" w:hAnsi="宋体"/>
          <w:szCs w:val="21"/>
          <w:highlight w:val="none"/>
          <w:shd w:val="clear" w:color="auto" w:fill="FFFFFF"/>
          <w:lang w:val="en-US" w:eastAsia="zh-CN"/>
        </w:rPr>
        <w:t>7.</w:t>
      </w:r>
      <w:r>
        <w:rPr>
          <w:rFonts w:hint="eastAsia" w:ascii="宋体" w:hAnsi="宋体"/>
          <w:szCs w:val="21"/>
          <w:highlight w:val="none"/>
          <w:shd w:val="clear" w:color="auto" w:fill="FFFFFF"/>
        </w:rPr>
        <w:t>本项目不接受联合体投标</w:t>
      </w:r>
    </w:p>
    <w:bookmarkEnd w:id="10"/>
    <w:p>
      <w:pPr>
        <w:spacing w:after="78" w:afterLines="25" w:line="276" w:lineRule="auto"/>
        <w:rPr>
          <w:rFonts w:ascii="宋体" w:hAnsi="宋体" w:cs="宋体"/>
          <w:b/>
          <w:bCs/>
          <w:szCs w:val="21"/>
          <w:shd w:val="clear" w:color="auto" w:fill="FFFFFF"/>
        </w:rPr>
      </w:pPr>
      <w:r>
        <w:rPr>
          <w:rFonts w:hint="eastAsia" w:ascii="宋体" w:hAnsi="宋体" w:cs="宋体"/>
          <w:b/>
          <w:bCs/>
          <w:szCs w:val="21"/>
          <w:shd w:val="clear" w:color="auto" w:fill="FFFFFF"/>
        </w:rPr>
        <w:t>二、申请人的资格要求：</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1.具有独立法人资格或具有独立承担民事责任的能力的其它组织（提供营业执照或事业单位法人证等法人证明扫描件，原件备查）。</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2.本项目不接受联合体投标，不接受投标人选用进口产品参与投标，不允许转包，不接受分包。</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3.参与本项目投标前三年内，在经营活动中没有重大违法记录（由供应商在《政府采购投标及履约承诺函》中作出声明）。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4.参与本项目政府采购活动时不存在被有关部门禁止参与政府采购活动且在有效期内的情况（由供应商在《政府采购投标及履约承诺函》中作出声明）。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5.具备《中华人民共和国政府采购法》第二十二条第一款的条件（由供应商在《政府采购投标及履约承诺函》中作出声明）。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6.未被列入失信被执行人、重大税收违法案件当事人名单、政府采购严重违法失信行为记录名单（由供应商在《政府采购投标及履约承诺函》中作出声明）。</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spacing w:line="360" w:lineRule="auto"/>
        <w:ind w:firstLine="420" w:firstLineChars="200"/>
        <w:jc w:val="left"/>
        <w:rPr>
          <w:rFonts w:ascii="宋体" w:hAnsi="宋体" w:cs="宋体"/>
          <w:kern w:val="0"/>
          <w:szCs w:val="21"/>
          <w:shd w:val="clear" w:color="auto" w:fill="FFFFFF"/>
        </w:rPr>
      </w:pPr>
      <w:bookmarkStart w:id="11" w:name="OLE_LINK10"/>
      <w:bookmarkStart w:id="12" w:name="OLE_LINK9"/>
      <w:bookmarkStart w:id="13" w:name="OLE_LINK59"/>
      <w:bookmarkStart w:id="14" w:name="OLE_LINK18"/>
      <w:bookmarkStart w:id="15" w:name="OLE_LINK17"/>
      <w:bookmarkStart w:id="16" w:name="OLE_LINK36"/>
      <w:bookmarkStart w:id="17" w:name="OLE_LINK35"/>
      <w:r>
        <w:rPr>
          <w:rFonts w:hint="eastAsia" w:ascii="宋体" w:hAnsi="宋体" w:cs="宋体"/>
          <w:kern w:val="0"/>
          <w:szCs w:val="21"/>
          <w:shd w:val="clear" w:color="auto" w:fill="FFFFFF"/>
        </w:rPr>
        <w:t>7.</w:t>
      </w:r>
      <w:bookmarkEnd w:id="11"/>
      <w:bookmarkEnd w:id="12"/>
      <w:r>
        <w:rPr>
          <w:rFonts w:hint="eastAsia" w:ascii="宋体" w:hAnsi="宋体" w:cs="宋体"/>
          <w:kern w:val="0"/>
          <w:szCs w:val="21"/>
          <w:shd w:val="clear" w:color="auto" w:fill="FFFFFF"/>
        </w:rPr>
        <w:t>未参与本采购项目的整体设计、规范编制或者项目管理、监理、检测等服务。</w:t>
      </w:r>
    </w:p>
    <w:p>
      <w:pPr>
        <w:spacing w:line="360" w:lineRule="auto"/>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lang w:val="en-US" w:eastAsia="zh-CN"/>
        </w:rPr>
        <w:t>8</w:t>
      </w:r>
      <w:r>
        <w:rPr>
          <w:rFonts w:hint="eastAsia" w:ascii="宋体" w:hAnsi="宋体" w:cs="宋体"/>
          <w:kern w:val="0"/>
          <w:szCs w:val="21"/>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bookmarkEnd w:id="13"/>
      <w:bookmarkEnd w:id="14"/>
      <w:bookmarkEnd w:id="15"/>
    </w:p>
    <w:bookmarkEnd w:id="16"/>
    <w:bookmarkEnd w:id="17"/>
    <w:p>
      <w:pPr>
        <w:spacing w:after="78" w:afterLines="25" w:line="276" w:lineRule="auto"/>
        <w:rPr>
          <w:rFonts w:ascii="宋体" w:hAnsi="宋体" w:cs="宋体"/>
          <w:b/>
          <w:bCs/>
          <w:szCs w:val="21"/>
          <w:shd w:val="clear" w:color="auto" w:fill="FFFFFF"/>
        </w:rPr>
      </w:pPr>
      <w:r>
        <w:rPr>
          <w:rFonts w:hint="eastAsia" w:ascii="宋体" w:hAnsi="宋体" w:cs="宋体"/>
          <w:b/>
          <w:bCs/>
          <w:szCs w:val="21"/>
          <w:shd w:val="clear" w:color="auto" w:fill="FFFFFF"/>
        </w:rPr>
        <w:t>三、获取招标文件</w:t>
      </w:r>
    </w:p>
    <w:p>
      <w:pPr>
        <w:spacing w:line="300" w:lineRule="auto"/>
        <w:ind w:firstLine="420" w:firstLineChars="200"/>
        <w:jc w:val="left"/>
        <w:rPr>
          <w:rFonts w:ascii="宋体" w:hAnsi="宋体" w:cs="宋体"/>
          <w:szCs w:val="21"/>
          <w:highlight w:val="none"/>
        </w:rPr>
      </w:pPr>
      <w:bookmarkStart w:id="18" w:name="OLE_LINK22"/>
      <w:r>
        <w:rPr>
          <w:rFonts w:hint="eastAsia" w:ascii="宋体" w:hAnsi="宋体" w:cs="宋体"/>
          <w:szCs w:val="21"/>
          <w:highlight w:val="none"/>
        </w:rPr>
        <w:t>1.报名时间：2025年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w:t>
      </w:r>
      <w:r>
        <w:rPr>
          <w:rFonts w:hint="eastAsia" w:ascii="宋体" w:hAnsi="宋体" w:cs="宋体"/>
          <w:szCs w:val="21"/>
          <w:highlight w:val="none"/>
        </w:rPr>
        <w:t>日至2025年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11</w:t>
      </w:r>
      <w:r>
        <w:rPr>
          <w:rFonts w:hint="eastAsia" w:ascii="宋体" w:hAnsi="宋体" w:cs="宋体"/>
          <w:szCs w:val="21"/>
          <w:highlight w:val="none"/>
        </w:rPr>
        <w:t>日，每天上午09：00至12：00，下午14：00至17：00（北京时间，法定节假日除外）。</w:t>
      </w:r>
    </w:p>
    <w:p>
      <w:pPr>
        <w:spacing w:line="300" w:lineRule="auto"/>
        <w:ind w:firstLine="420" w:firstLineChars="200"/>
        <w:jc w:val="left"/>
        <w:rPr>
          <w:rFonts w:ascii="宋体" w:hAnsi="宋体" w:cs="宋体"/>
          <w:szCs w:val="21"/>
        </w:rPr>
      </w:pPr>
      <w:r>
        <w:rPr>
          <w:rFonts w:hint="eastAsia" w:ascii="宋体" w:hAnsi="宋体" w:cs="宋体"/>
          <w:szCs w:val="21"/>
        </w:rPr>
        <w:t>2.现场报名：</w:t>
      </w:r>
    </w:p>
    <w:p>
      <w:pPr>
        <w:spacing w:line="300" w:lineRule="auto"/>
        <w:ind w:firstLine="420" w:firstLineChars="200"/>
        <w:jc w:val="left"/>
        <w:rPr>
          <w:rFonts w:hint="eastAsia" w:ascii="宋体" w:hAnsi="宋体" w:cs="宋体"/>
          <w:szCs w:val="21"/>
          <w:lang w:eastAsia="zh-CN"/>
        </w:rPr>
      </w:pPr>
      <w:r>
        <w:rPr>
          <w:rFonts w:hint="eastAsia" w:ascii="宋体" w:hAnsi="宋体" w:cs="宋体"/>
          <w:szCs w:val="21"/>
        </w:rPr>
        <w:t>投标人应当至深圳市河图建设项目管理有限公司（http://www.hetujianshe.com/index.html）官网首页-资料下载-下载投标报名登记表填写，并携带营业执照复印件</w:t>
      </w:r>
      <w:r>
        <w:rPr>
          <w:rFonts w:hint="eastAsia" w:ascii="宋体" w:hAnsi="宋体" w:cs="宋体"/>
          <w:szCs w:val="21"/>
          <w:lang w:eastAsia="zh-CN"/>
        </w:rPr>
        <w:t>、</w:t>
      </w:r>
      <w:bookmarkStart w:id="19" w:name="OLE_LINK68"/>
      <w:r>
        <w:rPr>
          <w:rFonts w:hint="eastAsia" w:ascii="宋体" w:hAnsi="宋体" w:cs="宋体"/>
          <w:szCs w:val="21"/>
          <w:lang w:eastAsia="zh-CN"/>
        </w:rPr>
        <w:t>法定代表人（负责人）证明书、</w:t>
      </w:r>
      <w:bookmarkEnd w:id="19"/>
      <w:r>
        <w:rPr>
          <w:rFonts w:hint="eastAsia" w:ascii="宋体" w:hAnsi="宋体" w:cs="宋体"/>
          <w:szCs w:val="21"/>
          <w:lang w:eastAsia="zh-CN"/>
        </w:rPr>
        <w:t>授权委托书</w:t>
      </w:r>
      <w:r>
        <w:rPr>
          <w:rFonts w:hint="eastAsia" w:ascii="宋体" w:hAnsi="宋体" w:cs="宋体"/>
          <w:szCs w:val="21"/>
        </w:rPr>
        <w:t>（以上资料</w:t>
      </w:r>
      <w:r>
        <w:rPr>
          <w:rFonts w:hint="eastAsia" w:ascii="宋体" w:hAnsi="宋体" w:cs="宋体"/>
          <w:szCs w:val="21"/>
          <w:lang w:eastAsia="zh-CN"/>
        </w:rPr>
        <w:t>均</w:t>
      </w:r>
      <w:r>
        <w:rPr>
          <w:rFonts w:hint="eastAsia" w:ascii="宋体" w:hAnsi="宋体" w:cs="宋体"/>
          <w:szCs w:val="21"/>
        </w:rPr>
        <w:t>加盖公章）至深圳市福田区福田街道皇岗社区益田路3008号皇都广场C座</w:t>
      </w:r>
      <w:r>
        <w:rPr>
          <w:rFonts w:hint="eastAsia" w:ascii="宋体" w:hAnsi="宋体"/>
          <w:szCs w:val="21"/>
        </w:rPr>
        <w:t>8楼前台</w:t>
      </w:r>
      <w:r>
        <w:rPr>
          <w:rFonts w:hint="eastAsia" w:ascii="宋体" w:hAnsi="宋体" w:cs="宋体"/>
          <w:szCs w:val="21"/>
          <w:lang w:eastAsia="zh-CN"/>
        </w:rPr>
        <w:t>（</w:t>
      </w:r>
      <w:r>
        <w:rPr>
          <w:rFonts w:hint="eastAsia" w:ascii="宋体" w:hAnsi="宋体" w:cs="宋体"/>
          <w:szCs w:val="21"/>
        </w:rPr>
        <w:t>联系人：曹工，联系电话：13418563949)购买招标文件</w:t>
      </w:r>
      <w:r>
        <w:rPr>
          <w:rFonts w:hint="eastAsia" w:ascii="宋体" w:hAnsi="宋体" w:cs="宋体"/>
          <w:szCs w:val="21"/>
          <w:lang w:eastAsia="zh-CN"/>
        </w:rPr>
        <w:t>。</w:t>
      </w:r>
    </w:p>
    <w:p>
      <w:pPr>
        <w:spacing w:line="300" w:lineRule="auto"/>
        <w:ind w:firstLine="420" w:firstLineChars="200"/>
        <w:jc w:val="left"/>
        <w:rPr>
          <w:rFonts w:ascii="宋体" w:hAnsi="宋体" w:cs="宋体"/>
          <w:szCs w:val="21"/>
        </w:rPr>
      </w:pPr>
      <w:r>
        <w:rPr>
          <w:rFonts w:hint="eastAsia" w:ascii="宋体" w:hAnsi="宋体" w:cs="宋体"/>
          <w:szCs w:val="21"/>
        </w:rPr>
        <w:t>3.线上报名：</w:t>
      </w:r>
    </w:p>
    <w:p>
      <w:pPr>
        <w:spacing w:line="300" w:lineRule="auto"/>
        <w:ind w:firstLine="420" w:firstLineChars="200"/>
        <w:jc w:val="left"/>
        <w:rPr>
          <w:rFonts w:hint="eastAsia" w:ascii="宋体" w:hAnsi="宋体" w:eastAsia="宋体" w:cs="宋体"/>
          <w:szCs w:val="21"/>
          <w:lang w:eastAsia="zh-CN"/>
        </w:rPr>
      </w:pPr>
      <w:r>
        <w:rPr>
          <w:rFonts w:hint="eastAsia" w:ascii="宋体" w:hAnsi="宋体" w:cs="宋体"/>
          <w:szCs w:val="21"/>
        </w:rPr>
        <w:t>投标人应当至深圳市河图建设项目管理有限公司（http://www.hetujianshe.com/index.html）官网首页-资料下载-下载投标报名登记表，填写完成后与营业执照复印件</w:t>
      </w:r>
      <w:r>
        <w:rPr>
          <w:rFonts w:hint="eastAsia" w:ascii="宋体" w:hAnsi="宋体" w:cs="宋体"/>
          <w:szCs w:val="21"/>
          <w:lang w:eastAsia="zh-CN"/>
        </w:rPr>
        <w:t>、法定代表人（负责人）证明书、</w:t>
      </w:r>
      <w:r>
        <w:rPr>
          <w:rFonts w:hint="eastAsia" w:ascii="宋体" w:hAnsi="宋体" w:cs="宋体"/>
          <w:szCs w:val="21"/>
        </w:rPr>
        <w:t>单位授权委托书（以上资料</w:t>
      </w:r>
      <w:r>
        <w:rPr>
          <w:rFonts w:hint="eastAsia" w:ascii="宋体" w:hAnsi="宋体" w:cs="宋体"/>
          <w:szCs w:val="21"/>
          <w:lang w:eastAsia="zh-CN"/>
        </w:rPr>
        <w:t>均</w:t>
      </w:r>
      <w:r>
        <w:rPr>
          <w:rFonts w:hint="eastAsia" w:ascii="宋体" w:hAnsi="宋体" w:cs="宋体"/>
          <w:szCs w:val="21"/>
        </w:rPr>
        <w:t>加盖公章）扫描发至邮箱3264483837@qq.com</w:t>
      </w:r>
      <w:r>
        <w:rPr>
          <w:rFonts w:hint="eastAsia" w:ascii="宋体" w:hAnsi="宋体" w:cs="宋体"/>
          <w:szCs w:val="21"/>
          <w:lang w:eastAsia="zh-CN"/>
        </w:rPr>
        <w:t>，</w:t>
      </w:r>
      <w:r>
        <w:rPr>
          <w:rFonts w:hint="eastAsia" w:ascii="宋体" w:hAnsi="宋体" w:cs="宋体"/>
          <w:szCs w:val="21"/>
        </w:rPr>
        <w:t>原件邮寄到深圳市福田区福田街道皇岗社区益田路3008号皇都广场3号楼</w:t>
      </w:r>
      <w:r>
        <w:rPr>
          <w:rFonts w:hint="eastAsia" w:ascii="宋体" w:hAnsi="宋体"/>
          <w:szCs w:val="21"/>
        </w:rPr>
        <w:t>8楼前台</w:t>
      </w:r>
      <w:r>
        <w:rPr>
          <w:rFonts w:hint="eastAsia" w:ascii="宋体" w:hAnsi="宋体" w:cs="宋体"/>
          <w:szCs w:val="21"/>
        </w:rPr>
        <w:t>（不接受到付）</w:t>
      </w:r>
      <w:r>
        <w:rPr>
          <w:rFonts w:hint="eastAsia" w:ascii="宋体" w:hAnsi="宋体" w:cs="宋体"/>
          <w:szCs w:val="21"/>
          <w:lang w:eastAsia="zh-CN"/>
        </w:rPr>
        <w:t>。</w:t>
      </w:r>
    </w:p>
    <w:p>
      <w:pPr>
        <w:spacing w:line="300" w:lineRule="auto"/>
        <w:ind w:firstLine="420" w:firstLineChars="200"/>
        <w:jc w:val="left"/>
        <w:rPr>
          <w:rFonts w:hint="eastAsia" w:ascii="宋体" w:hAnsi="宋体" w:cs="宋体"/>
          <w:szCs w:val="21"/>
        </w:rPr>
      </w:pPr>
      <w:r>
        <w:rPr>
          <w:rFonts w:hint="eastAsia" w:ascii="宋体" w:hAnsi="宋体" w:cs="宋体"/>
          <w:szCs w:val="21"/>
          <w:lang w:val="en-US" w:eastAsia="zh-CN"/>
        </w:rPr>
        <w:t>4.</w:t>
      </w:r>
      <w:r>
        <w:rPr>
          <w:rFonts w:hint="eastAsia" w:ascii="宋体" w:hAnsi="宋体" w:cs="宋体"/>
          <w:szCs w:val="21"/>
        </w:rPr>
        <w:t>招标文件每份售价600元（招标文件工本费，售后不退），且不得转让他人。</w:t>
      </w:r>
    </w:p>
    <w:p>
      <w:pPr>
        <w:spacing w:line="300" w:lineRule="auto"/>
        <w:ind w:firstLine="420" w:firstLineChars="200"/>
        <w:jc w:val="left"/>
        <w:rPr>
          <w:rFonts w:hint="eastAsia" w:ascii="宋体" w:hAnsi="宋体" w:eastAsia="宋体" w:cs="宋体"/>
          <w:szCs w:val="21"/>
          <w:lang w:eastAsia="zh-CN"/>
        </w:rPr>
      </w:pPr>
      <w:r>
        <w:rPr>
          <w:rFonts w:hint="eastAsia" w:ascii="宋体" w:hAnsi="宋体" w:cs="宋体"/>
          <w:szCs w:val="21"/>
          <w:lang w:val="en-US" w:eastAsia="zh-CN"/>
        </w:rPr>
        <w:t>5.</w:t>
      </w:r>
      <w:r>
        <w:rPr>
          <w:rFonts w:hint="eastAsia" w:ascii="宋体" w:hAnsi="宋体" w:cs="宋体"/>
          <w:szCs w:val="21"/>
        </w:rPr>
        <w:t>账号信息（用于支付招标文件费）</w:t>
      </w:r>
      <w:r>
        <w:rPr>
          <w:rFonts w:hint="eastAsia" w:ascii="宋体" w:hAnsi="宋体" w:cs="宋体"/>
          <w:szCs w:val="21"/>
          <w:lang w:eastAsia="zh-CN"/>
        </w:rPr>
        <w:t>：</w:t>
      </w:r>
    </w:p>
    <w:p>
      <w:pPr>
        <w:spacing w:line="300" w:lineRule="auto"/>
        <w:ind w:firstLine="420" w:firstLineChars="200"/>
        <w:jc w:val="left"/>
        <w:rPr>
          <w:rFonts w:ascii="宋体" w:hAnsi="宋体" w:cs="宋体"/>
          <w:szCs w:val="21"/>
        </w:rPr>
      </w:pPr>
      <w:r>
        <w:rPr>
          <w:rFonts w:hint="eastAsia" w:ascii="宋体" w:hAnsi="宋体" w:cs="宋体"/>
          <w:szCs w:val="21"/>
        </w:rPr>
        <w:t>公司名称：深圳市河图建设项目管理有限公司</w:t>
      </w:r>
    </w:p>
    <w:p>
      <w:pPr>
        <w:spacing w:line="300" w:lineRule="auto"/>
        <w:ind w:firstLine="420" w:firstLineChars="200"/>
        <w:jc w:val="left"/>
        <w:rPr>
          <w:rFonts w:ascii="宋体" w:hAnsi="宋体" w:cs="宋体"/>
          <w:szCs w:val="21"/>
        </w:rPr>
      </w:pPr>
      <w:r>
        <w:rPr>
          <w:rFonts w:hint="eastAsia" w:ascii="宋体" w:hAnsi="宋体" w:cs="宋体"/>
          <w:szCs w:val="21"/>
        </w:rPr>
        <w:t>开户行账号：44250100010000001673</w:t>
      </w:r>
    </w:p>
    <w:p>
      <w:pPr>
        <w:spacing w:line="300" w:lineRule="auto"/>
        <w:ind w:firstLine="420" w:firstLineChars="200"/>
        <w:jc w:val="left"/>
        <w:rPr>
          <w:rFonts w:ascii="宋体" w:hAnsi="宋体" w:cs="宋体"/>
          <w:szCs w:val="21"/>
        </w:rPr>
      </w:pPr>
      <w:r>
        <w:rPr>
          <w:rFonts w:hint="eastAsia" w:ascii="宋体" w:hAnsi="宋体" w:cs="宋体"/>
          <w:szCs w:val="21"/>
        </w:rPr>
        <w:t>开户行名称: 中国建设银行股份有限公司深圳天健世纪支行</w:t>
      </w:r>
    </w:p>
    <w:bookmarkEnd w:id="18"/>
    <w:p>
      <w:pPr>
        <w:spacing w:after="78" w:afterLines="25" w:line="276" w:lineRule="auto"/>
        <w:rPr>
          <w:rFonts w:ascii="宋体" w:hAnsi="宋体" w:cs="宋体"/>
          <w:szCs w:val="21"/>
          <w:shd w:val="clear" w:color="auto" w:fill="FFFFFF"/>
        </w:rPr>
      </w:pPr>
      <w:r>
        <w:rPr>
          <w:rFonts w:hint="eastAsia" w:ascii="宋体" w:hAnsi="宋体" w:cs="宋体"/>
          <w:b/>
          <w:bCs/>
          <w:szCs w:val="21"/>
          <w:shd w:val="clear" w:color="auto" w:fill="FFFFFF"/>
        </w:rPr>
        <w:t>四、提交投标文件截止时间、开标时间和地点</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1.提交投标文件截止时间：</w:t>
      </w:r>
      <w:r>
        <w:rPr>
          <w:rFonts w:hint="eastAsia" w:ascii="宋体" w:hAnsi="宋体" w:cs="宋体"/>
          <w:szCs w:val="21"/>
          <w:highlight w:val="none"/>
        </w:rPr>
        <w:t>2025年</w:t>
      </w:r>
      <w:r>
        <w:rPr>
          <w:rFonts w:hint="eastAsia" w:ascii="宋体" w:hAnsi="宋体" w:cs="宋体"/>
          <w:szCs w:val="21"/>
          <w:highlight w:val="none"/>
          <w:lang w:val="en-US" w:eastAsia="zh-CN"/>
        </w:rPr>
        <w:t>4</w:t>
      </w:r>
      <w:r>
        <w:rPr>
          <w:rFonts w:hint="eastAsia" w:ascii="宋体" w:hAnsi="宋体" w:cs="宋体"/>
          <w:szCs w:val="21"/>
          <w:highlight w:val="none"/>
        </w:rPr>
        <w:t>月</w:t>
      </w:r>
      <w:r>
        <w:rPr>
          <w:rFonts w:hint="eastAsia" w:ascii="宋体" w:hAnsi="宋体" w:cs="宋体"/>
          <w:szCs w:val="21"/>
          <w:highlight w:val="none"/>
          <w:lang w:val="en-US" w:eastAsia="zh-CN"/>
        </w:rPr>
        <w:t>22</w:t>
      </w:r>
      <w:r>
        <w:rPr>
          <w:rFonts w:hint="eastAsia" w:ascii="宋体" w:hAnsi="宋体" w:cs="宋体"/>
          <w:szCs w:val="21"/>
          <w:highlight w:val="none"/>
        </w:rPr>
        <w:t>日</w:t>
      </w:r>
      <w:r>
        <w:rPr>
          <w:rFonts w:hint="eastAsia" w:ascii="宋体" w:hAnsi="宋体"/>
          <w:bCs/>
          <w:szCs w:val="21"/>
          <w:highlight w:val="none"/>
          <w:lang w:val="en-US" w:eastAsia="zh-CN"/>
        </w:rPr>
        <w:t>14</w:t>
      </w:r>
      <w:r>
        <w:rPr>
          <w:rFonts w:hint="eastAsia" w:ascii="宋体" w:hAnsi="宋体"/>
          <w:bCs/>
          <w:szCs w:val="21"/>
          <w:highlight w:val="none"/>
        </w:rPr>
        <w:t>：30</w:t>
      </w:r>
      <w:r>
        <w:rPr>
          <w:rFonts w:hint="eastAsia" w:ascii="宋体" w:hAnsi="宋体"/>
          <w:szCs w:val="21"/>
          <w:highlight w:val="none"/>
        </w:rPr>
        <w:t>（北京时间）</w:t>
      </w:r>
    </w:p>
    <w:p>
      <w:pPr>
        <w:widowControl/>
        <w:spacing w:line="300" w:lineRule="auto"/>
        <w:ind w:firstLine="420" w:firstLineChars="200"/>
        <w:jc w:val="left"/>
        <w:rPr>
          <w:rFonts w:ascii="宋体" w:hAnsi="宋体"/>
          <w:szCs w:val="21"/>
        </w:rPr>
      </w:pPr>
      <w:r>
        <w:rPr>
          <w:rFonts w:hint="eastAsia" w:ascii="宋体" w:hAnsi="宋体"/>
          <w:szCs w:val="21"/>
        </w:rPr>
        <w:t>2.投标地点：</w:t>
      </w:r>
      <w:bookmarkStart w:id="20" w:name="_Toc35393625"/>
      <w:bookmarkEnd w:id="20"/>
      <w:r>
        <w:rPr>
          <w:rFonts w:hint="eastAsia" w:ascii="宋体" w:hAnsi="宋体"/>
          <w:szCs w:val="21"/>
        </w:rPr>
        <w:t>深圳市福田区福田街道皇岗社区益田路3008号皇都广场C座803</w:t>
      </w:r>
    </w:p>
    <w:p>
      <w:pPr>
        <w:widowControl/>
        <w:spacing w:line="300" w:lineRule="auto"/>
        <w:ind w:firstLine="420" w:firstLineChars="200"/>
        <w:jc w:val="left"/>
        <w:rPr>
          <w:rFonts w:ascii="宋体" w:hAnsi="宋体"/>
          <w:szCs w:val="21"/>
        </w:rPr>
      </w:pPr>
      <w:r>
        <w:rPr>
          <w:rFonts w:hint="eastAsia" w:ascii="宋体" w:hAnsi="宋体"/>
          <w:szCs w:val="21"/>
        </w:rPr>
        <w:t>3.开标地点：同投标地点。</w:t>
      </w:r>
    </w:p>
    <w:p>
      <w:pPr>
        <w:widowControl/>
        <w:spacing w:line="300" w:lineRule="auto"/>
        <w:ind w:firstLine="420" w:firstLineChars="200"/>
        <w:jc w:val="left"/>
        <w:rPr>
          <w:rFonts w:ascii="宋体" w:hAnsi="宋体"/>
          <w:szCs w:val="21"/>
        </w:rPr>
      </w:pPr>
      <w:r>
        <w:rPr>
          <w:rFonts w:hint="eastAsia" w:ascii="宋体" w:hAnsi="宋体"/>
          <w:szCs w:val="21"/>
        </w:rPr>
        <w:t>4.评标地点：同投标地点。</w:t>
      </w:r>
    </w:p>
    <w:p>
      <w:pPr>
        <w:widowControl/>
        <w:spacing w:line="300" w:lineRule="auto"/>
        <w:jc w:val="left"/>
        <w:rPr>
          <w:rFonts w:ascii="宋体" w:hAnsi="宋体"/>
          <w:b/>
          <w:bCs/>
          <w:szCs w:val="21"/>
        </w:rPr>
      </w:pPr>
      <w:r>
        <w:rPr>
          <w:rFonts w:hint="eastAsia" w:ascii="宋体" w:hAnsi="宋体"/>
          <w:b/>
          <w:bCs/>
          <w:szCs w:val="21"/>
        </w:rPr>
        <w:t>五、公告发布网站</w:t>
      </w:r>
    </w:p>
    <w:p>
      <w:pPr>
        <w:spacing w:line="300" w:lineRule="auto"/>
        <w:ind w:firstLine="420" w:firstLineChars="200"/>
        <w:rPr>
          <w:rFonts w:hint="eastAsia" w:ascii="宋体" w:hAnsi="宋体"/>
          <w:szCs w:val="21"/>
        </w:rPr>
      </w:pPr>
      <w:bookmarkStart w:id="21" w:name="OLE_LINK53"/>
      <w:r>
        <w:rPr>
          <w:rFonts w:hint="eastAsia" w:ascii="宋体" w:hAnsi="宋体"/>
          <w:szCs w:val="21"/>
        </w:rPr>
        <w:t>1.国铁采购平台：</w:t>
      </w:r>
      <w:r>
        <w:rPr>
          <w:rFonts w:hint="eastAsia" w:ascii="宋体" w:hAnsi="宋体"/>
          <w:szCs w:val="21"/>
        </w:rPr>
        <w:fldChar w:fldCharType="begin"/>
      </w:r>
      <w:r>
        <w:rPr>
          <w:rFonts w:hint="eastAsia" w:ascii="宋体" w:hAnsi="宋体"/>
          <w:szCs w:val="21"/>
        </w:rPr>
        <w:instrText xml:space="preserve"> HYPERLINK "https://cg.95306.cn/" </w:instrText>
      </w:r>
      <w:r>
        <w:rPr>
          <w:rFonts w:hint="eastAsia" w:ascii="宋体" w:hAnsi="宋体"/>
          <w:szCs w:val="21"/>
        </w:rPr>
        <w:fldChar w:fldCharType="separate"/>
      </w:r>
      <w:r>
        <w:rPr>
          <w:rFonts w:hint="eastAsia" w:ascii="宋体" w:hAnsi="宋体"/>
          <w:szCs w:val="21"/>
        </w:rPr>
        <w:t>https://cg.95306.cn/</w:t>
      </w:r>
      <w:r>
        <w:rPr>
          <w:rFonts w:hint="eastAsia" w:ascii="宋体" w:hAnsi="宋体"/>
          <w:szCs w:val="21"/>
        </w:rPr>
        <w:fldChar w:fldCharType="end"/>
      </w:r>
    </w:p>
    <w:p>
      <w:pPr>
        <w:spacing w:line="300" w:lineRule="auto"/>
        <w:ind w:firstLine="420" w:firstLineChars="200"/>
        <w:rPr>
          <w:rFonts w:ascii="宋体" w:hAnsi="宋体"/>
          <w:szCs w:val="21"/>
        </w:rPr>
      </w:pPr>
      <w:r>
        <w:rPr>
          <w:rFonts w:hint="eastAsia" w:ascii="宋体" w:hAnsi="宋体"/>
          <w:szCs w:val="21"/>
          <w:lang w:val="en-US" w:eastAsia="zh-CN"/>
        </w:rPr>
        <w:t>2.</w:t>
      </w:r>
      <w:r>
        <w:rPr>
          <w:rFonts w:hint="eastAsia" w:ascii="宋体" w:hAnsi="宋体"/>
          <w:szCs w:val="21"/>
        </w:rPr>
        <w:t>深圳公共资源交易中心：</w:t>
      </w:r>
      <w:r>
        <w:rPr>
          <w:rFonts w:ascii="宋体" w:hAnsi="宋体"/>
          <w:szCs w:val="21"/>
        </w:rPr>
        <w:t>https://new.szggzy.com/home/index.html</w:t>
      </w:r>
    </w:p>
    <w:p>
      <w:pPr>
        <w:spacing w:line="300" w:lineRule="auto"/>
        <w:ind w:firstLine="420" w:firstLineChars="200"/>
        <w:rPr>
          <w:rFonts w:ascii="宋体" w:hAnsi="宋体"/>
          <w:szCs w:val="21"/>
        </w:rPr>
      </w:pPr>
      <w:r>
        <w:rPr>
          <w:rFonts w:hint="eastAsia" w:ascii="宋体" w:hAnsi="宋体"/>
          <w:szCs w:val="21"/>
        </w:rPr>
        <w:t>3.深圳市河图建设项目管理有限公司：</w:t>
      </w:r>
      <w:r>
        <w:rPr>
          <w:rFonts w:ascii="宋体" w:hAnsi="宋体"/>
          <w:szCs w:val="21"/>
        </w:rPr>
        <w:t>http://www.hetujianshe.cn/index.html</w:t>
      </w:r>
    </w:p>
    <w:bookmarkEnd w:id="21"/>
    <w:p>
      <w:pPr>
        <w:widowControl/>
        <w:spacing w:line="300" w:lineRule="auto"/>
        <w:jc w:val="left"/>
        <w:rPr>
          <w:rFonts w:ascii="宋体" w:hAnsi="宋体"/>
          <w:szCs w:val="21"/>
        </w:rPr>
      </w:pPr>
      <w:r>
        <w:rPr>
          <w:rFonts w:hint="eastAsia" w:ascii="宋体" w:hAnsi="宋体"/>
          <w:b/>
          <w:bCs/>
          <w:szCs w:val="21"/>
        </w:rPr>
        <w:t>六、公告期限</w:t>
      </w:r>
    </w:p>
    <w:p>
      <w:pPr>
        <w:widowControl/>
        <w:spacing w:line="300" w:lineRule="auto"/>
        <w:ind w:firstLine="420" w:firstLineChars="200"/>
        <w:jc w:val="left"/>
        <w:rPr>
          <w:rFonts w:ascii="宋体" w:hAnsi="宋体"/>
          <w:szCs w:val="21"/>
        </w:rPr>
      </w:pPr>
      <w:r>
        <w:rPr>
          <w:rFonts w:hint="eastAsia" w:ascii="宋体" w:hAnsi="宋体"/>
          <w:szCs w:val="21"/>
        </w:rPr>
        <w:t>自本公告发布之日起5个工作日。</w:t>
      </w:r>
      <w:bookmarkStart w:id="22" w:name="_Toc35393626"/>
      <w:bookmarkEnd w:id="22"/>
    </w:p>
    <w:p>
      <w:pPr>
        <w:widowControl/>
        <w:spacing w:line="300" w:lineRule="auto"/>
        <w:jc w:val="left"/>
        <w:rPr>
          <w:rFonts w:ascii="宋体" w:hAnsi="宋体"/>
          <w:b/>
          <w:bCs/>
          <w:szCs w:val="21"/>
        </w:rPr>
      </w:pPr>
      <w:r>
        <w:rPr>
          <w:rFonts w:hint="eastAsia" w:ascii="宋体" w:hAnsi="宋体"/>
          <w:b/>
          <w:bCs/>
          <w:szCs w:val="21"/>
        </w:rPr>
        <w:t>七、应答文件提交</w:t>
      </w:r>
    </w:p>
    <w:p>
      <w:pPr>
        <w:spacing w:line="300" w:lineRule="auto"/>
        <w:ind w:firstLine="420" w:firstLineChars="200"/>
        <w:rPr>
          <w:rFonts w:ascii="宋体" w:hAnsi="宋体"/>
          <w:szCs w:val="21"/>
          <w:highlight w:val="none"/>
        </w:rPr>
      </w:pPr>
      <w:r>
        <w:rPr>
          <w:rFonts w:hint="eastAsia" w:ascii="宋体" w:hAnsi="宋体"/>
          <w:szCs w:val="21"/>
          <w:highlight w:val="none"/>
        </w:rPr>
        <w:t>1.开始接受应答文件时间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lang w:val="en-US" w:eastAsia="zh-CN"/>
        </w:rPr>
        <w:t>14</w:t>
      </w:r>
      <w:r>
        <w:rPr>
          <w:rFonts w:hint="eastAsia" w:ascii="宋体" w:hAnsi="宋体"/>
          <w:szCs w:val="21"/>
          <w:highlight w:val="none"/>
        </w:rPr>
        <w:t>:00-</w:t>
      </w:r>
      <w:r>
        <w:rPr>
          <w:rFonts w:hint="eastAsia" w:ascii="宋体" w:hAnsi="宋体"/>
          <w:szCs w:val="21"/>
          <w:highlight w:val="none"/>
          <w:lang w:val="en-US" w:eastAsia="zh-CN"/>
        </w:rPr>
        <w:t>14</w:t>
      </w:r>
      <w:r>
        <w:rPr>
          <w:rFonts w:hint="eastAsia" w:ascii="宋体" w:hAnsi="宋体"/>
          <w:szCs w:val="21"/>
          <w:highlight w:val="none"/>
        </w:rPr>
        <w:t>：30(北京时间)。</w:t>
      </w:r>
    </w:p>
    <w:p>
      <w:pPr>
        <w:spacing w:line="300" w:lineRule="auto"/>
        <w:ind w:firstLine="420" w:firstLineChars="200"/>
        <w:rPr>
          <w:rFonts w:ascii="宋体" w:hAnsi="宋体"/>
          <w:szCs w:val="21"/>
          <w:highlight w:val="none"/>
        </w:rPr>
      </w:pPr>
      <w:r>
        <w:rPr>
          <w:rFonts w:hint="eastAsia" w:ascii="宋体" w:hAnsi="宋体"/>
          <w:szCs w:val="21"/>
          <w:highlight w:val="none"/>
        </w:rPr>
        <w:t>2.应答截止时间：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lang w:val="en-US" w:eastAsia="zh-CN"/>
        </w:rPr>
        <w:t>14</w:t>
      </w:r>
      <w:r>
        <w:rPr>
          <w:rFonts w:hint="eastAsia" w:ascii="宋体" w:hAnsi="宋体"/>
          <w:szCs w:val="21"/>
          <w:highlight w:val="none"/>
        </w:rPr>
        <w:t>：30(北京时间)。</w:t>
      </w:r>
    </w:p>
    <w:p>
      <w:pPr>
        <w:spacing w:line="300" w:lineRule="auto"/>
        <w:ind w:firstLine="420" w:firstLineChars="200"/>
        <w:rPr>
          <w:rFonts w:ascii="宋体" w:hAnsi="宋体"/>
          <w:szCs w:val="21"/>
          <w:highlight w:val="none"/>
        </w:rPr>
      </w:pPr>
      <w:r>
        <w:rPr>
          <w:rFonts w:hint="eastAsia" w:ascii="宋体" w:hAnsi="宋体"/>
          <w:szCs w:val="21"/>
          <w:highlight w:val="none"/>
        </w:rPr>
        <w:t>3.开标时间：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22</w:t>
      </w:r>
      <w:r>
        <w:rPr>
          <w:rFonts w:hint="eastAsia" w:ascii="宋体" w:hAnsi="宋体" w:cs="宋体"/>
          <w:szCs w:val="21"/>
          <w:highlight w:val="none"/>
          <w:shd w:val="clear" w:color="auto" w:fill="FFFFFF"/>
        </w:rPr>
        <w:t>日</w:t>
      </w:r>
      <w:r>
        <w:rPr>
          <w:rFonts w:hint="eastAsia" w:ascii="宋体" w:hAnsi="宋体"/>
          <w:szCs w:val="21"/>
          <w:highlight w:val="none"/>
          <w:lang w:val="en-US" w:eastAsia="zh-CN"/>
        </w:rPr>
        <w:t>14</w:t>
      </w:r>
      <w:r>
        <w:rPr>
          <w:rFonts w:hint="eastAsia" w:ascii="宋体" w:hAnsi="宋体"/>
          <w:szCs w:val="21"/>
          <w:highlight w:val="none"/>
        </w:rPr>
        <w:t>：30 (北京时间)。</w:t>
      </w:r>
    </w:p>
    <w:p>
      <w:pPr>
        <w:spacing w:line="300" w:lineRule="auto"/>
        <w:ind w:firstLine="420" w:firstLineChars="200"/>
        <w:rPr>
          <w:rFonts w:ascii="宋体" w:hAnsi="宋体"/>
          <w:szCs w:val="21"/>
          <w:highlight w:val="none"/>
        </w:rPr>
      </w:pPr>
      <w:r>
        <w:rPr>
          <w:rFonts w:hint="eastAsia" w:ascii="宋体" w:hAnsi="宋体"/>
          <w:szCs w:val="21"/>
          <w:highlight w:val="none"/>
        </w:rPr>
        <w:t xml:space="preserve">4.单独密封的投标文件正副本（一正四副，电子U盘一份）。投标文件正本、副本首页显著位置应注明项目名称、项目编号及投标人全称。 </w:t>
      </w:r>
    </w:p>
    <w:p>
      <w:pPr>
        <w:spacing w:line="300" w:lineRule="auto"/>
        <w:ind w:firstLine="420" w:firstLineChars="200"/>
        <w:rPr>
          <w:rFonts w:ascii="宋体" w:hAnsi="宋体"/>
          <w:szCs w:val="21"/>
          <w:highlight w:val="none"/>
        </w:rPr>
      </w:pPr>
      <w:r>
        <w:rPr>
          <w:rFonts w:hint="eastAsia" w:ascii="宋体" w:hAnsi="宋体"/>
          <w:szCs w:val="21"/>
          <w:highlight w:val="none"/>
        </w:rPr>
        <w:t>5.法定代表人本人或其授权的投标人代表身份证原件。</w:t>
      </w:r>
    </w:p>
    <w:p>
      <w:pPr>
        <w:spacing w:line="300" w:lineRule="auto"/>
        <w:ind w:firstLine="420" w:firstLineChars="200"/>
        <w:rPr>
          <w:rFonts w:ascii="宋体" w:hAnsi="宋体"/>
          <w:szCs w:val="21"/>
          <w:highlight w:val="none"/>
        </w:rPr>
      </w:pPr>
      <w:r>
        <w:rPr>
          <w:rFonts w:hint="eastAsia" w:ascii="宋体" w:hAnsi="宋体"/>
          <w:szCs w:val="21"/>
          <w:highlight w:val="none"/>
        </w:rPr>
        <w:t>6.在规定时间内将上述文件送达投标地点，逾期送达和不符合规定的投标文件恕不接受。</w:t>
      </w:r>
    </w:p>
    <w:p>
      <w:pPr>
        <w:widowControl/>
        <w:spacing w:line="300" w:lineRule="auto"/>
        <w:jc w:val="left"/>
        <w:rPr>
          <w:rFonts w:ascii="宋体" w:hAnsi="宋体"/>
          <w:szCs w:val="21"/>
          <w:highlight w:val="none"/>
        </w:rPr>
      </w:pPr>
      <w:r>
        <w:rPr>
          <w:rFonts w:hint="eastAsia" w:ascii="宋体" w:hAnsi="宋体"/>
          <w:b/>
          <w:bCs/>
          <w:szCs w:val="21"/>
          <w:highlight w:val="none"/>
        </w:rPr>
        <w:t>八、其他补充事宜</w:t>
      </w:r>
      <w:bookmarkStart w:id="23" w:name="_Toc28359008"/>
      <w:bookmarkEnd w:id="23"/>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1.本项目实行网下投标，采用纸质投标文件。</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2.招标文件澄清/修改事项：</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12</w:t>
      </w:r>
      <w:r>
        <w:rPr>
          <w:rFonts w:hint="eastAsia" w:ascii="宋体" w:hAnsi="宋体" w:cs="宋体"/>
          <w:szCs w:val="21"/>
          <w:highlight w:val="none"/>
          <w:shd w:val="clear" w:color="auto" w:fill="FFFFFF"/>
        </w:rPr>
        <w:t>日</w:t>
      </w:r>
      <w:r>
        <w:rPr>
          <w:rFonts w:hint="eastAsia" w:ascii="宋体" w:hAnsi="宋体"/>
          <w:szCs w:val="21"/>
          <w:highlight w:val="none"/>
        </w:rPr>
        <w:t>17:00（北京时间）时前，供应商如认为招标文件存在不明确、不清晰和前后不一致等问题，要求对招标文件作出澄清的，须提供书面文件至代理机构。</w:t>
      </w:r>
    </w:p>
    <w:p>
      <w:pPr>
        <w:widowControl/>
        <w:spacing w:line="300" w:lineRule="auto"/>
        <w:ind w:firstLine="420" w:firstLineChars="200"/>
        <w:jc w:val="left"/>
        <w:rPr>
          <w:rFonts w:ascii="宋体" w:hAnsi="宋体"/>
          <w:szCs w:val="21"/>
          <w:highlight w:val="none"/>
        </w:rPr>
      </w:pPr>
      <w:r>
        <w:rPr>
          <w:rFonts w:hint="eastAsia" w:ascii="宋体" w:hAnsi="宋体"/>
          <w:szCs w:val="21"/>
          <w:highlight w:val="none"/>
        </w:rPr>
        <w:t>3.招标文件澄清回复时间：</w:t>
      </w:r>
      <w:r>
        <w:rPr>
          <w:rFonts w:hint="eastAsia" w:ascii="宋体" w:hAnsi="宋体" w:cs="宋体"/>
          <w:szCs w:val="21"/>
          <w:highlight w:val="none"/>
          <w:shd w:val="clear" w:color="auto" w:fill="FFFFFF"/>
        </w:rPr>
        <w:t>2025年</w:t>
      </w:r>
      <w:r>
        <w:rPr>
          <w:rFonts w:hint="eastAsia" w:ascii="宋体" w:hAnsi="宋体" w:cs="宋体"/>
          <w:szCs w:val="21"/>
          <w:highlight w:val="none"/>
          <w:shd w:val="clear" w:color="auto" w:fill="FFFFFF"/>
          <w:lang w:val="en-US" w:eastAsia="zh-CN"/>
        </w:rPr>
        <w:t>4</w:t>
      </w:r>
      <w:r>
        <w:rPr>
          <w:rFonts w:hint="eastAsia" w:ascii="宋体" w:hAnsi="宋体" w:cs="宋体"/>
          <w:szCs w:val="21"/>
          <w:highlight w:val="none"/>
          <w:shd w:val="clear" w:color="auto" w:fill="FFFFFF"/>
        </w:rPr>
        <w:t>月</w:t>
      </w:r>
      <w:r>
        <w:rPr>
          <w:rFonts w:hint="eastAsia" w:ascii="宋体" w:hAnsi="宋体" w:cs="宋体"/>
          <w:szCs w:val="21"/>
          <w:highlight w:val="none"/>
          <w:shd w:val="clear" w:color="auto" w:fill="FFFFFF"/>
          <w:lang w:val="en-US" w:eastAsia="zh-CN"/>
        </w:rPr>
        <w:t>17</w:t>
      </w:r>
      <w:r>
        <w:rPr>
          <w:rFonts w:hint="eastAsia" w:ascii="宋体" w:hAnsi="宋体" w:cs="宋体"/>
          <w:szCs w:val="21"/>
          <w:highlight w:val="none"/>
          <w:shd w:val="clear" w:color="auto" w:fill="FFFFFF"/>
        </w:rPr>
        <w:t>日</w:t>
      </w:r>
      <w:r>
        <w:rPr>
          <w:rFonts w:hint="eastAsia" w:ascii="宋体" w:hAnsi="宋体"/>
          <w:szCs w:val="21"/>
          <w:highlight w:val="none"/>
        </w:rPr>
        <w:t>17:00（北京时间）时前。</w:t>
      </w:r>
    </w:p>
    <w:p>
      <w:pPr>
        <w:widowControl/>
        <w:spacing w:line="300" w:lineRule="auto"/>
        <w:ind w:firstLine="420" w:firstLineChars="200"/>
        <w:rPr>
          <w:rFonts w:ascii="宋体" w:hAnsi="宋体"/>
          <w:szCs w:val="21"/>
        </w:rPr>
      </w:pPr>
      <w:r>
        <w:rPr>
          <w:rFonts w:hint="eastAsia" w:ascii="宋体" w:hAnsi="宋体"/>
          <w:szCs w:val="21"/>
        </w:rPr>
        <w:t>4.本招标公告及本项目招标文件所涉及的时间一律为北京时间。投标人有义务在招标活动期间浏览深圳公共资源交易网（</w:t>
      </w:r>
      <w:r>
        <w:rPr>
          <w:rFonts w:ascii="宋体" w:hAnsi="宋体"/>
          <w:szCs w:val="21"/>
        </w:rPr>
        <w:t>https://www.szggzy.com/</w:t>
      </w:r>
      <w:r>
        <w:rPr>
          <w:rFonts w:hint="eastAsia" w:ascii="宋体" w:hAnsi="宋体"/>
          <w:szCs w:val="21"/>
        </w:rPr>
        <w:t>）、深圳市河图建设项目管理有限公司官网（http://www.hetujianshe.cn/），采购人在以上网站公布的与本次招标项目有关的信息视为已送达各投标人。</w:t>
      </w:r>
    </w:p>
    <w:p>
      <w:pPr>
        <w:spacing w:line="300" w:lineRule="auto"/>
        <w:rPr>
          <w:rFonts w:ascii="宋体" w:hAnsi="宋体"/>
          <w:szCs w:val="21"/>
        </w:rPr>
      </w:pPr>
      <w:r>
        <w:rPr>
          <w:rFonts w:hint="eastAsia" w:ascii="宋体" w:hAnsi="宋体"/>
          <w:b/>
          <w:bCs/>
          <w:szCs w:val="21"/>
        </w:rPr>
        <w:t>九、对本次招标提出询问，请按以下方</w:t>
      </w:r>
      <w:bookmarkStart w:id="408" w:name="_GoBack"/>
      <w:bookmarkEnd w:id="408"/>
      <w:r>
        <w:rPr>
          <w:rFonts w:hint="eastAsia" w:ascii="宋体" w:hAnsi="宋体"/>
          <w:b/>
          <w:bCs/>
          <w:szCs w:val="21"/>
        </w:rPr>
        <w:t>式联系。</w:t>
      </w:r>
    </w:p>
    <w:p>
      <w:pPr>
        <w:widowControl/>
        <w:spacing w:line="300" w:lineRule="auto"/>
        <w:ind w:firstLine="420" w:firstLineChars="200"/>
        <w:jc w:val="left"/>
        <w:rPr>
          <w:rFonts w:ascii="宋体" w:hAnsi="宋体"/>
          <w:szCs w:val="21"/>
        </w:rPr>
      </w:pPr>
      <w:r>
        <w:rPr>
          <w:rFonts w:hint="eastAsia" w:ascii="宋体" w:hAnsi="宋体"/>
          <w:szCs w:val="21"/>
        </w:rPr>
        <w:t>1.采购人信息</w:t>
      </w:r>
    </w:p>
    <w:p>
      <w:pPr>
        <w:widowControl/>
        <w:spacing w:line="300" w:lineRule="auto"/>
        <w:ind w:firstLine="420" w:firstLineChars="200"/>
        <w:jc w:val="left"/>
        <w:rPr>
          <w:rFonts w:ascii="宋体" w:hAnsi="宋体"/>
          <w:szCs w:val="21"/>
        </w:rPr>
      </w:pPr>
      <w:r>
        <w:rPr>
          <w:rFonts w:hint="eastAsia" w:ascii="宋体" w:hAnsi="宋体"/>
          <w:szCs w:val="21"/>
        </w:rPr>
        <w:t>名称：深圳市长龙铁路电子工程有限公司</w:t>
      </w:r>
    </w:p>
    <w:p>
      <w:pPr>
        <w:widowControl/>
        <w:spacing w:line="300" w:lineRule="auto"/>
        <w:ind w:firstLine="420" w:firstLineChars="200"/>
        <w:jc w:val="left"/>
        <w:rPr>
          <w:rFonts w:ascii="宋体" w:hAnsi="宋体"/>
          <w:szCs w:val="21"/>
        </w:rPr>
      </w:pPr>
      <w:r>
        <w:rPr>
          <w:rFonts w:hint="eastAsia" w:ascii="宋体" w:hAnsi="宋体"/>
          <w:szCs w:val="21"/>
        </w:rPr>
        <w:t>地址：深圳市福田区梅林街道梅都社区中康路136号深圳新一代产业园3栋1802</w:t>
      </w:r>
    </w:p>
    <w:p>
      <w:pPr>
        <w:widowControl/>
        <w:spacing w:line="300" w:lineRule="auto"/>
        <w:ind w:firstLine="420" w:firstLineChars="200"/>
        <w:jc w:val="left"/>
        <w:rPr>
          <w:rFonts w:ascii="宋体" w:hAnsi="宋体"/>
          <w:szCs w:val="21"/>
        </w:rPr>
      </w:pPr>
      <w:r>
        <w:rPr>
          <w:rFonts w:hint="eastAsia" w:ascii="宋体" w:hAnsi="宋体"/>
          <w:szCs w:val="21"/>
        </w:rPr>
        <w:t>联系人：牛经理</w:t>
      </w:r>
    </w:p>
    <w:p>
      <w:pPr>
        <w:widowControl/>
        <w:spacing w:line="300" w:lineRule="auto"/>
        <w:ind w:firstLine="420" w:firstLineChars="200"/>
        <w:jc w:val="left"/>
        <w:rPr>
          <w:rFonts w:ascii="宋体" w:hAnsi="宋体"/>
          <w:szCs w:val="21"/>
        </w:rPr>
      </w:pPr>
      <w:r>
        <w:rPr>
          <w:rFonts w:hint="eastAsia" w:ascii="宋体" w:hAnsi="宋体"/>
          <w:szCs w:val="21"/>
        </w:rPr>
        <w:t>联系方式：</w:t>
      </w:r>
      <w:r>
        <w:rPr>
          <w:rFonts w:ascii="宋体" w:hAnsi="宋体"/>
          <w:szCs w:val="21"/>
        </w:rPr>
        <w:t>0755-83352224</w:t>
      </w:r>
    </w:p>
    <w:p>
      <w:pPr>
        <w:widowControl/>
        <w:spacing w:line="300" w:lineRule="auto"/>
        <w:ind w:firstLine="420" w:firstLineChars="200"/>
        <w:jc w:val="left"/>
        <w:rPr>
          <w:rFonts w:ascii="宋体" w:hAnsi="宋体"/>
          <w:szCs w:val="21"/>
        </w:rPr>
      </w:pPr>
      <w:r>
        <w:rPr>
          <w:rFonts w:hint="eastAsia" w:ascii="宋体" w:hAnsi="宋体"/>
          <w:szCs w:val="21"/>
        </w:rPr>
        <w:t>2.采购代理机构信息</w:t>
      </w:r>
    </w:p>
    <w:p>
      <w:pPr>
        <w:widowControl/>
        <w:spacing w:line="300" w:lineRule="auto"/>
        <w:ind w:firstLine="420" w:firstLineChars="200"/>
        <w:jc w:val="left"/>
        <w:rPr>
          <w:rFonts w:ascii="宋体" w:hAnsi="宋体"/>
          <w:szCs w:val="21"/>
        </w:rPr>
      </w:pPr>
      <w:r>
        <w:rPr>
          <w:rFonts w:hint="eastAsia" w:ascii="宋体" w:hAnsi="宋体"/>
          <w:szCs w:val="21"/>
        </w:rPr>
        <w:t>名称：深圳市河图建设项目管理有限公司</w:t>
      </w:r>
    </w:p>
    <w:p>
      <w:pPr>
        <w:widowControl/>
        <w:spacing w:line="300" w:lineRule="auto"/>
        <w:ind w:firstLine="420" w:firstLineChars="200"/>
        <w:jc w:val="left"/>
        <w:rPr>
          <w:rFonts w:ascii="宋体" w:hAnsi="宋体"/>
          <w:szCs w:val="21"/>
        </w:rPr>
      </w:pPr>
      <w:r>
        <w:rPr>
          <w:rFonts w:hint="eastAsia" w:ascii="宋体" w:hAnsi="宋体"/>
          <w:szCs w:val="21"/>
        </w:rPr>
        <w:t>地址：深圳市福田区福田街道皇岗社区益田路3008号皇都广场C座803</w:t>
      </w:r>
    </w:p>
    <w:p>
      <w:pPr>
        <w:widowControl/>
        <w:spacing w:line="300" w:lineRule="auto"/>
        <w:ind w:firstLine="420" w:firstLineChars="200"/>
        <w:jc w:val="left"/>
        <w:rPr>
          <w:rFonts w:ascii="宋体" w:hAnsi="宋体"/>
          <w:szCs w:val="21"/>
        </w:rPr>
      </w:pPr>
      <w:r>
        <w:rPr>
          <w:rFonts w:hint="eastAsia" w:ascii="宋体" w:hAnsi="宋体"/>
          <w:szCs w:val="21"/>
        </w:rPr>
        <w:t>联系人：曹工</w:t>
      </w:r>
    </w:p>
    <w:p>
      <w:pPr>
        <w:widowControl/>
        <w:spacing w:line="300" w:lineRule="auto"/>
        <w:ind w:firstLine="420" w:firstLineChars="200"/>
        <w:jc w:val="left"/>
        <w:rPr>
          <w:rFonts w:ascii="宋体" w:hAnsi="宋体"/>
          <w:szCs w:val="21"/>
        </w:rPr>
      </w:pPr>
      <w:r>
        <w:rPr>
          <w:rFonts w:hint="eastAsia" w:ascii="宋体" w:hAnsi="宋体"/>
          <w:szCs w:val="21"/>
        </w:rPr>
        <w:t>联系方式：13418563949</w:t>
      </w:r>
    </w:p>
    <w:p>
      <w:pPr>
        <w:widowControl/>
        <w:spacing w:after="156" w:afterLines="50"/>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资格性审查表</w:t>
      </w:r>
    </w:p>
    <w:tbl>
      <w:tblPr>
        <w:tblStyle w:val="47"/>
        <w:tblW w:w="8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50"/>
        <w:gridCol w:w="7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b/>
                <w:szCs w:val="21"/>
              </w:rPr>
            </w:pPr>
            <w:r>
              <w:rPr>
                <w:rFonts w:ascii="宋体" w:hAnsi="宋体"/>
                <w:b/>
                <w:szCs w:val="21"/>
              </w:rPr>
              <w:t>序号</w:t>
            </w:r>
          </w:p>
        </w:tc>
        <w:tc>
          <w:tcPr>
            <w:tcW w:w="7937"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b/>
                <w:szCs w:val="21"/>
              </w:rPr>
            </w:pPr>
            <w:r>
              <w:rPr>
                <w:rFonts w:ascii="宋体" w:hAnsi="宋体"/>
                <w:b/>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1</w:t>
            </w:r>
          </w:p>
        </w:tc>
        <w:tc>
          <w:tcPr>
            <w:tcW w:w="793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szCs w:val="21"/>
              </w:rPr>
            </w:pPr>
            <w:r>
              <w:rPr>
                <w:rFonts w:hint="eastAsia" w:ascii="宋体" w:hAnsi="宋体" w:cs="宋体"/>
                <w:kern w:val="0"/>
                <w:szCs w:val="21"/>
                <w:shd w:val="clear" w:color="auto" w:fill="FFFFFF"/>
              </w:rPr>
              <w:t>具有独立法人资格或具有独立承担民事责任的能力的其它组织（提供营业执照或事业单位法人证等法人证明扫描件，原件备查）。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2</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Arial" w:hAnsi="Arial"/>
                <w:szCs w:val="21"/>
                <w:shd w:val="clear" w:color="auto" w:fill="FFFFFF"/>
              </w:rPr>
              <w:t>本项目不接受联合体投标，不接受投标人选用进口产品参与投标，不允许转包，不接受分包。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3</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cs="Helvetica"/>
                <w:kern w:val="0"/>
                <w:szCs w:val="21"/>
              </w:rPr>
              <w:t>参与本项目投标前三年内，在经营活动中没有重大违法记录（由供应商在《政府采购投标及履约承诺函》中作出声明）。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4</w:t>
            </w:r>
          </w:p>
        </w:tc>
        <w:tc>
          <w:tcPr>
            <w:tcW w:w="7937" w:type="dxa"/>
            <w:tcBorders>
              <w:top w:val="single" w:color="000000" w:sz="8" w:space="0"/>
              <w:left w:val="single" w:color="000000" w:sz="8" w:space="0"/>
              <w:bottom w:val="single" w:color="000000" w:sz="8" w:space="0"/>
              <w:right w:val="single" w:color="000000" w:sz="8" w:space="0"/>
            </w:tcBorders>
            <w:vAlign w:val="center"/>
          </w:tcPr>
          <w:p>
            <w:pPr>
              <w:widowControl/>
              <w:jc w:val="left"/>
              <w:rPr>
                <w:rFonts w:ascii="宋体" w:hAnsi="宋体"/>
                <w:szCs w:val="21"/>
              </w:rPr>
            </w:pPr>
            <w:r>
              <w:rPr>
                <w:rFonts w:hint="eastAsia" w:ascii="宋体" w:hAnsi="宋体" w:cs="Helvetica"/>
                <w:kern w:val="0"/>
                <w:szCs w:val="21"/>
              </w:rPr>
              <w:t>参与本项目政府采购活动时不存在被有关部门禁止参与政府采购活动且在有效期内的情况（由供应商在《政府采购投标及履约承诺函》中作出声明）。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4"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5</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cs="宋体"/>
                <w:szCs w:val="21"/>
                <w:shd w:val="clear" w:color="auto" w:fill="FFFFFF"/>
              </w:rPr>
              <w:t>具备《中华人民共和国政府采购法》第二十二条第一款的条件（由供应商在《政府采购投标及履约承诺函》中作出声明）。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349"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bookmarkStart w:id="24" w:name="OLE_LINK23" w:colFirst="1" w:colLast="1"/>
            <w:r>
              <w:rPr>
                <w:rFonts w:ascii="宋体" w:hAnsi="宋体"/>
                <w:szCs w:val="21"/>
              </w:rPr>
              <w:t>6</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Helvetica"/>
                <w:kern w:val="0"/>
                <w:sz w:val="21"/>
                <w:szCs w:val="21"/>
              </w:rPr>
            </w:pPr>
            <w:r>
              <w:rPr>
                <w:rFonts w:hint="eastAsia" w:ascii="宋体" w:hAnsi="宋体" w:cs="Helvetica"/>
                <w:kern w:val="0"/>
                <w:sz w:val="21"/>
                <w:szCs w:val="21"/>
              </w:rPr>
              <w:t>未被列入失信被执行人、重大税收违法案件当事人名单、政府采购严重违法失信行为记录名单（由供应商在《政府采购投标及履约承诺函》中作出声明）。</w:t>
            </w:r>
          </w:p>
          <w:p>
            <w:pPr>
              <w:keepNext w:val="0"/>
              <w:keepLines w:val="0"/>
              <w:suppressLineNumbers w:val="0"/>
              <w:spacing w:before="0" w:beforeAutospacing="0" w:after="0" w:afterAutospacing="0"/>
              <w:ind w:left="0" w:leftChars="0" w:right="0" w:rightChars="0"/>
              <w:rPr>
                <w:kern w:val="0"/>
                <w:sz w:val="20"/>
              </w:rPr>
            </w:pPr>
            <w:r>
              <w:rPr>
                <w:rFonts w:hint="eastAsia"/>
                <w:kern w:val="0"/>
                <w:sz w:val="21"/>
                <w:szCs w:val="21"/>
              </w:rPr>
              <w:t>注：“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7</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left"/>
              <w:rPr>
                <w:rFonts w:ascii="宋体" w:hAnsi="宋体" w:cs="Helvetica"/>
                <w:kern w:val="0"/>
                <w:szCs w:val="21"/>
              </w:rPr>
            </w:pPr>
            <w:r>
              <w:rPr>
                <w:rFonts w:hint="eastAsia" w:ascii="宋体" w:hAnsi="宋体" w:cs="Helvetica"/>
                <w:kern w:val="0"/>
                <w:sz w:val="21"/>
                <w:szCs w:val="21"/>
              </w:rPr>
              <w:t>未参与本采购项目的整体设计、规范编制或者项目管理、监理、检测等服务。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680"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hint="eastAsia" w:ascii="宋体" w:hAnsi="宋体"/>
                <w:szCs w:val="21"/>
              </w:rPr>
              <w:t>8</w:t>
            </w:r>
          </w:p>
        </w:tc>
        <w:tc>
          <w:tcPr>
            <w:tcW w:w="7937" w:type="dxa"/>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leftChars="0" w:right="0" w:rightChars="0"/>
              <w:jc w:val="left"/>
              <w:rPr>
                <w:rFonts w:ascii="宋体" w:hAnsi="宋体" w:cs="Helvetica"/>
                <w:kern w:val="0"/>
                <w:szCs w:val="21"/>
              </w:rPr>
            </w:pPr>
            <w:r>
              <w:rPr>
                <w:rFonts w:hint="eastAsia" w:ascii="宋体" w:hAnsi="宋体" w:eastAsia="宋体" w:cs="宋体"/>
                <w:i w:val="0"/>
                <w:iCs w:val="0"/>
                <w:caps w:val="0"/>
                <w:color w:val="333333"/>
                <w:spacing w:val="0"/>
                <w:sz w:val="21"/>
                <w:szCs w:val="21"/>
                <w:shd w:val="clear" w:fill="FFFFFF"/>
                <w:vertAlign w:val="baseline"/>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tc>
      </w:tr>
      <w:bookmarkEnd w:id="24"/>
    </w:tbl>
    <w:p>
      <w:pPr>
        <w:spacing w:line="360" w:lineRule="auto"/>
        <w:ind w:firstLine="480" w:firstLineChars="200"/>
        <w:rPr>
          <w:rFonts w:ascii="宋体" w:hAnsi="宋体"/>
          <w:sz w:val="24"/>
          <w:szCs w:val="28"/>
          <w:lang w:val="zh-CN"/>
        </w:rPr>
      </w:pPr>
    </w:p>
    <w:p>
      <w:pPr>
        <w:widowControl/>
        <w:spacing w:before="280" w:afterAutospacing="1" w:line="276" w:lineRule="auto"/>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符合性审查表</w:t>
      </w:r>
    </w:p>
    <w:tbl>
      <w:tblPr>
        <w:tblStyle w:val="47"/>
        <w:tblW w:w="87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850"/>
        <w:gridCol w:w="79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b/>
                <w:szCs w:val="21"/>
              </w:rPr>
            </w:pPr>
            <w:r>
              <w:rPr>
                <w:rFonts w:ascii="宋体" w:hAnsi="宋体"/>
                <w:b/>
                <w:szCs w:val="21"/>
              </w:rPr>
              <w:t>序号</w:t>
            </w:r>
          </w:p>
        </w:tc>
        <w:tc>
          <w:tcPr>
            <w:tcW w:w="7937"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b/>
                <w:szCs w:val="21"/>
              </w:rPr>
            </w:pPr>
            <w:r>
              <w:rPr>
                <w:rFonts w:ascii="宋体" w:hAnsi="宋体"/>
                <w:b/>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1</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提供营业执照扫描件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2</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投标报价符合招标文件要求、无重大缺漏项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3</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对招标文件中带</w:t>
            </w:r>
            <w:r>
              <w:rPr>
                <w:rFonts w:ascii="宋体" w:hAnsi="宋体" w:cs="Segoe UI Symbol"/>
                <w:szCs w:val="21"/>
              </w:rPr>
              <w:t>★</w:t>
            </w:r>
            <w:r>
              <w:rPr>
                <w:rFonts w:ascii="宋体" w:hAnsi="宋体"/>
                <w:szCs w:val="21"/>
              </w:rPr>
              <w:t>号条款的响应没有负偏离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4</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投标文件没有用户方及招标机构不能接受的条件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5</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不具有招标文件中列明导致投标无效的其他因素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6</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遵守并符合《中华人民共和国政府采购法》、《深圳经济特区政府采购条例》的有关规定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7</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按要求提供法定代表人证明书及法定代表人授权书。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56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8</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符合招标文件要求的采购数量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9</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投标人可只对其中一个包或几个包货物进行投标（如有的话），但不得将一个包中的内容拆开投标，否则将导致其投标被拒绝。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10</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为保证公平起见，除非另有规定或说明，投标人对同一货物或服务投标时不得同时提供两套或两套以上的方案，否则作投标无效处理。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11</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hint="eastAsia" w:ascii="宋体" w:hAnsi="宋体"/>
                <w:szCs w:val="21"/>
              </w:rPr>
              <w:t>不存在根据</w:t>
            </w:r>
            <w:r>
              <w:rPr>
                <w:rFonts w:ascii="宋体" w:hAnsi="宋体"/>
                <w:szCs w:val="21"/>
              </w:rPr>
              <w:t>法律、行政法规、国务院决定</w:t>
            </w:r>
            <w:r>
              <w:rPr>
                <w:rFonts w:hint="eastAsia" w:ascii="宋体" w:hAnsi="宋体"/>
                <w:szCs w:val="21"/>
              </w:rPr>
              <w:t>等法律法规及规范性文件</w:t>
            </w:r>
            <w:r>
              <w:rPr>
                <w:rFonts w:ascii="宋体" w:hAnsi="宋体"/>
                <w:szCs w:val="21"/>
              </w:rPr>
              <w:t>规定需前置审批和禁止的情形</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737" w:hRule="atLeast"/>
          <w:jc w:val="center"/>
        </w:trPr>
        <w:tc>
          <w:tcPr>
            <w:tcW w:w="85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szCs w:val="21"/>
              </w:rPr>
            </w:pPr>
            <w:r>
              <w:rPr>
                <w:rFonts w:ascii="宋体" w:hAnsi="宋体"/>
                <w:szCs w:val="21"/>
              </w:rPr>
              <w:t>12</w:t>
            </w:r>
          </w:p>
        </w:tc>
        <w:tc>
          <w:tcPr>
            <w:tcW w:w="7937" w:type="dxa"/>
            <w:tcBorders>
              <w:top w:val="single" w:color="000000" w:sz="8" w:space="0"/>
              <w:left w:val="single" w:color="000000" w:sz="8" w:space="0"/>
              <w:bottom w:val="single" w:color="000000" w:sz="8" w:space="0"/>
              <w:right w:val="single" w:color="000000" w:sz="8" w:space="0"/>
            </w:tcBorders>
            <w:vAlign w:val="center"/>
          </w:tcPr>
          <w:p>
            <w:pPr>
              <w:rPr>
                <w:rFonts w:ascii="宋体" w:hAnsi="宋体"/>
                <w:szCs w:val="21"/>
              </w:rPr>
            </w:pPr>
            <w:r>
              <w:rPr>
                <w:rFonts w:ascii="宋体" w:hAnsi="宋体"/>
                <w:szCs w:val="21"/>
              </w:rPr>
              <w:t>投标有效期符合招标文件要求</w:t>
            </w:r>
            <w:r>
              <w:rPr>
                <w:rFonts w:hint="eastAsia" w:ascii="宋体" w:hAnsi="宋体"/>
                <w:szCs w:val="21"/>
              </w:rPr>
              <w:t>。</w:t>
            </w:r>
          </w:p>
        </w:tc>
      </w:tr>
    </w:tbl>
    <w:p>
      <w:pPr>
        <w:spacing w:line="360" w:lineRule="auto"/>
        <w:ind w:firstLine="480" w:firstLineChars="200"/>
        <w:rPr>
          <w:rFonts w:ascii="宋体" w:hAnsi="宋体"/>
          <w:sz w:val="24"/>
          <w:szCs w:val="28"/>
          <w:lang w:val="zh-CN"/>
        </w:rPr>
      </w:pPr>
    </w:p>
    <w:p>
      <w:pPr>
        <w:widowControl/>
        <w:spacing w:before="100" w:beforeAutospacing="1" w:afterAutospacing="1" w:line="276" w:lineRule="auto"/>
        <w:jc w:val="center"/>
        <w:outlineLvl w:val="1"/>
        <w:rPr>
          <w:rFonts w:ascii="黑体" w:hAnsi="黑体" w:eastAsia="黑体"/>
          <w:kern w:val="0"/>
          <w:sz w:val="40"/>
          <w:szCs w:val="40"/>
        </w:rPr>
      </w:pPr>
      <w:r>
        <w:rPr>
          <w:rFonts w:ascii="黑体" w:hAnsi="黑体" w:eastAsia="黑体"/>
          <w:kern w:val="0"/>
          <w:sz w:val="40"/>
          <w:szCs w:val="40"/>
        </w:rPr>
        <w:br w:type="page"/>
      </w:r>
      <w:r>
        <w:rPr>
          <w:rFonts w:hint="eastAsia" w:ascii="黑体" w:hAnsi="黑体" w:eastAsia="黑体"/>
          <w:kern w:val="0"/>
          <w:sz w:val="40"/>
          <w:szCs w:val="40"/>
        </w:rPr>
        <w:t>评标信息</w:t>
      </w:r>
    </w:p>
    <w:p>
      <w:pPr>
        <w:spacing w:line="360" w:lineRule="auto"/>
        <w:rPr>
          <w:rFonts w:ascii="宋体" w:hAnsi="宋体"/>
          <w:b/>
          <w:bCs/>
        </w:rPr>
      </w:pPr>
      <w:bookmarkStart w:id="25" w:name="OLE_LINK57"/>
      <w:r>
        <w:rPr>
          <w:rFonts w:ascii="宋体" w:hAnsi="宋体"/>
          <w:b/>
          <w:bCs/>
        </w:rPr>
        <w:t>评标方法：</w:t>
      </w:r>
      <w:bookmarkStart w:id="26" w:name="OLE_LINK62"/>
      <w:r>
        <w:rPr>
          <w:rFonts w:hint="eastAsia" w:ascii="宋体" w:hAnsi="宋体"/>
          <w:b/>
          <w:bCs/>
          <w:lang w:eastAsia="zh-CN"/>
        </w:rPr>
        <w:t>最</w:t>
      </w:r>
      <w:bookmarkStart w:id="27" w:name="OLE_LINK65"/>
      <w:r>
        <w:rPr>
          <w:rFonts w:hint="eastAsia" w:ascii="宋体" w:hAnsi="宋体"/>
          <w:b/>
          <w:bCs/>
          <w:lang w:eastAsia="zh-CN"/>
        </w:rPr>
        <w:t>低评标价法</w:t>
      </w:r>
      <w:bookmarkEnd w:id="26"/>
      <w:bookmarkEnd w:id="27"/>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ascii="宋体" w:hAnsi="宋体"/>
          <w:sz w:val="22"/>
          <w:szCs w:val="22"/>
        </w:rPr>
      </w:pPr>
      <w:bookmarkStart w:id="28" w:name="OLE_LINK31"/>
      <w:r>
        <w:rPr>
          <w:rFonts w:hint="eastAsia" w:ascii="宋体" w:hAnsi="宋体"/>
          <w:sz w:val="22"/>
          <w:szCs w:val="22"/>
        </w:rPr>
        <w:t>本项目评审方法采用</w:t>
      </w:r>
      <w:r>
        <w:rPr>
          <w:rFonts w:hint="eastAsia" w:ascii="宋体" w:hAnsi="宋体"/>
          <w:sz w:val="22"/>
          <w:szCs w:val="22"/>
          <w:lang w:eastAsia="zh-CN"/>
        </w:rPr>
        <w:t>最低评标价法</w:t>
      </w:r>
      <w:r>
        <w:rPr>
          <w:rFonts w:hint="eastAsia" w:ascii="宋体" w:hAnsi="宋体"/>
          <w:sz w:val="22"/>
          <w:szCs w:val="22"/>
        </w:rPr>
        <w:t>，本项目推荐候选中标供应商数量为</w:t>
      </w:r>
      <w:r>
        <w:rPr>
          <w:rFonts w:ascii="宋体" w:hAnsi="宋体"/>
          <w:sz w:val="22"/>
          <w:szCs w:val="22"/>
        </w:rPr>
        <w:t>1</w:t>
      </w:r>
      <w:r>
        <w:rPr>
          <w:rFonts w:hint="eastAsia" w:ascii="宋体" w:hAnsi="宋体"/>
          <w:sz w:val="22"/>
          <w:szCs w:val="22"/>
        </w:rPr>
        <w:t>家，中标供应商数量为1家。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最低评标价法，是指投标文件满足招标文件全部实质性要求，按报价进行排序且投标报价最低的投标人为中标候选人的评标方法（排名第二的投标人为第一递补中标候选人、排名第三的投标人为第二递补中标候选人）。</w:t>
      </w:r>
    </w:p>
    <w:bookmarkEnd w:id="28"/>
    <w:p>
      <w:pPr>
        <w:keepNext w:val="0"/>
        <w:keepLines w:val="0"/>
        <w:widowControl w:val="0"/>
        <w:suppressLineNumbers w:val="0"/>
        <w:spacing w:before="0" w:beforeAutospacing="0" w:after="0" w:afterAutospacing="0"/>
        <w:ind w:left="0" w:right="0" w:firstLine="472" w:firstLineChars="196"/>
        <w:jc w:val="both"/>
        <w:rPr>
          <w:rFonts w:hint="eastAsia" w:ascii="宋体" w:hAnsi="宋体" w:eastAsia="宋体" w:cs="宋体"/>
          <w:b/>
          <w:bCs/>
          <w:kern w:val="0"/>
          <w:sz w:val="24"/>
          <w:szCs w:val="24"/>
          <w:lang w:val="en-US" w:eastAsia="zh-CN" w:bidi="ar"/>
        </w:rPr>
      </w:pPr>
    </w:p>
    <w:p>
      <w:pPr>
        <w:keepNext w:val="0"/>
        <w:keepLines w:val="0"/>
        <w:widowControl w:val="0"/>
        <w:suppressLineNumbers w:val="0"/>
        <w:spacing w:before="0" w:beforeAutospacing="0" w:after="0" w:afterAutospacing="0"/>
        <w:ind w:right="0"/>
        <w:jc w:val="center"/>
        <w:rPr>
          <w:lang w:val="en-US"/>
        </w:rPr>
      </w:pPr>
      <w:r>
        <w:rPr>
          <w:rFonts w:hint="eastAsia" w:ascii="宋体" w:hAnsi="宋体" w:eastAsia="宋体" w:cs="宋体"/>
          <w:b/>
          <w:bCs/>
          <w:kern w:val="0"/>
          <w:sz w:val="24"/>
          <w:szCs w:val="24"/>
          <w:lang w:val="en-US" w:eastAsia="zh-CN" w:bidi="ar"/>
        </w:rPr>
        <w:t>其它关键信息</w:t>
      </w:r>
    </w:p>
    <w:p>
      <w:pPr>
        <w:keepNext w:val="0"/>
        <w:keepLines w:val="0"/>
        <w:widowControl w:val="0"/>
        <w:suppressLineNumbers w:val="0"/>
        <w:spacing w:before="0" w:beforeAutospacing="0" w:after="0" w:afterAutospacing="0"/>
        <w:ind w:left="0" w:right="0"/>
        <w:jc w:val="both"/>
        <w:rPr>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Times New Roman" w:hAnsi="Times New Roman" w:eastAsia="宋体" w:cs="宋体"/>
          <w:b/>
          <w:bCs w:val="0"/>
          <w:kern w:val="2"/>
          <w:sz w:val="21"/>
          <w:szCs w:val="24"/>
          <w:lang w:val="en-US" w:eastAsia="zh-CN" w:bidi="ar"/>
        </w:rPr>
      </w:pPr>
      <w:r>
        <w:rPr>
          <w:rFonts w:hint="eastAsia" w:ascii="Times New Roman" w:hAnsi="Times New Roman" w:eastAsia="宋体" w:cs="宋体"/>
          <w:b/>
          <w:bCs w:val="0"/>
          <w:kern w:val="2"/>
          <w:sz w:val="21"/>
          <w:szCs w:val="24"/>
          <w:lang w:val="en-US" w:eastAsia="zh-CN" w:bidi="ar"/>
        </w:rPr>
        <w:t>一、关于享受优惠政策的主体及价格扣除比例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
        </w:rPr>
        <w:t>1.根据《政府采购促进中小企业发展暂行办法》（财库[2011]181号）、《财政部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w:t>
      </w:r>
      <w:r>
        <w:rPr>
          <w:rFonts w:hint="eastAsia" w:ascii="宋体" w:hAnsi="宋体" w:eastAsia="宋体" w:cs="宋体"/>
          <w:b/>
          <w:bCs w:val="0"/>
          <w:color w:val="FF0000"/>
          <w:kern w:val="2"/>
          <w:sz w:val="22"/>
          <w:szCs w:val="22"/>
          <w:highlight w:val="none"/>
          <w:lang w:val="en-US" w:eastAsia="zh-CN" w:bidi="ar"/>
        </w:rPr>
        <w:t>以及非小微企业提供（代理销售）小微企业制造的货物，</w:t>
      </w:r>
      <w:r>
        <w:rPr>
          <w:rFonts w:hint="eastAsia" w:ascii="宋体" w:hAnsi="宋体" w:eastAsia="宋体" w:cs="宋体"/>
          <w:kern w:val="2"/>
          <w:sz w:val="22"/>
          <w:szCs w:val="22"/>
          <w:highlight w:val="none"/>
          <w:lang w:val="en-US" w:eastAsia="zh-CN" w:bidi="ar"/>
        </w:rPr>
        <w:t>其投标报价扣除</w:t>
      </w:r>
      <w:r>
        <w:rPr>
          <w:rFonts w:hint="eastAsia" w:ascii="宋体" w:hAnsi="宋体" w:eastAsia="宋体" w:cs="宋体"/>
          <w:sz w:val="22"/>
          <w:szCs w:val="22"/>
          <w:highlight w:val="none"/>
          <w:lang w:val="en-US"/>
        </w:rPr>
        <w:t>__</w:t>
      </w:r>
      <w:r>
        <w:rPr>
          <w:rFonts w:hint="eastAsia" w:ascii="宋体" w:hAnsi="宋体" w:eastAsia="宋体" w:cs="宋体"/>
          <w:sz w:val="22"/>
          <w:szCs w:val="22"/>
          <w:highlight w:val="none"/>
          <w:lang w:val="en-US" w:eastAsia="zh-CN"/>
        </w:rPr>
        <w:t>10</w:t>
      </w:r>
      <w:r>
        <w:rPr>
          <w:rFonts w:hint="eastAsia" w:ascii="宋体" w:hAnsi="宋体" w:eastAsia="宋体" w:cs="宋体"/>
          <w:sz w:val="22"/>
          <w:szCs w:val="22"/>
          <w:highlight w:val="none"/>
          <w:lang w:val="en-US"/>
        </w:rPr>
        <w:t>__%</w:t>
      </w:r>
      <w:r>
        <w:rPr>
          <w:rFonts w:hint="eastAsia" w:ascii="宋体" w:hAnsi="宋体" w:eastAsia="宋体" w:cs="宋体"/>
          <w:sz w:val="22"/>
          <w:szCs w:val="22"/>
          <w:highlight w:val="none"/>
          <w:lang w:eastAsia="zh-CN"/>
        </w:rPr>
        <w:t>后参与评审。对于同时属于</w:t>
      </w:r>
      <w:r>
        <w:rPr>
          <w:rFonts w:hint="eastAsia" w:ascii="宋体" w:hAnsi="宋体" w:eastAsia="宋体" w:cs="宋体"/>
          <w:b/>
          <w:bCs w:val="0"/>
          <w:sz w:val="22"/>
          <w:szCs w:val="22"/>
          <w:highlight w:val="none"/>
          <w:lang w:eastAsia="zh-CN"/>
        </w:rPr>
        <w:t>小微企业</w:t>
      </w:r>
      <w:r>
        <w:rPr>
          <w:rFonts w:hint="eastAsia" w:ascii="宋体" w:hAnsi="宋体" w:eastAsia="宋体" w:cs="宋体"/>
          <w:sz w:val="22"/>
          <w:szCs w:val="22"/>
          <w:highlight w:val="none"/>
          <w:lang w:eastAsia="zh-CN"/>
        </w:rPr>
        <w:t>、监狱企业或残疾人福利性单位的，不重复进行投标报价扣除。如有其它政策支持因素（如鼓励创新等）需一并列出。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sz w:val="22"/>
          <w:szCs w:val="22"/>
          <w:highlight w:val="none"/>
          <w:lang w:eastAsia="zh-CN"/>
        </w:rPr>
      </w:pPr>
      <w:r>
        <w:rPr>
          <w:rFonts w:hint="eastAsia" w:ascii="宋体" w:hAnsi="宋体" w:eastAsia="宋体" w:cs="宋体"/>
          <w:kern w:val="2"/>
          <w:sz w:val="22"/>
          <w:szCs w:val="22"/>
          <w:highlight w:val="none"/>
          <w:lang w:val="en-US" w:eastAsia="zh-CN" w:bidi="ar"/>
        </w:rPr>
        <w:t>2.联合协议中约定，</w:t>
      </w:r>
      <w:r>
        <w:rPr>
          <w:rFonts w:hint="eastAsia" w:ascii="宋体" w:hAnsi="宋体" w:eastAsia="宋体" w:cs="宋体"/>
          <w:b/>
          <w:bCs w:val="0"/>
          <w:kern w:val="2"/>
          <w:sz w:val="22"/>
          <w:szCs w:val="22"/>
          <w:highlight w:val="none"/>
          <w:lang w:val="en-US" w:eastAsia="zh-CN" w:bidi="ar"/>
        </w:rPr>
        <w:t>小型、微型企业</w:t>
      </w:r>
      <w:r>
        <w:rPr>
          <w:rFonts w:hint="eastAsia" w:ascii="宋体" w:hAnsi="宋体" w:eastAsia="宋体" w:cs="宋体"/>
          <w:kern w:val="2"/>
          <w:sz w:val="22"/>
          <w:szCs w:val="22"/>
          <w:highlight w:val="none"/>
          <w:lang w:val="en-US" w:eastAsia="zh-CN" w:bidi="ar"/>
        </w:rPr>
        <w:t>和监狱企业的协议合同金额占到联合体协议合同总金额30%以上的，可给予联合体_</w:t>
      </w:r>
      <w:r>
        <w:rPr>
          <w:rFonts w:hint="eastAsia" w:ascii="宋体" w:hAnsi="宋体" w:eastAsia="宋体" w:cs="宋体"/>
          <w:sz w:val="22"/>
          <w:szCs w:val="22"/>
          <w:highlight w:val="none"/>
          <w:lang w:val="en-US"/>
        </w:rPr>
        <w:t>_</w:t>
      </w:r>
      <w:r>
        <w:rPr>
          <w:rFonts w:hint="eastAsia" w:ascii="宋体" w:hAnsi="宋体" w:eastAsia="宋体" w:cs="宋体"/>
          <w:sz w:val="22"/>
          <w:szCs w:val="22"/>
          <w:highlight w:val="none"/>
          <w:lang w:val="en-US" w:eastAsia="zh-CN"/>
        </w:rPr>
        <w:t>3</w:t>
      </w:r>
      <w:r>
        <w:rPr>
          <w:rFonts w:hint="eastAsia" w:ascii="宋体" w:hAnsi="宋体" w:eastAsia="宋体" w:cs="宋体"/>
          <w:sz w:val="22"/>
          <w:szCs w:val="22"/>
          <w:highlight w:val="none"/>
          <w:lang w:val="en-US"/>
        </w:rPr>
        <w:t>__%</w:t>
      </w:r>
      <w:r>
        <w:rPr>
          <w:rFonts w:hint="eastAsia" w:ascii="宋体" w:hAnsi="宋体" w:eastAsia="宋体" w:cs="宋体"/>
          <w:sz w:val="22"/>
          <w:szCs w:val="22"/>
          <w:highlight w:val="none"/>
          <w:lang w:eastAsia="zh-CN"/>
        </w:rPr>
        <w:t>的价格扣除。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40" w:firstLineChars="200"/>
        <w:jc w:val="both"/>
        <w:textAlignment w:val="auto"/>
        <w:rPr>
          <w:rFonts w:hint="eastAsia" w:ascii="宋体" w:hAnsi="宋体" w:eastAsia="宋体" w:cs="宋体"/>
          <w:b w:val="0"/>
          <w:bCs w:val="0"/>
          <w:sz w:val="22"/>
          <w:szCs w:val="22"/>
          <w:highlight w:val="none"/>
          <w:lang w:val="en-US"/>
        </w:rPr>
      </w:pPr>
      <w:r>
        <w:rPr>
          <w:rFonts w:hint="eastAsia" w:ascii="宋体" w:hAnsi="宋体" w:eastAsia="宋体" w:cs="宋体"/>
          <w:kern w:val="2"/>
          <w:sz w:val="22"/>
          <w:szCs w:val="22"/>
          <w:highlight w:val="none"/>
          <w:lang w:val="en-US" w:eastAsia="zh-CN" w:bidi="ar"/>
        </w:rPr>
        <w:t>联合体各方均为</w:t>
      </w:r>
      <w:r>
        <w:rPr>
          <w:rFonts w:hint="eastAsia" w:ascii="宋体" w:hAnsi="宋体" w:eastAsia="宋体" w:cs="宋体"/>
          <w:b/>
          <w:bCs w:val="0"/>
          <w:kern w:val="2"/>
          <w:sz w:val="22"/>
          <w:szCs w:val="22"/>
          <w:highlight w:val="none"/>
          <w:lang w:val="en-US" w:eastAsia="zh-CN" w:bidi="ar"/>
        </w:rPr>
        <w:t>小型、微型企业</w:t>
      </w:r>
      <w:r>
        <w:rPr>
          <w:rFonts w:hint="eastAsia" w:ascii="宋体" w:hAnsi="宋体" w:eastAsia="宋体" w:cs="宋体"/>
          <w:kern w:val="2"/>
          <w:sz w:val="22"/>
          <w:szCs w:val="22"/>
          <w:highlight w:val="none"/>
          <w:lang w:val="en-US" w:eastAsia="zh-CN" w:bidi="ar"/>
        </w:rPr>
        <w:t>和监狱企业的，联合体视同为小型、微型企业和监狱企业，均享受</w:t>
      </w:r>
      <w:r>
        <w:rPr>
          <w:rFonts w:hint="eastAsia" w:ascii="宋体" w:hAnsi="宋体" w:eastAsia="宋体" w:cs="宋体"/>
          <w:b/>
          <w:bCs/>
          <w:kern w:val="2"/>
          <w:sz w:val="22"/>
          <w:szCs w:val="22"/>
          <w:highlight w:val="none"/>
          <w:lang w:val="en-US" w:eastAsia="zh-CN" w:bidi="ar"/>
        </w:rPr>
        <w:t>评标优惠政策</w:t>
      </w:r>
      <w:r>
        <w:rPr>
          <w:rFonts w:hint="eastAsia" w:ascii="宋体" w:hAnsi="宋体" w:eastAsia="宋体" w:cs="宋体"/>
          <w:kern w:val="2"/>
          <w:sz w:val="22"/>
          <w:szCs w:val="22"/>
          <w:highlight w:val="none"/>
          <w:lang w:val="en-US" w:eastAsia="zh-CN" w:bidi="ar"/>
        </w:rPr>
        <w:t>第一款的优惠政策。</w:t>
      </w:r>
    </w:p>
    <w:bookmarkEnd w:id="25"/>
    <w:p>
      <w:pPr>
        <w:widowControl/>
        <w:jc w:val="left"/>
        <w:rPr>
          <w:rFonts w:ascii="宋体" w:hAnsi="Calibri"/>
          <w:b/>
          <w:bCs/>
          <w:szCs w:val="21"/>
        </w:rPr>
      </w:pP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第一章 投标人须知</w:t>
      </w:r>
    </w:p>
    <w:p>
      <w:pPr>
        <w:keepNext/>
        <w:keepLines/>
        <w:spacing w:line="360" w:lineRule="auto"/>
        <w:jc w:val="center"/>
        <w:outlineLvl w:val="2"/>
        <w:rPr>
          <w:rFonts w:ascii="宋体" w:hAnsi="宋体"/>
          <w:b/>
          <w:sz w:val="22"/>
          <w:szCs w:val="28"/>
        </w:rPr>
      </w:pPr>
      <w:r>
        <w:rPr>
          <w:rFonts w:hint="eastAsia" w:ascii="宋体" w:hAnsi="宋体"/>
          <w:b/>
          <w:sz w:val="22"/>
          <w:szCs w:val="28"/>
        </w:rPr>
        <w:t>一、说明</w:t>
      </w:r>
    </w:p>
    <w:p>
      <w:pPr>
        <w:spacing w:after="78" w:afterLines="25" w:line="276" w:lineRule="auto"/>
        <w:rPr>
          <w:rFonts w:ascii="宋体" w:hAnsi="宋体"/>
          <w:b/>
          <w:bCs/>
          <w:sz w:val="22"/>
          <w:szCs w:val="22"/>
        </w:rPr>
      </w:pPr>
      <w:r>
        <w:rPr>
          <w:rFonts w:ascii="宋体" w:hAnsi="宋体"/>
          <w:b/>
          <w:bCs/>
          <w:sz w:val="22"/>
          <w:szCs w:val="22"/>
        </w:rPr>
        <w:t xml:space="preserve">1  </w:t>
      </w:r>
      <w:r>
        <w:rPr>
          <w:rFonts w:hint="eastAsia" w:ascii="宋体" w:hAnsi="宋体"/>
          <w:b/>
          <w:bCs/>
          <w:sz w:val="22"/>
          <w:szCs w:val="22"/>
        </w:rPr>
        <w:t>资金来源</w:t>
      </w:r>
    </w:p>
    <w:p>
      <w:pPr>
        <w:spacing w:after="78" w:afterLines="25" w:line="276" w:lineRule="auto"/>
        <w:rPr>
          <w:rFonts w:ascii="宋体" w:hAnsi="宋体"/>
          <w:bCs/>
          <w:sz w:val="22"/>
          <w:szCs w:val="22"/>
        </w:rPr>
      </w:pPr>
      <w:r>
        <w:rPr>
          <w:rFonts w:hint="eastAsia" w:ascii="宋体" w:hAnsi="宋体"/>
          <w:bCs/>
          <w:sz w:val="22"/>
          <w:szCs w:val="22"/>
        </w:rPr>
        <w:t>1.1  采购人已获得一笔资金，计划将一部分资金用于支付本次招标后所签订的合同项下的款项。</w:t>
      </w:r>
    </w:p>
    <w:p>
      <w:pPr>
        <w:spacing w:after="78" w:afterLines="25" w:line="276" w:lineRule="auto"/>
        <w:rPr>
          <w:rFonts w:ascii="宋体" w:hAnsi="宋体"/>
          <w:b/>
          <w:bCs/>
          <w:sz w:val="22"/>
          <w:szCs w:val="22"/>
        </w:rPr>
      </w:pPr>
      <w:r>
        <w:rPr>
          <w:rFonts w:ascii="宋体" w:hAnsi="宋体"/>
          <w:b/>
          <w:bCs/>
          <w:sz w:val="22"/>
          <w:szCs w:val="22"/>
        </w:rPr>
        <w:t xml:space="preserve">2  </w:t>
      </w:r>
      <w:r>
        <w:rPr>
          <w:rFonts w:hint="eastAsia" w:ascii="宋体" w:hAnsi="宋体"/>
          <w:b/>
          <w:bCs/>
          <w:sz w:val="22"/>
          <w:szCs w:val="22"/>
        </w:rPr>
        <w:t>采购人及招标机构</w:t>
      </w:r>
    </w:p>
    <w:p>
      <w:pPr>
        <w:spacing w:after="78" w:afterLines="25" w:line="276" w:lineRule="auto"/>
        <w:rPr>
          <w:rFonts w:ascii="宋体" w:hAnsi="宋体"/>
          <w:bCs/>
          <w:sz w:val="22"/>
          <w:szCs w:val="22"/>
        </w:rPr>
      </w:pPr>
      <w:r>
        <w:rPr>
          <w:rFonts w:hint="eastAsia" w:ascii="宋体" w:hAnsi="宋体"/>
          <w:bCs/>
          <w:sz w:val="22"/>
          <w:szCs w:val="22"/>
        </w:rPr>
        <w:t>2.1 “采购人”是指获得资金依法进行政府采购的国家机关、</w:t>
      </w:r>
      <w:r>
        <w:rPr>
          <w:rFonts w:ascii="宋体" w:hAnsi="宋体"/>
          <w:bCs/>
          <w:sz w:val="22"/>
          <w:szCs w:val="22"/>
        </w:rPr>
        <w:t>事业单位</w:t>
      </w:r>
      <w:r>
        <w:rPr>
          <w:rFonts w:hint="eastAsia" w:ascii="宋体" w:hAnsi="宋体"/>
          <w:bCs/>
          <w:sz w:val="22"/>
          <w:szCs w:val="22"/>
        </w:rPr>
        <w:t>和团体</w:t>
      </w:r>
      <w:r>
        <w:rPr>
          <w:rFonts w:ascii="宋体" w:hAnsi="宋体"/>
          <w:bCs/>
          <w:sz w:val="22"/>
          <w:szCs w:val="22"/>
        </w:rPr>
        <w:t>组织</w:t>
      </w:r>
      <w:r>
        <w:rPr>
          <w:rFonts w:hint="eastAsia" w:ascii="宋体" w:hAnsi="宋体"/>
          <w:bCs/>
          <w:sz w:val="22"/>
          <w:szCs w:val="22"/>
        </w:rPr>
        <w:t>。</w:t>
      </w:r>
    </w:p>
    <w:p>
      <w:pPr>
        <w:spacing w:after="78" w:afterLines="25" w:line="276" w:lineRule="auto"/>
        <w:rPr>
          <w:rFonts w:ascii="宋体" w:hAnsi="宋体"/>
          <w:bCs/>
          <w:sz w:val="22"/>
          <w:szCs w:val="22"/>
        </w:rPr>
      </w:pPr>
      <w:r>
        <w:rPr>
          <w:rFonts w:hint="eastAsia" w:ascii="宋体" w:hAnsi="宋体"/>
          <w:bCs/>
          <w:sz w:val="22"/>
          <w:szCs w:val="22"/>
        </w:rPr>
        <w:t>2.2 “招标机构”是指政府设立的负责本级财政性资金的集中采购和招标组织工作的专门机构，即招标机构。本招标文件的招标机构特指</w:t>
      </w:r>
      <w:r>
        <w:rPr>
          <w:rFonts w:hint="eastAsia" w:ascii="宋体" w:hAnsi="宋体"/>
          <w:b/>
          <w:bCs/>
          <w:sz w:val="22"/>
          <w:szCs w:val="22"/>
        </w:rPr>
        <w:t>深圳市河图建设项目管理有限公司</w:t>
      </w:r>
      <w:r>
        <w:rPr>
          <w:rFonts w:hint="eastAsia" w:ascii="宋体" w:hAnsi="宋体"/>
          <w:bCs/>
          <w:sz w:val="22"/>
          <w:szCs w:val="22"/>
        </w:rPr>
        <w:t>。</w:t>
      </w:r>
    </w:p>
    <w:p>
      <w:pPr>
        <w:spacing w:after="78" w:afterLines="25" w:line="276" w:lineRule="auto"/>
        <w:rPr>
          <w:rFonts w:ascii="宋体" w:hAnsi="宋体"/>
          <w:b/>
          <w:bCs/>
          <w:sz w:val="22"/>
          <w:szCs w:val="22"/>
        </w:rPr>
      </w:pPr>
      <w:r>
        <w:rPr>
          <w:rFonts w:ascii="宋体" w:hAnsi="宋体"/>
          <w:b/>
          <w:bCs/>
          <w:sz w:val="22"/>
          <w:szCs w:val="22"/>
        </w:rPr>
        <w:t xml:space="preserve">3  </w:t>
      </w:r>
      <w:r>
        <w:rPr>
          <w:rFonts w:hint="eastAsia" w:ascii="宋体" w:hAnsi="宋体"/>
          <w:b/>
          <w:bCs/>
          <w:sz w:val="22"/>
          <w:szCs w:val="22"/>
        </w:rPr>
        <w:t>版本说明</w:t>
      </w:r>
    </w:p>
    <w:p>
      <w:pPr>
        <w:spacing w:after="78" w:afterLines="25" w:line="276" w:lineRule="auto"/>
        <w:rPr>
          <w:rFonts w:ascii="宋体" w:hAnsi="宋体"/>
          <w:bCs/>
          <w:sz w:val="22"/>
          <w:szCs w:val="22"/>
        </w:rPr>
      </w:pPr>
      <w:r>
        <w:rPr>
          <w:rFonts w:hint="eastAsia" w:ascii="宋体" w:hAnsi="宋体"/>
          <w:bCs/>
          <w:sz w:val="22"/>
          <w:szCs w:val="22"/>
        </w:rPr>
        <w:t>3.1  本版本适用于货物</w:t>
      </w:r>
      <w:bookmarkStart w:id="29" w:name="OLE_LINK20"/>
      <w:bookmarkStart w:id="30" w:name="OLE_LINK19"/>
      <w:r>
        <w:rPr>
          <w:rFonts w:hint="eastAsia" w:ascii="宋体" w:hAnsi="宋体"/>
          <w:bCs/>
          <w:sz w:val="22"/>
          <w:szCs w:val="22"/>
        </w:rPr>
        <w:t>类</w:t>
      </w:r>
      <w:bookmarkEnd w:id="29"/>
      <w:bookmarkEnd w:id="30"/>
      <w:r>
        <w:rPr>
          <w:rFonts w:hint="eastAsia" w:ascii="宋体" w:hAnsi="宋体"/>
          <w:bCs/>
          <w:sz w:val="22"/>
          <w:szCs w:val="22"/>
        </w:rPr>
        <w:t>招标项目采购。</w:t>
      </w:r>
    </w:p>
    <w:p>
      <w:pPr>
        <w:spacing w:after="78" w:afterLines="25" w:line="276" w:lineRule="auto"/>
        <w:rPr>
          <w:rFonts w:ascii="宋体" w:hAnsi="宋体"/>
          <w:b/>
          <w:bCs/>
          <w:sz w:val="22"/>
          <w:szCs w:val="22"/>
        </w:rPr>
      </w:pPr>
      <w:r>
        <w:rPr>
          <w:rFonts w:ascii="宋体" w:hAnsi="宋体"/>
          <w:b/>
          <w:bCs/>
          <w:sz w:val="22"/>
          <w:szCs w:val="22"/>
        </w:rPr>
        <w:t xml:space="preserve">4  </w:t>
      </w:r>
      <w:r>
        <w:rPr>
          <w:rFonts w:hint="eastAsia" w:ascii="宋体" w:hAnsi="宋体"/>
          <w:b/>
          <w:bCs/>
          <w:sz w:val="22"/>
          <w:szCs w:val="22"/>
        </w:rPr>
        <w:t>合格的投标人</w:t>
      </w:r>
    </w:p>
    <w:p>
      <w:pPr>
        <w:spacing w:after="78" w:afterLines="25" w:line="276" w:lineRule="auto"/>
        <w:rPr>
          <w:rFonts w:ascii="宋体" w:hAnsi="宋体"/>
          <w:bCs/>
          <w:sz w:val="22"/>
          <w:szCs w:val="22"/>
        </w:rPr>
      </w:pPr>
      <w:r>
        <w:rPr>
          <w:rFonts w:hint="eastAsia" w:ascii="宋体" w:hAnsi="宋体"/>
          <w:bCs/>
          <w:sz w:val="22"/>
          <w:szCs w:val="22"/>
        </w:rPr>
        <w:t>4.1  在中华人民共和国境内（不含享有独立关税地位的地区）注册，并有能力按本次招标文件的要求提供本项目相关货物和服务。</w:t>
      </w:r>
    </w:p>
    <w:p>
      <w:pPr>
        <w:spacing w:after="78" w:afterLines="25" w:line="276" w:lineRule="auto"/>
        <w:rPr>
          <w:rFonts w:ascii="宋体" w:hAnsi="宋体"/>
          <w:bCs/>
          <w:sz w:val="22"/>
          <w:szCs w:val="22"/>
        </w:rPr>
      </w:pPr>
      <w:r>
        <w:rPr>
          <w:rFonts w:hint="eastAsia" w:ascii="宋体" w:hAnsi="宋体"/>
          <w:bCs/>
          <w:sz w:val="22"/>
          <w:szCs w:val="22"/>
        </w:rPr>
        <w:t>4.2  遵守并符合《中华人民共和国政府采购法》、《深圳经济特区政府采购条例》的有关规定。</w:t>
      </w:r>
    </w:p>
    <w:p>
      <w:pPr>
        <w:spacing w:after="78" w:afterLines="25" w:line="276" w:lineRule="auto"/>
        <w:rPr>
          <w:rFonts w:ascii="宋体" w:hAnsi="宋体"/>
          <w:bCs/>
          <w:sz w:val="22"/>
          <w:szCs w:val="22"/>
        </w:rPr>
      </w:pPr>
      <w:r>
        <w:rPr>
          <w:rFonts w:hint="eastAsia" w:ascii="宋体" w:hAnsi="宋体"/>
          <w:bCs/>
          <w:sz w:val="22"/>
          <w:szCs w:val="22"/>
        </w:rPr>
        <w:t>4.3  在法律上和财务上独立、合法运作并独立于采购人和招标机构的投标人。</w:t>
      </w:r>
    </w:p>
    <w:p>
      <w:pPr>
        <w:spacing w:after="78" w:afterLines="25" w:line="276" w:lineRule="auto"/>
        <w:rPr>
          <w:rFonts w:ascii="宋体" w:hAnsi="宋体"/>
          <w:bCs/>
          <w:sz w:val="22"/>
          <w:szCs w:val="22"/>
        </w:rPr>
      </w:pPr>
      <w:r>
        <w:rPr>
          <w:rFonts w:hint="eastAsia" w:ascii="宋体" w:hAnsi="宋体"/>
          <w:sz w:val="22"/>
          <w:szCs w:val="22"/>
        </w:rPr>
        <w:t>4.4  除招标文件中有特殊要求外，采购项目不接受联合体投标。</w:t>
      </w:r>
    </w:p>
    <w:p>
      <w:pPr>
        <w:spacing w:after="78" w:afterLines="25" w:line="276" w:lineRule="auto"/>
        <w:rPr>
          <w:rFonts w:ascii="宋体" w:hAnsi="宋体"/>
          <w:b/>
          <w:bCs/>
          <w:sz w:val="22"/>
          <w:szCs w:val="22"/>
        </w:rPr>
      </w:pPr>
      <w:r>
        <w:rPr>
          <w:rFonts w:ascii="宋体" w:hAnsi="宋体"/>
          <w:b/>
          <w:bCs/>
          <w:sz w:val="22"/>
          <w:szCs w:val="22"/>
        </w:rPr>
        <w:t xml:space="preserve">5  </w:t>
      </w:r>
      <w:r>
        <w:rPr>
          <w:rFonts w:hint="eastAsia" w:ascii="宋体" w:hAnsi="宋体"/>
          <w:b/>
          <w:bCs/>
          <w:sz w:val="22"/>
          <w:szCs w:val="22"/>
        </w:rPr>
        <w:t>合格的货物和服务</w:t>
      </w:r>
    </w:p>
    <w:p>
      <w:pPr>
        <w:spacing w:after="78" w:afterLines="25" w:line="276" w:lineRule="auto"/>
        <w:rPr>
          <w:rFonts w:ascii="宋体" w:hAnsi="宋体"/>
          <w:bCs/>
          <w:sz w:val="22"/>
          <w:szCs w:val="22"/>
        </w:rPr>
      </w:pPr>
      <w:r>
        <w:rPr>
          <w:rFonts w:hint="eastAsia" w:ascii="宋体" w:hAnsi="宋体"/>
          <w:bCs/>
          <w:sz w:val="22"/>
          <w:szCs w:val="22"/>
        </w:rPr>
        <w:t>5.1  必须是全新的货物。</w:t>
      </w:r>
    </w:p>
    <w:p>
      <w:pPr>
        <w:spacing w:after="78" w:afterLines="25" w:line="276" w:lineRule="auto"/>
        <w:rPr>
          <w:rFonts w:ascii="宋体" w:hAnsi="宋体"/>
          <w:bCs/>
          <w:sz w:val="22"/>
          <w:szCs w:val="22"/>
        </w:rPr>
      </w:pPr>
      <w:r>
        <w:rPr>
          <w:rFonts w:hint="eastAsia" w:ascii="宋体" w:hAnsi="宋体"/>
          <w:bCs/>
          <w:sz w:val="22"/>
          <w:szCs w:val="22"/>
        </w:rPr>
        <w:t>5.2  国产的货物及其有关服务必须符合中华人民共和国的设计和制造生产或行业标准。</w:t>
      </w:r>
    </w:p>
    <w:p>
      <w:pPr>
        <w:spacing w:after="78" w:afterLines="25" w:line="276" w:lineRule="auto"/>
        <w:rPr>
          <w:rFonts w:ascii="宋体" w:hAnsi="宋体"/>
          <w:bCs/>
          <w:sz w:val="22"/>
          <w:szCs w:val="22"/>
        </w:rPr>
      </w:pPr>
      <w:r>
        <w:rPr>
          <w:rFonts w:hint="eastAsia" w:ascii="宋体" w:hAnsi="宋体"/>
          <w:bCs/>
          <w:sz w:val="22"/>
          <w:szCs w:val="22"/>
        </w:rPr>
        <w:t>5.3  进口的货物及其有关服务必须符合原产地和中华人民共和国的设计和制造生产或行业标准。进口的货物须是具有合法的进口手续和途径，并通过了中华人民共和国商检部门检验。</w:t>
      </w:r>
    </w:p>
    <w:p>
      <w:pPr>
        <w:spacing w:after="78" w:afterLines="25" w:line="276" w:lineRule="auto"/>
        <w:rPr>
          <w:rFonts w:ascii="宋体" w:hAnsi="宋体"/>
          <w:bCs/>
          <w:sz w:val="22"/>
          <w:szCs w:val="22"/>
        </w:rPr>
      </w:pPr>
      <w:r>
        <w:rPr>
          <w:rFonts w:hint="eastAsia" w:ascii="宋体" w:hAnsi="宋体"/>
          <w:bCs/>
          <w:sz w:val="22"/>
          <w:szCs w:val="22"/>
        </w:rPr>
        <w:t>5.4  投标人应保证，采购方在中华人民共和国使用该货物或货物的任何一部分时，免受第三方提出的侵犯其专利权、商标权或工业设计权的起诉。</w:t>
      </w:r>
    </w:p>
    <w:p>
      <w:pPr>
        <w:spacing w:after="78" w:afterLines="25" w:line="276" w:lineRule="auto"/>
        <w:rPr>
          <w:rFonts w:ascii="宋体" w:hAnsi="宋体"/>
          <w:b/>
          <w:bCs/>
          <w:sz w:val="22"/>
          <w:szCs w:val="22"/>
        </w:rPr>
      </w:pPr>
      <w:r>
        <w:rPr>
          <w:rFonts w:ascii="宋体" w:hAnsi="宋体"/>
          <w:b/>
          <w:bCs/>
          <w:sz w:val="22"/>
          <w:szCs w:val="22"/>
        </w:rPr>
        <w:t xml:space="preserve">6  </w:t>
      </w:r>
      <w:r>
        <w:rPr>
          <w:rFonts w:hint="eastAsia" w:ascii="宋体" w:hAnsi="宋体"/>
          <w:b/>
          <w:bCs/>
          <w:sz w:val="22"/>
          <w:szCs w:val="22"/>
        </w:rPr>
        <w:t>投标费用</w:t>
      </w:r>
    </w:p>
    <w:p>
      <w:pPr>
        <w:spacing w:after="78" w:afterLines="25" w:line="276" w:lineRule="auto"/>
        <w:rPr>
          <w:rFonts w:ascii="宋体" w:hAnsi="宋体"/>
          <w:bCs/>
          <w:sz w:val="22"/>
          <w:szCs w:val="22"/>
        </w:rPr>
      </w:pPr>
      <w:r>
        <w:rPr>
          <w:rFonts w:hint="eastAsia" w:ascii="宋体" w:hAnsi="宋体"/>
          <w:bCs/>
          <w:sz w:val="22"/>
          <w:szCs w:val="22"/>
        </w:rPr>
        <w:t>6.1  投标人应承担所有与准备和参加投标有关的费用。不论投标的结果如何，招标机构和采购人均无义务和责任承担这些费用。</w:t>
      </w:r>
    </w:p>
    <w:p>
      <w:pPr>
        <w:spacing w:line="360" w:lineRule="auto"/>
        <w:ind w:firstLine="440" w:firstLineChars="200"/>
        <w:rPr>
          <w:rFonts w:ascii="宋体" w:hAnsi="宋体"/>
          <w:sz w:val="22"/>
          <w:szCs w:val="22"/>
          <w:lang w:val="zh-CN"/>
        </w:rPr>
      </w:pPr>
      <w:bookmarkStart w:id="31" w:name="bt招标文件"/>
      <w:bookmarkEnd w:id="31"/>
    </w:p>
    <w:p>
      <w:pPr>
        <w:keepNext/>
        <w:keepLines/>
        <w:spacing w:line="360" w:lineRule="auto"/>
        <w:jc w:val="center"/>
        <w:outlineLvl w:val="2"/>
        <w:rPr>
          <w:rFonts w:ascii="宋体" w:hAnsi="宋体"/>
          <w:b/>
          <w:sz w:val="22"/>
          <w:szCs w:val="22"/>
        </w:rPr>
      </w:pPr>
      <w:bookmarkStart w:id="32" w:name="bt开标与评标"/>
      <w:bookmarkEnd w:id="32"/>
      <w:r>
        <w:rPr>
          <w:rFonts w:hint="eastAsia" w:ascii="宋体" w:hAnsi="宋体"/>
          <w:b/>
          <w:sz w:val="22"/>
          <w:szCs w:val="22"/>
        </w:rPr>
        <w:t>二、招标文件</w:t>
      </w:r>
    </w:p>
    <w:p>
      <w:pPr>
        <w:spacing w:after="78" w:afterLines="25" w:line="276" w:lineRule="auto"/>
        <w:rPr>
          <w:rFonts w:ascii="宋体" w:hAnsi="宋体"/>
          <w:b/>
          <w:bCs/>
          <w:sz w:val="22"/>
          <w:szCs w:val="22"/>
        </w:rPr>
      </w:pPr>
      <w:r>
        <w:rPr>
          <w:rFonts w:ascii="宋体" w:hAnsi="宋体"/>
          <w:b/>
          <w:bCs/>
          <w:sz w:val="22"/>
          <w:szCs w:val="22"/>
        </w:rPr>
        <w:t xml:space="preserve">7  </w:t>
      </w:r>
      <w:r>
        <w:rPr>
          <w:rFonts w:hint="eastAsia" w:ascii="宋体" w:hAnsi="宋体"/>
          <w:b/>
          <w:bCs/>
          <w:sz w:val="22"/>
          <w:szCs w:val="22"/>
        </w:rPr>
        <w:t>招标文件构成</w:t>
      </w:r>
    </w:p>
    <w:p>
      <w:pPr>
        <w:spacing w:after="78" w:afterLines="25" w:line="276" w:lineRule="auto"/>
        <w:rPr>
          <w:rFonts w:ascii="宋体" w:hAnsi="宋体"/>
          <w:bCs/>
          <w:sz w:val="22"/>
          <w:szCs w:val="22"/>
        </w:rPr>
      </w:pPr>
      <w:r>
        <w:rPr>
          <w:rFonts w:hint="eastAsia" w:ascii="宋体" w:hAnsi="宋体"/>
          <w:bCs/>
          <w:sz w:val="22"/>
          <w:szCs w:val="22"/>
        </w:rPr>
        <w:t>7.1  要求提供的货物、招标过程和合同条件在招标文件中均有说明。</w:t>
      </w:r>
    </w:p>
    <w:p>
      <w:pPr>
        <w:numPr>
          <w:ilvl w:val="0"/>
          <w:numId w:val="1"/>
        </w:numPr>
        <w:spacing w:after="78" w:afterLines="25" w:line="276" w:lineRule="auto"/>
        <w:rPr>
          <w:rFonts w:ascii="宋体" w:hAnsi="宋体" w:cs="Arial"/>
          <w:sz w:val="22"/>
          <w:szCs w:val="22"/>
        </w:rPr>
      </w:pPr>
      <w:r>
        <w:rPr>
          <w:rFonts w:hint="eastAsia" w:ascii="宋体" w:hAnsi="宋体"/>
          <w:bCs/>
          <w:sz w:val="22"/>
          <w:szCs w:val="22"/>
        </w:rPr>
        <w:t>招标文件由以下部分组成：</w:t>
      </w:r>
    </w:p>
    <w:p>
      <w:pPr>
        <w:numPr>
          <w:ilvl w:val="0"/>
          <w:numId w:val="1"/>
        </w:numPr>
        <w:spacing w:after="78" w:afterLines="25" w:line="276" w:lineRule="auto"/>
        <w:rPr>
          <w:rFonts w:ascii="宋体" w:hAnsi="宋体" w:cs="Arial"/>
          <w:sz w:val="22"/>
          <w:szCs w:val="22"/>
        </w:rPr>
      </w:pPr>
      <w:r>
        <w:rPr>
          <w:rFonts w:hint="eastAsia" w:ascii="宋体" w:hAnsi="宋体" w:cs="Arial"/>
          <w:sz w:val="22"/>
          <w:szCs w:val="22"/>
        </w:rPr>
        <w:t>关键信息：包括项目信息、投标文件初审表、评标信息等</w:t>
      </w:r>
    </w:p>
    <w:p>
      <w:pPr>
        <w:numPr>
          <w:ilvl w:val="0"/>
          <w:numId w:val="1"/>
        </w:numPr>
        <w:spacing w:after="78" w:afterLines="25" w:line="276" w:lineRule="auto"/>
        <w:rPr>
          <w:rFonts w:ascii="宋体" w:hAnsi="宋体" w:cs="Arial"/>
          <w:sz w:val="22"/>
          <w:szCs w:val="22"/>
        </w:rPr>
      </w:pPr>
      <w:r>
        <w:rPr>
          <w:rFonts w:hint="eastAsia" w:ascii="宋体" w:hAnsi="宋体" w:cs="Arial"/>
          <w:sz w:val="22"/>
          <w:szCs w:val="22"/>
        </w:rPr>
        <w:t>标书，共六章，内容如下：</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投标人须知</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合同格式（供参考）</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投标文件的格式、附件</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招标邀请</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投标资料表</w:t>
      </w:r>
    </w:p>
    <w:p>
      <w:pPr>
        <w:numPr>
          <w:ilvl w:val="0"/>
          <w:numId w:val="2"/>
        </w:numPr>
        <w:tabs>
          <w:tab w:val="left" w:pos="1680"/>
        </w:tabs>
        <w:spacing w:after="78" w:afterLines="25" w:line="276" w:lineRule="auto"/>
        <w:ind w:left="840" w:leftChars="400"/>
        <w:rPr>
          <w:rFonts w:ascii="宋体" w:hAnsi="宋体"/>
          <w:sz w:val="22"/>
          <w:szCs w:val="22"/>
        </w:rPr>
      </w:pPr>
      <w:r>
        <w:rPr>
          <w:rFonts w:hint="eastAsia" w:ascii="宋体" w:hAnsi="宋体"/>
          <w:sz w:val="22"/>
          <w:szCs w:val="22"/>
        </w:rPr>
        <w:t>招标项目要求</w:t>
      </w:r>
    </w:p>
    <w:p>
      <w:pPr>
        <w:spacing w:after="78" w:afterLines="25" w:line="276" w:lineRule="auto"/>
        <w:rPr>
          <w:rFonts w:ascii="宋体" w:hAnsi="宋体"/>
          <w:bCs/>
          <w:sz w:val="22"/>
          <w:szCs w:val="22"/>
        </w:rPr>
      </w:pPr>
      <w:r>
        <w:rPr>
          <w:rFonts w:hint="eastAsia" w:ascii="宋体" w:hAnsi="宋体"/>
          <w:bCs/>
          <w:sz w:val="22"/>
          <w:szCs w:val="22"/>
        </w:rPr>
        <w:t>7.2  投标人应认真阅读招标文件中所有的事项、格式、条款和技术规范等。投标人没有按照招标文件要求提交全部资料，或者投标没有对招标文件在各方面都作出实质性响应是投标人的风险，并可能导致其投标被拒绝。</w:t>
      </w:r>
    </w:p>
    <w:p>
      <w:pPr>
        <w:spacing w:after="78" w:afterLines="25" w:line="276" w:lineRule="auto"/>
        <w:rPr>
          <w:rFonts w:ascii="宋体" w:hAnsi="宋体"/>
          <w:b/>
          <w:bCs/>
          <w:sz w:val="22"/>
          <w:szCs w:val="22"/>
        </w:rPr>
      </w:pPr>
      <w:r>
        <w:rPr>
          <w:rFonts w:ascii="宋体" w:hAnsi="宋体"/>
          <w:b/>
          <w:bCs/>
          <w:sz w:val="22"/>
          <w:szCs w:val="22"/>
        </w:rPr>
        <w:t xml:space="preserve">8  </w:t>
      </w:r>
      <w:r>
        <w:rPr>
          <w:rFonts w:hint="eastAsia" w:ascii="宋体" w:hAnsi="宋体"/>
          <w:b/>
          <w:bCs/>
          <w:sz w:val="22"/>
          <w:szCs w:val="22"/>
        </w:rPr>
        <w:t>招标文件的澄清</w:t>
      </w:r>
    </w:p>
    <w:p>
      <w:pPr>
        <w:spacing w:after="78" w:afterLines="25" w:line="276" w:lineRule="auto"/>
        <w:rPr>
          <w:rFonts w:ascii="宋体" w:hAnsi="宋体"/>
          <w:bCs/>
          <w:sz w:val="22"/>
          <w:szCs w:val="22"/>
        </w:rPr>
      </w:pPr>
      <w:r>
        <w:rPr>
          <w:rFonts w:hint="eastAsia" w:ascii="宋体" w:hAnsi="宋体"/>
          <w:bCs/>
          <w:sz w:val="22"/>
          <w:szCs w:val="22"/>
        </w:rPr>
        <w:t>8.1  任何要求对招标文件进行澄清的投标人，均应于“招标邀请”中所述答复截止时间前以书面（或网上询问/质疑）形式通知招标机构。招标机构对在规定的时间内收到的对招标文件的澄清要求均以公告形式或网上答疑形式在“</w:t>
      </w:r>
      <w:r>
        <w:rPr>
          <w:rFonts w:hint="eastAsia" w:ascii="宋体" w:hAnsi="宋体"/>
          <w:sz w:val="22"/>
          <w:szCs w:val="22"/>
        </w:rPr>
        <w:t>深圳市河图建设项目管理有限公司”管网（</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 xml:space="preserve">上发布，投标截止时间前，投标人有义务浏览上述网站，已发布的公告或网上答疑视为已送达投标人。该公告或网上答疑作为招标文件的一部分，对投标人有约束力。 </w:t>
      </w:r>
    </w:p>
    <w:p>
      <w:pPr>
        <w:spacing w:after="78" w:afterLines="25" w:line="276" w:lineRule="auto"/>
        <w:rPr>
          <w:rFonts w:ascii="宋体" w:hAnsi="宋体"/>
          <w:bCs/>
          <w:sz w:val="22"/>
          <w:szCs w:val="22"/>
        </w:rPr>
      </w:pPr>
      <w:r>
        <w:rPr>
          <w:rFonts w:hint="eastAsia" w:ascii="宋体" w:hAnsi="宋体"/>
          <w:bCs/>
          <w:sz w:val="22"/>
          <w:szCs w:val="22"/>
        </w:rPr>
        <w:t>8.2  投标人若认为招标文件的技术要求有倾向性或不公正性，可在招标答疑阶段书面提出（或网上询问/质疑），以维护招标行为的公平、公正，招标机构对在规定的时间内收到的对招标文件的澄清要求均以公告形式或网上答疑形式在</w:t>
      </w:r>
      <w:r>
        <w:rPr>
          <w:rFonts w:hint="eastAsia" w:ascii="宋体" w:hAnsi="宋体"/>
          <w:sz w:val="22"/>
          <w:szCs w:val="22"/>
        </w:rPr>
        <w:t>深圳市河图建设项目管理有限公司”（</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 xml:space="preserve">上予以回复，投标截止时间前，投标人有义务浏览上述网站，已发布的公告或网上答疑视为已送达投标人。该公告或网上答疑作为招标文件的一部分，对投标人有约束力。 </w:t>
      </w:r>
    </w:p>
    <w:p>
      <w:pPr>
        <w:spacing w:after="78" w:afterLines="25" w:line="276" w:lineRule="auto"/>
        <w:rPr>
          <w:rFonts w:ascii="宋体" w:hAnsi="宋体"/>
          <w:bCs/>
          <w:sz w:val="22"/>
          <w:szCs w:val="22"/>
        </w:rPr>
      </w:pPr>
      <w:r>
        <w:rPr>
          <w:rFonts w:hint="eastAsia" w:ascii="宋体" w:hAnsi="宋体"/>
          <w:bCs/>
          <w:sz w:val="22"/>
          <w:szCs w:val="22"/>
        </w:rPr>
        <w:t>8.3为体现政府采购公平与效率相结合的原则，招标机构在发布澄清或修改公告时，会根据澄清或修改内容对投标人影响程度作出是否延期开标的决定。如投标人认为澄清或修改内容对其参与本项目投标影响较大，需要更多时间做投标准备，必须在公告或答疑发出两天内书面向招标机构提出推迟开标的要求，否则招标机构不接受有关不推迟开标的质疑。</w:t>
      </w:r>
    </w:p>
    <w:p>
      <w:pPr>
        <w:spacing w:after="78" w:afterLines="25" w:line="276" w:lineRule="auto"/>
        <w:rPr>
          <w:rFonts w:ascii="宋体" w:hAnsi="宋体"/>
          <w:bCs/>
          <w:sz w:val="22"/>
          <w:szCs w:val="22"/>
        </w:rPr>
      </w:pPr>
      <w:r>
        <w:rPr>
          <w:rFonts w:hint="eastAsia" w:ascii="宋体" w:hAnsi="宋体"/>
          <w:bCs/>
          <w:sz w:val="22"/>
          <w:szCs w:val="22"/>
        </w:rPr>
        <w:t>8.4  对于投标截止时间前没有提出澄清或质疑又参与了该项目投标的投标人将被视为完全认同招标文件，投标截止后不再受理针对招标文件的相关质疑和投诉。</w:t>
      </w:r>
    </w:p>
    <w:p>
      <w:pPr>
        <w:spacing w:after="78" w:afterLines="25" w:line="276" w:lineRule="auto"/>
        <w:rPr>
          <w:rFonts w:ascii="宋体" w:hAnsi="宋体"/>
          <w:bCs/>
          <w:sz w:val="22"/>
          <w:szCs w:val="22"/>
        </w:rPr>
      </w:pPr>
      <w:r>
        <w:rPr>
          <w:rFonts w:hint="eastAsia" w:ascii="宋体" w:hAnsi="宋体"/>
          <w:bCs/>
          <w:sz w:val="22"/>
          <w:szCs w:val="22"/>
        </w:rPr>
        <w:t>8.5  对招标文件中描述有歧义或前后不一致的地方，评标委员会有权进行评判，但对同一条款的评判适用于每一个投标人。</w:t>
      </w:r>
    </w:p>
    <w:p>
      <w:pPr>
        <w:spacing w:after="78" w:afterLines="25" w:line="276" w:lineRule="auto"/>
        <w:rPr>
          <w:rFonts w:ascii="宋体" w:hAnsi="宋体"/>
          <w:b/>
          <w:bCs/>
          <w:sz w:val="22"/>
          <w:szCs w:val="22"/>
        </w:rPr>
      </w:pPr>
      <w:r>
        <w:rPr>
          <w:rFonts w:ascii="宋体" w:hAnsi="宋体"/>
          <w:b/>
          <w:bCs/>
          <w:sz w:val="22"/>
          <w:szCs w:val="22"/>
        </w:rPr>
        <w:t xml:space="preserve">9  </w:t>
      </w:r>
      <w:r>
        <w:rPr>
          <w:rFonts w:hint="eastAsia" w:ascii="宋体" w:hAnsi="宋体"/>
          <w:b/>
          <w:bCs/>
          <w:sz w:val="22"/>
          <w:szCs w:val="22"/>
        </w:rPr>
        <w:t>招标文件的修改</w:t>
      </w:r>
    </w:p>
    <w:p>
      <w:pPr>
        <w:spacing w:after="78" w:afterLines="25" w:line="276" w:lineRule="auto"/>
        <w:rPr>
          <w:rFonts w:ascii="宋体" w:hAnsi="宋体"/>
          <w:bCs/>
          <w:sz w:val="22"/>
          <w:szCs w:val="22"/>
        </w:rPr>
      </w:pPr>
      <w:r>
        <w:rPr>
          <w:rFonts w:hint="eastAsia" w:ascii="宋体" w:hAnsi="宋体"/>
          <w:bCs/>
          <w:sz w:val="22"/>
          <w:szCs w:val="22"/>
        </w:rPr>
        <w:t>9.1  在投标截止日期前，招标机构可主动地或依据投标人要求澄清的问题而修改招标文件，并以公告形式登载在</w:t>
      </w:r>
      <w:r>
        <w:rPr>
          <w:rFonts w:hint="eastAsia" w:ascii="宋体" w:hAnsi="宋体"/>
          <w:sz w:val="22"/>
          <w:szCs w:val="22"/>
        </w:rPr>
        <w:t>深圳市河图建设项目管理有限公司”（</w:t>
      </w:r>
      <w:r>
        <w:rPr>
          <w:rFonts w:ascii="宋体" w:hAnsi="宋体"/>
          <w:sz w:val="22"/>
          <w:szCs w:val="22"/>
        </w:rPr>
        <w:t>http://www.hetujianshe.cn/</w:t>
      </w:r>
      <w:r>
        <w:rPr>
          <w:rFonts w:hint="eastAsia" w:ascii="宋体" w:hAnsi="宋体"/>
          <w:sz w:val="22"/>
          <w:szCs w:val="22"/>
        </w:rPr>
        <w:t>）</w:t>
      </w:r>
      <w:r>
        <w:rPr>
          <w:rFonts w:hint="eastAsia" w:ascii="宋体" w:hAnsi="宋体"/>
          <w:bCs/>
          <w:sz w:val="22"/>
          <w:szCs w:val="22"/>
        </w:rPr>
        <w:t>，投标截止时间前，投标人有义务浏览</w:t>
      </w:r>
      <w:r>
        <w:rPr>
          <w:rFonts w:hint="eastAsia" w:ascii="宋体" w:hAnsi="宋体"/>
          <w:sz w:val="22"/>
          <w:szCs w:val="22"/>
        </w:rPr>
        <w:t>深圳市河图建设项目管理有限公司”</w:t>
      </w:r>
      <w:r>
        <w:rPr>
          <w:rFonts w:hint="eastAsia" w:ascii="宋体" w:hAnsi="宋体"/>
          <w:bCs/>
          <w:sz w:val="22"/>
          <w:szCs w:val="22"/>
        </w:rPr>
        <w:t xml:space="preserve">，已刊登的公告视为已送达投标人。 </w:t>
      </w:r>
    </w:p>
    <w:p>
      <w:pPr>
        <w:spacing w:after="78" w:afterLines="25" w:line="276" w:lineRule="auto"/>
        <w:rPr>
          <w:rFonts w:ascii="宋体" w:hAnsi="宋体"/>
          <w:bCs/>
          <w:sz w:val="22"/>
          <w:szCs w:val="22"/>
        </w:rPr>
      </w:pPr>
      <w:r>
        <w:rPr>
          <w:rFonts w:hint="eastAsia" w:ascii="宋体" w:hAnsi="宋体"/>
          <w:bCs/>
          <w:sz w:val="22"/>
          <w:szCs w:val="22"/>
        </w:rPr>
        <w:t>9.2  为使投标人在准备投标文件时有合理的时间考虑招标文件的修改，招标机构可酌情推迟投标截止日期，并以公告形式通知已在</w:t>
      </w:r>
      <w:r>
        <w:rPr>
          <w:rFonts w:hint="eastAsia" w:ascii="宋体" w:hAnsi="宋体"/>
          <w:sz w:val="22"/>
          <w:szCs w:val="22"/>
        </w:rPr>
        <w:t>深圳市河图建设项目管理有限公司网站</w:t>
      </w:r>
      <w:r>
        <w:rPr>
          <w:rFonts w:hint="eastAsia" w:ascii="宋体" w:hAnsi="宋体"/>
          <w:bCs/>
          <w:sz w:val="22"/>
          <w:szCs w:val="22"/>
        </w:rPr>
        <w:t>响应投标的每一投标人。</w:t>
      </w:r>
    </w:p>
    <w:p>
      <w:pPr>
        <w:spacing w:after="78" w:afterLines="25" w:line="276" w:lineRule="auto"/>
        <w:rPr>
          <w:rFonts w:ascii="宋体" w:hAnsi="宋体"/>
          <w:bCs/>
          <w:sz w:val="22"/>
          <w:szCs w:val="22"/>
        </w:rPr>
      </w:pPr>
      <w:r>
        <w:rPr>
          <w:rFonts w:hint="eastAsia" w:ascii="宋体" w:hAnsi="宋体"/>
          <w:bCs/>
          <w:sz w:val="22"/>
          <w:szCs w:val="22"/>
        </w:rPr>
        <w:t>9.3  招标文件的修改内容作为构成招标文件的一部分，对投标人有约束力。</w:t>
      </w:r>
    </w:p>
    <w:p>
      <w:pPr>
        <w:keepNext/>
        <w:keepLines/>
        <w:spacing w:line="360" w:lineRule="auto"/>
        <w:jc w:val="center"/>
        <w:outlineLvl w:val="2"/>
        <w:rPr>
          <w:rFonts w:ascii="宋体" w:hAnsi="宋体"/>
          <w:b/>
          <w:sz w:val="22"/>
          <w:szCs w:val="22"/>
        </w:rPr>
      </w:pPr>
      <w:bookmarkStart w:id="33" w:name="bt投标文件的编制"/>
      <w:bookmarkEnd w:id="33"/>
      <w:r>
        <w:rPr>
          <w:rFonts w:hint="eastAsia" w:ascii="宋体" w:hAnsi="宋体"/>
          <w:b/>
          <w:sz w:val="22"/>
          <w:szCs w:val="22"/>
        </w:rPr>
        <w:t>三、投标文件的编制</w:t>
      </w:r>
    </w:p>
    <w:p>
      <w:pPr>
        <w:spacing w:after="78" w:afterLines="25" w:line="276" w:lineRule="auto"/>
        <w:rPr>
          <w:rFonts w:ascii="宋体" w:hAnsi="宋体"/>
          <w:b/>
          <w:sz w:val="22"/>
          <w:szCs w:val="22"/>
        </w:rPr>
      </w:pPr>
      <w:bookmarkStart w:id="34" w:name="_Toc201401369"/>
      <w:bookmarkStart w:id="35" w:name="_Toc201401561"/>
      <w:bookmarkStart w:id="36" w:name="_Toc201997820"/>
      <w:bookmarkStart w:id="37" w:name="_Toc188869273"/>
      <w:bookmarkStart w:id="38" w:name="_Toc148954852"/>
      <w:bookmarkStart w:id="39" w:name="_Toc98817928"/>
      <w:bookmarkStart w:id="40" w:name="_Toc134852014"/>
      <w:bookmarkStart w:id="41" w:name="_Toc148954457"/>
      <w:bookmarkStart w:id="42" w:name="_Toc148780231"/>
      <w:bookmarkStart w:id="43" w:name="_Toc187729573"/>
      <w:bookmarkStart w:id="44" w:name="_Toc163530296"/>
      <w:bookmarkStart w:id="45" w:name="_Toc148779945"/>
      <w:bookmarkStart w:id="46" w:name="_Toc148778150"/>
      <w:bookmarkStart w:id="47" w:name="_Toc135666621"/>
      <w:bookmarkStart w:id="48" w:name="_Toc148413293"/>
      <w:bookmarkStart w:id="49" w:name="_Toc148329794"/>
      <w:bookmarkStart w:id="50" w:name="_Toc135666808"/>
      <w:bookmarkStart w:id="51" w:name="_Toc143658448"/>
      <w:bookmarkStart w:id="52" w:name="_Toc188869279"/>
      <w:r>
        <w:rPr>
          <w:rFonts w:hint="eastAsia" w:ascii="宋体" w:hAnsi="宋体"/>
          <w:b/>
          <w:sz w:val="22"/>
          <w:szCs w:val="22"/>
        </w:rPr>
        <w:t>10．  投标文件的语言及计量单位</w:t>
      </w:r>
      <w:bookmarkEnd w:id="34"/>
      <w:bookmarkEnd w:id="35"/>
      <w:bookmarkEnd w:id="36"/>
    </w:p>
    <w:p>
      <w:pPr>
        <w:spacing w:after="78" w:afterLines="25" w:line="276" w:lineRule="auto"/>
        <w:rPr>
          <w:rFonts w:ascii="宋体" w:hAnsi="宋体"/>
          <w:sz w:val="22"/>
          <w:szCs w:val="22"/>
        </w:rPr>
      </w:pPr>
      <w:r>
        <w:rPr>
          <w:rFonts w:hint="eastAsia" w:ascii="宋体" w:hAnsi="宋体"/>
          <w:sz w:val="22"/>
          <w:szCs w:val="22"/>
        </w:rPr>
        <w:t>10.1 投标人提交的投标文件以及投标人与采购代理之间就有关投标的所有往来通知、函件必须用中文书写。</w:t>
      </w:r>
    </w:p>
    <w:p>
      <w:pPr>
        <w:spacing w:after="78" w:afterLines="25" w:line="276" w:lineRule="auto"/>
        <w:rPr>
          <w:rFonts w:ascii="宋体" w:hAnsi="宋体"/>
          <w:sz w:val="22"/>
          <w:szCs w:val="22"/>
        </w:rPr>
      </w:pPr>
      <w:r>
        <w:rPr>
          <w:rFonts w:hint="eastAsia" w:ascii="宋体" w:hAnsi="宋体"/>
          <w:sz w:val="22"/>
          <w:szCs w:val="22"/>
        </w:rPr>
        <w:t>10.1.1  投标人随投标文件提供的支持文件、印刷文献等若有另一种语言，必须附中文译文。为便于理解投标文件，以中文译文为准。如投标文件未附中文译文，该资料不予认可，</w:t>
      </w:r>
      <w:r>
        <w:rPr>
          <w:rFonts w:hint="eastAsia" w:ascii="宋体" w:hAnsi="宋体" w:cs="宋体"/>
          <w:sz w:val="22"/>
          <w:szCs w:val="22"/>
        </w:rPr>
        <w:t>由此导致的不利后果由投标人自负。</w:t>
      </w:r>
    </w:p>
    <w:p>
      <w:pPr>
        <w:spacing w:after="78" w:afterLines="25" w:line="276" w:lineRule="auto"/>
        <w:rPr>
          <w:rFonts w:ascii="宋体" w:hAnsi="宋体"/>
          <w:sz w:val="22"/>
          <w:szCs w:val="22"/>
        </w:rPr>
      </w:pPr>
      <w:r>
        <w:rPr>
          <w:rFonts w:hint="eastAsia" w:ascii="宋体" w:hAnsi="宋体"/>
          <w:sz w:val="22"/>
          <w:szCs w:val="22"/>
        </w:rPr>
        <w:t>10.1.2  投标文件中的专业术语，须附中文注释。否则，按照本节第10.1.1条规定执行。</w:t>
      </w:r>
    </w:p>
    <w:p>
      <w:pPr>
        <w:spacing w:after="78" w:afterLines="25" w:line="276" w:lineRule="auto"/>
        <w:rPr>
          <w:rFonts w:ascii="宋体" w:hAnsi="宋体" w:cs="Courier New"/>
          <w:sz w:val="22"/>
          <w:szCs w:val="22"/>
        </w:rPr>
      </w:pPr>
      <w:bookmarkStart w:id="53" w:name="_Toc201401370"/>
      <w:bookmarkStart w:id="54" w:name="_Toc201997821"/>
      <w:bookmarkStart w:id="55" w:name="_Toc201401562"/>
      <w:r>
        <w:rPr>
          <w:rFonts w:hint="eastAsia" w:ascii="宋体" w:hAnsi="宋体" w:cs="Courier New"/>
          <w:sz w:val="22"/>
          <w:szCs w:val="22"/>
        </w:rPr>
        <w:t>10.2  除在招标文件中另有规定外，计量单位应使用中华人民共和国法定计量单位。</w:t>
      </w:r>
      <w:bookmarkEnd w:id="53"/>
      <w:bookmarkEnd w:id="54"/>
      <w:bookmarkEnd w:id="55"/>
    </w:p>
    <w:p>
      <w:pPr>
        <w:spacing w:after="78" w:afterLines="25" w:line="276" w:lineRule="auto"/>
        <w:rPr>
          <w:rFonts w:ascii="宋体" w:hAnsi="宋体"/>
          <w:b/>
          <w:sz w:val="22"/>
          <w:szCs w:val="22"/>
        </w:rPr>
      </w:pPr>
      <w:bookmarkStart w:id="56" w:name="_Toc201401371"/>
      <w:bookmarkStart w:id="57" w:name="_Toc201401563"/>
      <w:bookmarkStart w:id="58" w:name="_Toc201997822"/>
      <w:r>
        <w:rPr>
          <w:rFonts w:hint="eastAsia" w:ascii="宋体" w:hAnsi="宋体"/>
          <w:b/>
          <w:sz w:val="22"/>
          <w:szCs w:val="22"/>
        </w:rPr>
        <w:t>11．  投标文件的构成</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6"/>
      <w:bookmarkEnd w:id="57"/>
      <w:bookmarkEnd w:id="58"/>
    </w:p>
    <w:p>
      <w:pPr>
        <w:ind w:firstLine="220" w:firstLineChars="100"/>
        <w:rPr>
          <w:rFonts w:ascii="宋体" w:hAnsi="宋体"/>
          <w:kern w:val="0"/>
          <w:sz w:val="22"/>
          <w:szCs w:val="22"/>
        </w:rPr>
      </w:pPr>
      <w:r>
        <w:rPr>
          <w:rFonts w:hint="eastAsia" w:ascii="宋体" w:hAnsi="宋体"/>
          <w:kern w:val="0"/>
          <w:sz w:val="22"/>
          <w:szCs w:val="22"/>
        </w:rPr>
        <w:t>/</w:t>
      </w:r>
    </w:p>
    <w:p>
      <w:pPr>
        <w:spacing w:after="78" w:afterLines="25" w:line="276" w:lineRule="auto"/>
        <w:rPr>
          <w:rFonts w:ascii="宋体" w:hAnsi="宋体"/>
          <w:b/>
          <w:sz w:val="22"/>
          <w:szCs w:val="22"/>
        </w:rPr>
      </w:pPr>
      <w:bookmarkStart w:id="59" w:name="_Toc201401372"/>
      <w:bookmarkStart w:id="60" w:name="_Toc201401564"/>
      <w:bookmarkStart w:id="61" w:name="_Toc201997823"/>
      <w:bookmarkStart w:id="62" w:name="_Toc163530297"/>
      <w:bookmarkStart w:id="63" w:name="_Toc134852015"/>
      <w:bookmarkStart w:id="64" w:name="_Toc148778151"/>
      <w:bookmarkStart w:id="65" w:name="_Toc157847815"/>
      <w:bookmarkStart w:id="66" w:name="_Toc148780232"/>
      <w:bookmarkStart w:id="67" w:name="_Toc148779946"/>
      <w:bookmarkStart w:id="68" w:name="_Toc148413294"/>
      <w:bookmarkStart w:id="69" w:name="_Toc98817929"/>
      <w:bookmarkStart w:id="70" w:name="_Toc187729574"/>
      <w:bookmarkStart w:id="71" w:name="_Toc148954853"/>
      <w:bookmarkStart w:id="72" w:name="_Toc143658449"/>
      <w:bookmarkStart w:id="73" w:name="_Toc148329795"/>
      <w:bookmarkStart w:id="74" w:name="_Toc135666622"/>
      <w:bookmarkStart w:id="75" w:name="_Toc148954458"/>
      <w:bookmarkStart w:id="76" w:name="_Toc135666809"/>
      <w:bookmarkStart w:id="77" w:name="_Toc188869274"/>
      <w:bookmarkStart w:id="78" w:name="_Toc148413299"/>
      <w:bookmarkStart w:id="79" w:name="_Toc135666814"/>
      <w:bookmarkStart w:id="80" w:name="_Toc148780237"/>
      <w:bookmarkStart w:id="81" w:name="_Toc148329800"/>
      <w:bookmarkStart w:id="82" w:name="_Toc135666627"/>
      <w:bookmarkStart w:id="83" w:name="_Toc148954858"/>
      <w:bookmarkStart w:id="84" w:name="_Toc134852020"/>
      <w:bookmarkStart w:id="85" w:name="_Toc148779951"/>
      <w:bookmarkStart w:id="86" w:name="_Toc143658454"/>
      <w:bookmarkStart w:id="87" w:name="_Toc98817933"/>
      <w:bookmarkStart w:id="88" w:name="_Toc148778156"/>
      <w:bookmarkStart w:id="89" w:name="_Toc148954463"/>
      <w:r>
        <w:rPr>
          <w:rFonts w:hint="eastAsia" w:ascii="宋体" w:hAnsi="宋体"/>
          <w:b/>
          <w:sz w:val="22"/>
          <w:szCs w:val="22"/>
        </w:rPr>
        <w:t>12．  投标文件的格式和签署</w:t>
      </w:r>
      <w:bookmarkEnd w:id="59"/>
      <w:bookmarkEnd w:id="60"/>
      <w:bookmarkEnd w:id="61"/>
    </w:p>
    <w:p>
      <w:pPr>
        <w:spacing w:after="78" w:afterLines="25" w:line="276" w:lineRule="auto"/>
        <w:rPr>
          <w:rFonts w:ascii="宋体" w:hAnsi="宋体"/>
          <w:sz w:val="22"/>
          <w:szCs w:val="22"/>
        </w:rPr>
      </w:pPr>
      <w:r>
        <w:rPr>
          <w:rFonts w:hint="eastAsia" w:ascii="宋体" w:hAnsi="宋体"/>
          <w:sz w:val="22"/>
          <w:szCs w:val="22"/>
        </w:rPr>
        <w:t>12.1  投标文件应包括本节第11条规定的内容。投标人提交的投标文件应统一以A4幅面，按本招标文件第四章“投标文件格式”的顺序编排、装订成册。本招标文件提供的投标文件格式可以按同样格式扩展。</w:t>
      </w:r>
    </w:p>
    <w:p>
      <w:pPr>
        <w:spacing w:after="78" w:afterLines="25" w:line="276" w:lineRule="auto"/>
        <w:rPr>
          <w:rFonts w:ascii="宋体" w:hAnsi="宋体"/>
          <w:sz w:val="22"/>
          <w:szCs w:val="22"/>
        </w:rPr>
      </w:pPr>
      <w:r>
        <w:rPr>
          <w:rFonts w:hint="eastAsia" w:ascii="宋体" w:hAnsi="宋体"/>
          <w:sz w:val="22"/>
          <w:szCs w:val="22"/>
        </w:rPr>
        <w:t>12.2  投标人应提供一份正本和 “投标须知前附表”中规定数目的副本。</w:t>
      </w:r>
    </w:p>
    <w:p>
      <w:pPr>
        <w:spacing w:after="78" w:afterLines="25" w:line="276" w:lineRule="auto"/>
        <w:rPr>
          <w:rFonts w:ascii="宋体" w:hAnsi="宋体"/>
          <w:sz w:val="22"/>
          <w:szCs w:val="22"/>
        </w:rPr>
      </w:pPr>
      <w:r>
        <w:rPr>
          <w:rFonts w:hint="eastAsia" w:ascii="宋体" w:hAnsi="宋体"/>
          <w:sz w:val="22"/>
          <w:szCs w:val="22"/>
        </w:rPr>
        <w:t>12.3  投标文件正本和副本均需用不褪色的墨水书写或打印，字迹应清晰易于辨认。在投标文件封面右上角清楚地标记“正本”或“副本”。若正本和副本内容不一致时，以正本为准。</w:t>
      </w:r>
    </w:p>
    <w:p>
      <w:pPr>
        <w:spacing w:after="78" w:afterLines="25" w:line="276" w:lineRule="auto"/>
        <w:rPr>
          <w:rFonts w:ascii="宋体" w:hAnsi="宋体"/>
          <w:sz w:val="22"/>
          <w:szCs w:val="22"/>
        </w:rPr>
      </w:pPr>
      <w:r>
        <w:rPr>
          <w:rFonts w:hint="eastAsia" w:ascii="宋体" w:hAnsi="宋体"/>
          <w:sz w:val="22"/>
          <w:szCs w:val="22"/>
        </w:rPr>
        <w:t>12.3.1  投标文件的副本可采用正本的复印件。</w:t>
      </w:r>
    </w:p>
    <w:p>
      <w:pPr>
        <w:spacing w:after="78" w:afterLines="25" w:line="276" w:lineRule="auto"/>
        <w:rPr>
          <w:rFonts w:ascii="宋体" w:hAnsi="宋体"/>
          <w:sz w:val="22"/>
          <w:szCs w:val="22"/>
        </w:rPr>
      </w:pPr>
      <w:r>
        <w:rPr>
          <w:rFonts w:hint="eastAsia" w:ascii="宋体" w:hAnsi="宋体"/>
          <w:sz w:val="22"/>
          <w:szCs w:val="22"/>
        </w:rPr>
        <w:t>12.4  投标文件须按投标文件格式要求加盖单位公章和投标人代表签名。</w:t>
      </w:r>
    </w:p>
    <w:p>
      <w:pPr>
        <w:spacing w:after="78" w:afterLines="25" w:line="276" w:lineRule="auto"/>
        <w:rPr>
          <w:rFonts w:ascii="宋体" w:hAnsi="宋体"/>
          <w:sz w:val="22"/>
          <w:szCs w:val="22"/>
        </w:rPr>
      </w:pPr>
      <w:r>
        <w:rPr>
          <w:rFonts w:hint="eastAsia" w:ascii="宋体" w:hAnsi="宋体"/>
          <w:sz w:val="22"/>
          <w:szCs w:val="22"/>
        </w:rPr>
        <w:t>12.4.1 第四章“投标文件格式”中要求“投标人名称（公章）”之处，应填写投标人的单位名称，并加盖单位公章。否则，其投标将会被拒绝。</w:t>
      </w:r>
    </w:p>
    <w:p>
      <w:pPr>
        <w:spacing w:after="78" w:afterLines="25" w:line="276" w:lineRule="auto"/>
        <w:rPr>
          <w:rFonts w:ascii="宋体" w:hAnsi="宋体"/>
          <w:sz w:val="22"/>
          <w:szCs w:val="22"/>
        </w:rPr>
      </w:pPr>
      <w:r>
        <w:rPr>
          <w:rFonts w:hint="eastAsia" w:ascii="宋体" w:hAnsi="宋体"/>
          <w:sz w:val="22"/>
          <w:szCs w:val="22"/>
        </w:rPr>
        <w:t>12.4.2 第四章“投标文件格式”中要求“投标人代表（签名）”之处，必须由投标人代表手写签名（手签章无效）。投标人代表必须是投标人的法定代表人或其授权的委托代理人。由委托代理人签字的应随投标文件一起提供“投标文件签署授权委托书”。否则，其投标将会被拒绝。</w:t>
      </w:r>
    </w:p>
    <w:p>
      <w:pPr>
        <w:spacing w:after="78" w:afterLines="25" w:line="276" w:lineRule="auto"/>
        <w:rPr>
          <w:rFonts w:ascii="宋体" w:hAnsi="宋体"/>
          <w:sz w:val="22"/>
          <w:szCs w:val="22"/>
        </w:rPr>
      </w:pPr>
      <w:r>
        <w:rPr>
          <w:rFonts w:hint="eastAsia" w:ascii="宋体" w:hAnsi="宋体" w:cs="宋体"/>
          <w:sz w:val="22"/>
          <w:szCs w:val="22"/>
        </w:rPr>
        <w:t>12.5  任何行间插字、涂改或增删，修改处必须由投标人代表在旁边签名才有效。否则，</w:t>
      </w:r>
      <w:r>
        <w:rPr>
          <w:rFonts w:hint="eastAsia" w:ascii="宋体" w:hAnsi="宋体"/>
          <w:sz w:val="22"/>
          <w:szCs w:val="22"/>
        </w:rPr>
        <w:t>将不予认可，</w:t>
      </w:r>
      <w:r>
        <w:rPr>
          <w:rFonts w:hint="eastAsia" w:ascii="宋体" w:hAnsi="宋体" w:cs="宋体"/>
          <w:sz w:val="22"/>
          <w:szCs w:val="22"/>
        </w:rPr>
        <w:t>由此导致的不利后果由该投标人自负。</w:t>
      </w:r>
    </w:p>
    <w:p>
      <w:pPr>
        <w:spacing w:after="78" w:afterLines="25" w:line="276" w:lineRule="auto"/>
        <w:rPr>
          <w:rFonts w:ascii="宋体" w:hAnsi="宋体"/>
          <w:sz w:val="22"/>
          <w:szCs w:val="22"/>
        </w:rPr>
      </w:pPr>
      <w:r>
        <w:rPr>
          <w:rFonts w:hint="eastAsia" w:ascii="宋体" w:hAnsi="宋体"/>
          <w:sz w:val="22"/>
          <w:szCs w:val="22"/>
        </w:rPr>
        <w:t>12.6  投标文件因字迹潦草或表达不清导致的不利后果由该投标人自负。</w:t>
      </w:r>
    </w:p>
    <w:p>
      <w:pPr>
        <w:spacing w:after="78" w:afterLines="25" w:line="276" w:lineRule="auto"/>
        <w:rPr>
          <w:rFonts w:ascii="宋体" w:hAnsi="宋体"/>
          <w:b/>
          <w:sz w:val="22"/>
          <w:szCs w:val="22"/>
        </w:rPr>
      </w:pPr>
      <w:bookmarkStart w:id="90" w:name="_Toc201997824"/>
      <w:bookmarkStart w:id="91" w:name="_Toc201401373"/>
      <w:bookmarkStart w:id="92" w:name="_Toc201401565"/>
      <w:r>
        <w:rPr>
          <w:rFonts w:hint="eastAsia" w:ascii="宋体" w:hAnsi="宋体"/>
          <w:b/>
          <w:sz w:val="22"/>
          <w:szCs w:val="22"/>
        </w:rPr>
        <w:t>13．  投标货币</w:t>
      </w:r>
      <w:bookmarkEnd w:id="90"/>
      <w:bookmarkEnd w:id="91"/>
      <w:bookmarkEnd w:id="92"/>
    </w:p>
    <w:p>
      <w:pPr>
        <w:spacing w:after="78" w:afterLines="25" w:line="276" w:lineRule="auto"/>
        <w:rPr>
          <w:rFonts w:ascii="宋体" w:hAnsi="宋体"/>
          <w:kern w:val="0"/>
          <w:sz w:val="22"/>
          <w:szCs w:val="22"/>
        </w:rPr>
      </w:pPr>
      <w:r>
        <w:rPr>
          <w:rFonts w:hint="eastAsia" w:ascii="宋体" w:hAnsi="宋体"/>
          <w:kern w:val="0"/>
          <w:sz w:val="22"/>
          <w:szCs w:val="22"/>
        </w:rPr>
        <w:t>13.1  本工程投标报价采用的币种，见“投标须知前附表”。</w:t>
      </w:r>
    </w:p>
    <w:p>
      <w:pPr>
        <w:spacing w:after="78" w:afterLines="25" w:line="276" w:lineRule="auto"/>
        <w:rPr>
          <w:rFonts w:ascii="宋体" w:hAnsi="宋体"/>
          <w:b/>
          <w:sz w:val="22"/>
          <w:szCs w:val="22"/>
        </w:rPr>
      </w:pPr>
      <w:bookmarkStart w:id="93" w:name="_Toc201997825"/>
      <w:bookmarkStart w:id="94" w:name="_Toc201401374"/>
      <w:bookmarkStart w:id="95" w:name="_Toc201401566"/>
      <w:r>
        <w:rPr>
          <w:rFonts w:hint="eastAsia" w:ascii="宋体" w:hAnsi="宋体"/>
          <w:b/>
          <w:sz w:val="22"/>
          <w:szCs w:val="22"/>
        </w:rPr>
        <w:t>14．  投标报价</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93"/>
      <w:bookmarkEnd w:id="94"/>
      <w:bookmarkEnd w:id="95"/>
      <w:bookmarkStart w:id="96" w:name="_Toc148780233"/>
      <w:bookmarkStart w:id="97" w:name="_Toc143658450"/>
      <w:bookmarkStart w:id="98" w:name="_Toc134852016"/>
      <w:bookmarkStart w:id="99" w:name="_Toc157847816"/>
      <w:bookmarkStart w:id="100" w:name="_Toc148779947"/>
      <w:bookmarkStart w:id="101" w:name="_Toc135666623"/>
      <w:bookmarkStart w:id="102" w:name="_Toc148778152"/>
      <w:bookmarkStart w:id="103" w:name="_Toc148413295"/>
      <w:bookmarkStart w:id="104" w:name="_Toc163530298"/>
      <w:bookmarkStart w:id="105" w:name="_Toc148329796"/>
      <w:bookmarkStart w:id="106" w:name="_Toc148954459"/>
      <w:bookmarkStart w:id="107" w:name="_Toc148954854"/>
      <w:bookmarkStart w:id="108" w:name="_Toc135666810"/>
      <w:bookmarkStart w:id="109" w:name="_Toc98817930"/>
    </w:p>
    <w:p>
      <w:pPr>
        <w:spacing w:after="78" w:afterLines="25" w:line="276" w:lineRule="auto"/>
        <w:rPr>
          <w:rFonts w:ascii="宋体" w:hAnsi="宋体"/>
          <w:sz w:val="22"/>
          <w:szCs w:val="22"/>
        </w:rPr>
      </w:pPr>
      <w:r>
        <w:rPr>
          <w:rFonts w:hint="eastAsia" w:ascii="宋体" w:hAnsi="宋体"/>
          <w:sz w:val="22"/>
          <w:szCs w:val="22"/>
        </w:rPr>
        <w:t>14.1  投标报价是投标人的投标文件中提出的各项支付费用的金额总和。投标人的投标报价应保证在投标有效期内有效，在合同执行期内是固定不变。合同价款的确定方式见</w:t>
      </w:r>
      <w:r>
        <w:rPr>
          <w:rFonts w:hint="eastAsia" w:ascii="宋体" w:hAnsi="宋体"/>
          <w:kern w:val="0"/>
          <w:sz w:val="22"/>
          <w:szCs w:val="22"/>
        </w:rPr>
        <w:t>“投标须知前附表”。</w:t>
      </w:r>
    </w:p>
    <w:p>
      <w:pPr>
        <w:spacing w:after="78" w:afterLines="25" w:line="276" w:lineRule="auto"/>
        <w:rPr>
          <w:rFonts w:ascii="宋体" w:hAnsi="宋体"/>
          <w:sz w:val="22"/>
          <w:szCs w:val="22"/>
        </w:rPr>
      </w:pPr>
      <w:r>
        <w:rPr>
          <w:rFonts w:hint="eastAsia" w:ascii="宋体" w:hAnsi="宋体"/>
          <w:sz w:val="22"/>
          <w:szCs w:val="22"/>
        </w:rPr>
        <w:t>14.2  投标人的投标报价应包括本招标文件规定的所有内容，以及在实施过程中或为完成采购项目所产生的一切费用，含相关的税、费、保险等。</w:t>
      </w:r>
    </w:p>
    <w:p>
      <w:pPr>
        <w:spacing w:after="78" w:afterLines="25" w:line="276" w:lineRule="auto"/>
        <w:rPr>
          <w:rFonts w:ascii="宋体" w:hAnsi="宋体"/>
          <w:sz w:val="22"/>
          <w:szCs w:val="22"/>
        </w:rPr>
      </w:pPr>
      <w:r>
        <w:rPr>
          <w:rFonts w:hint="eastAsia" w:ascii="宋体" w:hAnsi="宋体"/>
          <w:sz w:val="22"/>
          <w:szCs w:val="22"/>
        </w:rPr>
        <w:t>14.3  投标人应按采购需求清单填报单价和合价。每一个项目只允许有一个报价，任何有选择的报价将不予接受。</w:t>
      </w:r>
    </w:p>
    <w:p>
      <w:pPr>
        <w:spacing w:after="78" w:afterLines="25" w:line="276" w:lineRule="auto"/>
        <w:rPr>
          <w:rFonts w:ascii="宋体" w:hAnsi="宋体"/>
          <w:sz w:val="22"/>
          <w:szCs w:val="22"/>
        </w:rPr>
      </w:pPr>
      <w:r>
        <w:rPr>
          <w:rFonts w:hint="eastAsia" w:ascii="宋体" w:hAnsi="宋体"/>
          <w:sz w:val="22"/>
          <w:szCs w:val="22"/>
        </w:rPr>
        <w:t>14.3.1  投标报价中未填单价或合价的部分，将被视为该费用已包括在其他有价款的单价或合价内，采购人将不另行支付。</w:t>
      </w:r>
    </w:p>
    <w:p>
      <w:pPr>
        <w:spacing w:after="78" w:afterLines="25" w:line="276" w:lineRule="auto"/>
        <w:rPr>
          <w:rFonts w:ascii="宋体" w:hAnsi="宋体"/>
          <w:sz w:val="22"/>
          <w:szCs w:val="22"/>
        </w:rPr>
      </w:pPr>
      <w:r>
        <w:rPr>
          <w:rFonts w:hint="eastAsia" w:ascii="宋体" w:hAnsi="宋体"/>
          <w:sz w:val="22"/>
          <w:szCs w:val="22"/>
        </w:rPr>
        <w:t>14.3.2  投标人若是提供了可变动价格或包含价格调整要求投标，其投标将会被拒绝。</w:t>
      </w:r>
    </w:p>
    <w:p>
      <w:pPr>
        <w:spacing w:after="78" w:afterLines="25" w:line="276" w:lineRule="auto"/>
        <w:rPr>
          <w:rFonts w:ascii="宋体" w:hAnsi="宋体"/>
          <w:sz w:val="22"/>
          <w:szCs w:val="22"/>
        </w:rPr>
      </w:pPr>
      <w:r>
        <w:rPr>
          <w:rFonts w:hint="eastAsia" w:ascii="宋体" w:hAnsi="宋体"/>
          <w:sz w:val="22"/>
          <w:szCs w:val="22"/>
        </w:rPr>
        <w:t>14.3.3  投标人若是提供了两个（含两个）以上报价，且未明确哪个是有效报价，其投标将会被拒绝（除允许提供备选方案的）。</w:t>
      </w:r>
    </w:p>
    <w:p>
      <w:pPr>
        <w:spacing w:after="78" w:afterLines="25" w:line="276" w:lineRule="auto"/>
        <w:rPr>
          <w:rFonts w:ascii="宋体" w:hAnsi="宋体"/>
          <w:sz w:val="22"/>
          <w:szCs w:val="22"/>
        </w:rPr>
      </w:pPr>
      <w:r>
        <w:rPr>
          <w:rFonts w:hint="eastAsia" w:ascii="宋体" w:hAnsi="宋体"/>
          <w:sz w:val="22"/>
          <w:szCs w:val="22"/>
        </w:rPr>
        <w:t>14.5  投标人应根据本企业的成本自行决定报价，但不得以低于其企业成本的报价竞标。</w:t>
      </w:r>
    </w:p>
    <w:p>
      <w:pPr>
        <w:spacing w:after="78" w:afterLines="25" w:line="276" w:lineRule="auto"/>
        <w:rPr>
          <w:rFonts w:ascii="宋体" w:hAnsi="宋体"/>
          <w:sz w:val="22"/>
          <w:szCs w:val="22"/>
        </w:rPr>
      </w:pPr>
      <w:r>
        <w:rPr>
          <w:rFonts w:hint="eastAsia" w:ascii="宋体" w:hAnsi="宋体"/>
          <w:sz w:val="22"/>
          <w:szCs w:val="22"/>
        </w:rPr>
        <w:t>14.6  投标人的投标总报价不得超过财政预算限额。</w:t>
      </w:r>
    </w:p>
    <w:p>
      <w:pPr>
        <w:spacing w:after="78" w:afterLines="25" w:line="276" w:lineRule="auto"/>
        <w:rPr>
          <w:rFonts w:ascii="宋体" w:hAnsi="宋体"/>
        </w:rPr>
      </w:pPr>
      <w:r>
        <w:rPr>
          <w:rFonts w:hint="eastAsia" w:ascii="宋体" w:hAnsi="宋体"/>
          <w:sz w:val="22"/>
          <w:szCs w:val="22"/>
        </w:rPr>
        <w:t>14.7 采购代理服务费以</w:t>
      </w:r>
      <w:r>
        <w:rPr>
          <w:rFonts w:ascii="宋体" w:hAnsi="宋体"/>
          <w:sz w:val="22"/>
          <w:szCs w:val="22"/>
        </w:rPr>
        <w:t>中标金额</w:t>
      </w:r>
      <w:r>
        <w:rPr>
          <w:rFonts w:hint="eastAsia" w:ascii="宋体" w:hAnsi="宋体"/>
          <w:sz w:val="22"/>
          <w:szCs w:val="22"/>
        </w:rPr>
        <w:t>为计算基数，按</w:t>
      </w:r>
      <w:r>
        <w:rPr>
          <w:rFonts w:ascii="宋体" w:hAnsi="宋体"/>
          <w:sz w:val="22"/>
          <w:szCs w:val="22"/>
        </w:rPr>
        <w:t>国家计委计价格〔2002〕1980号文规定</w:t>
      </w:r>
      <w:r>
        <w:rPr>
          <w:rFonts w:hint="eastAsia" w:ascii="宋体" w:hAnsi="宋体"/>
          <w:sz w:val="22"/>
          <w:szCs w:val="22"/>
        </w:rPr>
        <w:t>的</w:t>
      </w:r>
      <w:r>
        <w:rPr>
          <w:rFonts w:ascii="宋体" w:hAnsi="宋体"/>
          <w:sz w:val="22"/>
          <w:szCs w:val="22"/>
        </w:rPr>
        <w:t>采购代理服务收费的</w:t>
      </w:r>
      <w:r>
        <w:rPr>
          <w:rFonts w:hint="eastAsia" w:ascii="宋体" w:hAnsi="宋体"/>
          <w:sz w:val="22"/>
          <w:szCs w:val="22"/>
        </w:rPr>
        <w:t>办法</w:t>
      </w:r>
      <w:r>
        <w:rPr>
          <w:rFonts w:ascii="宋体" w:hAnsi="宋体"/>
          <w:sz w:val="22"/>
          <w:szCs w:val="22"/>
        </w:rPr>
        <w:t>向</w:t>
      </w:r>
      <w:r>
        <w:rPr>
          <w:rFonts w:hint="eastAsia" w:ascii="宋体" w:hAnsi="宋体"/>
          <w:sz w:val="22"/>
          <w:szCs w:val="22"/>
        </w:rPr>
        <w:t>中标单位</w:t>
      </w:r>
      <w:r>
        <w:rPr>
          <w:rFonts w:ascii="宋体" w:hAnsi="宋体"/>
          <w:sz w:val="22"/>
          <w:szCs w:val="22"/>
        </w:rPr>
        <w:t>收取</w:t>
      </w:r>
      <w:r>
        <w:rPr>
          <w:rFonts w:hint="eastAsia" w:ascii="宋体" w:hAnsi="宋体"/>
          <w:sz w:val="22"/>
          <w:szCs w:val="22"/>
        </w:rPr>
        <w:t>.</w:t>
      </w:r>
    </w:p>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Pr>
        <w:spacing w:after="78" w:afterLines="25" w:line="276" w:lineRule="auto"/>
        <w:rPr>
          <w:rFonts w:ascii="宋体" w:hAnsi="宋体"/>
          <w:b/>
          <w:sz w:val="22"/>
          <w:szCs w:val="22"/>
        </w:rPr>
      </w:pPr>
      <w:bookmarkStart w:id="110" w:name="_Toc188869276"/>
      <w:bookmarkStart w:id="111" w:name="_Toc201401375"/>
      <w:bookmarkStart w:id="112" w:name="_Toc201997826"/>
      <w:bookmarkStart w:id="113" w:name="_Toc201401567"/>
      <w:bookmarkStart w:id="114" w:name="_Toc187729576"/>
      <w:r>
        <w:rPr>
          <w:rFonts w:hint="eastAsia" w:ascii="宋体" w:hAnsi="宋体"/>
          <w:b/>
          <w:sz w:val="22"/>
          <w:szCs w:val="22"/>
        </w:rPr>
        <w:t>15．</w:t>
      </w:r>
      <w:bookmarkEnd w:id="78"/>
      <w:bookmarkEnd w:id="79"/>
      <w:bookmarkEnd w:id="80"/>
      <w:bookmarkEnd w:id="81"/>
      <w:bookmarkEnd w:id="82"/>
      <w:bookmarkEnd w:id="83"/>
      <w:bookmarkEnd w:id="84"/>
      <w:bookmarkEnd w:id="85"/>
      <w:bookmarkEnd w:id="86"/>
      <w:bookmarkEnd w:id="87"/>
      <w:bookmarkEnd w:id="88"/>
      <w:bookmarkEnd w:id="89"/>
      <w:bookmarkEnd w:id="110"/>
      <w:bookmarkEnd w:id="111"/>
      <w:bookmarkEnd w:id="112"/>
      <w:bookmarkEnd w:id="113"/>
      <w:bookmarkEnd w:id="114"/>
      <w:bookmarkStart w:id="115" w:name="_Toc201997827"/>
      <w:bookmarkStart w:id="116" w:name="_Toc201401376"/>
      <w:bookmarkStart w:id="117" w:name="_Toc201401568"/>
      <w:bookmarkStart w:id="118" w:name="_Toc187729578"/>
      <w:bookmarkStart w:id="119" w:name="_Toc188869278"/>
      <w:r>
        <w:rPr>
          <w:rFonts w:hint="eastAsia" w:ascii="宋体" w:hAnsi="宋体"/>
          <w:b/>
          <w:sz w:val="22"/>
          <w:szCs w:val="22"/>
        </w:rPr>
        <w:t xml:space="preserve">  投标有效期</w:t>
      </w:r>
      <w:bookmarkEnd w:id="115"/>
      <w:bookmarkEnd w:id="116"/>
      <w:bookmarkEnd w:id="117"/>
    </w:p>
    <w:p>
      <w:pPr>
        <w:spacing w:after="78" w:afterLines="25" w:line="276" w:lineRule="auto"/>
        <w:rPr>
          <w:rFonts w:ascii="宋体" w:hAnsi="宋体"/>
          <w:sz w:val="22"/>
          <w:szCs w:val="22"/>
        </w:rPr>
      </w:pPr>
      <w:r>
        <w:rPr>
          <w:rFonts w:hint="eastAsia" w:ascii="宋体" w:hAnsi="宋体"/>
          <w:sz w:val="22"/>
          <w:szCs w:val="22"/>
        </w:rPr>
        <w:t>15.1  投标有效期应符合“投标须知前附表”的规定。在此期间，所有投标均保持有效。</w:t>
      </w:r>
    </w:p>
    <w:p>
      <w:pPr>
        <w:spacing w:after="78" w:afterLines="25" w:line="276" w:lineRule="auto"/>
        <w:rPr>
          <w:rFonts w:ascii="宋体" w:hAnsi="宋体"/>
          <w:sz w:val="22"/>
          <w:szCs w:val="22"/>
        </w:rPr>
      </w:pPr>
      <w:r>
        <w:rPr>
          <w:rFonts w:hint="eastAsia" w:ascii="宋体" w:hAnsi="宋体"/>
          <w:sz w:val="22"/>
          <w:szCs w:val="22"/>
        </w:rPr>
        <w:t>15.2  在原投标有效期结束前，出现特殊情况，采购人或采购代理可要求投标人延长其投标有效期。相应的要求及回复均应以书面形式做出。投标人同意延长的，不得要求或被允许修改其投标文件的实质性内容，同时相应的延长其投标担保的有效期；投标人拒绝延长的，其投标失效，但投标人有权收回其投标担保。</w:t>
      </w:r>
      <w:bookmarkEnd w:id="118"/>
      <w:bookmarkEnd w:id="119"/>
    </w:p>
    <w:p>
      <w:pPr>
        <w:spacing w:after="78" w:afterLines="25" w:line="276" w:lineRule="auto"/>
        <w:rPr>
          <w:rFonts w:ascii="宋体" w:hAnsi="宋体"/>
          <w:b/>
          <w:sz w:val="22"/>
          <w:szCs w:val="22"/>
        </w:rPr>
      </w:pPr>
      <w:bookmarkStart w:id="120" w:name="_Toc201401377"/>
      <w:bookmarkStart w:id="121" w:name="_Toc201997828"/>
      <w:bookmarkStart w:id="122" w:name="_Toc201401569"/>
      <w:r>
        <w:rPr>
          <w:rFonts w:hint="eastAsia" w:ascii="宋体" w:hAnsi="宋体"/>
          <w:b/>
          <w:sz w:val="22"/>
          <w:szCs w:val="22"/>
        </w:rPr>
        <w:t>16．  备选投标方案</w:t>
      </w:r>
      <w:bookmarkEnd w:id="120"/>
      <w:bookmarkEnd w:id="121"/>
      <w:bookmarkEnd w:id="122"/>
    </w:p>
    <w:p>
      <w:pPr>
        <w:spacing w:after="78" w:afterLines="25" w:line="276" w:lineRule="auto"/>
        <w:rPr>
          <w:rFonts w:ascii="宋体" w:hAnsi="宋体"/>
          <w:sz w:val="22"/>
          <w:szCs w:val="22"/>
        </w:rPr>
      </w:pPr>
      <w:r>
        <w:rPr>
          <w:rFonts w:hint="eastAsia" w:ascii="宋体" w:hAnsi="宋体"/>
          <w:sz w:val="22"/>
          <w:szCs w:val="22"/>
        </w:rPr>
        <w:t>16.1  除“投标须知前附表”中有规定允许提交外，投标人不得提交备选投标方案。</w:t>
      </w:r>
    </w:p>
    <w:p>
      <w:pPr>
        <w:spacing w:after="78" w:afterLines="25" w:line="276" w:lineRule="auto"/>
        <w:rPr>
          <w:rFonts w:ascii="宋体" w:hAnsi="宋体"/>
          <w:sz w:val="22"/>
          <w:szCs w:val="22"/>
        </w:rPr>
      </w:pPr>
      <w:r>
        <w:rPr>
          <w:rFonts w:hint="eastAsia" w:ascii="宋体" w:hAnsi="宋体"/>
          <w:sz w:val="22"/>
          <w:szCs w:val="22"/>
        </w:rPr>
        <w:t>16.2  如果允许提交备选投标方案，但是不符合中标条件的投标人的备选投标方案不予考虑。符合招标文件要求且被推荐为中标候选人的投标人，其所提交的备选投标方案方可予以考虑。</w:t>
      </w:r>
    </w:p>
    <w:p>
      <w:pPr>
        <w:spacing w:after="78" w:afterLines="25" w:line="276" w:lineRule="auto"/>
        <w:rPr>
          <w:rFonts w:ascii="宋体" w:hAnsi="宋体"/>
          <w:b/>
          <w:sz w:val="22"/>
          <w:szCs w:val="22"/>
        </w:rPr>
      </w:pPr>
      <w:bookmarkStart w:id="123" w:name="_Toc201401378"/>
      <w:bookmarkStart w:id="124" w:name="_Toc201401570"/>
      <w:bookmarkStart w:id="125" w:name="_Toc201997829"/>
      <w:r>
        <w:rPr>
          <w:rFonts w:hint="eastAsia" w:ascii="宋体" w:hAnsi="宋体"/>
          <w:b/>
          <w:sz w:val="22"/>
          <w:szCs w:val="22"/>
        </w:rPr>
        <w:t>17.   投标文件的编制</w:t>
      </w:r>
      <w:bookmarkEnd w:id="123"/>
      <w:bookmarkEnd w:id="124"/>
      <w:bookmarkEnd w:id="125"/>
    </w:p>
    <w:p>
      <w:pPr>
        <w:spacing w:after="78" w:afterLines="25" w:line="276" w:lineRule="auto"/>
        <w:rPr>
          <w:rFonts w:ascii="宋体" w:hAnsi="宋体" w:cs="Courier New"/>
          <w:sz w:val="22"/>
          <w:szCs w:val="22"/>
        </w:rPr>
      </w:pPr>
      <w:bookmarkStart w:id="126" w:name="_Toc201401379"/>
      <w:bookmarkStart w:id="127" w:name="_Toc201401571"/>
      <w:bookmarkStart w:id="128" w:name="_Toc201997830"/>
      <w:r>
        <w:rPr>
          <w:rFonts w:hint="eastAsia" w:ascii="宋体" w:hAnsi="宋体" w:cs="Courier New"/>
          <w:sz w:val="22"/>
          <w:szCs w:val="22"/>
        </w:rPr>
        <w:t>17.1  投标人应认真阅读招标文件的全部内容（包括招标文件的补充、修改及澄清文件），并严格履行招标文件的各项规定、要求。</w:t>
      </w:r>
      <w:bookmarkEnd w:id="126"/>
      <w:bookmarkEnd w:id="127"/>
      <w:r>
        <w:rPr>
          <w:rFonts w:hint="eastAsia" w:ascii="宋体" w:hAnsi="宋体" w:cs="Courier New"/>
          <w:sz w:val="22"/>
          <w:szCs w:val="22"/>
        </w:rPr>
        <w:t>如果投标人不能履行招标文件的规定和要求，或者随投标文件提供的证明材料不能对招标文件的要求作出实质性响应，可能导致其投标被拒绝。</w:t>
      </w:r>
    </w:p>
    <w:bookmarkEnd w:id="128"/>
    <w:p>
      <w:pPr>
        <w:spacing w:after="78" w:afterLines="25" w:line="276" w:lineRule="auto"/>
        <w:rPr>
          <w:rFonts w:ascii="宋体" w:hAnsi="宋体" w:cs="Courier New"/>
          <w:sz w:val="22"/>
          <w:szCs w:val="22"/>
        </w:rPr>
      </w:pPr>
      <w:bookmarkStart w:id="129" w:name="_Toc201401380"/>
      <w:bookmarkStart w:id="130" w:name="_Toc201401572"/>
      <w:bookmarkStart w:id="131" w:name="_Toc201997831"/>
      <w:r>
        <w:rPr>
          <w:rFonts w:hint="eastAsia" w:ascii="宋体" w:hAnsi="宋体" w:cs="Courier New"/>
          <w:sz w:val="22"/>
          <w:szCs w:val="22"/>
        </w:rPr>
        <w:t>17.2  投标人应按照招标文件的要求编制投标文件</w:t>
      </w:r>
      <w:bookmarkEnd w:id="129"/>
      <w:bookmarkEnd w:id="130"/>
      <w:r>
        <w:rPr>
          <w:rFonts w:hint="eastAsia" w:ascii="宋体" w:hAnsi="宋体" w:cs="Courier New"/>
          <w:sz w:val="22"/>
          <w:szCs w:val="22"/>
        </w:rPr>
        <w:t>，投标文件中所引用的顺序和编号应与招标文件一致。</w:t>
      </w:r>
      <w:bookmarkEnd w:id="131"/>
    </w:p>
    <w:p>
      <w:pPr>
        <w:spacing w:after="78" w:afterLines="25" w:line="276" w:lineRule="auto"/>
        <w:rPr>
          <w:rFonts w:ascii="宋体" w:hAnsi="宋体" w:cs="Courier New"/>
          <w:sz w:val="22"/>
          <w:szCs w:val="22"/>
        </w:rPr>
      </w:pPr>
      <w:bookmarkStart w:id="132" w:name="_Toc201401381"/>
      <w:bookmarkStart w:id="133" w:name="_Toc201997832"/>
      <w:bookmarkStart w:id="134" w:name="_Toc201401573"/>
      <w:r>
        <w:rPr>
          <w:rFonts w:hint="eastAsia" w:ascii="宋体" w:hAnsi="宋体" w:cs="Courier New"/>
          <w:sz w:val="22"/>
          <w:szCs w:val="22"/>
        </w:rPr>
        <w:t>17.3  投标人应按招标文件要求提供资料，投标文件和图纸均使用中文文本；对不同文字文本的资料解释发生异议的，以中文文本为准。</w:t>
      </w:r>
      <w:bookmarkEnd w:id="132"/>
      <w:bookmarkEnd w:id="133"/>
      <w:bookmarkEnd w:id="134"/>
    </w:p>
    <w:p>
      <w:pPr>
        <w:keepNext/>
        <w:keepLines/>
        <w:spacing w:line="360" w:lineRule="auto"/>
        <w:jc w:val="center"/>
        <w:outlineLvl w:val="2"/>
        <w:rPr>
          <w:rFonts w:ascii="宋体" w:hAnsi="宋体"/>
          <w:b/>
          <w:sz w:val="22"/>
          <w:szCs w:val="22"/>
        </w:rPr>
      </w:pPr>
      <w:bookmarkStart w:id="135" w:name="_Toc201401575"/>
      <w:bookmarkStart w:id="136" w:name="_Toc36556798"/>
      <w:bookmarkStart w:id="137" w:name="_Toc201997834"/>
      <w:r>
        <w:rPr>
          <w:rFonts w:hint="eastAsia" w:ascii="宋体" w:hAnsi="宋体"/>
          <w:b/>
          <w:sz w:val="22"/>
          <w:szCs w:val="22"/>
        </w:rPr>
        <w:t>四、投标文件的提交</w:t>
      </w:r>
      <w:bookmarkEnd w:id="52"/>
      <w:bookmarkEnd w:id="135"/>
      <w:bookmarkEnd w:id="136"/>
      <w:bookmarkEnd w:id="137"/>
    </w:p>
    <w:p>
      <w:pPr>
        <w:spacing w:after="78" w:afterLines="25" w:line="276" w:lineRule="auto"/>
        <w:rPr>
          <w:rFonts w:ascii="宋体" w:hAnsi="宋体"/>
          <w:b/>
          <w:sz w:val="22"/>
          <w:szCs w:val="22"/>
        </w:rPr>
      </w:pPr>
      <w:bookmarkStart w:id="138" w:name="_Toc143658455"/>
      <w:bookmarkStart w:id="139" w:name="_Toc148329801"/>
      <w:bookmarkStart w:id="140" w:name="_Toc201401576"/>
      <w:bookmarkStart w:id="141" w:name="_Toc148413300"/>
      <w:bookmarkStart w:id="142" w:name="_Toc188869280"/>
      <w:bookmarkStart w:id="143" w:name="_Toc148779952"/>
      <w:bookmarkStart w:id="144" w:name="_Toc163530302"/>
      <w:bookmarkStart w:id="145" w:name="_Toc157847820"/>
      <w:bookmarkStart w:id="146" w:name="_Toc201997835"/>
      <w:bookmarkStart w:id="147" w:name="_Toc148954859"/>
      <w:bookmarkStart w:id="148" w:name="_Toc134852021"/>
      <w:bookmarkStart w:id="149" w:name="_Toc135666815"/>
      <w:bookmarkStart w:id="150" w:name="_Toc201401384"/>
      <w:bookmarkStart w:id="151" w:name="_Toc148780238"/>
      <w:bookmarkStart w:id="152" w:name="_Toc98817934"/>
      <w:bookmarkStart w:id="153" w:name="_Toc148954464"/>
      <w:bookmarkStart w:id="154" w:name="_Toc187729580"/>
      <w:bookmarkStart w:id="155" w:name="_Toc148778157"/>
      <w:bookmarkStart w:id="156" w:name="_Toc135666628"/>
      <w:bookmarkStart w:id="157" w:name="_Toc188869285"/>
      <w:r>
        <w:rPr>
          <w:rFonts w:hint="eastAsia" w:ascii="宋体" w:hAnsi="宋体"/>
          <w:b/>
          <w:sz w:val="22"/>
          <w:szCs w:val="22"/>
        </w:rPr>
        <w:t>19．  投标文件的密封和标记</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after="78" w:afterLines="25" w:line="276" w:lineRule="auto"/>
        <w:rPr>
          <w:rFonts w:ascii="宋体" w:hAnsi="宋体" w:cs="Courier New"/>
          <w:sz w:val="22"/>
          <w:szCs w:val="22"/>
        </w:rPr>
      </w:pPr>
      <w:bookmarkStart w:id="158" w:name="_Toc148780239"/>
      <w:bookmarkStart w:id="159" w:name="_Toc157847821"/>
      <w:bookmarkStart w:id="160" w:name="_Toc134852022"/>
      <w:bookmarkStart w:id="161" w:name="_Toc148954860"/>
      <w:bookmarkStart w:id="162" w:name="_Toc187729581"/>
      <w:bookmarkStart w:id="163" w:name="_Toc135666629"/>
      <w:bookmarkStart w:id="164" w:name="_Toc163530303"/>
      <w:bookmarkStart w:id="165" w:name="_Toc148779953"/>
      <w:bookmarkStart w:id="166" w:name="_Toc188869281"/>
      <w:bookmarkStart w:id="167" w:name="_Toc148778158"/>
      <w:bookmarkStart w:id="168" w:name="_Toc98817935"/>
      <w:bookmarkStart w:id="169" w:name="_Toc148329802"/>
      <w:bookmarkStart w:id="170" w:name="_Toc143658456"/>
      <w:bookmarkStart w:id="171" w:name="_Toc135666816"/>
      <w:bookmarkStart w:id="172" w:name="_Toc148413301"/>
      <w:bookmarkStart w:id="173" w:name="_Toc148954465"/>
      <w:bookmarkStart w:id="174" w:name="_Toc201401385"/>
      <w:bookmarkStart w:id="175" w:name="_Toc201401577"/>
      <w:bookmarkStart w:id="176" w:name="_Toc201997836"/>
      <w:r>
        <w:rPr>
          <w:rFonts w:hint="eastAsia" w:ascii="宋体" w:hAnsi="宋体" w:cs="Courier New"/>
          <w:sz w:val="22"/>
          <w:szCs w:val="22"/>
        </w:rPr>
        <w:t>19.1  投标文件应按</w:t>
      </w:r>
    </w:p>
    <w:p>
      <w:pPr>
        <w:spacing w:after="78" w:afterLines="25" w:line="276" w:lineRule="auto"/>
        <w:rPr>
          <w:rFonts w:ascii="宋体" w:hAnsi="宋体" w:cs="Courier New"/>
          <w:sz w:val="22"/>
          <w:szCs w:val="22"/>
        </w:rPr>
      </w:pPr>
      <w:r>
        <w:rPr>
          <w:rFonts w:hint="eastAsia" w:ascii="宋体" w:hAnsi="宋体" w:cs="Courier New"/>
          <w:sz w:val="22"/>
          <w:szCs w:val="22"/>
        </w:rPr>
        <w:t>招标文件要求的格式和顺序装订成1册，在封面上注明正副本，共计一正四副。将装订好的四本投标文件密封包装在一个外密封袋中，并在外密封袋上注明：</w:t>
      </w:r>
    </w:p>
    <w:p>
      <w:pPr>
        <w:spacing w:after="78" w:afterLines="25" w:line="276" w:lineRule="auto"/>
        <w:rPr>
          <w:rFonts w:ascii="宋体" w:hAnsi="宋体" w:cs="Courier New"/>
          <w:sz w:val="22"/>
          <w:szCs w:val="22"/>
        </w:rPr>
      </w:pPr>
      <w:r>
        <w:rPr>
          <w:rFonts w:hint="eastAsia" w:ascii="宋体" w:hAnsi="宋体" w:cs="Courier New"/>
          <w:sz w:val="22"/>
          <w:szCs w:val="22"/>
        </w:rPr>
        <w:t>投标文件</w:t>
      </w:r>
    </w:p>
    <w:p>
      <w:pPr>
        <w:spacing w:after="78" w:afterLines="25" w:line="276" w:lineRule="auto"/>
        <w:rPr>
          <w:rFonts w:ascii="宋体" w:hAnsi="宋体" w:cs="Courier New"/>
          <w:sz w:val="22"/>
          <w:szCs w:val="22"/>
        </w:rPr>
      </w:pPr>
      <w:r>
        <w:rPr>
          <w:rFonts w:hint="eastAsia" w:ascii="宋体" w:hAnsi="宋体" w:cs="Courier New"/>
          <w:sz w:val="22"/>
          <w:szCs w:val="22"/>
        </w:rPr>
        <w:t>招标编号：</w:t>
      </w:r>
    </w:p>
    <w:p>
      <w:pPr>
        <w:spacing w:after="78" w:afterLines="25" w:line="276" w:lineRule="auto"/>
        <w:rPr>
          <w:rFonts w:ascii="宋体" w:hAnsi="宋体" w:cs="Courier New"/>
          <w:sz w:val="22"/>
          <w:szCs w:val="22"/>
        </w:rPr>
      </w:pPr>
      <w:r>
        <w:rPr>
          <w:rFonts w:hint="eastAsia" w:ascii="宋体" w:hAnsi="宋体" w:cs="Courier New"/>
          <w:sz w:val="22"/>
          <w:szCs w:val="22"/>
        </w:rPr>
        <w:t>项目名称：</w:t>
      </w:r>
    </w:p>
    <w:p>
      <w:pPr>
        <w:spacing w:after="78" w:afterLines="25" w:line="276" w:lineRule="auto"/>
        <w:rPr>
          <w:rFonts w:ascii="宋体" w:hAnsi="宋体" w:cs="Courier New"/>
          <w:sz w:val="22"/>
          <w:szCs w:val="22"/>
        </w:rPr>
      </w:pPr>
      <w:r>
        <w:rPr>
          <w:rFonts w:hint="eastAsia" w:ascii="宋体" w:hAnsi="宋体" w:cs="Courier New"/>
          <w:sz w:val="22"/>
          <w:szCs w:val="22"/>
        </w:rPr>
        <w:t>投标人名称（盖章）：</w:t>
      </w:r>
    </w:p>
    <w:p>
      <w:pPr>
        <w:spacing w:after="78" w:afterLines="25" w:line="276" w:lineRule="auto"/>
        <w:rPr>
          <w:rFonts w:ascii="宋体" w:hAnsi="宋体" w:cs="Courier New"/>
          <w:sz w:val="22"/>
          <w:szCs w:val="22"/>
        </w:rPr>
      </w:pPr>
      <w:r>
        <w:rPr>
          <w:rFonts w:hint="eastAsia" w:ascii="宋体" w:hAnsi="宋体" w:cs="Courier New"/>
          <w:sz w:val="22"/>
          <w:szCs w:val="22"/>
        </w:rPr>
        <w:t>年月日时分（开标时间）前不得开封。</w:t>
      </w:r>
    </w:p>
    <w:p>
      <w:pPr>
        <w:spacing w:after="78" w:afterLines="25" w:line="276" w:lineRule="auto"/>
        <w:rPr>
          <w:rFonts w:ascii="宋体" w:hAnsi="宋体" w:cs="Courier New"/>
          <w:sz w:val="22"/>
          <w:szCs w:val="22"/>
        </w:rPr>
      </w:pPr>
      <w:r>
        <w:rPr>
          <w:rFonts w:hint="eastAsia" w:ascii="宋体" w:hAnsi="宋体" w:cs="Courier New"/>
          <w:sz w:val="22"/>
          <w:szCs w:val="22"/>
        </w:rPr>
        <w:t>19.2  所有投标文件的密封袋的封口处均应加盖投标人印章。</w:t>
      </w:r>
    </w:p>
    <w:p>
      <w:pPr>
        <w:spacing w:after="78" w:afterLines="25" w:line="276" w:lineRule="auto"/>
        <w:rPr>
          <w:rFonts w:ascii="宋体" w:hAnsi="宋体" w:cs="Courier New"/>
          <w:sz w:val="22"/>
          <w:szCs w:val="22"/>
        </w:rPr>
      </w:pPr>
      <w:r>
        <w:rPr>
          <w:rFonts w:hint="eastAsia" w:ascii="宋体" w:hAnsi="宋体" w:cs="Courier New"/>
          <w:sz w:val="22"/>
          <w:szCs w:val="22"/>
        </w:rPr>
        <w:t>19.3 对于因标书标识不清、密封不严等导致的不利后果由该投标人自负。</w:t>
      </w:r>
    </w:p>
    <w:p>
      <w:pPr>
        <w:spacing w:after="78" w:afterLines="25" w:line="276" w:lineRule="auto"/>
        <w:rPr>
          <w:rFonts w:ascii="宋体" w:hAnsi="宋体"/>
          <w:b/>
          <w:sz w:val="22"/>
          <w:szCs w:val="22"/>
        </w:rPr>
      </w:pPr>
      <w:r>
        <w:rPr>
          <w:rFonts w:hint="eastAsia" w:ascii="宋体" w:hAnsi="宋体"/>
          <w:b/>
          <w:sz w:val="22"/>
          <w:szCs w:val="22"/>
        </w:rPr>
        <w:t>20．  投标文件</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Pr>
          <w:rFonts w:hint="eastAsia" w:ascii="宋体" w:hAnsi="宋体"/>
          <w:b/>
          <w:sz w:val="22"/>
          <w:szCs w:val="22"/>
        </w:rPr>
        <w:t>的</w:t>
      </w:r>
      <w:bookmarkEnd w:id="174"/>
      <w:bookmarkEnd w:id="175"/>
      <w:r>
        <w:rPr>
          <w:rFonts w:hint="eastAsia" w:ascii="宋体" w:hAnsi="宋体"/>
          <w:b/>
          <w:sz w:val="22"/>
          <w:szCs w:val="22"/>
        </w:rPr>
        <w:t>提交</w:t>
      </w:r>
      <w:bookmarkEnd w:id="176"/>
      <w:r>
        <w:rPr>
          <w:rFonts w:hint="eastAsia" w:ascii="宋体" w:hAnsi="宋体"/>
          <w:b/>
          <w:sz w:val="22"/>
          <w:szCs w:val="22"/>
        </w:rPr>
        <w:t>和截标时投标文件的数量要求</w:t>
      </w:r>
    </w:p>
    <w:p>
      <w:pPr>
        <w:spacing w:after="78" w:afterLines="25" w:line="276" w:lineRule="auto"/>
        <w:rPr>
          <w:rFonts w:ascii="宋体" w:hAnsi="宋体"/>
          <w:sz w:val="22"/>
          <w:szCs w:val="22"/>
        </w:rPr>
      </w:pPr>
      <w:r>
        <w:rPr>
          <w:rFonts w:hint="eastAsia" w:ascii="宋体" w:hAnsi="宋体"/>
          <w:sz w:val="22"/>
          <w:szCs w:val="22"/>
        </w:rPr>
        <w:t>20.1  投标截止时间和地点。投标人应根据“投标须知前附表”的规定，在投标截止时间前将投标文件密封送达指定地点。</w:t>
      </w:r>
      <w:r>
        <w:rPr>
          <w:rFonts w:hint="eastAsia" w:ascii="宋体" w:hAnsi="宋体" w:cs="宋体"/>
          <w:snapToGrid w:val="0"/>
          <w:kern w:val="0"/>
        </w:rPr>
        <w:t>采购代理</w:t>
      </w:r>
      <w:r>
        <w:rPr>
          <w:rFonts w:hint="eastAsia" w:ascii="宋体" w:hAnsi="宋体"/>
          <w:snapToGrid w:val="0"/>
          <w:kern w:val="0"/>
        </w:rPr>
        <w:t>将拒绝接收在投标截止时间后递交的投标文件。</w:t>
      </w:r>
    </w:p>
    <w:p>
      <w:pPr>
        <w:spacing w:after="78" w:afterLines="25" w:line="276" w:lineRule="auto"/>
        <w:rPr>
          <w:rFonts w:ascii="宋体" w:hAnsi="宋体"/>
          <w:sz w:val="22"/>
          <w:szCs w:val="22"/>
        </w:rPr>
      </w:pPr>
      <w:r>
        <w:rPr>
          <w:rFonts w:hint="eastAsia" w:ascii="宋体" w:hAnsi="宋体"/>
          <w:sz w:val="22"/>
          <w:szCs w:val="22"/>
        </w:rPr>
        <w:t xml:space="preserve">20.2  </w:t>
      </w:r>
      <w:r>
        <w:rPr>
          <w:rFonts w:ascii="宋体" w:hAnsi="宋体"/>
          <w:sz w:val="22"/>
          <w:szCs w:val="22"/>
        </w:rPr>
        <w:t>截标时</w:t>
      </w:r>
      <w:r>
        <w:rPr>
          <w:rFonts w:hint="eastAsia" w:ascii="宋体" w:hAnsi="宋体"/>
          <w:sz w:val="22"/>
          <w:szCs w:val="22"/>
        </w:rPr>
        <w:t>递</w:t>
      </w:r>
      <w:r>
        <w:rPr>
          <w:rFonts w:ascii="宋体" w:hAnsi="宋体"/>
          <w:sz w:val="22"/>
          <w:szCs w:val="22"/>
        </w:rPr>
        <w:t>交标书的投标人数</w:t>
      </w:r>
      <w:r>
        <w:rPr>
          <w:rFonts w:hint="eastAsia" w:ascii="宋体" w:hAnsi="宋体"/>
          <w:sz w:val="22"/>
          <w:szCs w:val="22"/>
        </w:rPr>
        <w:t>量未达到法定家数的，采购代理将按法律法规的规定暂停</w:t>
      </w:r>
      <w:r>
        <w:rPr>
          <w:rFonts w:ascii="宋体" w:hAnsi="宋体"/>
          <w:sz w:val="22"/>
          <w:szCs w:val="22"/>
        </w:rPr>
        <w:t>开标和评标程序</w:t>
      </w:r>
      <w:r>
        <w:rPr>
          <w:rFonts w:hint="eastAsia" w:ascii="宋体" w:hAnsi="宋体"/>
          <w:sz w:val="22"/>
          <w:szCs w:val="22"/>
        </w:rPr>
        <w:t>。如导致招标失败，采购人或采购代理将不负担因此给</w:t>
      </w:r>
      <w:r>
        <w:rPr>
          <w:rFonts w:ascii="宋体" w:hAnsi="宋体"/>
          <w:sz w:val="22"/>
          <w:szCs w:val="22"/>
        </w:rPr>
        <w:t>投标人</w:t>
      </w:r>
      <w:r>
        <w:rPr>
          <w:rFonts w:hint="eastAsia" w:ascii="宋体" w:hAnsi="宋体"/>
          <w:sz w:val="22"/>
          <w:szCs w:val="22"/>
        </w:rPr>
        <w:t>造成的损失。</w:t>
      </w:r>
    </w:p>
    <w:p>
      <w:pPr>
        <w:spacing w:after="78" w:afterLines="25" w:line="276" w:lineRule="auto"/>
        <w:rPr>
          <w:rFonts w:ascii="宋体" w:hAnsi="宋体"/>
          <w:b/>
          <w:sz w:val="22"/>
          <w:szCs w:val="22"/>
        </w:rPr>
      </w:pPr>
      <w:bookmarkStart w:id="177" w:name="_Toc188869283"/>
      <w:bookmarkStart w:id="178" w:name="_Toc201401386"/>
      <w:bookmarkStart w:id="179" w:name="_Toc157847823"/>
      <w:bookmarkStart w:id="180" w:name="_Toc148779955"/>
      <w:bookmarkStart w:id="181" w:name="_Toc148413303"/>
      <w:bookmarkStart w:id="182" w:name="_Toc148954862"/>
      <w:bookmarkStart w:id="183" w:name="_Toc135666631"/>
      <w:bookmarkStart w:id="184" w:name="_Toc148778160"/>
      <w:bookmarkStart w:id="185" w:name="_Toc135666818"/>
      <w:bookmarkStart w:id="186" w:name="_Toc148954467"/>
      <w:bookmarkStart w:id="187" w:name="_Toc134852024"/>
      <w:bookmarkStart w:id="188" w:name="_Toc163530305"/>
      <w:bookmarkStart w:id="189" w:name="_Toc148780241"/>
      <w:bookmarkStart w:id="190" w:name="_Toc98817937"/>
      <w:bookmarkStart w:id="191" w:name="_Toc201997837"/>
      <w:bookmarkStart w:id="192" w:name="_Toc148329804"/>
      <w:bookmarkStart w:id="193" w:name="_Toc201401578"/>
      <w:bookmarkStart w:id="194" w:name="_Toc187729583"/>
      <w:bookmarkStart w:id="195" w:name="_Toc143658458"/>
      <w:r>
        <w:rPr>
          <w:rFonts w:hint="eastAsia" w:ascii="宋体" w:hAnsi="宋体"/>
          <w:b/>
          <w:sz w:val="22"/>
          <w:szCs w:val="22"/>
        </w:rPr>
        <w:t>21．  投标文件的修改或撤回</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spacing w:after="78" w:afterLines="25" w:line="276" w:lineRule="auto"/>
        <w:rPr>
          <w:rFonts w:ascii="宋体" w:hAnsi="宋体" w:cs="宋体"/>
          <w:kern w:val="0"/>
          <w:sz w:val="22"/>
          <w:szCs w:val="22"/>
        </w:rPr>
      </w:pPr>
      <w:r>
        <w:rPr>
          <w:rFonts w:hint="eastAsia" w:ascii="宋体" w:hAnsi="宋体"/>
          <w:sz w:val="22"/>
          <w:szCs w:val="22"/>
        </w:rPr>
        <w:t>21.1  投标人已提交投标文件，规定的投标</w:t>
      </w:r>
      <w:r>
        <w:rPr>
          <w:rFonts w:ascii="宋体" w:hAnsi="宋体" w:cs="宋体"/>
          <w:kern w:val="0"/>
          <w:sz w:val="22"/>
          <w:szCs w:val="22"/>
        </w:rPr>
        <w:t>截止</w:t>
      </w:r>
      <w:r>
        <w:rPr>
          <w:rFonts w:hint="eastAsia" w:ascii="宋体" w:hAnsi="宋体" w:cs="宋体"/>
          <w:kern w:val="0"/>
          <w:sz w:val="22"/>
          <w:szCs w:val="22"/>
        </w:rPr>
        <w:t>时间还未到，投标人可提出对其投标文件的修改或撤回。投标人须提交由投标人代表签名的修改或撤回的书面通知。</w:t>
      </w:r>
    </w:p>
    <w:p>
      <w:pPr>
        <w:spacing w:after="78" w:afterLines="25" w:line="276" w:lineRule="auto"/>
        <w:rPr>
          <w:rFonts w:ascii="宋体" w:hAnsi="宋体"/>
          <w:sz w:val="22"/>
          <w:szCs w:val="22"/>
        </w:rPr>
      </w:pPr>
      <w:r>
        <w:rPr>
          <w:rFonts w:hint="eastAsia" w:ascii="宋体" w:hAnsi="宋体" w:cs="宋体"/>
          <w:kern w:val="0"/>
          <w:sz w:val="22"/>
          <w:szCs w:val="22"/>
        </w:rPr>
        <w:t>21.2  采购代理收到由投标人代表签名的修改或撤回的书面通知并确认后，投标人可对其投标文件进行修改，或是撤回其投标。</w:t>
      </w:r>
    </w:p>
    <w:p>
      <w:pPr>
        <w:spacing w:after="78" w:afterLines="25" w:line="276" w:lineRule="auto"/>
        <w:rPr>
          <w:rFonts w:ascii="宋体" w:hAnsi="宋体"/>
          <w:sz w:val="22"/>
          <w:szCs w:val="22"/>
          <w:lang w:val="en-GB"/>
        </w:rPr>
      </w:pPr>
      <w:bookmarkStart w:id="196" w:name="_Toc188869284"/>
      <w:r>
        <w:rPr>
          <w:rFonts w:hint="eastAsia" w:ascii="宋体" w:hAnsi="宋体"/>
          <w:sz w:val="22"/>
          <w:szCs w:val="22"/>
        </w:rPr>
        <w:t>21.3  投标人的修改文件应按照本招标文件的规定进行编制、密封、标记和提交，并在密封袋上注明“投标修改”。</w:t>
      </w:r>
    </w:p>
    <w:p>
      <w:pPr>
        <w:spacing w:after="78" w:afterLines="25" w:line="276" w:lineRule="auto"/>
        <w:rPr>
          <w:rFonts w:ascii="宋体" w:hAnsi="宋体"/>
          <w:sz w:val="22"/>
          <w:szCs w:val="22"/>
        </w:rPr>
      </w:pPr>
      <w:r>
        <w:rPr>
          <w:rFonts w:hint="eastAsia" w:ascii="宋体" w:hAnsi="宋体"/>
          <w:sz w:val="22"/>
          <w:szCs w:val="22"/>
        </w:rPr>
        <w:t>21.4  投标截止时间之后至投标文件有效期终止之前，投标人不得要求撤回其投标。在此期间撤回投标的，其投标担保将会被没收。</w:t>
      </w:r>
    </w:p>
    <w:p>
      <w:pPr>
        <w:spacing w:after="78" w:afterLines="25" w:line="276" w:lineRule="auto"/>
        <w:rPr>
          <w:rFonts w:ascii="宋体" w:hAnsi="宋体"/>
          <w:sz w:val="22"/>
          <w:szCs w:val="22"/>
        </w:rPr>
      </w:pPr>
      <w:r>
        <w:rPr>
          <w:rFonts w:hint="eastAsia" w:ascii="宋体" w:hAnsi="宋体"/>
          <w:sz w:val="22"/>
          <w:szCs w:val="22"/>
        </w:rPr>
        <w:t>21.5  评标结束后，不论中标与否，投标人均不得收回投标文件。</w:t>
      </w:r>
    </w:p>
    <w:bookmarkEnd w:id="196"/>
    <w:p>
      <w:pPr>
        <w:keepNext/>
        <w:keepLines/>
        <w:spacing w:line="360" w:lineRule="auto"/>
        <w:jc w:val="center"/>
        <w:outlineLvl w:val="2"/>
        <w:rPr>
          <w:rFonts w:ascii="宋体" w:hAnsi="宋体"/>
          <w:b/>
          <w:sz w:val="22"/>
          <w:szCs w:val="22"/>
        </w:rPr>
      </w:pPr>
      <w:bookmarkStart w:id="197" w:name="_Toc201401579"/>
      <w:bookmarkStart w:id="198" w:name="_Toc201997840"/>
      <w:bookmarkStart w:id="199" w:name="_Toc36556799"/>
      <w:r>
        <w:rPr>
          <w:rFonts w:hint="eastAsia" w:ascii="宋体" w:hAnsi="宋体"/>
          <w:b/>
          <w:sz w:val="22"/>
          <w:szCs w:val="22"/>
        </w:rPr>
        <w:t>五、开  标</w:t>
      </w:r>
      <w:bookmarkEnd w:id="157"/>
      <w:bookmarkEnd w:id="197"/>
      <w:bookmarkEnd w:id="198"/>
      <w:bookmarkEnd w:id="199"/>
    </w:p>
    <w:p>
      <w:pPr>
        <w:spacing w:after="78" w:afterLines="25" w:line="276" w:lineRule="auto"/>
        <w:rPr>
          <w:rFonts w:ascii="宋体" w:hAnsi="宋体"/>
          <w:b/>
          <w:sz w:val="22"/>
          <w:szCs w:val="22"/>
        </w:rPr>
      </w:pPr>
      <w:bookmarkStart w:id="200" w:name="_Toc201401388"/>
      <w:bookmarkStart w:id="201" w:name="_Toc201401580"/>
      <w:bookmarkStart w:id="202" w:name="_Toc201997841"/>
      <w:bookmarkStart w:id="203" w:name="_Toc98817939"/>
      <w:bookmarkStart w:id="204" w:name="_Toc148329806"/>
      <w:bookmarkStart w:id="205" w:name="_Toc143658460"/>
      <w:bookmarkStart w:id="206" w:name="_Toc134852027"/>
      <w:bookmarkStart w:id="207" w:name="_Toc135666820"/>
      <w:bookmarkStart w:id="208" w:name="_Toc148778162"/>
      <w:bookmarkStart w:id="209" w:name="_Toc148779957"/>
      <w:bookmarkStart w:id="210" w:name="_Toc148954469"/>
      <w:bookmarkStart w:id="211" w:name="_Toc148413305"/>
      <w:bookmarkStart w:id="212" w:name="_Toc148780243"/>
      <w:bookmarkStart w:id="213" w:name="_Toc135666633"/>
      <w:bookmarkStart w:id="214" w:name="_Toc157847825"/>
      <w:bookmarkStart w:id="215" w:name="_Toc148954864"/>
      <w:bookmarkStart w:id="216" w:name="_Toc163530307"/>
      <w:bookmarkStart w:id="217" w:name="_Toc187729585"/>
      <w:bookmarkStart w:id="218" w:name="_Toc188869286"/>
      <w:r>
        <w:rPr>
          <w:rFonts w:hint="eastAsia" w:ascii="宋体" w:hAnsi="宋体"/>
          <w:b/>
          <w:sz w:val="22"/>
          <w:szCs w:val="22"/>
        </w:rPr>
        <w:t>22．　开标</w:t>
      </w:r>
      <w:bookmarkEnd w:id="200"/>
      <w:bookmarkEnd w:id="201"/>
      <w:bookmarkEnd w:id="202"/>
    </w:p>
    <w:p>
      <w:pPr>
        <w:spacing w:after="78" w:afterLines="25" w:line="276" w:lineRule="auto"/>
        <w:rPr>
          <w:rFonts w:ascii="宋体" w:hAnsi="宋体"/>
          <w:sz w:val="22"/>
          <w:szCs w:val="22"/>
        </w:rPr>
      </w:pPr>
      <w:bookmarkStart w:id="219" w:name="_Toc201401581"/>
      <w:bookmarkStart w:id="220" w:name="_Toc201997842"/>
      <w:bookmarkStart w:id="221" w:name="_Toc201401389"/>
      <w:r>
        <w:rPr>
          <w:rFonts w:hint="eastAsia" w:ascii="宋体" w:hAnsi="宋体"/>
          <w:sz w:val="22"/>
          <w:szCs w:val="22"/>
        </w:rPr>
        <w:t>22.1  采购人在“投标须知前附表”中规定的时间、地点组织公开开标。邀请所有投标人代表参加。不参加开标会的投标人，视为其认可开标程序和结果。</w:t>
      </w:r>
      <w:bookmarkEnd w:id="219"/>
      <w:bookmarkEnd w:id="220"/>
      <w:bookmarkEnd w:id="221"/>
    </w:p>
    <w:p>
      <w:pPr>
        <w:spacing w:after="78" w:afterLines="25" w:line="276" w:lineRule="auto"/>
        <w:rPr>
          <w:rFonts w:ascii="宋体" w:hAnsi="宋体"/>
          <w:sz w:val="22"/>
          <w:szCs w:val="22"/>
          <w:u w:val="single"/>
          <w:shd w:val="pct10" w:color="auto" w:fill="FFFFFF"/>
        </w:rPr>
      </w:pPr>
      <w:bookmarkStart w:id="222" w:name="_Toc201401390"/>
      <w:bookmarkStart w:id="223" w:name="_Toc201401582"/>
      <w:bookmarkStart w:id="224" w:name="_Toc201997843"/>
      <w:r>
        <w:rPr>
          <w:rFonts w:hint="eastAsia" w:ascii="宋体" w:hAnsi="宋体"/>
          <w:sz w:val="22"/>
          <w:szCs w:val="22"/>
        </w:rPr>
        <w:t>22.2  参加开标会议的投标人只委派一名代表，且必须是本单位法定代表人或授权代表，参加会议人员须提供相应的授权委托书。</w:t>
      </w:r>
    </w:p>
    <w:bookmarkEnd w:id="222"/>
    <w:bookmarkEnd w:id="223"/>
    <w:bookmarkEnd w:id="224"/>
    <w:p>
      <w:pPr>
        <w:spacing w:after="78" w:afterLines="25" w:line="276" w:lineRule="auto"/>
        <w:rPr>
          <w:rFonts w:ascii="宋体" w:hAnsi="宋体"/>
          <w:sz w:val="22"/>
          <w:szCs w:val="22"/>
        </w:rPr>
      </w:pPr>
      <w:r>
        <w:rPr>
          <w:rFonts w:hint="eastAsia" w:ascii="宋体" w:hAnsi="宋体"/>
          <w:sz w:val="22"/>
          <w:szCs w:val="22"/>
        </w:rPr>
        <w:t>22.3  开标会由采购代理主持，开标程序如下：</w:t>
      </w:r>
    </w:p>
    <w:p>
      <w:pPr>
        <w:spacing w:after="78" w:afterLines="25" w:line="276" w:lineRule="auto"/>
        <w:rPr>
          <w:rFonts w:ascii="宋体" w:hAnsi="宋体"/>
          <w:sz w:val="22"/>
          <w:szCs w:val="22"/>
        </w:rPr>
      </w:pPr>
      <w:r>
        <w:rPr>
          <w:rFonts w:hint="eastAsia" w:ascii="宋体" w:hAnsi="宋体"/>
          <w:sz w:val="22"/>
          <w:szCs w:val="22"/>
        </w:rPr>
        <w:t xml:space="preserve">22.3.1采购代理核对法人代表或其授权代表身份证明，若不能提供相应的身份证明或不相符，则不能参与开标会议； </w:t>
      </w:r>
    </w:p>
    <w:p>
      <w:pPr>
        <w:spacing w:after="78" w:afterLines="25" w:line="276" w:lineRule="auto"/>
        <w:rPr>
          <w:rFonts w:ascii="宋体" w:hAnsi="宋体"/>
          <w:sz w:val="22"/>
          <w:szCs w:val="22"/>
        </w:rPr>
      </w:pPr>
      <w:r>
        <w:rPr>
          <w:rFonts w:hint="eastAsia" w:ascii="宋体" w:hAnsi="宋体"/>
          <w:sz w:val="22"/>
          <w:szCs w:val="22"/>
        </w:rPr>
        <w:t>22.3.2采购代理检查投标文件的密封及标识情况，在确认无误后当众拆封；</w:t>
      </w:r>
    </w:p>
    <w:p>
      <w:pPr>
        <w:spacing w:after="78" w:afterLines="25" w:line="276" w:lineRule="auto"/>
        <w:rPr>
          <w:rFonts w:ascii="宋体" w:hAnsi="宋体"/>
          <w:sz w:val="22"/>
          <w:szCs w:val="22"/>
        </w:rPr>
      </w:pPr>
      <w:r>
        <w:rPr>
          <w:rFonts w:hint="eastAsia" w:ascii="宋体" w:hAnsi="宋体"/>
          <w:sz w:val="22"/>
          <w:szCs w:val="22"/>
        </w:rPr>
        <w:t>22.3.3 采购代理检查投标人是否按“投标须知前附表”规定提交了投标担保，如投标人未按规定提交投标保证金，则不接受其投标；</w:t>
      </w:r>
    </w:p>
    <w:p>
      <w:pPr>
        <w:spacing w:after="78" w:afterLines="25" w:line="276" w:lineRule="auto"/>
        <w:rPr>
          <w:rFonts w:ascii="宋体" w:hAnsi="宋体"/>
          <w:sz w:val="22"/>
          <w:szCs w:val="22"/>
        </w:rPr>
      </w:pPr>
      <w:r>
        <w:rPr>
          <w:rFonts w:hint="eastAsia" w:ascii="宋体" w:hAnsi="宋体"/>
          <w:sz w:val="22"/>
          <w:szCs w:val="22"/>
        </w:rPr>
        <w:t>22.3.4 采购代理检查投标文件份数及签章等情况；</w:t>
      </w:r>
    </w:p>
    <w:p>
      <w:pPr>
        <w:spacing w:after="78" w:afterLines="25" w:line="276" w:lineRule="auto"/>
        <w:rPr>
          <w:rFonts w:ascii="宋体" w:hAnsi="宋体"/>
          <w:sz w:val="22"/>
          <w:szCs w:val="22"/>
        </w:rPr>
      </w:pPr>
      <w:r>
        <w:rPr>
          <w:rFonts w:hint="eastAsia" w:ascii="宋体" w:hAnsi="宋体"/>
          <w:sz w:val="22"/>
          <w:szCs w:val="22"/>
        </w:rPr>
        <w:t>22.3.5 宣读投标文件中“开标一览表”的内容；</w:t>
      </w:r>
    </w:p>
    <w:p>
      <w:pPr>
        <w:spacing w:after="78" w:afterLines="25" w:line="276" w:lineRule="auto"/>
        <w:rPr>
          <w:rFonts w:ascii="宋体" w:hAnsi="宋体"/>
          <w:sz w:val="22"/>
          <w:szCs w:val="22"/>
        </w:rPr>
      </w:pPr>
      <w:r>
        <w:rPr>
          <w:rFonts w:hint="eastAsia" w:ascii="宋体" w:hAnsi="宋体"/>
          <w:sz w:val="22"/>
          <w:szCs w:val="22"/>
        </w:rPr>
        <w:t>22.3.6 采购代理认为合适的其他内容。</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Pr>
        <w:spacing w:after="78" w:afterLines="25" w:line="276" w:lineRule="auto"/>
        <w:rPr>
          <w:rFonts w:ascii="宋体" w:hAnsi="宋体"/>
          <w:sz w:val="22"/>
          <w:szCs w:val="22"/>
        </w:rPr>
      </w:pPr>
      <w:r>
        <w:rPr>
          <w:rFonts w:hint="eastAsia" w:ascii="宋体" w:hAnsi="宋体"/>
          <w:sz w:val="22"/>
          <w:szCs w:val="22"/>
        </w:rPr>
        <w:t>22.4  采购代理将把开标过程记录在《开标情况一览表》，并由投标人签字确认。投标人拒绝签字的，视为同意开标程序和结果。</w:t>
      </w:r>
    </w:p>
    <w:p>
      <w:pPr>
        <w:spacing w:after="78" w:afterLines="25" w:line="276" w:lineRule="auto"/>
        <w:rPr>
          <w:rFonts w:ascii="宋体" w:hAnsi="宋体"/>
          <w:sz w:val="22"/>
          <w:szCs w:val="22"/>
        </w:rPr>
      </w:pPr>
      <w:r>
        <w:rPr>
          <w:rFonts w:hint="eastAsia" w:ascii="宋体" w:hAnsi="宋体"/>
          <w:sz w:val="22"/>
          <w:szCs w:val="22"/>
        </w:rPr>
        <w:t>22.5  开标会结束，采购代理将《开标情况一览表》以及其他评标资料一并送交评标委员会。</w:t>
      </w:r>
    </w:p>
    <w:p>
      <w:pPr>
        <w:spacing w:after="78" w:afterLines="25" w:line="276" w:lineRule="auto"/>
        <w:rPr>
          <w:rFonts w:ascii="宋体" w:hAnsi="宋体"/>
          <w:b/>
          <w:sz w:val="22"/>
          <w:szCs w:val="22"/>
        </w:rPr>
      </w:pPr>
      <w:bookmarkStart w:id="225" w:name="_Toc201401587"/>
      <w:bookmarkStart w:id="226" w:name="_Toc201997848"/>
      <w:bookmarkStart w:id="227" w:name="_Toc201401395"/>
      <w:r>
        <w:rPr>
          <w:rFonts w:hint="eastAsia" w:ascii="宋体" w:hAnsi="宋体"/>
          <w:b/>
          <w:sz w:val="22"/>
          <w:szCs w:val="22"/>
        </w:rPr>
        <w:t>23．  投标文件的受理</w:t>
      </w:r>
      <w:bookmarkEnd w:id="225"/>
      <w:bookmarkEnd w:id="226"/>
      <w:bookmarkEnd w:id="227"/>
    </w:p>
    <w:p>
      <w:pPr>
        <w:spacing w:after="78" w:afterLines="25" w:line="276" w:lineRule="auto"/>
        <w:rPr>
          <w:rFonts w:ascii="宋体" w:hAnsi="宋体"/>
          <w:sz w:val="22"/>
          <w:szCs w:val="22"/>
        </w:rPr>
      </w:pPr>
      <w:r>
        <w:rPr>
          <w:rFonts w:hint="eastAsia" w:ascii="宋体" w:hAnsi="宋体"/>
          <w:sz w:val="22"/>
          <w:szCs w:val="22"/>
        </w:rPr>
        <w:t>23.1  当投标文件有下列情形之一的，采购代理将不予受理：</w:t>
      </w:r>
    </w:p>
    <w:p>
      <w:pPr>
        <w:spacing w:after="78" w:afterLines="25" w:line="276" w:lineRule="auto"/>
        <w:rPr>
          <w:rFonts w:ascii="宋体" w:hAnsi="宋体"/>
          <w:sz w:val="22"/>
          <w:szCs w:val="22"/>
        </w:rPr>
      </w:pPr>
      <w:r>
        <w:rPr>
          <w:rFonts w:hint="eastAsia" w:ascii="宋体" w:hAnsi="宋体"/>
          <w:sz w:val="22"/>
          <w:szCs w:val="22"/>
        </w:rPr>
        <w:t>23.1.1  在投标截止时间以后</w:t>
      </w:r>
      <w:r>
        <w:rPr>
          <w:rFonts w:ascii="宋体" w:hAnsi="宋体"/>
          <w:sz w:val="22"/>
          <w:szCs w:val="22"/>
        </w:rPr>
        <w:t>送达的</w:t>
      </w:r>
      <w:r>
        <w:rPr>
          <w:rFonts w:hint="eastAsia" w:ascii="宋体" w:hAnsi="宋体"/>
          <w:sz w:val="22"/>
          <w:szCs w:val="22"/>
        </w:rPr>
        <w:t>，</w:t>
      </w:r>
      <w:r>
        <w:rPr>
          <w:rFonts w:ascii="宋体" w:hAnsi="宋体"/>
          <w:sz w:val="22"/>
          <w:szCs w:val="22"/>
        </w:rPr>
        <w:t>或者未送达指定地点的</w:t>
      </w:r>
      <w:r>
        <w:rPr>
          <w:rFonts w:hint="eastAsia" w:ascii="宋体" w:hAnsi="宋体"/>
          <w:sz w:val="22"/>
          <w:szCs w:val="22"/>
        </w:rPr>
        <w:t>；</w:t>
      </w:r>
    </w:p>
    <w:p>
      <w:pPr>
        <w:spacing w:after="78" w:afterLines="25" w:line="276" w:lineRule="auto"/>
        <w:rPr>
          <w:rFonts w:ascii="宋体" w:hAnsi="宋体"/>
          <w:sz w:val="22"/>
          <w:szCs w:val="22"/>
        </w:rPr>
      </w:pPr>
      <w:r>
        <w:rPr>
          <w:rFonts w:hint="eastAsia" w:ascii="宋体" w:hAnsi="宋体"/>
          <w:sz w:val="22"/>
          <w:szCs w:val="22"/>
        </w:rPr>
        <w:t xml:space="preserve">23.1.2  </w:t>
      </w:r>
      <w:r>
        <w:rPr>
          <w:rFonts w:hint="eastAsia" w:ascii="宋体" w:hAnsi="宋体"/>
          <w:bCs/>
          <w:sz w:val="22"/>
          <w:szCs w:val="22"/>
        </w:rPr>
        <w:t>投标文件的有关内容未按招标文件规定加盖投标人公章的，或未经法定代表人或其委托代理人签字的，或由委托代理人签字但未随投标文件一起提供“投标文件签署授权委托书”原件的；</w:t>
      </w:r>
    </w:p>
    <w:p>
      <w:pPr>
        <w:spacing w:after="78" w:afterLines="25" w:line="276" w:lineRule="auto"/>
        <w:rPr>
          <w:rFonts w:ascii="宋体" w:hAnsi="宋体"/>
          <w:sz w:val="22"/>
          <w:szCs w:val="22"/>
        </w:rPr>
      </w:pPr>
      <w:r>
        <w:rPr>
          <w:rFonts w:hint="eastAsia" w:ascii="宋体" w:hAnsi="宋体"/>
          <w:sz w:val="22"/>
          <w:szCs w:val="22"/>
        </w:rPr>
        <w:t>23.1.3  投标总报价超过财政预算限额的；</w:t>
      </w:r>
    </w:p>
    <w:p>
      <w:pPr>
        <w:spacing w:after="78" w:afterLines="25" w:line="276" w:lineRule="auto"/>
        <w:rPr>
          <w:rFonts w:ascii="宋体" w:hAnsi="宋体"/>
          <w:sz w:val="22"/>
          <w:szCs w:val="22"/>
        </w:rPr>
      </w:pPr>
      <w:r>
        <w:rPr>
          <w:rFonts w:hint="eastAsia" w:ascii="宋体" w:hAnsi="宋体"/>
          <w:bCs/>
          <w:sz w:val="22"/>
          <w:szCs w:val="22"/>
        </w:rPr>
        <w:t xml:space="preserve">23.1.4  </w:t>
      </w:r>
      <w:r>
        <w:rPr>
          <w:rFonts w:hint="eastAsia" w:ascii="宋体" w:hAnsi="宋体"/>
          <w:sz w:val="22"/>
          <w:szCs w:val="22"/>
        </w:rPr>
        <w:t>投标文件承诺的供货期或工期等时间要求不满足招标文件要求的；</w:t>
      </w:r>
    </w:p>
    <w:p>
      <w:pPr>
        <w:spacing w:after="78" w:afterLines="25" w:line="276" w:lineRule="auto"/>
        <w:rPr>
          <w:rFonts w:ascii="宋体" w:hAnsi="宋体"/>
          <w:sz w:val="22"/>
          <w:szCs w:val="22"/>
        </w:rPr>
      </w:pPr>
      <w:r>
        <w:rPr>
          <w:rFonts w:hint="eastAsia" w:ascii="宋体" w:hAnsi="宋体"/>
          <w:sz w:val="22"/>
          <w:szCs w:val="22"/>
        </w:rPr>
        <w:t>23.1.5  投标文件的有关内容</w:t>
      </w:r>
      <w:r>
        <w:rPr>
          <w:rFonts w:hint="eastAsia" w:ascii="宋体" w:hAnsi="宋体"/>
          <w:bCs/>
          <w:sz w:val="22"/>
          <w:szCs w:val="22"/>
        </w:rPr>
        <w:t>未按招标文件规定进行填写、签字、盖章的或</w:t>
      </w:r>
      <w:r>
        <w:rPr>
          <w:rFonts w:hint="eastAsia" w:ascii="宋体" w:hAnsi="宋体"/>
          <w:sz w:val="22"/>
          <w:szCs w:val="22"/>
        </w:rPr>
        <w:t>未随投标文件一起提供“投标文件签署授权委托书”的（由法人签字的除外）</w:t>
      </w:r>
      <w:r>
        <w:rPr>
          <w:rFonts w:hint="eastAsia" w:ascii="宋体" w:hAnsi="宋体"/>
          <w:bCs/>
          <w:sz w:val="22"/>
          <w:szCs w:val="22"/>
        </w:rPr>
        <w:t>。</w:t>
      </w:r>
    </w:p>
    <w:p>
      <w:pPr>
        <w:spacing w:after="78" w:afterLines="25" w:line="276" w:lineRule="auto"/>
        <w:rPr>
          <w:rFonts w:ascii="宋体" w:hAnsi="宋体"/>
          <w:sz w:val="22"/>
          <w:szCs w:val="22"/>
        </w:rPr>
      </w:pPr>
      <w:r>
        <w:rPr>
          <w:rFonts w:hint="eastAsia" w:ascii="宋体" w:hAnsi="宋体"/>
          <w:bCs/>
          <w:kern w:val="10"/>
          <w:sz w:val="22"/>
          <w:szCs w:val="22"/>
        </w:rPr>
        <w:t>23.2  采购代理对投标文件进行审核后，未出现本节第23.1条所载明的情形的，其投标文件将视为有</w:t>
      </w:r>
      <w:r>
        <w:rPr>
          <w:rFonts w:hint="eastAsia" w:ascii="宋体" w:hAnsi="宋体"/>
          <w:sz w:val="22"/>
          <w:szCs w:val="22"/>
        </w:rPr>
        <w:t>效投标，交评标委员会进行评审。</w:t>
      </w:r>
    </w:p>
    <w:p>
      <w:pPr>
        <w:keepNext/>
        <w:keepLines/>
        <w:spacing w:line="360" w:lineRule="auto"/>
        <w:jc w:val="center"/>
        <w:outlineLvl w:val="2"/>
        <w:rPr>
          <w:rFonts w:ascii="宋体" w:hAnsi="宋体"/>
          <w:b/>
          <w:sz w:val="22"/>
          <w:szCs w:val="22"/>
        </w:rPr>
      </w:pPr>
      <w:bookmarkStart w:id="228" w:name="_Toc36556800"/>
      <w:bookmarkStart w:id="229" w:name="_Toc201401588"/>
      <w:bookmarkStart w:id="230" w:name="_Toc201997849"/>
      <w:r>
        <w:rPr>
          <w:rFonts w:hint="eastAsia" w:ascii="宋体" w:hAnsi="宋体"/>
          <w:b/>
          <w:sz w:val="22"/>
          <w:szCs w:val="22"/>
        </w:rPr>
        <w:t>六、评  标</w:t>
      </w:r>
      <w:bookmarkEnd w:id="228"/>
      <w:bookmarkEnd w:id="229"/>
      <w:bookmarkEnd w:id="230"/>
    </w:p>
    <w:p>
      <w:pPr>
        <w:spacing w:after="78" w:afterLines="25" w:line="276" w:lineRule="auto"/>
        <w:rPr>
          <w:rFonts w:ascii="宋体" w:hAnsi="宋体"/>
          <w:b/>
          <w:sz w:val="22"/>
          <w:szCs w:val="22"/>
        </w:rPr>
      </w:pPr>
      <w:bookmarkStart w:id="231" w:name="_Toc201401397"/>
      <w:bookmarkStart w:id="232" w:name="_Toc201401589"/>
      <w:bookmarkStart w:id="233" w:name="_Toc201997850"/>
      <w:bookmarkStart w:id="234" w:name="_Toc188869300"/>
      <w:r>
        <w:rPr>
          <w:rFonts w:hint="eastAsia" w:ascii="宋体" w:hAnsi="宋体"/>
          <w:b/>
          <w:sz w:val="22"/>
          <w:szCs w:val="22"/>
        </w:rPr>
        <w:t>24．  评标委员会和评标</w:t>
      </w:r>
      <w:bookmarkEnd w:id="231"/>
      <w:bookmarkEnd w:id="232"/>
      <w:bookmarkEnd w:id="233"/>
    </w:p>
    <w:p>
      <w:pPr>
        <w:spacing w:after="78" w:afterLines="25" w:line="276" w:lineRule="auto"/>
        <w:rPr>
          <w:rFonts w:ascii="宋体" w:hAnsi="宋体"/>
          <w:kern w:val="0"/>
          <w:sz w:val="22"/>
          <w:szCs w:val="22"/>
        </w:rPr>
      </w:pPr>
      <w:r>
        <w:rPr>
          <w:rFonts w:hint="eastAsia" w:ascii="宋体" w:hAnsi="宋体"/>
          <w:kern w:val="0"/>
          <w:sz w:val="22"/>
          <w:szCs w:val="22"/>
        </w:rPr>
        <w:t>24.1  评标委员会的组建：采购代理依法组建评标委员会，负责该招标项目的评标活动。与本招标项目投标人有利害关系的人不得进入评标委员会；已经进入的应当更换。采购单位代表须持本单位签发的《评标授权书》参加评标，《评标授权书》模板可以从深圳政府采购网</w:t>
      </w:r>
      <w:r>
        <w:fldChar w:fldCharType="begin"/>
      </w:r>
      <w:r>
        <w:instrText xml:space="preserve"> HYPERLINK "http://www.szzfcg.cn" </w:instrText>
      </w:r>
      <w:r>
        <w:fldChar w:fldCharType="separate"/>
      </w:r>
      <w:r>
        <w:rPr>
          <w:rFonts w:hint="eastAsia" w:ascii="宋体" w:hAnsi="宋体"/>
          <w:kern w:val="0"/>
          <w:sz w:val="22"/>
          <w:szCs w:val="22"/>
        </w:rPr>
        <w:t>www.szzfcg.cn</w:t>
      </w:r>
      <w:r>
        <w:rPr>
          <w:rFonts w:hint="eastAsia" w:ascii="宋体" w:hAnsi="宋体"/>
          <w:kern w:val="0"/>
          <w:sz w:val="22"/>
          <w:szCs w:val="22"/>
        </w:rPr>
        <w:fldChar w:fldCharType="end"/>
      </w:r>
      <w:r>
        <w:rPr>
          <w:rFonts w:hint="eastAsia" w:ascii="宋体" w:hAnsi="宋体"/>
          <w:kern w:val="0"/>
          <w:sz w:val="22"/>
          <w:szCs w:val="22"/>
        </w:rPr>
        <w:t>首页“通用表格”处下载。</w:t>
      </w:r>
    </w:p>
    <w:p>
      <w:pPr>
        <w:spacing w:after="78" w:afterLines="25" w:line="276" w:lineRule="auto"/>
        <w:rPr>
          <w:rFonts w:ascii="宋体" w:hAnsi="宋体"/>
          <w:kern w:val="0"/>
          <w:sz w:val="22"/>
          <w:szCs w:val="22"/>
        </w:rPr>
      </w:pPr>
      <w:r>
        <w:rPr>
          <w:rFonts w:hint="eastAsia" w:ascii="宋体" w:hAnsi="宋体"/>
          <w:kern w:val="0"/>
          <w:sz w:val="22"/>
          <w:szCs w:val="22"/>
        </w:rPr>
        <w:t>24.2  评标委员会应当认真研究招标文件，至少应了解熟悉以下内容：</w:t>
      </w:r>
    </w:p>
    <w:p>
      <w:pPr>
        <w:spacing w:after="78" w:afterLines="25" w:line="276" w:lineRule="auto"/>
        <w:rPr>
          <w:rFonts w:ascii="宋体" w:hAnsi="宋体"/>
          <w:kern w:val="0"/>
          <w:sz w:val="22"/>
          <w:szCs w:val="22"/>
        </w:rPr>
      </w:pPr>
      <w:r>
        <w:rPr>
          <w:rFonts w:hint="eastAsia" w:ascii="宋体" w:hAnsi="宋体"/>
          <w:kern w:val="0"/>
          <w:sz w:val="22"/>
          <w:szCs w:val="22"/>
        </w:rPr>
        <w:t>（1）招标的目的；</w:t>
      </w:r>
    </w:p>
    <w:p>
      <w:pPr>
        <w:spacing w:after="78" w:afterLines="25" w:line="276" w:lineRule="auto"/>
        <w:rPr>
          <w:rFonts w:ascii="宋体" w:hAnsi="宋体"/>
          <w:kern w:val="0"/>
          <w:sz w:val="22"/>
          <w:szCs w:val="22"/>
        </w:rPr>
      </w:pPr>
      <w:r>
        <w:rPr>
          <w:rFonts w:hint="eastAsia" w:ascii="宋体" w:hAnsi="宋体"/>
          <w:kern w:val="0"/>
          <w:sz w:val="22"/>
          <w:szCs w:val="22"/>
        </w:rPr>
        <w:t>（2）采购项目需求的范围和性质；</w:t>
      </w:r>
    </w:p>
    <w:p>
      <w:pPr>
        <w:spacing w:after="78" w:afterLines="25" w:line="276" w:lineRule="auto"/>
        <w:rPr>
          <w:rFonts w:ascii="宋体" w:hAnsi="宋体"/>
          <w:kern w:val="0"/>
          <w:sz w:val="22"/>
          <w:szCs w:val="22"/>
        </w:rPr>
      </w:pPr>
      <w:r>
        <w:rPr>
          <w:rFonts w:hint="eastAsia" w:ascii="宋体" w:hAnsi="宋体"/>
          <w:kern w:val="0"/>
          <w:sz w:val="22"/>
          <w:szCs w:val="22"/>
        </w:rPr>
        <w:t>（3）招标文件规定的投标人的资质、财政预算限额、商务条款；</w:t>
      </w:r>
    </w:p>
    <w:p>
      <w:pPr>
        <w:spacing w:after="78" w:afterLines="25" w:line="276" w:lineRule="auto"/>
        <w:rPr>
          <w:rFonts w:ascii="宋体" w:hAnsi="宋体"/>
          <w:kern w:val="0"/>
          <w:sz w:val="22"/>
          <w:szCs w:val="22"/>
        </w:rPr>
      </w:pPr>
      <w:r>
        <w:rPr>
          <w:rFonts w:hint="eastAsia" w:ascii="宋体" w:hAnsi="宋体"/>
          <w:kern w:val="0"/>
          <w:sz w:val="22"/>
          <w:szCs w:val="22"/>
        </w:rPr>
        <w:t>（4）招标文件规定的评标程序、评标方法和评标因素.</w:t>
      </w:r>
    </w:p>
    <w:p>
      <w:pPr>
        <w:spacing w:after="78" w:afterLines="25" w:line="276" w:lineRule="auto"/>
        <w:rPr>
          <w:rFonts w:ascii="宋体" w:hAnsi="宋体"/>
          <w:kern w:val="0"/>
          <w:sz w:val="22"/>
          <w:szCs w:val="22"/>
        </w:rPr>
      </w:pPr>
      <w:r>
        <w:rPr>
          <w:rFonts w:hint="eastAsia" w:ascii="宋体" w:hAnsi="宋体"/>
          <w:kern w:val="0"/>
          <w:sz w:val="22"/>
          <w:szCs w:val="22"/>
        </w:rPr>
        <w:t>24.3  评标委员会的职责：评标委员会应根据招标文件规定的评标方法和标准，对投标文件进行系统地评审。评标委员会可以根据评审结果向采购人推荐中标候选人，也可以根据采购人的授权直接确定中标人。</w:t>
      </w:r>
    </w:p>
    <w:p>
      <w:pPr>
        <w:spacing w:after="78" w:afterLines="25" w:line="276" w:lineRule="auto"/>
        <w:rPr>
          <w:rFonts w:ascii="宋体" w:hAnsi="宋体"/>
          <w:kern w:val="0"/>
          <w:sz w:val="22"/>
          <w:szCs w:val="22"/>
        </w:rPr>
      </w:pPr>
      <w:r>
        <w:rPr>
          <w:rFonts w:hint="eastAsia" w:ascii="宋体" w:hAnsi="宋体"/>
          <w:kern w:val="0"/>
          <w:sz w:val="22"/>
          <w:szCs w:val="22"/>
        </w:rPr>
        <w:t>24.4  评标委员会的原则：</w:t>
      </w:r>
      <w:r>
        <w:rPr>
          <w:rFonts w:ascii="宋体" w:hAnsi="宋体"/>
          <w:kern w:val="0"/>
          <w:sz w:val="22"/>
          <w:szCs w:val="22"/>
        </w:rPr>
        <w:t>评标活动</w:t>
      </w:r>
      <w:r>
        <w:rPr>
          <w:rFonts w:hint="eastAsia" w:ascii="宋体" w:hAnsi="宋体"/>
          <w:kern w:val="0"/>
          <w:sz w:val="22"/>
          <w:szCs w:val="22"/>
        </w:rPr>
        <w:t>应</w:t>
      </w:r>
      <w:r>
        <w:rPr>
          <w:rFonts w:ascii="宋体" w:hAnsi="宋体"/>
          <w:kern w:val="0"/>
          <w:sz w:val="22"/>
          <w:szCs w:val="22"/>
        </w:rPr>
        <w:t>遵循公开、公正、公平、科学、择优的原则。</w:t>
      </w:r>
      <w:r>
        <w:rPr>
          <w:rFonts w:hint="eastAsia" w:ascii="宋体" w:hAnsi="宋体"/>
          <w:kern w:val="0"/>
          <w:sz w:val="22"/>
          <w:szCs w:val="22"/>
        </w:rPr>
        <w:t>评标委员会的评审应实行少数服从多数的原则，经评标委员会成员记名表决半数以上通过的评标结果有效。</w:t>
      </w:r>
    </w:p>
    <w:p>
      <w:pPr>
        <w:spacing w:after="78" w:afterLines="25" w:line="276" w:lineRule="auto"/>
        <w:rPr>
          <w:rFonts w:ascii="宋体" w:hAnsi="宋体"/>
          <w:sz w:val="22"/>
          <w:szCs w:val="22"/>
        </w:rPr>
      </w:pPr>
      <w:r>
        <w:rPr>
          <w:rFonts w:hint="eastAsia" w:ascii="宋体" w:hAnsi="宋体"/>
          <w:sz w:val="22"/>
          <w:szCs w:val="22"/>
        </w:rPr>
        <w:t>24.5  采购代理将向评标委员会提供以下资料，供评标使用：</w:t>
      </w:r>
    </w:p>
    <w:p>
      <w:pPr>
        <w:spacing w:after="78" w:afterLines="25" w:line="276" w:lineRule="auto"/>
        <w:rPr>
          <w:rFonts w:ascii="宋体" w:hAnsi="宋体"/>
          <w:sz w:val="22"/>
          <w:szCs w:val="22"/>
        </w:rPr>
      </w:pPr>
      <w:r>
        <w:rPr>
          <w:rFonts w:hint="eastAsia" w:ascii="宋体" w:hAnsi="宋体"/>
          <w:sz w:val="22"/>
          <w:szCs w:val="22"/>
        </w:rPr>
        <w:t>⑴ 招标文件，包括招标文件的补充、修改或澄清文件；</w:t>
      </w:r>
    </w:p>
    <w:p>
      <w:pPr>
        <w:spacing w:after="78" w:afterLines="25" w:line="276" w:lineRule="auto"/>
        <w:rPr>
          <w:rFonts w:ascii="宋体" w:hAnsi="宋体"/>
          <w:sz w:val="22"/>
          <w:szCs w:val="22"/>
        </w:rPr>
      </w:pPr>
      <w:r>
        <w:rPr>
          <w:rFonts w:hint="eastAsia" w:ascii="宋体" w:hAnsi="宋体"/>
          <w:sz w:val="22"/>
          <w:szCs w:val="22"/>
        </w:rPr>
        <w:t>⑵ 设计文件（如有）、技术文件等资料；</w:t>
      </w:r>
    </w:p>
    <w:p>
      <w:pPr>
        <w:spacing w:after="78" w:afterLines="25" w:line="276" w:lineRule="auto"/>
        <w:rPr>
          <w:rFonts w:ascii="宋体" w:hAnsi="宋体"/>
          <w:sz w:val="22"/>
          <w:szCs w:val="22"/>
        </w:rPr>
      </w:pPr>
      <w:r>
        <w:rPr>
          <w:rFonts w:hint="eastAsia" w:ascii="宋体" w:hAnsi="宋体"/>
          <w:sz w:val="22"/>
          <w:szCs w:val="22"/>
        </w:rPr>
        <w:t>⑶ 记录开标过程的《开标情况一览表》；</w:t>
      </w:r>
    </w:p>
    <w:p>
      <w:pPr>
        <w:spacing w:after="78" w:afterLines="25" w:line="276" w:lineRule="auto"/>
        <w:rPr>
          <w:rFonts w:ascii="宋体" w:hAnsi="宋体"/>
          <w:sz w:val="22"/>
          <w:szCs w:val="22"/>
        </w:rPr>
      </w:pPr>
      <w:r>
        <w:rPr>
          <w:rFonts w:hint="eastAsia" w:ascii="宋体" w:hAnsi="宋体"/>
          <w:sz w:val="22"/>
          <w:szCs w:val="22"/>
        </w:rPr>
        <w:t>⑷ 评标委员会需要的所有评分表格及其电子文档；</w:t>
      </w:r>
    </w:p>
    <w:p>
      <w:pPr>
        <w:spacing w:after="78" w:afterLines="25" w:line="276" w:lineRule="auto"/>
        <w:rPr>
          <w:rFonts w:ascii="宋体" w:hAnsi="宋体"/>
          <w:sz w:val="22"/>
          <w:szCs w:val="22"/>
        </w:rPr>
      </w:pPr>
      <w:r>
        <w:rPr>
          <w:rFonts w:hint="eastAsia" w:ascii="宋体" w:hAnsi="宋体"/>
          <w:sz w:val="22"/>
          <w:szCs w:val="22"/>
        </w:rPr>
        <w:t>⑸ 其他评标必须的资料。</w:t>
      </w:r>
    </w:p>
    <w:p>
      <w:pPr>
        <w:spacing w:after="78" w:afterLines="25" w:line="276" w:lineRule="auto"/>
        <w:rPr>
          <w:rFonts w:ascii="宋体" w:hAnsi="宋体"/>
          <w:b/>
          <w:sz w:val="22"/>
          <w:szCs w:val="22"/>
        </w:rPr>
      </w:pPr>
      <w:bookmarkStart w:id="235" w:name="_Toc201401590"/>
      <w:bookmarkStart w:id="236" w:name="_Toc201401398"/>
      <w:bookmarkStart w:id="237" w:name="_Toc201997851"/>
      <w:r>
        <w:rPr>
          <w:rFonts w:hint="eastAsia" w:ascii="宋体" w:hAnsi="宋体"/>
          <w:b/>
          <w:sz w:val="22"/>
          <w:szCs w:val="22"/>
        </w:rPr>
        <w:t>25．  投标文件的初步评审</w:t>
      </w:r>
      <w:bookmarkEnd w:id="235"/>
      <w:bookmarkEnd w:id="236"/>
      <w:bookmarkEnd w:id="237"/>
    </w:p>
    <w:p>
      <w:pPr>
        <w:spacing w:after="78" w:afterLines="25" w:line="276" w:lineRule="auto"/>
        <w:rPr>
          <w:rFonts w:ascii="宋体" w:hAnsi="宋体"/>
          <w:sz w:val="22"/>
          <w:szCs w:val="22"/>
        </w:rPr>
      </w:pPr>
      <w:r>
        <w:rPr>
          <w:rFonts w:hint="eastAsia" w:ascii="宋体" w:hAnsi="宋体"/>
          <w:kern w:val="0"/>
          <w:sz w:val="22"/>
          <w:szCs w:val="22"/>
        </w:rPr>
        <w:t xml:space="preserve">25.1  </w:t>
      </w:r>
      <w:r>
        <w:rPr>
          <w:rFonts w:hint="eastAsia" w:ascii="宋体" w:hAnsi="宋体"/>
          <w:sz w:val="22"/>
          <w:szCs w:val="22"/>
        </w:rPr>
        <w:t>由评标委员会进行投标文件的初步评审。</w:t>
      </w:r>
    </w:p>
    <w:p>
      <w:pPr>
        <w:spacing w:after="78" w:afterLines="25" w:line="276" w:lineRule="auto"/>
        <w:rPr>
          <w:rFonts w:ascii="宋体" w:hAnsi="宋体"/>
          <w:kern w:val="0"/>
          <w:sz w:val="22"/>
          <w:szCs w:val="22"/>
        </w:rPr>
      </w:pPr>
      <w:r>
        <w:rPr>
          <w:rFonts w:hint="eastAsia" w:ascii="宋体" w:hAnsi="宋体"/>
          <w:kern w:val="0"/>
          <w:sz w:val="22"/>
          <w:szCs w:val="22"/>
        </w:rPr>
        <w:t xml:space="preserve">25.2  </w:t>
      </w:r>
      <w:r>
        <w:rPr>
          <w:rFonts w:ascii="宋体" w:hAnsi="宋体"/>
          <w:sz w:val="22"/>
          <w:szCs w:val="22"/>
        </w:rPr>
        <w:t>投标文件有下列情形之一的，</w:t>
      </w:r>
      <w:r>
        <w:rPr>
          <w:rFonts w:hint="eastAsia" w:ascii="宋体" w:hAnsi="宋体"/>
          <w:sz w:val="22"/>
          <w:szCs w:val="22"/>
        </w:rPr>
        <w:t>初步评审不通过，应作无效标处理：</w:t>
      </w:r>
    </w:p>
    <w:p>
      <w:pPr>
        <w:spacing w:after="78" w:afterLines="25" w:line="276" w:lineRule="auto"/>
        <w:rPr>
          <w:rFonts w:ascii="宋体" w:hAnsi="宋体"/>
          <w:sz w:val="22"/>
          <w:szCs w:val="22"/>
        </w:rPr>
      </w:pPr>
      <w:r>
        <w:rPr>
          <w:rFonts w:hint="eastAsia" w:ascii="宋体" w:hAnsi="宋体"/>
          <w:kern w:val="0"/>
          <w:sz w:val="22"/>
          <w:szCs w:val="22"/>
        </w:rPr>
        <w:t>25.2.</w:t>
      </w:r>
      <w:r>
        <w:rPr>
          <w:rFonts w:hint="eastAsia" w:ascii="宋体" w:hAnsi="宋体"/>
          <w:sz w:val="22"/>
          <w:szCs w:val="22"/>
        </w:rPr>
        <w:t>1  采用投标保函形式的，</w:t>
      </w:r>
      <w:r>
        <w:rPr>
          <w:rFonts w:hint="eastAsia" w:ascii="宋体" w:hAnsi="宋体"/>
          <w:bCs/>
          <w:sz w:val="22"/>
          <w:szCs w:val="22"/>
        </w:rPr>
        <w:t>投标保函的内容不符合本招标文件要求的；</w:t>
      </w:r>
    </w:p>
    <w:p>
      <w:pPr>
        <w:spacing w:after="78" w:afterLines="25" w:line="276" w:lineRule="auto"/>
        <w:rPr>
          <w:rFonts w:ascii="宋体" w:hAnsi="宋体"/>
          <w:bCs/>
          <w:sz w:val="22"/>
          <w:szCs w:val="22"/>
        </w:rPr>
      </w:pPr>
      <w:r>
        <w:rPr>
          <w:rFonts w:hint="eastAsia" w:ascii="宋体" w:hAnsi="宋体"/>
          <w:kern w:val="0"/>
          <w:sz w:val="22"/>
          <w:szCs w:val="22"/>
        </w:rPr>
        <w:t>25.2.</w:t>
      </w:r>
      <w:r>
        <w:rPr>
          <w:rFonts w:hint="eastAsia" w:ascii="宋体" w:hAnsi="宋体"/>
          <w:sz w:val="22"/>
          <w:szCs w:val="22"/>
        </w:rPr>
        <w:t xml:space="preserve">2  </w:t>
      </w:r>
      <w:r>
        <w:rPr>
          <w:rFonts w:hint="eastAsia" w:ascii="宋体" w:hAnsi="宋体"/>
          <w:bCs/>
          <w:sz w:val="22"/>
          <w:szCs w:val="22"/>
        </w:rPr>
        <w:t>参加联合体的各成员再以自己的名义单独投标的，或同时参加</w:t>
      </w:r>
      <w:r>
        <w:rPr>
          <w:rFonts w:ascii="宋体" w:hAnsi="宋体"/>
          <w:bCs/>
          <w:sz w:val="22"/>
          <w:szCs w:val="22"/>
        </w:rPr>
        <w:t>两个</w:t>
      </w:r>
      <w:r>
        <w:rPr>
          <w:rFonts w:hint="eastAsia" w:ascii="宋体" w:hAnsi="宋体"/>
          <w:bCs/>
          <w:sz w:val="22"/>
          <w:szCs w:val="22"/>
        </w:rPr>
        <w:t>（含两个）以上以上的联合体投标的；</w:t>
      </w:r>
    </w:p>
    <w:p>
      <w:pPr>
        <w:spacing w:after="78" w:afterLines="25" w:line="276" w:lineRule="auto"/>
        <w:rPr>
          <w:rFonts w:ascii="宋体" w:hAnsi="宋体"/>
          <w:bCs/>
          <w:sz w:val="22"/>
          <w:szCs w:val="22"/>
        </w:rPr>
      </w:pPr>
      <w:r>
        <w:rPr>
          <w:rFonts w:hint="eastAsia" w:ascii="宋体" w:hAnsi="宋体"/>
          <w:kern w:val="0"/>
          <w:sz w:val="22"/>
          <w:szCs w:val="22"/>
        </w:rPr>
        <w:t>25.2.</w:t>
      </w:r>
      <w:r>
        <w:rPr>
          <w:rFonts w:hint="eastAsia" w:ascii="宋体" w:hAnsi="宋体"/>
          <w:sz w:val="22"/>
          <w:szCs w:val="22"/>
        </w:rPr>
        <w:t>3  投标人的投标报价是可变动价格的，或包含了价格调整要求的，或投标报价中提供</w:t>
      </w:r>
      <w:r>
        <w:rPr>
          <w:rFonts w:ascii="宋体" w:hAnsi="宋体"/>
          <w:sz w:val="22"/>
          <w:szCs w:val="22"/>
        </w:rPr>
        <w:t>两个</w:t>
      </w:r>
      <w:r>
        <w:rPr>
          <w:rFonts w:hint="eastAsia" w:ascii="宋体" w:hAnsi="宋体"/>
          <w:sz w:val="22"/>
          <w:szCs w:val="22"/>
        </w:rPr>
        <w:t>（含两个）以上的</w:t>
      </w:r>
      <w:r>
        <w:rPr>
          <w:rFonts w:ascii="宋体" w:hAnsi="宋体"/>
          <w:sz w:val="22"/>
          <w:szCs w:val="22"/>
        </w:rPr>
        <w:t>报价且未声明哪个</w:t>
      </w:r>
      <w:r>
        <w:rPr>
          <w:rFonts w:hint="eastAsia" w:ascii="宋体" w:hAnsi="宋体"/>
          <w:sz w:val="22"/>
          <w:szCs w:val="22"/>
        </w:rPr>
        <w:t>有效</w:t>
      </w:r>
      <w:r>
        <w:rPr>
          <w:rFonts w:ascii="宋体" w:hAnsi="宋体"/>
          <w:sz w:val="22"/>
          <w:szCs w:val="22"/>
        </w:rPr>
        <w:t>的</w:t>
      </w:r>
      <w:r>
        <w:rPr>
          <w:rFonts w:hint="eastAsia" w:ascii="宋体" w:hAnsi="宋体"/>
          <w:sz w:val="22"/>
          <w:szCs w:val="22"/>
        </w:rPr>
        <w:t>（</w:t>
      </w:r>
      <w:r>
        <w:rPr>
          <w:rFonts w:ascii="宋体" w:hAnsi="宋体"/>
          <w:sz w:val="22"/>
          <w:szCs w:val="22"/>
        </w:rPr>
        <w:t>招标文件规定提交备选投标方案的除外</w:t>
      </w:r>
      <w:r>
        <w:rPr>
          <w:rFonts w:hint="eastAsia" w:ascii="宋体" w:hAnsi="宋体"/>
          <w:sz w:val="22"/>
          <w:szCs w:val="22"/>
        </w:rPr>
        <w:t>）</w:t>
      </w:r>
      <w:r>
        <w:rPr>
          <w:rFonts w:ascii="宋体" w:hAnsi="宋体"/>
          <w:sz w:val="22"/>
          <w:szCs w:val="22"/>
        </w:rPr>
        <w:t>；</w:t>
      </w:r>
    </w:p>
    <w:p>
      <w:pPr>
        <w:spacing w:after="78" w:afterLines="25" w:line="276" w:lineRule="auto"/>
        <w:rPr>
          <w:rFonts w:ascii="宋体" w:hAnsi="宋体"/>
          <w:sz w:val="22"/>
          <w:szCs w:val="22"/>
        </w:rPr>
      </w:pPr>
      <w:r>
        <w:rPr>
          <w:rFonts w:hint="eastAsia" w:ascii="宋体" w:hAnsi="宋体"/>
          <w:kern w:val="0"/>
          <w:sz w:val="22"/>
          <w:szCs w:val="22"/>
        </w:rPr>
        <w:t>25.2.</w:t>
      </w:r>
      <w:r>
        <w:rPr>
          <w:rFonts w:hint="eastAsia" w:ascii="宋体" w:hAnsi="宋体"/>
          <w:sz w:val="22"/>
          <w:szCs w:val="22"/>
        </w:rPr>
        <w:t>4</w:t>
      </w:r>
      <w:r>
        <w:rPr>
          <w:rFonts w:ascii="宋体" w:hAnsi="宋体"/>
          <w:sz w:val="22"/>
          <w:szCs w:val="22"/>
        </w:rPr>
        <w:t>投标人名称或组织结构与资格预审时不一致且未提供有效证明的</w:t>
      </w:r>
      <w:r>
        <w:rPr>
          <w:rFonts w:hint="eastAsia" w:ascii="宋体" w:hAnsi="宋体"/>
          <w:sz w:val="22"/>
          <w:szCs w:val="22"/>
        </w:rPr>
        <w:t>；</w:t>
      </w:r>
    </w:p>
    <w:p>
      <w:pPr>
        <w:spacing w:after="78" w:afterLines="25" w:line="276" w:lineRule="auto"/>
        <w:rPr>
          <w:rFonts w:ascii="宋体" w:hAnsi="宋体"/>
          <w:b/>
          <w:bCs/>
          <w:sz w:val="22"/>
          <w:szCs w:val="22"/>
        </w:rPr>
      </w:pPr>
      <w:r>
        <w:rPr>
          <w:rFonts w:hint="eastAsia" w:ascii="宋体" w:hAnsi="宋体"/>
          <w:b/>
          <w:sz w:val="22"/>
          <w:szCs w:val="22"/>
        </w:rPr>
        <w:t>26</w:t>
      </w:r>
      <w:r>
        <w:rPr>
          <w:rFonts w:hint="eastAsia" w:ascii="宋体" w:hAnsi="宋体"/>
          <w:b/>
          <w:bCs/>
          <w:sz w:val="22"/>
          <w:szCs w:val="22"/>
        </w:rPr>
        <w:t>.投标文件的详细评审</w:t>
      </w:r>
    </w:p>
    <w:p>
      <w:pPr>
        <w:spacing w:after="78" w:afterLines="25" w:line="276" w:lineRule="auto"/>
        <w:rPr>
          <w:rFonts w:ascii="宋体" w:hAnsi="宋体"/>
          <w:sz w:val="22"/>
          <w:szCs w:val="22"/>
        </w:rPr>
      </w:pPr>
      <w:r>
        <w:rPr>
          <w:rFonts w:hint="eastAsia" w:ascii="宋体" w:hAnsi="宋体"/>
          <w:bCs/>
          <w:sz w:val="22"/>
          <w:szCs w:val="22"/>
        </w:rPr>
        <w:t xml:space="preserve">26.1  </w:t>
      </w:r>
      <w:r>
        <w:rPr>
          <w:rFonts w:hint="eastAsia" w:ascii="宋体" w:hAnsi="宋体"/>
          <w:sz w:val="22"/>
          <w:szCs w:val="22"/>
        </w:rPr>
        <w:t>评标委员会应当根据招标文件，审查并逐项列出投标文件的全部投标偏离。投标偏离分为重大偏离和细微偏离。</w:t>
      </w:r>
    </w:p>
    <w:p>
      <w:pPr>
        <w:spacing w:after="78" w:afterLines="25" w:line="276" w:lineRule="auto"/>
        <w:rPr>
          <w:rFonts w:ascii="宋体" w:hAnsi="宋体"/>
          <w:sz w:val="22"/>
          <w:szCs w:val="22"/>
        </w:rPr>
      </w:pPr>
      <w:r>
        <w:rPr>
          <w:rFonts w:hint="eastAsia" w:ascii="宋体" w:hAnsi="宋体"/>
          <w:sz w:val="22"/>
          <w:szCs w:val="22"/>
        </w:rPr>
        <w:t>26.2  评标委员会应当对投标人的投标文件进行分析和比较。</w:t>
      </w:r>
    </w:p>
    <w:p>
      <w:pPr>
        <w:spacing w:after="78" w:afterLines="25" w:line="276" w:lineRule="auto"/>
        <w:rPr>
          <w:rFonts w:ascii="宋体" w:hAnsi="宋体"/>
          <w:sz w:val="22"/>
          <w:szCs w:val="22"/>
        </w:rPr>
      </w:pPr>
      <w:r>
        <w:rPr>
          <w:rFonts w:hint="eastAsia" w:ascii="宋体" w:hAnsi="宋体"/>
          <w:sz w:val="22"/>
          <w:szCs w:val="22"/>
        </w:rPr>
        <w:t>26.3  评标委员会应当根据招标文件规定，对投标文件中的每项评审内容进行评审。</w:t>
      </w:r>
    </w:p>
    <w:p>
      <w:pPr>
        <w:spacing w:after="78" w:afterLines="25" w:line="276" w:lineRule="auto"/>
        <w:rPr>
          <w:rFonts w:ascii="宋体" w:hAnsi="宋体"/>
          <w:b/>
          <w:bCs/>
          <w:sz w:val="22"/>
          <w:szCs w:val="22"/>
        </w:rPr>
      </w:pPr>
      <w:r>
        <w:rPr>
          <w:rFonts w:hint="eastAsia" w:ascii="宋体" w:hAnsi="宋体"/>
          <w:b/>
          <w:sz w:val="22"/>
          <w:szCs w:val="22"/>
        </w:rPr>
        <w:t xml:space="preserve">27.   </w:t>
      </w:r>
      <w:r>
        <w:rPr>
          <w:rFonts w:ascii="宋体" w:hAnsi="宋体"/>
          <w:b/>
          <w:bCs/>
          <w:sz w:val="22"/>
          <w:szCs w:val="22"/>
        </w:rPr>
        <w:t>投标文件</w:t>
      </w:r>
      <w:r>
        <w:rPr>
          <w:rFonts w:hint="eastAsia" w:ascii="宋体" w:hAnsi="宋体"/>
          <w:b/>
          <w:bCs/>
          <w:sz w:val="22"/>
          <w:szCs w:val="22"/>
        </w:rPr>
        <w:t>的重大偏离</w:t>
      </w:r>
    </w:p>
    <w:p>
      <w:pPr>
        <w:spacing w:after="78" w:afterLines="25" w:line="276" w:lineRule="auto"/>
        <w:rPr>
          <w:rFonts w:ascii="宋体" w:hAnsi="宋体"/>
          <w:bCs/>
          <w:kern w:val="10"/>
          <w:sz w:val="22"/>
          <w:szCs w:val="22"/>
        </w:rPr>
      </w:pPr>
      <w:r>
        <w:rPr>
          <w:rFonts w:hint="eastAsia" w:ascii="宋体" w:hAnsi="宋体"/>
          <w:bCs/>
          <w:kern w:val="10"/>
          <w:sz w:val="22"/>
          <w:szCs w:val="22"/>
        </w:rPr>
        <w:t>27.1  投标文件存在重大偏离的，应作废标处理。下列情况属于重大偏离：</w:t>
      </w:r>
    </w:p>
    <w:p>
      <w:pPr>
        <w:spacing w:after="78" w:afterLines="25" w:line="276" w:lineRule="auto"/>
        <w:rPr>
          <w:rFonts w:ascii="宋体" w:hAnsi="宋体"/>
          <w:bCs/>
          <w:kern w:val="10"/>
          <w:sz w:val="22"/>
          <w:szCs w:val="22"/>
        </w:rPr>
      </w:pPr>
      <w:r>
        <w:rPr>
          <w:rFonts w:hint="eastAsia" w:ascii="宋体" w:hAnsi="宋体"/>
          <w:bCs/>
          <w:kern w:val="10"/>
          <w:sz w:val="22"/>
          <w:szCs w:val="22"/>
        </w:rPr>
        <w:t>27.1.1  投标人以他人的名义投标或出现下列串通投标、弄虚作假投标嫌疑的：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27.1.1.1  </w:t>
      </w:r>
      <w:r>
        <w:rPr>
          <w:rFonts w:ascii="宋体" w:hAnsi="宋体"/>
          <w:bCs/>
          <w:kern w:val="10"/>
          <w:sz w:val="22"/>
          <w:szCs w:val="22"/>
        </w:rPr>
        <w:t>不同投标人的投标文件内容存在非正常一致</w:t>
      </w:r>
      <w:r>
        <w:rPr>
          <w:rFonts w:hint="eastAsia" w:ascii="宋体" w:hAnsi="宋体"/>
          <w:bCs/>
          <w:kern w:val="10"/>
          <w:sz w:val="22"/>
          <w:szCs w:val="22"/>
        </w:rPr>
        <w:t>的</w:t>
      </w:r>
      <w:r>
        <w:rPr>
          <w:rFonts w:ascii="宋体" w:hAnsi="宋体"/>
          <w:bCs/>
          <w:kern w:val="10"/>
          <w:sz w:val="22"/>
          <w:szCs w:val="22"/>
        </w:rPr>
        <w:t>；</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27.1.1.2  </w:t>
      </w:r>
      <w:r>
        <w:rPr>
          <w:rFonts w:ascii="宋体" w:hAnsi="宋体"/>
          <w:bCs/>
          <w:kern w:val="10"/>
          <w:sz w:val="22"/>
          <w:szCs w:val="22"/>
        </w:rPr>
        <w:t>不同投标人的投标文件错漏之处一致的；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27.1.1.3  </w:t>
      </w:r>
      <w:r>
        <w:rPr>
          <w:rFonts w:ascii="宋体" w:hAnsi="宋体"/>
          <w:bCs/>
          <w:kern w:val="10"/>
          <w:sz w:val="22"/>
          <w:szCs w:val="22"/>
        </w:rPr>
        <w:t>不同投标人的投标报价或者报价组成异常一致或者呈规律性变化的；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27.1.1.4  </w:t>
      </w:r>
      <w:r>
        <w:rPr>
          <w:rFonts w:ascii="宋体" w:hAnsi="宋体"/>
          <w:bCs/>
          <w:kern w:val="10"/>
          <w:sz w:val="22"/>
          <w:szCs w:val="22"/>
        </w:rPr>
        <w:t>不同投标人的投标文件由同一单位或者同一个人编制的；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27.1.1.5  </w:t>
      </w:r>
      <w:r>
        <w:rPr>
          <w:rFonts w:ascii="宋体" w:hAnsi="宋体"/>
          <w:bCs/>
          <w:kern w:val="10"/>
          <w:sz w:val="22"/>
          <w:szCs w:val="22"/>
        </w:rPr>
        <w:t>不同投标人的投标文件载明的</w:t>
      </w:r>
      <w:r>
        <w:rPr>
          <w:rFonts w:hint="eastAsia" w:ascii="宋体" w:hAnsi="宋体"/>
          <w:bCs/>
          <w:kern w:val="10"/>
          <w:sz w:val="22"/>
          <w:szCs w:val="22"/>
        </w:rPr>
        <w:t>项目负责人与主要技术人员</w:t>
      </w:r>
      <w:r>
        <w:rPr>
          <w:rFonts w:ascii="宋体" w:hAnsi="宋体"/>
          <w:bCs/>
          <w:kern w:val="10"/>
          <w:sz w:val="22"/>
          <w:szCs w:val="22"/>
        </w:rPr>
        <w:t>出现同一人的；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27.1.1.6  </w:t>
      </w:r>
      <w:r>
        <w:rPr>
          <w:rFonts w:ascii="宋体" w:hAnsi="宋体"/>
          <w:bCs/>
          <w:kern w:val="10"/>
          <w:sz w:val="22"/>
          <w:szCs w:val="22"/>
        </w:rPr>
        <w:t>不同投标人的投标文件相互混装的；</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27.1.1.7  </w:t>
      </w:r>
      <w:r>
        <w:rPr>
          <w:rFonts w:ascii="宋体" w:hAnsi="宋体"/>
          <w:bCs/>
          <w:kern w:val="10"/>
          <w:sz w:val="22"/>
          <w:szCs w:val="22"/>
        </w:rPr>
        <w:t>不同投标人委托同一人投标的</w:t>
      </w:r>
      <w:r>
        <w:rPr>
          <w:rFonts w:hint="eastAsia" w:ascii="宋体" w:hAnsi="宋体"/>
          <w:bCs/>
          <w:kern w:val="10"/>
          <w:sz w:val="22"/>
          <w:szCs w:val="22"/>
        </w:rPr>
        <w:t>；</w:t>
      </w:r>
    </w:p>
    <w:p>
      <w:pPr>
        <w:spacing w:after="78" w:afterLines="25" w:line="276" w:lineRule="auto"/>
        <w:rPr>
          <w:rFonts w:ascii="宋体" w:hAnsi="宋体"/>
          <w:bCs/>
          <w:kern w:val="10"/>
          <w:sz w:val="22"/>
          <w:szCs w:val="22"/>
        </w:rPr>
      </w:pPr>
      <w:r>
        <w:rPr>
          <w:rFonts w:hint="eastAsia" w:ascii="宋体" w:hAnsi="宋体"/>
          <w:bCs/>
          <w:kern w:val="10"/>
          <w:sz w:val="22"/>
          <w:szCs w:val="22"/>
        </w:rPr>
        <w:t>27.1.1.8  不同投标人聘请同一人为其投标提供技术或者经济咨询服务的，但招标工程本身要求采用专有技术的除外；</w:t>
      </w:r>
    </w:p>
    <w:p>
      <w:pPr>
        <w:spacing w:after="78" w:afterLines="25" w:line="276" w:lineRule="auto"/>
        <w:rPr>
          <w:rFonts w:ascii="宋体" w:hAnsi="宋体"/>
          <w:bCs/>
          <w:kern w:val="10"/>
          <w:sz w:val="22"/>
          <w:szCs w:val="22"/>
        </w:rPr>
      </w:pPr>
      <w:r>
        <w:rPr>
          <w:rFonts w:hint="eastAsia" w:ascii="宋体" w:hAnsi="宋体"/>
          <w:bCs/>
          <w:kern w:val="10"/>
          <w:sz w:val="22"/>
          <w:szCs w:val="22"/>
        </w:rPr>
        <w:t xml:space="preserve">27.1.1.9  </w:t>
      </w:r>
      <w:r>
        <w:rPr>
          <w:rFonts w:ascii="宋体" w:hAnsi="宋体"/>
          <w:bCs/>
          <w:kern w:val="10"/>
          <w:sz w:val="22"/>
          <w:szCs w:val="22"/>
        </w:rPr>
        <w:t>评标委员会认定的其他串通投标情形。</w:t>
      </w:r>
    </w:p>
    <w:p>
      <w:pPr>
        <w:spacing w:after="78" w:afterLines="25" w:line="276" w:lineRule="auto"/>
        <w:rPr>
          <w:rFonts w:ascii="宋体" w:hAnsi="宋体"/>
          <w:bCs/>
          <w:sz w:val="22"/>
          <w:szCs w:val="22"/>
        </w:rPr>
      </w:pPr>
      <w:r>
        <w:rPr>
          <w:rFonts w:hint="eastAsia" w:ascii="宋体" w:hAnsi="宋体"/>
          <w:bCs/>
          <w:sz w:val="22"/>
          <w:szCs w:val="22"/>
        </w:rPr>
        <w:t>27.1.2  投标文件不满足招标文件规定的任何一项实质性要求的；</w:t>
      </w:r>
    </w:p>
    <w:p>
      <w:pPr>
        <w:spacing w:after="78" w:afterLines="25" w:line="276" w:lineRule="auto"/>
        <w:rPr>
          <w:rFonts w:ascii="宋体" w:hAnsi="宋体"/>
          <w:sz w:val="22"/>
          <w:szCs w:val="22"/>
        </w:rPr>
      </w:pPr>
      <w:r>
        <w:rPr>
          <w:rFonts w:hint="eastAsia" w:ascii="宋体" w:hAnsi="宋体"/>
          <w:sz w:val="22"/>
          <w:szCs w:val="22"/>
        </w:rPr>
        <w:t>27.1.3  投标文件对招标文件规定的非实质性要求的偏离，超出允许偏离的最大范围或最高项数的；</w:t>
      </w:r>
    </w:p>
    <w:p>
      <w:pPr>
        <w:spacing w:after="78" w:afterLines="25" w:line="276" w:lineRule="auto"/>
        <w:rPr>
          <w:rFonts w:ascii="宋体" w:hAnsi="宋体"/>
          <w:sz w:val="22"/>
          <w:szCs w:val="22"/>
        </w:rPr>
      </w:pPr>
      <w:r>
        <w:rPr>
          <w:rFonts w:hint="eastAsia" w:ascii="宋体" w:hAnsi="宋体"/>
          <w:bCs/>
          <w:sz w:val="22"/>
          <w:szCs w:val="22"/>
        </w:rPr>
        <w:t>27.1.4  评标委员会根据招标文件的规定对投标文件的投标价格进行调整，投标人不接受调整方式的，或不接受调整后的价格的；</w:t>
      </w:r>
    </w:p>
    <w:p>
      <w:pPr>
        <w:spacing w:after="78" w:afterLines="25" w:line="276" w:lineRule="auto"/>
        <w:rPr>
          <w:rFonts w:ascii="宋体" w:hAnsi="宋体"/>
          <w:b/>
          <w:bCs/>
          <w:sz w:val="22"/>
          <w:szCs w:val="22"/>
        </w:rPr>
      </w:pPr>
      <w:r>
        <w:rPr>
          <w:rFonts w:hint="eastAsia" w:ascii="宋体" w:hAnsi="宋体"/>
          <w:b/>
          <w:sz w:val="22"/>
          <w:szCs w:val="22"/>
        </w:rPr>
        <w:t>28.投标文件的细微偏离</w:t>
      </w:r>
    </w:p>
    <w:p>
      <w:pPr>
        <w:spacing w:after="78" w:afterLines="25" w:line="276" w:lineRule="auto"/>
        <w:rPr>
          <w:rFonts w:ascii="宋体" w:hAnsi="宋体"/>
          <w:sz w:val="22"/>
          <w:szCs w:val="22"/>
        </w:rPr>
      </w:pPr>
      <w:r>
        <w:rPr>
          <w:rFonts w:hint="eastAsia" w:ascii="宋体" w:hAnsi="宋体"/>
          <w:sz w:val="22"/>
          <w:szCs w:val="22"/>
        </w:rPr>
        <w:t>28.1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pPr>
        <w:spacing w:after="78" w:afterLines="25" w:line="276" w:lineRule="auto"/>
        <w:rPr>
          <w:rFonts w:ascii="宋体" w:hAnsi="宋体"/>
          <w:sz w:val="22"/>
          <w:szCs w:val="22"/>
        </w:rPr>
      </w:pPr>
      <w:r>
        <w:rPr>
          <w:rFonts w:hint="eastAsia" w:ascii="宋体" w:hAnsi="宋体"/>
          <w:sz w:val="22"/>
          <w:szCs w:val="22"/>
        </w:rPr>
        <w:t>28.2  评标委员会应书面要求存在细微偏离的投标人在评标结束前予以补正。拒不补正的，在详细评审时可以对细微偏离按照不利于该投标人的原则进行调整，且投标人不得因此提出任何异议。</w:t>
      </w:r>
    </w:p>
    <w:p>
      <w:pPr>
        <w:spacing w:after="78" w:afterLines="25" w:line="276" w:lineRule="auto"/>
        <w:rPr>
          <w:rFonts w:ascii="宋体" w:hAnsi="宋体"/>
          <w:b/>
          <w:sz w:val="22"/>
          <w:szCs w:val="22"/>
        </w:rPr>
      </w:pPr>
      <w:bookmarkStart w:id="238" w:name="_Toc201401400"/>
      <w:bookmarkStart w:id="239" w:name="_Toc201401592"/>
      <w:bookmarkStart w:id="240" w:name="_Toc201997852"/>
      <w:r>
        <w:rPr>
          <w:rFonts w:hint="eastAsia" w:ascii="宋体" w:hAnsi="宋体"/>
          <w:b/>
          <w:sz w:val="22"/>
          <w:szCs w:val="22"/>
        </w:rPr>
        <w:t>29.   投标报价的调整方法</w:t>
      </w:r>
      <w:bookmarkEnd w:id="238"/>
      <w:bookmarkEnd w:id="239"/>
      <w:bookmarkEnd w:id="240"/>
    </w:p>
    <w:p>
      <w:pPr>
        <w:spacing w:after="78" w:afterLines="25" w:line="276" w:lineRule="auto"/>
        <w:rPr>
          <w:rFonts w:ascii="宋体" w:hAnsi="宋体"/>
          <w:sz w:val="22"/>
          <w:szCs w:val="22"/>
        </w:rPr>
      </w:pPr>
      <w:r>
        <w:rPr>
          <w:rFonts w:hint="eastAsia" w:ascii="宋体" w:hAnsi="宋体"/>
          <w:sz w:val="22"/>
          <w:szCs w:val="22"/>
        </w:rPr>
        <w:t>29.1  投标人的投标报价中如出现算术错误，将按以下方法进行调整：</w:t>
      </w:r>
    </w:p>
    <w:p>
      <w:pPr>
        <w:spacing w:after="78" w:afterLines="25" w:line="276" w:lineRule="auto"/>
        <w:rPr>
          <w:rFonts w:ascii="宋体" w:hAnsi="宋体"/>
          <w:sz w:val="22"/>
          <w:szCs w:val="22"/>
        </w:rPr>
      </w:pPr>
      <w:r>
        <w:rPr>
          <w:rFonts w:hint="eastAsia" w:ascii="宋体" w:hAnsi="宋体"/>
          <w:sz w:val="22"/>
          <w:szCs w:val="22"/>
        </w:rPr>
        <w:t>29.1.1  投标文件中大写金额与小写金额不一致的，以大写金额为准；</w:t>
      </w:r>
    </w:p>
    <w:p>
      <w:pPr>
        <w:spacing w:after="78" w:afterLines="25" w:line="276" w:lineRule="auto"/>
        <w:rPr>
          <w:rFonts w:ascii="宋体" w:hAnsi="宋体"/>
          <w:sz w:val="22"/>
          <w:szCs w:val="22"/>
        </w:rPr>
      </w:pPr>
      <w:r>
        <w:rPr>
          <w:rFonts w:hint="eastAsia" w:ascii="宋体" w:hAnsi="宋体"/>
          <w:sz w:val="22"/>
          <w:szCs w:val="22"/>
        </w:rPr>
        <w:t>29.1.2  总价金额与按单价计算的总金额不一致的，以单价计算的总金额为准。除非评标委员会认为</w:t>
      </w:r>
      <w:r>
        <w:rPr>
          <w:rFonts w:ascii="宋体" w:hAnsi="宋体"/>
          <w:sz w:val="22"/>
          <w:szCs w:val="22"/>
        </w:rPr>
        <w:t>单价</w:t>
      </w:r>
      <w:r>
        <w:rPr>
          <w:rFonts w:hint="eastAsia" w:ascii="宋体" w:hAnsi="宋体"/>
          <w:sz w:val="22"/>
          <w:szCs w:val="22"/>
        </w:rPr>
        <w:t>有明显的</w:t>
      </w:r>
      <w:r>
        <w:rPr>
          <w:rFonts w:ascii="宋体" w:hAnsi="宋体"/>
          <w:sz w:val="22"/>
          <w:szCs w:val="22"/>
        </w:rPr>
        <w:t>小数点错误</w:t>
      </w:r>
      <w:r>
        <w:rPr>
          <w:rFonts w:hint="eastAsia" w:ascii="宋体" w:hAnsi="宋体"/>
          <w:sz w:val="22"/>
          <w:szCs w:val="22"/>
        </w:rPr>
        <w:t>，此时应以合价金额为准，调整单价；</w:t>
      </w:r>
    </w:p>
    <w:p>
      <w:pPr>
        <w:spacing w:after="78" w:afterLines="25" w:line="276" w:lineRule="auto"/>
        <w:rPr>
          <w:rFonts w:ascii="宋体" w:hAnsi="宋体"/>
          <w:sz w:val="22"/>
          <w:szCs w:val="22"/>
        </w:rPr>
      </w:pPr>
      <w:r>
        <w:rPr>
          <w:rFonts w:hint="eastAsia" w:ascii="宋体" w:hAnsi="宋体"/>
          <w:sz w:val="22"/>
          <w:szCs w:val="22"/>
        </w:rPr>
        <w:t>29.2  投标人的投标报价如果出现缺项、漏项或是修改了本招标项目列明项目的数量情况的，将按以下方法进行调整：</w:t>
      </w:r>
    </w:p>
    <w:p>
      <w:pPr>
        <w:spacing w:after="78" w:afterLines="25" w:line="276" w:lineRule="auto"/>
        <w:rPr>
          <w:rFonts w:ascii="宋体" w:hAnsi="宋体"/>
          <w:sz w:val="22"/>
          <w:szCs w:val="22"/>
        </w:rPr>
      </w:pPr>
      <w:r>
        <w:rPr>
          <w:rFonts w:hint="eastAsia" w:ascii="宋体" w:hAnsi="宋体"/>
          <w:sz w:val="22"/>
          <w:szCs w:val="22"/>
        </w:rPr>
        <w:t>29.2.1  如果本节第29.2条所列内容的金额累计超过其投标报价的3%（不含3%），该投标人的商务标部分得分按零分计；</w:t>
      </w:r>
    </w:p>
    <w:p>
      <w:pPr>
        <w:spacing w:after="78" w:afterLines="25" w:line="276" w:lineRule="auto"/>
        <w:rPr>
          <w:rFonts w:ascii="宋体" w:hAnsi="宋体"/>
          <w:sz w:val="22"/>
          <w:szCs w:val="22"/>
        </w:rPr>
      </w:pPr>
      <w:r>
        <w:rPr>
          <w:rFonts w:hint="eastAsia" w:ascii="宋体" w:hAnsi="宋体"/>
          <w:sz w:val="22"/>
          <w:szCs w:val="22"/>
        </w:rPr>
        <w:t>29.2.2  如果本节第29.2条所列内容的金额累计未超过其投标报价的3%，此部分的价格按所有有效投标人中的该项报价最高者加入后，进行计算调整；</w:t>
      </w:r>
    </w:p>
    <w:p>
      <w:pPr>
        <w:spacing w:after="78" w:afterLines="25" w:line="276" w:lineRule="auto"/>
        <w:rPr>
          <w:rFonts w:ascii="宋体" w:hAnsi="宋体"/>
          <w:sz w:val="22"/>
          <w:szCs w:val="22"/>
        </w:rPr>
      </w:pPr>
      <w:r>
        <w:rPr>
          <w:rFonts w:hint="eastAsia" w:ascii="宋体" w:hAnsi="宋体"/>
          <w:sz w:val="22"/>
          <w:szCs w:val="22"/>
        </w:rPr>
        <w:t>29.3  按照本节第29.1条、第29.2条规定的调整方法确定的调整后报价，须取得投标人同意并书面签字确认。如果投标人拒不接受调整方法以及调整后的报价的，其投标将被拒绝。</w:t>
      </w:r>
    </w:p>
    <w:p>
      <w:pPr>
        <w:spacing w:after="78" w:afterLines="25" w:line="276" w:lineRule="auto"/>
        <w:rPr>
          <w:rFonts w:ascii="宋体" w:hAnsi="宋体"/>
        </w:rPr>
      </w:pPr>
      <w:r>
        <w:rPr>
          <w:rFonts w:hint="eastAsia" w:ascii="宋体" w:hAnsi="宋体"/>
          <w:sz w:val="22"/>
          <w:szCs w:val="22"/>
        </w:rPr>
        <w:t>29.4  如果出现多报或超出本招标项目列明项目的数量情况的，评标委员会应根据具体评标方法和评审标准，按照不利于该投标人的原则进行调整，</w:t>
      </w:r>
      <w:r>
        <w:rPr>
          <w:rFonts w:hint="eastAsia" w:ascii="宋体" w:hAnsi="宋体"/>
        </w:rPr>
        <w:t>且投标人不得因此提出任何异议。</w:t>
      </w:r>
    </w:p>
    <w:p>
      <w:pPr>
        <w:spacing w:after="78" w:afterLines="25" w:line="276" w:lineRule="auto"/>
        <w:rPr>
          <w:rFonts w:ascii="宋体" w:hAnsi="宋体"/>
          <w:sz w:val="22"/>
          <w:szCs w:val="22"/>
        </w:rPr>
      </w:pPr>
      <w:r>
        <w:rPr>
          <w:rFonts w:hint="eastAsia" w:ascii="宋体" w:hAnsi="宋体"/>
          <w:sz w:val="22"/>
          <w:szCs w:val="22"/>
        </w:rPr>
        <w:t>29.5  中标人的投标报价是按照本节第29.1条、第29.2条、第29.3条规定的进行了调整的，其中标价按就低不就高的原则确定。如果投标人拒不接受的，其投标将被拒绝。</w:t>
      </w:r>
    </w:p>
    <w:p>
      <w:pPr>
        <w:spacing w:after="78" w:afterLines="25" w:line="276" w:lineRule="auto"/>
        <w:rPr>
          <w:rFonts w:ascii="宋体" w:hAnsi="宋体"/>
          <w:sz w:val="22"/>
          <w:szCs w:val="22"/>
        </w:rPr>
      </w:pPr>
      <w:r>
        <w:rPr>
          <w:rFonts w:hint="eastAsia" w:ascii="宋体" w:hAnsi="宋体"/>
          <w:sz w:val="22"/>
          <w:szCs w:val="22"/>
        </w:rPr>
        <w:t>29.5.1  投标人的投标报价的总价小于调整后的报价，中标价即为投标人的投标报价的总价；投标报价的总价大于调整后的报价，中标价即为调整后的报价</w:t>
      </w:r>
      <w:bookmarkStart w:id="241" w:name="_Toc187729594"/>
      <w:bookmarkStart w:id="242" w:name="_Toc188869294"/>
      <w:bookmarkStart w:id="243" w:name="_Toc148954477"/>
      <w:bookmarkStart w:id="244" w:name="_Toc143658468"/>
      <w:bookmarkStart w:id="245" w:name="_Toc98817943"/>
      <w:bookmarkStart w:id="246" w:name="_Toc157847833"/>
      <w:bookmarkStart w:id="247" w:name="_Toc148780251"/>
      <w:bookmarkStart w:id="248" w:name="_Toc148329814"/>
      <w:bookmarkStart w:id="249" w:name="_Toc135666641"/>
      <w:bookmarkStart w:id="250" w:name="_Toc134852035"/>
      <w:bookmarkStart w:id="251" w:name="_Toc135666828"/>
      <w:bookmarkStart w:id="252" w:name="_Toc148954872"/>
      <w:bookmarkStart w:id="253" w:name="_Toc148778170"/>
      <w:bookmarkStart w:id="254" w:name="_Toc148779965"/>
      <w:bookmarkStart w:id="255" w:name="_Toc148413313"/>
      <w:bookmarkStart w:id="256" w:name="_Toc163530315"/>
      <w:r>
        <w:rPr>
          <w:rFonts w:hint="eastAsia" w:ascii="宋体" w:hAnsi="宋体"/>
          <w:sz w:val="22"/>
          <w:szCs w:val="22"/>
        </w:rPr>
        <w:t>。</w:t>
      </w:r>
    </w:p>
    <w:p>
      <w:pPr>
        <w:spacing w:after="78" w:afterLines="25" w:line="276" w:lineRule="auto"/>
        <w:rPr>
          <w:rFonts w:ascii="宋体" w:hAnsi="宋体"/>
          <w:b/>
          <w:sz w:val="22"/>
          <w:szCs w:val="22"/>
        </w:rPr>
      </w:pPr>
      <w:bookmarkStart w:id="257" w:name="_Toc201997853"/>
      <w:bookmarkStart w:id="258" w:name="_Toc201401401"/>
      <w:bookmarkStart w:id="259" w:name="_Toc201401593"/>
      <w:r>
        <w:rPr>
          <w:rFonts w:hint="eastAsia" w:ascii="宋体" w:hAnsi="宋体"/>
          <w:b/>
          <w:sz w:val="22"/>
          <w:szCs w:val="22"/>
        </w:rPr>
        <w:t xml:space="preserve">30.  </w:t>
      </w:r>
      <w:bookmarkEnd w:id="241"/>
      <w:bookmarkEnd w:id="242"/>
      <w:r>
        <w:rPr>
          <w:rFonts w:hint="eastAsia" w:ascii="宋体" w:hAnsi="宋体"/>
          <w:b/>
          <w:sz w:val="22"/>
          <w:szCs w:val="22"/>
        </w:rPr>
        <w:t xml:space="preserve"> 无效标和废标的处理</w:t>
      </w:r>
      <w:bookmarkEnd w:id="257"/>
      <w:bookmarkEnd w:id="258"/>
      <w:bookmarkEnd w:id="259"/>
    </w:p>
    <w:p>
      <w:pPr>
        <w:spacing w:after="78" w:afterLines="25" w:line="276" w:lineRule="auto"/>
        <w:rPr>
          <w:rFonts w:ascii="宋体" w:hAnsi="宋体"/>
          <w:sz w:val="22"/>
          <w:szCs w:val="22"/>
        </w:rPr>
      </w:pPr>
      <w:r>
        <w:rPr>
          <w:rFonts w:hint="eastAsia" w:ascii="宋体" w:hAnsi="宋体"/>
          <w:sz w:val="22"/>
          <w:szCs w:val="22"/>
        </w:rPr>
        <w:t>30.1  除第二章第二节“投标文件否决性条款摘要”中规定的情形外，评标委员会对投标文件应坚持谨慎确定无效标和废标的原则。</w:t>
      </w:r>
    </w:p>
    <w:p>
      <w:pPr>
        <w:spacing w:after="78" w:afterLines="25" w:line="276" w:lineRule="auto"/>
        <w:rPr>
          <w:rFonts w:ascii="宋体" w:hAnsi="宋体"/>
          <w:sz w:val="22"/>
          <w:szCs w:val="22"/>
        </w:rPr>
      </w:pPr>
      <w:r>
        <w:rPr>
          <w:rFonts w:hint="eastAsia" w:ascii="宋体" w:hAnsi="宋体"/>
          <w:sz w:val="22"/>
          <w:szCs w:val="22"/>
        </w:rPr>
        <w:t>30.2  评标委员会在作出任何一项无效标和废标决定之前，都应严格遵循以下程序：</w:t>
      </w:r>
    </w:p>
    <w:p>
      <w:pPr>
        <w:spacing w:after="78" w:afterLines="25" w:line="276" w:lineRule="auto"/>
        <w:rPr>
          <w:rFonts w:ascii="宋体" w:hAnsi="宋体"/>
          <w:sz w:val="22"/>
          <w:szCs w:val="22"/>
        </w:rPr>
      </w:pPr>
      <w:r>
        <w:rPr>
          <w:rFonts w:hint="eastAsia" w:ascii="宋体" w:hAnsi="宋体"/>
          <w:sz w:val="22"/>
          <w:szCs w:val="22"/>
        </w:rPr>
        <w:t>30.2.1  评标委员会</w:t>
      </w:r>
      <w:r>
        <w:rPr>
          <w:rFonts w:hint="eastAsia" w:ascii="宋体" w:hAnsi="宋体"/>
          <w:sz w:val="22"/>
          <w:szCs w:val="22"/>
          <w:lang w:val="en-GB"/>
        </w:rPr>
        <w:t>应</w:t>
      </w:r>
      <w:r>
        <w:rPr>
          <w:rFonts w:hint="eastAsia" w:ascii="宋体" w:hAnsi="宋体"/>
          <w:sz w:val="22"/>
          <w:szCs w:val="22"/>
        </w:rPr>
        <w:t>要求当事投标人作相应的答辩；</w:t>
      </w:r>
    </w:p>
    <w:p>
      <w:pPr>
        <w:spacing w:after="78" w:afterLines="25" w:line="276" w:lineRule="auto"/>
        <w:rPr>
          <w:rFonts w:ascii="宋体" w:hAnsi="宋体"/>
          <w:sz w:val="22"/>
          <w:szCs w:val="22"/>
        </w:rPr>
      </w:pPr>
      <w:r>
        <w:rPr>
          <w:rFonts w:hint="eastAsia" w:ascii="宋体" w:hAnsi="宋体"/>
          <w:sz w:val="22"/>
          <w:szCs w:val="22"/>
        </w:rPr>
        <w:t>30.2.2  评标委员会将答辩记录送当事投标人委派答辩人签字确认。如果投标人拒绝在答辩记录上签字确认的，视为同意答辩记录。</w:t>
      </w:r>
    </w:p>
    <w:p>
      <w:pPr>
        <w:spacing w:after="78" w:afterLines="25" w:line="276" w:lineRule="auto"/>
        <w:rPr>
          <w:rFonts w:ascii="宋体" w:hAnsi="宋体"/>
          <w:sz w:val="22"/>
          <w:szCs w:val="22"/>
        </w:rPr>
      </w:pPr>
      <w:r>
        <w:rPr>
          <w:rFonts w:hint="eastAsia" w:ascii="宋体" w:hAnsi="宋体"/>
          <w:sz w:val="22"/>
          <w:szCs w:val="22"/>
        </w:rPr>
        <w:t>30.2.3  评标委员会应在充分讨论的基础上，通过记名的集体表决方式作出决定；</w:t>
      </w:r>
    </w:p>
    <w:p>
      <w:pPr>
        <w:spacing w:after="78" w:afterLines="25" w:line="276" w:lineRule="auto"/>
        <w:rPr>
          <w:rFonts w:ascii="宋体" w:hAnsi="宋体"/>
          <w:sz w:val="22"/>
          <w:szCs w:val="22"/>
        </w:rPr>
      </w:pPr>
      <w:r>
        <w:rPr>
          <w:rFonts w:hint="eastAsia" w:ascii="宋体" w:hAnsi="宋体"/>
          <w:sz w:val="22"/>
          <w:szCs w:val="22"/>
        </w:rPr>
        <w:t>30.2.4  如果评标委员会通过表决做出无效标或废标的决定，应在《评标报告》中详细记录做出无效标或废标的理由、依据和评标委员会表决的过程和结论。《评标报告》由评标委员会全体成员签字。若</w:t>
      </w:r>
      <w:r>
        <w:rPr>
          <w:rFonts w:ascii="宋体" w:hAnsi="宋体"/>
          <w:sz w:val="22"/>
          <w:szCs w:val="22"/>
        </w:rPr>
        <w:t>评标委员会</w:t>
      </w:r>
      <w:r>
        <w:rPr>
          <w:rFonts w:hint="eastAsia" w:ascii="宋体" w:hAnsi="宋体"/>
          <w:sz w:val="22"/>
          <w:szCs w:val="22"/>
        </w:rPr>
        <w:t>成员对表决结论持有异议，可以书面方式阐述其不同意见和理由；如果该成员拒绝在《评标报告》上签字，又不陈述其不同意见和理由的，视为同意表决结论。</w:t>
      </w:r>
    </w:p>
    <w:p>
      <w:pPr>
        <w:spacing w:after="78" w:afterLines="25" w:line="276" w:lineRule="auto"/>
        <w:rPr>
          <w:rFonts w:ascii="宋体" w:hAnsi="宋体"/>
          <w:sz w:val="22"/>
          <w:szCs w:val="22"/>
        </w:rPr>
      </w:pPr>
      <w:r>
        <w:rPr>
          <w:rFonts w:hint="eastAsia" w:ascii="宋体" w:hAnsi="宋体"/>
          <w:sz w:val="22"/>
          <w:szCs w:val="22"/>
        </w:rPr>
        <w:t>30.3  评标委员会在否决所有投标文件前，应当向采购人及采购代理核实有关情况，听取其意见。</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spacing w:after="78" w:afterLines="25" w:line="276" w:lineRule="auto"/>
        <w:rPr>
          <w:rFonts w:ascii="宋体" w:hAnsi="宋体"/>
          <w:b/>
          <w:sz w:val="22"/>
          <w:szCs w:val="22"/>
        </w:rPr>
      </w:pPr>
      <w:bookmarkStart w:id="260" w:name="_Toc201997854"/>
      <w:bookmarkStart w:id="261" w:name="_Toc201401591"/>
      <w:bookmarkStart w:id="262" w:name="_Toc201401399"/>
      <w:bookmarkStart w:id="263" w:name="_Toc201401402"/>
      <w:bookmarkStart w:id="264" w:name="_Toc201401594"/>
      <w:r>
        <w:rPr>
          <w:rFonts w:hint="eastAsia" w:ascii="宋体" w:hAnsi="宋体"/>
          <w:b/>
          <w:sz w:val="22"/>
          <w:szCs w:val="22"/>
        </w:rPr>
        <w:t>31.   投标文件的澄清和对答辩人的要求</w:t>
      </w:r>
      <w:bookmarkEnd w:id="260"/>
      <w:bookmarkEnd w:id="261"/>
      <w:bookmarkEnd w:id="262"/>
    </w:p>
    <w:p>
      <w:pPr>
        <w:spacing w:after="78" w:afterLines="25" w:line="276" w:lineRule="auto"/>
        <w:rPr>
          <w:rFonts w:ascii="宋体" w:hAnsi="宋体"/>
          <w:sz w:val="22"/>
          <w:szCs w:val="22"/>
        </w:rPr>
      </w:pPr>
      <w:r>
        <w:rPr>
          <w:rFonts w:hint="eastAsia" w:ascii="宋体" w:hAnsi="宋体"/>
          <w:sz w:val="22"/>
          <w:szCs w:val="22"/>
        </w:rPr>
        <w:t>31.1  评标委员会可以要求投标人对投标文件含义不明确的内容作必要的澄清、说明。澄清、说明应以书面方式进行并不得超出投标文件的范围或改变投标文件的实质性内容。</w:t>
      </w:r>
    </w:p>
    <w:p>
      <w:pPr>
        <w:spacing w:after="78" w:afterLines="25" w:line="276" w:lineRule="auto"/>
        <w:rPr>
          <w:rFonts w:ascii="宋体" w:hAnsi="宋体"/>
          <w:sz w:val="22"/>
          <w:szCs w:val="22"/>
        </w:rPr>
      </w:pPr>
      <w:r>
        <w:rPr>
          <w:rFonts w:hint="eastAsia" w:ascii="宋体" w:hAnsi="宋体"/>
          <w:sz w:val="22"/>
          <w:szCs w:val="22"/>
        </w:rPr>
        <w:t xml:space="preserve">31.2  </w:t>
      </w:r>
      <w:r>
        <w:rPr>
          <w:rFonts w:ascii="宋体" w:hAnsi="宋体"/>
          <w:sz w:val="22"/>
          <w:szCs w:val="22"/>
        </w:rPr>
        <w:t>投标人</w:t>
      </w:r>
      <w:r>
        <w:rPr>
          <w:rFonts w:hint="eastAsia" w:ascii="宋体" w:hAnsi="宋体"/>
          <w:sz w:val="22"/>
          <w:szCs w:val="22"/>
        </w:rPr>
        <w:t>委派</w:t>
      </w:r>
      <w:r>
        <w:rPr>
          <w:rFonts w:ascii="宋体" w:hAnsi="宋体"/>
          <w:sz w:val="22"/>
          <w:szCs w:val="22"/>
        </w:rPr>
        <w:t>的答辩人</w:t>
      </w:r>
      <w:r>
        <w:rPr>
          <w:rFonts w:hint="eastAsia" w:ascii="宋体" w:hAnsi="宋体"/>
          <w:sz w:val="22"/>
          <w:szCs w:val="22"/>
        </w:rPr>
        <w:t>应符合以</w:t>
      </w:r>
      <w:r>
        <w:rPr>
          <w:rFonts w:ascii="宋体" w:hAnsi="宋体"/>
          <w:sz w:val="22"/>
          <w:szCs w:val="22"/>
        </w:rPr>
        <w:t>下</w:t>
      </w:r>
      <w:r>
        <w:rPr>
          <w:rFonts w:hint="eastAsia" w:ascii="宋体" w:hAnsi="宋体"/>
          <w:sz w:val="22"/>
          <w:szCs w:val="22"/>
        </w:rPr>
        <w:t>条件</w:t>
      </w:r>
      <w:r>
        <w:rPr>
          <w:rFonts w:ascii="宋体" w:hAnsi="宋体"/>
          <w:sz w:val="22"/>
          <w:szCs w:val="22"/>
        </w:rPr>
        <w:t>：</w:t>
      </w:r>
    </w:p>
    <w:p>
      <w:pPr>
        <w:spacing w:after="78" w:afterLines="25" w:line="276" w:lineRule="auto"/>
        <w:rPr>
          <w:rFonts w:ascii="宋体" w:hAnsi="宋体"/>
          <w:sz w:val="22"/>
          <w:szCs w:val="22"/>
        </w:rPr>
      </w:pPr>
      <w:r>
        <w:rPr>
          <w:rFonts w:hint="eastAsia" w:ascii="宋体" w:hAnsi="宋体"/>
          <w:sz w:val="22"/>
          <w:szCs w:val="22"/>
        </w:rPr>
        <w:t>31.2.1  拟进行投标</w:t>
      </w:r>
      <w:r>
        <w:rPr>
          <w:rFonts w:ascii="宋体" w:hAnsi="宋体"/>
          <w:sz w:val="22"/>
          <w:szCs w:val="22"/>
        </w:rPr>
        <w:t>答辩</w:t>
      </w:r>
      <w:r>
        <w:rPr>
          <w:rFonts w:hint="eastAsia" w:ascii="宋体" w:hAnsi="宋体"/>
          <w:sz w:val="22"/>
          <w:szCs w:val="22"/>
        </w:rPr>
        <w:t>的，答辩人必须是投标人拟派往本招标项目的项目负责人、其法定代表人或者投标文件上签字的法定代表人或委托代理人。</w:t>
      </w:r>
    </w:p>
    <w:p>
      <w:pPr>
        <w:spacing w:after="78" w:afterLines="25" w:line="276" w:lineRule="auto"/>
        <w:rPr>
          <w:rFonts w:ascii="宋体" w:hAnsi="宋体"/>
          <w:sz w:val="22"/>
          <w:szCs w:val="22"/>
        </w:rPr>
      </w:pPr>
      <w:r>
        <w:rPr>
          <w:rFonts w:hint="eastAsia" w:ascii="宋体" w:hAnsi="宋体"/>
          <w:sz w:val="22"/>
          <w:szCs w:val="22"/>
        </w:rPr>
        <w:t>31.2.2  答辩人</w:t>
      </w:r>
      <w:r>
        <w:rPr>
          <w:rFonts w:ascii="宋体" w:hAnsi="宋体"/>
          <w:sz w:val="22"/>
          <w:szCs w:val="22"/>
        </w:rPr>
        <w:t>须</w:t>
      </w:r>
      <w:r>
        <w:rPr>
          <w:rFonts w:hint="eastAsia" w:ascii="宋体" w:hAnsi="宋体"/>
          <w:sz w:val="22"/>
          <w:szCs w:val="22"/>
        </w:rPr>
        <w:t>经工作人员</w:t>
      </w:r>
      <w:r>
        <w:rPr>
          <w:rFonts w:ascii="宋体" w:hAnsi="宋体"/>
          <w:sz w:val="22"/>
          <w:szCs w:val="22"/>
        </w:rPr>
        <w:t>核</w:t>
      </w:r>
      <w:r>
        <w:rPr>
          <w:rFonts w:hint="eastAsia" w:ascii="宋体" w:hAnsi="宋体"/>
          <w:sz w:val="22"/>
          <w:szCs w:val="22"/>
        </w:rPr>
        <w:t>验其</w:t>
      </w:r>
      <w:r>
        <w:rPr>
          <w:rFonts w:ascii="宋体" w:hAnsi="宋体"/>
          <w:sz w:val="22"/>
          <w:szCs w:val="22"/>
        </w:rPr>
        <w:t>身份</w:t>
      </w:r>
      <w:r>
        <w:rPr>
          <w:rFonts w:hint="eastAsia" w:ascii="宋体" w:hAnsi="宋体"/>
          <w:sz w:val="22"/>
          <w:szCs w:val="22"/>
        </w:rPr>
        <w:t>。</w:t>
      </w:r>
      <w:r>
        <w:rPr>
          <w:rFonts w:ascii="宋体" w:hAnsi="宋体"/>
          <w:sz w:val="22"/>
          <w:szCs w:val="22"/>
        </w:rPr>
        <w:t>答辩人务必携带有效的身份证明</w:t>
      </w:r>
      <w:r>
        <w:rPr>
          <w:rFonts w:hint="eastAsia" w:ascii="宋体" w:hAnsi="宋体"/>
          <w:sz w:val="22"/>
          <w:szCs w:val="22"/>
        </w:rPr>
        <w:t>材料</w:t>
      </w:r>
      <w:r>
        <w:rPr>
          <w:rFonts w:ascii="宋体" w:hAnsi="宋体"/>
          <w:sz w:val="22"/>
          <w:szCs w:val="22"/>
        </w:rPr>
        <w:t>。</w:t>
      </w:r>
      <w:r>
        <w:rPr>
          <w:rFonts w:hint="eastAsia" w:ascii="宋体" w:hAnsi="宋体"/>
          <w:sz w:val="22"/>
          <w:szCs w:val="22"/>
        </w:rPr>
        <w:t>投标人拟委派答辩人</w:t>
      </w:r>
      <w:r>
        <w:rPr>
          <w:rFonts w:ascii="宋体" w:hAnsi="宋体"/>
          <w:sz w:val="22"/>
          <w:szCs w:val="22"/>
        </w:rPr>
        <w:t>非</w:t>
      </w:r>
      <w:r>
        <w:rPr>
          <w:rFonts w:hint="eastAsia" w:ascii="宋体" w:hAnsi="宋体"/>
          <w:sz w:val="22"/>
          <w:szCs w:val="22"/>
        </w:rPr>
        <w:t>本节第31.2.1条规定的</w:t>
      </w:r>
      <w:r>
        <w:rPr>
          <w:rFonts w:ascii="宋体" w:hAnsi="宋体"/>
          <w:sz w:val="22"/>
          <w:szCs w:val="22"/>
        </w:rPr>
        <w:t>人员不得进入答辩室</w:t>
      </w:r>
      <w:r>
        <w:rPr>
          <w:rFonts w:hint="eastAsia" w:ascii="宋体" w:hAnsi="宋体"/>
          <w:sz w:val="22"/>
          <w:szCs w:val="22"/>
        </w:rPr>
        <w:t>。</w:t>
      </w:r>
    </w:p>
    <w:p>
      <w:pPr>
        <w:spacing w:after="78" w:afterLines="25" w:line="276" w:lineRule="auto"/>
        <w:rPr>
          <w:rFonts w:ascii="宋体" w:hAnsi="宋体"/>
          <w:sz w:val="22"/>
          <w:szCs w:val="22"/>
        </w:rPr>
      </w:pPr>
      <w:r>
        <w:rPr>
          <w:rFonts w:hint="eastAsia" w:ascii="宋体" w:hAnsi="宋体"/>
          <w:sz w:val="22"/>
          <w:szCs w:val="22"/>
        </w:rPr>
        <w:t>31.3  评标委员会要求投标人进行答辩，但投标人在规定时间内未派出答辩人的，评标委员会将根据招标文件规定作出不利于投标人的判定，且投标人不得因此提出任何异议。</w:t>
      </w:r>
    </w:p>
    <w:p>
      <w:pPr>
        <w:spacing w:after="78" w:afterLines="25" w:line="276" w:lineRule="auto"/>
        <w:rPr>
          <w:rFonts w:ascii="宋体" w:hAnsi="宋体"/>
          <w:b/>
          <w:sz w:val="22"/>
          <w:szCs w:val="22"/>
        </w:rPr>
      </w:pPr>
      <w:bookmarkStart w:id="265" w:name="_Toc201997855"/>
      <w:r>
        <w:rPr>
          <w:rFonts w:hint="eastAsia" w:ascii="宋体" w:hAnsi="宋体"/>
          <w:b/>
          <w:sz w:val="22"/>
          <w:szCs w:val="22"/>
        </w:rPr>
        <w:t>32．  中标候选人的推荐标准和确定原则</w:t>
      </w:r>
      <w:bookmarkEnd w:id="263"/>
      <w:bookmarkEnd w:id="264"/>
      <w:bookmarkEnd w:id="265"/>
    </w:p>
    <w:p>
      <w:pPr>
        <w:spacing w:after="78" w:afterLines="25" w:line="276" w:lineRule="auto"/>
        <w:rPr>
          <w:rFonts w:ascii="宋体" w:hAnsi="宋体"/>
          <w:sz w:val="22"/>
          <w:szCs w:val="22"/>
        </w:rPr>
      </w:pPr>
      <w:r>
        <w:rPr>
          <w:rFonts w:hint="eastAsia" w:ascii="宋体" w:hAnsi="宋体"/>
          <w:sz w:val="22"/>
          <w:szCs w:val="22"/>
        </w:rPr>
        <w:t xml:space="preserve">32.1  </w:t>
      </w:r>
      <w:r>
        <w:rPr>
          <w:rFonts w:ascii="宋体" w:hAnsi="宋体"/>
          <w:sz w:val="22"/>
          <w:szCs w:val="22"/>
        </w:rPr>
        <w:t>评标委员会</w:t>
      </w:r>
      <w:r>
        <w:rPr>
          <w:rFonts w:hint="eastAsia" w:ascii="宋体" w:hAnsi="宋体"/>
          <w:sz w:val="22"/>
          <w:szCs w:val="22"/>
        </w:rPr>
        <w:t>完成评标后，应向采购代理提出书面评标报告。评标报告由评标委员会全体成员签字。评标委员会实行少数服从多数的原则，评标结果经评标委员会全体成员过半数通过有效。</w:t>
      </w:r>
    </w:p>
    <w:p>
      <w:pPr>
        <w:spacing w:after="78" w:afterLines="25" w:line="276" w:lineRule="auto"/>
        <w:rPr>
          <w:rFonts w:ascii="宋体" w:hAnsi="宋体" w:cs="宋体"/>
          <w:kern w:val="0"/>
          <w:sz w:val="22"/>
          <w:szCs w:val="22"/>
        </w:rPr>
      </w:pPr>
      <w:r>
        <w:rPr>
          <w:rFonts w:hint="eastAsia" w:ascii="宋体" w:hAnsi="宋体"/>
          <w:sz w:val="22"/>
          <w:szCs w:val="22"/>
        </w:rPr>
        <w:t>32.2  评标委员会在评标报告中推荐一名中标候选人。</w:t>
      </w:r>
    </w:p>
    <w:p>
      <w:pPr>
        <w:spacing w:after="78" w:afterLines="25" w:line="276" w:lineRule="auto"/>
        <w:rPr>
          <w:rFonts w:ascii="宋体" w:hAnsi="宋体"/>
          <w:sz w:val="22"/>
          <w:szCs w:val="22"/>
        </w:rPr>
      </w:pPr>
      <w:r>
        <w:rPr>
          <w:rFonts w:hint="eastAsia" w:ascii="宋体" w:hAnsi="宋体"/>
          <w:sz w:val="22"/>
          <w:szCs w:val="22"/>
        </w:rPr>
        <w:t>32.3  中标人的投标应符合下列条件之一：</w:t>
      </w:r>
    </w:p>
    <w:p>
      <w:pPr>
        <w:spacing w:after="78" w:afterLines="25" w:line="276" w:lineRule="auto"/>
        <w:rPr>
          <w:rFonts w:ascii="宋体" w:hAnsi="宋体"/>
          <w:sz w:val="22"/>
          <w:szCs w:val="22"/>
        </w:rPr>
      </w:pPr>
      <w:r>
        <w:rPr>
          <w:rFonts w:hint="eastAsia" w:ascii="宋体" w:hAnsi="宋体"/>
          <w:sz w:val="22"/>
          <w:szCs w:val="22"/>
        </w:rPr>
        <w:t>32.3.1  能够最大限度的满足招标文件中要求的各项综合评价标准；</w:t>
      </w:r>
    </w:p>
    <w:p>
      <w:pPr>
        <w:spacing w:after="78" w:afterLines="25" w:line="276" w:lineRule="auto"/>
        <w:rPr>
          <w:rFonts w:ascii="宋体" w:hAnsi="宋体"/>
          <w:sz w:val="22"/>
          <w:szCs w:val="22"/>
        </w:rPr>
      </w:pPr>
      <w:r>
        <w:rPr>
          <w:rFonts w:hint="eastAsia" w:ascii="宋体" w:hAnsi="宋体"/>
          <w:sz w:val="22"/>
          <w:szCs w:val="22"/>
        </w:rPr>
        <w:t>32.3.2  能够满足招标文件的实质性要求。</w:t>
      </w:r>
    </w:p>
    <w:p>
      <w:pPr>
        <w:spacing w:after="78" w:afterLines="25" w:line="276" w:lineRule="auto"/>
        <w:rPr>
          <w:rFonts w:ascii="宋体" w:hAnsi="宋体"/>
          <w:sz w:val="22"/>
          <w:szCs w:val="22"/>
        </w:rPr>
      </w:pPr>
      <w:r>
        <w:rPr>
          <w:rFonts w:hint="eastAsia" w:ascii="宋体" w:hAnsi="宋体"/>
          <w:sz w:val="22"/>
          <w:szCs w:val="22"/>
        </w:rPr>
        <w:t>32.4  采购人应当确定评标报告推荐的中标候选人为中标人；也可以授权评标委员会直接确定中标人。</w:t>
      </w:r>
    </w:p>
    <w:p>
      <w:pPr>
        <w:spacing w:after="78" w:afterLines="25" w:line="276" w:lineRule="auto"/>
        <w:rPr>
          <w:rFonts w:ascii="宋体" w:hAnsi="宋体"/>
          <w:b/>
          <w:sz w:val="22"/>
          <w:szCs w:val="22"/>
        </w:rPr>
      </w:pPr>
      <w:bookmarkStart w:id="266" w:name="_Toc201997856"/>
      <w:bookmarkStart w:id="267" w:name="_Toc201401403"/>
      <w:bookmarkStart w:id="268" w:name="_Toc201401595"/>
      <w:r>
        <w:rPr>
          <w:rFonts w:hint="eastAsia" w:ascii="宋体" w:hAnsi="宋体"/>
          <w:b/>
          <w:sz w:val="22"/>
          <w:szCs w:val="22"/>
        </w:rPr>
        <w:t>33．  招标过程的保密性</w:t>
      </w:r>
      <w:bookmarkEnd w:id="266"/>
      <w:bookmarkEnd w:id="267"/>
      <w:bookmarkEnd w:id="268"/>
    </w:p>
    <w:p>
      <w:pPr>
        <w:spacing w:after="78" w:afterLines="25" w:line="276" w:lineRule="auto"/>
        <w:rPr>
          <w:rFonts w:ascii="宋体" w:hAnsi="宋体"/>
          <w:sz w:val="22"/>
          <w:szCs w:val="22"/>
        </w:rPr>
      </w:pPr>
      <w:r>
        <w:rPr>
          <w:rFonts w:hint="eastAsia" w:ascii="宋体" w:hAnsi="宋体"/>
          <w:sz w:val="22"/>
          <w:szCs w:val="22"/>
        </w:rPr>
        <w:t>33.1  采购人和有关工作人员不得向他人透露已获取招标文件的潜在投标人的名称、数量等应保密的内容。</w:t>
      </w:r>
    </w:p>
    <w:p>
      <w:pPr>
        <w:spacing w:after="78" w:afterLines="25" w:line="276" w:lineRule="auto"/>
        <w:rPr>
          <w:rFonts w:ascii="宋体" w:hAnsi="宋体"/>
          <w:sz w:val="22"/>
          <w:szCs w:val="22"/>
        </w:rPr>
      </w:pPr>
      <w:r>
        <w:rPr>
          <w:rFonts w:hint="eastAsia" w:ascii="宋体" w:hAnsi="宋体"/>
          <w:kern w:val="0"/>
          <w:sz w:val="22"/>
          <w:szCs w:val="22"/>
        </w:rPr>
        <w:t>33.2  评标委员会成员和参与评标的有关工作人员不得透露对投标文件的评审、中标候选人的推荐情况以及与评标有关的其他任何情况。</w:t>
      </w:r>
    </w:p>
    <w:p>
      <w:pPr>
        <w:spacing w:after="78" w:afterLines="25" w:line="276" w:lineRule="auto"/>
        <w:rPr>
          <w:rFonts w:ascii="宋体" w:hAnsi="宋体"/>
          <w:sz w:val="22"/>
          <w:szCs w:val="22"/>
        </w:rPr>
      </w:pPr>
      <w:r>
        <w:rPr>
          <w:rFonts w:hint="eastAsia" w:ascii="宋体" w:hAnsi="宋体"/>
          <w:sz w:val="22"/>
          <w:szCs w:val="22"/>
        </w:rPr>
        <w:t>33.3  中标人确定后，采购人或采购代理无需向未中标人就评标过程及其未能中标作出任何解释。评标委员会成员或其关人员不得向未中标人透露评标过程的情况和材料。</w:t>
      </w:r>
    </w:p>
    <w:p>
      <w:pPr>
        <w:spacing w:after="78" w:afterLines="25" w:line="276" w:lineRule="auto"/>
        <w:rPr>
          <w:rFonts w:ascii="宋体" w:hAnsi="宋体"/>
          <w:b/>
          <w:sz w:val="22"/>
          <w:szCs w:val="22"/>
        </w:rPr>
      </w:pPr>
      <w:r>
        <w:rPr>
          <w:rFonts w:hint="eastAsia" w:ascii="宋体" w:hAnsi="宋体"/>
          <w:b/>
          <w:bCs/>
          <w:sz w:val="22"/>
          <w:szCs w:val="22"/>
        </w:rPr>
        <w:t>34.   评标方法</w:t>
      </w:r>
    </w:p>
    <w:p>
      <w:pPr>
        <w:spacing w:after="78" w:afterLines="25" w:line="276" w:lineRule="auto"/>
        <w:rPr>
          <w:rFonts w:ascii="宋体" w:hAnsi="宋体"/>
          <w:sz w:val="22"/>
          <w:szCs w:val="22"/>
        </w:rPr>
      </w:pPr>
      <w:r>
        <w:rPr>
          <w:rFonts w:hint="eastAsia" w:ascii="宋体" w:hAnsi="宋体"/>
          <w:sz w:val="22"/>
          <w:szCs w:val="22"/>
        </w:rPr>
        <w:t>34.1  根据国家及深圳相关法律法规规定，评标方法有最低评标价法、综合评标法、性价比法及法律、法规允许的其它评标办法。</w:t>
      </w:r>
    </w:p>
    <w:p>
      <w:pPr>
        <w:spacing w:after="78" w:afterLines="25" w:line="276" w:lineRule="auto"/>
        <w:rPr>
          <w:rFonts w:ascii="宋体" w:hAnsi="宋体"/>
          <w:sz w:val="22"/>
          <w:szCs w:val="22"/>
        </w:rPr>
      </w:pPr>
      <w:r>
        <w:rPr>
          <w:rFonts w:hint="eastAsia" w:ascii="宋体" w:hAnsi="宋体"/>
          <w:sz w:val="22"/>
          <w:szCs w:val="22"/>
        </w:rPr>
        <w:t>34.1.1</w:t>
      </w:r>
      <w:bookmarkStart w:id="269" w:name="评标方法2"/>
      <w:r>
        <w:rPr>
          <w:rFonts w:hint="eastAsia" w:ascii="宋体" w:hAnsi="宋体"/>
          <w:sz w:val="22"/>
          <w:szCs w:val="22"/>
        </w:rPr>
        <w:t>最低评标价法</w:t>
      </w:r>
    </w:p>
    <w:p>
      <w:pPr>
        <w:spacing w:after="78" w:afterLines="25" w:line="276" w:lineRule="auto"/>
        <w:rPr>
          <w:rFonts w:ascii="宋体" w:hAnsi="宋体"/>
          <w:sz w:val="22"/>
          <w:szCs w:val="22"/>
        </w:rPr>
      </w:pPr>
      <w:r>
        <w:rPr>
          <w:rFonts w:hint="eastAsia" w:ascii="宋体" w:hAnsi="宋体"/>
          <w:sz w:val="22"/>
          <w:szCs w:val="22"/>
        </w:rPr>
        <w:t>最低评标价法是指以价格因素确定中标候选投标人的评标方法，即在满足招标文件实质性要求前提下，以报价最低的投标投标人作为中标候选投标人或中标投标人的评标方法；</w:t>
      </w:r>
    </w:p>
    <w:p>
      <w:pPr>
        <w:spacing w:after="78" w:afterLines="25" w:line="276" w:lineRule="auto"/>
        <w:rPr>
          <w:rFonts w:ascii="宋体" w:hAnsi="宋体"/>
          <w:sz w:val="22"/>
          <w:szCs w:val="22"/>
        </w:rPr>
      </w:pPr>
      <w:r>
        <w:rPr>
          <w:rFonts w:hint="eastAsia" w:ascii="宋体" w:hAnsi="宋体"/>
          <w:sz w:val="22"/>
          <w:szCs w:val="22"/>
        </w:rPr>
        <w:t>34.1.2综合评分法</w:t>
      </w:r>
      <w:bookmarkEnd w:id="269"/>
    </w:p>
    <w:p>
      <w:pPr>
        <w:spacing w:after="78" w:afterLines="25" w:line="276" w:lineRule="auto"/>
        <w:rPr>
          <w:rFonts w:ascii="宋体" w:hAnsi="宋体"/>
          <w:sz w:val="22"/>
          <w:szCs w:val="22"/>
        </w:rPr>
      </w:pPr>
      <w:r>
        <w:rPr>
          <w:rFonts w:hint="eastAsia" w:ascii="宋体" w:hAnsi="宋体"/>
          <w:sz w:val="22"/>
          <w:szCs w:val="22"/>
        </w:rPr>
        <w:t>综合评分法是指在最大限度地满足招标文件实质性要求前提下，按照招标文件中规定的各项因素进行量化打分，以评标总得分最高的投标投标人作为中标候选投标人或中标人的评标方法。</w:t>
      </w:r>
    </w:p>
    <w:p>
      <w:pPr>
        <w:spacing w:after="78" w:afterLines="25" w:line="276" w:lineRule="auto"/>
        <w:rPr>
          <w:rFonts w:ascii="宋体" w:hAnsi="宋体"/>
          <w:sz w:val="22"/>
          <w:szCs w:val="22"/>
        </w:rPr>
      </w:pPr>
      <w:r>
        <w:rPr>
          <w:rFonts w:hint="eastAsia" w:ascii="宋体" w:hAnsi="宋体"/>
          <w:sz w:val="22"/>
          <w:szCs w:val="22"/>
        </w:rPr>
        <w:t>34.1.3性价比法</w:t>
      </w:r>
    </w:p>
    <w:p>
      <w:pPr>
        <w:spacing w:after="78" w:afterLines="25" w:line="276" w:lineRule="auto"/>
        <w:rPr>
          <w:rFonts w:ascii="宋体" w:hAnsi="宋体"/>
          <w:sz w:val="22"/>
          <w:szCs w:val="22"/>
        </w:rPr>
      </w:pPr>
      <w:r>
        <w:rPr>
          <w:rFonts w:hint="eastAsia" w:ascii="宋体" w:hAnsi="宋体"/>
          <w:sz w:val="22"/>
          <w:szCs w:val="22"/>
        </w:rPr>
        <w:t>性价比法是指除价格因素外，经对投标文件进行评审，计算出评分因素的总分，除以投标报价，以商数最高的投标投标人作为中标候选投标人或中标人的评标方法。</w:t>
      </w:r>
    </w:p>
    <w:p>
      <w:pPr>
        <w:spacing w:after="78" w:afterLines="25" w:line="276" w:lineRule="auto"/>
        <w:rPr>
          <w:rFonts w:ascii="宋体" w:hAnsi="宋体"/>
          <w:sz w:val="22"/>
          <w:szCs w:val="22"/>
        </w:rPr>
      </w:pPr>
      <w:r>
        <w:rPr>
          <w:rFonts w:hint="eastAsia" w:ascii="宋体" w:hAnsi="宋体"/>
          <w:sz w:val="22"/>
          <w:szCs w:val="22"/>
        </w:rPr>
        <w:t>34.2  评标委员会应当根据“投标须知前附表”规定的评标方法，对投标文件进行评审和比较。招标文件中没有规定的标准和方法不得作为评标的依据。</w:t>
      </w:r>
    </w:p>
    <w:p>
      <w:pPr>
        <w:spacing w:after="78" w:afterLines="25" w:line="276" w:lineRule="auto"/>
        <w:rPr>
          <w:rFonts w:ascii="宋体" w:hAnsi="宋体"/>
          <w:sz w:val="22"/>
          <w:szCs w:val="22"/>
        </w:rPr>
      </w:pPr>
      <w:r>
        <w:rPr>
          <w:rFonts w:hint="eastAsia" w:ascii="宋体" w:hAnsi="宋体"/>
          <w:sz w:val="22"/>
          <w:szCs w:val="22"/>
        </w:rPr>
        <w:t>34.3  投标人投标价不得低于成本。</w:t>
      </w:r>
    </w:p>
    <w:p>
      <w:pPr>
        <w:spacing w:after="78" w:afterLines="25" w:line="276" w:lineRule="auto"/>
        <w:rPr>
          <w:rFonts w:ascii="宋体" w:hAnsi="宋体"/>
          <w:sz w:val="22"/>
          <w:szCs w:val="22"/>
        </w:rPr>
      </w:pPr>
      <w:r>
        <w:rPr>
          <w:rFonts w:hint="eastAsia" w:ascii="宋体" w:hAnsi="宋体"/>
          <w:sz w:val="22"/>
          <w:szCs w:val="22"/>
        </w:rPr>
        <w:t>34.4  本项目具体评标方法见本章附件。</w:t>
      </w:r>
    </w:p>
    <w:bookmarkEnd w:id="234"/>
    <w:p>
      <w:pPr>
        <w:spacing w:after="78" w:afterLines="25" w:line="276" w:lineRule="auto"/>
        <w:rPr>
          <w:rFonts w:ascii="宋体" w:hAnsi="宋体"/>
          <w:b/>
          <w:bCs/>
          <w:sz w:val="22"/>
          <w:szCs w:val="22"/>
        </w:rPr>
      </w:pPr>
      <w:bookmarkStart w:id="270" w:name="OLE_LINK24"/>
      <w:bookmarkStart w:id="271" w:name="_Toc36556801"/>
      <w:r>
        <w:rPr>
          <w:rFonts w:hint="eastAsia" w:ascii="宋体" w:hAnsi="宋体"/>
          <w:b/>
          <w:bCs/>
          <w:sz w:val="22"/>
          <w:szCs w:val="22"/>
        </w:rPr>
        <w:t xml:space="preserve">35.1    </w:t>
      </w:r>
      <w:r>
        <w:rPr>
          <w:rFonts w:hint="eastAsia" w:ascii="宋体" w:hAnsi="宋体"/>
          <w:b/>
          <w:sz w:val="22"/>
          <w:szCs w:val="22"/>
        </w:rPr>
        <w:t>定标原则：本项目采用以下第</w:t>
      </w:r>
      <w:r>
        <w:rPr>
          <w:rFonts w:hint="eastAsia" w:ascii="宋体" w:hAnsi="宋体"/>
          <w:b/>
          <w:sz w:val="22"/>
          <w:szCs w:val="22"/>
          <w:u w:val="single"/>
        </w:rPr>
        <w:t>__1___</w:t>
      </w:r>
      <w:r>
        <w:rPr>
          <w:rFonts w:hint="eastAsia" w:ascii="宋体" w:hAnsi="宋体"/>
          <w:b/>
          <w:sz w:val="22"/>
          <w:szCs w:val="22"/>
        </w:rPr>
        <w:t>种确定中标人方式。</w:t>
      </w:r>
    </w:p>
    <w:p>
      <w:pPr>
        <w:snapToGrid w:val="0"/>
        <w:spacing w:line="276" w:lineRule="auto"/>
        <w:ind w:firstLine="442" w:firstLineChars="200"/>
        <w:rPr>
          <w:rFonts w:ascii="宋体" w:hAnsi="宋体"/>
          <w:b/>
          <w:sz w:val="22"/>
          <w:szCs w:val="22"/>
        </w:rPr>
      </w:pPr>
      <w:r>
        <w:rPr>
          <w:rFonts w:hint="eastAsia" w:ascii="宋体" w:hAnsi="宋体"/>
          <w:b/>
          <w:sz w:val="22"/>
          <w:szCs w:val="22"/>
        </w:rPr>
        <w:t>1、授权评标委员会确定中标候选人或中标人</w:t>
      </w:r>
    </w:p>
    <w:p>
      <w:pPr>
        <w:snapToGrid w:val="0"/>
        <w:spacing w:line="276" w:lineRule="auto"/>
        <w:ind w:firstLine="440" w:firstLineChars="200"/>
        <w:rPr>
          <w:rFonts w:hint="eastAsia" w:ascii="宋体" w:hAnsi="宋体"/>
          <w:sz w:val="22"/>
          <w:szCs w:val="22"/>
          <w:highlight w:val="none"/>
        </w:rPr>
      </w:pPr>
      <w:r>
        <w:rPr>
          <w:rFonts w:hint="eastAsia" w:ascii="宋体" w:hAnsi="宋体"/>
          <w:sz w:val="22"/>
          <w:szCs w:val="22"/>
          <w:highlight w:val="none"/>
          <w:lang w:val="en-US" w:eastAsia="zh-CN"/>
        </w:rPr>
        <w:t>投标文件满足招标文件全部实质性要求，按投标报价</w:t>
      </w:r>
      <w:r>
        <w:rPr>
          <w:rFonts w:hint="eastAsia" w:ascii="宋体" w:hAnsi="宋体"/>
          <w:sz w:val="22"/>
          <w:szCs w:val="22"/>
          <w:highlight w:val="none"/>
        </w:rPr>
        <w:t>由低到高</w:t>
      </w:r>
      <w:r>
        <w:rPr>
          <w:rFonts w:hint="eastAsia" w:ascii="宋体" w:hAnsi="宋体"/>
          <w:sz w:val="22"/>
          <w:szCs w:val="22"/>
          <w:highlight w:val="none"/>
          <w:lang w:val="en-US" w:eastAsia="zh-CN"/>
        </w:rPr>
        <w:t>进行排序，投标报价最低的投标人为中标候选人（排名第二的投标人为第一递补中标候选人、排名第三的投标人为第二递补中标候选人）。</w:t>
      </w:r>
    </w:p>
    <w:p>
      <w:pPr>
        <w:snapToGrid w:val="0"/>
        <w:spacing w:line="276" w:lineRule="auto"/>
        <w:ind w:firstLine="440" w:firstLineChars="200"/>
        <w:rPr>
          <w:rFonts w:ascii="宋体" w:hAnsi="宋体"/>
          <w:sz w:val="22"/>
          <w:szCs w:val="22"/>
          <w:highlight w:val="none"/>
        </w:rPr>
      </w:pPr>
      <w:r>
        <w:rPr>
          <w:rFonts w:hint="eastAsia" w:ascii="宋体" w:hAnsi="宋体"/>
          <w:sz w:val="22"/>
          <w:szCs w:val="22"/>
          <w:highlight w:val="none"/>
        </w:rPr>
        <w:t>投标报价相同的，则现场通知同分同价的投标人法人代表或投标代表（凭身份证）到达开标现场抽签决定排序。（抽签程序：招标人代表或现场工作人员从1-50号球中抽取一个球：抽到01-25号范围内的球，本项目采用号码最小的投标人中标的方式确定中标供应商；抽到26-50号范围内的球，本项目采用号码最大的投标人中标的方式确定中标供应商。各投标人按照《综合得分表》系统排顺依次抽签，如最大（小）出现两家或以上投标人同号的情况，则对同号的投标人重新摇签确定中标供应商。另，抽签过程中遇抽签机器卡球的，被卡球方当轮重新抽签。</w:t>
      </w:r>
    </w:p>
    <w:p>
      <w:pPr>
        <w:snapToGrid w:val="0"/>
        <w:spacing w:line="276" w:lineRule="auto"/>
        <w:ind w:firstLine="440" w:firstLineChars="200"/>
        <w:rPr>
          <w:rFonts w:ascii="宋体" w:hAnsi="宋体"/>
          <w:sz w:val="22"/>
          <w:szCs w:val="22"/>
        </w:rPr>
      </w:pPr>
      <w:r>
        <w:rPr>
          <w:rFonts w:hint="eastAsia" w:ascii="宋体" w:hAnsi="宋体"/>
          <w:sz w:val="22"/>
          <w:szCs w:val="22"/>
        </w:rPr>
        <w:t>2、评定分离</w:t>
      </w:r>
    </w:p>
    <w:p>
      <w:pPr>
        <w:spacing w:after="78" w:afterLines="25" w:line="276" w:lineRule="auto"/>
        <w:ind w:firstLine="440" w:firstLineChars="200"/>
        <w:rPr>
          <w:rFonts w:ascii="宋体" w:hAnsi="宋体"/>
          <w:b/>
          <w:bCs/>
          <w:sz w:val="22"/>
          <w:szCs w:val="22"/>
        </w:rPr>
      </w:pPr>
      <w:r>
        <w:rPr>
          <w:rFonts w:hint="eastAsia" w:ascii="宋体" w:hAnsi="宋体"/>
          <w:sz w:val="22"/>
          <w:szCs w:val="22"/>
        </w:rPr>
        <w:t>按评审后得分由高到低顺序排序。得分最高的投标供应商排序靠前。得分相同的，按投标报价由低到高排列，报价最低者排序靠前。得分且投标报价相同的，则现场通知同分同价的投标人法人代表或投标代表（凭身份证）到达开标现场抽签决定排序（抽签方法同上）。评标委员会推荐排序靠前的</w:t>
      </w:r>
      <w:r>
        <w:rPr>
          <w:rFonts w:hint="eastAsia" w:ascii="宋体" w:hAnsi="宋体"/>
          <w:sz w:val="22"/>
          <w:szCs w:val="22"/>
          <w:u w:val="single"/>
        </w:rPr>
        <w:t xml:space="preserve">   </w:t>
      </w:r>
      <w:r>
        <w:rPr>
          <w:rFonts w:hint="eastAsia" w:ascii="宋体" w:hAnsi="宋体"/>
          <w:sz w:val="22"/>
          <w:szCs w:val="22"/>
        </w:rPr>
        <w:t>名或全部进入定标程序。定标会议由招标人组织，本项目采用</w:t>
      </w:r>
      <w:r>
        <w:rPr>
          <w:rFonts w:hint="eastAsia" w:ascii="宋体" w:hAnsi="宋体"/>
          <w:sz w:val="22"/>
          <w:szCs w:val="22"/>
          <w:u w:val="single"/>
        </w:rPr>
        <w:t xml:space="preserve">   </w:t>
      </w:r>
      <w:r>
        <w:rPr>
          <w:rFonts w:hint="eastAsia" w:ascii="宋体" w:hAnsi="宋体"/>
          <w:sz w:val="22"/>
          <w:szCs w:val="22"/>
        </w:rPr>
        <w:t>定标法确定中标人。</w:t>
      </w:r>
    </w:p>
    <w:p>
      <w:pPr>
        <w:spacing w:line="276" w:lineRule="auto"/>
        <w:rPr>
          <w:rFonts w:ascii="宋体" w:hAnsi="宋体" w:cs="Arial"/>
          <w:b/>
          <w:sz w:val="22"/>
          <w:szCs w:val="22"/>
        </w:rPr>
      </w:pPr>
      <w:bookmarkStart w:id="272" w:name="OLE_LINK58"/>
      <w:r>
        <w:rPr>
          <w:rFonts w:hint="eastAsia" w:ascii="宋体" w:hAnsi="宋体" w:cs="Arial"/>
          <w:b/>
          <w:sz w:val="22"/>
          <w:szCs w:val="22"/>
        </w:rPr>
        <w:t>35.2中标服务费</w:t>
      </w:r>
    </w:p>
    <w:p>
      <w:pPr>
        <w:spacing w:line="276" w:lineRule="auto"/>
        <w:rPr>
          <w:rFonts w:ascii="宋体" w:hAnsi="宋体" w:cs="Arial"/>
          <w:b/>
          <w:sz w:val="22"/>
          <w:szCs w:val="22"/>
        </w:rPr>
      </w:pPr>
      <w:r>
        <w:rPr>
          <w:rFonts w:hint="eastAsia" w:ascii="宋体" w:hAnsi="宋体" w:cs="Arial"/>
          <w:b/>
          <w:sz w:val="22"/>
          <w:szCs w:val="22"/>
        </w:rPr>
        <w:t>35.2.1中标方应在发出中标通知书前向招标机构支付招标代理费。</w:t>
      </w:r>
    </w:p>
    <w:p>
      <w:pPr>
        <w:spacing w:line="276" w:lineRule="auto"/>
        <w:rPr>
          <w:rFonts w:ascii="宋体" w:hAnsi="宋体" w:cs="Arial"/>
          <w:b/>
          <w:sz w:val="22"/>
          <w:szCs w:val="22"/>
        </w:rPr>
      </w:pPr>
      <w:r>
        <w:rPr>
          <w:rFonts w:hint="eastAsia" w:ascii="宋体" w:hAnsi="宋体" w:cs="Arial"/>
          <w:b/>
          <w:sz w:val="22"/>
          <w:szCs w:val="22"/>
        </w:rPr>
        <w:t>35.2.2中标人应按规定的计费方式向招标机构支付招标代理费。</w:t>
      </w:r>
    </w:p>
    <w:tbl>
      <w:tblPr>
        <w:tblStyle w:val="4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79"/>
        <w:gridCol w:w="44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中标金额（万元）</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货物</w:t>
            </w:r>
            <w:r>
              <w:rPr>
                <w:rFonts w:hint="default" w:ascii="宋体" w:hAnsi="宋体"/>
                <w:sz w:val="22"/>
                <w:szCs w:val="22"/>
              </w:rPr>
              <w:t>招标收费费率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100以下</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w:t>
            </w:r>
            <w:r>
              <w:rPr>
                <w:rFonts w:hint="eastAsia" w:ascii="宋体" w:hAnsi="宋体"/>
                <w:sz w:val="22"/>
                <w:szCs w:val="22"/>
              </w:rPr>
              <w:t>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100-500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1.1</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500-1000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eastAsia" w:ascii="宋体" w:hAnsi="宋体"/>
                <w:sz w:val="22"/>
                <w:szCs w:val="22"/>
              </w:rPr>
              <w:t>0.8</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1000-5000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w:t>
            </w:r>
            <w:r>
              <w:rPr>
                <w:rFonts w:hint="eastAsia" w:ascii="宋体" w:hAnsi="宋体"/>
                <w:sz w:val="22"/>
                <w:szCs w:val="22"/>
              </w:rPr>
              <w:t>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5000-10000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w:t>
            </w:r>
            <w:r>
              <w:rPr>
                <w:rFonts w:hint="eastAsia" w:ascii="宋体" w:hAnsi="宋体"/>
                <w:sz w:val="22"/>
                <w:szCs w:val="22"/>
              </w:rPr>
              <w:t>25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10000-100000</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0.0</w:t>
            </w:r>
            <w:r>
              <w:rPr>
                <w:rFonts w:hint="eastAsia" w:ascii="宋体" w:hAnsi="宋体"/>
                <w:sz w:val="22"/>
                <w:szCs w:val="22"/>
              </w:rPr>
              <w:t>5</w:t>
            </w:r>
            <w:r>
              <w:rPr>
                <w:rFonts w:hint="default" w:ascii="宋体" w:hAnsi="宋体"/>
                <w:sz w:val="22"/>
                <w:szCs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100000以上</w:t>
            </w:r>
            <w:r>
              <w:rPr>
                <w:rFonts w:hint="eastAsia" w:ascii="宋体" w:hAnsi="宋体"/>
                <w:sz w:val="22"/>
                <w:szCs w:val="22"/>
              </w:rPr>
              <w:t>部分</w:t>
            </w:r>
          </w:p>
        </w:tc>
        <w:tc>
          <w:tcPr>
            <w:tcW w:w="447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宋体" w:hAnsi="宋体"/>
                <w:sz w:val="22"/>
                <w:szCs w:val="22"/>
              </w:rPr>
            </w:pPr>
            <w:r>
              <w:rPr>
                <w:rFonts w:hint="default" w:ascii="宋体" w:hAnsi="宋体"/>
                <w:sz w:val="22"/>
                <w:szCs w:val="22"/>
              </w:rPr>
              <w:t>0.01%</w:t>
            </w:r>
          </w:p>
        </w:tc>
      </w:tr>
    </w:tbl>
    <w:p>
      <w:pPr>
        <w:spacing w:after="78" w:afterLines="25" w:line="276" w:lineRule="auto"/>
        <w:ind w:right="-57" w:firstLine="442" w:firstLineChars="200"/>
        <w:rPr>
          <w:rFonts w:hint="eastAsia" w:ascii="宋体" w:hAnsi="宋体"/>
          <w:b/>
          <w:sz w:val="22"/>
          <w:szCs w:val="22"/>
        </w:rPr>
      </w:pPr>
      <w:r>
        <w:rPr>
          <w:rFonts w:hint="eastAsia" w:ascii="宋体" w:hAnsi="宋体"/>
          <w:b/>
          <w:sz w:val="22"/>
          <w:szCs w:val="22"/>
        </w:rPr>
        <w:t>备注：最终代理以中标价为计费基础，下浮65%作为最终的代理费，且最低收费不低于人民币5000元。专家评审费及其他会务费则按实结算。</w:t>
      </w:r>
    </w:p>
    <w:p>
      <w:pPr>
        <w:keepNext w:val="0"/>
        <w:keepLines w:val="0"/>
        <w:pageBreakBefore w:val="0"/>
        <w:widowControl w:val="0"/>
        <w:kinsoku/>
        <w:wordWrap/>
        <w:overflowPunct/>
        <w:topLinePunct w:val="0"/>
        <w:autoSpaceDE/>
        <w:autoSpaceDN/>
        <w:bidi w:val="0"/>
        <w:adjustRightInd/>
        <w:snapToGrid/>
        <w:spacing w:after="78" w:afterLines="25" w:line="276" w:lineRule="auto"/>
        <w:ind w:firstLine="440" w:firstLineChars="200"/>
        <w:textAlignment w:val="auto"/>
        <w:rPr>
          <w:rFonts w:hint="eastAsia" w:ascii="宋体" w:hAnsi="宋体"/>
          <w:sz w:val="22"/>
          <w:szCs w:val="22"/>
        </w:rPr>
      </w:pPr>
      <w:r>
        <w:rPr>
          <w:rFonts w:hint="eastAsia" w:ascii="宋体" w:hAnsi="宋体"/>
          <w:sz w:val="22"/>
          <w:szCs w:val="22"/>
        </w:rPr>
        <w:t>收款单位：深圳市河图建设项目管理有限公司</w:t>
      </w:r>
    </w:p>
    <w:p>
      <w:pPr>
        <w:keepNext w:val="0"/>
        <w:keepLines w:val="0"/>
        <w:pageBreakBefore w:val="0"/>
        <w:widowControl w:val="0"/>
        <w:kinsoku/>
        <w:wordWrap/>
        <w:overflowPunct/>
        <w:topLinePunct w:val="0"/>
        <w:autoSpaceDE/>
        <w:autoSpaceDN/>
        <w:bidi w:val="0"/>
        <w:adjustRightInd/>
        <w:snapToGrid/>
        <w:spacing w:after="78" w:afterLines="25" w:line="276" w:lineRule="auto"/>
        <w:ind w:firstLine="440" w:firstLineChars="200"/>
        <w:textAlignment w:val="auto"/>
        <w:rPr>
          <w:rFonts w:hint="eastAsia" w:ascii="宋体" w:hAnsi="宋体"/>
          <w:sz w:val="22"/>
          <w:szCs w:val="22"/>
        </w:rPr>
      </w:pPr>
      <w:r>
        <w:rPr>
          <w:rFonts w:hint="eastAsia" w:ascii="宋体" w:hAnsi="宋体"/>
          <w:sz w:val="22"/>
          <w:szCs w:val="22"/>
        </w:rPr>
        <w:t>开户银行：中国建设银行股份有限公司深圳天健世纪支行</w:t>
      </w:r>
    </w:p>
    <w:p>
      <w:pPr>
        <w:keepNext w:val="0"/>
        <w:keepLines w:val="0"/>
        <w:pageBreakBefore w:val="0"/>
        <w:widowControl w:val="0"/>
        <w:kinsoku/>
        <w:wordWrap/>
        <w:overflowPunct/>
        <w:topLinePunct w:val="0"/>
        <w:autoSpaceDE/>
        <w:autoSpaceDN/>
        <w:bidi w:val="0"/>
        <w:adjustRightInd/>
        <w:snapToGrid/>
        <w:spacing w:after="78" w:afterLines="25" w:line="276" w:lineRule="auto"/>
        <w:ind w:firstLine="440" w:firstLineChars="200"/>
        <w:textAlignment w:val="auto"/>
        <w:rPr>
          <w:rFonts w:hint="eastAsia" w:ascii="宋体" w:hAnsi="宋体"/>
          <w:sz w:val="22"/>
          <w:szCs w:val="22"/>
        </w:rPr>
      </w:pPr>
      <w:r>
        <w:rPr>
          <w:rFonts w:hint="eastAsia" w:ascii="宋体" w:hAnsi="宋体"/>
          <w:sz w:val="22"/>
          <w:szCs w:val="22"/>
        </w:rPr>
        <w:t xml:space="preserve">帐  </w:t>
      </w:r>
      <w:r>
        <w:rPr>
          <w:rFonts w:hint="eastAsia" w:ascii="宋体" w:hAnsi="宋体"/>
          <w:sz w:val="22"/>
          <w:szCs w:val="22"/>
          <w:lang w:val="en-US" w:eastAsia="zh-CN"/>
        </w:rPr>
        <w:t xml:space="preserve"> </w:t>
      </w:r>
      <w:r>
        <w:rPr>
          <w:rFonts w:hint="eastAsia" w:ascii="宋体" w:hAnsi="宋体"/>
          <w:sz w:val="22"/>
          <w:szCs w:val="22"/>
        </w:rPr>
        <w:t xml:space="preserve"> 号：4425 0100 0100 0000 1673（用于支付中标服务费）</w:t>
      </w:r>
    </w:p>
    <w:bookmarkEnd w:id="270"/>
    <w:bookmarkEnd w:id="272"/>
    <w:p>
      <w:pPr>
        <w:keepNext/>
        <w:keepLines/>
        <w:spacing w:line="360" w:lineRule="auto"/>
        <w:jc w:val="center"/>
        <w:outlineLvl w:val="2"/>
        <w:rPr>
          <w:rFonts w:ascii="宋体" w:hAnsi="宋体"/>
          <w:b/>
          <w:sz w:val="22"/>
          <w:szCs w:val="22"/>
        </w:rPr>
      </w:pPr>
      <w:r>
        <w:rPr>
          <w:rFonts w:hint="eastAsia" w:ascii="宋体" w:hAnsi="宋体"/>
          <w:b/>
          <w:sz w:val="22"/>
          <w:szCs w:val="22"/>
        </w:rPr>
        <w:t>七、公开招标失败的后续处理</w:t>
      </w:r>
      <w:bookmarkEnd w:id="271"/>
    </w:p>
    <w:p>
      <w:pPr>
        <w:spacing w:after="78" w:afterLines="25" w:line="276" w:lineRule="auto"/>
        <w:rPr>
          <w:rFonts w:ascii="宋体" w:hAnsi="宋体"/>
          <w:b/>
          <w:sz w:val="22"/>
          <w:szCs w:val="22"/>
        </w:rPr>
      </w:pPr>
      <w:r>
        <w:rPr>
          <w:rFonts w:hint="eastAsia" w:ascii="宋体" w:hAnsi="宋体"/>
          <w:b/>
          <w:sz w:val="22"/>
          <w:szCs w:val="22"/>
        </w:rPr>
        <w:t>36．公开招标失败的处理</w:t>
      </w:r>
    </w:p>
    <w:p>
      <w:pPr>
        <w:spacing w:after="78" w:afterLines="25" w:line="276" w:lineRule="auto"/>
        <w:rPr>
          <w:rFonts w:ascii="宋体" w:hAnsi="宋体"/>
          <w:sz w:val="22"/>
          <w:szCs w:val="22"/>
        </w:rPr>
      </w:pPr>
      <w:r>
        <w:rPr>
          <w:rFonts w:hint="eastAsia" w:ascii="宋体" w:hAnsi="宋体"/>
          <w:sz w:val="22"/>
          <w:szCs w:val="22"/>
        </w:rPr>
        <w:t>36.1本项目公开招标过程中若由于投标截止后实际递交</w:t>
      </w:r>
      <w:r>
        <w:rPr>
          <w:rFonts w:ascii="宋体" w:hAnsi="宋体"/>
          <w:sz w:val="22"/>
          <w:szCs w:val="22"/>
        </w:rPr>
        <w:t>投标</w:t>
      </w:r>
      <w:r>
        <w:rPr>
          <w:rFonts w:hint="eastAsia" w:ascii="宋体" w:hAnsi="宋体"/>
          <w:sz w:val="22"/>
          <w:szCs w:val="22"/>
        </w:rPr>
        <w:t>文件的投标人数量不足、经评标委员会评审对招标文件作实质响应的投标人不足等原因造成公开招标失败，可委托采购代理重新组织采购。</w:t>
      </w:r>
    </w:p>
    <w:p>
      <w:pPr>
        <w:spacing w:after="78" w:afterLines="25" w:line="276" w:lineRule="auto"/>
        <w:rPr>
          <w:rFonts w:ascii="宋体" w:hAnsi="宋体"/>
          <w:sz w:val="22"/>
          <w:szCs w:val="22"/>
        </w:rPr>
      </w:pPr>
      <w:r>
        <w:rPr>
          <w:rFonts w:hint="eastAsia" w:ascii="宋体" w:hAnsi="宋体"/>
          <w:sz w:val="22"/>
          <w:szCs w:val="22"/>
        </w:rPr>
        <w:t>36.2重新组织采购有以下两种组织形式：</w:t>
      </w:r>
    </w:p>
    <w:p>
      <w:pPr>
        <w:spacing w:after="78" w:afterLines="25" w:line="276" w:lineRule="auto"/>
        <w:rPr>
          <w:rFonts w:ascii="宋体" w:hAnsi="宋体"/>
          <w:sz w:val="22"/>
          <w:szCs w:val="22"/>
        </w:rPr>
      </w:pPr>
      <w:r>
        <w:rPr>
          <w:rFonts w:hint="eastAsia" w:ascii="宋体" w:hAnsi="宋体"/>
          <w:sz w:val="22"/>
          <w:szCs w:val="22"/>
        </w:rPr>
        <w:t>36.2.1由采购代理重新组织公开招标；</w:t>
      </w:r>
    </w:p>
    <w:p>
      <w:pPr>
        <w:spacing w:after="78" w:afterLines="25" w:line="276" w:lineRule="auto"/>
        <w:rPr>
          <w:rFonts w:ascii="宋体" w:hAnsi="宋体"/>
          <w:sz w:val="22"/>
          <w:szCs w:val="22"/>
        </w:rPr>
      </w:pPr>
      <w:r>
        <w:rPr>
          <w:rFonts w:hint="eastAsia" w:ascii="宋体" w:hAnsi="宋体"/>
          <w:sz w:val="22"/>
          <w:szCs w:val="22"/>
        </w:rPr>
        <w:t>36.2.2根据实际情况需要向政府采购监督管理部门提出非公开招标方式申请，经政府采购监督管理部门批准公开招标失败采购项目可转为竞争性谈判或单一来源谈判方式采购。</w:t>
      </w:r>
    </w:p>
    <w:p>
      <w:pPr>
        <w:spacing w:after="78" w:afterLines="25" w:line="276" w:lineRule="auto"/>
        <w:rPr>
          <w:rFonts w:ascii="宋体" w:hAnsi="宋体"/>
          <w:sz w:val="22"/>
          <w:szCs w:val="22"/>
        </w:rPr>
      </w:pPr>
      <w:r>
        <w:rPr>
          <w:rFonts w:hint="eastAsia" w:ascii="宋体" w:hAnsi="宋体"/>
          <w:sz w:val="22"/>
          <w:szCs w:val="22"/>
        </w:rPr>
        <w:t>36.3公开招标失败的采购项目重新组织公开招标，采购代理要重新按公开招标流程发布招标公告和招标文件、组成评标委员会等组织采购活动。</w:t>
      </w:r>
    </w:p>
    <w:p>
      <w:pPr>
        <w:spacing w:after="78" w:afterLines="25" w:line="276" w:lineRule="auto"/>
        <w:rPr>
          <w:rFonts w:ascii="宋体" w:hAnsi="宋体"/>
          <w:sz w:val="22"/>
          <w:szCs w:val="22"/>
        </w:rPr>
      </w:pPr>
      <w:r>
        <w:rPr>
          <w:rFonts w:hint="eastAsia" w:ascii="宋体" w:hAnsi="宋体"/>
          <w:sz w:val="22"/>
          <w:szCs w:val="22"/>
        </w:rPr>
        <w:t>36.4公开招标失败的采购项目经政府采购监督管理部门批准转为竞争性谈判或单一来源谈判方式采购的，可不另行制作谈判文件，采购代理可就原招标文件中资质、技术及评标方法等变动情况向拟谈判对象发出谈判邀请，与原招标文件具同等效力，变动部分以谈判邀请文件为准。转为竞争性谈判或单一来源谈判方式采购的，投标人的原投标文件转为谈判应答文件。</w:t>
      </w:r>
    </w:p>
    <w:p>
      <w:pPr>
        <w:spacing w:after="78" w:afterLines="25" w:line="276" w:lineRule="auto"/>
        <w:rPr>
          <w:rFonts w:ascii="宋体" w:hAnsi="宋体"/>
          <w:b/>
          <w:sz w:val="22"/>
          <w:szCs w:val="22"/>
        </w:rPr>
      </w:pPr>
      <w:r>
        <w:rPr>
          <w:rFonts w:hint="eastAsia" w:ascii="宋体" w:hAnsi="宋体"/>
          <w:b/>
          <w:sz w:val="22"/>
          <w:szCs w:val="22"/>
        </w:rPr>
        <w:t>37．公开招标失败项目转为竞争性谈判方式采购</w:t>
      </w:r>
    </w:p>
    <w:p>
      <w:pPr>
        <w:spacing w:after="78" w:afterLines="25" w:line="276" w:lineRule="auto"/>
        <w:rPr>
          <w:rFonts w:ascii="宋体" w:hAnsi="宋体"/>
          <w:sz w:val="22"/>
          <w:szCs w:val="22"/>
        </w:rPr>
      </w:pPr>
      <w:r>
        <w:rPr>
          <w:rFonts w:hint="eastAsia" w:ascii="宋体" w:hAnsi="宋体"/>
          <w:sz w:val="22"/>
          <w:szCs w:val="22"/>
        </w:rPr>
        <w:t>37.1谈判小组</w:t>
      </w:r>
    </w:p>
    <w:p>
      <w:pPr>
        <w:spacing w:after="78" w:afterLines="25" w:line="276" w:lineRule="auto"/>
        <w:rPr>
          <w:rFonts w:ascii="宋体" w:hAnsi="宋体"/>
          <w:sz w:val="22"/>
          <w:szCs w:val="22"/>
        </w:rPr>
      </w:pPr>
      <w:r>
        <w:rPr>
          <w:rFonts w:hint="eastAsia" w:ascii="宋体" w:hAnsi="宋体"/>
          <w:sz w:val="22"/>
          <w:szCs w:val="22"/>
        </w:rPr>
        <w:t>37.1.1公开招标失败项目转为竞争性谈判方式采购后，评标委员会转为谈判小组，谈判小组成员由采购单位代表、有关专家组成；专家可重新抽取，也可继续采用评标委员会内专家。</w:t>
      </w:r>
    </w:p>
    <w:p>
      <w:pPr>
        <w:spacing w:after="78" w:afterLines="25" w:line="276" w:lineRule="auto"/>
        <w:rPr>
          <w:rFonts w:ascii="宋体" w:hAnsi="宋体"/>
          <w:sz w:val="22"/>
          <w:szCs w:val="22"/>
        </w:rPr>
      </w:pPr>
      <w:r>
        <w:rPr>
          <w:rFonts w:hint="eastAsia" w:ascii="宋体" w:hAnsi="宋体"/>
          <w:sz w:val="22"/>
          <w:szCs w:val="22"/>
        </w:rPr>
        <w:t>37.1.2谈判前，谈判小组将对各投标人的谈判应答文件进行审查，当谈判应答文件出现招标文件中第27.1部分以及谈判邀请中相应的变动部分的将视为无效，按废标处理，不得进入谈判。</w:t>
      </w:r>
    </w:p>
    <w:p>
      <w:pPr>
        <w:spacing w:after="78" w:afterLines="25" w:line="276" w:lineRule="auto"/>
        <w:rPr>
          <w:rFonts w:ascii="宋体" w:hAnsi="宋体"/>
          <w:sz w:val="22"/>
          <w:szCs w:val="22"/>
        </w:rPr>
      </w:pPr>
      <w:r>
        <w:rPr>
          <w:rFonts w:hint="eastAsia" w:ascii="宋体" w:hAnsi="宋体"/>
          <w:sz w:val="22"/>
          <w:szCs w:val="22"/>
        </w:rPr>
        <w:t>37.2谈判程序</w:t>
      </w:r>
    </w:p>
    <w:p>
      <w:pPr>
        <w:spacing w:after="78" w:afterLines="25" w:line="276" w:lineRule="auto"/>
        <w:rPr>
          <w:rFonts w:ascii="宋体" w:hAnsi="宋体"/>
          <w:sz w:val="22"/>
          <w:szCs w:val="22"/>
        </w:rPr>
      </w:pPr>
      <w:r>
        <w:rPr>
          <w:rFonts w:hint="eastAsia" w:ascii="宋体" w:hAnsi="宋体"/>
          <w:sz w:val="22"/>
          <w:szCs w:val="22"/>
        </w:rPr>
        <w:t>37.2.1参加谈判的投标人和谈判小组成员填写谈判登记表，并交验证明文件（法定代表人证明书、法人授权委托书、被授权的谈判代表身份证原件）。</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.2</w:t>
      </w:r>
      <w:r>
        <w:rPr>
          <w:rFonts w:hint="eastAsia" w:ascii="宋体" w:hAnsi="宋体"/>
          <w:sz w:val="22"/>
          <w:szCs w:val="22"/>
        </w:rPr>
        <w:t>谈判小组主持人宣布谈判规则和谈判纪律。</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.3</w:t>
      </w:r>
      <w:r>
        <w:rPr>
          <w:rFonts w:hint="eastAsia" w:ascii="宋体" w:hAnsi="宋体"/>
          <w:sz w:val="22"/>
          <w:szCs w:val="22"/>
        </w:rPr>
        <w:t>在谈判中，谈判小组将就以下谈判内容跟投标人进行谈判：</w:t>
      </w:r>
    </w:p>
    <w:p>
      <w:pPr>
        <w:spacing w:after="78" w:afterLines="25" w:line="276" w:lineRule="auto"/>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）项目方案；</w:t>
      </w:r>
    </w:p>
    <w:p>
      <w:pPr>
        <w:spacing w:after="78" w:afterLines="25" w:line="276" w:lineRule="auto"/>
        <w:rPr>
          <w:rFonts w:ascii="宋体" w:hAnsi="宋体"/>
          <w:sz w:val="22"/>
          <w:szCs w:val="22"/>
        </w:rPr>
      </w:pPr>
      <w:r>
        <w:rPr>
          <w:rFonts w:hint="eastAsia" w:ascii="宋体" w:hAnsi="宋体"/>
          <w:sz w:val="22"/>
          <w:szCs w:val="22"/>
        </w:rPr>
        <w:t>（2）报价；</w:t>
      </w:r>
    </w:p>
    <w:p>
      <w:pPr>
        <w:spacing w:after="78" w:afterLines="25" w:line="276" w:lineRule="auto"/>
        <w:rPr>
          <w:rFonts w:ascii="宋体" w:hAnsi="宋体"/>
          <w:sz w:val="22"/>
          <w:szCs w:val="22"/>
        </w:rPr>
      </w:pPr>
      <w:r>
        <w:rPr>
          <w:rFonts w:hint="eastAsia" w:ascii="宋体" w:hAnsi="宋体"/>
          <w:sz w:val="22"/>
          <w:szCs w:val="22"/>
        </w:rPr>
        <w:t>（3）其它相关事项。</w:t>
      </w:r>
    </w:p>
    <w:p>
      <w:pPr>
        <w:spacing w:after="78" w:afterLines="25" w:line="276" w:lineRule="auto"/>
        <w:rPr>
          <w:rFonts w:ascii="宋体" w:hAnsi="宋体"/>
          <w:sz w:val="22"/>
          <w:szCs w:val="22"/>
        </w:rPr>
      </w:pPr>
      <w:r>
        <w:rPr>
          <w:rFonts w:hint="eastAsia" w:ascii="宋体" w:hAnsi="宋体"/>
          <w:sz w:val="22"/>
          <w:szCs w:val="22"/>
        </w:rPr>
        <w:t>原招标文件或谈判邀请文件有实质性变动的，谈判小组应当通过采购代理通知所有参加谈判的投标人。</w:t>
      </w:r>
    </w:p>
    <w:p>
      <w:pPr>
        <w:spacing w:after="78" w:afterLines="25" w:line="276" w:lineRule="auto"/>
        <w:rPr>
          <w:rFonts w:ascii="宋体" w:hAnsi="宋体"/>
          <w:sz w:val="22"/>
          <w:szCs w:val="22"/>
        </w:rPr>
      </w:pPr>
      <w:r>
        <w:rPr>
          <w:rFonts w:hint="eastAsia" w:ascii="宋体" w:hAnsi="宋体"/>
          <w:sz w:val="22"/>
          <w:szCs w:val="22"/>
        </w:rPr>
        <w:t>37.2.4谈判小组可以用书面形式要求各投标人对其谈判应答文件含义不明确的内容作必要的澄清或者说明，重要问题投标人应以书面形式进行澄清、说明。</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5 允许投标人在谈判结束之前根据谈判小组提出的内容进行澄清、修改或完善，或对项目方案进行相应的调整。</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6投标人对谈判应答文件进行修改，都应形成文字材料，并经投标人谈判授权人签字认可或经投标人加盖公章予以确认。</w:t>
      </w:r>
    </w:p>
    <w:p>
      <w:pPr>
        <w:spacing w:after="78" w:afterLines="25" w:line="276" w:lineRule="auto"/>
        <w:rPr>
          <w:rFonts w:ascii="宋体" w:hAnsi="宋体"/>
          <w:sz w:val="22"/>
          <w:szCs w:val="22"/>
        </w:rPr>
      </w:pPr>
      <w:r>
        <w:rPr>
          <w:rFonts w:hint="eastAsia" w:ascii="宋体" w:hAnsi="宋体"/>
          <w:sz w:val="22"/>
          <w:szCs w:val="22"/>
        </w:rPr>
        <w:t>37.2.7谈判小组所有成员集中与单一投标人分别进行谈判。在谈判中，谈判的任何一方不得透露与谈判有关的其它投标人的技术资料、价格或者其他信息；参加谈判的投标人有三次更改机会；投标人应在规定的时间内提出最后更改及书面承诺。</w:t>
      </w:r>
    </w:p>
    <w:p>
      <w:pPr>
        <w:spacing w:after="78" w:afterLines="25" w:line="276" w:lineRule="auto"/>
        <w:rPr>
          <w:rFonts w:ascii="宋体" w:hAnsi="宋体"/>
          <w:sz w:val="22"/>
          <w:szCs w:val="22"/>
        </w:rPr>
      </w:pPr>
      <w:r>
        <w:rPr>
          <w:rFonts w:hint="eastAsia" w:ascii="宋体" w:hAnsi="宋体"/>
          <w:sz w:val="22"/>
          <w:szCs w:val="22"/>
        </w:rPr>
        <w:t>37.2.8有下列情形之一的，该投标人的谈判结果作废标处理，具体内容见原招标文件以及谈判邀请中相应的变动部分。</w:t>
      </w:r>
    </w:p>
    <w:p>
      <w:pPr>
        <w:spacing w:after="78" w:afterLines="25" w:line="276" w:lineRule="auto"/>
        <w:rPr>
          <w:rFonts w:ascii="宋体" w:hAnsi="宋体"/>
          <w:sz w:val="22"/>
          <w:szCs w:val="22"/>
        </w:rPr>
      </w:pPr>
      <w:r>
        <w:rPr>
          <w:rFonts w:hint="eastAsia" w:ascii="宋体" w:hAnsi="宋体"/>
          <w:sz w:val="22"/>
          <w:szCs w:val="22"/>
        </w:rPr>
        <w:t>37.2</w:t>
      </w:r>
      <w:r>
        <w:rPr>
          <w:rFonts w:ascii="宋体" w:hAnsi="宋体"/>
          <w:sz w:val="22"/>
          <w:szCs w:val="22"/>
        </w:rPr>
        <w:t>.</w:t>
      </w:r>
      <w:r>
        <w:rPr>
          <w:rFonts w:hint="eastAsia" w:ascii="宋体" w:hAnsi="宋体"/>
          <w:sz w:val="22"/>
          <w:szCs w:val="22"/>
        </w:rPr>
        <w:t>9谈判结束后，谈判小组根据投标人提供的谈判应答文件、谈判过程中产生的相关资料，对投标人谈判应答文件进行评估与比较，提出书面评审意见。</w:t>
      </w:r>
    </w:p>
    <w:p>
      <w:pPr>
        <w:spacing w:after="78" w:afterLines="25" w:line="276" w:lineRule="auto"/>
        <w:rPr>
          <w:rFonts w:ascii="宋体" w:hAnsi="宋体"/>
          <w:sz w:val="22"/>
          <w:szCs w:val="22"/>
        </w:rPr>
      </w:pPr>
      <w:r>
        <w:rPr>
          <w:rFonts w:hint="eastAsia" w:ascii="宋体" w:hAnsi="宋体"/>
          <w:sz w:val="22"/>
          <w:szCs w:val="22"/>
        </w:rPr>
        <w:t>37.2.10谈判小组将对谈判过程进行记录，以存档备查。</w:t>
      </w:r>
    </w:p>
    <w:p>
      <w:pPr>
        <w:spacing w:after="78" w:afterLines="25" w:line="276" w:lineRule="auto"/>
        <w:rPr>
          <w:rFonts w:ascii="宋体" w:hAnsi="宋体"/>
          <w:sz w:val="22"/>
          <w:szCs w:val="22"/>
        </w:rPr>
      </w:pPr>
      <w:r>
        <w:rPr>
          <w:rFonts w:hint="eastAsia" w:ascii="宋体" w:hAnsi="宋体"/>
          <w:sz w:val="22"/>
          <w:szCs w:val="22"/>
        </w:rPr>
        <w:t>37.3评标方法和定标原则</w:t>
      </w:r>
    </w:p>
    <w:p>
      <w:pPr>
        <w:spacing w:after="78" w:afterLines="25" w:line="276" w:lineRule="auto"/>
        <w:rPr>
          <w:rFonts w:ascii="宋体" w:hAnsi="宋体"/>
          <w:sz w:val="22"/>
          <w:szCs w:val="22"/>
        </w:rPr>
      </w:pPr>
      <w:r>
        <w:rPr>
          <w:rFonts w:hint="eastAsia" w:ascii="宋体" w:hAnsi="宋体"/>
          <w:sz w:val="22"/>
          <w:szCs w:val="22"/>
        </w:rPr>
        <w:t>37.3.1根据《深圳市政府采购评标委员会和评标方法暂行规定》（深财购[2005]5号），竞争性谈判采购项目的评标方法要比照最低评标价法规定执行。如确因实际情况需要采用其他评标方法的，应报经同级政府采购监督管理部门批准。原招标文件若采用最低评标价法以外的评标方法，转为竞争性谈判后，评标方法应采用最低评标价法。</w:t>
      </w:r>
    </w:p>
    <w:p>
      <w:pPr>
        <w:spacing w:after="78" w:afterLines="25" w:line="276" w:lineRule="auto"/>
        <w:rPr>
          <w:rFonts w:ascii="宋体" w:hAnsi="宋体"/>
          <w:sz w:val="22"/>
          <w:szCs w:val="22"/>
        </w:rPr>
      </w:pPr>
      <w:r>
        <w:rPr>
          <w:rFonts w:hint="eastAsia" w:ascii="宋体" w:hAnsi="宋体"/>
          <w:sz w:val="22"/>
          <w:szCs w:val="22"/>
        </w:rPr>
        <w:t>37.3.2对公开招标失败转为竞争性谈判方式采购的项目，谈判小组对谈判应答文件进行评审和比较，综合各家投标人最终的方案、服务和投资等谈判结果并按本须知第27.1.1的最低评标价法进行评审。</w:t>
      </w:r>
    </w:p>
    <w:p>
      <w:pPr>
        <w:spacing w:after="78" w:afterLines="25" w:line="276" w:lineRule="auto"/>
        <w:rPr>
          <w:rFonts w:ascii="宋体" w:hAnsi="宋体"/>
          <w:sz w:val="22"/>
          <w:szCs w:val="22"/>
        </w:rPr>
      </w:pPr>
      <w:r>
        <w:rPr>
          <w:rFonts w:hint="eastAsia" w:ascii="宋体" w:hAnsi="宋体"/>
          <w:sz w:val="22"/>
          <w:szCs w:val="22"/>
        </w:rPr>
        <w:t>37.3.3若要采用其他评标方法的，必须报经政府采购监督管理部门批准，谈判小组按批准的评标方法进行评审。谈判邀请文件中应注明批准的评标方法。</w:t>
      </w:r>
    </w:p>
    <w:p>
      <w:pPr>
        <w:spacing w:after="78" w:afterLines="25" w:line="276" w:lineRule="auto"/>
        <w:rPr>
          <w:rFonts w:ascii="宋体" w:hAnsi="宋体"/>
          <w:sz w:val="22"/>
          <w:szCs w:val="22"/>
        </w:rPr>
      </w:pPr>
      <w:r>
        <w:rPr>
          <w:rFonts w:hint="eastAsia" w:ascii="宋体" w:hAnsi="宋体"/>
          <w:sz w:val="22"/>
          <w:szCs w:val="22"/>
        </w:rPr>
        <w:t>37.3.4谈判小组向采购人提交书面评标报告，并受采购代理委托直接确定中标人。</w:t>
      </w:r>
    </w:p>
    <w:p>
      <w:pPr>
        <w:spacing w:after="78" w:afterLines="25" w:line="276" w:lineRule="auto"/>
        <w:rPr>
          <w:rFonts w:ascii="宋体" w:hAnsi="宋体"/>
          <w:b/>
          <w:sz w:val="22"/>
          <w:szCs w:val="22"/>
        </w:rPr>
      </w:pPr>
      <w:r>
        <w:rPr>
          <w:rFonts w:hint="eastAsia" w:ascii="宋体" w:hAnsi="宋体"/>
          <w:b/>
          <w:sz w:val="22"/>
          <w:szCs w:val="22"/>
        </w:rPr>
        <w:t>38．公开招标失败项目转为单一来源谈判方式采购</w:t>
      </w:r>
    </w:p>
    <w:p>
      <w:pPr>
        <w:spacing w:after="78" w:afterLines="25" w:line="276" w:lineRule="auto"/>
        <w:rPr>
          <w:rFonts w:ascii="宋体" w:hAnsi="宋体"/>
          <w:sz w:val="22"/>
          <w:szCs w:val="22"/>
        </w:rPr>
      </w:pPr>
      <w:r>
        <w:rPr>
          <w:rFonts w:hint="eastAsia" w:ascii="宋体" w:hAnsi="宋体"/>
          <w:sz w:val="22"/>
          <w:szCs w:val="22"/>
        </w:rPr>
        <w:t>38.1谈判小组</w:t>
      </w:r>
    </w:p>
    <w:p>
      <w:pPr>
        <w:spacing w:after="78" w:afterLines="25" w:line="276" w:lineRule="auto"/>
        <w:rPr>
          <w:rFonts w:ascii="宋体" w:hAnsi="宋体"/>
          <w:sz w:val="22"/>
          <w:szCs w:val="22"/>
        </w:rPr>
      </w:pPr>
      <w:r>
        <w:rPr>
          <w:rFonts w:hint="eastAsia" w:ascii="宋体" w:hAnsi="宋体"/>
          <w:sz w:val="22"/>
          <w:szCs w:val="22"/>
        </w:rPr>
        <w:t>38.1.1公开招标失败项目转为单一来源谈判方式采购后，评标委员会转为谈判小组，谈判小组成员由采购单位代表、有关专家组成；专家可重新抽取也可继续采用评标委员会内专家。</w:t>
      </w:r>
    </w:p>
    <w:p>
      <w:pPr>
        <w:spacing w:after="78" w:afterLines="25" w:line="276" w:lineRule="auto"/>
        <w:rPr>
          <w:rFonts w:ascii="宋体" w:hAnsi="宋体"/>
          <w:sz w:val="22"/>
          <w:szCs w:val="22"/>
        </w:rPr>
      </w:pPr>
      <w:r>
        <w:rPr>
          <w:rFonts w:hint="eastAsia" w:ascii="宋体" w:hAnsi="宋体"/>
          <w:sz w:val="22"/>
          <w:szCs w:val="22"/>
        </w:rPr>
        <w:t>38.2谈判程序</w:t>
      </w:r>
    </w:p>
    <w:p>
      <w:pPr>
        <w:spacing w:after="78" w:afterLines="25" w:line="276" w:lineRule="auto"/>
        <w:rPr>
          <w:rFonts w:ascii="宋体" w:hAnsi="宋体"/>
          <w:sz w:val="22"/>
          <w:szCs w:val="22"/>
        </w:rPr>
      </w:pPr>
      <w:r>
        <w:rPr>
          <w:rFonts w:hint="eastAsia" w:ascii="宋体" w:hAnsi="宋体"/>
          <w:sz w:val="22"/>
          <w:szCs w:val="22"/>
        </w:rPr>
        <w:t>38.2.1参加谈判的投标人和谈判小组成员填写谈判登记表，并交验证明文件（法定代表人证明书、法人授权委托书、被授权的谈判代表身份证原件）。</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.2</w:t>
      </w:r>
      <w:r>
        <w:rPr>
          <w:rFonts w:hint="eastAsia" w:ascii="宋体" w:hAnsi="宋体"/>
          <w:sz w:val="22"/>
          <w:szCs w:val="22"/>
        </w:rPr>
        <w:t>谈判小组主持人宣布谈判规则和谈判纪律。</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.3</w:t>
      </w:r>
      <w:r>
        <w:rPr>
          <w:rFonts w:hint="eastAsia" w:ascii="宋体" w:hAnsi="宋体"/>
          <w:sz w:val="22"/>
          <w:szCs w:val="22"/>
        </w:rPr>
        <w:t>在谈判中，谈判小组将就以下谈判内容跟投标人进行谈判：</w:t>
      </w:r>
    </w:p>
    <w:p>
      <w:pPr>
        <w:spacing w:after="78" w:afterLines="25" w:line="276" w:lineRule="auto"/>
        <w:rPr>
          <w:rFonts w:ascii="宋体" w:hAnsi="宋体"/>
          <w:sz w:val="22"/>
          <w:szCs w:val="22"/>
        </w:rPr>
      </w:pPr>
      <w:r>
        <w:rPr>
          <w:rFonts w:hint="eastAsia" w:ascii="宋体" w:hAnsi="宋体"/>
          <w:sz w:val="22"/>
          <w:szCs w:val="22"/>
        </w:rPr>
        <w:t>（</w:t>
      </w:r>
      <w:r>
        <w:rPr>
          <w:rFonts w:ascii="宋体" w:hAnsi="宋体"/>
          <w:sz w:val="22"/>
          <w:szCs w:val="22"/>
        </w:rPr>
        <w:t>1</w:t>
      </w:r>
      <w:r>
        <w:rPr>
          <w:rFonts w:hint="eastAsia" w:ascii="宋体" w:hAnsi="宋体"/>
          <w:sz w:val="22"/>
          <w:szCs w:val="22"/>
        </w:rPr>
        <w:t>）项目方案；</w:t>
      </w:r>
    </w:p>
    <w:p>
      <w:pPr>
        <w:spacing w:after="78" w:afterLines="25" w:line="276" w:lineRule="auto"/>
        <w:rPr>
          <w:rFonts w:ascii="宋体" w:hAnsi="宋体"/>
          <w:sz w:val="22"/>
          <w:szCs w:val="22"/>
        </w:rPr>
      </w:pPr>
      <w:r>
        <w:rPr>
          <w:rFonts w:hint="eastAsia" w:ascii="宋体" w:hAnsi="宋体"/>
          <w:sz w:val="22"/>
          <w:szCs w:val="22"/>
        </w:rPr>
        <w:t>（2）报价；</w:t>
      </w:r>
    </w:p>
    <w:p>
      <w:pPr>
        <w:spacing w:after="78" w:afterLines="25" w:line="276" w:lineRule="auto"/>
        <w:rPr>
          <w:rFonts w:ascii="宋体" w:hAnsi="宋体"/>
          <w:sz w:val="22"/>
          <w:szCs w:val="22"/>
        </w:rPr>
      </w:pPr>
      <w:r>
        <w:rPr>
          <w:rFonts w:hint="eastAsia" w:ascii="宋体" w:hAnsi="宋体"/>
          <w:sz w:val="22"/>
          <w:szCs w:val="22"/>
        </w:rPr>
        <w:t>（3）其它相关事项。</w:t>
      </w:r>
    </w:p>
    <w:p>
      <w:pPr>
        <w:spacing w:after="78" w:afterLines="25" w:line="276" w:lineRule="auto"/>
        <w:rPr>
          <w:rFonts w:ascii="宋体" w:hAnsi="宋体"/>
          <w:sz w:val="22"/>
          <w:szCs w:val="22"/>
        </w:rPr>
      </w:pPr>
      <w:r>
        <w:rPr>
          <w:rFonts w:hint="eastAsia" w:ascii="宋体" w:hAnsi="宋体"/>
          <w:sz w:val="22"/>
          <w:szCs w:val="22"/>
        </w:rPr>
        <w:t>原招标文件或谈判邀请文件有实质性变动的，谈判小组应当通过采购代理通知投标人。</w:t>
      </w:r>
    </w:p>
    <w:p>
      <w:pPr>
        <w:spacing w:after="78" w:afterLines="25" w:line="276" w:lineRule="auto"/>
        <w:rPr>
          <w:rFonts w:ascii="宋体" w:hAnsi="宋体"/>
          <w:sz w:val="22"/>
          <w:szCs w:val="22"/>
        </w:rPr>
      </w:pPr>
      <w:r>
        <w:rPr>
          <w:rFonts w:hint="eastAsia" w:ascii="宋体" w:hAnsi="宋体"/>
          <w:sz w:val="22"/>
          <w:szCs w:val="22"/>
        </w:rPr>
        <w:t>38.2.4谈判小组可以用书面形式要求投标人对其谈判应答文件含义不明确的内容作必要的澄清或者说明，重要问题投标人应以书面形式进行澄清、说明。</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5 允许投标人在谈判结束之前根据谈判小组提出的内容进行澄清、修改或完善，或对项目方案进行相应的调整。</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6投标人对谈判应答文件进行修改，都应形成文字材料，并经投标人谈判授权人签字认可。</w:t>
      </w:r>
    </w:p>
    <w:p>
      <w:pPr>
        <w:spacing w:after="78" w:afterLines="25" w:line="276" w:lineRule="auto"/>
        <w:rPr>
          <w:rFonts w:ascii="宋体" w:hAnsi="宋体"/>
          <w:sz w:val="22"/>
          <w:szCs w:val="22"/>
        </w:rPr>
      </w:pPr>
      <w:r>
        <w:rPr>
          <w:rFonts w:hint="eastAsia" w:ascii="宋体" w:hAnsi="宋体"/>
          <w:sz w:val="22"/>
          <w:szCs w:val="22"/>
        </w:rPr>
        <w:t>38.2.7谈判小组与单一来源投标人进行谈判。投标人有三次更改机会；投标人应在规定的时间内提出最后更改及书面承诺。</w:t>
      </w:r>
    </w:p>
    <w:p>
      <w:pPr>
        <w:spacing w:after="78" w:afterLines="25" w:line="276" w:lineRule="auto"/>
        <w:rPr>
          <w:rFonts w:ascii="宋体" w:hAnsi="宋体"/>
          <w:sz w:val="22"/>
          <w:szCs w:val="22"/>
        </w:rPr>
      </w:pPr>
      <w:r>
        <w:rPr>
          <w:rFonts w:hint="eastAsia" w:ascii="宋体" w:hAnsi="宋体"/>
          <w:sz w:val="22"/>
          <w:szCs w:val="22"/>
        </w:rPr>
        <w:t>38.2.8有下列情形之一的，投标人的谈判结果作废标处理，具体内容见原招标文件中第28.6部分部分以及谈判邀请中相应的变动部分。</w:t>
      </w:r>
    </w:p>
    <w:p>
      <w:pPr>
        <w:spacing w:after="78" w:afterLines="25" w:line="276" w:lineRule="auto"/>
        <w:rPr>
          <w:rFonts w:ascii="宋体" w:hAnsi="宋体"/>
          <w:sz w:val="22"/>
          <w:szCs w:val="22"/>
        </w:rPr>
      </w:pPr>
      <w:r>
        <w:rPr>
          <w:rFonts w:hint="eastAsia" w:ascii="宋体" w:hAnsi="宋体"/>
          <w:sz w:val="22"/>
          <w:szCs w:val="22"/>
        </w:rPr>
        <w:t>38.2</w:t>
      </w:r>
      <w:r>
        <w:rPr>
          <w:rFonts w:ascii="宋体" w:hAnsi="宋体"/>
          <w:sz w:val="22"/>
          <w:szCs w:val="22"/>
        </w:rPr>
        <w:t>.</w:t>
      </w:r>
      <w:r>
        <w:rPr>
          <w:rFonts w:hint="eastAsia" w:ascii="宋体" w:hAnsi="宋体"/>
          <w:sz w:val="22"/>
          <w:szCs w:val="22"/>
        </w:rPr>
        <w:t>9谈判结束后，谈判小组根据投标人提供的谈判应答文件、谈判过程中产生的相关资料，对投标人谈判应答文件进行评估与比较，提出书面评审意见。</w:t>
      </w:r>
    </w:p>
    <w:p>
      <w:pPr>
        <w:spacing w:after="78" w:afterLines="25" w:line="276" w:lineRule="auto"/>
        <w:rPr>
          <w:rFonts w:ascii="宋体" w:hAnsi="宋体"/>
          <w:sz w:val="22"/>
          <w:szCs w:val="22"/>
        </w:rPr>
      </w:pPr>
      <w:r>
        <w:rPr>
          <w:rFonts w:hint="eastAsia" w:ascii="宋体" w:hAnsi="宋体"/>
          <w:sz w:val="22"/>
          <w:szCs w:val="22"/>
        </w:rPr>
        <w:t>38.2.10谈判小组将对谈判过程进行记录，以存档备查。</w:t>
      </w:r>
    </w:p>
    <w:p>
      <w:pPr>
        <w:spacing w:after="78" w:afterLines="25" w:line="276" w:lineRule="auto"/>
        <w:rPr>
          <w:rFonts w:ascii="宋体" w:hAnsi="宋体"/>
          <w:sz w:val="22"/>
          <w:szCs w:val="22"/>
        </w:rPr>
      </w:pPr>
      <w:r>
        <w:rPr>
          <w:rFonts w:hint="eastAsia" w:ascii="宋体" w:hAnsi="宋体"/>
          <w:sz w:val="22"/>
          <w:szCs w:val="22"/>
        </w:rPr>
        <w:t>38.3评标方法和定标原则</w:t>
      </w:r>
    </w:p>
    <w:p>
      <w:pPr>
        <w:spacing w:after="78" w:afterLines="25" w:line="276" w:lineRule="auto"/>
        <w:rPr>
          <w:rFonts w:ascii="宋体" w:hAnsi="宋体"/>
          <w:sz w:val="22"/>
          <w:szCs w:val="22"/>
        </w:rPr>
      </w:pPr>
      <w:r>
        <w:rPr>
          <w:rFonts w:hint="eastAsia" w:ascii="宋体" w:hAnsi="宋体"/>
          <w:sz w:val="22"/>
          <w:szCs w:val="22"/>
        </w:rPr>
        <w:t>38.3.1单一来源谈判采用最低评标价法。原招标文件若采用最低评标价法以外的评标方法，转为竞争性谈判后，评标方法改为最低评标价法。谈判小组对谈判应答文件进行评审和比较，对投标人最终的方案、服务和投资等谈判结果按本须知第27.1.1的最低评标价法进行评审。</w:t>
      </w:r>
    </w:p>
    <w:p>
      <w:pPr>
        <w:spacing w:after="78" w:afterLines="25" w:line="276" w:lineRule="auto"/>
        <w:rPr>
          <w:rFonts w:ascii="宋体" w:hAnsi="宋体"/>
          <w:sz w:val="22"/>
          <w:szCs w:val="22"/>
        </w:rPr>
      </w:pPr>
      <w:r>
        <w:rPr>
          <w:rFonts w:hint="eastAsia" w:ascii="宋体" w:hAnsi="宋体"/>
          <w:sz w:val="22"/>
          <w:szCs w:val="22"/>
        </w:rPr>
        <w:t>38.3.2谈判小组向采购人提交书面评标报告，并受政府集中采购机构委托直接确定中标人。</w:t>
      </w:r>
    </w:p>
    <w:p>
      <w:pPr>
        <w:keepNext/>
        <w:keepLines/>
        <w:spacing w:line="360" w:lineRule="auto"/>
        <w:jc w:val="center"/>
        <w:outlineLvl w:val="2"/>
        <w:rPr>
          <w:rFonts w:ascii="宋体" w:hAnsi="宋体"/>
          <w:b/>
          <w:sz w:val="22"/>
          <w:szCs w:val="22"/>
        </w:rPr>
      </w:pPr>
      <w:bookmarkStart w:id="273" w:name="_Toc201401596"/>
      <w:bookmarkStart w:id="274" w:name="_Toc36556802"/>
      <w:bookmarkStart w:id="275" w:name="_Toc201997857"/>
      <w:r>
        <w:rPr>
          <w:rFonts w:hint="eastAsia" w:ascii="宋体" w:hAnsi="宋体"/>
          <w:b/>
          <w:sz w:val="22"/>
          <w:szCs w:val="22"/>
        </w:rPr>
        <w:t>八、合同授予</w:t>
      </w:r>
      <w:bookmarkEnd w:id="273"/>
      <w:bookmarkEnd w:id="274"/>
      <w:bookmarkEnd w:id="275"/>
    </w:p>
    <w:p>
      <w:pPr>
        <w:spacing w:after="78" w:afterLines="25" w:line="276" w:lineRule="auto"/>
        <w:rPr>
          <w:rFonts w:ascii="宋体" w:hAnsi="宋体"/>
          <w:b/>
          <w:bCs/>
          <w:sz w:val="22"/>
          <w:szCs w:val="22"/>
        </w:rPr>
      </w:pPr>
      <w:r>
        <w:rPr>
          <w:rFonts w:hint="eastAsia" w:ascii="宋体" w:hAnsi="宋体"/>
          <w:b/>
          <w:bCs/>
          <w:sz w:val="22"/>
          <w:szCs w:val="22"/>
        </w:rPr>
        <w:t>39.中标公告</w:t>
      </w:r>
    </w:p>
    <w:p>
      <w:pPr>
        <w:spacing w:after="78" w:afterLines="25" w:line="276" w:lineRule="auto"/>
        <w:rPr>
          <w:rFonts w:ascii="宋体" w:hAnsi="宋体"/>
          <w:sz w:val="22"/>
          <w:szCs w:val="22"/>
        </w:rPr>
      </w:pPr>
      <w:r>
        <w:rPr>
          <w:rFonts w:hint="eastAsia" w:ascii="宋体" w:hAnsi="宋体"/>
          <w:sz w:val="22"/>
          <w:szCs w:val="22"/>
        </w:rPr>
        <w:t>39.1评标结束后，采购代理将在</w:t>
      </w:r>
      <w:r>
        <w:rPr>
          <w:rFonts w:ascii="宋体" w:hAnsi="宋体"/>
          <w:sz w:val="22"/>
          <w:szCs w:val="22"/>
        </w:rPr>
        <w:t>“深圳市河图建设项目管理有限公司”</w:t>
      </w:r>
      <w:r>
        <w:rPr>
          <w:rFonts w:hint="eastAsia" w:ascii="宋体" w:hAnsi="宋体"/>
          <w:sz w:val="22"/>
          <w:szCs w:val="22"/>
        </w:rPr>
        <w:t>（</w:t>
      </w:r>
      <w:r>
        <w:rPr>
          <w:rFonts w:ascii="宋体" w:hAnsi="宋体"/>
        </w:rPr>
        <w:t xml:space="preserve"> </w:t>
      </w:r>
      <w:r>
        <w:rPr>
          <w:rFonts w:ascii="宋体" w:hAnsi="宋体"/>
          <w:sz w:val="22"/>
          <w:szCs w:val="22"/>
        </w:rPr>
        <w:t>http://www.hetujianshe.cn/index.html</w:t>
      </w:r>
      <w:r>
        <w:rPr>
          <w:rFonts w:hint="eastAsia" w:ascii="宋体" w:hAnsi="宋体"/>
          <w:sz w:val="22"/>
          <w:szCs w:val="22"/>
        </w:rPr>
        <w:t>）上发布中标结果公告。投标人如对评标结果有异议，请于公示期内，以书面形式向采购代理反映。若在公示期内未提出异议，则视为认同该评标结果。</w:t>
      </w:r>
    </w:p>
    <w:p>
      <w:pPr>
        <w:spacing w:after="78" w:afterLines="25" w:line="276" w:lineRule="auto"/>
        <w:rPr>
          <w:rFonts w:ascii="宋体" w:hAnsi="宋体"/>
          <w:sz w:val="22"/>
          <w:szCs w:val="22"/>
        </w:rPr>
      </w:pPr>
      <w:r>
        <w:rPr>
          <w:rFonts w:hint="eastAsia" w:ascii="宋体" w:hAnsi="宋体"/>
          <w:sz w:val="22"/>
          <w:szCs w:val="22"/>
        </w:rPr>
        <w:t>39.2质疑投诉人应保证质疑投诉内容的真实性和可靠性，并承担相应的法律责任。</w:t>
      </w:r>
    </w:p>
    <w:p>
      <w:pPr>
        <w:spacing w:after="78" w:afterLines="25" w:line="276" w:lineRule="auto"/>
        <w:rPr>
          <w:rFonts w:ascii="宋体" w:hAnsi="宋体"/>
          <w:b/>
          <w:bCs/>
          <w:sz w:val="22"/>
          <w:szCs w:val="22"/>
        </w:rPr>
      </w:pPr>
      <w:r>
        <w:rPr>
          <w:rFonts w:hint="eastAsia" w:ascii="宋体" w:hAnsi="宋体"/>
          <w:b/>
          <w:bCs/>
          <w:sz w:val="22"/>
          <w:szCs w:val="22"/>
        </w:rPr>
        <w:t>40.中标通知书</w:t>
      </w:r>
    </w:p>
    <w:p>
      <w:pPr>
        <w:spacing w:after="78" w:afterLines="25" w:line="276" w:lineRule="auto"/>
        <w:rPr>
          <w:rFonts w:ascii="宋体" w:hAnsi="宋体"/>
          <w:sz w:val="22"/>
          <w:szCs w:val="22"/>
        </w:rPr>
      </w:pPr>
      <w:r>
        <w:rPr>
          <w:rFonts w:hint="eastAsia" w:ascii="宋体" w:hAnsi="宋体"/>
          <w:sz w:val="22"/>
          <w:szCs w:val="22"/>
        </w:rPr>
        <w:t>40</w:t>
      </w:r>
      <w:r>
        <w:rPr>
          <w:rFonts w:ascii="宋体" w:hAnsi="宋体"/>
          <w:sz w:val="22"/>
          <w:szCs w:val="22"/>
        </w:rPr>
        <w:t>.</w:t>
      </w:r>
      <w:r>
        <w:rPr>
          <w:rFonts w:hint="eastAsia" w:ascii="宋体" w:hAnsi="宋体"/>
          <w:sz w:val="22"/>
          <w:szCs w:val="22"/>
        </w:rPr>
        <w:t>1中标公告公布后,公示期内无人投诉。请中标人凭单位证明及本人身份证到采购代理领取《中标通知书》。</w:t>
      </w:r>
    </w:p>
    <w:p>
      <w:pPr>
        <w:spacing w:after="78" w:afterLines="25" w:line="276" w:lineRule="auto"/>
        <w:rPr>
          <w:rFonts w:ascii="宋体" w:hAnsi="宋体"/>
          <w:sz w:val="22"/>
          <w:szCs w:val="22"/>
        </w:rPr>
      </w:pPr>
      <w:r>
        <w:rPr>
          <w:rFonts w:hint="eastAsia" w:ascii="宋体" w:hAnsi="宋体"/>
          <w:sz w:val="22"/>
          <w:szCs w:val="22"/>
        </w:rPr>
        <w:t>40</w:t>
      </w:r>
      <w:r>
        <w:rPr>
          <w:rFonts w:ascii="宋体" w:hAnsi="宋体"/>
          <w:sz w:val="22"/>
          <w:szCs w:val="22"/>
        </w:rPr>
        <w:t>.2</w:t>
      </w:r>
      <w:r>
        <w:rPr>
          <w:rFonts w:hint="eastAsia" w:ascii="宋体" w:hAnsi="宋体"/>
          <w:sz w:val="22"/>
          <w:szCs w:val="22"/>
        </w:rPr>
        <w:t>中标通知书是合同的重要组成部分。</w:t>
      </w:r>
    </w:p>
    <w:p>
      <w:pPr>
        <w:spacing w:after="78" w:afterLines="25" w:line="276" w:lineRule="auto"/>
        <w:rPr>
          <w:rFonts w:ascii="宋体" w:hAnsi="宋体"/>
          <w:b/>
          <w:sz w:val="22"/>
          <w:szCs w:val="22"/>
        </w:rPr>
      </w:pPr>
      <w:bookmarkStart w:id="276" w:name="_Toc163530325"/>
      <w:bookmarkStart w:id="277" w:name="_Toc135666838"/>
      <w:bookmarkStart w:id="278" w:name="_Toc148778180"/>
      <w:bookmarkStart w:id="279" w:name="_Toc148954882"/>
      <w:bookmarkStart w:id="280" w:name="_Toc188869304"/>
      <w:bookmarkStart w:id="281" w:name="_Toc157847843"/>
      <w:bookmarkStart w:id="282" w:name="_Toc201401599"/>
      <w:bookmarkStart w:id="283" w:name="_Toc143658478"/>
      <w:bookmarkStart w:id="284" w:name="_Toc187729603"/>
      <w:bookmarkStart w:id="285" w:name="_Toc148779975"/>
      <w:bookmarkStart w:id="286" w:name="_Toc148780261"/>
      <w:bookmarkStart w:id="287" w:name="_Toc98817952"/>
      <w:bookmarkStart w:id="288" w:name="_Toc201401407"/>
      <w:bookmarkStart w:id="289" w:name="_Toc148954487"/>
      <w:bookmarkStart w:id="290" w:name="_Toc148413323"/>
      <w:bookmarkStart w:id="291" w:name="_Toc135666651"/>
      <w:bookmarkStart w:id="292" w:name="_Toc134852045"/>
      <w:bookmarkStart w:id="293" w:name="_Toc148329824"/>
      <w:bookmarkStart w:id="294" w:name="_Toc201997860"/>
      <w:r>
        <w:rPr>
          <w:rFonts w:hint="eastAsia" w:ascii="宋体" w:hAnsi="宋体"/>
          <w:b/>
          <w:sz w:val="22"/>
          <w:szCs w:val="22"/>
        </w:rPr>
        <w:t>41．</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Pr>
          <w:rFonts w:hint="eastAsia" w:ascii="宋体" w:hAnsi="宋体"/>
          <w:b/>
          <w:sz w:val="22"/>
          <w:szCs w:val="22"/>
        </w:rPr>
        <w:t>履约担保</w:t>
      </w:r>
      <w:bookmarkEnd w:id="294"/>
    </w:p>
    <w:p>
      <w:pPr>
        <w:spacing w:after="78" w:afterLines="25" w:line="276" w:lineRule="auto"/>
        <w:rPr>
          <w:rFonts w:ascii="宋体" w:hAnsi="宋体"/>
          <w:sz w:val="22"/>
          <w:szCs w:val="22"/>
        </w:rPr>
      </w:pPr>
      <w:r>
        <w:rPr>
          <w:rFonts w:hint="eastAsia" w:ascii="宋体" w:hAnsi="宋体"/>
          <w:b/>
          <w:sz w:val="22"/>
          <w:szCs w:val="22"/>
        </w:rPr>
        <w:t>41</w:t>
      </w:r>
      <w:r>
        <w:rPr>
          <w:rFonts w:hint="eastAsia" w:ascii="宋体" w:hAnsi="宋体"/>
          <w:sz w:val="22"/>
          <w:szCs w:val="22"/>
        </w:rPr>
        <w:t>.1  本项目履约担保的相关要求：详见”投标须知前附表”。</w:t>
      </w:r>
    </w:p>
    <w:p>
      <w:pPr>
        <w:spacing w:after="78" w:afterLines="25" w:line="276" w:lineRule="auto"/>
        <w:rPr>
          <w:rFonts w:ascii="宋体" w:hAnsi="宋体"/>
          <w:sz w:val="22"/>
          <w:szCs w:val="22"/>
        </w:rPr>
      </w:pPr>
      <w:r>
        <w:rPr>
          <w:rFonts w:hint="eastAsia" w:ascii="宋体" w:hAnsi="宋体"/>
          <w:b/>
          <w:sz w:val="22"/>
          <w:szCs w:val="22"/>
        </w:rPr>
        <w:t>41</w:t>
      </w:r>
      <w:r>
        <w:rPr>
          <w:rFonts w:hint="eastAsia" w:ascii="宋体" w:hAnsi="宋体"/>
          <w:sz w:val="22"/>
          <w:szCs w:val="22"/>
        </w:rPr>
        <w:t>.2  在签订合同前，中标人应按规定向采购人提交履约担保，采用履约保函形式的可参照使用本招标文件提供的格式。</w:t>
      </w:r>
    </w:p>
    <w:p>
      <w:pPr>
        <w:spacing w:after="78" w:afterLines="25" w:line="276" w:lineRule="auto"/>
        <w:rPr>
          <w:rFonts w:ascii="宋体" w:hAnsi="宋体"/>
          <w:sz w:val="22"/>
          <w:szCs w:val="22"/>
        </w:rPr>
      </w:pPr>
    </w:p>
    <w:p>
      <w:pPr>
        <w:spacing w:after="78" w:afterLines="25" w:line="276" w:lineRule="auto"/>
        <w:rPr>
          <w:rFonts w:ascii="宋体" w:hAnsi="宋体"/>
          <w:sz w:val="22"/>
          <w:szCs w:val="22"/>
        </w:rPr>
      </w:pPr>
      <w:r>
        <w:rPr>
          <w:rFonts w:hint="eastAsia" w:ascii="宋体" w:hAnsi="宋体"/>
          <w:b/>
          <w:sz w:val="22"/>
          <w:szCs w:val="22"/>
        </w:rPr>
        <w:t>41</w:t>
      </w:r>
      <w:r>
        <w:rPr>
          <w:rFonts w:hint="eastAsia" w:ascii="宋体" w:hAnsi="宋体"/>
          <w:sz w:val="22"/>
          <w:szCs w:val="22"/>
        </w:rPr>
        <w:t>.4  如果中标人拒不提交本节第41.1条、第41.2条要求的履约担保的，采购人可取消其中标资格，并没收其投标担保。</w:t>
      </w:r>
    </w:p>
    <w:p>
      <w:pPr>
        <w:spacing w:after="78" w:afterLines="25" w:line="276" w:lineRule="auto"/>
        <w:rPr>
          <w:rFonts w:ascii="宋体" w:hAnsi="宋体"/>
          <w:b/>
          <w:sz w:val="22"/>
          <w:szCs w:val="22"/>
        </w:rPr>
      </w:pPr>
      <w:bookmarkStart w:id="295" w:name="_Toc201997862"/>
      <w:bookmarkStart w:id="296" w:name="_Toc201401600"/>
      <w:bookmarkStart w:id="297" w:name="_Toc201401408"/>
      <w:r>
        <w:rPr>
          <w:rFonts w:hint="eastAsia" w:ascii="宋体" w:hAnsi="宋体"/>
          <w:b/>
          <w:sz w:val="22"/>
          <w:szCs w:val="22"/>
        </w:rPr>
        <w:t>42．  签订合同</w:t>
      </w:r>
      <w:bookmarkEnd w:id="295"/>
      <w:bookmarkEnd w:id="296"/>
      <w:bookmarkEnd w:id="297"/>
    </w:p>
    <w:p>
      <w:pPr>
        <w:spacing w:after="78" w:afterLines="25" w:line="276" w:lineRule="auto"/>
        <w:rPr>
          <w:rFonts w:ascii="宋体" w:hAnsi="宋体"/>
          <w:sz w:val="22"/>
          <w:szCs w:val="22"/>
        </w:rPr>
      </w:pPr>
      <w:r>
        <w:rPr>
          <w:rFonts w:hint="eastAsia" w:ascii="宋体" w:hAnsi="宋体"/>
          <w:b/>
          <w:sz w:val="22"/>
          <w:szCs w:val="22"/>
        </w:rPr>
        <w:t>42</w:t>
      </w:r>
      <w:r>
        <w:rPr>
          <w:rFonts w:hint="eastAsia" w:ascii="宋体" w:hAnsi="宋体"/>
          <w:sz w:val="22"/>
          <w:szCs w:val="22"/>
        </w:rPr>
        <w:t>.1  采购人和中标人应当按“投标须知前附表”的规定，依据招标文件和中标人的投标文件订立书面合同。</w:t>
      </w:r>
    </w:p>
    <w:p>
      <w:pPr>
        <w:spacing w:after="78" w:afterLines="25" w:line="276" w:lineRule="auto"/>
        <w:rPr>
          <w:rFonts w:ascii="宋体" w:hAnsi="宋体"/>
          <w:sz w:val="22"/>
          <w:szCs w:val="22"/>
        </w:rPr>
      </w:pPr>
      <w:r>
        <w:rPr>
          <w:rFonts w:hint="eastAsia" w:ascii="宋体" w:hAnsi="宋体"/>
          <w:b/>
          <w:sz w:val="22"/>
          <w:szCs w:val="22"/>
        </w:rPr>
        <w:t>42</w:t>
      </w:r>
      <w:r>
        <w:rPr>
          <w:rFonts w:hint="eastAsia" w:ascii="宋体" w:hAnsi="宋体"/>
          <w:sz w:val="22"/>
          <w:szCs w:val="22"/>
        </w:rPr>
        <w:t>.2  中标人无正当理由拒签合同的，或者在签订合同时向采购人提出附加条件或者更改合同实质性内容的，采购人可取消其中标资格，并没收其投标担保；给采购人造成的损失超过其投标担保数额的，中标人应当对超过部分予以赔偿。</w:t>
      </w:r>
    </w:p>
    <w:p>
      <w:pPr>
        <w:spacing w:after="78" w:afterLines="25" w:line="276" w:lineRule="auto"/>
        <w:rPr>
          <w:rFonts w:ascii="宋体" w:hAnsi="宋体"/>
          <w:b/>
          <w:sz w:val="22"/>
          <w:szCs w:val="22"/>
        </w:rPr>
      </w:pPr>
      <w:bookmarkStart w:id="298" w:name="_Toc201997863"/>
      <w:bookmarkStart w:id="299" w:name="_Toc201401601"/>
      <w:bookmarkStart w:id="300" w:name="_Toc201401409"/>
      <w:r>
        <w:rPr>
          <w:rFonts w:hint="eastAsia" w:ascii="宋体" w:hAnsi="宋体"/>
          <w:b/>
          <w:sz w:val="22"/>
          <w:szCs w:val="22"/>
        </w:rPr>
        <w:t>43．  其他</w:t>
      </w:r>
      <w:bookmarkEnd w:id="298"/>
      <w:bookmarkEnd w:id="299"/>
      <w:bookmarkEnd w:id="300"/>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.1  本招标文件的解释权归采购代理所有，采购代理在征得采购人或相关主管部门同意后，有权在法律允许范围内调整本次招标活动的细节及保留最终解释权。</w:t>
      </w:r>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.2 采购代理向投标人提供的资料和数据，是采购代理现有的能供投标人利用的资料，采购代理对投标人由此而作出的推论、理解和结论概不负责。</w:t>
      </w:r>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.3 如果投标人实质上不符合投标资格，即使已购买招标文件、参加投标并缴纳各种费用，采购代理或采购人可以随时取消其投标或中标资格，采购代理或采购人对该投标人的一切损失概不责任。</w:t>
      </w:r>
    </w:p>
    <w:p>
      <w:pPr>
        <w:spacing w:after="78" w:afterLines="25" w:line="276" w:lineRule="auto"/>
        <w:rPr>
          <w:rFonts w:ascii="宋体" w:hAnsi="宋体"/>
          <w:b/>
          <w:sz w:val="22"/>
          <w:szCs w:val="22"/>
        </w:rPr>
      </w:pPr>
      <w:r>
        <w:rPr>
          <w:rFonts w:hint="eastAsia" w:ascii="宋体" w:hAnsi="宋体"/>
          <w:b/>
          <w:sz w:val="22"/>
          <w:szCs w:val="22"/>
        </w:rPr>
        <w:t>43</w:t>
      </w:r>
      <w:r>
        <w:rPr>
          <w:rFonts w:hint="eastAsia" w:ascii="宋体" w:hAnsi="宋体"/>
          <w:sz w:val="22"/>
          <w:szCs w:val="22"/>
        </w:rPr>
        <w:t>.4 中标无效的，发出的中标通知书和签订的合同自始没有法律约束力，但不影响合同中存在的有关解决争议方法的条款的效力。</w:t>
      </w:r>
    </w:p>
    <w:p>
      <w:pPr>
        <w:spacing w:after="78" w:afterLines="25" w:line="276" w:lineRule="auto"/>
        <w:rPr>
          <w:rFonts w:ascii="宋体" w:hAnsi="宋体"/>
          <w:sz w:val="22"/>
          <w:szCs w:val="22"/>
        </w:rPr>
      </w:pPr>
      <w:r>
        <w:rPr>
          <w:rFonts w:hint="eastAsia" w:ascii="宋体" w:hAnsi="宋体"/>
          <w:b/>
          <w:sz w:val="22"/>
          <w:szCs w:val="22"/>
        </w:rPr>
        <w:t>43</w:t>
      </w:r>
      <w:r>
        <w:rPr>
          <w:rFonts w:hint="eastAsia" w:ascii="宋体" w:hAnsi="宋体"/>
          <w:sz w:val="22"/>
          <w:szCs w:val="22"/>
        </w:rPr>
        <w:t>.5 本招标文件所有的附件与本招标文件具有同等效力。</w:t>
      </w: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第二章  合同基本内容</w:t>
      </w:r>
    </w:p>
    <w:p>
      <w:pPr>
        <w:spacing w:after="78" w:afterLines="25" w:line="276" w:lineRule="auto"/>
        <w:jc w:val="center"/>
        <w:rPr>
          <w:rFonts w:ascii="Arial" w:hAnsi="Arial"/>
          <w:b/>
          <w:spacing w:val="-20"/>
          <w:szCs w:val="28"/>
        </w:rPr>
      </w:pPr>
      <w:r>
        <w:rPr>
          <w:rFonts w:hint="eastAsia" w:ascii="Arial" w:hAnsi="Arial"/>
          <w:b/>
          <w:spacing w:val="-20"/>
          <w:szCs w:val="28"/>
        </w:rPr>
        <w:t>（仅供参考，项目具体要求以招标项目需求为准）</w:t>
      </w:r>
    </w:p>
    <w:p>
      <w:pPr>
        <w:spacing w:line="340" w:lineRule="exact"/>
        <w:jc w:val="center"/>
        <w:rPr>
          <w:rFonts w:ascii="宋体" w:hAnsi="宋体"/>
          <w:sz w:val="36"/>
          <w:szCs w:val="36"/>
        </w:rPr>
      </w:pPr>
    </w:p>
    <w:p>
      <w:pPr>
        <w:spacing w:line="340" w:lineRule="exact"/>
        <w:jc w:val="center"/>
        <w:rPr>
          <w:rFonts w:ascii="宋体" w:hAnsi="宋体"/>
          <w:sz w:val="36"/>
          <w:szCs w:val="36"/>
        </w:rPr>
      </w:pPr>
    </w:p>
    <w:p>
      <w:pPr>
        <w:spacing w:line="340" w:lineRule="exact"/>
        <w:jc w:val="center"/>
        <w:rPr>
          <w:rFonts w:ascii="宋体" w:hAnsi="宋体"/>
          <w:sz w:val="36"/>
          <w:szCs w:val="36"/>
        </w:rPr>
      </w:pPr>
      <w:r>
        <w:rPr>
          <w:rFonts w:hint="eastAsia" w:ascii="宋体" w:hAnsi="宋体"/>
          <w:sz w:val="36"/>
          <w:szCs w:val="36"/>
        </w:rPr>
        <w:t>检 修 合 同</w:t>
      </w:r>
    </w:p>
    <w:p>
      <w:pPr>
        <w:spacing w:line="340" w:lineRule="exact"/>
        <w:jc w:val="center"/>
        <w:rPr>
          <w:rFonts w:ascii="宋体" w:hAnsi="宋体"/>
          <w:sz w:val="36"/>
          <w:szCs w:val="36"/>
        </w:rPr>
      </w:pPr>
    </w:p>
    <w:p>
      <w:pPr>
        <w:spacing w:line="340" w:lineRule="exact"/>
        <w:rPr>
          <w:rStyle w:val="751"/>
          <w:rFonts w:ascii="宋体" w:hAnsi="宋体"/>
          <w:szCs w:val="21"/>
        </w:rPr>
      </w:pPr>
      <w:r>
        <w:rPr>
          <w:rStyle w:val="751"/>
          <w:rFonts w:hint="eastAsia" w:ascii="宋体" w:hAnsi="宋体"/>
          <w:szCs w:val="21"/>
        </w:rPr>
        <w:t>委托方：</w:t>
      </w:r>
      <w:bookmarkStart w:id="301" w:name="mark_005"/>
      <w:r>
        <w:rPr>
          <w:rFonts w:hint="eastAsia" w:ascii="宋体" w:hAnsi="宋体"/>
          <w:szCs w:val="21"/>
        </w:rPr>
        <w:t>深圳市长龙铁路电子工程有限公司</w:t>
      </w:r>
      <w:r>
        <w:rPr>
          <w:rStyle w:val="751"/>
          <w:rFonts w:ascii="宋体" w:hAnsi="宋体"/>
          <w:szCs w:val="21"/>
        </w:rPr>
        <w:t xml:space="preserve">       </w:t>
      </w:r>
      <w:bookmarkEnd w:id="301"/>
      <w:r>
        <w:rPr>
          <w:rStyle w:val="751"/>
          <w:rFonts w:ascii="宋体" w:hAnsi="宋体"/>
          <w:szCs w:val="21"/>
        </w:rPr>
        <w:t xml:space="preserve">         </w:t>
      </w:r>
      <w:r>
        <w:rPr>
          <w:rStyle w:val="751"/>
          <w:rFonts w:hint="eastAsia" w:ascii="宋体" w:hAnsi="宋体"/>
          <w:szCs w:val="21"/>
        </w:rPr>
        <w:t>合同编号：</w:t>
      </w:r>
      <w:r>
        <w:rPr>
          <w:rStyle w:val="751"/>
          <w:rFonts w:ascii="宋体" w:hAnsi="宋体"/>
          <w:szCs w:val="21"/>
        </w:rPr>
        <w:t xml:space="preserve">  </w:t>
      </w:r>
    </w:p>
    <w:p>
      <w:pPr>
        <w:spacing w:line="340" w:lineRule="exact"/>
        <w:rPr>
          <w:rStyle w:val="751"/>
          <w:rFonts w:ascii="宋体" w:hAnsi="宋体"/>
          <w:szCs w:val="21"/>
        </w:rPr>
      </w:pPr>
      <w:r>
        <w:rPr>
          <w:rStyle w:val="751"/>
          <w:rFonts w:hint="eastAsia" w:ascii="宋体" w:hAnsi="宋体"/>
          <w:szCs w:val="21"/>
        </w:rPr>
        <w:t>承修方：</w:t>
      </w:r>
      <w:bookmarkStart w:id="302" w:name="mark_006"/>
      <w:r>
        <w:rPr>
          <w:rFonts w:ascii="宋体" w:hAnsi="宋体"/>
          <w:szCs w:val="21"/>
        </w:rPr>
        <w:t xml:space="preserve">                                    </w:t>
      </w:r>
      <w:r>
        <w:rPr>
          <w:rStyle w:val="751"/>
          <w:rFonts w:ascii="宋体" w:hAnsi="宋体"/>
          <w:szCs w:val="21"/>
        </w:rPr>
        <w:t xml:space="preserve">         </w:t>
      </w:r>
      <w:bookmarkEnd w:id="302"/>
      <w:r>
        <w:rPr>
          <w:rStyle w:val="751"/>
          <w:rFonts w:ascii="宋体" w:hAnsi="宋体"/>
          <w:szCs w:val="21"/>
        </w:rPr>
        <w:t xml:space="preserve"> </w:t>
      </w:r>
      <w:r>
        <w:rPr>
          <w:rStyle w:val="751"/>
          <w:rFonts w:hint="eastAsia" w:ascii="宋体" w:hAnsi="宋体"/>
          <w:szCs w:val="21"/>
        </w:rPr>
        <w:t>签订时间：</w:t>
      </w:r>
    </w:p>
    <w:p>
      <w:pPr>
        <w:spacing w:line="340" w:lineRule="exact"/>
        <w:ind w:firstLine="420" w:firstLineChars="200"/>
        <w:rPr>
          <w:rFonts w:ascii="宋体" w:hAnsi="宋体"/>
        </w:rPr>
      </w:pPr>
      <w:r>
        <w:rPr>
          <w:rStyle w:val="752"/>
          <w:rFonts w:hint="eastAsia" w:ascii="宋体" w:hAnsi="宋体"/>
          <w:szCs w:val="21"/>
        </w:rPr>
        <w:t>现就委托方</w:t>
      </w:r>
      <w:r>
        <w:rPr>
          <w:rStyle w:val="752"/>
          <w:rFonts w:ascii="宋体" w:hAnsi="宋体"/>
          <w:szCs w:val="21"/>
          <w:u w:val="single"/>
        </w:rPr>
        <w:t xml:space="preserve">            </w:t>
      </w:r>
      <w:r>
        <w:rPr>
          <w:rStyle w:val="752"/>
          <w:rFonts w:hint="eastAsia" w:ascii="宋体" w:hAnsi="宋体"/>
          <w:szCs w:val="21"/>
        </w:rPr>
        <w:t>检修所涉及的</w:t>
      </w:r>
      <w:r>
        <w:rPr>
          <w:rStyle w:val="752"/>
          <w:rFonts w:ascii="宋体" w:hAnsi="宋体"/>
          <w:szCs w:val="21"/>
        </w:rPr>
        <w:t xml:space="preserve"> </w:t>
      </w:r>
      <w:r>
        <w:rPr>
          <w:rFonts w:hint="eastAsia" w:ascii="宋体" w:hAnsi="宋体"/>
          <w:szCs w:val="21"/>
        </w:rPr>
        <w:t>零部件（以下简称“标的零部件”）检修事宜，</w:t>
      </w:r>
      <w:r>
        <w:rPr>
          <w:rStyle w:val="752"/>
          <w:rFonts w:hint="eastAsia" w:ascii="宋体" w:hAnsi="宋体"/>
          <w:szCs w:val="21"/>
        </w:rPr>
        <w:t>经双方平等协商，订立本合同。</w:t>
      </w:r>
    </w:p>
    <w:p>
      <w:pPr>
        <w:spacing w:line="420" w:lineRule="exact"/>
        <w:rPr>
          <w:rFonts w:ascii="宋体" w:hAnsi="宋体"/>
          <w:szCs w:val="21"/>
        </w:rPr>
      </w:pPr>
      <w:r>
        <w:rPr>
          <w:rFonts w:hint="eastAsia" w:ascii="宋体" w:hAnsi="宋体"/>
          <w:b/>
          <w:bCs/>
          <w:szCs w:val="21"/>
        </w:rPr>
        <w:t xml:space="preserve">1. 交由承修方检修的标的零部件基本情况 </w:t>
      </w:r>
      <w:r>
        <w:rPr>
          <w:rFonts w:hint="eastAsia" w:ascii="宋体" w:hAnsi="宋体"/>
          <w:szCs w:val="21"/>
        </w:rPr>
        <w:t xml:space="preserve"> </w:t>
      </w:r>
    </w:p>
    <w:tbl>
      <w:tblPr>
        <w:tblStyle w:val="47"/>
        <w:tblW w:w="8946" w:type="dxa"/>
        <w:tblInd w:w="93" w:type="dxa"/>
        <w:tblLayout w:type="fixed"/>
        <w:tblCellMar>
          <w:top w:w="0" w:type="dxa"/>
          <w:left w:w="108" w:type="dxa"/>
          <w:bottom w:w="0" w:type="dxa"/>
          <w:right w:w="108" w:type="dxa"/>
        </w:tblCellMar>
      </w:tblPr>
      <w:tblGrid>
        <w:gridCol w:w="1007"/>
        <w:gridCol w:w="1130"/>
        <w:gridCol w:w="1306"/>
        <w:gridCol w:w="1009"/>
        <w:gridCol w:w="1009"/>
        <w:gridCol w:w="1024"/>
        <w:gridCol w:w="1043"/>
        <w:gridCol w:w="1418"/>
      </w:tblGrid>
      <w:tr>
        <w:tblPrEx>
          <w:tblCellMar>
            <w:top w:w="0" w:type="dxa"/>
            <w:left w:w="108" w:type="dxa"/>
            <w:bottom w:w="0" w:type="dxa"/>
            <w:right w:w="108" w:type="dxa"/>
          </w:tblCellMar>
        </w:tblPrEx>
        <w:trPr>
          <w:trHeight w:val="404" w:hRule="atLeast"/>
        </w:trPr>
        <w:tc>
          <w:tcPr>
            <w:tcW w:w="1007" w:type="dxa"/>
            <w:tcBorders>
              <w:top w:val="single" w:color="000000" w:sz="8" w:space="0"/>
              <w:left w:val="single" w:color="000000" w:sz="8" w:space="0"/>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bookmarkStart w:id="303" w:name="mark_sl"/>
            <w:r>
              <w:rPr>
                <w:rFonts w:hint="eastAsia" w:ascii="宋体" w:hAnsi="宋体" w:cs="宋体"/>
                <w:b/>
                <w:bCs/>
                <w:color w:val="000000"/>
                <w:kern w:val="0"/>
                <w:sz w:val="18"/>
                <w:szCs w:val="18"/>
              </w:rPr>
              <w:t>修程</w:t>
            </w:r>
          </w:p>
        </w:tc>
        <w:tc>
          <w:tcPr>
            <w:tcW w:w="1130"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物料描述</w:t>
            </w:r>
          </w:p>
        </w:tc>
        <w:tc>
          <w:tcPr>
            <w:tcW w:w="1306"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1009"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材质</w:t>
            </w:r>
          </w:p>
        </w:tc>
        <w:tc>
          <w:tcPr>
            <w:tcW w:w="1009"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024"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签约数量</w:t>
            </w:r>
          </w:p>
        </w:tc>
        <w:tc>
          <w:tcPr>
            <w:tcW w:w="1043" w:type="dxa"/>
            <w:tcBorders>
              <w:top w:val="single" w:color="000000" w:sz="8" w:space="0"/>
              <w:left w:val="nil"/>
              <w:bottom w:val="single" w:color="666666" w:sz="8" w:space="0"/>
              <w:right w:val="single" w:color="666666"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无税单价</w:t>
            </w:r>
          </w:p>
        </w:tc>
        <w:tc>
          <w:tcPr>
            <w:tcW w:w="1418" w:type="dxa"/>
            <w:tcBorders>
              <w:top w:val="single" w:color="000000" w:sz="8" w:space="0"/>
              <w:left w:val="nil"/>
              <w:bottom w:val="single" w:color="666666" w:sz="8" w:space="0"/>
              <w:right w:val="single" w:color="000000" w:sz="8" w:space="0"/>
            </w:tcBorders>
            <w:shd w:val="clear" w:color="auto" w:fill="F1F6FF"/>
            <w:vAlign w:val="center"/>
          </w:tcPr>
          <w:p>
            <w:pPr>
              <w:widowControl/>
              <w:spacing w:line="360" w:lineRule="auto"/>
              <w:jc w:val="center"/>
              <w:rPr>
                <w:rFonts w:ascii="宋体" w:hAnsi="宋体" w:cs="宋体"/>
                <w:b/>
                <w:bCs/>
                <w:color w:val="000000"/>
                <w:kern w:val="0"/>
                <w:sz w:val="18"/>
                <w:szCs w:val="18"/>
              </w:rPr>
            </w:pPr>
            <w:r>
              <w:rPr>
                <w:rFonts w:hint="eastAsia" w:ascii="宋体" w:hAnsi="宋体" w:cs="宋体"/>
                <w:b/>
                <w:bCs/>
                <w:color w:val="000000"/>
                <w:kern w:val="0"/>
                <w:sz w:val="18"/>
                <w:szCs w:val="18"/>
              </w:rPr>
              <w:t>签约金额</w:t>
            </w:r>
          </w:p>
        </w:tc>
      </w:tr>
      <w:tr>
        <w:tblPrEx>
          <w:tblCellMar>
            <w:top w:w="0" w:type="dxa"/>
            <w:left w:w="108" w:type="dxa"/>
            <w:bottom w:w="0" w:type="dxa"/>
            <w:right w:w="108" w:type="dxa"/>
          </w:tblCellMar>
        </w:tblPrEx>
        <w:trPr>
          <w:trHeight w:val="404" w:hRule="atLeast"/>
        </w:trPr>
        <w:tc>
          <w:tcPr>
            <w:tcW w:w="1007" w:type="dxa"/>
            <w:tcBorders>
              <w:top w:val="nil"/>
              <w:left w:val="single" w:color="000000" w:sz="8" w:space="0"/>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四级修</w:t>
            </w:r>
          </w:p>
        </w:tc>
        <w:tc>
          <w:tcPr>
            <w:tcW w:w="1130"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306"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024"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p>
        </w:tc>
        <w:tc>
          <w:tcPr>
            <w:tcW w:w="1043" w:type="dxa"/>
            <w:tcBorders>
              <w:top w:val="nil"/>
              <w:left w:val="nil"/>
              <w:bottom w:val="single" w:color="666666" w:sz="8" w:space="0"/>
              <w:right w:val="single" w:color="666666" w:sz="8" w:space="0"/>
            </w:tcBorders>
            <w:vAlign w:val="center"/>
          </w:tcPr>
          <w:p>
            <w:pPr>
              <w:widowControl/>
              <w:spacing w:line="360" w:lineRule="auto"/>
              <w:jc w:val="right"/>
              <w:textAlignment w:val="center"/>
              <w:rPr>
                <w:rFonts w:ascii="宋体" w:hAnsi="宋体" w:cs="宋体"/>
                <w:color w:val="000000"/>
                <w:kern w:val="0"/>
                <w:sz w:val="18"/>
                <w:szCs w:val="18"/>
              </w:rPr>
            </w:pPr>
            <w:r>
              <w:rPr>
                <w:rFonts w:hint="eastAsia" w:ascii="宋体" w:hAnsi="宋体" w:cs="宋体"/>
                <w:color w:val="000000"/>
                <w:kern w:val="0"/>
                <w:sz w:val="22"/>
                <w:lang w:bidi="ar"/>
              </w:rPr>
              <w:t xml:space="preserve"> </w:t>
            </w:r>
          </w:p>
        </w:tc>
        <w:tc>
          <w:tcPr>
            <w:tcW w:w="1418" w:type="dxa"/>
            <w:tcBorders>
              <w:top w:val="nil"/>
              <w:left w:val="nil"/>
              <w:bottom w:val="single" w:color="666666" w:sz="8" w:space="0"/>
              <w:right w:val="single" w:color="000000" w:sz="8" w:space="0"/>
            </w:tcBorders>
            <w:vAlign w:val="center"/>
          </w:tcPr>
          <w:p>
            <w:pPr>
              <w:widowControl/>
              <w:spacing w:line="360" w:lineRule="auto"/>
              <w:jc w:val="righ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04" w:hRule="atLeast"/>
        </w:trPr>
        <w:tc>
          <w:tcPr>
            <w:tcW w:w="1007" w:type="dxa"/>
            <w:tcBorders>
              <w:top w:val="nil"/>
              <w:left w:val="single" w:color="000000" w:sz="8" w:space="0"/>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130"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306"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p>
        </w:tc>
        <w:tc>
          <w:tcPr>
            <w:tcW w:w="1009"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024" w:type="dxa"/>
            <w:tcBorders>
              <w:top w:val="nil"/>
              <w:left w:val="nil"/>
              <w:bottom w:val="single" w:color="666666" w:sz="8" w:space="0"/>
              <w:right w:val="single" w:color="666666" w:sz="8" w:space="0"/>
            </w:tcBorders>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 </w:t>
            </w:r>
          </w:p>
        </w:tc>
        <w:tc>
          <w:tcPr>
            <w:tcW w:w="1043" w:type="dxa"/>
            <w:tcBorders>
              <w:top w:val="nil"/>
              <w:left w:val="nil"/>
              <w:bottom w:val="single" w:color="666666" w:sz="8" w:space="0"/>
              <w:right w:val="single" w:color="666666" w:sz="8" w:space="0"/>
            </w:tcBorders>
            <w:vAlign w:val="center"/>
          </w:tcPr>
          <w:p>
            <w:pPr>
              <w:widowControl/>
              <w:spacing w:line="360" w:lineRule="auto"/>
              <w:jc w:val="right"/>
              <w:textAlignment w:val="center"/>
              <w:rPr>
                <w:rFonts w:ascii="宋体" w:hAnsi="宋体" w:cs="等线"/>
                <w:color w:val="000000"/>
                <w:kern w:val="0"/>
                <w:sz w:val="22"/>
                <w:szCs w:val="22"/>
                <w:lang w:bidi="ar"/>
              </w:rPr>
            </w:pPr>
            <w:r>
              <w:rPr>
                <w:rFonts w:hint="eastAsia" w:ascii="宋体" w:hAnsi="宋体" w:cs="宋体"/>
                <w:color w:val="000000"/>
                <w:kern w:val="0"/>
                <w:sz w:val="22"/>
                <w:lang w:bidi="ar"/>
              </w:rPr>
              <w:t xml:space="preserve"> </w:t>
            </w:r>
          </w:p>
        </w:tc>
        <w:tc>
          <w:tcPr>
            <w:tcW w:w="1418" w:type="dxa"/>
            <w:tcBorders>
              <w:top w:val="nil"/>
              <w:left w:val="nil"/>
              <w:bottom w:val="single" w:color="666666" w:sz="8" w:space="0"/>
              <w:right w:val="single" w:color="000000" w:sz="8" w:space="0"/>
            </w:tcBorders>
            <w:vAlign w:val="center"/>
          </w:tcPr>
          <w:p>
            <w:pPr>
              <w:widowControl/>
              <w:spacing w:line="360" w:lineRule="auto"/>
              <w:jc w:val="right"/>
              <w:textAlignment w:val="center"/>
              <w:rPr>
                <w:rFonts w:ascii="宋体" w:hAnsi="宋体" w:cs="等线"/>
                <w:color w:val="000000"/>
                <w:kern w:val="0"/>
                <w:sz w:val="22"/>
                <w:szCs w:val="22"/>
                <w:lang w:bidi="ar"/>
              </w:rPr>
            </w:pPr>
          </w:p>
        </w:tc>
      </w:tr>
      <w:tr>
        <w:tblPrEx>
          <w:tblCellMar>
            <w:top w:w="0" w:type="dxa"/>
            <w:left w:w="108" w:type="dxa"/>
            <w:bottom w:w="0" w:type="dxa"/>
            <w:right w:w="108" w:type="dxa"/>
          </w:tblCellMar>
        </w:tblPrEx>
        <w:trPr>
          <w:trHeight w:val="404" w:hRule="atLeast"/>
        </w:trPr>
        <w:tc>
          <w:tcPr>
            <w:tcW w:w="8946" w:type="dxa"/>
            <w:gridSpan w:val="8"/>
            <w:tcBorders>
              <w:top w:val="single" w:color="666666" w:sz="8" w:space="0"/>
              <w:left w:val="single" w:color="000000" w:sz="8" w:space="0"/>
              <w:bottom w:val="single" w:color="666666" w:sz="8" w:space="0"/>
              <w:right w:val="single" w:color="000000" w:sz="8" w:space="0"/>
            </w:tcBorders>
            <w:vAlign w:val="center"/>
          </w:tcPr>
          <w:p>
            <w:pPr>
              <w:widowControl/>
              <w:spacing w:line="360" w:lineRule="auto"/>
              <w:rPr>
                <w:rFonts w:ascii="宋体" w:hAnsi="宋体" w:cs="宋体"/>
                <w:color w:val="000000"/>
                <w:kern w:val="0"/>
                <w:sz w:val="18"/>
                <w:szCs w:val="18"/>
              </w:rPr>
            </w:pPr>
            <w:r>
              <w:rPr>
                <w:rFonts w:hint="eastAsia" w:ascii="宋体" w:hAnsi="宋体" w:cs="宋体"/>
                <w:color w:val="000000"/>
                <w:kern w:val="0"/>
                <w:sz w:val="18"/>
                <w:szCs w:val="18"/>
              </w:rPr>
              <w:t>合计：</w:t>
            </w:r>
          </w:p>
        </w:tc>
      </w:tr>
      <w:tr>
        <w:tblPrEx>
          <w:tblCellMar>
            <w:top w:w="0" w:type="dxa"/>
            <w:left w:w="108" w:type="dxa"/>
            <w:bottom w:w="0" w:type="dxa"/>
            <w:right w:w="108" w:type="dxa"/>
          </w:tblCellMar>
        </w:tblPrEx>
        <w:trPr>
          <w:trHeight w:val="509" w:hRule="atLeast"/>
        </w:trPr>
        <w:tc>
          <w:tcPr>
            <w:tcW w:w="8946" w:type="dxa"/>
            <w:gridSpan w:val="8"/>
            <w:tcBorders>
              <w:top w:val="single" w:color="666666" w:sz="8" w:space="0"/>
              <w:left w:val="single" w:color="000000" w:sz="8" w:space="0"/>
              <w:bottom w:val="single" w:color="000000" w:sz="8" w:space="0"/>
              <w:right w:val="single" w:color="000000" w:sz="8" w:space="0"/>
            </w:tcBorders>
            <w:vAlign w:val="center"/>
          </w:tcPr>
          <w:p>
            <w:pPr>
              <w:widowControl/>
              <w:spacing w:line="360" w:lineRule="auto"/>
              <w:rPr>
                <w:rFonts w:ascii="宋体" w:hAnsi="宋体" w:cs="宋体"/>
                <w:color w:val="000000"/>
                <w:kern w:val="0"/>
                <w:sz w:val="18"/>
                <w:szCs w:val="18"/>
                <w:highlight w:val="yellow"/>
              </w:rPr>
            </w:pPr>
            <w:r>
              <w:rPr>
                <w:rFonts w:hint="eastAsia" w:ascii="宋体" w:hAnsi="宋体" w:cs="宋体"/>
                <w:color w:val="000000"/>
                <w:kern w:val="0"/>
                <w:sz w:val="18"/>
                <w:szCs w:val="18"/>
              </w:rPr>
              <w:t>合计大写：</w:t>
            </w:r>
          </w:p>
        </w:tc>
      </w:tr>
    </w:tbl>
    <w:p>
      <w:pPr>
        <w:rPr>
          <w:rFonts w:ascii="宋体" w:hAnsi="宋体" w:cstheme="minorBidi"/>
          <w:szCs w:val="22"/>
        </w:rPr>
      </w:pPr>
      <w:r>
        <w:rPr>
          <w:rFonts w:hint="eastAsia" w:ascii="宋体" w:hAnsi="宋体"/>
        </w:rPr>
        <w:t>上述价格为不含税价，税率</w:t>
      </w:r>
      <w:r>
        <w:rPr>
          <w:rFonts w:ascii="宋体" w:hAnsi="宋体"/>
        </w:rPr>
        <w:t>13%</w:t>
      </w:r>
      <w:r>
        <w:rPr>
          <w:rFonts w:hint="eastAsia" w:ascii="宋体" w:hAnsi="宋体"/>
        </w:rPr>
        <w:t>。</w:t>
      </w:r>
    </w:p>
    <w:bookmarkEnd w:id="303"/>
    <w:p>
      <w:pPr>
        <w:snapToGrid w:val="0"/>
        <w:spacing w:line="340" w:lineRule="exact"/>
        <w:rPr>
          <w:rFonts w:ascii="宋体" w:hAnsi="宋体"/>
          <w:color w:val="000000"/>
          <w:szCs w:val="21"/>
        </w:rPr>
      </w:pPr>
      <w:bookmarkStart w:id="304" w:name="mark_002"/>
      <w:r>
        <w:rPr>
          <w:rFonts w:hint="eastAsia" w:ascii="宋体" w:hAnsi="宋体"/>
        </w:rPr>
        <w:t xml:space="preserve">1.1 </w:t>
      </w:r>
      <w:r>
        <w:rPr>
          <w:rStyle w:val="753"/>
          <w:rFonts w:hint="eastAsia" w:ascii="宋体" w:hAnsi="宋体"/>
          <w:szCs w:val="21"/>
        </w:rPr>
        <w:t>上表内</w:t>
      </w:r>
      <w:r>
        <w:rPr>
          <w:rFonts w:hint="eastAsia" w:ascii="宋体" w:hAnsi="宋体"/>
          <w:color w:val="000000"/>
          <w:szCs w:val="21"/>
        </w:rPr>
        <w:t>所列的零部件名称及数量均为暂定，届时将按委托方实际交付承修方实施检修的零部件进行结算。</w:t>
      </w:r>
    </w:p>
    <w:bookmarkEnd w:id="304"/>
    <w:p>
      <w:pPr>
        <w:snapToGrid w:val="0"/>
        <w:spacing w:line="340" w:lineRule="exact"/>
        <w:rPr>
          <w:rFonts w:ascii="宋体" w:hAnsi="宋体"/>
          <w:szCs w:val="21"/>
        </w:rPr>
      </w:pPr>
      <w:r>
        <w:rPr>
          <w:rFonts w:hint="eastAsia" w:ascii="宋体" w:hAnsi="宋体"/>
          <w:b/>
          <w:szCs w:val="21"/>
        </w:rPr>
        <w:t>2. 质量及技术要求：</w:t>
      </w:r>
      <w:r>
        <w:rPr>
          <w:rFonts w:hint="eastAsia" w:ascii="宋体" w:hAnsi="宋体"/>
          <w:szCs w:val="21"/>
        </w:rPr>
        <w:t>承修方应按照检修</w:t>
      </w:r>
      <w:r>
        <w:rPr>
          <w:rFonts w:hint="eastAsia" w:ascii="宋体" w:hAnsi="宋体" w:cs="宋体"/>
          <w:szCs w:val="21"/>
        </w:rPr>
        <w:t>技工（2023）电监字第8884号</w:t>
      </w:r>
      <w:r>
        <w:rPr>
          <w:rFonts w:hint="eastAsia" w:ascii="宋体" w:hAnsi="宋体"/>
          <w:szCs w:val="21"/>
        </w:rPr>
        <w:t>技术规范（包括但不限于技术规程、技术条件、技术要求等）实施检修，并更换标的零部件的必换件。</w:t>
      </w:r>
    </w:p>
    <w:p>
      <w:pPr>
        <w:snapToGrid w:val="0"/>
        <w:spacing w:line="340" w:lineRule="exact"/>
        <w:rPr>
          <w:rFonts w:ascii="宋体" w:hAnsi="宋体"/>
          <w:szCs w:val="21"/>
        </w:rPr>
      </w:pPr>
      <w:r>
        <w:rPr>
          <w:rFonts w:hint="eastAsia" w:ascii="宋体" w:hAnsi="宋体"/>
          <w:b/>
          <w:szCs w:val="21"/>
        </w:rPr>
        <w:t>3. 质量保证期：</w:t>
      </w:r>
      <w:bookmarkStart w:id="305" w:name="mark_003"/>
      <w:r>
        <w:rPr>
          <w:rFonts w:hint="eastAsia" w:ascii="宋体" w:hAnsi="宋体"/>
          <w:color w:val="000000"/>
          <w:szCs w:val="21"/>
        </w:rPr>
        <w:t>12个月</w:t>
      </w:r>
      <w:r>
        <w:rPr>
          <w:rFonts w:hint="eastAsia" w:ascii="宋体" w:hAnsi="宋体"/>
          <w:szCs w:val="21"/>
        </w:rPr>
        <w:t>，</w:t>
      </w:r>
      <w:bookmarkEnd w:id="305"/>
      <w:r>
        <w:rPr>
          <w:rFonts w:hint="eastAsia" w:ascii="宋体" w:hAnsi="宋体"/>
          <w:szCs w:val="21"/>
        </w:rPr>
        <w:t>自标的零部件检修完成通过验收之次日起算。在质保期内，如果因检修完成的标的零部件出现故障或存在缺陷且经承修方进行了修复或重修，则该部分零部件的质保期从重新投入正常使用之次日起单独重新计算。</w:t>
      </w:r>
    </w:p>
    <w:p>
      <w:pPr>
        <w:snapToGrid w:val="0"/>
        <w:spacing w:line="340" w:lineRule="exact"/>
        <w:rPr>
          <w:rFonts w:ascii="宋体" w:hAnsi="宋体"/>
          <w:szCs w:val="21"/>
        </w:rPr>
      </w:pPr>
      <w:r>
        <w:rPr>
          <w:rFonts w:hint="eastAsia" w:ascii="宋体" w:hAnsi="宋体"/>
          <w:b/>
          <w:bCs/>
          <w:szCs w:val="21"/>
        </w:rPr>
        <w:t>4. 检修材料供应：</w:t>
      </w:r>
      <w:r>
        <w:rPr>
          <w:rFonts w:hint="eastAsia" w:ascii="宋体" w:hAnsi="宋体"/>
          <w:color w:val="000000"/>
          <w:szCs w:val="21"/>
        </w:rPr>
        <w:t>全部由承修方提供，但</w:t>
      </w:r>
      <w:r>
        <w:rPr>
          <w:rFonts w:hint="eastAsia" w:ascii="宋体" w:hAnsi="宋体"/>
          <w:szCs w:val="21"/>
        </w:rPr>
        <w:t>应通过委托方检验后方可使用，并随时接受委托方的检查。该材料费用已包含在本合同约定的报酬总额中，委托方不再另行支付。</w:t>
      </w:r>
    </w:p>
    <w:p>
      <w:pPr>
        <w:snapToGrid w:val="0"/>
        <w:spacing w:line="340" w:lineRule="exact"/>
        <w:rPr>
          <w:rFonts w:ascii="宋体" w:hAnsi="宋体"/>
          <w:b/>
          <w:szCs w:val="21"/>
        </w:rPr>
      </w:pPr>
      <w:r>
        <w:rPr>
          <w:rFonts w:hint="eastAsia" w:ascii="宋体" w:hAnsi="宋体"/>
          <w:b/>
          <w:szCs w:val="21"/>
        </w:rPr>
        <w:t>5. 标的零部件的移交与交付</w:t>
      </w:r>
    </w:p>
    <w:p>
      <w:pPr>
        <w:snapToGrid w:val="0"/>
        <w:spacing w:line="340" w:lineRule="exact"/>
        <w:rPr>
          <w:rFonts w:ascii="宋体" w:hAnsi="宋体"/>
          <w:szCs w:val="21"/>
        </w:rPr>
      </w:pPr>
      <w:r>
        <w:rPr>
          <w:rFonts w:hint="eastAsia" w:ascii="宋体" w:hAnsi="宋体"/>
          <w:szCs w:val="21"/>
        </w:rPr>
        <w:t xml:space="preserve">5.1 </w:t>
      </w:r>
      <w:bookmarkStart w:id="306" w:name="mark_004"/>
      <w:r>
        <w:rPr>
          <w:rFonts w:hint="eastAsia" w:ascii="宋体" w:hAnsi="宋体"/>
          <w:szCs w:val="21"/>
        </w:rPr>
        <w:t>承修方应在收到委托方的标的零部件后的</w:t>
      </w:r>
      <w:r>
        <w:rPr>
          <w:rFonts w:hint="eastAsia" w:ascii="宋体" w:hAnsi="宋体"/>
          <w:szCs w:val="21"/>
          <w:u w:val="single"/>
          <w:lang w:val="en-US" w:eastAsia="zh-CN"/>
        </w:rPr>
        <w:t>7</w:t>
      </w:r>
      <w:r>
        <w:rPr>
          <w:rFonts w:hint="eastAsia" w:ascii="宋体" w:hAnsi="宋体"/>
          <w:szCs w:val="21"/>
        </w:rPr>
        <w:t>日前完成全部标的零部件检修并交付委托方，</w:t>
      </w:r>
      <w:bookmarkEnd w:id="306"/>
      <w:r>
        <w:rPr>
          <w:rFonts w:hint="eastAsia" w:ascii="宋体" w:hAnsi="宋体"/>
          <w:szCs w:val="21"/>
        </w:rPr>
        <w:t>承修方应在交付时一并提交必要的技术资料和有关质量证明。交付地点为</w:t>
      </w:r>
      <w:r>
        <w:rPr>
          <w:rFonts w:hint="eastAsia" w:ascii="宋体" w:hAnsi="宋体"/>
          <w:szCs w:val="21"/>
          <w:u w:val="single"/>
        </w:rPr>
        <w:t xml:space="preserve">                </w:t>
      </w:r>
      <w:r>
        <w:rPr>
          <w:rFonts w:hint="eastAsia" w:ascii="宋体" w:hAnsi="宋体"/>
          <w:szCs w:val="21"/>
        </w:rPr>
        <w:t>的指定区域，由承修方负责运送并承担运费。</w:t>
      </w:r>
    </w:p>
    <w:p>
      <w:pPr>
        <w:snapToGrid w:val="0"/>
        <w:spacing w:line="340" w:lineRule="exact"/>
        <w:rPr>
          <w:rFonts w:ascii="宋体" w:hAnsi="宋体"/>
          <w:szCs w:val="21"/>
        </w:rPr>
      </w:pPr>
      <w:r>
        <w:rPr>
          <w:rFonts w:hint="eastAsia" w:ascii="宋体" w:hAnsi="宋体"/>
          <w:b/>
          <w:szCs w:val="21"/>
        </w:rPr>
        <w:t>6. 报酬支付：</w:t>
      </w:r>
      <w:bookmarkStart w:id="307" w:name="OLE_LINK47"/>
      <w:r>
        <w:rPr>
          <w:rFonts w:hint="eastAsia" w:ascii="宋体" w:hAnsi="宋体"/>
          <w:szCs w:val="21"/>
        </w:rPr>
        <w:t>承修方交付的标的零部件通过验收且收到承修方开具的报酬总额100%的全额发票后，委托方以支票、电汇、商业汇票等方式，向承修方支付报酬总额的95%，报酬总额5%留作质量保证金，委托方在质量保证期届满后视承修方质量责任履行情况无息支付。</w:t>
      </w:r>
    </w:p>
    <w:bookmarkEnd w:id="307"/>
    <w:p>
      <w:pPr>
        <w:snapToGrid w:val="0"/>
        <w:spacing w:line="340" w:lineRule="exact"/>
        <w:rPr>
          <w:rFonts w:ascii="宋体" w:hAnsi="宋体"/>
          <w:szCs w:val="21"/>
        </w:rPr>
      </w:pPr>
      <w:r>
        <w:rPr>
          <w:rFonts w:hint="eastAsia" w:ascii="宋体" w:hAnsi="宋体"/>
          <w:b/>
          <w:szCs w:val="21"/>
        </w:rPr>
        <w:t>7. 查验与验收：</w:t>
      </w:r>
      <w:r>
        <w:rPr>
          <w:rFonts w:hint="eastAsia" w:ascii="宋体" w:hAnsi="宋体"/>
          <w:szCs w:val="21"/>
        </w:rPr>
        <w:t>检修完成的标的零部件运抵交付地点，由双方共同清点查验，之后由委托方以抽检、测试、调试、检测、组装后的联调测试和运行试验等方式进行检验，若无质量问题办理验收事宜。经查验和检验，若检修完成的标的零部件存在短缺、故障、缺陷或其他不符合本合同约定的情形，则承修方应在收到委托方通知后3日内或委托方要求的其他时间内补足、修复或重修。</w:t>
      </w:r>
      <w:r>
        <w:rPr>
          <w:rStyle w:val="753"/>
          <w:rFonts w:hint="eastAsia" w:ascii="宋体" w:hAnsi="宋体"/>
          <w:szCs w:val="21"/>
        </w:rPr>
        <w:t>在质量保证期内，若标的零部件出现质量问题，仍然按照前述原则执行。同时，</w:t>
      </w:r>
      <w:r>
        <w:rPr>
          <w:rFonts w:hint="eastAsia" w:ascii="宋体" w:hAnsi="宋体"/>
          <w:szCs w:val="21"/>
        </w:rPr>
        <w:t>委托方有权前往承修方处进行</w:t>
      </w:r>
      <w:r>
        <w:rPr>
          <w:rStyle w:val="753"/>
          <w:rFonts w:hint="eastAsia" w:ascii="宋体" w:hAnsi="宋体"/>
          <w:szCs w:val="21"/>
        </w:rPr>
        <w:t>检修过程中的</w:t>
      </w:r>
      <w:r>
        <w:rPr>
          <w:rFonts w:hint="eastAsia" w:ascii="宋体" w:hAnsi="宋体"/>
          <w:szCs w:val="21"/>
        </w:rPr>
        <w:t>检验与检查(包括对检修工艺流程、技术资料及必换件的采购与更换情况等方面的检查)，承修方应提供工作便利。</w:t>
      </w:r>
    </w:p>
    <w:p>
      <w:pPr>
        <w:snapToGrid w:val="0"/>
        <w:spacing w:line="340" w:lineRule="exact"/>
        <w:rPr>
          <w:rFonts w:ascii="宋体" w:hAnsi="宋体"/>
          <w:szCs w:val="21"/>
        </w:rPr>
      </w:pPr>
      <w:r>
        <w:rPr>
          <w:rFonts w:hint="eastAsia" w:ascii="宋体" w:hAnsi="宋体"/>
          <w:b/>
          <w:szCs w:val="21"/>
        </w:rPr>
        <w:t>8. 保密：</w:t>
      </w:r>
      <w:r>
        <w:rPr>
          <w:rFonts w:hint="eastAsia" w:ascii="宋体" w:hAnsi="宋体"/>
          <w:szCs w:val="21"/>
        </w:rPr>
        <w:t>除非本合同另有约定，为签订及履行本合同的目的（无论是在本合同生效之日还是生效日前或是生效日后），一方从对方获得或知悉的相关信息（该等信息包括但不限于本合同条款、相关文件与技术资料、对方的商业秘密以及其他对方专有或带有秘密性质的信息），该方均负有保密义务，未经对方许可，不得擅自向第三方披露或用于本合同之外的目的。</w:t>
      </w:r>
    </w:p>
    <w:p>
      <w:pPr>
        <w:snapToGrid w:val="0"/>
        <w:spacing w:line="340" w:lineRule="exact"/>
        <w:rPr>
          <w:rFonts w:ascii="宋体" w:hAnsi="宋体"/>
          <w:szCs w:val="21"/>
        </w:rPr>
      </w:pPr>
      <w:r>
        <w:rPr>
          <w:rFonts w:hint="eastAsia" w:ascii="宋体" w:hAnsi="宋体"/>
          <w:b/>
          <w:bCs/>
          <w:szCs w:val="21"/>
        </w:rPr>
        <w:t>9. 违约责任</w:t>
      </w:r>
    </w:p>
    <w:p>
      <w:pPr>
        <w:snapToGrid w:val="0"/>
        <w:spacing w:line="340" w:lineRule="exact"/>
        <w:rPr>
          <w:rFonts w:ascii="宋体" w:hAnsi="宋体"/>
          <w:szCs w:val="21"/>
        </w:rPr>
      </w:pPr>
      <w:r>
        <w:rPr>
          <w:rFonts w:hint="eastAsia" w:ascii="宋体" w:hAnsi="宋体"/>
          <w:szCs w:val="21"/>
        </w:rPr>
        <w:t>9.1 承修方迟延交付标的零部件，自应交付期限届满之次日起，每迟延1日，承修方应向委托方支付迟延交付部分对应价款总额5‰的违约金。迟延超过15日，委托方享有全部或部分解除本合同的选择权，前述违约金累计至实际交付日或合同解除日。</w:t>
      </w:r>
    </w:p>
    <w:p>
      <w:pPr>
        <w:snapToGrid w:val="0"/>
        <w:spacing w:line="340" w:lineRule="exact"/>
        <w:rPr>
          <w:rFonts w:ascii="宋体" w:hAnsi="宋体"/>
          <w:szCs w:val="21"/>
        </w:rPr>
      </w:pPr>
      <w:r>
        <w:rPr>
          <w:rFonts w:hint="eastAsia" w:ascii="宋体" w:hAnsi="宋体"/>
          <w:szCs w:val="21"/>
        </w:rPr>
        <w:t>9.2 若交付的标的零部件经检验不符合本合同约定，则承修方应按不符合部分对应价款总额的10%向委托方支付违约金；若检修完成的标的零部件经承修方修理或重修后，经第二次检验仍不符合本合同约定，则前述违约金调增为20%，同时委托方享有全部或部分解除本合同的选择权。</w:t>
      </w:r>
    </w:p>
    <w:p>
      <w:pPr>
        <w:snapToGrid w:val="0"/>
        <w:spacing w:line="340" w:lineRule="exact"/>
        <w:rPr>
          <w:rFonts w:ascii="宋体" w:hAnsi="宋体"/>
          <w:szCs w:val="21"/>
        </w:rPr>
      </w:pPr>
      <w:r>
        <w:rPr>
          <w:rFonts w:hint="eastAsia" w:ascii="宋体" w:hAnsi="宋体"/>
          <w:szCs w:val="21"/>
        </w:rPr>
        <w:t>9.3 若承修方未按本合同约定更换标的零部件的必换件，每出现一次，应向委托方支付报酬总额10%的违约金，并应承担因此而导致的故障、质量事故及委托方工期迟延等所引起的一切责任。同时，委托方享有全部或部分解除本合同的选择权。</w:t>
      </w:r>
    </w:p>
    <w:p>
      <w:pPr>
        <w:snapToGrid w:val="0"/>
        <w:spacing w:line="340" w:lineRule="exact"/>
        <w:rPr>
          <w:rFonts w:ascii="宋体" w:hAnsi="宋体"/>
          <w:szCs w:val="21"/>
        </w:rPr>
      </w:pPr>
      <w:r>
        <w:rPr>
          <w:rFonts w:hint="eastAsia" w:ascii="宋体" w:hAnsi="宋体"/>
          <w:szCs w:val="21"/>
        </w:rPr>
        <w:t>9.4 承修方违反本合同约定逾期返还委托方技术资料和图纸的，每迟延1日，向委托方承担报酬总金额5‰的违约金，直至返还为止。</w:t>
      </w:r>
    </w:p>
    <w:p>
      <w:pPr>
        <w:snapToGrid w:val="0"/>
        <w:spacing w:line="340" w:lineRule="exact"/>
        <w:rPr>
          <w:rFonts w:ascii="宋体" w:hAnsi="宋体"/>
          <w:szCs w:val="21"/>
        </w:rPr>
      </w:pPr>
      <w:r>
        <w:rPr>
          <w:rFonts w:hint="eastAsia" w:ascii="宋体" w:hAnsi="宋体"/>
          <w:szCs w:val="21"/>
        </w:rPr>
        <w:t>9.5 承修方应对违约而导致的委托方损失或约定违约金不足以弥补委托方损失的部分进行赔偿，该等损失包括但不限于实际损失、可得利益损失、第三方索赔、律师费、差旅费、食宿费等。</w:t>
      </w:r>
    </w:p>
    <w:p>
      <w:pPr>
        <w:snapToGrid w:val="0"/>
        <w:spacing w:line="340" w:lineRule="exact"/>
        <w:rPr>
          <w:rFonts w:ascii="宋体" w:hAnsi="宋体"/>
          <w:szCs w:val="21"/>
        </w:rPr>
      </w:pPr>
      <w:r>
        <w:rPr>
          <w:rFonts w:hint="eastAsia" w:ascii="宋体" w:hAnsi="宋体"/>
          <w:szCs w:val="21"/>
        </w:rPr>
        <w:t>9.6 若承修方收到委托方以书面形式发出违约索赔通知，应在3个工作日内将书面处理意见或解决方案回复委托方，未回复视为接受委托方索赔要求。</w:t>
      </w:r>
    </w:p>
    <w:p>
      <w:pPr>
        <w:snapToGrid w:val="0"/>
        <w:spacing w:line="340" w:lineRule="exact"/>
        <w:rPr>
          <w:rFonts w:ascii="宋体" w:hAnsi="宋体"/>
          <w:szCs w:val="21"/>
        </w:rPr>
      </w:pPr>
      <w:r>
        <w:rPr>
          <w:rFonts w:hint="eastAsia" w:ascii="宋体" w:hAnsi="宋体"/>
          <w:b/>
          <w:szCs w:val="21"/>
        </w:rPr>
        <w:t>10. 争议解决：</w:t>
      </w:r>
      <w:r>
        <w:rPr>
          <w:rFonts w:hint="eastAsia" w:ascii="宋体" w:hAnsi="宋体"/>
          <w:szCs w:val="21"/>
        </w:rPr>
        <w:t>因履行本合同所发生的所有争议，如果双方不能协商一致，任何一方提起的诉讼均由委托方所在地人民法院管辖。</w:t>
      </w:r>
    </w:p>
    <w:p>
      <w:pPr>
        <w:snapToGrid w:val="0"/>
        <w:spacing w:line="340" w:lineRule="exact"/>
        <w:rPr>
          <w:rFonts w:ascii="宋体" w:hAnsi="宋体"/>
          <w:szCs w:val="21"/>
        </w:rPr>
      </w:pPr>
      <w:r>
        <w:rPr>
          <w:rFonts w:hint="eastAsia" w:ascii="宋体" w:hAnsi="宋体"/>
          <w:b/>
          <w:szCs w:val="21"/>
        </w:rPr>
        <w:t>11. 其他约定：</w:t>
      </w:r>
      <w:r>
        <w:rPr>
          <w:rFonts w:hint="eastAsia" w:ascii="宋体" w:hAnsi="宋体"/>
          <w:szCs w:val="21"/>
        </w:rPr>
        <w:t>无论出现何等情况，承修方均放弃对标的零部件的留置权。</w:t>
      </w:r>
    </w:p>
    <w:p>
      <w:pPr>
        <w:spacing w:line="340" w:lineRule="exact"/>
        <w:rPr>
          <w:rFonts w:ascii="宋体" w:hAnsi="宋体"/>
          <w:szCs w:val="21"/>
        </w:rPr>
      </w:pPr>
      <w:bookmarkStart w:id="308" w:name="_Toc2595"/>
      <w:r>
        <w:rPr>
          <w:rFonts w:hint="eastAsia" w:ascii="宋体" w:hAnsi="宋体"/>
          <w:b/>
          <w:szCs w:val="21"/>
        </w:rPr>
        <w:t>12.</w:t>
      </w:r>
      <w:r>
        <w:rPr>
          <w:rFonts w:hint="eastAsia" w:ascii="宋体" w:hAnsi="宋体"/>
          <w:szCs w:val="21"/>
        </w:rPr>
        <w:t xml:space="preserve"> </w:t>
      </w:r>
      <w:r>
        <w:rPr>
          <w:rFonts w:hint="eastAsia" w:ascii="宋体" w:hAnsi="宋体"/>
          <w:b/>
          <w:szCs w:val="21"/>
        </w:rPr>
        <w:t>合同生效：</w:t>
      </w:r>
      <w:r>
        <w:rPr>
          <w:rFonts w:hint="eastAsia" w:ascii="宋体" w:hAnsi="宋体"/>
          <w:szCs w:val="21"/>
        </w:rPr>
        <w:t>自双方代表签字并加盖双方印章之日生效。本合同正文均系打印文字。</w:t>
      </w:r>
      <w:bookmarkEnd w:id="308"/>
    </w:p>
    <w:p>
      <w:pPr>
        <w:spacing w:line="340" w:lineRule="exact"/>
        <w:ind w:firstLine="316" w:firstLineChars="150"/>
        <w:rPr>
          <w:rFonts w:ascii="宋体" w:hAnsi="宋体"/>
          <w:b/>
          <w:sz w:val="24"/>
          <w:szCs w:val="21"/>
        </w:rPr>
      </w:pPr>
      <w:bookmarkStart w:id="309" w:name="_Toc13807"/>
      <w:r>
        <w:rPr>
          <w:rFonts w:hint="eastAsia" w:ascii="宋体" w:hAnsi="宋体"/>
          <w:b/>
          <w:szCs w:val="21"/>
        </w:rPr>
        <w:t>（以下无正文）</w:t>
      </w:r>
      <w:bookmarkEnd w:id="309"/>
    </w:p>
    <w:tbl>
      <w:tblPr>
        <w:tblStyle w:val="47"/>
        <w:tblW w:w="9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5"/>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4535" w:type="dxa"/>
            <w:tcBorders>
              <w:top w:val="single" w:color="auto" w:sz="4" w:space="0"/>
              <w:left w:val="single" w:color="auto" w:sz="4" w:space="0"/>
              <w:bottom w:val="single" w:color="auto" w:sz="4" w:space="0"/>
              <w:right w:val="single" w:color="auto" w:sz="4" w:space="0"/>
            </w:tcBorders>
          </w:tcPr>
          <w:p>
            <w:pPr>
              <w:tabs>
                <w:tab w:val="left" w:pos="3180"/>
              </w:tabs>
              <w:spacing w:line="340" w:lineRule="exact"/>
              <w:rPr>
                <w:rFonts w:ascii="宋体" w:hAnsi="宋体" w:cstheme="minorBidi"/>
                <w:b/>
                <w:szCs w:val="21"/>
                <w:u w:val="single"/>
              </w:rPr>
            </w:pPr>
            <w:bookmarkStart w:id="310" w:name="mark_sqrqz"/>
            <w:r>
              <w:rPr>
                <w:rFonts w:hint="eastAsia" w:ascii="宋体" w:hAnsi="宋体"/>
                <w:b/>
                <w:szCs w:val="21"/>
              </w:rPr>
              <w:t>委托方：</w:t>
            </w:r>
          </w:p>
          <w:p>
            <w:pPr>
              <w:tabs>
                <w:tab w:val="left" w:pos="3180"/>
              </w:tabs>
              <w:spacing w:line="340" w:lineRule="exact"/>
              <w:rPr>
                <w:rFonts w:ascii="宋体" w:hAnsi="宋体"/>
                <w:b/>
                <w:szCs w:val="21"/>
              </w:rPr>
            </w:pPr>
            <w:r>
              <w:rPr>
                <w:rFonts w:hint="eastAsia" w:ascii="宋体" w:hAnsi="宋体"/>
                <w:szCs w:val="21"/>
              </w:rPr>
              <w:t>　　　　　　　　</w:t>
            </w:r>
            <w:r>
              <w:rPr>
                <w:rFonts w:hint="eastAsia" w:ascii="宋体" w:hAnsi="宋体"/>
                <w:b/>
                <w:szCs w:val="21"/>
              </w:rPr>
              <w:t>（印章）</w:t>
            </w:r>
          </w:p>
          <w:p>
            <w:pPr>
              <w:tabs>
                <w:tab w:val="left" w:pos="3180"/>
              </w:tabs>
              <w:spacing w:line="340" w:lineRule="exact"/>
              <w:rPr>
                <w:rFonts w:ascii="宋体" w:hAnsi="宋体"/>
                <w:b/>
                <w:szCs w:val="21"/>
              </w:rPr>
            </w:pPr>
            <w:r>
              <w:rPr>
                <w:rFonts w:hint="eastAsia" w:ascii="宋体" w:hAnsi="宋体"/>
                <w:b/>
                <w:szCs w:val="21"/>
              </w:rPr>
              <w:t xml:space="preserve">              </w:t>
            </w:r>
          </w:p>
          <w:p>
            <w:pPr>
              <w:tabs>
                <w:tab w:val="left" w:pos="3180"/>
              </w:tabs>
              <w:spacing w:line="340" w:lineRule="exact"/>
              <w:rPr>
                <w:rFonts w:ascii="宋体" w:hAnsi="宋体"/>
                <w:b/>
                <w:szCs w:val="21"/>
                <w:u w:val="single"/>
              </w:rPr>
            </w:pPr>
            <w:r>
              <w:rPr>
                <w:rFonts w:hint="eastAsia" w:ascii="宋体" w:hAnsi="宋体"/>
                <w:b/>
                <w:szCs w:val="21"/>
              </w:rPr>
              <w:t>委托方代表：</w:t>
            </w:r>
            <w:r>
              <w:rPr>
                <w:rFonts w:hint="eastAsia" w:ascii="宋体" w:hAnsi="宋体"/>
                <w:b/>
                <w:szCs w:val="21"/>
                <w:u w:val="single"/>
              </w:rPr>
              <w:t xml:space="preserve"> </w:t>
            </w:r>
            <w:bookmarkStart w:id="311" w:name="sqrqz"/>
            <w:bookmarkEnd w:id="311"/>
            <w:r>
              <w:rPr>
                <w:rFonts w:hint="eastAsia" w:ascii="宋体" w:hAnsi="宋体"/>
                <w:b/>
                <w:szCs w:val="21"/>
                <w:u w:val="single"/>
              </w:rPr>
              <w:t xml:space="preserve">                    </w:t>
            </w:r>
          </w:p>
          <w:p>
            <w:pPr>
              <w:snapToGrid w:val="0"/>
              <w:spacing w:line="240" w:lineRule="exact"/>
              <w:rPr>
                <w:rFonts w:ascii="宋体" w:hAnsi="宋体"/>
                <w:szCs w:val="21"/>
              </w:rPr>
            </w:pPr>
            <w:r>
              <w:rPr>
                <w:rFonts w:hint="eastAsia" w:ascii="宋体" w:hAnsi="宋体"/>
                <w:szCs w:val="21"/>
              </w:rPr>
              <w:t>经办人：</w:t>
            </w:r>
          </w:p>
          <w:p>
            <w:pPr>
              <w:snapToGrid w:val="0"/>
              <w:spacing w:line="240" w:lineRule="exact"/>
              <w:rPr>
                <w:rFonts w:ascii="宋体" w:hAnsi="宋体"/>
                <w:szCs w:val="21"/>
              </w:rPr>
            </w:pPr>
            <w:r>
              <w:rPr>
                <w:rFonts w:hint="eastAsia" w:ascii="宋体" w:hAnsi="宋体"/>
                <w:szCs w:val="21"/>
              </w:rPr>
              <w:t>邮寄地址：</w:t>
            </w:r>
          </w:p>
          <w:p>
            <w:pPr>
              <w:snapToGrid w:val="0"/>
              <w:spacing w:line="240" w:lineRule="exact"/>
              <w:rPr>
                <w:rFonts w:ascii="宋体" w:hAnsi="宋体"/>
                <w:szCs w:val="21"/>
              </w:rPr>
            </w:pPr>
            <w:r>
              <w:rPr>
                <w:rFonts w:hint="eastAsia" w:ascii="宋体" w:hAnsi="宋体"/>
                <w:szCs w:val="21"/>
              </w:rPr>
              <w:t>邮编：</w:t>
            </w:r>
          </w:p>
          <w:p>
            <w:pPr>
              <w:adjustRightInd w:val="0"/>
              <w:snapToGrid w:val="0"/>
              <w:rPr>
                <w:rFonts w:ascii="宋体" w:hAnsi="宋体"/>
                <w:szCs w:val="21"/>
              </w:rPr>
            </w:pPr>
            <w:r>
              <w:rPr>
                <w:rFonts w:hint="eastAsia" w:ascii="宋体" w:hAnsi="宋体"/>
                <w:szCs w:val="21"/>
              </w:rPr>
              <w:t>电子邮箱：</w:t>
            </w:r>
          </w:p>
          <w:p>
            <w:pPr>
              <w:adjustRightInd w:val="0"/>
              <w:snapToGrid w:val="0"/>
              <w:rPr>
                <w:rFonts w:ascii="宋体" w:hAnsi="宋体"/>
                <w:szCs w:val="21"/>
              </w:rPr>
            </w:pPr>
            <w:r>
              <w:rPr>
                <w:rFonts w:hint="eastAsia" w:ascii="宋体" w:hAnsi="宋体"/>
                <w:szCs w:val="21"/>
              </w:rPr>
              <w:t>传真：</w:t>
            </w:r>
          </w:p>
          <w:p>
            <w:pPr>
              <w:adjustRightInd w:val="0"/>
              <w:snapToGrid w:val="0"/>
              <w:rPr>
                <w:rFonts w:ascii="宋体" w:hAnsi="宋体"/>
                <w:szCs w:val="21"/>
              </w:rPr>
            </w:pPr>
            <w:r>
              <w:rPr>
                <w:rFonts w:hint="eastAsia" w:ascii="宋体" w:hAnsi="宋体"/>
                <w:szCs w:val="21"/>
              </w:rPr>
              <w:t>联系电话：</w:t>
            </w:r>
          </w:p>
          <w:p>
            <w:pPr>
              <w:adjustRightInd w:val="0"/>
              <w:snapToGrid w:val="0"/>
              <w:rPr>
                <w:rFonts w:ascii="宋体" w:hAnsi="宋体"/>
                <w:szCs w:val="21"/>
              </w:rPr>
            </w:pPr>
            <w:r>
              <w:rPr>
                <w:rFonts w:hint="eastAsia" w:ascii="宋体" w:hAnsi="宋体"/>
                <w:szCs w:val="21"/>
              </w:rPr>
              <w:t>开户银行及帐号：</w:t>
            </w:r>
          </w:p>
          <w:p>
            <w:pPr>
              <w:adjustRightInd w:val="0"/>
              <w:snapToGrid w:val="0"/>
              <w:spacing w:line="360" w:lineRule="auto"/>
              <w:rPr>
                <w:rFonts w:ascii="宋体" w:hAnsi="宋体" w:cstheme="minorBidi"/>
                <w:sz w:val="18"/>
                <w:szCs w:val="18"/>
              </w:rPr>
            </w:pPr>
            <w:r>
              <w:rPr>
                <w:rFonts w:hint="eastAsia" w:ascii="宋体" w:hAnsi="宋体"/>
                <w:szCs w:val="21"/>
              </w:rPr>
              <w:t>税号：</w:t>
            </w:r>
          </w:p>
        </w:tc>
        <w:tc>
          <w:tcPr>
            <w:tcW w:w="4535" w:type="dxa"/>
            <w:tcBorders>
              <w:top w:val="single" w:color="auto" w:sz="4" w:space="0"/>
              <w:left w:val="single" w:color="auto" w:sz="4" w:space="0"/>
              <w:bottom w:val="single" w:color="auto" w:sz="4" w:space="0"/>
              <w:right w:val="single" w:color="auto" w:sz="4" w:space="0"/>
            </w:tcBorders>
          </w:tcPr>
          <w:p>
            <w:pPr>
              <w:tabs>
                <w:tab w:val="left" w:pos="3180"/>
              </w:tabs>
              <w:spacing w:line="340" w:lineRule="exact"/>
              <w:rPr>
                <w:rFonts w:ascii="宋体" w:hAnsi="宋体" w:cstheme="minorBidi"/>
                <w:b/>
                <w:szCs w:val="21"/>
              </w:rPr>
            </w:pPr>
            <w:r>
              <w:rPr>
                <w:rFonts w:hint="eastAsia" w:ascii="宋体" w:hAnsi="宋体"/>
                <w:b/>
                <w:szCs w:val="21"/>
              </w:rPr>
              <w:t>承修方：</w:t>
            </w:r>
          </w:p>
          <w:p>
            <w:pPr>
              <w:tabs>
                <w:tab w:val="left" w:pos="3180"/>
              </w:tabs>
              <w:spacing w:line="340" w:lineRule="exact"/>
              <w:ind w:firstLine="1739" w:firstLineChars="825"/>
              <w:rPr>
                <w:rFonts w:ascii="宋体" w:hAnsi="宋体"/>
                <w:b/>
                <w:szCs w:val="21"/>
              </w:rPr>
            </w:pPr>
            <w:r>
              <w:rPr>
                <w:rFonts w:hint="eastAsia" w:ascii="宋体" w:hAnsi="宋体"/>
                <w:b/>
                <w:szCs w:val="21"/>
              </w:rPr>
              <w:t>（印章）</w:t>
            </w:r>
          </w:p>
          <w:p>
            <w:pPr>
              <w:tabs>
                <w:tab w:val="left" w:pos="3180"/>
              </w:tabs>
              <w:spacing w:line="340" w:lineRule="exact"/>
              <w:rPr>
                <w:rFonts w:ascii="宋体" w:hAnsi="宋体"/>
                <w:b/>
                <w:szCs w:val="21"/>
                <w:u w:val="single"/>
              </w:rPr>
            </w:pPr>
            <w:r>
              <w:rPr>
                <w:rFonts w:hint="eastAsia" w:ascii="宋体" w:hAnsi="宋体"/>
                <w:b/>
                <w:szCs w:val="21"/>
              </w:rPr>
              <w:t>承修方代表：</w:t>
            </w:r>
            <w:r>
              <w:rPr>
                <w:rFonts w:hint="eastAsia" w:ascii="宋体" w:hAnsi="宋体"/>
                <w:b/>
                <w:szCs w:val="21"/>
                <w:u w:val="single"/>
              </w:rPr>
              <w:t xml:space="preserve">                 </w:t>
            </w:r>
          </w:p>
          <w:p>
            <w:pPr>
              <w:adjustRightInd w:val="0"/>
              <w:snapToGrid w:val="0"/>
              <w:rPr>
                <w:rFonts w:ascii="宋体" w:hAnsi="宋体"/>
                <w:szCs w:val="21"/>
              </w:rPr>
            </w:pPr>
            <w:r>
              <w:rPr>
                <w:rFonts w:hint="eastAsia" w:ascii="宋体" w:hAnsi="宋体"/>
                <w:szCs w:val="21"/>
              </w:rPr>
              <w:t>联系人：</w:t>
            </w:r>
          </w:p>
          <w:p>
            <w:pPr>
              <w:adjustRightInd w:val="0"/>
              <w:snapToGrid w:val="0"/>
              <w:rPr>
                <w:rFonts w:ascii="宋体" w:hAnsi="宋体"/>
                <w:szCs w:val="21"/>
              </w:rPr>
            </w:pPr>
            <w:r>
              <w:rPr>
                <w:rFonts w:hint="eastAsia" w:ascii="宋体" w:hAnsi="宋体"/>
                <w:szCs w:val="21"/>
              </w:rPr>
              <w:t>邮寄地址：</w:t>
            </w:r>
          </w:p>
          <w:p>
            <w:pPr>
              <w:adjustRightInd w:val="0"/>
              <w:snapToGrid w:val="0"/>
              <w:rPr>
                <w:rFonts w:ascii="宋体" w:hAnsi="宋体"/>
                <w:szCs w:val="21"/>
              </w:rPr>
            </w:pPr>
            <w:r>
              <w:rPr>
                <w:rFonts w:hint="eastAsia" w:ascii="宋体" w:hAnsi="宋体"/>
                <w:szCs w:val="21"/>
              </w:rPr>
              <w:t>电子邮箱：</w:t>
            </w:r>
          </w:p>
          <w:p>
            <w:pPr>
              <w:adjustRightInd w:val="0"/>
              <w:snapToGrid w:val="0"/>
              <w:rPr>
                <w:rFonts w:ascii="宋体" w:hAnsi="宋体"/>
                <w:szCs w:val="21"/>
              </w:rPr>
            </w:pPr>
            <w:r>
              <w:rPr>
                <w:rFonts w:hint="eastAsia" w:ascii="宋体" w:hAnsi="宋体"/>
                <w:szCs w:val="21"/>
              </w:rPr>
              <w:t>传真：</w:t>
            </w:r>
            <w:bookmarkStart w:id="312" w:name="乙方传真"/>
            <w:bookmarkEnd w:id="312"/>
          </w:p>
          <w:p>
            <w:pPr>
              <w:adjustRightInd w:val="0"/>
              <w:snapToGrid w:val="0"/>
              <w:rPr>
                <w:rFonts w:ascii="宋体" w:hAnsi="宋体"/>
                <w:szCs w:val="21"/>
              </w:rPr>
            </w:pPr>
            <w:r>
              <w:rPr>
                <w:rFonts w:hint="eastAsia" w:ascii="宋体" w:hAnsi="宋体"/>
                <w:szCs w:val="21"/>
              </w:rPr>
              <w:t>电话：</w:t>
            </w:r>
            <w:bookmarkStart w:id="313" w:name="乙方电话"/>
            <w:bookmarkEnd w:id="313"/>
          </w:p>
          <w:p>
            <w:pPr>
              <w:adjustRightInd w:val="0"/>
              <w:snapToGrid w:val="0"/>
              <w:rPr>
                <w:rFonts w:ascii="宋体" w:hAnsi="宋体"/>
                <w:szCs w:val="21"/>
              </w:rPr>
            </w:pPr>
            <w:r>
              <w:rPr>
                <w:rFonts w:hint="eastAsia" w:ascii="宋体" w:hAnsi="宋体"/>
                <w:szCs w:val="21"/>
              </w:rPr>
              <w:t>开户银行：</w:t>
            </w:r>
            <w:bookmarkStart w:id="314" w:name="乙方开户行"/>
            <w:bookmarkEnd w:id="314"/>
          </w:p>
          <w:p>
            <w:pPr>
              <w:adjustRightInd w:val="0"/>
              <w:snapToGrid w:val="0"/>
              <w:rPr>
                <w:rFonts w:ascii="宋体" w:hAnsi="宋体"/>
                <w:szCs w:val="21"/>
              </w:rPr>
            </w:pPr>
            <w:r>
              <w:rPr>
                <w:rFonts w:hint="eastAsia" w:ascii="宋体" w:hAnsi="宋体"/>
                <w:szCs w:val="21"/>
              </w:rPr>
              <w:t>账号：</w:t>
            </w:r>
            <w:bookmarkStart w:id="315" w:name="乙方帐号"/>
            <w:bookmarkEnd w:id="315"/>
          </w:p>
          <w:p>
            <w:pPr>
              <w:adjustRightInd w:val="0"/>
              <w:snapToGrid w:val="0"/>
              <w:spacing w:line="360" w:lineRule="auto"/>
              <w:rPr>
                <w:rFonts w:ascii="宋体" w:hAnsi="宋体" w:cstheme="minorBidi"/>
                <w:szCs w:val="21"/>
              </w:rPr>
            </w:pPr>
            <w:r>
              <w:rPr>
                <w:rFonts w:hint="eastAsia" w:ascii="宋体" w:hAnsi="宋体"/>
                <w:szCs w:val="21"/>
              </w:rPr>
              <w:t>税号：</w:t>
            </w:r>
          </w:p>
        </w:tc>
      </w:tr>
      <w:bookmarkEnd w:id="310"/>
    </w:tbl>
    <w:p>
      <w:pPr>
        <w:spacing w:line="380" w:lineRule="exact"/>
        <w:rPr>
          <w:b/>
        </w:rPr>
      </w:pPr>
      <w:r>
        <w:rPr>
          <w:szCs w:val="21"/>
        </w:rPr>
        <w:t xml:space="preserve"> </w:t>
      </w: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 xml:space="preserve">第三章  </w:t>
      </w:r>
      <w:r>
        <w:rPr>
          <w:rFonts w:hint="eastAsia" w:ascii="宋体" w:hAnsi="宋体" w:eastAsia="黑体"/>
          <w:b/>
          <w:bCs/>
          <w:kern w:val="44"/>
          <w:sz w:val="28"/>
          <w:szCs w:val="44"/>
        </w:rPr>
        <w:t>投标文件的格式、附件</w:t>
      </w:r>
    </w:p>
    <w:p>
      <w:pPr>
        <w:spacing w:line="360" w:lineRule="auto"/>
        <w:jc w:val="center"/>
        <w:rPr>
          <w:rFonts w:ascii="宋体" w:hAnsi="宋体"/>
          <w:b/>
          <w:sz w:val="24"/>
          <w:szCs w:val="21"/>
        </w:rPr>
      </w:pPr>
    </w:p>
    <w:p>
      <w:pPr>
        <w:spacing w:line="360" w:lineRule="auto"/>
        <w:jc w:val="center"/>
        <w:rPr>
          <w:rFonts w:ascii="宋体" w:hAnsi="宋体"/>
          <w:b/>
          <w:sz w:val="24"/>
          <w:szCs w:val="21"/>
        </w:rPr>
      </w:pPr>
    </w:p>
    <w:p>
      <w:pPr>
        <w:spacing w:line="360" w:lineRule="auto"/>
        <w:jc w:val="center"/>
        <w:rPr>
          <w:rFonts w:ascii="宋体" w:hAnsi="宋体"/>
          <w:b/>
          <w:sz w:val="24"/>
          <w:szCs w:val="21"/>
        </w:rPr>
      </w:pPr>
    </w:p>
    <w:p>
      <w:pPr>
        <w:spacing w:line="360" w:lineRule="auto"/>
        <w:jc w:val="center"/>
        <w:rPr>
          <w:rFonts w:ascii="宋体" w:hAnsi="Calibri"/>
          <w:b/>
          <w:sz w:val="24"/>
          <w:szCs w:val="21"/>
        </w:rPr>
      </w:pPr>
      <w:r>
        <w:rPr>
          <w:rFonts w:hint="eastAsia" w:ascii="宋体" w:hAnsi="宋体"/>
          <w:b/>
          <w:sz w:val="24"/>
          <w:szCs w:val="21"/>
        </w:rPr>
        <w:t>密封袋封条格式</w:t>
      </w: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r>
        <w:rPr>
          <w:rFonts w:hint="eastAsia" w:ascii="宋体" w:hAnsi="宋体" w:cs="Arial"/>
          <w:b/>
          <w:bCs/>
          <w:sz w:val="24"/>
          <w:szCs w:val="21"/>
        </w:rPr>
        <w:t>投标文件</w:t>
      </w:r>
      <w:r>
        <w:rPr>
          <w:rFonts w:ascii="宋体" w:hAnsi="宋体" w:cs="Arial"/>
          <w:b/>
          <w:bCs/>
          <w:sz w:val="24"/>
          <w:szCs w:val="21"/>
        </w:rPr>
        <w:t>/</w:t>
      </w:r>
      <w:r>
        <w:rPr>
          <w:rFonts w:hint="eastAsia" w:ascii="宋体" w:hAnsi="宋体" w:cs="Arial"/>
          <w:b/>
          <w:bCs/>
          <w:sz w:val="24"/>
          <w:szCs w:val="21"/>
        </w:rPr>
        <w:t>开标一览表</w:t>
      </w: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line="360" w:lineRule="auto"/>
        <w:jc w:val="center"/>
        <w:rPr>
          <w:rFonts w:ascii="宋体" w:hAnsi="Calibri" w:cs="Arial"/>
          <w:b/>
          <w:bCs/>
          <w:sz w:val="24"/>
          <w:szCs w:val="21"/>
        </w:rPr>
      </w:pPr>
    </w:p>
    <w:p>
      <w:pPr>
        <w:spacing w:after="78" w:afterLines="25" w:line="360" w:lineRule="auto"/>
        <w:rPr>
          <w:rFonts w:ascii="宋体" w:hAnsi="宋体" w:cs="Arial"/>
          <w:b/>
          <w:bCs/>
          <w:sz w:val="24"/>
          <w:szCs w:val="21"/>
        </w:rPr>
      </w:pPr>
      <w:r>
        <w:rPr>
          <w:rFonts w:hint="eastAsia" w:ascii="宋体" w:hAnsi="宋体" w:cs="Arial"/>
          <w:b/>
          <w:bCs/>
          <w:sz w:val="24"/>
          <w:szCs w:val="21"/>
        </w:rPr>
        <w:t>项目名称：北京副中心城际CRH6A型动车组四级修（120 万公里）项目（C包）</w:t>
      </w:r>
    </w:p>
    <w:p>
      <w:pPr>
        <w:spacing w:after="78" w:afterLines="25" w:line="360" w:lineRule="auto"/>
        <w:rPr>
          <w:rFonts w:hint="eastAsia" w:ascii="宋体" w:hAnsi="宋体" w:eastAsia="宋体" w:cs="Arial"/>
          <w:b/>
          <w:bCs/>
          <w:sz w:val="24"/>
          <w:szCs w:val="21"/>
          <w:lang w:eastAsia="zh-CN"/>
        </w:rPr>
      </w:pPr>
      <w:r>
        <w:rPr>
          <w:rFonts w:hint="eastAsia" w:ascii="宋体" w:hAnsi="宋体" w:cs="Arial"/>
          <w:b/>
          <w:bCs/>
          <w:sz w:val="24"/>
          <w:szCs w:val="21"/>
        </w:rPr>
        <w:t>项目编号：SZHT2025-005-</w:t>
      </w:r>
      <w:r>
        <w:rPr>
          <w:rFonts w:hint="eastAsia" w:ascii="宋体" w:hAnsi="宋体" w:cs="Arial"/>
          <w:b/>
          <w:bCs/>
          <w:sz w:val="24"/>
          <w:szCs w:val="21"/>
          <w:lang w:val="en-US" w:eastAsia="zh-CN"/>
        </w:rPr>
        <w:t>C</w:t>
      </w:r>
    </w:p>
    <w:p>
      <w:pPr>
        <w:spacing w:line="360" w:lineRule="auto"/>
        <w:jc w:val="left"/>
        <w:rPr>
          <w:rFonts w:ascii="宋体" w:hAnsi="宋体" w:cs="Arial"/>
          <w:b/>
          <w:bCs/>
          <w:sz w:val="24"/>
          <w:szCs w:val="21"/>
        </w:rPr>
      </w:pPr>
      <w:r>
        <w:rPr>
          <w:rFonts w:hint="eastAsia" w:ascii="宋体" w:hAnsi="宋体" w:cs="Arial"/>
          <w:b/>
          <w:bCs/>
          <w:sz w:val="24"/>
          <w:szCs w:val="21"/>
        </w:rPr>
        <w:t>投标单位：（加盖公章）</w:t>
      </w:r>
    </w:p>
    <w:p>
      <w:pPr>
        <w:spacing w:line="360" w:lineRule="auto"/>
        <w:jc w:val="left"/>
        <w:rPr>
          <w:rFonts w:ascii="宋体" w:hAnsi="Calibri" w:cs="Arial"/>
          <w:b/>
          <w:bCs/>
          <w:sz w:val="24"/>
          <w:szCs w:val="21"/>
        </w:rPr>
      </w:pPr>
      <w:r>
        <w:rPr>
          <w:rFonts w:hint="eastAsia" w:ascii="宋体" w:hAnsi="宋体" w:cs="Arial"/>
          <w:b/>
          <w:bCs/>
          <w:sz w:val="24"/>
          <w:szCs w:val="21"/>
        </w:rPr>
        <w:t>单位地址：</w:t>
      </w:r>
    </w:p>
    <w:p>
      <w:pPr>
        <w:spacing w:line="360" w:lineRule="auto"/>
        <w:jc w:val="left"/>
        <w:rPr>
          <w:rFonts w:ascii="宋体" w:hAnsi="Calibri" w:cs="Arial"/>
          <w:b/>
          <w:bCs/>
          <w:sz w:val="24"/>
          <w:szCs w:val="21"/>
          <w:u w:val="single"/>
        </w:rPr>
      </w:pPr>
      <w:r>
        <w:rPr>
          <w:rFonts w:hint="eastAsia" w:ascii="宋体" w:hAnsi="宋体" w:cs="Arial"/>
          <w:b/>
          <w:bCs/>
          <w:sz w:val="24"/>
          <w:szCs w:val="21"/>
        </w:rPr>
        <w:t>法定代表人</w:t>
      </w:r>
      <w:r>
        <w:rPr>
          <w:rFonts w:ascii="宋体" w:hAnsi="宋体" w:cs="Arial"/>
          <w:b/>
          <w:bCs/>
          <w:sz w:val="24"/>
          <w:szCs w:val="21"/>
        </w:rPr>
        <w:t>/</w:t>
      </w:r>
      <w:r>
        <w:rPr>
          <w:rFonts w:hint="eastAsia" w:ascii="宋体" w:hAnsi="宋体" w:cs="Arial"/>
          <w:b/>
          <w:bCs/>
          <w:sz w:val="24"/>
          <w:szCs w:val="21"/>
        </w:rPr>
        <w:t>被授权人：</w:t>
      </w:r>
    </w:p>
    <w:p>
      <w:pPr>
        <w:spacing w:line="360" w:lineRule="auto"/>
        <w:jc w:val="left"/>
        <w:rPr>
          <w:rFonts w:ascii="宋体" w:hAnsi="Calibri" w:cs="Arial"/>
          <w:b/>
          <w:bCs/>
          <w:sz w:val="24"/>
          <w:szCs w:val="21"/>
        </w:rPr>
      </w:pPr>
      <w:r>
        <w:rPr>
          <w:rFonts w:hint="eastAsia" w:ascii="宋体" w:hAnsi="宋体" w:cs="Arial"/>
          <w:b/>
          <w:bCs/>
          <w:sz w:val="24"/>
          <w:szCs w:val="21"/>
        </w:rPr>
        <w:t>联系电话：</w:t>
      </w:r>
    </w:p>
    <w:p>
      <w:pPr>
        <w:spacing w:line="360" w:lineRule="auto"/>
        <w:jc w:val="center"/>
        <w:rPr>
          <w:rFonts w:ascii="宋体" w:hAnsi="Calibri" w:cs="Arial"/>
          <w:b/>
          <w:bCs/>
          <w:sz w:val="24"/>
          <w:szCs w:val="21"/>
        </w:rPr>
      </w:pPr>
      <w:r>
        <w:rPr>
          <w:rFonts w:hint="eastAsia" w:ascii="宋体" w:hAnsi="宋体" w:cs="Arial"/>
          <w:b/>
          <w:bCs/>
          <w:sz w:val="24"/>
          <w:szCs w:val="21"/>
        </w:rPr>
        <w:t>【    年    月    日   时  分之前不得启封。】</w:t>
      </w:r>
    </w:p>
    <w:p>
      <w:pPr>
        <w:spacing w:line="360" w:lineRule="auto"/>
        <w:rPr>
          <w:rFonts w:ascii="宋体" w:hAnsi="Calibri" w:cs="Arial"/>
          <w:bCs/>
          <w:sz w:val="24"/>
          <w:szCs w:val="21"/>
        </w:rPr>
      </w:pPr>
    </w:p>
    <w:p>
      <w:pPr>
        <w:spacing w:line="360" w:lineRule="auto"/>
        <w:rPr>
          <w:rFonts w:ascii="宋体" w:hAnsi="Calibri" w:cs="Arial"/>
          <w:bCs/>
          <w:sz w:val="24"/>
          <w:szCs w:val="21"/>
        </w:rPr>
      </w:pPr>
      <w:r>
        <w:rPr>
          <w:rFonts w:hint="eastAsia" w:ascii="宋体" w:hAnsi="宋体" w:cs="Arial"/>
          <w:bCs/>
          <w:sz w:val="24"/>
          <w:szCs w:val="21"/>
        </w:rPr>
        <w:t>备注：本封条应粘贴在投标文件</w:t>
      </w:r>
      <w:r>
        <w:rPr>
          <w:rFonts w:ascii="宋体" w:hAnsi="宋体" w:cs="Arial"/>
          <w:bCs/>
          <w:sz w:val="24"/>
          <w:szCs w:val="21"/>
        </w:rPr>
        <w:t>/</w:t>
      </w:r>
      <w:r>
        <w:rPr>
          <w:rFonts w:hint="eastAsia" w:ascii="宋体" w:hAnsi="宋体" w:cs="Arial"/>
          <w:bCs/>
          <w:sz w:val="24"/>
          <w:szCs w:val="21"/>
        </w:rPr>
        <w:t>开标一览表的密封袋封面。</w:t>
      </w:r>
    </w:p>
    <w:p>
      <w:pPr>
        <w:spacing w:line="360" w:lineRule="auto"/>
        <w:rPr>
          <w:rFonts w:ascii="宋体" w:hAnsi="Calibri" w:cs="Arial"/>
          <w:bCs/>
          <w:sz w:val="24"/>
          <w:szCs w:val="21"/>
        </w:rPr>
      </w:pPr>
    </w:p>
    <w:p>
      <w:pPr>
        <w:widowControl/>
        <w:spacing w:line="360" w:lineRule="auto"/>
        <w:jc w:val="left"/>
        <w:rPr>
          <w:rFonts w:ascii="宋体" w:hAnsi="Calibri"/>
          <w:b/>
          <w:bCs/>
          <w:szCs w:val="21"/>
        </w:rPr>
      </w:pPr>
      <w:bookmarkStart w:id="316" w:name="_Toc480447820"/>
      <w:r>
        <w:rPr>
          <w:rFonts w:ascii="宋体" w:hAnsi="Calibri"/>
          <w:szCs w:val="21"/>
        </w:rPr>
        <w:br w:type="page"/>
      </w:r>
    </w:p>
    <w:bookmarkEnd w:id="316"/>
    <w:p>
      <w:pPr>
        <w:spacing w:line="360" w:lineRule="auto"/>
        <w:jc w:val="center"/>
        <w:rPr>
          <w:rFonts w:ascii="宋体" w:hAnsi="Calibri"/>
          <w:sz w:val="24"/>
          <w:szCs w:val="28"/>
        </w:rPr>
      </w:pPr>
      <w:r>
        <w:rPr>
          <w:rFonts w:hint="eastAsia" w:ascii="宋体" w:hAnsi="宋体"/>
          <w:sz w:val="24"/>
          <w:szCs w:val="28"/>
        </w:rPr>
        <w:t>目录【请认真阅读，按要求做标书】</w:t>
      </w:r>
    </w:p>
    <w:p>
      <w:pPr>
        <w:spacing w:line="360" w:lineRule="auto"/>
        <w:jc w:val="center"/>
        <w:rPr>
          <w:rFonts w:ascii="宋体" w:hAnsi="Calibri"/>
          <w:bCs/>
          <w:szCs w:val="21"/>
        </w:rPr>
      </w:pPr>
    </w:p>
    <w:p>
      <w:pPr>
        <w:spacing w:line="360" w:lineRule="auto"/>
        <w:jc w:val="center"/>
        <w:rPr>
          <w:rFonts w:ascii="宋体" w:hAnsi="Calibri"/>
          <w:bCs/>
          <w:szCs w:val="21"/>
        </w:rPr>
      </w:pPr>
    </w:p>
    <w:p>
      <w:pPr>
        <w:spacing w:line="360" w:lineRule="auto"/>
        <w:rPr>
          <w:rFonts w:ascii="宋体" w:hAnsi="宋体"/>
          <w:bCs/>
          <w:snapToGrid w:val="0"/>
          <w:kern w:val="0"/>
          <w:sz w:val="24"/>
          <w:szCs w:val="21"/>
        </w:rPr>
      </w:pPr>
      <w:r>
        <w:rPr>
          <w:rFonts w:hint="eastAsia" w:ascii="宋体" w:hAnsi="宋体"/>
          <w:bCs/>
          <w:snapToGrid w:val="0"/>
          <w:kern w:val="0"/>
          <w:sz w:val="24"/>
          <w:szCs w:val="21"/>
        </w:rPr>
        <w:t>一、投标函</w:t>
      </w:r>
    </w:p>
    <w:p>
      <w:pPr>
        <w:spacing w:line="360" w:lineRule="auto"/>
        <w:rPr>
          <w:rFonts w:ascii="宋体" w:hAnsi="宋体"/>
          <w:bCs/>
          <w:snapToGrid w:val="0"/>
          <w:kern w:val="0"/>
          <w:sz w:val="24"/>
          <w:szCs w:val="21"/>
        </w:rPr>
      </w:pPr>
      <w:r>
        <w:rPr>
          <w:rFonts w:hint="eastAsia" w:ascii="宋体" w:hAnsi="宋体"/>
          <w:bCs/>
          <w:snapToGrid w:val="0"/>
          <w:kern w:val="0"/>
          <w:sz w:val="24"/>
          <w:szCs w:val="21"/>
        </w:rPr>
        <w:t>二、政府采购投标及履约承诺函</w:t>
      </w:r>
    </w:p>
    <w:p>
      <w:pPr>
        <w:spacing w:line="360" w:lineRule="auto"/>
        <w:rPr>
          <w:rFonts w:ascii="宋体" w:hAnsi="宋体"/>
          <w:bCs/>
          <w:snapToGrid w:val="0"/>
          <w:kern w:val="0"/>
          <w:sz w:val="24"/>
          <w:szCs w:val="21"/>
        </w:rPr>
      </w:pPr>
      <w:r>
        <w:rPr>
          <w:rFonts w:hint="eastAsia" w:ascii="宋体" w:hAnsi="宋体"/>
          <w:bCs/>
          <w:snapToGrid w:val="0"/>
          <w:kern w:val="0"/>
          <w:sz w:val="24"/>
          <w:szCs w:val="21"/>
        </w:rPr>
        <w:t>三、政府采购违法行为风险知悉确认书</w:t>
      </w:r>
    </w:p>
    <w:p>
      <w:pPr>
        <w:spacing w:line="360" w:lineRule="auto"/>
        <w:rPr>
          <w:rFonts w:ascii="宋体" w:hAnsi="宋体"/>
          <w:bCs/>
          <w:snapToGrid w:val="0"/>
          <w:kern w:val="0"/>
          <w:sz w:val="24"/>
          <w:szCs w:val="21"/>
        </w:rPr>
      </w:pPr>
      <w:r>
        <w:rPr>
          <w:rFonts w:hint="eastAsia" w:ascii="宋体" w:hAnsi="宋体"/>
          <w:bCs/>
          <w:snapToGrid w:val="0"/>
          <w:kern w:val="0"/>
          <w:sz w:val="24"/>
          <w:szCs w:val="21"/>
        </w:rPr>
        <w:t>四、法定代表人（负责人）资格证明书</w:t>
      </w:r>
    </w:p>
    <w:p>
      <w:pPr>
        <w:spacing w:line="360" w:lineRule="auto"/>
        <w:rPr>
          <w:rFonts w:ascii="宋体" w:hAnsi="宋体"/>
          <w:bCs/>
          <w:snapToGrid w:val="0"/>
          <w:kern w:val="0"/>
          <w:sz w:val="24"/>
          <w:szCs w:val="21"/>
        </w:rPr>
      </w:pPr>
      <w:r>
        <w:rPr>
          <w:rFonts w:hint="eastAsia" w:ascii="宋体" w:hAnsi="宋体"/>
          <w:bCs/>
          <w:snapToGrid w:val="0"/>
          <w:kern w:val="0"/>
          <w:sz w:val="24"/>
          <w:szCs w:val="21"/>
        </w:rPr>
        <w:t>五、投标文件签署授权委托书</w:t>
      </w:r>
    </w:p>
    <w:p>
      <w:pPr>
        <w:spacing w:line="360" w:lineRule="auto"/>
        <w:rPr>
          <w:rFonts w:ascii="宋体" w:hAnsi="宋体"/>
          <w:bCs/>
          <w:snapToGrid w:val="0"/>
          <w:kern w:val="0"/>
          <w:sz w:val="24"/>
          <w:szCs w:val="21"/>
        </w:rPr>
      </w:pPr>
      <w:r>
        <w:rPr>
          <w:rFonts w:hint="eastAsia" w:ascii="宋体" w:hAnsi="宋体"/>
          <w:bCs/>
          <w:snapToGrid w:val="0"/>
          <w:kern w:val="0"/>
          <w:sz w:val="24"/>
          <w:szCs w:val="21"/>
        </w:rPr>
        <w:t>六、开标一览表</w:t>
      </w:r>
    </w:p>
    <w:p>
      <w:pPr>
        <w:spacing w:line="360" w:lineRule="auto"/>
        <w:rPr>
          <w:rFonts w:ascii="宋体" w:hAnsi="宋体"/>
          <w:bCs/>
          <w:snapToGrid w:val="0"/>
          <w:kern w:val="0"/>
          <w:sz w:val="24"/>
          <w:szCs w:val="21"/>
        </w:rPr>
      </w:pPr>
      <w:r>
        <w:rPr>
          <w:rFonts w:hint="eastAsia" w:ascii="宋体" w:hAnsi="宋体"/>
          <w:bCs/>
          <w:snapToGrid w:val="0"/>
          <w:kern w:val="0"/>
          <w:sz w:val="24"/>
          <w:szCs w:val="21"/>
        </w:rPr>
        <w:t>七、供应商情况介绍</w:t>
      </w:r>
    </w:p>
    <w:p>
      <w:pPr>
        <w:spacing w:line="360" w:lineRule="auto"/>
        <w:rPr>
          <w:rFonts w:ascii="宋体" w:hAnsi="宋体"/>
          <w:bCs/>
          <w:snapToGrid w:val="0"/>
          <w:kern w:val="0"/>
          <w:sz w:val="24"/>
          <w:szCs w:val="21"/>
        </w:rPr>
      </w:pPr>
      <w:r>
        <w:rPr>
          <w:rFonts w:hint="eastAsia" w:ascii="宋体" w:hAnsi="宋体"/>
          <w:bCs/>
          <w:snapToGrid w:val="0"/>
          <w:kern w:val="0"/>
          <w:sz w:val="24"/>
          <w:szCs w:val="21"/>
        </w:rPr>
        <w:t>八、实质性条款响应情况表</w:t>
      </w:r>
    </w:p>
    <w:p>
      <w:pPr>
        <w:spacing w:line="360" w:lineRule="auto"/>
        <w:rPr>
          <w:rFonts w:ascii="宋体" w:hAnsi="宋体"/>
          <w:bCs/>
          <w:snapToGrid w:val="0"/>
          <w:kern w:val="0"/>
          <w:sz w:val="24"/>
          <w:szCs w:val="21"/>
        </w:rPr>
      </w:pPr>
      <w:r>
        <w:rPr>
          <w:rFonts w:hint="eastAsia" w:ascii="宋体" w:hAnsi="宋体"/>
          <w:bCs/>
          <w:snapToGrid w:val="0"/>
          <w:kern w:val="0"/>
          <w:sz w:val="24"/>
          <w:szCs w:val="21"/>
        </w:rPr>
        <w:t>九、《技术规格偏离表》</w:t>
      </w:r>
    </w:p>
    <w:p>
      <w:pPr>
        <w:spacing w:line="360" w:lineRule="auto"/>
        <w:rPr>
          <w:rFonts w:ascii="宋体" w:hAnsi="宋体"/>
          <w:bCs/>
          <w:snapToGrid w:val="0"/>
          <w:kern w:val="0"/>
          <w:sz w:val="24"/>
        </w:rPr>
      </w:pPr>
      <w:r>
        <w:rPr>
          <w:rFonts w:hint="eastAsia" w:ascii="宋体" w:hAnsi="宋体"/>
          <w:bCs/>
          <w:snapToGrid w:val="0"/>
          <w:kern w:val="0"/>
          <w:sz w:val="24"/>
        </w:rPr>
        <w:t>十、《商务条款偏离表》</w:t>
      </w:r>
    </w:p>
    <w:p>
      <w:pPr>
        <w:spacing w:line="360" w:lineRule="auto"/>
        <w:rPr>
          <w:rFonts w:ascii="宋体" w:hAnsi="宋体" w:cs="宋体"/>
          <w:b/>
          <w:sz w:val="30"/>
          <w:szCs w:val="30"/>
        </w:rPr>
      </w:pPr>
      <w:r>
        <w:rPr>
          <w:rFonts w:hint="eastAsia" w:ascii="宋体" w:hAnsi="宋体"/>
          <w:bCs/>
          <w:snapToGrid w:val="0"/>
          <w:kern w:val="0"/>
          <w:sz w:val="24"/>
          <w:szCs w:val="21"/>
        </w:rPr>
        <w:t>十</w:t>
      </w:r>
      <w:r>
        <w:rPr>
          <w:rFonts w:hint="eastAsia" w:ascii="宋体" w:hAnsi="宋体"/>
          <w:bCs/>
          <w:snapToGrid w:val="0"/>
          <w:kern w:val="0"/>
          <w:sz w:val="24"/>
          <w:szCs w:val="21"/>
          <w:lang w:eastAsia="zh-CN"/>
        </w:rPr>
        <w:t>一</w:t>
      </w:r>
      <w:r>
        <w:rPr>
          <w:rFonts w:hint="eastAsia" w:ascii="宋体" w:hAnsi="宋体"/>
          <w:bCs/>
          <w:snapToGrid w:val="0"/>
          <w:kern w:val="0"/>
          <w:sz w:val="24"/>
          <w:szCs w:val="21"/>
        </w:rPr>
        <w:t>、招标文件要求的其他内容及投标人认为需要加以说明其他内容（格式自拟）</w:t>
      </w:r>
    </w:p>
    <w:p>
      <w:pPr>
        <w:keepNext/>
        <w:keepLines/>
        <w:spacing w:before="260" w:after="260" w:line="360" w:lineRule="auto"/>
        <w:jc w:val="center"/>
        <w:outlineLvl w:val="2"/>
        <w:rPr>
          <w:rFonts w:ascii="宋体" w:hAnsi="Calibri"/>
          <w:b/>
          <w:bCs/>
          <w:szCs w:val="21"/>
        </w:rPr>
      </w:pPr>
      <w:bookmarkStart w:id="317" w:name="_Toc135136247"/>
      <w:r>
        <w:rPr>
          <w:rFonts w:ascii="宋体" w:hAnsi="宋体"/>
          <w:b/>
          <w:bCs/>
          <w:sz w:val="22"/>
          <w:szCs w:val="21"/>
        </w:rPr>
        <w:br w:type="page"/>
      </w:r>
      <w:r>
        <w:rPr>
          <w:rFonts w:hint="eastAsia" w:ascii="宋体" w:hAnsi="宋体"/>
          <w:b/>
          <w:bCs/>
          <w:szCs w:val="21"/>
        </w:rPr>
        <w:t>一、投标函</w:t>
      </w:r>
      <w:bookmarkEnd w:id="317"/>
    </w:p>
    <w:p>
      <w:pPr>
        <w:spacing w:line="360" w:lineRule="auto"/>
        <w:rPr>
          <w:rFonts w:ascii="宋体" w:hAnsi="Calibri"/>
          <w:szCs w:val="21"/>
        </w:rPr>
      </w:pPr>
      <w:r>
        <w:rPr>
          <w:rFonts w:hint="eastAsia" w:ascii="宋体" w:hAnsi="宋体"/>
          <w:szCs w:val="21"/>
        </w:rPr>
        <w:t>致：深圳市河图建设项目管理有限公司</w:t>
      </w:r>
    </w:p>
    <w:p>
      <w:pPr>
        <w:spacing w:line="360" w:lineRule="auto"/>
        <w:ind w:firstLine="420" w:firstLineChars="200"/>
        <w:rPr>
          <w:rFonts w:ascii="宋体" w:hAnsi="Calibri"/>
          <w:szCs w:val="21"/>
        </w:rPr>
      </w:pPr>
      <w:r>
        <w:rPr>
          <w:rFonts w:hint="eastAsia" w:ascii="宋体" w:hAnsi="宋体"/>
          <w:szCs w:val="21"/>
        </w:rPr>
        <w:t>根据贵方发布的</w:t>
      </w:r>
      <w:r>
        <w:rPr>
          <w:rFonts w:hint="eastAsia" w:ascii="宋体" w:hAnsi="宋体"/>
          <w:szCs w:val="21"/>
          <w:u w:val="single"/>
        </w:rPr>
        <w:t xml:space="preserve"> 北京副中心城际CRH6A型动车组四级修（120万公里）项目</w:t>
      </w:r>
      <w:r>
        <w:rPr>
          <w:rFonts w:hint="eastAsia" w:ascii="宋体" w:hAnsi="宋体"/>
          <w:szCs w:val="21"/>
          <w:u w:val="single"/>
          <w:lang w:eastAsia="zh-CN"/>
        </w:rPr>
        <w:t>（C包）</w:t>
      </w:r>
      <w:r>
        <w:rPr>
          <w:rFonts w:hint="eastAsia" w:ascii="宋体" w:hAnsi="宋体"/>
          <w:szCs w:val="21"/>
          <w:u w:val="single"/>
        </w:rPr>
        <w:t xml:space="preserve"> </w:t>
      </w:r>
      <w:r>
        <w:rPr>
          <w:rFonts w:hint="eastAsia" w:ascii="宋体" w:hAnsi="宋体"/>
          <w:szCs w:val="21"/>
        </w:rPr>
        <w:t>的招标公告</w:t>
      </w:r>
      <w:r>
        <w:rPr>
          <w:rFonts w:hint="eastAsia" w:ascii="宋体" w:hAnsi="宋体"/>
          <w:szCs w:val="21"/>
          <w:u w:val="single"/>
        </w:rPr>
        <w:t>（项目编号为</w:t>
      </w:r>
      <w:r>
        <w:rPr>
          <w:rFonts w:ascii="宋体" w:hAnsi="宋体"/>
          <w:szCs w:val="21"/>
          <w:u w:val="single"/>
        </w:rPr>
        <w:t>SZHT2025-005</w:t>
      </w:r>
      <w:r>
        <w:rPr>
          <w:rFonts w:hint="eastAsia" w:ascii="宋体" w:hAnsi="宋体"/>
          <w:szCs w:val="21"/>
          <w:u w:val="single"/>
          <w:lang w:val="en-US" w:eastAsia="zh-CN"/>
        </w:rPr>
        <w:t>-C</w:t>
      </w:r>
      <w:r>
        <w:rPr>
          <w:rFonts w:hint="eastAsia" w:ascii="宋体" w:hAnsi="宋体"/>
          <w:szCs w:val="21"/>
          <w:u w:val="single"/>
        </w:rPr>
        <w:t>）</w:t>
      </w:r>
      <w:r>
        <w:rPr>
          <w:rFonts w:hint="eastAsia" w:ascii="宋体" w:hAnsi="宋体"/>
          <w:szCs w:val="21"/>
        </w:rPr>
        <w:t>，本人经我方法定代表人授权正式代表投标人</w:t>
      </w:r>
      <w:r>
        <w:rPr>
          <w:rFonts w:hint="eastAsia" w:ascii="宋体" w:hAnsi="宋体"/>
          <w:szCs w:val="21"/>
          <w:u w:val="single"/>
        </w:rPr>
        <w:t>（投标人的名称）</w:t>
      </w:r>
      <w:r>
        <w:rPr>
          <w:rFonts w:hint="eastAsia" w:ascii="宋体" w:hAnsi="宋体"/>
          <w:szCs w:val="21"/>
        </w:rPr>
        <w:t>，提交下述投标文件正本</w:t>
      </w:r>
      <w:r>
        <w:rPr>
          <w:rFonts w:ascii="宋体" w:hAnsi="宋体"/>
          <w:szCs w:val="21"/>
        </w:rPr>
        <w:t>1</w:t>
      </w:r>
      <w:r>
        <w:rPr>
          <w:rFonts w:hint="eastAsia" w:ascii="宋体" w:hAnsi="宋体"/>
          <w:szCs w:val="21"/>
        </w:rPr>
        <w:t>份，副本</w:t>
      </w:r>
      <w:r>
        <w:rPr>
          <w:rFonts w:ascii="宋体" w:hAnsi="宋体"/>
          <w:szCs w:val="21"/>
        </w:rPr>
        <w:t>4</w:t>
      </w:r>
      <w:r>
        <w:rPr>
          <w:rFonts w:hint="eastAsia" w:ascii="宋体" w:hAnsi="宋体"/>
          <w:szCs w:val="21"/>
        </w:rPr>
        <w:t>份，电子</w:t>
      </w:r>
      <w:r>
        <w:rPr>
          <w:rFonts w:ascii="宋体" w:hAnsi="宋体"/>
          <w:szCs w:val="21"/>
        </w:rPr>
        <w:t>U</w:t>
      </w:r>
      <w:r>
        <w:rPr>
          <w:rFonts w:hint="eastAsia" w:ascii="宋体" w:hAnsi="宋体"/>
          <w:szCs w:val="21"/>
        </w:rPr>
        <w:t>盘一份。</w:t>
      </w:r>
    </w:p>
    <w:p>
      <w:pPr>
        <w:spacing w:line="360" w:lineRule="auto"/>
        <w:ind w:firstLine="444"/>
        <w:rPr>
          <w:rFonts w:ascii="宋体" w:hAnsi="Calibri"/>
          <w:szCs w:val="21"/>
        </w:rPr>
      </w:pPr>
      <w:r>
        <w:rPr>
          <w:rFonts w:hint="eastAsia" w:ascii="宋体" w:hAnsi="宋体"/>
          <w:szCs w:val="21"/>
        </w:rPr>
        <w:t>据此函，本人代表投标方保证，所提供的全部资料是真实的。本人承诺：</w:t>
      </w:r>
    </w:p>
    <w:p>
      <w:pPr>
        <w:spacing w:line="360" w:lineRule="auto"/>
        <w:ind w:firstLine="444"/>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）我方愿以开标一览表中的投标报价并按招标文件要求承包上述项目并修补其任何缺陷；</w:t>
      </w:r>
    </w:p>
    <w:p>
      <w:pPr>
        <w:spacing w:line="360" w:lineRule="auto"/>
        <w:ind w:firstLine="444"/>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）我们承担根据招标文件的规定，完成合同的责任和义务。</w:t>
      </w:r>
    </w:p>
    <w:p>
      <w:pPr>
        <w:spacing w:line="360" w:lineRule="auto"/>
        <w:ind w:firstLine="444"/>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）我们已详细审核了全部招标文件，包括招标文件修改书（如果有的话），参考资料及有关附件，我们完全理解并同意放弃对这方面有不清楚或误解的问题的权利。</w:t>
      </w:r>
    </w:p>
    <w:p>
      <w:pPr>
        <w:spacing w:line="360" w:lineRule="auto"/>
        <w:ind w:firstLine="444"/>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）我们同意本项目规定的开标日期起遵循本投标文件，并在招标文件中规定的投标有效期满之前均具有约束力，并有可能中标。</w:t>
      </w:r>
    </w:p>
    <w:p>
      <w:pPr>
        <w:spacing w:line="360" w:lineRule="auto"/>
        <w:ind w:firstLine="444"/>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）如果在开标后规定的投标有效期内撤回投标或在中标后放弃中标，我们的投标保证金将被贵方没收。</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）同意向贵方提供贵方可能要求的与本投标有关的任何证据或资料。</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7</w:t>
      </w:r>
      <w:r>
        <w:rPr>
          <w:rFonts w:hint="eastAsia" w:ascii="宋体" w:hAnsi="宋体"/>
          <w:szCs w:val="21"/>
        </w:rPr>
        <w:t>）我们完全理解贵方不一定要接受最低报价的投标或收到的任何投标。</w:t>
      </w:r>
    </w:p>
    <w:p>
      <w:pPr>
        <w:spacing w:line="360" w:lineRule="auto"/>
        <w:ind w:firstLine="420" w:firstLineChars="200"/>
        <w:rPr>
          <w:rFonts w:ascii="宋体" w:hAnsi="宋体"/>
          <w:szCs w:val="21"/>
        </w:rPr>
      </w:pPr>
      <w:r>
        <w:rPr>
          <w:rFonts w:hint="eastAsia" w:ascii="宋体" w:hAnsi="宋体"/>
          <w:szCs w:val="21"/>
        </w:rPr>
        <w:t>与本投标有关的正式通信方式：</w:t>
      </w:r>
    </w:p>
    <w:p>
      <w:pPr>
        <w:spacing w:line="360" w:lineRule="auto"/>
        <w:ind w:firstLine="420" w:firstLineChars="200"/>
        <w:rPr>
          <w:rFonts w:ascii="宋体" w:hAnsi="Calibri"/>
          <w:szCs w:val="21"/>
          <w:u w:val="single"/>
        </w:rPr>
      </w:pPr>
      <w:r>
        <w:rPr>
          <w:rFonts w:hint="eastAsia" w:ascii="宋体" w:hAnsi="宋体"/>
          <w:szCs w:val="21"/>
        </w:rPr>
        <w:t>地址：邮政编码：</w:t>
      </w:r>
    </w:p>
    <w:p>
      <w:pPr>
        <w:spacing w:line="360" w:lineRule="auto"/>
        <w:ind w:firstLine="420" w:firstLineChars="200"/>
        <w:rPr>
          <w:rFonts w:ascii="宋体" w:hAnsi="Calibri"/>
          <w:szCs w:val="21"/>
        </w:rPr>
      </w:pPr>
      <w:r>
        <w:rPr>
          <w:rFonts w:hint="eastAsia" w:ascii="宋体" w:hAnsi="宋体"/>
          <w:szCs w:val="21"/>
        </w:rPr>
        <w:t>电话、手机、传真或电传：</w:t>
      </w:r>
    </w:p>
    <w:p>
      <w:pPr>
        <w:spacing w:line="360" w:lineRule="auto"/>
        <w:ind w:firstLine="420" w:firstLineChars="200"/>
        <w:rPr>
          <w:rFonts w:ascii="宋体" w:hAnsi="Calibri"/>
          <w:szCs w:val="21"/>
          <w:u w:val="single"/>
        </w:rPr>
      </w:pPr>
    </w:p>
    <w:p>
      <w:pPr>
        <w:wordWrap w:val="0"/>
        <w:spacing w:line="360" w:lineRule="auto"/>
        <w:jc w:val="right"/>
        <w:rPr>
          <w:szCs w:val="21"/>
        </w:rPr>
      </w:pPr>
      <w:r>
        <w:rPr>
          <w:rFonts w:hint="eastAsia"/>
          <w:szCs w:val="21"/>
        </w:rPr>
        <w:t xml:space="preserve">法定代表人或其授权委托人（签名）：       </w:t>
      </w:r>
    </w:p>
    <w:p>
      <w:pPr>
        <w:wordWrap w:val="0"/>
        <w:spacing w:line="360" w:lineRule="auto"/>
        <w:jc w:val="right"/>
        <w:rPr>
          <w:szCs w:val="21"/>
        </w:rPr>
      </w:pPr>
      <w:r>
        <w:rPr>
          <w:rFonts w:hint="eastAsia"/>
          <w:szCs w:val="21"/>
        </w:rPr>
        <w:t xml:space="preserve">投标单位（盖公章）：       </w:t>
      </w:r>
    </w:p>
    <w:p>
      <w:pPr>
        <w:wordWrap w:val="0"/>
        <w:spacing w:line="360" w:lineRule="auto"/>
        <w:jc w:val="right"/>
        <w:rPr>
          <w:szCs w:val="21"/>
        </w:rPr>
      </w:pPr>
      <w:r>
        <w:rPr>
          <w:rFonts w:hint="eastAsia"/>
          <w:szCs w:val="21"/>
        </w:rPr>
        <w:t>日期：    年     月    日</w:t>
      </w:r>
    </w:p>
    <w:p>
      <w:pPr>
        <w:keepNext/>
        <w:keepLines/>
        <w:spacing w:before="260" w:after="260" w:line="360" w:lineRule="auto"/>
        <w:jc w:val="center"/>
        <w:outlineLvl w:val="2"/>
        <w:rPr>
          <w:rFonts w:ascii="宋体" w:hAnsi="Calibri"/>
          <w:b/>
          <w:bCs/>
          <w:szCs w:val="21"/>
        </w:rPr>
      </w:pPr>
      <w:r>
        <w:rPr>
          <w:sz w:val="22"/>
          <w:szCs w:val="21"/>
        </w:rPr>
        <w:br w:type="page"/>
      </w:r>
      <w:bookmarkStart w:id="318" w:name="_Toc19781526"/>
      <w:bookmarkStart w:id="319" w:name="_Toc135136248"/>
      <w:r>
        <w:rPr>
          <w:rFonts w:hint="eastAsia" w:ascii="宋体" w:hAnsi="宋体"/>
          <w:b/>
          <w:bCs/>
          <w:szCs w:val="21"/>
        </w:rPr>
        <w:t>二、</w:t>
      </w:r>
      <w:bookmarkEnd w:id="318"/>
      <w:r>
        <w:rPr>
          <w:rFonts w:hint="eastAsia" w:ascii="宋体" w:hAnsi="宋体"/>
          <w:b/>
          <w:bCs/>
          <w:szCs w:val="21"/>
        </w:rPr>
        <w:t>政府采购投标及履约承诺函</w:t>
      </w:r>
      <w:bookmarkEnd w:id="319"/>
    </w:p>
    <w:p>
      <w:pPr>
        <w:spacing w:line="360" w:lineRule="exact"/>
        <w:rPr>
          <w:rFonts w:ascii="宋体" w:hAnsi="Calibri"/>
          <w:szCs w:val="21"/>
        </w:rPr>
      </w:pPr>
      <w:r>
        <w:rPr>
          <w:rFonts w:hint="eastAsia" w:ascii="宋体" w:hAnsi="宋体"/>
          <w:szCs w:val="21"/>
        </w:rPr>
        <w:t>致：深圳市河图建设项目管理有限公司</w:t>
      </w:r>
    </w:p>
    <w:p>
      <w:pPr>
        <w:spacing w:line="360" w:lineRule="exact"/>
        <w:ind w:right="-815" w:firstLine="420" w:firstLineChars="200"/>
        <w:rPr>
          <w:rFonts w:ascii="宋体" w:hAnsi="Calibri" w:cs="宋体"/>
          <w:szCs w:val="21"/>
        </w:rPr>
      </w:pPr>
      <w:r>
        <w:rPr>
          <w:rFonts w:hint="eastAsia" w:ascii="宋体" w:hAnsi="宋体" w:cs="宋体"/>
          <w:szCs w:val="21"/>
        </w:rPr>
        <w:t>我公司承诺：</w:t>
      </w:r>
    </w:p>
    <w:p>
      <w:pPr>
        <w:spacing w:line="360" w:lineRule="exact"/>
        <w:ind w:firstLine="420" w:firstLineChars="200"/>
        <w:rPr>
          <w:rFonts w:ascii="宋体" w:hAnsi="Calibri" w:cs="宋体"/>
          <w:szCs w:val="21"/>
        </w:rPr>
      </w:pPr>
      <w:r>
        <w:rPr>
          <w:rFonts w:ascii="宋体" w:hAnsi="宋体" w:cs="宋体"/>
          <w:szCs w:val="21"/>
        </w:rPr>
        <w:t>1.</w:t>
      </w:r>
      <w:r>
        <w:rPr>
          <w:rFonts w:hint="eastAsia" w:ascii="宋体" w:hAnsi="宋体" w:cs="宋体"/>
          <w:szCs w:val="21"/>
        </w:rPr>
        <w:t>我公司本招标项目所提供的货物或服务未侵犯知识产权。</w:t>
      </w:r>
    </w:p>
    <w:p>
      <w:pPr>
        <w:spacing w:line="360" w:lineRule="exact"/>
        <w:ind w:firstLine="420" w:firstLineChars="200"/>
        <w:rPr>
          <w:rFonts w:ascii="宋体" w:hAnsi="Calibri" w:cs="宋体"/>
          <w:szCs w:val="21"/>
        </w:rPr>
      </w:pPr>
      <w:r>
        <w:rPr>
          <w:rFonts w:ascii="宋体" w:hAnsi="宋体" w:cs="宋体"/>
          <w:szCs w:val="21"/>
        </w:rPr>
        <w:t>2.</w:t>
      </w:r>
      <w:r>
        <w:rPr>
          <w:rFonts w:hint="eastAsia" w:ascii="宋体" w:hAnsi="宋体" w:cs="宋体"/>
          <w:szCs w:val="21"/>
        </w:rPr>
        <w:t>我公司参与本项目投标前三年内</w:t>
      </w:r>
      <w:r>
        <w:rPr>
          <w:rFonts w:hint="eastAsia" w:ascii="宋体" w:hAnsi="宋体" w:cs="宋体"/>
          <w:iCs/>
          <w:szCs w:val="21"/>
        </w:rPr>
        <w:t>（投标人成立不足三年的可从成立之日起算），无行贿犯罪记录及</w:t>
      </w:r>
      <w:r>
        <w:rPr>
          <w:rFonts w:hint="eastAsia" w:ascii="宋体" w:hAnsi="宋体" w:cs="宋体"/>
          <w:szCs w:val="21"/>
        </w:rPr>
        <w:t>在经营活动中没有重大违法记录。</w:t>
      </w:r>
    </w:p>
    <w:p>
      <w:pPr>
        <w:spacing w:line="360" w:lineRule="exact"/>
        <w:ind w:firstLine="420" w:firstLineChars="200"/>
        <w:rPr>
          <w:rFonts w:ascii="宋体" w:hAnsi="Calibri" w:cs="宋体"/>
          <w:szCs w:val="21"/>
        </w:rPr>
      </w:pPr>
      <w:r>
        <w:rPr>
          <w:rFonts w:ascii="宋体" w:hAnsi="宋体" w:cs="宋体"/>
          <w:szCs w:val="21"/>
        </w:rPr>
        <w:t>3.</w:t>
      </w:r>
      <w:r>
        <w:rPr>
          <w:rFonts w:hint="eastAsia" w:ascii="宋体" w:hAnsi="宋体" w:cs="宋体"/>
          <w:szCs w:val="21"/>
        </w:rPr>
        <w:t>我公司参与本项目政府采购活动时不存在被有关部门禁止参与政府采购活动且在有效期内的情况。</w:t>
      </w:r>
    </w:p>
    <w:p>
      <w:pPr>
        <w:spacing w:line="360" w:lineRule="exact"/>
        <w:ind w:firstLine="420" w:firstLineChars="200"/>
        <w:rPr>
          <w:rFonts w:ascii="宋体" w:hAnsi="Calibri" w:cs="宋体"/>
          <w:szCs w:val="21"/>
        </w:rPr>
      </w:pPr>
      <w:r>
        <w:rPr>
          <w:rFonts w:ascii="宋体" w:hAnsi="宋体" w:cs="宋体"/>
          <w:szCs w:val="21"/>
        </w:rPr>
        <w:t>4.</w:t>
      </w:r>
      <w:r>
        <w:rPr>
          <w:rFonts w:hint="eastAsia" w:ascii="宋体" w:hAnsi="宋体" w:cs="宋体"/>
          <w:szCs w:val="21"/>
        </w:rPr>
        <w:t>我公司具备《中华人民共和国政府采购法》第二十二条第一款规定的六项条件。</w:t>
      </w:r>
    </w:p>
    <w:p>
      <w:pPr>
        <w:spacing w:line="360" w:lineRule="exact"/>
        <w:ind w:firstLine="420" w:firstLineChars="200"/>
        <w:rPr>
          <w:rFonts w:ascii="宋体" w:hAnsi="Calibri" w:cs="宋体"/>
          <w:szCs w:val="21"/>
        </w:rPr>
      </w:pPr>
      <w:r>
        <w:rPr>
          <w:rFonts w:ascii="宋体" w:hAnsi="宋体" w:cs="宋体"/>
          <w:szCs w:val="21"/>
        </w:rPr>
        <w:t>5.</w:t>
      </w:r>
      <w:r>
        <w:rPr>
          <w:rFonts w:hint="eastAsia" w:ascii="宋体" w:hAnsi="宋体" w:cs="宋体"/>
          <w:szCs w:val="21"/>
        </w:rPr>
        <w:t>我公司未被列入失信被执行人、重大税收违法案件当事人名单、政府采购严重违法失信行为记录名单。</w:t>
      </w:r>
    </w:p>
    <w:p>
      <w:pPr>
        <w:spacing w:line="360" w:lineRule="exact"/>
        <w:ind w:firstLine="420" w:firstLineChars="200"/>
        <w:rPr>
          <w:rFonts w:ascii="宋体" w:hAnsi="Calibri" w:cs="宋体"/>
          <w:szCs w:val="21"/>
        </w:rPr>
      </w:pPr>
      <w:r>
        <w:rPr>
          <w:rFonts w:ascii="宋体" w:hAnsi="宋体" w:cs="宋体"/>
          <w:szCs w:val="21"/>
        </w:rPr>
        <w:t>6.</w:t>
      </w:r>
      <w:r>
        <w:rPr>
          <w:rFonts w:hint="eastAsia" w:ascii="宋体" w:hAnsi="宋体" w:cs="宋体"/>
          <w:szCs w:val="21"/>
        </w:rPr>
        <w:t>我公司参与该项目投标，严格遵循公平竞争的原则，不恶意串通，不妨碍其他投标人的竞争行为，不损害采购人或者其他投标人的合法权益。我公司已清楚，如违反上述要求，将作投标无效处理。</w:t>
      </w:r>
    </w:p>
    <w:p>
      <w:pPr>
        <w:spacing w:line="360" w:lineRule="exact"/>
        <w:ind w:firstLine="420" w:firstLineChars="200"/>
        <w:rPr>
          <w:rFonts w:ascii="宋体" w:hAnsi="Calibri" w:cs="宋体"/>
          <w:szCs w:val="21"/>
        </w:rPr>
      </w:pPr>
      <w:r>
        <w:rPr>
          <w:rFonts w:ascii="宋体" w:hAnsi="宋体" w:cs="宋体"/>
          <w:szCs w:val="21"/>
        </w:rPr>
        <w:t>7.</w:t>
      </w:r>
      <w:r>
        <w:rPr>
          <w:rFonts w:hint="eastAsia" w:ascii="宋体" w:hAnsi="宋体" w:cs="宋体"/>
          <w:szCs w:val="21"/>
        </w:rPr>
        <w:t>我公司如果中标，做到守信，不偷工减料，依照本项目招标文件需求内容、签署的采购合同及本公司在投标中所作的一切承诺履约。</w:t>
      </w:r>
    </w:p>
    <w:p>
      <w:pPr>
        <w:spacing w:line="360" w:lineRule="exact"/>
        <w:ind w:firstLine="420" w:firstLineChars="200"/>
        <w:rPr>
          <w:rFonts w:ascii="宋体" w:hAnsi="Calibri" w:cs="宋体"/>
          <w:szCs w:val="21"/>
        </w:rPr>
      </w:pPr>
      <w:r>
        <w:rPr>
          <w:rFonts w:ascii="宋体" w:hAnsi="宋体" w:cs="宋体"/>
          <w:szCs w:val="21"/>
        </w:rPr>
        <w:t>8.</w:t>
      </w:r>
      <w:r>
        <w:rPr>
          <w:rFonts w:hint="eastAsia" w:ascii="宋体" w:hAnsi="宋体" w:cs="宋体"/>
          <w:szCs w:val="21"/>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0" w:firstLineChars="200"/>
        <w:rPr>
          <w:rFonts w:ascii="宋体" w:hAnsi="Calibri" w:cs="宋体"/>
          <w:szCs w:val="21"/>
        </w:rPr>
      </w:pPr>
      <w:r>
        <w:rPr>
          <w:rFonts w:ascii="宋体" w:hAnsi="宋体" w:cs="宋体"/>
          <w:szCs w:val="21"/>
        </w:rPr>
        <w:t>9.</w:t>
      </w:r>
      <w:r>
        <w:rPr>
          <w:rFonts w:hint="eastAsia" w:ascii="宋体" w:hAnsi="宋体" w:cs="宋体"/>
          <w:szCs w:val="21"/>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0" w:firstLineChars="200"/>
        <w:rPr>
          <w:rFonts w:ascii="宋体" w:hAnsi="Calibri" w:cs="宋体"/>
          <w:szCs w:val="21"/>
        </w:rPr>
      </w:pPr>
      <w:r>
        <w:rPr>
          <w:rFonts w:ascii="宋体" w:hAnsi="宋体" w:cs="宋体"/>
          <w:szCs w:val="21"/>
        </w:rPr>
        <w:t>10.</w:t>
      </w:r>
      <w:r>
        <w:rPr>
          <w:rFonts w:hint="eastAsia" w:ascii="宋体" w:hAnsi="宋体" w:cs="宋体"/>
          <w:szCs w:val="21"/>
        </w:rPr>
        <w:t>我公司单位法人（或负责人）为同一人或者存在直接控股、管理关系的不同供应商，不同时参加本项目的投标。</w:t>
      </w:r>
    </w:p>
    <w:p>
      <w:pPr>
        <w:spacing w:line="360" w:lineRule="exact"/>
        <w:ind w:firstLine="420" w:firstLineChars="200"/>
        <w:rPr>
          <w:rFonts w:ascii="宋体" w:hAnsi="Calibri" w:cs="宋体"/>
          <w:szCs w:val="21"/>
        </w:rPr>
      </w:pPr>
      <w:r>
        <w:rPr>
          <w:rFonts w:ascii="宋体" w:hAnsi="宋体" w:cs="宋体"/>
          <w:szCs w:val="21"/>
        </w:rPr>
        <w:t>11.</w:t>
      </w:r>
      <w:r>
        <w:rPr>
          <w:rFonts w:hint="eastAsia" w:ascii="宋体" w:hAnsi="宋体" w:cs="宋体"/>
          <w:szCs w:val="21"/>
        </w:rPr>
        <w:t>我公司不属于为本项目提供整体设计、规范编制或者项目管理、监理、检测等服务的供应商。</w:t>
      </w:r>
    </w:p>
    <w:p>
      <w:pPr>
        <w:spacing w:line="360" w:lineRule="exact"/>
        <w:ind w:firstLine="420" w:firstLineChars="200"/>
        <w:rPr>
          <w:rFonts w:ascii="宋体" w:hAnsi="Calibri" w:cs="宋体"/>
          <w:szCs w:val="21"/>
        </w:rPr>
      </w:pPr>
      <w:r>
        <w:rPr>
          <w:rFonts w:ascii="宋体" w:hAnsi="宋体" w:cs="宋体"/>
          <w:szCs w:val="21"/>
        </w:rPr>
        <w:t xml:space="preserve">12. </w:t>
      </w:r>
      <w:r>
        <w:rPr>
          <w:rFonts w:hint="eastAsia" w:ascii="宋体" w:hAnsi="宋体" w:cs="宋体"/>
          <w:szCs w:val="21"/>
        </w:rPr>
        <w:t>我公司承诺不联合体投标，不非法转包、分包；不使用进口产品参与投标。</w:t>
      </w:r>
    </w:p>
    <w:p>
      <w:pPr>
        <w:spacing w:line="360" w:lineRule="exact"/>
        <w:ind w:firstLine="420" w:firstLineChars="200"/>
        <w:rPr>
          <w:rFonts w:ascii="宋体" w:hAnsi="Calibri" w:cs="宋体"/>
          <w:szCs w:val="21"/>
        </w:rPr>
      </w:pPr>
      <w:r>
        <w:rPr>
          <w:rFonts w:hint="eastAsia" w:ascii="宋体" w:hAnsi="宋体" w:cs="宋体"/>
          <w:szCs w:val="21"/>
        </w:rPr>
        <w:t>以上承诺，如有违反，愿依照国家相关法律处理，并承担由此给采购人带来的损失。</w:t>
      </w:r>
    </w:p>
    <w:p>
      <w:pPr>
        <w:ind w:firstLine="420" w:firstLineChars="200"/>
        <w:rPr>
          <w:rFonts w:ascii="宋体" w:hAnsi="Calibri" w:cs="宋体"/>
          <w:szCs w:val="21"/>
        </w:rPr>
      </w:pPr>
    </w:p>
    <w:p>
      <w:pPr>
        <w:wordWrap w:val="0"/>
        <w:ind w:firstLine="420" w:firstLineChars="200"/>
        <w:jc w:val="right"/>
        <w:rPr>
          <w:rFonts w:ascii="宋体" w:hAnsi="宋体"/>
          <w:szCs w:val="21"/>
        </w:rPr>
      </w:pPr>
      <w:r>
        <w:rPr>
          <w:rFonts w:hint="eastAsia" w:ascii="宋体" w:hAnsi="宋体"/>
          <w:szCs w:val="21"/>
        </w:rPr>
        <w:t xml:space="preserve">投标人单位名称（盖公章）：      </w:t>
      </w:r>
    </w:p>
    <w:p>
      <w:pPr>
        <w:wordWrap w:val="0"/>
        <w:ind w:firstLine="420" w:firstLineChars="200"/>
        <w:jc w:val="right"/>
        <w:rPr>
          <w:rFonts w:ascii="宋体" w:hAnsi="Calibri"/>
          <w:bCs/>
          <w:szCs w:val="21"/>
        </w:rPr>
      </w:pPr>
      <w:r>
        <w:rPr>
          <w:rFonts w:hint="eastAsia" w:ascii="宋体" w:hAnsi="宋体"/>
          <w:bCs/>
          <w:szCs w:val="21"/>
        </w:rPr>
        <w:t xml:space="preserve">   年   月   日</w:t>
      </w:r>
    </w:p>
    <w:p>
      <w:pPr>
        <w:keepNext/>
        <w:keepLines/>
        <w:spacing w:before="260" w:after="260" w:line="360" w:lineRule="auto"/>
        <w:jc w:val="center"/>
        <w:outlineLvl w:val="2"/>
        <w:rPr>
          <w:rFonts w:ascii="宋体" w:hAnsi="Calibri"/>
          <w:b/>
          <w:bCs/>
          <w:szCs w:val="21"/>
        </w:rPr>
      </w:pPr>
      <w:r>
        <w:rPr>
          <w:rFonts w:ascii="宋体" w:hAnsi="Calibri"/>
          <w:bCs/>
          <w:sz w:val="22"/>
          <w:szCs w:val="21"/>
        </w:rPr>
        <w:br w:type="page"/>
      </w:r>
      <w:bookmarkStart w:id="320" w:name="_Toc135136250"/>
      <w:bookmarkStart w:id="321" w:name="_Toc480447823"/>
      <w:r>
        <w:rPr>
          <w:rFonts w:hint="eastAsia" w:ascii="宋体" w:hAnsi="宋体"/>
          <w:b/>
          <w:bCs/>
          <w:szCs w:val="21"/>
        </w:rPr>
        <w:t>三、政府采购违法行为风险知悉确认书</w:t>
      </w:r>
      <w:bookmarkEnd w:id="320"/>
    </w:p>
    <w:p>
      <w:pPr>
        <w:spacing w:line="360" w:lineRule="auto"/>
        <w:ind w:firstLine="420" w:firstLineChars="200"/>
        <w:rPr>
          <w:rFonts w:ascii="宋体" w:hAnsi="Calibri"/>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pPr>
        <w:spacing w:line="360" w:lineRule="auto"/>
        <w:ind w:firstLine="422" w:firstLineChars="200"/>
        <w:rPr>
          <w:rFonts w:ascii="宋体" w:hAnsi="Calibri"/>
          <w:b/>
          <w:bCs/>
          <w:szCs w:val="21"/>
        </w:rPr>
      </w:pPr>
      <w:r>
        <w:rPr>
          <w:rFonts w:hint="eastAsia" w:ascii="宋体" w:hAnsi="宋体"/>
          <w:b/>
          <w:bCs/>
          <w:szCs w:val="21"/>
        </w:rPr>
        <w:t>一、本公司已充分知悉“隐瞒真实情况，提供虚假资料”的法定情形，相关情形包括但不限于：</w:t>
      </w:r>
    </w:p>
    <w:p>
      <w:pPr>
        <w:spacing w:line="360" w:lineRule="auto"/>
        <w:ind w:firstLine="420" w:firstLineChars="200"/>
        <w:rPr>
          <w:rFonts w:ascii="宋体" w:hAnsi="Calibri"/>
          <w:szCs w:val="21"/>
        </w:rPr>
      </w:pPr>
      <w:r>
        <w:rPr>
          <w:rFonts w:hint="eastAsia" w:ascii="宋体" w:hAnsi="宋体"/>
          <w:szCs w:val="21"/>
        </w:rPr>
        <w:t>（一）通过转让或者租借等方式从其他单位获取资格或者资质证书投标的。</w:t>
      </w:r>
    </w:p>
    <w:p>
      <w:pPr>
        <w:spacing w:line="360" w:lineRule="auto"/>
        <w:ind w:firstLine="420" w:firstLineChars="200"/>
        <w:rPr>
          <w:rFonts w:ascii="宋体" w:hAnsi="Calibri"/>
          <w:szCs w:val="21"/>
        </w:rPr>
      </w:pPr>
      <w:r>
        <w:rPr>
          <w:rFonts w:hint="eastAsia" w:ascii="宋体" w:hAnsi="宋体"/>
          <w:szCs w:val="21"/>
        </w:rPr>
        <w:t>（二）由其他单位或者其他单位负责人在投标供应商编制的投标文件上加盖印章或者签字的。</w:t>
      </w:r>
    </w:p>
    <w:p>
      <w:pPr>
        <w:spacing w:line="360" w:lineRule="auto"/>
        <w:ind w:firstLine="420" w:firstLineChars="200"/>
        <w:rPr>
          <w:rFonts w:ascii="宋体" w:hAnsi="Calibri"/>
          <w:szCs w:val="21"/>
        </w:rPr>
      </w:pPr>
      <w:r>
        <w:rPr>
          <w:rFonts w:hint="eastAsia" w:ascii="宋体" w:hAnsi="宋体"/>
          <w:szCs w:val="21"/>
        </w:rPr>
        <w:t>（三）项目负责人或者主要技术人员不是本单位人员的。</w:t>
      </w:r>
    </w:p>
    <w:p>
      <w:pPr>
        <w:spacing w:line="360" w:lineRule="auto"/>
        <w:ind w:firstLine="420" w:firstLineChars="200"/>
        <w:rPr>
          <w:rFonts w:ascii="宋体" w:hAnsi="Calibri"/>
          <w:szCs w:val="21"/>
        </w:rPr>
      </w:pPr>
      <w:r>
        <w:rPr>
          <w:rFonts w:hint="eastAsia" w:ascii="宋体" w:hAnsi="宋体"/>
          <w:szCs w:val="21"/>
        </w:rPr>
        <w:t>（四）投标保证金不是从投标供应商基本账户转出的。</w:t>
      </w:r>
    </w:p>
    <w:p>
      <w:pPr>
        <w:spacing w:line="360" w:lineRule="auto"/>
        <w:ind w:firstLine="420" w:firstLineChars="200"/>
        <w:rPr>
          <w:rFonts w:ascii="宋体" w:hAnsi="Calibri"/>
          <w:szCs w:val="21"/>
        </w:rPr>
      </w:pPr>
      <w:r>
        <w:rPr>
          <w:rFonts w:hint="eastAsia" w:ascii="宋体" w:hAnsi="宋体"/>
          <w:szCs w:val="21"/>
        </w:rPr>
        <w:t>（五）其他隐瞒真实情况、提供虚假资料的行为。</w:t>
      </w:r>
    </w:p>
    <w:p>
      <w:pPr>
        <w:spacing w:line="360" w:lineRule="auto"/>
        <w:ind w:firstLine="422" w:firstLineChars="200"/>
        <w:rPr>
          <w:rFonts w:ascii="宋体" w:hAnsi="Calibri"/>
          <w:b/>
          <w:bCs/>
          <w:szCs w:val="21"/>
        </w:rPr>
      </w:pPr>
      <w:r>
        <w:rPr>
          <w:rFonts w:hint="eastAsia" w:ascii="宋体" w:hAnsi="宋体"/>
          <w:b/>
          <w:bCs/>
          <w:szCs w:val="21"/>
        </w:rPr>
        <w:t>二、本公司已充分知悉“与其他采购参加人串通投标”的法定情形，相关情形包括但不限于：</w:t>
      </w:r>
    </w:p>
    <w:p>
      <w:pPr>
        <w:spacing w:line="360" w:lineRule="auto"/>
        <w:ind w:firstLine="420" w:firstLineChars="200"/>
        <w:rPr>
          <w:rFonts w:ascii="宋体" w:hAnsi="Calibri"/>
          <w:szCs w:val="21"/>
        </w:rPr>
      </w:pPr>
      <w:r>
        <w:rPr>
          <w:rFonts w:hint="eastAsia" w:ascii="宋体" w:hAnsi="宋体"/>
          <w:szCs w:val="21"/>
        </w:rPr>
        <w:t>（一）投标供应商之间相互约定给予未中标的供应商利益补偿。</w:t>
      </w:r>
    </w:p>
    <w:p>
      <w:pPr>
        <w:spacing w:line="360" w:lineRule="auto"/>
        <w:ind w:firstLine="420" w:firstLineChars="200"/>
        <w:rPr>
          <w:rFonts w:ascii="宋体" w:hAnsi="Calibri"/>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pPr>
        <w:spacing w:line="360" w:lineRule="auto"/>
        <w:ind w:firstLine="420" w:firstLineChars="200"/>
        <w:rPr>
          <w:rFonts w:ascii="宋体" w:hAnsi="Calibri"/>
          <w:szCs w:val="21"/>
        </w:rPr>
      </w:pPr>
      <w:r>
        <w:rPr>
          <w:rFonts w:hint="eastAsia" w:ascii="宋体" w:hAnsi="宋体"/>
          <w:szCs w:val="21"/>
        </w:rPr>
        <w:t>（三）不同投标供应商的投标文件由同一单位或者同一人编制，或者由同一人分阶段参与编制的。</w:t>
      </w:r>
    </w:p>
    <w:p>
      <w:pPr>
        <w:spacing w:line="360" w:lineRule="auto"/>
        <w:ind w:firstLine="420" w:firstLineChars="200"/>
        <w:rPr>
          <w:rFonts w:ascii="宋体" w:hAnsi="Calibri"/>
          <w:szCs w:val="21"/>
        </w:rPr>
      </w:pPr>
      <w:r>
        <w:rPr>
          <w:rFonts w:hint="eastAsia" w:ascii="宋体" w:hAnsi="宋体"/>
          <w:szCs w:val="21"/>
        </w:rPr>
        <w:t>（四）不同投标供应商的投标文件或部分投标文件相互混装。</w:t>
      </w:r>
    </w:p>
    <w:p>
      <w:pPr>
        <w:spacing w:line="360" w:lineRule="auto"/>
        <w:ind w:firstLine="420" w:firstLineChars="200"/>
        <w:rPr>
          <w:rFonts w:ascii="宋体" w:hAnsi="Calibri"/>
          <w:szCs w:val="21"/>
        </w:rPr>
      </w:pPr>
      <w:r>
        <w:rPr>
          <w:rFonts w:hint="eastAsia" w:ascii="宋体" w:hAnsi="宋体"/>
          <w:szCs w:val="21"/>
        </w:rPr>
        <w:t>（五）不同投标供应商的投标文件内容存在非正常一致。</w:t>
      </w:r>
    </w:p>
    <w:p>
      <w:pPr>
        <w:spacing w:line="360" w:lineRule="auto"/>
        <w:ind w:firstLine="420" w:firstLineChars="200"/>
        <w:rPr>
          <w:rFonts w:ascii="宋体" w:hAnsi="Calibri"/>
          <w:szCs w:val="21"/>
        </w:rPr>
      </w:pPr>
      <w:r>
        <w:rPr>
          <w:rFonts w:hint="eastAsia" w:ascii="宋体" w:hAnsi="宋体"/>
          <w:szCs w:val="21"/>
        </w:rPr>
        <w:t>（六）由同一单位工作人员为两家以上（含两家）供应商进行同一项投标活动的。</w:t>
      </w:r>
    </w:p>
    <w:p>
      <w:pPr>
        <w:spacing w:line="360" w:lineRule="auto"/>
        <w:ind w:firstLine="420" w:firstLineChars="200"/>
        <w:rPr>
          <w:rFonts w:ascii="宋体" w:hAnsi="Calibri"/>
          <w:szCs w:val="21"/>
        </w:rPr>
      </w:pPr>
      <w:r>
        <w:rPr>
          <w:rFonts w:hint="eastAsia" w:ascii="宋体" w:hAnsi="宋体"/>
          <w:szCs w:val="21"/>
        </w:rPr>
        <w:t>（七）不同投标人的投标报价呈规律性差异。</w:t>
      </w:r>
    </w:p>
    <w:p>
      <w:pPr>
        <w:spacing w:line="360" w:lineRule="auto"/>
        <w:ind w:firstLine="420" w:firstLineChars="200"/>
        <w:rPr>
          <w:rFonts w:ascii="宋体" w:hAnsi="Calibri"/>
          <w:szCs w:val="21"/>
        </w:rPr>
      </w:pPr>
      <w:r>
        <w:rPr>
          <w:rFonts w:hint="eastAsia" w:ascii="宋体" w:hAnsi="宋体"/>
          <w:szCs w:val="21"/>
        </w:rPr>
        <w:t>（八）不同投标人的投标保证金从同一单位或者个人的账户转出。</w:t>
      </w:r>
    </w:p>
    <w:p>
      <w:pPr>
        <w:spacing w:line="360" w:lineRule="auto"/>
        <w:ind w:firstLine="420" w:firstLineChars="200"/>
        <w:rPr>
          <w:rFonts w:ascii="宋体" w:hAnsi="Calibri"/>
          <w:szCs w:val="21"/>
        </w:rPr>
      </w:pPr>
      <w:r>
        <w:rPr>
          <w:rFonts w:hint="eastAsia" w:ascii="宋体" w:hAnsi="宋体"/>
          <w:szCs w:val="21"/>
        </w:rPr>
        <w:t>（九）主管部门依照法律、法规认定的其他情形。</w:t>
      </w:r>
    </w:p>
    <w:p>
      <w:pPr>
        <w:spacing w:line="360" w:lineRule="auto"/>
        <w:ind w:firstLine="422" w:firstLineChars="200"/>
        <w:rPr>
          <w:rFonts w:ascii="宋体" w:hAnsi="Calibri"/>
          <w:b/>
          <w:bCs/>
          <w:szCs w:val="21"/>
        </w:rPr>
      </w:pPr>
      <w:r>
        <w:rPr>
          <w:rFonts w:hint="eastAsia" w:ascii="宋体" w:hAnsi="宋体"/>
          <w:b/>
          <w:bCs/>
          <w:szCs w:val="21"/>
        </w:rPr>
        <w:t>三、本公司已充分知悉下列情形所对应的法律风险，并在投标前已对相关风险事项进行排查。</w:t>
      </w:r>
    </w:p>
    <w:p>
      <w:pPr>
        <w:spacing w:line="360" w:lineRule="auto"/>
        <w:ind w:firstLine="420" w:firstLineChars="200"/>
        <w:rPr>
          <w:rFonts w:ascii="宋体" w:hAnsi="Calibri"/>
          <w:szCs w:val="21"/>
        </w:rPr>
      </w:pPr>
      <w:r>
        <w:rPr>
          <w:rFonts w:hint="eastAsia" w:ascii="宋体" w:hAnsi="宋体"/>
          <w:szCs w:val="21"/>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line="360" w:lineRule="auto"/>
        <w:ind w:firstLine="420" w:firstLineChars="200"/>
        <w:rPr>
          <w:rFonts w:ascii="宋体" w:hAnsi="Calibri"/>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pPr>
        <w:spacing w:line="360" w:lineRule="auto"/>
        <w:ind w:firstLine="420" w:firstLineChars="200"/>
        <w:rPr>
          <w:rFonts w:ascii="宋体" w:hAnsi="Calibri"/>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pPr>
        <w:spacing w:line="360" w:lineRule="auto"/>
        <w:ind w:firstLine="420" w:firstLineChars="200"/>
        <w:rPr>
          <w:rFonts w:ascii="宋体" w:hAnsi="Calibri"/>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line="360" w:lineRule="auto"/>
        <w:ind w:firstLine="420" w:firstLineChars="200"/>
        <w:rPr>
          <w:rFonts w:ascii="宋体" w:hAnsi="Calibri"/>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line="360" w:lineRule="auto"/>
        <w:ind w:firstLine="420" w:firstLineChars="200"/>
        <w:rPr>
          <w:rFonts w:ascii="宋体" w:hAnsi="Calibri"/>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line="360" w:lineRule="auto"/>
        <w:ind w:firstLine="420" w:firstLineChars="200"/>
        <w:rPr>
          <w:rFonts w:ascii="宋体" w:hAnsi="Calibri"/>
          <w:szCs w:val="21"/>
        </w:rPr>
      </w:pPr>
      <w:r>
        <w:rPr>
          <w:rFonts w:hint="eastAsia" w:ascii="宋体" w:hAnsi="宋体"/>
          <w:szCs w:val="21"/>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以下文字请投标供应商抄写并确认：</w:t>
      </w:r>
      <w:r>
        <w:rPr>
          <w:rFonts w:hint="eastAsia" w:ascii="宋体" w:hAnsi="宋体"/>
          <w:b/>
          <w:bCs/>
          <w:szCs w:val="21"/>
        </w:rPr>
        <w:t>“本公司已仔细阅读《政府采购违法行为风险知悉确认书》，充分知悉违法行为的法律后果，并承诺将严谨、诚信、依法依规参与政府采购活动”</w:t>
      </w:r>
      <w:r>
        <w:rPr>
          <w:rFonts w:hint="eastAsia" w:ascii="宋体" w:hAnsi="宋体"/>
          <w:szCs w:val="21"/>
        </w:rPr>
        <w:t>。</w:t>
      </w:r>
    </w:p>
    <w:p>
      <w:pPr>
        <w:spacing w:line="360" w:lineRule="auto"/>
        <w:rPr>
          <w:rFonts w:eastAsia="等线"/>
          <w:szCs w:val="21"/>
          <w:u w:val="single"/>
        </w:rPr>
      </w:pPr>
      <w:r>
        <w:rPr>
          <w:rFonts w:hint="eastAsia" w:eastAsia="等线"/>
          <w:szCs w:val="21"/>
          <w:u w:val="single"/>
        </w:rPr>
        <w:t xml:space="preserve">                                                                                      </w:t>
      </w:r>
    </w:p>
    <w:p>
      <w:pPr>
        <w:spacing w:line="360" w:lineRule="auto"/>
        <w:rPr>
          <w:rFonts w:eastAsia="等线"/>
          <w:szCs w:val="21"/>
          <w:u w:val="single"/>
        </w:rPr>
      </w:pPr>
      <w:r>
        <w:rPr>
          <w:rFonts w:hint="eastAsia" w:eastAsia="等线"/>
          <w:szCs w:val="21"/>
          <w:u w:val="single"/>
        </w:rPr>
        <w:t xml:space="preserve">                                                                                      </w:t>
      </w:r>
    </w:p>
    <w:p>
      <w:pPr>
        <w:spacing w:line="360" w:lineRule="auto"/>
        <w:rPr>
          <w:rFonts w:eastAsia="等线"/>
          <w:szCs w:val="21"/>
          <w:u w:val="single"/>
        </w:rPr>
      </w:pPr>
    </w:p>
    <w:p>
      <w:pPr>
        <w:wordWrap w:val="0"/>
        <w:spacing w:line="360" w:lineRule="auto"/>
        <w:jc w:val="right"/>
        <w:rPr>
          <w:rFonts w:ascii="宋体" w:hAnsi="Calibri"/>
          <w:kern w:val="0"/>
          <w:szCs w:val="21"/>
        </w:rPr>
      </w:pPr>
      <w:r>
        <w:rPr>
          <w:rFonts w:hint="eastAsia" w:ascii="宋体" w:hAnsi="宋体"/>
          <w:szCs w:val="21"/>
        </w:rPr>
        <w:t>负责人</w:t>
      </w:r>
      <w:r>
        <w:rPr>
          <w:rFonts w:ascii="宋体" w:hAnsi="宋体"/>
          <w:szCs w:val="21"/>
        </w:rPr>
        <w:t>/</w:t>
      </w:r>
      <w:r>
        <w:rPr>
          <w:rFonts w:hint="eastAsia" w:ascii="宋体" w:hAnsi="宋体"/>
          <w:szCs w:val="21"/>
        </w:rPr>
        <w:t xml:space="preserve">投标授权代表签名：        </w:t>
      </w:r>
    </w:p>
    <w:p>
      <w:pPr>
        <w:wordWrap w:val="0"/>
        <w:spacing w:line="360" w:lineRule="auto"/>
        <w:jc w:val="right"/>
        <w:rPr>
          <w:rFonts w:ascii="宋体" w:hAnsi="Calibri"/>
          <w:szCs w:val="21"/>
        </w:rPr>
      </w:pPr>
      <w:r>
        <w:rPr>
          <w:rFonts w:hint="eastAsia" w:ascii="宋体" w:hAnsi="宋体"/>
          <w:szCs w:val="21"/>
        </w:rPr>
        <w:t xml:space="preserve">知悉人（公章）：        </w:t>
      </w:r>
    </w:p>
    <w:p>
      <w:pPr>
        <w:wordWrap w:val="0"/>
        <w:spacing w:line="360" w:lineRule="auto"/>
        <w:jc w:val="right"/>
        <w:rPr>
          <w:szCs w:val="21"/>
        </w:rPr>
      </w:pPr>
      <w:r>
        <w:rPr>
          <w:rFonts w:hint="eastAsia"/>
          <w:szCs w:val="21"/>
        </w:rPr>
        <w:t>日期：    年    月    日</w:t>
      </w:r>
    </w:p>
    <w:p>
      <w:pPr>
        <w:spacing w:line="360" w:lineRule="auto"/>
        <w:rPr>
          <w:rFonts w:ascii="宋体" w:hAnsi="宋体"/>
          <w:kern w:val="0"/>
          <w:sz w:val="22"/>
        </w:rPr>
      </w:pPr>
    </w:p>
    <w:p>
      <w:pPr>
        <w:spacing w:line="360" w:lineRule="auto"/>
        <w:rPr>
          <w:rFonts w:ascii="宋体" w:hAnsi="宋体"/>
          <w:kern w:val="0"/>
          <w:sz w:val="22"/>
        </w:rPr>
      </w:pPr>
      <w:r>
        <w:rPr>
          <w:rFonts w:hint="eastAsia" w:ascii="宋体" w:hAnsi="宋体"/>
          <w:kern w:val="0"/>
          <w:sz w:val="22"/>
        </w:rPr>
        <w:t>注：请各投标供应商负责人或投标授权代表签字并加盖单位公章后，扫描上传至投标文件一并提交。该风险知悉确认书用于对供应商违法行为的警示，不作为供应商资格性审查及符合性审查条件。</w:t>
      </w:r>
    </w:p>
    <w:p>
      <w:pPr>
        <w:keepNext/>
        <w:keepLines/>
        <w:spacing w:before="260" w:after="260" w:line="360" w:lineRule="auto"/>
        <w:jc w:val="center"/>
        <w:outlineLvl w:val="2"/>
        <w:rPr>
          <w:rFonts w:ascii="宋体" w:hAnsi="Calibri"/>
          <w:b/>
          <w:bCs/>
          <w:szCs w:val="21"/>
        </w:rPr>
      </w:pPr>
      <w:bookmarkStart w:id="322" w:name="_Toc135136251"/>
      <w:r>
        <w:rPr>
          <w:rFonts w:ascii="宋体" w:hAnsi="宋体"/>
          <w:b/>
          <w:bCs/>
          <w:sz w:val="22"/>
          <w:szCs w:val="21"/>
        </w:rPr>
        <w:br w:type="page"/>
      </w:r>
      <w:r>
        <w:rPr>
          <w:rFonts w:hint="eastAsia" w:ascii="宋体" w:hAnsi="宋体"/>
          <w:b/>
          <w:bCs/>
          <w:szCs w:val="21"/>
        </w:rPr>
        <w:t>四、</w:t>
      </w:r>
      <w:bookmarkEnd w:id="321"/>
      <w:r>
        <w:rPr>
          <w:rFonts w:hint="eastAsia" w:ascii="宋体" w:hAnsi="宋体"/>
          <w:b/>
          <w:bCs/>
          <w:szCs w:val="21"/>
        </w:rPr>
        <w:t>法定代表人（负责人）资格证明书</w:t>
      </w:r>
      <w:bookmarkEnd w:id="322"/>
    </w:p>
    <w:p>
      <w:pPr>
        <w:spacing w:line="360" w:lineRule="auto"/>
        <w:rPr>
          <w:rFonts w:ascii="宋体" w:hAnsi="Calibri"/>
          <w:szCs w:val="21"/>
        </w:rPr>
      </w:pPr>
    </w:p>
    <w:p>
      <w:pPr>
        <w:spacing w:line="360" w:lineRule="auto"/>
        <w:rPr>
          <w:rFonts w:ascii="宋体" w:hAnsi="宋体"/>
          <w:szCs w:val="21"/>
        </w:rPr>
      </w:pP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w:t>
      </w:r>
      <w:r>
        <w:rPr>
          <w:rFonts w:hint="eastAsia" w:ascii="宋体" w:hAnsi="宋体"/>
          <w:b/>
          <w:kern w:val="0"/>
          <w:szCs w:val="21"/>
        </w:rPr>
        <w:t>（负责人）</w:t>
      </w:r>
      <w:r>
        <w:rPr>
          <w:rFonts w:hint="eastAsia" w:ascii="宋体" w:hAnsi="宋体"/>
          <w:szCs w:val="21"/>
        </w:rPr>
        <w:t>，特此证明。</w:t>
      </w:r>
    </w:p>
    <w:p>
      <w:pPr>
        <w:spacing w:line="360" w:lineRule="auto"/>
        <w:rPr>
          <w:rFonts w:ascii="宋体" w:hAnsi="宋体"/>
          <w:bCs/>
        </w:rPr>
      </w:pPr>
      <w:r>
        <w:rPr>
          <w:rFonts w:hint="eastAsia" w:ascii="宋体" w:hAnsi="宋体"/>
          <w:bCs/>
        </w:rPr>
        <w:t>有效期限：</w:t>
      </w:r>
      <w:r>
        <w:rPr>
          <w:rFonts w:hint="eastAsia" w:ascii="宋体" w:hAnsi="宋体"/>
          <w:bCs/>
          <w:u w:val="single"/>
        </w:rPr>
        <w:t xml:space="preserve">                             </w:t>
      </w:r>
    </w:p>
    <w:p>
      <w:pPr>
        <w:spacing w:line="360" w:lineRule="auto"/>
        <w:rPr>
          <w:rFonts w:ascii="宋体" w:hAnsi="宋体"/>
          <w:bCs/>
        </w:rPr>
      </w:pPr>
      <w:r>
        <w:rPr>
          <w:rFonts w:hint="eastAsia" w:ascii="宋体" w:hAnsi="宋体"/>
          <w:bCs/>
        </w:rPr>
        <w:t>附：代表人性别：</w:t>
      </w:r>
      <w:r>
        <w:rPr>
          <w:rFonts w:hint="eastAsia" w:ascii="宋体" w:hAnsi="宋体"/>
          <w:bCs/>
          <w:u w:val="single"/>
        </w:rPr>
        <w:t xml:space="preserve">          </w:t>
      </w:r>
      <w:r>
        <w:rPr>
          <w:rFonts w:hint="eastAsia" w:ascii="宋体" w:hAnsi="宋体"/>
          <w:bCs/>
        </w:rPr>
        <w:t>年龄：</w:t>
      </w:r>
      <w:r>
        <w:rPr>
          <w:rFonts w:hint="eastAsia" w:ascii="宋体" w:hAnsi="宋体"/>
          <w:bCs/>
          <w:u w:val="single"/>
        </w:rPr>
        <w:t xml:space="preserve">      </w:t>
      </w:r>
      <w:r>
        <w:rPr>
          <w:rFonts w:hint="eastAsia" w:ascii="宋体" w:hAnsi="宋体"/>
          <w:bCs/>
        </w:rPr>
        <w:t xml:space="preserve"> 身份证号码：_____</w:t>
      </w:r>
      <w:r>
        <w:rPr>
          <w:rFonts w:hint="eastAsia" w:ascii="宋体" w:hAnsi="宋体"/>
          <w:bCs/>
          <w:u w:val="single"/>
        </w:rPr>
        <w:t xml:space="preserve">___  _             </w:t>
      </w:r>
    </w:p>
    <w:p>
      <w:pPr>
        <w:spacing w:line="360" w:lineRule="auto"/>
        <w:rPr>
          <w:rFonts w:ascii="宋体" w:hAnsi="宋体"/>
          <w:bCs/>
        </w:rPr>
      </w:pPr>
      <w:r>
        <w:rPr>
          <w:rFonts w:hint="eastAsia" w:ascii="宋体" w:hAnsi="宋体"/>
          <w:bCs/>
        </w:rPr>
        <w:t>注册号码：</w:t>
      </w:r>
      <w:r>
        <w:rPr>
          <w:rFonts w:hint="eastAsia" w:ascii="宋体" w:hAnsi="宋体"/>
          <w:bCs/>
          <w:u w:val="single"/>
        </w:rPr>
        <w:t xml:space="preserve">                       </w:t>
      </w:r>
      <w:r>
        <w:rPr>
          <w:rFonts w:hint="eastAsia" w:ascii="宋体" w:hAnsi="宋体"/>
          <w:bCs/>
        </w:rPr>
        <w:t xml:space="preserve"> 企业类型：_______________________________</w:t>
      </w:r>
    </w:p>
    <w:p>
      <w:pPr>
        <w:spacing w:line="360" w:lineRule="auto"/>
        <w:rPr>
          <w:rFonts w:ascii="宋体" w:hAnsi="宋体"/>
          <w:b/>
          <w:u w:val="single"/>
        </w:rPr>
      </w:pPr>
      <w:r>
        <w:rPr>
          <w:rFonts w:hint="eastAsia" w:ascii="宋体" w:hAnsi="宋体"/>
          <w:bCs/>
        </w:rPr>
        <w:t>经营范围：</w:t>
      </w:r>
      <w:r>
        <w:rPr>
          <w:rFonts w:hint="eastAsia" w:ascii="宋体" w:hAnsi="宋体"/>
          <w:bCs/>
          <w:u w:val="single"/>
        </w:rPr>
        <w:t xml:space="preserve">     </w:t>
      </w:r>
      <w:r>
        <w:rPr>
          <w:rFonts w:hint="eastAsia" w:ascii="宋体" w:hAnsi="宋体"/>
          <w:b/>
          <w:u w:val="single"/>
        </w:rPr>
        <w:t xml:space="preserve">                                                            </w:t>
      </w:r>
      <w:r>
        <w:rPr>
          <w:rFonts w:hint="eastAsia" w:ascii="宋体" w:hAnsi="宋体"/>
        </w:rPr>
        <w:t>。</w:t>
      </w:r>
    </w:p>
    <w:p>
      <w:pPr>
        <w:spacing w:line="360" w:lineRule="auto"/>
        <w:rPr>
          <w:rFonts w:ascii="宋体" w:hAnsi="宋体"/>
          <w:szCs w:val="21"/>
        </w:rPr>
      </w:pPr>
      <w:r>
        <w:rPr>
          <w:rFonts w:hint="eastAsia" w:ascii="宋体" w:hAnsi="宋体"/>
          <w:szCs w:val="21"/>
        </w:rPr>
        <w:t>说明：1、法定代表人为企业事业单位、国家机关、社会团体的主要负责人。</w:t>
      </w:r>
    </w:p>
    <w:p>
      <w:pPr>
        <w:spacing w:line="360" w:lineRule="auto"/>
        <w:rPr>
          <w:rFonts w:ascii="宋体" w:hAnsi="宋体"/>
          <w:szCs w:val="21"/>
        </w:rPr>
      </w:pPr>
      <w:r>
        <w:rPr>
          <w:rFonts w:hint="eastAsia" w:ascii="宋体" w:hAnsi="宋体"/>
          <w:szCs w:val="21"/>
        </w:rPr>
        <w:t xml:space="preserve">      2、内容必须填写真实、清楚，涂改无效，不得转让、买卖。</w:t>
      </w:r>
    </w:p>
    <w:p>
      <w:pPr>
        <w:spacing w:line="360" w:lineRule="auto"/>
        <w:rPr>
          <w:rFonts w:ascii="宋体" w:hAnsi="Calibri"/>
          <w:b/>
          <w:szCs w:val="21"/>
        </w:rPr>
      </w:pPr>
    </w:p>
    <w:p>
      <w:pPr>
        <w:wordWrap w:val="0"/>
        <w:spacing w:line="360" w:lineRule="auto"/>
        <w:jc w:val="right"/>
        <w:rPr>
          <w:rFonts w:ascii="宋体" w:hAnsi="宋体"/>
          <w:szCs w:val="21"/>
        </w:rPr>
      </w:pPr>
      <w:r>
        <w:rPr>
          <w:rFonts w:hint="eastAsia" w:ascii="宋体" w:hAnsi="宋体"/>
          <w:szCs w:val="21"/>
        </w:rPr>
        <w:t xml:space="preserve">投标单位（公章）：      </w:t>
      </w:r>
    </w:p>
    <w:p>
      <w:pPr>
        <w:wordWrap w:val="0"/>
        <w:spacing w:line="360" w:lineRule="auto"/>
        <w:jc w:val="right"/>
        <w:rPr>
          <w:rFonts w:ascii="宋体" w:hAnsi="宋体"/>
          <w:szCs w:val="21"/>
        </w:rPr>
      </w:pPr>
      <w:r>
        <w:rPr>
          <w:rFonts w:hint="eastAsia" w:ascii="宋体" w:hAnsi="宋体"/>
          <w:szCs w:val="21"/>
        </w:rPr>
        <w:t xml:space="preserve">日期：     </w:t>
      </w:r>
    </w:p>
    <w:p>
      <w:pPr>
        <w:spacing w:line="360" w:lineRule="auto"/>
        <w:rPr>
          <w:rFonts w:ascii="宋体" w:hAnsi="宋体"/>
          <w:b/>
          <w:szCs w:val="21"/>
        </w:rPr>
      </w:pPr>
      <w:r>
        <w:rPr>
          <w:rFonts w:hint="eastAsia" w:ascii="宋体" w:hAnsi="宋体"/>
          <w:b/>
          <w:szCs w:val="21"/>
        </w:rPr>
        <w:t>附：要求必须提供法定代表人（负责人）身份证（境外人员无法提供身份证的，可提供护照）扫描件（正反两面），并加盖公章。</w:t>
      </w:r>
    </w:p>
    <w:p>
      <w:pPr>
        <w:spacing w:line="360" w:lineRule="auto"/>
        <w:ind w:firstLine="420"/>
        <w:rPr>
          <w:rFonts w:ascii="宋体" w:hAnsi="宋体"/>
          <w:szCs w:val="21"/>
        </w:rPr>
      </w:pPr>
    </w:p>
    <w:p>
      <w:pPr>
        <w:keepNext/>
        <w:keepLines/>
        <w:spacing w:before="260" w:after="260" w:line="360" w:lineRule="auto"/>
        <w:jc w:val="center"/>
        <w:outlineLvl w:val="2"/>
        <w:rPr>
          <w:rFonts w:ascii="宋体" w:hAnsi="Calibri"/>
          <w:b/>
          <w:bCs/>
          <w:szCs w:val="21"/>
        </w:rPr>
      </w:pPr>
      <w:bookmarkStart w:id="323" w:name="_Toc135136252"/>
      <w:r>
        <w:rPr>
          <w:rFonts w:hint="eastAsia" w:ascii="宋体" w:hAnsi="宋体"/>
          <w:b/>
          <w:bCs/>
          <w:szCs w:val="21"/>
        </w:rPr>
        <w:t>五、投标文件签署授权委托书</w:t>
      </w:r>
      <w:bookmarkEnd w:id="323"/>
    </w:p>
    <w:p>
      <w:pPr>
        <w:spacing w:line="360" w:lineRule="auto"/>
        <w:ind w:firstLine="420" w:firstLineChars="200"/>
        <w:rPr>
          <w:rFonts w:ascii="宋体" w:hAnsi="宋体"/>
          <w:szCs w:val="21"/>
        </w:rPr>
      </w:pPr>
      <w:r>
        <w:rPr>
          <w:rFonts w:hint="eastAsia" w:ascii="宋体" w:hAnsi="宋体"/>
          <w:szCs w:val="21"/>
        </w:rPr>
        <w:t>本授权委托书声明：我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（投标供应商名称）的法定代表人</w:t>
      </w:r>
      <w:r>
        <w:rPr>
          <w:rFonts w:hint="eastAsia" w:ascii="宋体" w:hAnsi="宋体"/>
          <w:kern w:val="0"/>
          <w:szCs w:val="21"/>
        </w:rPr>
        <w:t>（负责人）</w:t>
      </w:r>
      <w:r>
        <w:rPr>
          <w:rFonts w:hint="eastAsia" w:ascii="宋体" w:hAnsi="宋体"/>
          <w:szCs w:val="21"/>
        </w:rPr>
        <w:t>，现授权委托</w:t>
      </w:r>
      <w:r>
        <w:rPr>
          <w:rFonts w:hint="eastAsia" w:ascii="宋体" w:hAnsi="宋体"/>
          <w:szCs w:val="21"/>
          <w:u w:val="single"/>
        </w:rPr>
        <w:t xml:space="preserve">            </w:t>
      </w:r>
      <w:r>
        <w:rPr>
          <w:rFonts w:hint="eastAsia" w:ascii="宋体" w:hAnsi="宋体"/>
          <w:szCs w:val="21"/>
        </w:rPr>
        <w:t>（姓名）为我公司签署本项目已递交的投标文件的法定代表人</w:t>
      </w:r>
      <w:r>
        <w:rPr>
          <w:rFonts w:hint="eastAsia" w:ascii="宋体" w:hAnsi="宋体"/>
          <w:kern w:val="0"/>
          <w:szCs w:val="21"/>
        </w:rPr>
        <w:t>（负责人）</w:t>
      </w:r>
      <w:r>
        <w:rPr>
          <w:rFonts w:hint="eastAsia" w:ascii="宋体" w:hAnsi="宋体"/>
          <w:szCs w:val="21"/>
        </w:rPr>
        <w:t>的授权委托代理人，代理人全权代表我所签署的本项目已递交的投标文件内容我均承认。</w:t>
      </w:r>
    </w:p>
    <w:p>
      <w:pPr>
        <w:spacing w:line="360" w:lineRule="auto"/>
        <w:ind w:firstLine="420"/>
        <w:rPr>
          <w:rFonts w:ascii="宋体" w:hAnsi="宋体"/>
          <w:szCs w:val="21"/>
        </w:rPr>
      </w:pPr>
      <w:r>
        <w:rPr>
          <w:rFonts w:hint="eastAsia" w:ascii="宋体" w:hAnsi="宋体"/>
          <w:szCs w:val="21"/>
        </w:rPr>
        <w:t>代理人无转委托权，特此委托。</w:t>
      </w:r>
    </w:p>
    <w:p>
      <w:pPr>
        <w:spacing w:line="360" w:lineRule="auto"/>
        <w:ind w:firstLine="420"/>
        <w:rPr>
          <w:szCs w:val="21"/>
        </w:rPr>
      </w:pPr>
    </w:p>
    <w:p>
      <w:pPr>
        <w:spacing w:line="360" w:lineRule="auto"/>
        <w:ind w:left="420" w:leftChars="200"/>
        <w:rPr>
          <w:szCs w:val="21"/>
          <w:u w:val="single"/>
        </w:rPr>
      </w:pPr>
      <w:r>
        <w:rPr>
          <w:rFonts w:hint="eastAsia"/>
          <w:szCs w:val="21"/>
        </w:rPr>
        <w:t>投标单位（盖章）：</w:t>
      </w:r>
      <w:r>
        <w:rPr>
          <w:rFonts w:hint="eastAsia"/>
          <w:szCs w:val="21"/>
          <w:u w:val="single"/>
        </w:rPr>
        <w:t xml:space="preserve">             </w:t>
      </w:r>
    </w:p>
    <w:p>
      <w:pPr>
        <w:spacing w:line="360" w:lineRule="auto"/>
        <w:ind w:left="420" w:leftChars="200"/>
        <w:rPr>
          <w:szCs w:val="21"/>
        </w:rPr>
      </w:pPr>
      <w:r>
        <w:rPr>
          <w:rFonts w:hint="eastAsia"/>
          <w:szCs w:val="21"/>
        </w:rPr>
        <w:t>法定代表人（签字或盖章）：</w:t>
      </w:r>
      <w:r>
        <w:rPr>
          <w:rFonts w:hint="eastAsia"/>
          <w:szCs w:val="21"/>
          <w:u w:val="single"/>
        </w:rPr>
        <w:t xml:space="preserve">             </w:t>
      </w:r>
    </w:p>
    <w:p>
      <w:pPr>
        <w:spacing w:line="360" w:lineRule="auto"/>
        <w:ind w:left="420" w:leftChars="200"/>
        <w:rPr>
          <w:szCs w:val="21"/>
          <w:u w:val="single"/>
        </w:rPr>
      </w:pPr>
      <w:r>
        <w:rPr>
          <w:rFonts w:hint="eastAsia"/>
          <w:szCs w:val="21"/>
        </w:rPr>
        <w:t>代理人（签字或</w:t>
      </w:r>
      <w:bookmarkStart w:id="324" w:name="OLE_LINK34"/>
      <w:bookmarkStart w:id="325" w:name="OLE_LINK30"/>
      <w:r>
        <w:rPr>
          <w:rFonts w:hint="eastAsia"/>
          <w:szCs w:val="21"/>
        </w:rPr>
        <w:t>盖章</w:t>
      </w:r>
      <w:bookmarkEnd w:id="324"/>
      <w:bookmarkEnd w:id="325"/>
      <w:r>
        <w:rPr>
          <w:rFonts w:hint="eastAsia"/>
          <w:szCs w:val="21"/>
        </w:rPr>
        <w:t>）：</w:t>
      </w:r>
      <w:r>
        <w:rPr>
          <w:rFonts w:hint="eastAsia"/>
          <w:szCs w:val="21"/>
          <w:u w:val="single"/>
        </w:rPr>
        <w:t xml:space="preserve">                 </w:t>
      </w:r>
    </w:p>
    <w:p>
      <w:pPr>
        <w:spacing w:line="360" w:lineRule="auto"/>
        <w:ind w:left="420" w:leftChars="200"/>
        <w:rPr>
          <w:szCs w:val="21"/>
        </w:rPr>
      </w:pPr>
      <w:r>
        <w:rPr>
          <w:rFonts w:hint="eastAsia"/>
          <w:szCs w:val="21"/>
        </w:rPr>
        <w:t>联系电话：</w:t>
      </w:r>
      <w:r>
        <w:rPr>
          <w:rFonts w:hint="eastAsia"/>
          <w:szCs w:val="21"/>
          <w:u w:val="single"/>
        </w:rPr>
        <w:t xml:space="preserve">            </w:t>
      </w:r>
      <w:r>
        <w:rPr>
          <w:rFonts w:hint="eastAsia"/>
          <w:szCs w:val="21"/>
        </w:rPr>
        <w:t xml:space="preserve">  手机：</w:t>
      </w:r>
      <w:r>
        <w:rPr>
          <w:rFonts w:hint="eastAsia"/>
          <w:szCs w:val="21"/>
          <w:u w:val="single"/>
        </w:rPr>
        <w:t xml:space="preserve">                   </w:t>
      </w:r>
    </w:p>
    <w:p>
      <w:pPr>
        <w:spacing w:line="360" w:lineRule="auto"/>
        <w:ind w:left="420" w:leftChars="200"/>
        <w:rPr>
          <w:szCs w:val="21"/>
          <w:u w:val="single"/>
        </w:rPr>
      </w:pPr>
      <w:r>
        <w:rPr>
          <w:rFonts w:hint="eastAsia"/>
          <w:szCs w:val="21"/>
        </w:rPr>
        <w:t>身份证号码：</w:t>
      </w:r>
      <w:r>
        <w:rPr>
          <w:rFonts w:hint="eastAsia"/>
          <w:szCs w:val="21"/>
          <w:u w:val="single"/>
        </w:rPr>
        <w:t xml:space="preserve">                        </w:t>
      </w:r>
      <w:r>
        <w:rPr>
          <w:rFonts w:hint="eastAsia"/>
          <w:szCs w:val="21"/>
        </w:rPr>
        <w:t>职务：</w:t>
      </w:r>
      <w:r>
        <w:rPr>
          <w:rFonts w:hint="eastAsia"/>
          <w:szCs w:val="21"/>
          <w:u w:val="single"/>
        </w:rPr>
        <w:t xml:space="preserve">       </w:t>
      </w:r>
    </w:p>
    <w:p>
      <w:pPr>
        <w:spacing w:line="360" w:lineRule="auto"/>
        <w:ind w:left="420" w:left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rPr>
          <w:rFonts w:ascii="宋体" w:hAnsi="宋体"/>
          <w:b/>
          <w:szCs w:val="21"/>
        </w:rPr>
      </w:pPr>
      <w:r>
        <w:rPr>
          <w:rFonts w:hint="eastAsia" w:ascii="宋体" w:hAnsi="宋体"/>
          <w:b/>
          <w:szCs w:val="21"/>
        </w:rPr>
        <w:t>附：要求必须提供代理人身份证（境外人员无法提供身份证的，可提供护照）扫描件（正反两面），并加盖公章。</w:t>
      </w:r>
    </w:p>
    <w:p>
      <w:pPr>
        <w:ind w:firstLine="200" w:firstLineChars="100"/>
        <w:rPr>
          <w:kern w:val="0"/>
          <w:sz w:val="20"/>
        </w:rPr>
      </w:pPr>
    </w:p>
    <w:p>
      <w:pPr>
        <w:keepNext/>
        <w:keepLines/>
        <w:spacing w:before="260" w:after="260" w:line="360" w:lineRule="auto"/>
        <w:jc w:val="center"/>
        <w:outlineLvl w:val="2"/>
        <w:rPr>
          <w:rFonts w:ascii="宋体" w:hAnsi="宋体"/>
          <w:b/>
          <w:bCs/>
          <w:szCs w:val="21"/>
        </w:rPr>
      </w:pPr>
      <w:bookmarkStart w:id="326" w:name="_Toc135136253"/>
      <w:r>
        <w:rPr>
          <w:rFonts w:hint="eastAsia" w:ascii="宋体" w:hAnsi="宋体"/>
          <w:b/>
          <w:bCs/>
          <w:szCs w:val="21"/>
        </w:rPr>
        <w:t>六、开标一览表</w:t>
      </w:r>
      <w:bookmarkEnd w:id="326"/>
    </w:p>
    <w:p>
      <w:pPr>
        <w:spacing w:line="360" w:lineRule="auto"/>
        <w:jc w:val="center"/>
        <w:rPr>
          <w:szCs w:val="32"/>
        </w:rPr>
      </w:pPr>
      <w:r>
        <w:rPr>
          <w:rFonts w:hint="eastAsia"/>
          <w:szCs w:val="32"/>
          <w:lang w:eastAsia="zh-CN"/>
        </w:rPr>
        <w:t>（一）</w:t>
      </w:r>
      <w:r>
        <w:rPr>
          <w:rFonts w:hint="eastAsia"/>
          <w:szCs w:val="32"/>
        </w:rPr>
        <w:t>投标一览表</w:t>
      </w:r>
    </w:p>
    <w:p>
      <w:pPr>
        <w:ind w:firstLine="200" w:firstLineChars="100"/>
        <w:rPr>
          <w:kern w:val="0"/>
          <w:sz w:val="20"/>
        </w:rPr>
      </w:pPr>
    </w:p>
    <w:tbl>
      <w:tblPr>
        <w:tblStyle w:val="47"/>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宋体" w:hAnsi="宋体"/>
                <w:szCs w:val="21"/>
              </w:rPr>
            </w:pPr>
            <w:r>
              <w:rPr>
                <w:rFonts w:hint="eastAsia" w:ascii="宋体" w:hAnsi="宋体"/>
                <w:szCs w:val="21"/>
              </w:rPr>
              <w:t>项目名称</w:t>
            </w:r>
          </w:p>
        </w:tc>
        <w:tc>
          <w:tcPr>
            <w:tcW w:w="6520" w:type="dxa"/>
            <w:vAlign w:val="center"/>
          </w:tcPr>
          <w:p>
            <w:pPr>
              <w:spacing w:line="360" w:lineRule="auto"/>
              <w:jc w:val="center"/>
              <w:rPr>
                <w:rFonts w:ascii="宋体" w:hAnsi="宋体"/>
                <w:szCs w:val="21"/>
              </w:rPr>
            </w:pPr>
            <w:r>
              <w:rPr>
                <w:rFonts w:hint="eastAsia" w:ascii="宋体" w:hAnsi="宋体"/>
                <w:szCs w:val="21"/>
              </w:rPr>
              <w:t>北京副中心城际CRH6A型动车组四级修（120万公里）项目（C包）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仿宋" w:hAnsi="仿宋"/>
                <w:szCs w:val="21"/>
              </w:rPr>
            </w:pPr>
            <w:r>
              <w:rPr>
                <w:rFonts w:hint="eastAsia" w:ascii="仿宋" w:hAnsi="仿宋"/>
                <w:szCs w:val="21"/>
              </w:rPr>
              <w:t>供应商名称</w:t>
            </w:r>
          </w:p>
        </w:tc>
        <w:tc>
          <w:tcPr>
            <w:tcW w:w="6520" w:type="dxa"/>
            <w:vAlign w:val="center"/>
          </w:tcPr>
          <w:p>
            <w:pPr>
              <w:spacing w:line="360" w:lineRule="auto"/>
              <w:jc w:val="center"/>
              <w:rPr>
                <w:rFonts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仿宋" w:hAnsi="仿宋"/>
                <w:szCs w:val="21"/>
              </w:rPr>
            </w:pPr>
            <w:r>
              <w:rPr>
                <w:rFonts w:hint="eastAsia" w:ascii="仿宋" w:hAnsi="仿宋"/>
                <w:szCs w:val="21"/>
              </w:rPr>
              <w:t>交货期</w:t>
            </w:r>
          </w:p>
        </w:tc>
        <w:tc>
          <w:tcPr>
            <w:tcW w:w="6520" w:type="dxa"/>
            <w:vAlign w:val="center"/>
          </w:tcPr>
          <w:p>
            <w:pPr>
              <w:spacing w:line="360" w:lineRule="auto"/>
              <w:jc w:val="center"/>
              <w:rPr>
                <w:rFonts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仿宋" w:hAnsi="仿宋"/>
                <w:szCs w:val="21"/>
              </w:rPr>
            </w:pPr>
            <w:r>
              <w:rPr>
                <w:rFonts w:hint="eastAsia" w:ascii="仿宋" w:hAnsi="仿宋"/>
                <w:szCs w:val="21"/>
              </w:rPr>
              <w:t>服务地点</w:t>
            </w:r>
          </w:p>
        </w:tc>
        <w:tc>
          <w:tcPr>
            <w:tcW w:w="6520" w:type="dxa"/>
            <w:vAlign w:val="center"/>
          </w:tcPr>
          <w:p>
            <w:pPr>
              <w:spacing w:line="360" w:lineRule="auto"/>
              <w:jc w:val="center"/>
              <w:rPr>
                <w:rFonts w:ascii="仿宋" w:hAnsi="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仿宋" w:hAnsi="仿宋"/>
                <w:szCs w:val="21"/>
              </w:rPr>
            </w:pPr>
            <w:r>
              <w:rPr>
                <w:rFonts w:hint="eastAsia" w:ascii="仿宋" w:hAnsi="仿宋"/>
                <w:szCs w:val="21"/>
              </w:rPr>
              <w:t>投标总报价</w:t>
            </w:r>
          </w:p>
        </w:tc>
        <w:tc>
          <w:tcPr>
            <w:tcW w:w="6520" w:type="dxa"/>
            <w:vAlign w:val="center"/>
          </w:tcPr>
          <w:p>
            <w:pPr>
              <w:spacing w:line="360" w:lineRule="auto"/>
              <w:jc w:val="left"/>
              <w:rPr>
                <w:rFonts w:ascii="宋体" w:hAnsi="宋体"/>
                <w:szCs w:val="21"/>
              </w:rPr>
            </w:pPr>
            <w:r>
              <w:rPr>
                <w:rFonts w:hint="eastAsia" w:ascii="宋体" w:hAnsi="宋体"/>
                <w:szCs w:val="21"/>
              </w:rPr>
              <w:t xml:space="preserve">小写：          </w:t>
            </w:r>
          </w:p>
          <w:p>
            <w:pPr>
              <w:spacing w:line="360" w:lineRule="auto"/>
              <w:jc w:val="left"/>
              <w:rPr>
                <w:rFonts w:ascii="仿宋" w:hAnsi="仿宋"/>
                <w:szCs w:val="21"/>
              </w:rPr>
            </w:pPr>
            <w:r>
              <w:rPr>
                <w:rFonts w:hint="eastAsia" w:ascii="宋体" w:hAnsi="宋体"/>
                <w:szCs w:val="21"/>
              </w:rPr>
              <w:t xml:space="preserve">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39" w:type="dxa"/>
            <w:vAlign w:val="center"/>
          </w:tcPr>
          <w:p>
            <w:pPr>
              <w:spacing w:line="360" w:lineRule="auto"/>
              <w:jc w:val="center"/>
              <w:rPr>
                <w:rFonts w:ascii="仿宋" w:hAnsi="仿宋"/>
                <w:szCs w:val="21"/>
              </w:rPr>
            </w:pPr>
            <w:r>
              <w:rPr>
                <w:rFonts w:hint="eastAsia" w:ascii="仿宋" w:hAnsi="仿宋"/>
                <w:szCs w:val="21"/>
              </w:rPr>
              <w:t>备注</w:t>
            </w:r>
          </w:p>
        </w:tc>
        <w:tc>
          <w:tcPr>
            <w:tcW w:w="6520" w:type="dxa"/>
            <w:vAlign w:val="center"/>
          </w:tcPr>
          <w:p>
            <w:pPr>
              <w:spacing w:line="360" w:lineRule="auto"/>
              <w:jc w:val="center"/>
              <w:rPr>
                <w:rFonts w:ascii="仿宋" w:hAnsi="仿宋"/>
                <w:szCs w:val="21"/>
              </w:rPr>
            </w:pPr>
          </w:p>
        </w:tc>
      </w:tr>
    </w:tbl>
    <w:p>
      <w:pPr>
        <w:spacing w:line="360" w:lineRule="auto"/>
        <w:rPr>
          <w:rFonts w:ascii="宋体" w:hAnsi="Calibri"/>
          <w:szCs w:val="21"/>
        </w:rPr>
      </w:pPr>
    </w:p>
    <w:p>
      <w:pPr>
        <w:spacing w:line="360" w:lineRule="auto"/>
        <w:rPr>
          <w:rFonts w:ascii="宋体" w:hAnsi="宋体" w:cs="微软雅黑"/>
          <w:szCs w:val="21"/>
        </w:rPr>
      </w:pPr>
      <w:r>
        <w:rPr>
          <w:rFonts w:hint="eastAsia" w:ascii="宋体" w:hAnsi="宋体" w:cs="微软雅黑"/>
          <w:szCs w:val="21"/>
        </w:rPr>
        <w:t>注：1、报价应包括文件所确定的采购范围内的全部费用。</w:t>
      </w:r>
    </w:p>
    <w:p>
      <w:pPr>
        <w:spacing w:line="360" w:lineRule="auto"/>
        <w:ind w:firstLine="420" w:firstLineChars="200"/>
        <w:rPr>
          <w:rFonts w:ascii="宋体" w:hAnsi="宋体" w:cs="微软雅黑"/>
          <w:szCs w:val="21"/>
        </w:rPr>
      </w:pPr>
      <w:r>
        <w:rPr>
          <w:rFonts w:hint="eastAsia" w:ascii="宋体" w:hAnsi="宋体" w:cs="微软雅黑"/>
          <w:szCs w:val="21"/>
        </w:rPr>
        <w:t>2、本表格式不得自行改，该表中的报价应与投标函中的报价完全一致</w:t>
      </w:r>
      <w:r>
        <w:rPr>
          <w:rFonts w:hint="eastAsia" w:ascii="宋体" w:hAnsi="宋体" w:cs="微软雅黑"/>
          <w:szCs w:val="21"/>
          <w:lang w:eastAsia="zh-CN"/>
        </w:rPr>
        <w:t>，</w:t>
      </w:r>
      <w:r>
        <w:rPr>
          <w:rFonts w:hint="eastAsia" w:ascii="宋体" w:hAnsi="宋体" w:cs="微软雅黑"/>
          <w:szCs w:val="21"/>
        </w:rPr>
        <w:t>否则为无效报价；</w:t>
      </w:r>
    </w:p>
    <w:p>
      <w:pPr>
        <w:spacing w:line="360" w:lineRule="auto"/>
        <w:ind w:firstLine="420" w:firstLineChars="200"/>
        <w:rPr>
          <w:rFonts w:ascii="宋体" w:hAnsi="宋体" w:cs="微软雅黑"/>
          <w:szCs w:val="21"/>
        </w:rPr>
      </w:pPr>
      <w:r>
        <w:rPr>
          <w:rFonts w:hint="eastAsia" w:ascii="宋体" w:hAnsi="宋体" w:cs="微软雅黑"/>
          <w:szCs w:val="21"/>
        </w:rPr>
        <w:t>3、总价均应包括</w:t>
      </w:r>
      <w:r>
        <w:rPr>
          <w:rFonts w:hint="eastAsia" w:ascii="宋体" w:hAnsi="宋体" w:cs="宋体"/>
          <w:szCs w:val="22"/>
        </w:rPr>
        <w:t>货物价、运费、各种税费等</w:t>
      </w:r>
      <w:r>
        <w:rPr>
          <w:rFonts w:hint="eastAsia" w:ascii="宋体" w:hAnsi="宋体" w:cs="微软雅黑"/>
          <w:szCs w:val="21"/>
        </w:rPr>
        <w:t>。</w:t>
      </w:r>
    </w:p>
    <w:p>
      <w:pPr>
        <w:spacing w:line="360" w:lineRule="auto"/>
        <w:ind w:firstLine="420" w:firstLineChars="200"/>
        <w:rPr>
          <w:rFonts w:ascii="宋体" w:hAnsi="宋体" w:cs="微软雅黑"/>
          <w:szCs w:val="21"/>
        </w:rPr>
      </w:pPr>
      <w:r>
        <w:rPr>
          <w:rFonts w:hint="eastAsia" w:ascii="宋体" w:hAnsi="宋体" w:cs="微软雅黑"/>
          <w:szCs w:val="21"/>
        </w:rPr>
        <w:t>4、价格合计数与报价函总价数一致。</w:t>
      </w:r>
    </w:p>
    <w:p>
      <w:pPr>
        <w:ind w:firstLine="200" w:firstLineChars="100"/>
        <w:rPr>
          <w:kern w:val="0"/>
          <w:sz w:val="20"/>
        </w:rPr>
      </w:pPr>
    </w:p>
    <w:p>
      <w:pPr>
        <w:wordWrap w:val="0"/>
        <w:spacing w:line="360" w:lineRule="auto"/>
        <w:jc w:val="right"/>
        <w:rPr>
          <w:rFonts w:ascii="宋体" w:hAnsi="宋体" w:cs="宋体"/>
          <w:szCs w:val="22"/>
        </w:rPr>
      </w:pPr>
      <w:r>
        <w:rPr>
          <w:rFonts w:hint="eastAsia" w:ascii="宋体" w:hAnsi="宋体" w:cs="宋体"/>
          <w:szCs w:val="22"/>
        </w:rPr>
        <w:t xml:space="preserve">供应商（盖单位章）：                            </w:t>
      </w:r>
    </w:p>
    <w:p>
      <w:pPr>
        <w:wordWrap w:val="0"/>
        <w:spacing w:line="360" w:lineRule="auto"/>
        <w:jc w:val="right"/>
        <w:rPr>
          <w:rFonts w:ascii="宋体" w:hAnsi="宋体" w:cs="宋体"/>
          <w:szCs w:val="22"/>
          <w:u w:val="single"/>
        </w:rPr>
      </w:pPr>
      <w:r>
        <w:rPr>
          <w:rFonts w:hint="eastAsia" w:ascii="宋体" w:hAnsi="宋体" w:cs="宋体"/>
          <w:szCs w:val="21"/>
        </w:rPr>
        <w:t>法定代表人或其授权代表（签字或盖章）</w:t>
      </w:r>
      <w:r>
        <w:rPr>
          <w:rFonts w:hint="eastAsia" w:ascii="宋体" w:hAnsi="宋体" w:cs="宋体"/>
          <w:bCs/>
          <w:szCs w:val="21"/>
        </w:rPr>
        <w:t xml:space="preserve">：          </w:t>
      </w:r>
    </w:p>
    <w:p>
      <w:pPr>
        <w:widowControl/>
        <w:wordWrap w:val="0"/>
        <w:spacing w:line="360" w:lineRule="auto"/>
        <w:jc w:val="right"/>
        <w:rPr>
          <w:rFonts w:ascii="宋体" w:hAnsi="宋体" w:cs="宋体"/>
          <w:szCs w:val="22"/>
        </w:rPr>
      </w:pPr>
      <w:r>
        <w:rPr>
          <w:rFonts w:hint="eastAsia" w:ascii="宋体" w:hAnsi="宋体" w:cs="宋体"/>
          <w:szCs w:val="22"/>
        </w:rPr>
        <w:t>日期：    年   月   日</w:t>
      </w:r>
    </w:p>
    <w:p>
      <w:pPr>
        <w:rPr>
          <w:rFonts w:hint="eastAsia"/>
          <w:szCs w:val="21"/>
        </w:rPr>
      </w:pPr>
      <w:r>
        <w:rPr>
          <w:rFonts w:ascii="宋体" w:hAnsi="Calibri"/>
          <w:b/>
          <w:szCs w:val="21"/>
        </w:rPr>
        <w:br w:type="page"/>
      </w:r>
    </w:p>
    <w:p>
      <w:pPr>
        <w:numPr>
          <w:ilvl w:val="0"/>
          <w:numId w:val="3"/>
        </w:numPr>
        <w:spacing w:line="360" w:lineRule="auto"/>
        <w:jc w:val="center"/>
        <w:rPr>
          <w:rFonts w:hint="eastAsia"/>
          <w:szCs w:val="21"/>
        </w:rPr>
      </w:pPr>
      <w:r>
        <w:rPr>
          <w:rFonts w:ascii="宋体" w:hAnsi="Calibri"/>
          <w:b/>
          <w:szCs w:val="21"/>
        </w:rPr>
        <w:t xml:space="preserve"> </w:t>
      </w:r>
      <w:r>
        <w:rPr>
          <w:rFonts w:hint="eastAsia"/>
          <w:szCs w:val="21"/>
        </w:rPr>
        <w:t>分项报价表</w:t>
      </w:r>
    </w:p>
    <w:p>
      <w:pPr>
        <w:pStyle w:val="2"/>
        <w:widowControl w:val="0"/>
        <w:numPr>
          <w:ilvl w:val="0"/>
          <w:numId w:val="0"/>
        </w:numPr>
        <w:snapToGrid w:val="0"/>
        <w:jc w:val="both"/>
      </w:pPr>
    </w:p>
    <w:tbl>
      <w:tblPr>
        <w:tblStyle w:val="47"/>
        <w:tblW w:w="48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3881"/>
        <w:gridCol w:w="1100"/>
        <w:gridCol w:w="955"/>
        <w:gridCol w:w="1192"/>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序号</w:t>
            </w:r>
          </w:p>
        </w:tc>
        <w:tc>
          <w:tcPr>
            <w:tcW w:w="2152"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货物名称</w:t>
            </w:r>
          </w:p>
        </w:tc>
        <w:tc>
          <w:tcPr>
            <w:tcW w:w="610"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单位</w:t>
            </w:r>
          </w:p>
        </w:tc>
        <w:tc>
          <w:tcPr>
            <w:tcW w:w="529"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color w:val="000000"/>
                <w:szCs w:val="21"/>
              </w:rPr>
            </w:pPr>
            <w:r>
              <w:rPr>
                <w:rFonts w:hint="eastAsia" w:ascii="宋体" w:hAnsi="宋体" w:eastAsia="宋体" w:cs="宋体"/>
                <w:b/>
                <w:bCs/>
                <w:color w:val="000000"/>
                <w:szCs w:val="21"/>
              </w:rPr>
              <w:t>数量</w:t>
            </w:r>
          </w:p>
        </w:tc>
        <w:tc>
          <w:tcPr>
            <w:tcW w:w="661" w:type="pct"/>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szCs w:val="21"/>
              </w:rPr>
            </w:pPr>
            <w:r>
              <w:rPr>
                <w:rFonts w:hint="eastAsia" w:ascii="宋体" w:hAnsi="宋体"/>
                <w:b/>
                <w:bCs/>
                <w:szCs w:val="21"/>
              </w:rPr>
              <w:t>单价（元）</w:t>
            </w:r>
          </w:p>
        </w:tc>
        <w:tc>
          <w:tcPr>
            <w:tcW w:w="669" w:type="pct"/>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bCs/>
                <w:color w:val="000000"/>
                <w:szCs w:val="21"/>
              </w:rPr>
            </w:pPr>
            <w:r>
              <w:rPr>
                <w:rFonts w:hint="eastAsia" w:ascii="宋体" w:hAnsi="宋体"/>
                <w:b/>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lang w:val="en-US" w:eastAsia="zh-CN"/>
              </w:rPr>
            </w:pPr>
            <w:r>
              <w:rPr>
                <w:rFonts w:hint="eastAsia" w:ascii="宋体" w:hAnsi="宋体" w:cs="宋体"/>
                <w:bCs/>
                <w:szCs w:val="21"/>
                <w:lang w:val="en-US" w:eastAsia="zh-CN"/>
              </w:rPr>
              <w:t>1</w:t>
            </w:r>
          </w:p>
        </w:tc>
        <w:tc>
          <w:tcPr>
            <w:tcW w:w="2152"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DMS四级修</w:t>
            </w:r>
          </w:p>
        </w:tc>
        <w:tc>
          <w:tcPr>
            <w:tcW w:w="61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c>
          <w:tcPr>
            <w:tcW w:w="5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6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6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lang w:val="en-US" w:eastAsia="zh-CN"/>
              </w:rPr>
            </w:pPr>
            <w:r>
              <w:rPr>
                <w:rFonts w:hint="eastAsia" w:ascii="宋体" w:hAnsi="宋体" w:cs="宋体"/>
                <w:bCs/>
                <w:szCs w:val="21"/>
                <w:lang w:val="en-US" w:eastAsia="zh-CN"/>
              </w:rPr>
              <w:t>2</w:t>
            </w:r>
          </w:p>
        </w:tc>
        <w:tc>
          <w:tcPr>
            <w:tcW w:w="2152"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EOAS四级修</w:t>
            </w:r>
          </w:p>
        </w:tc>
        <w:tc>
          <w:tcPr>
            <w:tcW w:w="61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c>
          <w:tcPr>
            <w:tcW w:w="5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6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6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7" w:type="pct"/>
            <w:vAlign w:val="center"/>
          </w:tcPr>
          <w:p>
            <w:pPr>
              <w:keepNext w:val="0"/>
              <w:keepLines w:val="0"/>
              <w:suppressLineNumbers w:val="0"/>
              <w:spacing w:before="0" w:beforeAutospacing="0" w:after="0" w:afterAutospacing="0"/>
              <w:ind w:left="0" w:right="0"/>
              <w:jc w:val="center"/>
              <w:rPr>
                <w:rFonts w:hint="eastAsia" w:ascii="宋体" w:hAnsi="宋体" w:eastAsia="宋体" w:cs="宋体"/>
                <w:bCs/>
                <w:szCs w:val="21"/>
                <w:lang w:val="en-US" w:eastAsia="zh-CN"/>
              </w:rPr>
            </w:pPr>
            <w:r>
              <w:rPr>
                <w:rFonts w:hint="eastAsia" w:ascii="宋体" w:hAnsi="宋体" w:cs="宋体"/>
                <w:bCs/>
                <w:szCs w:val="21"/>
                <w:lang w:val="en-US" w:eastAsia="zh-CN"/>
              </w:rPr>
              <w:t>3</w:t>
            </w:r>
          </w:p>
        </w:tc>
        <w:tc>
          <w:tcPr>
            <w:tcW w:w="2152"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rPr>
            </w:pPr>
            <w:r>
              <w:rPr>
                <w:rFonts w:hint="eastAsia" w:ascii="宋体" w:hAnsi="宋体" w:eastAsia="宋体" w:cs="宋体"/>
                <w:i w:val="0"/>
                <w:iCs w:val="0"/>
                <w:color w:val="000000"/>
                <w:kern w:val="0"/>
                <w:sz w:val="22"/>
                <w:szCs w:val="22"/>
                <w:u w:val="none"/>
                <w:lang w:val="en-US" w:eastAsia="zh-CN" w:bidi="ar"/>
              </w:rPr>
              <w:t>EOAS高清线路摄像机</w:t>
            </w:r>
          </w:p>
        </w:tc>
        <w:tc>
          <w:tcPr>
            <w:tcW w:w="610"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szCs w:val="21"/>
              </w:rPr>
            </w:pPr>
          </w:p>
        </w:tc>
        <w:tc>
          <w:tcPr>
            <w:tcW w:w="52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61"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c>
          <w:tcPr>
            <w:tcW w:w="66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30" w:type="pct"/>
            <w:gridSpan w:val="5"/>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eastAsia="zh-CN" w:bidi="ar"/>
              </w:rPr>
            </w:pPr>
            <w:r>
              <w:rPr>
                <w:rFonts w:hint="eastAsia" w:ascii="宋体" w:hAnsi="宋体" w:cs="宋体"/>
                <w:bCs/>
                <w:color w:val="000000"/>
                <w:kern w:val="0"/>
                <w:szCs w:val="21"/>
                <w:lang w:eastAsia="zh-CN" w:bidi="ar"/>
              </w:rPr>
              <w:t>合计（元）：</w:t>
            </w:r>
          </w:p>
        </w:tc>
        <w:tc>
          <w:tcPr>
            <w:tcW w:w="669" w:type="pct"/>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Cs/>
                <w:color w:val="000000"/>
                <w:kern w:val="0"/>
                <w:szCs w:val="21"/>
                <w:lang w:bidi="ar"/>
              </w:rPr>
            </w:pPr>
          </w:p>
        </w:tc>
      </w:tr>
    </w:tbl>
    <w:p>
      <w:pPr>
        <w:widowControl/>
        <w:jc w:val="left"/>
        <w:rPr>
          <w:rFonts w:ascii="宋体" w:hAnsi="宋体" w:cs="宋体"/>
          <w:szCs w:val="22"/>
        </w:rPr>
      </w:pPr>
    </w:p>
    <w:p>
      <w:pPr>
        <w:wordWrap w:val="0"/>
        <w:spacing w:line="360" w:lineRule="auto"/>
        <w:jc w:val="right"/>
        <w:rPr>
          <w:rFonts w:ascii="宋体" w:hAnsi="宋体" w:cs="宋体"/>
          <w:szCs w:val="22"/>
        </w:rPr>
      </w:pPr>
      <w:r>
        <w:rPr>
          <w:rFonts w:hint="eastAsia" w:ascii="宋体" w:hAnsi="宋体" w:cs="宋体"/>
          <w:szCs w:val="22"/>
        </w:rPr>
        <w:t xml:space="preserve">供应商（盖单位章）：                            </w:t>
      </w:r>
    </w:p>
    <w:p>
      <w:pPr>
        <w:wordWrap w:val="0"/>
        <w:spacing w:line="360" w:lineRule="auto"/>
        <w:jc w:val="right"/>
        <w:rPr>
          <w:rFonts w:ascii="宋体" w:hAnsi="宋体" w:cs="宋体"/>
          <w:szCs w:val="22"/>
          <w:u w:val="single"/>
        </w:rPr>
      </w:pPr>
      <w:r>
        <w:rPr>
          <w:rFonts w:hint="eastAsia" w:ascii="宋体" w:hAnsi="宋体" w:cs="宋体"/>
          <w:szCs w:val="21"/>
        </w:rPr>
        <w:t>法定代表人或其授权代表（签字或盖章）</w:t>
      </w:r>
      <w:r>
        <w:rPr>
          <w:rFonts w:hint="eastAsia" w:ascii="宋体" w:hAnsi="宋体" w:cs="宋体"/>
          <w:bCs/>
          <w:szCs w:val="21"/>
        </w:rPr>
        <w:t xml:space="preserve">：          </w:t>
      </w:r>
    </w:p>
    <w:p>
      <w:pPr>
        <w:widowControl/>
        <w:wordWrap w:val="0"/>
        <w:spacing w:line="360" w:lineRule="auto"/>
        <w:jc w:val="right"/>
        <w:rPr>
          <w:rFonts w:ascii="宋体" w:hAnsi="宋体" w:cs="宋体"/>
          <w:szCs w:val="22"/>
        </w:rPr>
      </w:pPr>
      <w:r>
        <w:rPr>
          <w:rFonts w:hint="eastAsia" w:ascii="宋体" w:hAnsi="宋体" w:cs="宋体"/>
          <w:szCs w:val="22"/>
        </w:rPr>
        <w:t xml:space="preserve">日期：    年  </w:t>
      </w:r>
      <w:r>
        <w:rPr>
          <w:rFonts w:hint="eastAsia" w:ascii="宋体" w:hAnsi="宋体" w:cs="宋体"/>
          <w:szCs w:val="22"/>
          <w:lang w:val="en-US" w:eastAsia="zh-CN"/>
        </w:rPr>
        <w:t xml:space="preserve"> </w:t>
      </w:r>
      <w:r>
        <w:rPr>
          <w:rFonts w:hint="eastAsia" w:ascii="宋体" w:hAnsi="宋体" w:cs="宋体"/>
          <w:szCs w:val="22"/>
        </w:rPr>
        <w:t xml:space="preserve"> 月  </w:t>
      </w:r>
      <w:r>
        <w:rPr>
          <w:rFonts w:hint="eastAsia" w:ascii="宋体" w:hAnsi="宋体" w:cs="宋体"/>
          <w:szCs w:val="22"/>
          <w:lang w:val="en-US" w:eastAsia="zh-CN"/>
        </w:rPr>
        <w:t xml:space="preserve"> </w:t>
      </w:r>
      <w:r>
        <w:rPr>
          <w:rFonts w:hint="eastAsia" w:ascii="宋体" w:hAnsi="宋体" w:cs="宋体"/>
          <w:szCs w:val="22"/>
        </w:rPr>
        <w:t xml:space="preserve"> 日</w:t>
      </w:r>
    </w:p>
    <w:p>
      <w:pPr>
        <w:widowControl/>
        <w:jc w:val="left"/>
        <w:rPr>
          <w:rFonts w:ascii="宋体" w:hAnsi="宋体" w:cs="宋体"/>
          <w:szCs w:val="22"/>
        </w:rPr>
      </w:pPr>
    </w:p>
    <w:p>
      <w:pPr>
        <w:spacing w:line="360" w:lineRule="auto"/>
        <w:jc w:val="center"/>
        <w:rPr>
          <w:rFonts w:ascii="宋体" w:hAnsi="Calibri"/>
          <w:b/>
          <w:szCs w:val="21"/>
        </w:rPr>
      </w:pPr>
    </w:p>
    <w:p>
      <w:pPr>
        <w:keepNext/>
        <w:keepLines/>
        <w:spacing w:before="260" w:after="260" w:line="360" w:lineRule="auto"/>
        <w:jc w:val="center"/>
        <w:outlineLvl w:val="2"/>
        <w:rPr>
          <w:rFonts w:ascii="宋体" w:hAnsi="宋体"/>
          <w:b/>
          <w:bCs/>
          <w:szCs w:val="21"/>
        </w:rPr>
      </w:pPr>
      <w:bookmarkStart w:id="327" w:name="_Toc480447827"/>
      <w:r>
        <w:rPr>
          <w:rFonts w:hint="eastAsia" w:ascii="宋体" w:hAnsi="宋体"/>
          <w:b/>
          <w:bCs/>
          <w:szCs w:val="21"/>
        </w:rPr>
        <w:t>七、供应商情况介绍</w:t>
      </w:r>
      <w:bookmarkEnd w:id="327"/>
    </w:p>
    <w:p>
      <w:pPr>
        <w:spacing w:line="360" w:lineRule="auto"/>
        <w:rPr>
          <w:rFonts w:ascii="宋体" w:hAnsi="宋体"/>
          <w:bCs/>
          <w:szCs w:val="21"/>
        </w:rPr>
      </w:pPr>
      <w:r>
        <w:rPr>
          <w:rFonts w:hint="eastAsia" w:ascii="宋体" w:hAnsi="宋体"/>
          <w:bCs/>
          <w:szCs w:val="21"/>
        </w:rPr>
        <w:t>（一）投标人情况介绍：</w:t>
      </w:r>
    </w:p>
    <w:tbl>
      <w:tblPr>
        <w:tblStyle w:val="4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
        <w:gridCol w:w="2835"/>
        <w:gridCol w:w="3828"/>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
                <w:bCs/>
                <w:szCs w:val="21"/>
              </w:rPr>
            </w:pPr>
            <w:r>
              <w:rPr>
                <w:rFonts w:hint="eastAsia" w:ascii="宋体" w:hAnsi="宋体"/>
                <w:b/>
                <w:bCs/>
                <w:szCs w:val="21"/>
              </w:rPr>
              <w:t>序号</w:t>
            </w:r>
          </w:p>
        </w:tc>
        <w:tc>
          <w:tcPr>
            <w:tcW w:w="2835" w:type="dxa"/>
            <w:vAlign w:val="center"/>
          </w:tcPr>
          <w:p>
            <w:pPr>
              <w:jc w:val="center"/>
              <w:rPr>
                <w:rFonts w:ascii="宋体" w:hAnsi="宋体"/>
                <w:b/>
                <w:bCs/>
                <w:szCs w:val="21"/>
              </w:rPr>
            </w:pPr>
            <w:r>
              <w:rPr>
                <w:rFonts w:hint="eastAsia" w:ascii="宋体" w:hAnsi="宋体"/>
                <w:b/>
                <w:bCs/>
                <w:szCs w:val="21"/>
              </w:rPr>
              <w:t>项目</w:t>
            </w:r>
          </w:p>
        </w:tc>
        <w:tc>
          <w:tcPr>
            <w:tcW w:w="3828" w:type="dxa"/>
            <w:vAlign w:val="center"/>
          </w:tcPr>
          <w:p>
            <w:pPr>
              <w:jc w:val="center"/>
              <w:rPr>
                <w:rFonts w:ascii="宋体" w:hAnsi="宋体"/>
                <w:b/>
                <w:bCs/>
                <w:szCs w:val="21"/>
              </w:rPr>
            </w:pPr>
            <w:r>
              <w:rPr>
                <w:rFonts w:hint="eastAsia" w:ascii="宋体" w:hAnsi="宋体"/>
                <w:b/>
                <w:bCs/>
                <w:szCs w:val="21"/>
              </w:rPr>
              <w:t>内容及说明</w:t>
            </w:r>
          </w:p>
        </w:tc>
        <w:tc>
          <w:tcPr>
            <w:tcW w:w="1275" w:type="dxa"/>
            <w:vAlign w:val="center"/>
          </w:tcPr>
          <w:p>
            <w:pPr>
              <w:jc w:val="center"/>
              <w:rPr>
                <w:rFonts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hint="eastAsia" w:ascii="宋体" w:hAnsi="宋体"/>
                <w:bCs/>
                <w:szCs w:val="21"/>
              </w:rPr>
              <w:t>一</w:t>
            </w:r>
          </w:p>
        </w:tc>
        <w:tc>
          <w:tcPr>
            <w:tcW w:w="6663" w:type="dxa"/>
            <w:gridSpan w:val="2"/>
            <w:vAlign w:val="center"/>
          </w:tcPr>
          <w:p>
            <w:pPr>
              <w:jc w:val="center"/>
              <w:rPr>
                <w:rFonts w:ascii="宋体" w:hAnsi="宋体"/>
                <w:b/>
                <w:bCs/>
                <w:szCs w:val="21"/>
              </w:rPr>
            </w:pPr>
            <w:r>
              <w:rPr>
                <w:rFonts w:hint="eastAsia" w:ascii="宋体" w:hAnsi="宋体"/>
                <w:b/>
                <w:bCs/>
                <w:szCs w:val="21"/>
              </w:rPr>
              <w:t>营业执照</w:t>
            </w: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1</w:t>
            </w:r>
          </w:p>
        </w:tc>
        <w:tc>
          <w:tcPr>
            <w:tcW w:w="2835" w:type="dxa"/>
            <w:vAlign w:val="center"/>
          </w:tcPr>
          <w:p>
            <w:pPr>
              <w:autoSpaceDE w:val="0"/>
              <w:autoSpaceDN w:val="0"/>
              <w:adjustRightInd w:val="0"/>
              <w:jc w:val="center"/>
              <w:rPr>
                <w:rFonts w:ascii="宋体" w:hAnsi="宋体" w:cs="宋体"/>
                <w:kern w:val="0"/>
                <w:szCs w:val="21"/>
              </w:rPr>
            </w:pPr>
            <w:r>
              <w:rPr>
                <w:rFonts w:hint="eastAsia" w:ascii="宋体" w:hAnsi="宋体" w:cs="宋体"/>
                <w:kern w:val="0"/>
                <w:szCs w:val="21"/>
              </w:rPr>
              <w:t>注册时间</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2</w:t>
            </w:r>
          </w:p>
        </w:tc>
        <w:tc>
          <w:tcPr>
            <w:tcW w:w="2835" w:type="dxa"/>
            <w:vAlign w:val="center"/>
          </w:tcPr>
          <w:p>
            <w:pPr>
              <w:jc w:val="center"/>
              <w:rPr>
                <w:rFonts w:ascii="宋体" w:hAnsi="宋体"/>
                <w:bCs/>
                <w:szCs w:val="21"/>
              </w:rPr>
            </w:pPr>
            <w:r>
              <w:rPr>
                <w:rFonts w:hint="eastAsia" w:ascii="宋体" w:hAnsi="宋体" w:cs="宋体"/>
                <w:kern w:val="0"/>
                <w:szCs w:val="21"/>
              </w:rPr>
              <w:t>注册资金（万元）</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3</w:t>
            </w:r>
          </w:p>
        </w:tc>
        <w:tc>
          <w:tcPr>
            <w:tcW w:w="2835" w:type="dxa"/>
            <w:vAlign w:val="center"/>
          </w:tcPr>
          <w:p>
            <w:pPr>
              <w:jc w:val="center"/>
              <w:rPr>
                <w:rFonts w:ascii="宋体" w:hAnsi="宋体"/>
                <w:bCs/>
                <w:szCs w:val="21"/>
              </w:rPr>
            </w:pPr>
            <w:r>
              <w:rPr>
                <w:rFonts w:hint="eastAsia" w:ascii="宋体" w:hAnsi="宋体" w:cs="宋体"/>
                <w:kern w:val="0"/>
                <w:szCs w:val="21"/>
              </w:rPr>
              <w:t>法定代表人</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4</w:t>
            </w:r>
          </w:p>
        </w:tc>
        <w:tc>
          <w:tcPr>
            <w:tcW w:w="2835" w:type="dxa"/>
            <w:vAlign w:val="center"/>
          </w:tcPr>
          <w:p>
            <w:pPr>
              <w:jc w:val="center"/>
              <w:rPr>
                <w:rFonts w:ascii="宋体" w:hAnsi="宋体"/>
                <w:bCs/>
                <w:szCs w:val="21"/>
              </w:rPr>
            </w:pPr>
            <w:r>
              <w:rPr>
                <w:rFonts w:hint="eastAsia" w:ascii="宋体" w:hAnsi="宋体"/>
                <w:bCs/>
                <w:szCs w:val="21"/>
              </w:rPr>
              <w:t>经营范围</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5</w:t>
            </w:r>
          </w:p>
        </w:tc>
        <w:tc>
          <w:tcPr>
            <w:tcW w:w="2835" w:type="dxa"/>
            <w:vAlign w:val="center"/>
          </w:tcPr>
          <w:p>
            <w:pPr>
              <w:jc w:val="center"/>
              <w:rPr>
                <w:rFonts w:ascii="宋体" w:hAnsi="宋体"/>
                <w:bCs/>
                <w:szCs w:val="21"/>
              </w:rPr>
            </w:pPr>
            <w:r>
              <w:rPr>
                <w:rFonts w:hint="eastAsia" w:ascii="宋体" w:hAnsi="宋体"/>
                <w:bCs/>
                <w:szCs w:val="21"/>
              </w:rPr>
              <w:t>经营场所</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6</w:t>
            </w:r>
          </w:p>
        </w:tc>
        <w:tc>
          <w:tcPr>
            <w:tcW w:w="2835" w:type="dxa"/>
            <w:vAlign w:val="center"/>
          </w:tcPr>
          <w:p>
            <w:pPr>
              <w:jc w:val="center"/>
              <w:rPr>
                <w:rFonts w:ascii="宋体" w:hAnsi="宋体"/>
                <w:bCs/>
                <w:szCs w:val="21"/>
              </w:rPr>
            </w:pPr>
            <w:r>
              <w:rPr>
                <w:rFonts w:hint="eastAsia" w:ascii="宋体" w:hAnsi="宋体"/>
                <w:bCs/>
                <w:szCs w:val="21"/>
              </w:rPr>
              <w:t>有效期</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7</w:t>
            </w:r>
          </w:p>
        </w:tc>
        <w:tc>
          <w:tcPr>
            <w:tcW w:w="2835" w:type="dxa"/>
            <w:vAlign w:val="center"/>
          </w:tcPr>
          <w:p>
            <w:pPr>
              <w:jc w:val="center"/>
              <w:rPr>
                <w:rFonts w:ascii="宋体" w:hAnsi="宋体"/>
                <w:bCs/>
                <w:szCs w:val="21"/>
              </w:rPr>
            </w:pPr>
            <w:r>
              <w:rPr>
                <w:rFonts w:hint="eastAsia" w:ascii="宋体" w:hAnsi="宋体"/>
                <w:bCs/>
                <w:szCs w:val="21"/>
              </w:rPr>
              <w:t>开户银行及账号</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hint="eastAsia" w:ascii="宋体" w:hAnsi="宋体"/>
                <w:bCs/>
                <w:szCs w:val="21"/>
              </w:rPr>
              <w:t>二</w:t>
            </w:r>
          </w:p>
        </w:tc>
        <w:tc>
          <w:tcPr>
            <w:tcW w:w="6663" w:type="dxa"/>
            <w:gridSpan w:val="2"/>
            <w:vAlign w:val="center"/>
          </w:tcPr>
          <w:p>
            <w:pPr>
              <w:jc w:val="center"/>
              <w:rPr>
                <w:rFonts w:ascii="宋体" w:hAnsi="宋体"/>
                <w:b/>
                <w:bCs/>
                <w:szCs w:val="21"/>
              </w:rPr>
            </w:pPr>
            <w:r>
              <w:rPr>
                <w:rFonts w:hint="eastAsia" w:ascii="宋体" w:hAnsi="宋体"/>
                <w:b/>
                <w:bCs/>
                <w:szCs w:val="21"/>
              </w:rPr>
              <w:t>税务登记</w:t>
            </w:r>
          </w:p>
        </w:tc>
        <w:tc>
          <w:tcPr>
            <w:tcW w:w="1275"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ascii="宋体" w:hAnsi="宋体"/>
                <w:bCs/>
                <w:szCs w:val="21"/>
              </w:rPr>
              <w:t>1</w:t>
            </w:r>
          </w:p>
        </w:tc>
        <w:tc>
          <w:tcPr>
            <w:tcW w:w="2835" w:type="dxa"/>
            <w:vAlign w:val="center"/>
          </w:tcPr>
          <w:p>
            <w:pPr>
              <w:jc w:val="center"/>
              <w:rPr>
                <w:rFonts w:ascii="宋体" w:hAnsi="宋体"/>
                <w:bCs/>
                <w:szCs w:val="21"/>
              </w:rPr>
            </w:pPr>
            <w:r>
              <w:rPr>
                <w:rFonts w:hint="eastAsia" w:ascii="宋体" w:hAnsi="宋体"/>
                <w:bCs/>
                <w:szCs w:val="21"/>
              </w:rPr>
              <w:t>税务登记证编号</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
                <w:bCs/>
                <w:szCs w:val="21"/>
              </w:rPr>
            </w:pPr>
            <w:r>
              <w:rPr>
                <w:rFonts w:hint="eastAsia" w:ascii="宋体" w:hAnsi="宋体"/>
                <w:b/>
                <w:bCs/>
                <w:szCs w:val="21"/>
              </w:rPr>
              <w:t>三</w:t>
            </w:r>
          </w:p>
        </w:tc>
        <w:tc>
          <w:tcPr>
            <w:tcW w:w="6663" w:type="dxa"/>
            <w:gridSpan w:val="2"/>
            <w:vAlign w:val="center"/>
          </w:tcPr>
          <w:p>
            <w:pPr>
              <w:jc w:val="center"/>
              <w:rPr>
                <w:rFonts w:ascii="宋体" w:hAnsi="宋体"/>
                <w:b/>
                <w:bCs/>
                <w:szCs w:val="21"/>
              </w:rPr>
            </w:pPr>
            <w:r>
              <w:rPr>
                <w:rFonts w:hint="eastAsia" w:ascii="宋体" w:hAnsi="宋体"/>
                <w:b/>
                <w:bCs/>
                <w:szCs w:val="21"/>
              </w:rPr>
              <w:t>资格（质）证书</w:t>
            </w:r>
          </w:p>
        </w:tc>
        <w:tc>
          <w:tcPr>
            <w:tcW w:w="1275"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restart"/>
            <w:vAlign w:val="center"/>
          </w:tcPr>
          <w:p>
            <w:pPr>
              <w:jc w:val="center"/>
              <w:rPr>
                <w:rFonts w:ascii="宋体" w:hAnsi="宋体"/>
                <w:bCs/>
                <w:szCs w:val="21"/>
              </w:rPr>
            </w:pPr>
            <w:r>
              <w:rPr>
                <w:rFonts w:ascii="宋体" w:hAnsi="宋体"/>
                <w:bCs/>
                <w:szCs w:val="21"/>
              </w:rPr>
              <w:t>1</w:t>
            </w:r>
          </w:p>
        </w:tc>
        <w:tc>
          <w:tcPr>
            <w:tcW w:w="2835" w:type="dxa"/>
            <w:vAlign w:val="center"/>
          </w:tcPr>
          <w:p>
            <w:pPr>
              <w:jc w:val="center"/>
              <w:rPr>
                <w:rFonts w:ascii="宋体" w:hAnsi="宋体"/>
                <w:bCs/>
                <w:szCs w:val="21"/>
              </w:rPr>
            </w:pPr>
            <w:r>
              <w:rPr>
                <w:rFonts w:hint="eastAsia" w:ascii="宋体" w:hAnsi="宋体" w:cs="宋体"/>
                <w:kern w:val="0"/>
                <w:szCs w:val="21"/>
              </w:rPr>
              <w:t>证书名称</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批准单位</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等级</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有效期</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restart"/>
            <w:vAlign w:val="center"/>
          </w:tcPr>
          <w:p>
            <w:pPr>
              <w:jc w:val="center"/>
              <w:rPr>
                <w:rFonts w:ascii="宋体" w:hAnsi="宋体"/>
                <w:bCs/>
                <w:szCs w:val="21"/>
              </w:rPr>
            </w:pPr>
            <w:r>
              <w:rPr>
                <w:rFonts w:ascii="宋体" w:hAnsi="宋体"/>
                <w:bCs/>
                <w:szCs w:val="21"/>
              </w:rPr>
              <w:t>2</w:t>
            </w:r>
          </w:p>
        </w:tc>
        <w:tc>
          <w:tcPr>
            <w:tcW w:w="2835" w:type="dxa"/>
            <w:vAlign w:val="center"/>
          </w:tcPr>
          <w:p>
            <w:pPr>
              <w:jc w:val="center"/>
              <w:rPr>
                <w:rFonts w:ascii="宋体" w:hAnsi="宋体"/>
                <w:bCs/>
                <w:szCs w:val="21"/>
              </w:rPr>
            </w:pPr>
            <w:r>
              <w:rPr>
                <w:rFonts w:hint="eastAsia" w:ascii="宋体" w:hAnsi="宋体" w:cs="宋体"/>
                <w:kern w:val="0"/>
                <w:szCs w:val="21"/>
              </w:rPr>
              <w:t>证书名称</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批准单位</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等级</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Merge w:val="continue"/>
            <w:vAlign w:val="center"/>
          </w:tcPr>
          <w:p>
            <w:pPr>
              <w:jc w:val="center"/>
              <w:rPr>
                <w:rFonts w:ascii="宋体" w:hAnsi="宋体"/>
                <w:bCs/>
                <w:szCs w:val="21"/>
              </w:rPr>
            </w:pPr>
          </w:p>
        </w:tc>
        <w:tc>
          <w:tcPr>
            <w:tcW w:w="2835" w:type="dxa"/>
            <w:vAlign w:val="center"/>
          </w:tcPr>
          <w:p>
            <w:pPr>
              <w:jc w:val="center"/>
              <w:rPr>
                <w:rFonts w:ascii="宋体" w:hAnsi="宋体" w:cs="宋体"/>
                <w:kern w:val="0"/>
                <w:szCs w:val="21"/>
              </w:rPr>
            </w:pPr>
            <w:r>
              <w:rPr>
                <w:rFonts w:hint="eastAsia" w:ascii="宋体" w:hAnsi="宋体" w:cs="宋体"/>
                <w:kern w:val="0"/>
                <w:szCs w:val="21"/>
              </w:rPr>
              <w:t>有效期</w:t>
            </w: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
                <w:bCs/>
                <w:szCs w:val="21"/>
              </w:rPr>
            </w:pPr>
            <w:r>
              <w:rPr>
                <w:rFonts w:hint="eastAsia" w:ascii="宋体" w:hAnsi="宋体"/>
                <w:b/>
                <w:bCs/>
                <w:szCs w:val="21"/>
              </w:rPr>
              <w:t>四</w:t>
            </w:r>
          </w:p>
        </w:tc>
        <w:tc>
          <w:tcPr>
            <w:tcW w:w="6663" w:type="dxa"/>
            <w:gridSpan w:val="2"/>
            <w:vAlign w:val="center"/>
          </w:tcPr>
          <w:p>
            <w:pPr>
              <w:jc w:val="center"/>
              <w:rPr>
                <w:rFonts w:ascii="宋体" w:hAnsi="宋体"/>
                <w:b/>
                <w:bCs/>
                <w:szCs w:val="21"/>
              </w:rPr>
            </w:pPr>
            <w:r>
              <w:rPr>
                <w:rFonts w:hint="eastAsia" w:ascii="宋体" w:hAnsi="宋体"/>
                <w:b/>
                <w:bCs/>
                <w:szCs w:val="21"/>
              </w:rPr>
              <w:t>其它</w:t>
            </w:r>
          </w:p>
        </w:tc>
        <w:tc>
          <w:tcPr>
            <w:tcW w:w="1275" w:type="dxa"/>
            <w:vAlign w:val="center"/>
          </w:tcPr>
          <w:p>
            <w:pPr>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1" w:type="dxa"/>
            <w:vAlign w:val="center"/>
          </w:tcPr>
          <w:p>
            <w:pPr>
              <w:jc w:val="center"/>
              <w:rPr>
                <w:rFonts w:ascii="宋体" w:hAnsi="宋体"/>
                <w:bCs/>
                <w:szCs w:val="21"/>
              </w:rPr>
            </w:pPr>
            <w:r>
              <w:rPr>
                <w:rFonts w:hint="eastAsia" w:ascii="宋体" w:hAnsi="宋体"/>
                <w:bCs/>
                <w:szCs w:val="21"/>
              </w:rPr>
              <w:t>…</w:t>
            </w:r>
          </w:p>
        </w:tc>
        <w:tc>
          <w:tcPr>
            <w:tcW w:w="2835" w:type="dxa"/>
            <w:vAlign w:val="center"/>
          </w:tcPr>
          <w:p>
            <w:pPr>
              <w:jc w:val="center"/>
              <w:rPr>
                <w:rFonts w:ascii="宋体" w:hAnsi="宋体" w:cs="宋体"/>
                <w:kern w:val="0"/>
                <w:szCs w:val="21"/>
              </w:rPr>
            </w:pPr>
          </w:p>
        </w:tc>
        <w:tc>
          <w:tcPr>
            <w:tcW w:w="3828" w:type="dxa"/>
            <w:vAlign w:val="center"/>
          </w:tcPr>
          <w:p>
            <w:pPr>
              <w:jc w:val="center"/>
              <w:rPr>
                <w:rFonts w:ascii="宋体" w:hAnsi="宋体"/>
                <w:bCs/>
                <w:szCs w:val="21"/>
              </w:rPr>
            </w:pPr>
          </w:p>
        </w:tc>
        <w:tc>
          <w:tcPr>
            <w:tcW w:w="1275" w:type="dxa"/>
            <w:vAlign w:val="center"/>
          </w:tcPr>
          <w:p>
            <w:pPr>
              <w:jc w:val="center"/>
              <w:rPr>
                <w:rFonts w:ascii="宋体" w:hAnsi="宋体"/>
                <w:bCs/>
                <w:szCs w:val="21"/>
              </w:rPr>
            </w:pPr>
          </w:p>
        </w:tc>
      </w:tr>
    </w:tbl>
    <w:p>
      <w:pPr>
        <w:spacing w:line="288" w:lineRule="auto"/>
        <w:rPr>
          <w:rFonts w:ascii="宋体" w:hAnsi="宋体"/>
          <w:bCs/>
          <w:szCs w:val="21"/>
        </w:rPr>
      </w:pPr>
      <w:r>
        <w:rPr>
          <w:rFonts w:hint="eastAsia" w:ascii="宋体" w:hAnsi="宋体"/>
          <w:bCs/>
          <w:szCs w:val="21"/>
        </w:rPr>
        <w:t>（投标人根据自身情况填写，表格可调整）</w:t>
      </w:r>
    </w:p>
    <w:p>
      <w:pPr>
        <w:spacing w:line="288" w:lineRule="auto"/>
        <w:rPr>
          <w:rFonts w:ascii="宋体" w:hAnsi="宋体"/>
          <w:bCs/>
          <w:szCs w:val="21"/>
        </w:rPr>
      </w:pPr>
    </w:p>
    <w:p>
      <w:pPr>
        <w:spacing w:line="360" w:lineRule="auto"/>
        <w:rPr>
          <w:rFonts w:ascii="宋体" w:hAnsi="宋体"/>
          <w:bCs/>
          <w:szCs w:val="21"/>
        </w:rPr>
      </w:pPr>
      <w:r>
        <w:rPr>
          <w:rFonts w:hint="eastAsia" w:ascii="宋体" w:hAnsi="宋体"/>
          <w:bCs/>
          <w:szCs w:val="21"/>
        </w:rPr>
        <w:t>（二）资格证明材料：</w:t>
      </w:r>
    </w:p>
    <w:p>
      <w:pPr>
        <w:spacing w:line="288" w:lineRule="auto"/>
        <w:ind w:firstLine="422" w:firstLineChars="200"/>
        <w:rPr>
          <w:rFonts w:ascii="宋体" w:hAnsi="宋体"/>
          <w:b/>
          <w:szCs w:val="21"/>
        </w:rPr>
      </w:pPr>
    </w:p>
    <w:p>
      <w:pPr>
        <w:spacing w:line="288" w:lineRule="auto"/>
        <w:ind w:firstLine="422" w:firstLineChars="200"/>
        <w:rPr>
          <w:rFonts w:ascii="宋体" w:hAnsi="宋体"/>
          <w:szCs w:val="21"/>
        </w:rPr>
      </w:pPr>
      <w:r>
        <w:rPr>
          <w:rFonts w:hint="eastAsia" w:ascii="宋体" w:hAnsi="宋体"/>
          <w:b/>
          <w:szCs w:val="21"/>
        </w:rPr>
        <w:t>投标人须按招标文件中“投标人的资格要求”提供相关的资质证明，投标文件中未提供或提供不完整、不符合要求的，将按投标无效处理。提交报名资料并购买招标文件的单位，不代表资格审查通过。</w:t>
      </w:r>
    </w:p>
    <w:p>
      <w:pPr>
        <w:ind w:firstLine="210" w:firstLineChars="100"/>
        <w:rPr>
          <w:rFonts w:ascii="宋体" w:hAnsi="宋体"/>
          <w:kern w:val="0"/>
          <w:szCs w:val="21"/>
        </w:rPr>
      </w:pPr>
    </w:p>
    <w:p>
      <w:pPr>
        <w:spacing w:line="360" w:lineRule="auto"/>
        <w:rPr>
          <w:rFonts w:ascii="宋体" w:hAnsi="宋体"/>
          <w:bCs/>
          <w:szCs w:val="21"/>
        </w:rPr>
      </w:pPr>
      <w:r>
        <w:rPr>
          <w:rFonts w:hint="eastAsia" w:ascii="宋体" w:hAnsi="宋体"/>
          <w:bCs/>
          <w:szCs w:val="21"/>
        </w:rPr>
        <w:t>（三）中小企业声明函</w:t>
      </w:r>
    </w:p>
    <w:p>
      <w:pPr>
        <w:widowControl/>
        <w:spacing w:line="360" w:lineRule="auto"/>
        <w:jc w:val="center"/>
        <w:rPr>
          <w:rFonts w:ascii="宋体" w:hAnsi="宋体" w:cs="宋体"/>
          <w:kern w:val="0"/>
          <w:szCs w:val="21"/>
        </w:rPr>
      </w:pPr>
      <w:bookmarkStart w:id="328" w:name="_Hlk73562275"/>
      <w:r>
        <w:rPr>
          <w:rFonts w:hint="eastAsia" w:ascii="宋体" w:hAnsi="宋体" w:cs="宋体"/>
          <w:b/>
          <w:kern w:val="0"/>
          <w:szCs w:val="21"/>
        </w:rPr>
        <w:t>中小企业声明函（货物）</w:t>
      </w:r>
    </w:p>
    <w:p>
      <w:pPr>
        <w:widowControl/>
        <w:spacing w:after="120"/>
        <w:jc w:val="left"/>
        <w:rPr>
          <w:rFonts w:ascii="宋体" w:hAnsi="宋体" w:cs="宋体"/>
          <w:kern w:val="0"/>
          <w:szCs w:val="21"/>
        </w:rPr>
      </w:pPr>
    </w:p>
    <w:p>
      <w:pPr>
        <w:widowControl/>
        <w:spacing w:after="120"/>
        <w:jc w:val="left"/>
        <w:rPr>
          <w:rFonts w:ascii="宋体" w:hAnsi="宋体" w:cs="宋体"/>
          <w:b/>
          <w:bCs/>
          <w:kern w:val="0"/>
          <w:szCs w:val="21"/>
        </w:rPr>
      </w:pPr>
      <w:r>
        <w:rPr>
          <w:rFonts w:hint="eastAsia" w:ascii="宋体" w:hAnsi="宋体" w:cs="宋体"/>
          <w:kern w:val="0"/>
          <w:szCs w:val="21"/>
        </w:rPr>
        <w:t>本公司（联合体）郑重声明，根据《政府采购促进中小企业发展管理办法》（财库﹝2020﹞46 号）的规定，本公司（联合体）参加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采购活动，提供的货物全部由符合政策要求的中小企业制造。相关企业（含联合体中的中小企业、签订分包意向协议的中小企业）的具体情况如下：</w:t>
      </w:r>
    </w:p>
    <w:p>
      <w:pPr>
        <w:widowControl/>
        <w:spacing w:after="120"/>
        <w:jc w:val="left"/>
        <w:rPr>
          <w:rFonts w:ascii="宋体" w:hAnsi="宋体" w:cs="宋体"/>
          <w:b/>
          <w:bCs/>
          <w:kern w:val="0"/>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 xml:space="preserve"> 行业；制造商为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ab/>
      </w:r>
      <w:r>
        <w:rPr>
          <w:rFonts w:hint="eastAsia" w:ascii="宋体" w:hAnsi="宋体" w:cs="宋体"/>
          <w:kern w:val="0"/>
          <w:szCs w:val="21"/>
        </w:rPr>
        <w:t>人，营业收入为</w:t>
      </w:r>
      <w:r>
        <w:rPr>
          <w:rFonts w:hint="eastAsia" w:ascii="宋体" w:hAnsi="宋体" w:cs="宋体"/>
          <w:kern w:val="0"/>
          <w:szCs w:val="21"/>
          <w:u w:val="single"/>
        </w:rPr>
        <w:tab/>
      </w:r>
      <w:r>
        <w:rPr>
          <w:rFonts w:hint="eastAsia" w:ascii="宋体" w:hAnsi="宋体" w:cs="宋体"/>
          <w:kern w:val="0"/>
          <w:szCs w:val="21"/>
        </w:rPr>
        <w:t>万元，资产总额为</w:t>
      </w:r>
      <w:r>
        <w:rPr>
          <w:rFonts w:hint="eastAsia" w:ascii="宋体" w:hAnsi="宋体" w:cs="宋体"/>
          <w:kern w:val="0"/>
          <w:szCs w:val="21"/>
          <w:u w:val="single"/>
        </w:rPr>
        <w:tab/>
      </w:r>
      <w:r>
        <w:rPr>
          <w:rFonts w:hint="eastAsia" w:ascii="宋体" w:hAnsi="宋体" w:cs="宋体"/>
          <w:kern w:val="0"/>
          <w:szCs w:val="21"/>
        </w:rPr>
        <w:t>万元，属于</w:t>
      </w:r>
      <w:r>
        <w:rPr>
          <w:rFonts w:hint="eastAsia" w:ascii="宋体" w:hAnsi="宋体" w:cs="宋体"/>
          <w:kern w:val="0"/>
          <w:szCs w:val="21"/>
          <w:u w:val="single"/>
        </w:rPr>
        <w:t>（中型企业、小 型企业、微型企业）</w:t>
      </w:r>
      <w:r>
        <w:rPr>
          <w:rFonts w:hint="eastAsia" w:ascii="宋体" w:hAnsi="宋体" w:cs="宋体"/>
          <w:kern w:val="0"/>
          <w:szCs w:val="21"/>
        </w:rPr>
        <w:t>；</w:t>
      </w:r>
    </w:p>
    <w:p>
      <w:pPr>
        <w:widowControl/>
        <w:spacing w:line="360" w:lineRule="auto"/>
        <w:jc w:val="left"/>
        <w:rPr>
          <w:rFonts w:ascii="宋体" w:hAnsi="宋体" w:cs="宋体"/>
          <w:b/>
          <w:bCs/>
          <w:kern w:val="0"/>
          <w:szCs w:val="21"/>
        </w:rPr>
      </w:pPr>
      <w:r>
        <w:rPr>
          <w:rFonts w:hint="eastAsia" w:ascii="宋体" w:hAnsi="宋体" w:cs="宋体"/>
          <w:kern w:val="0"/>
          <w:szCs w:val="21"/>
          <w:u w:val="single"/>
        </w:rPr>
        <w:t>2.（标的名称）</w:t>
      </w:r>
      <w:r>
        <w:rPr>
          <w:rFonts w:hint="eastAsia" w:ascii="宋体" w:hAnsi="宋体" w:cs="宋体"/>
          <w:kern w:val="0"/>
          <w:szCs w:val="21"/>
        </w:rPr>
        <w:t>，属于</w:t>
      </w:r>
      <w:r>
        <w:rPr>
          <w:rFonts w:hint="eastAsia" w:ascii="宋体" w:hAnsi="宋体" w:cs="宋体"/>
          <w:kern w:val="0"/>
          <w:szCs w:val="21"/>
          <w:u w:val="single"/>
        </w:rPr>
        <w:t>（采购文件中明确的所属行业）</w:t>
      </w:r>
      <w:r>
        <w:rPr>
          <w:rFonts w:hint="eastAsia" w:ascii="宋体" w:hAnsi="宋体" w:cs="宋体"/>
          <w:kern w:val="0"/>
          <w:szCs w:val="21"/>
        </w:rPr>
        <w:t>行业；制造商为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ab/>
      </w:r>
      <w:r>
        <w:rPr>
          <w:rFonts w:hint="eastAsia" w:ascii="宋体" w:hAnsi="宋体" w:cs="宋体"/>
          <w:kern w:val="0"/>
          <w:szCs w:val="21"/>
        </w:rPr>
        <w:t>人，营业收入 为</w:t>
      </w:r>
      <w:r>
        <w:rPr>
          <w:rFonts w:hint="eastAsia" w:ascii="宋体" w:hAnsi="宋体" w:cs="宋体"/>
          <w:kern w:val="0"/>
          <w:szCs w:val="21"/>
          <w:u w:val="single"/>
        </w:rPr>
        <w:tab/>
      </w:r>
      <w:r>
        <w:rPr>
          <w:rFonts w:hint="eastAsia" w:ascii="宋体" w:hAnsi="宋体" w:cs="宋体"/>
          <w:kern w:val="0"/>
          <w:szCs w:val="21"/>
        </w:rPr>
        <w:t>万元，资产总额为</w:t>
      </w:r>
      <w:r>
        <w:rPr>
          <w:rFonts w:hint="eastAsia" w:ascii="宋体" w:hAnsi="宋体" w:cs="宋体"/>
          <w:kern w:val="0"/>
          <w:szCs w:val="21"/>
          <w:u w:val="single"/>
        </w:rPr>
        <w:tab/>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w:t>
      </w:r>
    </w:p>
    <w:p>
      <w:pPr>
        <w:widowControl/>
        <w:spacing w:after="120"/>
        <w:jc w:val="left"/>
        <w:rPr>
          <w:rFonts w:ascii="宋体" w:hAnsi="宋体" w:cs="宋体"/>
          <w:b/>
          <w:bCs/>
          <w:kern w:val="0"/>
          <w:szCs w:val="21"/>
        </w:rPr>
      </w:pPr>
      <w:r>
        <w:rPr>
          <w:rFonts w:hint="eastAsia" w:ascii="宋体" w:hAnsi="宋体" w:cs="宋体"/>
          <w:kern w:val="0"/>
          <w:szCs w:val="21"/>
        </w:rPr>
        <w:t xml:space="preserve">…… </w:t>
      </w:r>
    </w:p>
    <w:p>
      <w:pPr>
        <w:widowControl/>
        <w:spacing w:after="120"/>
        <w:jc w:val="left"/>
        <w:rPr>
          <w:rFonts w:ascii="宋体" w:hAnsi="宋体" w:cs="宋体"/>
          <w:b/>
          <w:bCs/>
          <w:kern w:val="0"/>
          <w:szCs w:val="21"/>
        </w:rPr>
      </w:pPr>
      <w:r>
        <w:rPr>
          <w:rFonts w:hint="eastAsia" w:ascii="宋体" w:hAnsi="宋体" w:cs="宋体"/>
          <w:kern w:val="0"/>
          <w:szCs w:val="21"/>
        </w:rPr>
        <w:t>以上企业，不属于大企业的分支机构，不存在控股股东为大企业的情形，也不存在与大企业的负责人为同一人的情形。</w:t>
      </w:r>
    </w:p>
    <w:p>
      <w:pPr>
        <w:widowControl/>
        <w:spacing w:after="120"/>
        <w:jc w:val="left"/>
        <w:rPr>
          <w:rFonts w:ascii="宋体" w:hAnsi="宋体" w:cs="宋体"/>
          <w:b/>
          <w:bCs/>
          <w:kern w:val="0"/>
          <w:szCs w:val="21"/>
        </w:rPr>
      </w:pPr>
    </w:p>
    <w:p>
      <w:pPr>
        <w:widowControl/>
        <w:spacing w:after="120"/>
        <w:jc w:val="left"/>
        <w:rPr>
          <w:rFonts w:ascii="宋体" w:hAnsi="宋体" w:cs="宋体"/>
          <w:b/>
          <w:bCs/>
          <w:kern w:val="0"/>
          <w:szCs w:val="21"/>
        </w:rPr>
      </w:pPr>
      <w:r>
        <w:rPr>
          <w:rFonts w:hint="eastAsia" w:ascii="宋体" w:hAnsi="宋体" w:cs="宋体"/>
          <w:kern w:val="0"/>
          <w:szCs w:val="21"/>
        </w:rPr>
        <w:t>本企业对上述声明内容的真实性负责。如有虚假，将依法承担相应责任。</w:t>
      </w:r>
    </w:p>
    <w:p>
      <w:pPr>
        <w:widowControl/>
        <w:spacing w:after="120"/>
        <w:jc w:val="left"/>
        <w:rPr>
          <w:rFonts w:ascii="宋体" w:hAnsi="宋体" w:cs="宋体"/>
          <w:b/>
          <w:bCs/>
          <w:kern w:val="0"/>
          <w:szCs w:val="21"/>
        </w:rPr>
      </w:pPr>
    </w:p>
    <w:p>
      <w:pPr>
        <w:widowControl/>
        <w:spacing w:line="360" w:lineRule="auto"/>
        <w:jc w:val="right"/>
        <w:rPr>
          <w:rFonts w:ascii="宋体" w:hAnsi="宋体" w:cs="宋体"/>
          <w:kern w:val="0"/>
          <w:szCs w:val="21"/>
        </w:rPr>
      </w:pPr>
      <w:r>
        <w:rPr>
          <w:rFonts w:hint="eastAsia" w:ascii="宋体" w:hAnsi="宋体" w:cs="宋体"/>
          <w:kern w:val="0"/>
          <w:szCs w:val="21"/>
        </w:rPr>
        <w:t>企业名称：</w:t>
      </w:r>
    </w:p>
    <w:p>
      <w:pPr>
        <w:widowControl/>
        <w:spacing w:line="360" w:lineRule="auto"/>
        <w:jc w:val="right"/>
        <w:rPr>
          <w:rFonts w:ascii="宋体" w:hAnsi="宋体" w:cs="宋体"/>
          <w:kern w:val="0"/>
          <w:szCs w:val="21"/>
        </w:rPr>
      </w:pPr>
      <w:r>
        <w:rPr>
          <w:rFonts w:hint="eastAsia" w:ascii="宋体" w:hAnsi="宋体" w:cs="宋体"/>
          <w:kern w:val="0"/>
          <w:szCs w:val="21"/>
        </w:rPr>
        <w:t>日 期：</w:t>
      </w:r>
    </w:p>
    <w:p>
      <w:pPr>
        <w:widowControl/>
        <w:spacing w:line="360" w:lineRule="auto"/>
        <w:jc w:val="left"/>
        <w:rPr>
          <w:rFonts w:ascii="宋体" w:hAnsi="宋体" w:cs="宋体"/>
          <w:b/>
          <w:bCs/>
          <w:kern w:val="0"/>
          <w:szCs w:val="21"/>
        </w:rPr>
      </w:pPr>
      <w:r>
        <w:rPr>
          <w:rFonts w:hint="eastAsia" w:ascii="宋体" w:hAnsi="宋体" w:cs="宋体"/>
          <w:kern w:val="0"/>
          <w:szCs w:val="21"/>
        </w:rPr>
        <w:t>注： 从业人员、营业收入、资产总额填报上一年度数据，无上一年度数据的新成立企业可不填报。</w:t>
      </w:r>
    </w:p>
    <w:p>
      <w:pPr>
        <w:widowControl/>
        <w:spacing w:line="360" w:lineRule="auto"/>
        <w:jc w:val="left"/>
        <w:rPr>
          <w:rFonts w:ascii="宋体" w:hAnsi="宋体" w:cs="宋体"/>
          <w:kern w:val="0"/>
          <w:szCs w:val="21"/>
        </w:rPr>
      </w:pPr>
      <w:r>
        <w:rPr>
          <w:rFonts w:hint="eastAsia" w:ascii="宋体" w:hAnsi="宋体" w:cs="宋体"/>
          <w:kern w:val="0"/>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28"/>
    </w:p>
    <w:p>
      <w:pPr>
        <w:widowControl/>
        <w:spacing w:line="360" w:lineRule="auto"/>
        <w:jc w:val="left"/>
        <w:rPr>
          <w:rFonts w:ascii="宋体" w:hAnsi="宋体" w:cs="宋体"/>
          <w:b/>
          <w:bCs/>
          <w:color w:val="FF0000"/>
          <w:kern w:val="0"/>
          <w:szCs w:val="21"/>
        </w:rPr>
      </w:pPr>
      <w:r>
        <w:rPr>
          <w:rFonts w:hint="eastAsia" w:ascii="宋体" w:hAnsi="宋体" w:cs="宋体"/>
          <w:b/>
          <w:bCs/>
          <w:color w:val="FF0000"/>
          <w:kern w:val="0"/>
          <w:szCs w:val="21"/>
        </w:rPr>
        <w:t>填写指引：</w:t>
      </w:r>
    </w:p>
    <w:p>
      <w:pPr>
        <w:widowControl/>
        <w:spacing w:line="360" w:lineRule="auto"/>
        <w:jc w:val="left"/>
        <w:rPr>
          <w:rFonts w:ascii="宋体" w:hAnsi="宋体" w:cs="宋体"/>
          <w:b/>
          <w:bCs/>
          <w:color w:val="FF0000"/>
          <w:kern w:val="0"/>
          <w:szCs w:val="21"/>
        </w:rPr>
      </w:pPr>
      <w:r>
        <w:rPr>
          <w:rFonts w:hint="eastAsia" w:ascii="宋体" w:hAnsi="宋体" w:cs="宋体"/>
          <w:b/>
          <w:bCs/>
          <w:color w:val="FF0000"/>
          <w:kern w:val="0"/>
          <w:szCs w:val="21"/>
        </w:rPr>
        <w:t>1、该部分内容由投标人根据自身实际情况填写，不符合要求的投标人可以不填写或直接删除相应的声明函（关于视同中小企业的其他主体（如民办非企、社会组织团体等）请遵照《财政部《政府采购促进中小企业发展管理办法》（财库〔2020〕46号）》第二十三条 “关于视同中小企业的其他主体的政府采购扶持政策，由财政部会同有关部门另行规定”谨慎填写！）。投标人提供的声明函不属实的，属于提供虚假资料谋取中标，依照《中华人民共和国政府采购法》等国家有关规定追究相应责任，本项目对应所属行业为：制造业。</w:t>
      </w:r>
    </w:p>
    <w:p>
      <w:pPr>
        <w:ind w:right="735"/>
        <w:jc w:val="left"/>
        <w:rPr>
          <w:rFonts w:ascii="宋体" w:hAnsi="Calibri"/>
          <w:bCs/>
          <w:sz w:val="22"/>
          <w:szCs w:val="21"/>
        </w:rPr>
      </w:pPr>
    </w:p>
    <w:p>
      <w:pPr>
        <w:keepNext/>
        <w:keepLines/>
        <w:spacing w:before="260" w:after="260" w:line="360" w:lineRule="auto"/>
        <w:jc w:val="center"/>
        <w:outlineLvl w:val="2"/>
        <w:rPr>
          <w:rFonts w:ascii="宋体" w:hAnsi="Calibri"/>
          <w:b/>
          <w:bCs/>
          <w:szCs w:val="21"/>
        </w:rPr>
      </w:pPr>
      <w:bookmarkStart w:id="329" w:name="_Toc135136254"/>
      <w:r>
        <w:rPr>
          <w:rFonts w:hint="eastAsia" w:ascii="宋体" w:hAnsi="宋体"/>
          <w:b/>
          <w:bCs/>
          <w:szCs w:val="21"/>
        </w:rPr>
        <w:t>八、实质性条款响应情况表</w:t>
      </w:r>
      <w:bookmarkEnd w:id="329"/>
    </w:p>
    <w:p>
      <w:pPr>
        <w:rPr>
          <w:rFonts w:ascii="宋体" w:hAnsi="宋体" w:cs="宋体"/>
          <w:szCs w:val="21"/>
        </w:rPr>
      </w:pPr>
      <w:r>
        <w:rPr>
          <w:rFonts w:hint="eastAsia" w:ascii="宋体" w:hAnsi="宋体" w:cs="宋体"/>
          <w:szCs w:val="21"/>
        </w:rPr>
        <w:t>项目名称：</w:t>
      </w:r>
      <w:r>
        <w:rPr>
          <w:rFonts w:hint="eastAsia" w:ascii="宋体" w:hAnsi="宋体" w:cs="宋体"/>
        </w:rPr>
        <w:t>北京副中心城际CRH6A型动车组四级修（120万公里）项目（C包）</w:t>
      </w:r>
    </w:p>
    <w:tbl>
      <w:tblPr>
        <w:tblStyle w:val="47"/>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4082"/>
        <w:gridCol w:w="2022"/>
        <w:gridCol w:w="130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bookmarkStart w:id="330" w:name="OLE_LINK25"/>
            <w:r>
              <w:rPr>
                <w:rFonts w:hint="eastAsia" w:ascii="宋体" w:hAnsi="宋体"/>
                <w:b/>
                <w:szCs w:val="21"/>
              </w:rPr>
              <w:t>序号</w:t>
            </w:r>
          </w:p>
        </w:tc>
        <w:tc>
          <w:tcPr>
            <w:tcW w:w="408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实质性条款具体内容</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投标响应</w:t>
            </w: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偏离情况</w:t>
            </w: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b/>
                <w:szCs w:val="21"/>
              </w:rPr>
            </w:pPr>
            <w:r>
              <w:rPr>
                <w:rFonts w:hint="eastAsia" w:ascii="宋体" w:hAnsi="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szCs w:val="21"/>
              </w:rPr>
            </w:pPr>
            <w:r>
              <w:rPr>
                <w:rFonts w:hint="eastAsia" w:ascii="宋体" w:hAnsi="宋体"/>
                <w:szCs w:val="21"/>
              </w:rPr>
              <w:t>1</w:t>
            </w:r>
          </w:p>
        </w:tc>
        <w:tc>
          <w:tcPr>
            <w:tcW w:w="40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ascii="宋体" w:hAnsi="宋体"/>
                <w:szCs w:val="21"/>
                <w:shd w:val="clear" w:color="auto" w:fill="FFFFFF"/>
              </w:rPr>
            </w:pPr>
            <w:r>
              <w:rPr>
                <w:rFonts w:hint="eastAsia" w:ascii="Times New Roman" w:hAnsi="宋体" w:eastAsia="宋体" w:cs="宋体"/>
                <w:kern w:val="0"/>
                <w:szCs w:val="21"/>
              </w:rPr>
              <w:t>投标文件载明的交货期不超过招标文件规定的期限</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r>
              <w:rPr>
                <w:rFonts w:hint="eastAsia" w:ascii="宋体" w:hAnsi="宋体"/>
                <w:kern w:val="0"/>
                <w:szCs w:val="21"/>
              </w:rPr>
              <w:t>2</w:t>
            </w:r>
          </w:p>
        </w:tc>
        <w:tc>
          <w:tcPr>
            <w:tcW w:w="40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default" w:hAnsi="宋体"/>
                <w:kern w:val="0"/>
                <w:szCs w:val="21"/>
              </w:rPr>
            </w:pPr>
            <w:r>
              <w:rPr>
                <w:rFonts w:hint="eastAsia" w:ascii="Times New Roman" w:hAnsi="宋体" w:eastAsia="宋体" w:cs="宋体"/>
                <w:kern w:val="0"/>
                <w:szCs w:val="21"/>
              </w:rPr>
              <w:t>投标文件载明的免费保修期不低于招标文件规定的期限</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jc w:val="center"/>
        </w:trPr>
        <w:tc>
          <w:tcPr>
            <w:tcW w:w="679" w:type="dxa"/>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kern w:val="0"/>
                <w:szCs w:val="21"/>
                <w:lang w:val="en-US" w:eastAsia="zh-CN"/>
              </w:rPr>
            </w:pPr>
            <w:r>
              <w:rPr>
                <w:rFonts w:hint="eastAsia" w:ascii="宋体" w:hAnsi="宋体"/>
                <w:kern w:val="0"/>
                <w:szCs w:val="21"/>
                <w:lang w:val="en-US" w:eastAsia="zh-CN"/>
              </w:rPr>
              <w:t>3</w:t>
            </w:r>
          </w:p>
        </w:tc>
        <w:tc>
          <w:tcPr>
            <w:tcW w:w="408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textAlignment w:val="auto"/>
              <w:rPr>
                <w:rFonts w:hint="eastAsia" w:ascii="宋体" w:hAnsi="宋体"/>
                <w:bCs/>
                <w:szCs w:val="21"/>
                <w:highlight w:val="yellow"/>
              </w:rPr>
            </w:pPr>
            <w:r>
              <w:rPr>
                <w:rFonts w:hint="eastAsia" w:hAnsi="宋体" w:cs="宋体"/>
                <w:kern w:val="0"/>
                <w:szCs w:val="21"/>
                <w:lang w:eastAsia="zh-CN"/>
              </w:rPr>
              <w:t>招标文件的</w:t>
            </w:r>
            <w:r>
              <w:rPr>
                <w:rFonts w:hint="eastAsia" w:ascii="Times New Roman" w:hAnsi="宋体" w:eastAsia="宋体" w:cs="宋体"/>
                <w:kern w:val="0"/>
                <w:szCs w:val="21"/>
              </w:rPr>
              <w:t>具体技术要求、商务要求</w:t>
            </w:r>
            <w:r>
              <w:rPr>
                <w:rFonts w:hint="eastAsia" w:hAnsi="宋体" w:cs="宋体"/>
                <w:kern w:val="0"/>
                <w:szCs w:val="21"/>
                <w:lang w:eastAsia="zh-CN"/>
              </w:rPr>
              <w:t>。</w:t>
            </w:r>
          </w:p>
        </w:tc>
        <w:tc>
          <w:tcPr>
            <w:tcW w:w="2022"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1304"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c>
          <w:tcPr>
            <w:tcW w:w="850" w:type="dxa"/>
            <w:vAlign w:val="center"/>
          </w:tcPr>
          <w:p>
            <w:pPr>
              <w:keepNext w:val="0"/>
              <w:keepLines w:val="0"/>
              <w:suppressLineNumbers w:val="0"/>
              <w:adjustRightInd w:val="0"/>
              <w:snapToGrid w:val="0"/>
              <w:spacing w:before="0" w:beforeAutospacing="0" w:after="0" w:afterAutospacing="0"/>
              <w:ind w:left="0" w:right="0"/>
              <w:jc w:val="center"/>
              <w:rPr>
                <w:rFonts w:hint="default" w:ascii="宋体" w:hAnsi="Calibri"/>
                <w:kern w:val="0"/>
                <w:szCs w:val="21"/>
              </w:rPr>
            </w:pPr>
          </w:p>
        </w:tc>
      </w:tr>
      <w:bookmarkEnd w:id="330"/>
    </w:tbl>
    <w:p>
      <w:pPr>
        <w:rPr>
          <w:rFonts w:ascii="宋体" w:hAnsi="Calibri"/>
          <w:szCs w:val="21"/>
        </w:rPr>
      </w:pPr>
      <w:r>
        <w:rPr>
          <w:rFonts w:hint="eastAsia" w:ascii="宋体" w:hAnsi="宋体"/>
          <w:szCs w:val="21"/>
        </w:rPr>
        <w:t>注：</w:t>
      </w:r>
    </w:p>
    <w:p>
      <w:pPr>
        <w:ind w:firstLine="420" w:firstLineChars="200"/>
        <w:rPr>
          <w:rFonts w:ascii="宋体" w:hAnsi="Calibri"/>
          <w:b/>
          <w:szCs w:val="21"/>
        </w:rPr>
      </w:pPr>
      <w:r>
        <w:rPr>
          <w:rFonts w:ascii="宋体" w:hAnsi="宋体"/>
          <w:szCs w:val="21"/>
        </w:rPr>
        <w:t>1.</w:t>
      </w:r>
      <w:r>
        <w:rPr>
          <w:rFonts w:hint="eastAsia" w:ascii="宋体" w:hAnsi="宋体"/>
          <w:b/>
          <w:szCs w:val="21"/>
        </w:rPr>
        <w:t>上表所列各项均为不可负偏离条款，不符合将视为不实质性满足招标文件要求，作投标无效处理。</w:t>
      </w:r>
    </w:p>
    <w:p>
      <w:pPr>
        <w:ind w:firstLine="420" w:firstLineChars="200"/>
        <w:rPr>
          <w:rFonts w:ascii="宋体" w:hAnsi="Calibri"/>
          <w:szCs w:val="21"/>
        </w:rPr>
      </w:pPr>
      <w:r>
        <w:rPr>
          <w:rFonts w:ascii="宋体" w:hAnsi="宋体"/>
          <w:szCs w:val="21"/>
        </w:rPr>
        <w:t>2.</w:t>
      </w:r>
      <w:r>
        <w:rPr>
          <w:rFonts w:hint="eastAsia" w:ascii="宋体" w:hAnsi="宋体"/>
          <w:szCs w:val="21"/>
        </w:rPr>
        <w:t>“投标响应”一栏应当详细填写投标人自身响应情况，而不能不合理照搬照抄招实质性条款具体内容。</w:t>
      </w:r>
    </w:p>
    <w:p>
      <w:pPr>
        <w:ind w:firstLine="420" w:firstLineChars="200"/>
        <w:rPr>
          <w:rFonts w:ascii="宋体" w:hAnsi="Calibri"/>
          <w:szCs w:val="21"/>
        </w:rPr>
      </w:pPr>
      <w:r>
        <w:rPr>
          <w:rFonts w:ascii="宋体" w:hAnsi="宋体"/>
          <w:szCs w:val="21"/>
        </w:rPr>
        <w:t>3</w:t>
      </w:r>
      <w:r>
        <w:rPr>
          <w:rFonts w:ascii="宋体" w:hAnsi="Calibri"/>
          <w:szCs w:val="21"/>
        </w:rPr>
        <w:t>.</w:t>
      </w:r>
      <w:r>
        <w:rPr>
          <w:rFonts w:hint="eastAsia" w:ascii="宋体" w:hAnsi="宋体"/>
          <w:szCs w:val="21"/>
        </w:rPr>
        <w:t>“偏离情况”一栏应填写正偏离、负偏离或无偏离，</w:t>
      </w:r>
    </w:p>
    <w:p>
      <w:pPr>
        <w:ind w:firstLine="420" w:firstLineChars="200"/>
        <w:rPr>
          <w:rFonts w:ascii="宋体" w:hAnsi="Calibri"/>
          <w:szCs w:val="21"/>
        </w:rPr>
      </w:pPr>
      <w:r>
        <w:rPr>
          <w:rFonts w:hint="eastAsia" w:ascii="宋体" w:hAnsi="宋体"/>
          <w:szCs w:val="21"/>
        </w:rPr>
        <w:t>正偏离表示投标响应优于实质性条款具体内容要求，</w:t>
      </w:r>
    </w:p>
    <w:p>
      <w:pPr>
        <w:ind w:firstLine="420" w:firstLineChars="200"/>
        <w:rPr>
          <w:rFonts w:ascii="宋体" w:hAnsi="Calibri"/>
          <w:szCs w:val="21"/>
        </w:rPr>
      </w:pPr>
      <w:r>
        <w:rPr>
          <w:rFonts w:hint="eastAsia" w:ascii="宋体" w:hAnsi="宋体"/>
          <w:szCs w:val="21"/>
        </w:rPr>
        <w:t>负偏离表示投标响应不满足实质性条款具体内容要求，</w:t>
      </w:r>
    </w:p>
    <w:p>
      <w:pPr>
        <w:ind w:firstLine="420" w:firstLineChars="200"/>
        <w:rPr>
          <w:rFonts w:ascii="宋体" w:hAnsi="Calibri"/>
          <w:szCs w:val="21"/>
        </w:rPr>
      </w:pPr>
      <w:r>
        <w:rPr>
          <w:rFonts w:hint="eastAsia" w:ascii="宋体" w:hAnsi="宋体"/>
          <w:szCs w:val="21"/>
        </w:rPr>
        <w:t>无偏离表示投标响应与实质性条款具体内容要求一致。</w:t>
      </w:r>
    </w:p>
    <w:p>
      <w:pPr>
        <w:ind w:firstLine="420" w:firstLineChars="200"/>
        <w:rPr>
          <w:rFonts w:ascii="宋体" w:hAnsi="Calibri"/>
          <w:szCs w:val="21"/>
        </w:rPr>
      </w:pPr>
      <w:r>
        <w:rPr>
          <w:rFonts w:ascii="宋体" w:hAnsi="宋体"/>
          <w:szCs w:val="21"/>
        </w:rPr>
        <w:t>4.</w:t>
      </w:r>
      <w:r>
        <w:rPr>
          <w:rFonts w:hint="eastAsia" w:ascii="宋体" w:hAnsi="宋体"/>
          <w:szCs w:val="21"/>
        </w:rPr>
        <w:t>要求提供证明资料，在“说明”一栏中列明证明资料的位置</w:t>
      </w:r>
      <w:r>
        <w:rPr>
          <w:rFonts w:ascii="宋体" w:hAnsi="Calibri"/>
          <w:szCs w:val="21"/>
        </w:rPr>
        <w:t>,</w:t>
      </w:r>
      <w:r>
        <w:rPr>
          <w:rFonts w:hint="eastAsia" w:ascii="宋体" w:hAnsi="宋体"/>
          <w:szCs w:val="21"/>
        </w:rPr>
        <w:t>以便评审；未要求提供证明材料的，投标人可以不提供。</w:t>
      </w:r>
    </w:p>
    <w:p>
      <w:pPr>
        <w:ind w:firstLine="420" w:firstLineChars="200"/>
        <w:rPr>
          <w:rFonts w:ascii="宋体" w:hAnsi="Calibri"/>
          <w:szCs w:val="21"/>
        </w:rPr>
      </w:pPr>
      <w:r>
        <w:rPr>
          <w:rFonts w:ascii="宋体" w:hAnsi="宋体"/>
          <w:szCs w:val="21"/>
        </w:rPr>
        <w:t>5</w:t>
      </w:r>
      <w:r>
        <w:rPr>
          <w:rFonts w:ascii="宋体" w:hAnsi="Calibri"/>
          <w:szCs w:val="21"/>
        </w:rPr>
        <w:t>.</w:t>
      </w:r>
      <w:r>
        <w:rPr>
          <w:rFonts w:hint="eastAsia" w:ascii="宋体" w:hAnsi="宋体"/>
          <w:szCs w:val="21"/>
        </w:rPr>
        <w:t>评审委员会有权对投标响应情况作出判断（作出评审结论）。</w:t>
      </w:r>
    </w:p>
    <w:p>
      <w:pPr>
        <w:ind w:firstLine="420" w:firstLineChars="200"/>
        <w:rPr>
          <w:rFonts w:ascii="宋体" w:hAnsi="Calibri"/>
          <w:szCs w:val="21"/>
        </w:rPr>
      </w:pPr>
      <w:r>
        <w:rPr>
          <w:rFonts w:ascii="宋体" w:hAnsi="宋体"/>
          <w:szCs w:val="21"/>
        </w:rPr>
        <w:t>6.</w:t>
      </w:r>
      <w:r>
        <w:rPr>
          <w:rFonts w:hint="eastAsia" w:ascii="宋体" w:hAnsi="宋体"/>
          <w:szCs w:val="21"/>
        </w:rPr>
        <w:t>实质性响应条款投标响应情况与投标文件其它内容冲突的，以实质性响应条款投标响应情况为准。</w:t>
      </w:r>
    </w:p>
    <w:p>
      <w:pPr>
        <w:spacing w:line="360" w:lineRule="auto"/>
        <w:rPr>
          <w:rFonts w:ascii="宋体" w:hAnsi="Calibri"/>
          <w:b/>
          <w:szCs w:val="21"/>
        </w:rPr>
      </w:pPr>
    </w:p>
    <w:p>
      <w:pPr>
        <w:wordWrap w:val="0"/>
        <w:spacing w:line="360" w:lineRule="auto"/>
        <w:jc w:val="right"/>
        <w:rPr>
          <w:rFonts w:ascii="宋体" w:hAnsi="宋体"/>
          <w:szCs w:val="21"/>
        </w:rPr>
      </w:pPr>
      <w:r>
        <w:rPr>
          <w:rFonts w:hint="eastAsia" w:ascii="宋体" w:hAnsi="宋体"/>
          <w:szCs w:val="21"/>
        </w:rPr>
        <w:t xml:space="preserve">投标单位（公章）：      </w:t>
      </w:r>
    </w:p>
    <w:p>
      <w:pPr>
        <w:wordWrap w:val="0"/>
        <w:spacing w:line="360" w:lineRule="auto"/>
        <w:jc w:val="right"/>
        <w:rPr>
          <w:rFonts w:ascii="宋体" w:hAnsi="宋体"/>
          <w:szCs w:val="21"/>
        </w:rPr>
      </w:pPr>
      <w:r>
        <w:rPr>
          <w:rFonts w:hint="eastAsia" w:ascii="宋体" w:hAnsi="宋体"/>
          <w:szCs w:val="21"/>
        </w:rPr>
        <w:t xml:space="preserve">日期：     </w:t>
      </w:r>
    </w:p>
    <w:p>
      <w:pPr>
        <w:jc w:val="left"/>
        <w:rPr>
          <w:rFonts w:ascii="宋体"/>
          <w:szCs w:val="21"/>
        </w:rPr>
      </w:pPr>
    </w:p>
    <w:p>
      <w:pPr>
        <w:keepNext/>
        <w:keepLines/>
        <w:spacing w:before="260" w:after="260" w:line="360" w:lineRule="auto"/>
        <w:jc w:val="center"/>
        <w:outlineLvl w:val="2"/>
        <w:rPr>
          <w:rFonts w:ascii="宋体" w:hAnsi="宋体"/>
          <w:b/>
          <w:bCs/>
          <w:sz w:val="22"/>
          <w:szCs w:val="21"/>
        </w:rPr>
      </w:pPr>
      <w:bookmarkStart w:id="331" w:name="_Toc135136255"/>
      <w:r>
        <w:rPr>
          <w:rFonts w:ascii="宋体" w:hAnsi="宋体"/>
          <w:b/>
          <w:bCs/>
          <w:sz w:val="22"/>
        </w:rPr>
        <w:br w:type="page"/>
      </w:r>
      <w:r>
        <w:rPr>
          <w:rFonts w:hint="eastAsia" w:ascii="宋体" w:hAnsi="宋体"/>
          <w:b/>
          <w:bCs/>
          <w:sz w:val="22"/>
          <w:szCs w:val="21"/>
        </w:rPr>
        <w:t>九、</w:t>
      </w:r>
      <w:bookmarkEnd w:id="331"/>
      <w:r>
        <w:rPr>
          <w:rFonts w:hint="eastAsia" w:ascii="宋体" w:hAnsi="宋体"/>
          <w:b/>
          <w:bCs/>
          <w:sz w:val="22"/>
          <w:szCs w:val="21"/>
        </w:rPr>
        <w:t>《技术条款偏离表》</w:t>
      </w:r>
    </w:p>
    <w:tbl>
      <w:tblPr>
        <w:tblStyle w:val="4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6180"/>
        <w:gridCol w:w="154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Align w:val="center"/>
          </w:tcPr>
          <w:p>
            <w:pPr>
              <w:keepNext w:val="0"/>
              <w:keepLines w:val="0"/>
              <w:suppressLineNumbers w:val="0"/>
              <w:spacing w:before="0" w:beforeAutospacing="0" w:after="0" w:afterLines="25" w:afterAutospacing="0" w:line="300" w:lineRule="auto"/>
              <w:ind w:left="0" w:leftChars="0" w:right="0" w:rightChars="0"/>
              <w:jc w:val="center"/>
              <w:rPr>
                <w:rFonts w:ascii="宋体" w:hAnsi="宋体"/>
                <w:b/>
                <w:bCs/>
                <w:szCs w:val="21"/>
                <w:vertAlign w:val="baseline"/>
              </w:rPr>
            </w:pPr>
            <w:bookmarkStart w:id="332" w:name="OLE_LINK38"/>
            <w:bookmarkStart w:id="333" w:name="OLE_LINK42"/>
            <w:r>
              <w:rPr>
                <w:rFonts w:hint="eastAsia" w:ascii="宋体" w:hAnsi="宋体" w:cs="宋体"/>
                <w:b/>
                <w:bCs/>
                <w:color w:val="000000"/>
                <w:szCs w:val="21"/>
              </w:rPr>
              <w:t>序号</w:t>
            </w:r>
          </w:p>
        </w:tc>
        <w:tc>
          <w:tcPr>
            <w:tcW w:w="6180" w:type="dxa"/>
            <w:vAlign w:val="center"/>
          </w:tcPr>
          <w:p>
            <w:pPr>
              <w:keepNext w:val="0"/>
              <w:keepLines w:val="0"/>
              <w:suppressLineNumbers w:val="0"/>
              <w:spacing w:before="0" w:beforeAutospacing="0" w:after="0" w:afterLines="25" w:afterAutospacing="0" w:line="300" w:lineRule="auto"/>
              <w:ind w:left="0" w:leftChars="0" w:right="0" w:rightChars="0"/>
              <w:jc w:val="center"/>
              <w:rPr>
                <w:rFonts w:ascii="宋体" w:hAnsi="宋体"/>
                <w:b/>
                <w:bCs/>
                <w:szCs w:val="21"/>
                <w:vertAlign w:val="baseline"/>
              </w:rPr>
            </w:pPr>
            <w:r>
              <w:rPr>
                <w:rFonts w:hint="eastAsia" w:ascii="宋体" w:hAnsi="宋体" w:cs="宋体"/>
                <w:b/>
                <w:bCs/>
                <w:color w:val="000000"/>
                <w:szCs w:val="21"/>
              </w:rPr>
              <w:t>技术规格要求</w:t>
            </w:r>
          </w:p>
        </w:tc>
        <w:tc>
          <w:tcPr>
            <w:tcW w:w="1548" w:type="dxa"/>
            <w:vAlign w:val="center"/>
          </w:tcPr>
          <w:p>
            <w:pPr>
              <w:keepNext w:val="0"/>
              <w:keepLines w:val="0"/>
              <w:suppressLineNumbers w:val="0"/>
              <w:spacing w:before="0" w:beforeAutospacing="0" w:after="0" w:afterLines="25" w:afterAutospacing="0" w:line="300" w:lineRule="auto"/>
              <w:ind w:left="0" w:leftChars="0" w:right="0" w:rightChars="0"/>
              <w:jc w:val="center"/>
              <w:rPr>
                <w:rFonts w:ascii="宋体" w:hAnsi="宋体"/>
                <w:b/>
                <w:bCs/>
                <w:szCs w:val="21"/>
                <w:vertAlign w:val="baseline"/>
              </w:rPr>
            </w:pPr>
            <w:r>
              <w:rPr>
                <w:rFonts w:hint="eastAsia" w:ascii="宋体" w:hAnsi="宋体" w:cs="宋体"/>
                <w:b/>
                <w:bCs/>
                <w:color w:val="000000"/>
                <w:szCs w:val="21"/>
                <w:lang w:eastAsia="zh-CN"/>
              </w:rPr>
              <w:t>投标响应</w:t>
            </w:r>
          </w:p>
        </w:tc>
        <w:tc>
          <w:tcPr>
            <w:tcW w:w="1077" w:type="dxa"/>
            <w:vAlign w:val="center"/>
          </w:tcPr>
          <w:p>
            <w:pPr>
              <w:keepNext w:val="0"/>
              <w:keepLines w:val="0"/>
              <w:suppressLineNumbers w:val="0"/>
              <w:spacing w:before="0" w:beforeAutospacing="0" w:after="0" w:afterLines="25" w:afterAutospacing="0" w:line="300" w:lineRule="auto"/>
              <w:ind w:left="0" w:leftChars="0" w:right="0" w:rightChars="0"/>
              <w:jc w:val="center"/>
              <w:rPr>
                <w:rFonts w:ascii="宋体" w:hAnsi="宋体"/>
                <w:b/>
                <w:bCs/>
                <w:szCs w:val="21"/>
                <w:vertAlign w:val="baseline"/>
              </w:rPr>
            </w:pPr>
            <w:r>
              <w:rPr>
                <w:rFonts w:hint="eastAsia" w:ascii="宋体" w:hAnsi="宋体" w:cs="宋体"/>
                <w:b/>
                <w:bCs/>
                <w:color w:val="000000"/>
                <w:szCs w:val="21"/>
                <w:lang w:eastAsia="zh-CN"/>
              </w:rPr>
              <w:t>偏离情况</w:t>
            </w:r>
          </w:p>
        </w:tc>
      </w:tr>
      <w:bookmarkEnd w:id="3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spacing w:afterLines="25" w:line="300" w:lineRule="auto"/>
              <w:jc w:val="center"/>
              <w:rPr>
                <w:rFonts w:hint="eastAsia" w:ascii="宋体" w:hAnsi="宋体" w:eastAsia="宋体"/>
                <w:b/>
                <w:bCs/>
                <w:szCs w:val="21"/>
                <w:vertAlign w:val="baseline"/>
                <w:lang w:val="en-US" w:eastAsia="zh-CN"/>
              </w:rPr>
            </w:pPr>
            <w:r>
              <w:rPr>
                <w:rFonts w:hint="eastAsia" w:ascii="宋体" w:hAnsi="宋体"/>
                <w:b/>
                <w:bCs/>
                <w:szCs w:val="21"/>
                <w:vertAlign w:val="baseline"/>
                <w:lang w:val="en-US" w:eastAsia="zh-CN"/>
              </w:rPr>
              <w:t>1</w:t>
            </w:r>
          </w:p>
        </w:tc>
        <w:tc>
          <w:tcPr>
            <w:tcW w:w="6180" w:type="dxa"/>
            <w:vAlign w:val="center"/>
          </w:tcPr>
          <w:p>
            <w:pPr>
              <w:tabs>
                <w:tab w:val="left" w:pos="0"/>
              </w:tabs>
              <w:snapToGrid w:val="0"/>
              <w:spacing w:afterLines="25" w:line="360" w:lineRule="auto"/>
              <w:rPr>
                <w:rFonts w:hint="eastAsia" w:ascii="宋体" w:hAnsi="宋体"/>
                <w:b/>
                <w:bCs/>
                <w:szCs w:val="21"/>
                <w:lang w:val="en-US" w:eastAsia="zh-CN"/>
              </w:rPr>
            </w:pPr>
            <w:r>
              <w:rPr>
                <w:rFonts w:hint="eastAsia" w:ascii="宋体" w:hAnsi="宋体"/>
                <w:b/>
                <w:bCs/>
                <w:szCs w:val="21"/>
              </w:rPr>
              <w:t>（一）DMS车载设备</w:t>
            </w:r>
            <w:r>
              <w:rPr>
                <w:rFonts w:hint="eastAsia" w:ascii="宋体" w:hAnsi="宋体"/>
                <w:b/>
                <w:bCs/>
                <w:szCs w:val="21"/>
                <w:lang w:val="en-US" w:eastAsia="zh-CN"/>
              </w:rPr>
              <w:t>四级修</w:t>
            </w:r>
          </w:p>
          <w:p>
            <w:pPr>
              <w:tabs>
                <w:tab w:val="left" w:pos="0"/>
              </w:tabs>
              <w:snapToGrid w:val="0"/>
              <w:spacing w:afterLines="25" w:line="360" w:lineRule="auto"/>
              <w:rPr>
                <w:rFonts w:ascii="宋体" w:hAnsi="宋体"/>
                <w:szCs w:val="21"/>
              </w:rPr>
            </w:pPr>
            <w:r>
              <w:rPr>
                <w:rFonts w:hint="eastAsia" w:ascii="宋体" w:hAnsi="宋体"/>
                <w:szCs w:val="21"/>
              </w:rPr>
              <w:t>1.承修工作量。</w:t>
            </w:r>
          </w:p>
          <w:p>
            <w:pPr>
              <w:tabs>
                <w:tab w:val="left" w:pos="0"/>
              </w:tabs>
              <w:snapToGrid w:val="0"/>
              <w:spacing w:afterLines="25" w:line="360" w:lineRule="auto"/>
              <w:rPr>
                <w:rFonts w:ascii="宋体" w:hAnsi="宋体"/>
                <w:szCs w:val="21"/>
              </w:rPr>
            </w:pPr>
            <w:r>
              <w:rPr>
                <w:rFonts w:hint="eastAsia" w:ascii="宋体" w:hAnsi="宋体"/>
                <w:szCs w:val="21"/>
              </w:rPr>
              <w:t>详见附件：2024年度北京局集团国铁及合资公司动车组电务车载设备高级修工作量统计。</w:t>
            </w:r>
          </w:p>
          <w:p>
            <w:pPr>
              <w:tabs>
                <w:tab w:val="left" w:pos="0"/>
              </w:tabs>
              <w:snapToGrid w:val="0"/>
              <w:spacing w:afterLines="25" w:line="360" w:lineRule="auto"/>
              <w:rPr>
                <w:rFonts w:ascii="宋体" w:hAnsi="宋体"/>
                <w:szCs w:val="21"/>
              </w:rPr>
            </w:pPr>
            <w:r>
              <w:rPr>
                <w:rFonts w:hint="eastAsia" w:ascii="宋体" w:hAnsi="宋体"/>
                <w:szCs w:val="21"/>
              </w:rPr>
              <w:t>2．承修工作内容。</w:t>
            </w:r>
          </w:p>
          <w:p>
            <w:pPr>
              <w:tabs>
                <w:tab w:val="left" w:pos="0"/>
              </w:tabs>
              <w:snapToGrid w:val="0"/>
              <w:spacing w:afterLines="25" w:line="360" w:lineRule="auto"/>
              <w:rPr>
                <w:rFonts w:ascii="宋体" w:hAnsi="宋体"/>
                <w:szCs w:val="21"/>
              </w:rPr>
            </w:pPr>
            <w:r>
              <w:rPr>
                <w:rFonts w:hint="eastAsia" w:ascii="宋体" w:hAnsi="宋体"/>
                <w:szCs w:val="21"/>
              </w:rPr>
              <w:t>（1）中标人按《CTCS-2/3级列控车载设备维护管理办法》（铁总运[2015]57号）、《中国铁路北京局集团有限公司CTCS－2／3级列控车载设备维护管理实施细则》（京铁电[2022]49号）、《高速铁路信号维护规则》（铁总运[2015]322 号）、规定实施检修。</w:t>
            </w:r>
          </w:p>
          <w:p>
            <w:pPr>
              <w:tabs>
                <w:tab w:val="left" w:pos="0"/>
              </w:tabs>
              <w:snapToGrid w:val="0"/>
              <w:spacing w:afterLines="25" w:line="360" w:lineRule="auto"/>
              <w:rPr>
                <w:rFonts w:ascii="宋体" w:hAnsi="宋体"/>
                <w:szCs w:val="21"/>
              </w:rPr>
            </w:pPr>
            <w:r>
              <w:rPr>
                <w:rFonts w:hint="eastAsia" w:ascii="宋体" w:hAnsi="宋体"/>
                <w:szCs w:val="21"/>
              </w:rPr>
              <w:t>（2）最终检修车组数量、检修项目以双方签订的交接验收资料为准核计。当因核计的检修工作量（含检修车组列数、检修项目）与本合同不一致，造成采购人实际应支付给中标人的费用与本合同不符时，按实际检修费用实施清算。</w:t>
            </w:r>
          </w:p>
          <w:p>
            <w:pPr>
              <w:tabs>
                <w:tab w:val="left" w:pos="0"/>
              </w:tabs>
              <w:snapToGrid w:val="0"/>
              <w:spacing w:afterLines="25" w:line="360" w:lineRule="auto"/>
              <w:rPr>
                <w:rFonts w:ascii="宋体" w:hAnsi="宋体"/>
                <w:szCs w:val="21"/>
              </w:rPr>
            </w:pPr>
            <w:r>
              <w:rPr>
                <w:rFonts w:hint="eastAsia" w:ascii="宋体" w:hAnsi="宋体"/>
                <w:szCs w:val="21"/>
              </w:rPr>
              <w:t>（3）中标人在采购人配合下，承担高级修竣后线上动态调试工作。</w:t>
            </w:r>
          </w:p>
          <w:p>
            <w:pPr>
              <w:tabs>
                <w:tab w:val="left" w:pos="0"/>
              </w:tabs>
              <w:snapToGrid w:val="0"/>
              <w:spacing w:afterLines="25" w:line="360" w:lineRule="auto"/>
              <w:rPr>
                <w:rFonts w:ascii="宋体" w:hAnsi="宋体"/>
                <w:szCs w:val="21"/>
              </w:rPr>
            </w:pPr>
            <w:r>
              <w:rPr>
                <w:rFonts w:hint="eastAsia" w:ascii="宋体" w:hAnsi="宋体"/>
                <w:szCs w:val="21"/>
              </w:rPr>
              <w:t>（4）检修过程中发现合同约定检修范围外的设备问题时，经甲乙双方协商、确认后，由中标人提供新部件实施更换处理。</w:t>
            </w:r>
          </w:p>
          <w:p>
            <w:pPr>
              <w:tabs>
                <w:tab w:val="left" w:pos="0"/>
              </w:tabs>
              <w:snapToGrid w:val="0"/>
              <w:spacing w:afterLines="25" w:line="360" w:lineRule="auto"/>
              <w:rPr>
                <w:rFonts w:ascii="宋体" w:hAnsi="宋体"/>
                <w:szCs w:val="21"/>
              </w:rPr>
            </w:pPr>
            <w:r>
              <w:rPr>
                <w:rFonts w:hint="eastAsia" w:ascii="宋体" w:hAnsi="宋体"/>
                <w:szCs w:val="21"/>
              </w:rPr>
              <w:t>，费用由采购人列支本单位设备维修成本，随发现问题的车组的高级检修费用一并清算给中标人。</w:t>
            </w:r>
          </w:p>
          <w:p>
            <w:pPr>
              <w:tabs>
                <w:tab w:val="left" w:pos="0"/>
              </w:tabs>
              <w:snapToGrid w:val="0"/>
              <w:spacing w:afterLines="25" w:line="360" w:lineRule="auto"/>
              <w:rPr>
                <w:rFonts w:ascii="宋体" w:hAnsi="宋体"/>
                <w:szCs w:val="21"/>
              </w:rPr>
            </w:pPr>
            <w:r>
              <w:rPr>
                <w:rFonts w:hint="eastAsia" w:ascii="宋体" w:hAnsi="宋体"/>
                <w:szCs w:val="21"/>
              </w:rPr>
              <w:t>1.2 质量标准</w:t>
            </w:r>
          </w:p>
          <w:p>
            <w:pPr>
              <w:tabs>
                <w:tab w:val="left" w:pos="0"/>
              </w:tabs>
              <w:snapToGrid w:val="0"/>
              <w:spacing w:afterLines="25" w:line="360" w:lineRule="auto"/>
              <w:rPr>
                <w:rFonts w:ascii="宋体" w:hAnsi="宋体"/>
                <w:szCs w:val="21"/>
              </w:rPr>
            </w:pPr>
            <w:r>
              <w:rPr>
                <w:rFonts w:hint="eastAsia" w:ascii="宋体" w:hAnsi="宋体"/>
                <w:szCs w:val="21"/>
              </w:rPr>
              <w:t>中标人提供的产品和服务按照《CTCS-2/3 级列控车载设备维护管理办法》（铁总运[2015]57号）、《中国铁路北京局集团有限公司CTCS－2／3级列控车载设备维护管理实施细则》（京铁电[2022]49号）、《高速铁路信号维护规则》（铁总运[2015]322 号）、执行，确保满足采购人使用要求。中标人在工作期间，应当接受采购人必要的监督检查。</w:t>
            </w:r>
          </w:p>
          <w:p>
            <w:pPr>
              <w:tabs>
                <w:tab w:val="left" w:pos="0"/>
              </w:tabs>
              <w:snapToGrid w:val="0"/>
              <w:spacing w:afterLines="25" w:line="360" w:lineRule="auto"/>
              <w:rPr>
                <w:rFonts w:ascii="宋体" w:hAnsi="宋体"/>
                <w:szCs w:val="21"/>
              </w:rPr>
            </w:pPr>
            <w:r>
              <w:rPr>
                <w:rFonts w:hint="eastAsia" w:ascii="宋体" w:hAnsi="宋体"/>
                <w:szCs w:val="21"/>
              </w:rPr>
              <w:t>1.3 中标人对质量负责的条件及期限</w:t>
            </w:r>
          </w:p>
          <w:p>
            <w:pPr>
              <w:tabs>
                <w:tab w:val="left" w:pos="0"/>
              </w:tabs>
              <w:snapToGrid w:val="0"/>
              <w:spacing w:afterLines="25" w:line="360" w:lineRule="auto"/>
              <w:rPr>
                <w:rFonts w:ascii="宋体" w:hAnsi="宋体"/>
                <w:szCs w:val="21"/>
              </w:rPr>
            </w:pPr>
            <w:r>
              <w:rPr>
                <w:rFonts w:hint="eastAsia" w:ascii="宋体" w:hAnsi="宋体"/>
                <w:szCs w:val="21"/>
              </w:rPr>
              <w:t>1．修理更换部件的免费保修期（以下简称质保期）为12个月，质保期以整车验收合格（完成动调）双方交验签字日开始计算，期间因维修出现质量问题，中标人应无偿给予返工修理。</w:t>
            </w:r>
          </w:p>
          <w:p>
            <w:pPr>
              <w:tabs>
                <w:tab w:val="left" w:pos="0"/>
              </w:tabs>
              <w:snapToGrid w:val="0"/>
              <w:spacing w:afterLines="25" w:line="360" w:lineRule="auto"/>
              <w:rPr>
                <w:rFonts w:ascii="宋体" w:hAnsi="宋体"/>
                <w:szCs w:val="21"/>
              </w:rPr>
            </w:pPr>
            <w:r>
              <w:rPr>
                <w:rFonts w:hint="eastAsia" w:ascii="宋体" w:hAnsi="宋体"/>
                <w:szCs w:val="21"/>
              </w:rPr>
              <w:t>2．整车高级检修质量保证期为6个月，以整车验收合格（完成动调）双方交验签字日开始计算，期间因维修出现质量问题，中标人应无偿给予返工修理。</w:t>
            </w:r>
          </w:p>
          <w:p>
            <w:pPr>
              <w:tabs>
                <w:tab w:val="left" w:pos="0"/>
              </w:tabs>
              <w:snapToGrid w:val="0"/>
              <w:spacing w:afterLines="25" w:line="360" w:lineRule="auto"/>
              <w:rPr>
                <w:rFonts w:ascii="宋体" w:hAnsi="宋体"/>
                <w:szCs w:val="21"/>
              </w:rPr>
            </w:pPr>
            <w:r>
              <w:rPr>
                <w:rFonts w:hint="eastAsia" w:ascii="宋体" w:hAnsi="宋体"/>
                <w:szCs w:val="21"/>
              </w:rPr>
              <w:t>3．质保期内，中标人负责对产品进行跟踪服务，承担免费保修责任。在质保期内因采购人自身原因导致设备毁损的问题中标人不承担免费维修义务。</w:t>
            </w:r>
          </w:p>
          <w:p>
            <w:pPr>
              <w:tabs>
                <w:tab w:val="left" w:pos="0"/>
              </w:tabs>
              <w:snapToGrid w:val="0"/>
              <w:spacing w:afterLines="25" w:line="360" w:lineRule="auto"/>
              <w:rPr>
                <w:rFonts w:ascii="宋体" w:hAnsi="宋体"/>
                <w:szCs w:val="21"/>
              </w:rPr>
            </w:pPr>
            <w:r>
              <w:rPr>
                <w:rFonts w:hint="eastAsia" w:ascii="宋体" w:hAnsi="宋体"/>
                <w:szCs w:val="21"/>
              </w:rPr>
              <w:t>4．中标人应保证所更换的设备是全新的、未经使用的、没有设计和材料及工艺上的缺陷，符合设备技术规范。</w:t>
            </w:r>
          </w:p>
          <w:p>
            <w:pPr>
              <w:tabs>
                <w:tab w:val="left" w:pos="0"/>
              </w:tabs>
              <w:snapToGrid w:val="0"/>
              <w:spacing w:afterLines="25" w:line="360" w:lineRule="auto"/>
              <w:rPr>
                <w:rFonts w:ascii="宋体" w:hAnsi="宋体"/>
                <w:szCs w:val="21"/>
              </w:rPr>
            </w:pPr>
            <w:r>
              <w:rPr>
                <w:rFonts w:hint="eastAsia" w:ascii="宋体" w:hAnsi="宋体"/>
                <w:szCs w:val="21"/>
              </w:rPr>
              <w:t>5．所更换的设备在质保期内发生产品质量缺陷，中标人需在10个工作日内免费修复或更换。</w:t>
            </w:r>
          </w:p>
          <w:p>
            <w:pPr>
              <w:tabs>
                <w:tab w:val="left" w:pos="0"/>
              </w:tabs>
              <w:snapToGrid w:val="0"/>
              <w:spacing w:afterLines="25" w:line="360" w:lineRule="auto"/>
              <w:rPr>
                <w:rFonts w:ascii="宋体" w:hAnsi="宋体"/>
                <w:szCs w:val="21"/>
              </w:rPr>
            </w:pPr>
            <w:r>
              <w:rPr>
                <w:rFonts w:hint="eastAsia" w:ascii="宋体" w:hAnsi="宋体"/>
                <w:szCs w:val="21"/>
              </w:rPr>
              <w:t>1.4 包装标准、包装物的供应与回收</w:t>
            </w:r>
          </w:p>
          <w:p>
            <w:pPr>
              <w:tabs>
                <w:tab w:val="left" w:pos="0"/>
              </w:tabs>
              <w:snapToGrid w:val="0"/>
              <w:spacing w:afterLines="25" w:line="360" w:lineRule="auto"/>
              <w:rPr>
                <w:rFonts w:ascii="宋体" w:hAnsi="宋体"/>
                <w:szCs w:val="21"/>
              </w:rPr>
            </w:pPr>
            <w:r>
              <w:rPr>
                <w:rFonts w:hint="eastAsia" w:ascii="宋体" w:hAnsi="宋体"/>
                <w:szCs w:val="21"/>
              </w:rPr>
              <w:t>中标人应选择合适的包装，保证合同设备能够经受起多次搬运、装卸以及航空或汽车等长途运输，包装费用由中标人承担，包装物不回收。</w:t>
            </w:r>
          </w:p>
          <w:p>
            <w:pPr>
              <w:tabs>
                <w:tab w:val="left" w:pos="0"/>
              </w:tabs>
              <w:snapToGrid w:val="0"/>
              <w:spacing w:afterLines="25" w:line="360" w:lineRule="auto"/>
              <w:rPr>
                <w:rFonts w:ascii="宋体" w:hAnsi="宋体"/>
                <w:szCs w:val="21"/>
              </w:rPr>
            </w:pPr>
            <w:r>
              <w:rPr>
                <w:rFonts w:hint="eastAsia" w:ascii="宋体" w:hAnsi="宋体"/>
                <w:szCs w:val="21"/>
              </w:rPr>
              <w:t>1.5 更换标准、所有权归属</w:t>
            </w:r>
          </w:p>
          <w:p>
            <w:pPr>
              <w:tabs>
                <w:tab w:val="left" w:pos="0"/>
              </w:tabs>
              <w:snapToGrid w:val="0"/>
              <w:spacing w:afterLines="25" w:line="360" w:lineRule="auto"/>
              <w:rPr>
                <w:rFonts w:ascii="宋体" w:hAnsi="宋体"/>
                <w:szCs w:val="21"/>
              </w:rPr>
            </w:pPr>
            <w:r>
              <w:rPr>
                <w:rFonts w:hint="eastAsia" w:ascii="宋体" w:hAnsi="宋体"/>
                <w:szCs w:val="21"/>
              </w:rPr>
              <w:t>部件的修理更换工作，由中标人按照前述质量标准实施。经修理更换上车的部件的所有权，自双方交验签字日起转移至采购人。被更换下的部件其所有权仍归采购人，由中标人现场人员交还采购人，采购人负责回收处理。</w:t>
            </w:r>
          </w:p>
          <w:p>
            <w:pPr>
              <w:tabs>
                <w:tab w:val="left" w:pos="0"/>
              </w:tabs>
              <w:snapToGrid w:val="0"/>
              <w:spacing w:afterLines="25" w:line="360" w:lineRule="auto"/>
              <w:rPr>
                <w:rFonts w:ascii="宋体" w:hAnsi="宋体"/>
                <w:szCs w:val="21"/>
              </w:rPr>
            </w:pPr>
            <w:r>
              <w:rPr>
                <w:rFonts w:hint="eastAsia" w:ascii="宋体" w:hAnsi="宋体"/>
                <w:szCs w:val="21"/>
              </w:rPr>
              <w:t>1.6 检修时间、地点</w:t>
            </w:r>
          </w:p>
          <w:p>
            <w:pPr>
              <w:tabs>
                <w:tab w:val="left" w:pos="0"/>
              </w:tabs>
              <w:snapToGrid w:val="0"/>
              <w:spacing w:afterLines="25" w:line="360" w:lineRule="auto"/>
              <w:rPr>
                <w:rFonts w:ascii="宋体" w:hAnsi="宋体"/>
                <w:szCs w:val="21"/>
              </w:rPr>
            </w:pPr>
            <w:r>
              <w:rPr>
                <w:rFonts w:hint="eastAsia" w:ascii="宋体" w:hAnsi="宋体"/>
                <w:szCs w:val="21"/>
              </w:rPr>
              <w:t>采购人向中标人提供车辆年度检修计划，并在每列车实际检修工作前十五个工作日，以书面的形式通知中标人进行检修作业，通知内容包括作业的时间、地点。中标人按照采购人车辆的检修进度，提前五天准备好所需物料并运抵现场。</w:t>
            </w:r>
          </w:p>
          <w:p>
            <w:pPr>
              <w:tabs>
                <w:tab w:val="left" w:pos="0"/>
              </w:tabs>
              <w:snapToGrid w:val="0"/>
              <w:spacing w:afterLines="25" w:line="360" w:lineRule="auto"/>
              <w:rPr>
                <w:rFonts w:ascii="宋体" w:hAnsi="宋体"/>
                <w:szCs w:val="21"/>
              </w:rPr>
            </w:pPr>
            <w:r>
              <w:rPr>
                <w:rFonts w:hint="eastAsia" w:ascii="宋体" w:hAnsi="宋体"/>
                <w:szCs w:val="21"/>
              </w:rPr>
              <w:t>1.7 运输费用负担</w:t>
            </w:r>
          </w:p>
          <w:p>
            <w:pPr>
              <w:tabs>
                <w:tab w:val="left" w:pos="0"/>
              </w:tabs>
              <w:snapToGrid w:val="0"/>
              <w:spacing w:afterLines="25" w:line="360" w:lineRule="auto"/>
              <w:rPr>
                <w:rFonts w:ascii="宋体" w:hAnsi="宋体"/>
                <w:szCs w:val="21"/>
              </w:rPr>
            </w:pPr>
            <w:r>
              <w:rPr>
                <w:rFonts w:hint="eastAsia" w:ascii="宋体" w:hAnsi="宋体"/>
                <w:szCs w:val="21"/>
              </w:rPr>
              <w:t>中标人负担运至采购人指定地点的运输费用。</w:t>
            </w:r>
          </w:p>
          <w:p>
            <w:pPr>
              <w:tabs>
                <w:tab w:val="left" w:pos="0"/>
              </w:tabs>
              <w:snapToGrid w:val="0"/>
              <w:spacing w:afterLines="25" w:line="360" w:lineRule="auto"/>
              <w:rPr>
                <w:rFonts w:ascii="宋体" w:hAnsi="宋体"/>
                <w:szCs w:val="21"/>
              </w:rPr>
            </w:pPr>
            <w:r>
              <w:rPr>
                <w:rFonts w:hint="eastAsia" w:ascii="宋体" w:hAnsi="宋体"/>
                <w:szCs w:val="21"/>
              </w:rPr>
              <w:t>1.8 检验标准、方法</w:t>
            </w:r>
          </w:p>
          <w:p>
            <w:pPr>
              <w:tabs>
                <w:tab w:val="left" w:pos="0"/>
              </w:tabs>
              <w:snapToGrid w:val="0"/>
              <w:spacing w:afterLines="25" w:line="360" w:lineRule="auto"/>
              <w:rPr>
                <w:rFonts w:ascii="宋体" w:hAnsi="宋体"/>
                <w:szCs w:val="21"/>
              </w:rPr>
            </w:pPr>
            <w:r>
              <w:rPr>
                <w:rFonts w:hint="eastAsia" w:ascii="宋体" w:hAnsi="宋体"/>
                <w:szCs w:val="21"/>
              </w:rPr>
              <w:t>在每列车高级修工作完成后，中标人通知采购人对检修工作进行验收，采购人在接到通知后二日内会同中标人按照前述质量标准进行联合交接验收。</w:t>
            </w:r>
          </w:p>
          <w:p>
            <w:pPr>
              <w:tabs>
                <w:tab w:val="left" w:pos="0"/>
              </w:tabs>
              <w:snapToGrid w:val="0"/>
              <w:spacing w:afterLines="25" w:line="360" w:lineRule="auto"/>
              <w:rPr>
                <w:rFonts w:ascii="宋体" w:hAnsi="宋体"/>
                <w:szCs w:val="21"/>
              </w:rPr>
            </w:pPr>
            <w:r>
              <w:rPr>
                <w:rFonts w:hint="eastAsia" w:ascii="宋体" w:hAnsi="宋体"/>
                <w:szCs w:val="21"/>
              </w:rPr>
              <w:t>1.9 其他约定</w:t>
            </w:r>
          </w:p>
          <w:p>
            <w:pPr>
              <w:tabs>
                <w:tab w:val="left" w:pos="0"/>
              </w:tabs>
              <w:snapToGrid w:val="0"/>
              <w:spacing w:afterLines="25" w:line="360" w:lineRule="auto"/>
              <w:rPr>
                <w:rFonts w:ascii="宋体" w:hAnsi="宋体"/>
                <w:szCs w:val="21"/>
              </w:rPr>
            </w:pPr>
            <w:r>
              <w:rPr>
                <w:rFonts w:hint="eastAsia" w:ascii="宋体" w:hAnsi="宋体"/>
                <w:szCs w:val="21"/>
              </w:rPr>
              <w:t>1．双方应按照前述质量标准中，各项管理文件确定的要求承担各自的责任与义务。</w:t>
            </w:r>
          </w:p>
          <w:p>
            <w:pPr>
              <w:tabs>
                <w:tab w:val="left" w:pos="0"/>
              </w:tabs>
              <w:snapToGrid w:val="0"/>
              <w:spacing w:afterLines="25" w:line="360" w:lineRule="auto"/>
              <w:rPr>
                <w:rFonts w:ascii="宋体" w:hAnsi="宋体"/>
                <w:szCs w:val="21"/>
              </w:rPr>
            </w:pPr>
            <w:r>
              <w:rPr>
                <w:rFonts w:hint="eastAsia" w:ascii="宋体" w:hAnsi="宋体"/>
                <w:szCs w:val="21"/>
              </w:rPr>
              <w:t>2．中标人负责按时完成DMS车载设备高级修工作内容，并出具检修报告，负责准备检修工作中所需工装器具。</w:t>
            </w:r>
          </w:p>
          <w:p>
            <w:pPr>
              <w:tabs>
                <w:tab w:val="left" w:pos="0"/>
              </w:tabs>
              <w:snapToGrid w:val="0"/>
              <w:spacing w:afterLines="25" w:line="360" w:lineRule="auto"/>
              <w:rPr>
                <w:rFonts w:ascii="宋体" w:hAnsi="宋体"/>
                <w:szCs w:val="21"/>
                <w:highlight w:val="none"/>
              </w:rPr>
            </w:pPr>
            <w:r>
              <w:rPr>
                <w:rFonts w:hint="eastAsia" w:ascii="宋体" w:hAnsi="宋体"/>
                <w:szCs w:val="21"/>
              </w:rPr>
              <w:t>3．动车组在车辆主机厂、北京局集团公司管外其他单位实施高级修时，由中标人负责本合同中所涉及的车载设备高级修与车辆方面的协调工作；动车组在北京局集团管内单位（北京动车段）实施高</w:t>
            </w:r>
            <w:r>
              <w:rPr>
                <w:rFonts w:hint="eastAsia" w:ascii="宋体" w:hAnsi="宋体"/>
                <w:szCs w:val="21"/>
                <w:highlight w:val="none"/>
              </w:rPr>
              <w:t>级修时，由采购人负责本合同中所涉及的车载设备高级修与车辆方面的协调工作。</w:t>
            </w:r>
          </w:p>
          <w:p>
            <w:pPr>
              <w:tabs>
                <w:tab w:val="left" w:pos="0"/>
              </w:tabs>
              <w:snapToGrid w:val="0"/>
              <w:spacing w:afterLines="25" w:line="360" w:lineRule="auto"/>
              <w:rPr>
                <w:rFonts w:ascii="宋体" w:hAnsi="宋体"/>
                <w:szCs w:val="21"/>
                <w:highlight w:val="none"/>
              </w:rPr>
            </w:pPr>
            <w:r>
              <w:rPr>
                <w:rFonts w:hint="eastAsia" w:ascii="宋体" w:hAnsi="宋体"/>
                <w:szCs w:val="21"/>
                <w:highlight w:val="none"/>
              </w:rPr>
              <w:t>4．由采购人组织进行线路动态测试，为中标人提供开展工作的必要条件。</w:t>
            </w:r>
          </w:p>
          <w:p>
            <w:pPr>
              <w:tabs>
                <w:tab w:val="left" w:pos="0"/>
              </w:tabs>
              <w:snapToGrid w:val="0"/>
              <w:spacing w:afterLines="25" w:line="360" w:lineRule="auto"/>
              <w:rPr>
                <w:rFonts w:ascii="宋体" w:hAnsi="宋体"/>
                <w:b/>
                <w:bCs/>
                <w:szCs w:val="21"/>
                <w:vertAlign w:val="baseline"/>
              </w:rPr>
            </w:pPr>
            <w:r>
              <w:rPr>
                <w:rFonts w:hint="eastAsia" w:ascii="宋体" w:hAnsi="宋体"/>
                <w:szCs w:val="21"/>
                <w:highlight w:val="none"/>
              </w:rPr>
              <w:t>5．采购人负责对中标人提供的设备、软件、技术资料等进行保密。</w:t>
            </w:r>
          </w:p>
        </w:tc>
        <w:tc>
          <w:tcPr>
            <w:tcW w:w="1548" w:type="dxa"/>
            <w:vAlign w:val="center"/>
          </w:tcPr>
          <w:p>
            <w:pPr>
              <w:spacing w:afterLines="25" w:line="300" w:lineRule="auto"/>
              <w:jc w:val="center"/>
              <w:rPr>
                <w:rFonts w:ascii="宋体" w:hAnsi="宋体"/>
                <w:b/>
                <w:bCs/>
                <w:szCs w:val="21"/>
                <w:vertAlign w:val="baseline"/>
              </w:rPr>
            </w:pPr>
          </w:p>
        </w:tc>
        <w:tc>
          <w:tcPr>
            <w:tcW w:w="1077" w:type="dxa"/>
            <w:vAlign w:val="center"/>
          </w:tcPr>
          <w:p>
            <w:pPr>
              <w:spacing w:afterLines="25" w:line="300" w:lineRule="auto"/>
              <w:jc w:val="center"/>
              <w:rPr>
                <w:rFonts w:ascii="宋体" w:hAnsi="宋体"/>
                <w:b/>
                <w:bCs/>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Align w:val="center"/>
          </w:tcPr>
          <w:p>
            <w:pPr>
              <w:spacing w:afterLines="25" w:line="300" w:lineRule="auto"/>
              <w:jc w:val="center"/>
              <w:rPr>
                <w:rFonts w:hint="eastAsia" w:ascii="宋体" w:hAnsi="宋体" w:eastAsia="宋体"/>
                <w:b/>
                <w:bCs/>
                <w:szCs w:val="21"/>
                <w:vertAlign w:val="baseline"/>
                <w:lang w:val="en-US" w:eastAsia="zh-CN"/>
              </w:rPr>
            </w:pPr>
            <w:r>
              <w:rPr>
                <w:rFonts w:hint="eastAsia" w:ascii="宋体" w:hAnsi="宋体"/>
                <w:b/>
                <w:bCs/>
                <w:szCs w:val="21"/>
                <w:vertAlign w:val="baseline"/>
                <w:lang w:val="en-US" w:eastAsia="zh-CN"/>
              </w:rPr>
              <w:t>2</w:t>
            </w:r>
          </w:p>
        </w:tc>
        <w:tc>
          <w:tcPr>
            <w:tcW w:w="6180" w:type="dxa"/>
            <w:vAlign w:val="center"/>
          </w:tcPr>
          <w:p>
            <w:pPr>
              <w:tabs>
                <w:tab w:val="left" w:pos="0"/>
              </w:tabs>
              <w:snapToGrid w:val="0"/>
              <w:spacing w:afterLines="25" w:line="360" w:lineRule="auto"/>
              <w:rPr>
                <w:rFonts w:hint="default" w:ascii="宋体" w:hAnsi="宋体" w:eastAsia="宋体"/>
                <w:b/>
                <w:bCs/>
                <w:szCs w:val="21"/>
                <w:highlight w:val="none"/>
                <w:lang w:val="en-US" w:eastAsia="zh-CN"/>
              </w:rPr>
            </w:pPr>
            <w:r>
              <w:rPr>
                <w:rFonts w:hint="eastAsia" w:ascii="宋体" w:hAnsi="宋体"/>
                <w:b/>
                <w:bCs/>
                <w:szCs w:val="21"/>
                <w:highlight w:val="none"/>
              </w:rPr>
              <w:t>（二）EOAS车载设备</w:t>
            </w:r>
            <w:r>
              <w:rPr>
                <w:rFonts w:hint="eastAsia" w:ascii="宋体" w:hAnsi="宋体"/>
                <w:b/>
                <w:bCs/>
                <w:szCs w:val="21"/>
                <w:highlight w:val="none"/>
                <w:lang w:val="en-US" w:eastAsia="zh-CN"/>
              </w:rPr>
              <w:t>四级修及EOAS高清线路摄像机</w:t>
            </w:r>
          </w:p>
          <w:p>
            <w:pPr>
              <w:tabs>
                <w:tab w:val="left" w:pos="0"/>
              </w:tabs>
              <w:snapToGrid w:val="0"/>
              <w:spacing w:afterLines="25" w:line="360" w:lineRule="auto"/>
              <w:rPr>
                <w:rFonts w:ascii="宋体" w:hAnsi="宋体"/>
                <w:szCs w:val="21"/>
                <w:highlight w:val="none"/>
              </w:rPr>
            </w:pPr>
            <w:r>
              <w:rPr>
                <w:rFonts w:hint="eastAsia" w:ascii="宋体" w:hAnsi="宋体"/>
                <w:szCs w:val="21"/>
                <w:highlight w:val="none"/>
              </w:rPr>
              <w:t>1．技术质量要求</w:t>
            </w:r>
          </w:p>
          <w:p>
            <w:pPr>
              <w:tabs>
                <w:tab w:val="left" w:pos="0"/>
              </w:tabs>
              <w:snapToGrid w:val="0"/>
              <w:spacing w:afterLines="25" w:line="360" w:lineRule="auto"/>
              <w:rPr>
                <w:rFonts w:ascii="宋体" w:hAnsi="宋体"/>
                <w:szCs w:val="21"/>
                <w:highlight w:val="none"/>
              </w:rPr>
            </w:pPr>
            <w:r>
              <w:rPr>
                <w:rFonts w:hint="eastAsia" w:ascii="宋体" w:hAnsi="宋体"/>
                <w:szCs w:val="21"/>
                <w:highlight w:val="none"/>
              </w:rPr>
              <w:t>（1）EOAS车载设备四级修及</w:t>
            </w:r>
            <w:r>
              <w:rPr>
                <w:rFonts w:hint="eastAsia" w:ascii="宋体" w:hAnsi="宋体"/>
                <w:szCs w:val="21"/>
                <w:highlight w:val="none"/>
                <w:lang w:val="en-US" w:eastAsia="zh-CN"/>
              </w:rPr>
              <w:t>高铁移动视频系统</w:t>
            </w:r>
            <w:r>
              <w:rPr>
                <w:rFonts w:hint="eastAsia" w:ascii="宋体" w:hAnsi="宋体"/>
                <w:szCs w:val="21"/>
                <w:highlight w:val="none"/>
              </w:rPr>
              <w:t>EOAS高清线路摄像机设备须为原厂正品、原包装全新产品，需与既有EOAS系统兼容。</w:t>
            </w:r>
          </w:p>
          <w:p>
            <w:pPr>
              <w:tabs>
                <w:tab w:val="left" w:pos="0"/>
              </w:tabs>
              <w:snapToGrid w:val="0"/>
              <w:spacing w:afterLines="25" w:line="360" w:lineRule="auto"/>
              <w:rPr>
                <w:rFonts w:ascii="宋体" w:hAnsi="宋体"/>
                <w:szCs w:val="21"/>
                <w:highlight w:val="none"/>
              </w:rPr>
            </w:pPr>
            <w:r>
              <w:rPr>
                <w:rFonts w:hint="eastAsia" w:ascii="宋体" w:hAnsi="宋体"/>
                <w:szCs w:val="21"/>
                <w:highlight w:val="none"/>
              </w:rPr>
              <w:t>（2）高铁移动视频系统EOAS高清线路摄像机车载设备应具备与EOAS设备接口通信功能，满足向EOAS设备提供视频需求，符合《动车组司机操控信息分析系统EOAS暂行技术条件》（铁总运〔2014〕137号）及《动车组司机操控信息分析系统（EOAS）技术评审证书的通知》（科技装函〔2015〕67号）文件中要求EOAS设备原功能。</w:t>
            </w:r>
          </w:p>
          <w:p>
            <w:pPr>
              <w:tabs>
                <w:tab w:val="left" w:pos="0"/>
              </w:tabs>
              <w:snapToGrid w:val="0"/>
              <w:spacing w:afterLines="25" w:line="360" w:lineRule="auto"/>
              <w:rPr>
                <w:rFonts w:ascii="宋体" w:hAnsi="宋体"/>
                <w:szCs w:val="21"/>
                <w:highlight w:val="none"/>
              </w:rPr>
            </w:pPr>
            <w:r>
              <w:rPr>
                <w:rFonts w:hint="eastAsia" w:ascii="宋体" w:hAnsi="宋体"/>
                <w:szCs w:val="21"/>
                <w:highlight w:val="none"/>
              </w:rPr>
              <w:t>（3）产品性能特性必须满足轨道交通机车车辆电子装置《GB/T25119-2010》相关规定。</w:t>
            </w:r>
          </w:p>
          <w:p>
            <w:pPr>
              <w:tabs>
                <w:tab w:val="left" w:pos="0"/>
              </w:tabs>
              <w:snapToGrid w:val="0"/>
              <w:spacing w:afterLines="25" w:line="360" w:lineRule="auto"/>
              <w:rPr>
                <w:rFonts w:ascii="宋体" w:hAnsi="宋体"/>
                <w:szCs w:val="21"/>
              </w:rPr>
            </w:pPr>
            <w:r>
              <w:rPr>
                <w:rFonts w:hint="eastAsia" w:ascii="宋体" w:hAnsi="宋体"/>
                <w:szCs w:val="21"/>
                <w:highlight w:val="none"/>
              </w:rPr>
              <w:t>（4）</w:t>
            </w:r>
            <w:r>
              <w:rPr>
                <w:rFonts w:hint="eastAsia" w:ascii="宋体" w:hAnsi="宋体"/>
                <w:szCs w:val="21"/>
                <w:highlight w:val="none"/>
                <w:lang w:val="en-US" w:eastAsia="zh-CN"/>
              </w:rPr>
              <w:t>高铁移动视频系统</w:t>
            </w:r>
            <w:r>
              <w:rPr>
                <w:rFonts w:hint="eastAsia" w:ascii="宋体" w:hAnsi="宋体"/>
                <w:szCs w:val="21"/>
                <w:highlight w:val="none"/>
              </w:rPr>
              <w:t>信息安全方面参照《信息安全技术网络安全等级保护安全设计技术要求》（GBT25070-2019）和《信息安全技术网络安全等级保护安全设计技术要求》（GBT25070-2019）的标准和规范设计。系统必须通过等保三级认证，以抵御网络病毒和攻击，提升系统和网络的安全可靠</w:t>
            </w:r>
            <w:r>
              <w:rPr>
                <w:rFonts w:hint="eastAsia" w:ascii="宋体" w:hAnsi="宋体"/>
                <w:szCs w:val="21"/>
              </w:rPr>
              <w:t>性。需提供等保认证备案证书复印件，原件备查。</w:t>
            </w:r>
          </w:p>
          <w:p>
            <w:pPr>
              <w:tabs>
                <w:tab w:val="left" w:pos="0"/>
              </w:tabs>
              <w:snapToGrid w:val="0"/>
              <w:spacing w:afterLines="25" w:line="360" w:lineRule="auto"/>
              <w:rPr>
                <w:rFonts w:ascii="宋体" w:hAnsi="宋体"/>
                <w:szCs w:val="21"/>
              </w:rPr>
            </w:pPr>
            <w:r>
              <w:rPr>
                <w:rFonts w:hint="eastAsia" w:ascii="宋体" w:hAnsi="宋体"/>
                <w:szCs w:val="21"/>
              </w:rPr>
              <w:t>（5）须符合《中国铁路总公司工电部关于印发高铁移动视频系统通过需求分析报告评审的通知》（工电综技函〔2018〕21号）中系统总体性能及功能要求执行。</w:t>
            </w:r>
          </w:p>
          <w:p>
            <w:pPr>
              <w:tabs>
                <w:tab w:val="left" w:pos="0"/>
              </w:tabs>
              <w:snapToGrid w:val="0"/>
              <w:spacing w:afterLines="25" w:line="360" w:lineRule="auto"/>
              <w:rPr>
                <w:rFonts w:ascii="宋体" w:hAnsi="宋体"/>
                <w:szCs w:val="21"/>
              </w:rPr>
            </w:pPr>
            <w:r>
              <w:rPr>
                <w:rFonts w:hint="eastAsia" w:ascii="宋体" w:hAnsi="宋体"/>
                <w:szCs w:val="21"/>
              </w:rPr>
              <w:t>（6）须符合中国铁路总公司工电部关于印发《高铁移动视频平台专题会会议纪要》(工电函〔2018〕72号）中相关要求。</w:t>
            </w:r>
          </w:p>
          <w:p>
            <w:pPr>
              <w:tabs>
                <w:tab w:val="left" w:pos="0"/>
              </w:tabs>
              <w:snapToGrid w:val="0"/>
              <w:spacing w:afterLines="25" w:line="360" w:lineRule="auto"/>
              <w:rPr>
                <w:rFonts w:ascii="宋体" w:hAnsi="宋体"/>
                <w:szCs w:val="21"/>
              </w:rPr>
            </w:pPr>
            <w:r>
              <w:rPr>
                <w:rFonts w:hint="eastAsia" w:ascii="宋体" w:hAnsi="宋体"/>
                <w:szCs w:val="21"/>
              </w:rPr>
              <w:t>2.功能要求</w:t>
            </w:r>
          </w:p>
          <w:p>
            <w:pPr>
              <w:tabs>
                <w:tab w:val="left" w:pos="0"/>
              </w:tabs>
              <w:snapToGrid w:val="0"/>
              <w:spacing w:afterLines="25" w:line="360" w:lineRule="auto"/>
              <w:rPr>
                <w:rFonts w:ascii="宋体" w:hAnsi="宋体"/>
                <w:szCs w:val="21"/>
              </w:rPr>
            </w:pPr>
            <w:r>
              <w:rPr>
                <w:rFonts w:hint="eastAsia" w:ascii="宋体" w:hAnsi="宋体"/>
                <w:szCs w:val="21"/>
              </w:rPr>
              <w:t>高铁移动视频系统是在动车组司机操控信息分析系统( EOAS）基础上进行的功能扩展搭建，包括车载视频采集处理传输设备、地面视频处理中心和视频分析终端三部分。车载视频采集处理传输设备将动车组线路摄像机视频实时传送至视频处理中心，叠加融合行车数据、线路基础数据后，通过视频分析终端实现对动车组运行线路上的工务、电务、供电等设备设施状况实时查看和历史调阅，为高铁线路基础设施日常维护和应急处置提供了信息化技术手段。</w:t>
            </w:r>
          </w:p>
          <w:p>
            <w:pPr>
              <w:tabs>
                <w:tab w:val="left" w:pos="0"/>
              </w:tabs>
              <w:snapToGrid w:val="0"/>
              <w:spacing w:afterLines="25" w:line="360" w:lineRule="auto"/>
              <w:rPr>
                <w:rFonts w:ascii="宋体" w:hAnsi="宋体"/>
                <w:szCs w:val="21"/>
              </w:rPr>
            </w:pPr>
            <w:r>
              <w:rPr>
                <w:rFonts w:hint="eastAsia" w:ascii="宋体" w:hAnsi="宋体"/>
                <w:szCs w:val="21"/>
              </w:rPr>
              <w:t>2.1视频采集与传输</w:t>
            </w:r>
          </w:p>
          <w:p>
            <w:pPr>
              <w:tabs>
                <w:tab w:val="left" w:pos="0"/>
              </w:tabs>
              <w:snapToGrid w:val="0"/>
              <w:spacing w:afterLines="25" w:line="360" w:lineRule="auto"/>
              <w:rPr>
                <w:rFonts w:ascii="宋体" w:hAnsi="宋体"/>
                <w:szCs w:val="21"/>
              </w:rPr>
            </w:pPr>
            <w:r>
              <w:rPr>
                <w:rFonts w:hint="eastAsia" w:ascii="宋体" w:hAnsi="宋体"/>
                <w:szCs w:val="21"/>
              </w:rPr>
              <w:t>视频采集与传输须采用加密处理。实时采集动车组线路视频及运行状态等数据，经视频编码、加密、压缩处理后，分别采用不同的数据格式进行上传。具备实时播放、历史回放及下载功能。</w:t>
            </w:r>
          </w:p>
          <w:p>
            <w:pPr>
              <w:tabs>
                <w:tab w:val="left" w:pos="0"/>
              </w:tabs>
              <w:snapToGrid w:val="0"/>
              <w:spacing w:afterLines="25" w:line="360" w:lineRule="auto"/>
              <w:rPr>
                <w:rFonts w:ascii="宋体" w:hAnsi="宋体"/>
                <w:szCs w:val="21"/>
              </w:rPr>
            </w:pPr>
            <w:r>
              <w:rPr>
                <w:rFonts w:hint="eastAsia" w:ascii="宋体" w:hAnsi="宋体"/>
                <w:szCs w:val="21"/>
              </w:rPr>
              <w:t>2.2视频接收与分发</w:t>
            </w:r>
          </w:p>
          <w:p>
            <w:pPr>
              <w:tabs>
                <w:tab w:val="left" w:pos="0"/>
              </w:tabs>
              <w:snapToGrid w:val="0"/>
              <w:spacing w:afterLines="25" w:line="360" w:lineRule="auto"/>
              <w:rPr>
                <w:rFonts w:ascii="宋体" w:hAnsi="宋体"/>
                <w:szCs w:val="21"/>
              </w:rPr>
            </w:pPr>
            <w:r>
              <w:rPr>
                <w:rFonts w:hint="eastAsia" w:ascii="宋体" w:hAnsi="宋体"/>
                <w:szCs w:val="21"/>
              </w:rPr>
              <w:t>接收与分发须具备安全认证功能。流媒体转发服务器实时接收车载设备上传的视频流，经过安全平台认证后，由流媒体分发服务器将视频流发至请求该视频的视频用户终端。支持将同一视频流同时分发给多个视频用户终端进行播放。</w:t>
            </w:r>
          </w:p>
          <w:p>
            <w:pPr>
              <w:tabs>
                <w:tab w:val="left" w:pos="0"/>
              </w:tabs>
              <w:snapToGrid w:val="0"/>
              <w:spacing w:afterLines="25" w:line="360" w:lineRule="auto"/>
              <w:rPr>
                <w:rFonts w:ascii="宋体" w:hAnsi="宋体"/>
                <w:szCs w:val="21"/>
              </w:rPr>
            </w:pPr>
            <w:r>
              <w:rPr>
                <w:rFonts w:hint="eastAsia" w:ascii="宋体" w:hAnsi="宋体"/>
                <w:szCs w:val="21"/>
              </w:rPr>
              <w:t>2.3视频下载与存储</w:t>
            </w:r>
          </w:p>
          <w:p>
            <w:pPr>
              <w:tabs>
                <w:tab w:val="left" w:pos="0"/>
              </w:tabs>
              <w:snapToGrid w:val="0"/>
              <w:spacing w:afterLines="25" w:line="360" w:lineRule="auto"/>
              <w:rPr>
                <w:rFonts w:ascii="宋体" w:hAnsi="宋体"/>
                <w:szCs w:val="21"/>
              </w:rPr>
            </w:pPr>
            <w:r>
              <w:rPr>
                <w:rFonts w:hint="eastAsia" w:ascii="宋体" w:hAnsi="宋体"/>
                <w:szCs w:val="21"/>
              </w:rPr>
              <w:t>（1）车载视频存储。视频数据须满足在动车组车载设备上存储周期不小于5天。</w:t>
            </w:r>
          </w:p>
          <w:p>
            <w:pPr>
              <w:tabs>
                <w:tab w:val="left" w:pos="0"/>
              </w:tabs>
              <w:snapToGrid w:val="0"/>
              <w:spacing w:afterLines="25" w:line="360" w:lineRule="auto"/>
              <w:rPr>
                <w:rFonts w:ascii="宋体" w:hAnsi="宋体"/>
                <w:szCs w:val="21"/>
              </w:rPr>
            </w:pPr>
            <w:r>
              <w:rPr>
                <w:rFonts w:hint="eastAsia" w:ascii="宋体" w:hAnsi="宋体"/>
                <w:szCs w:val="21"/>
              </w:rPr>
              <w:t>（2）实时播放及历史回放视频数据下载与存储。支持通过专用设备可以实时播放车载视频或历史回放车载存储的历史视频数据，通过视频云存储集群进行集中存储，存储周期不小于30天。</w:t>
            </w:r>
          </w:p>
          <w:p>
            <w:pPr>
              <w:tabs>
                <w:tab w:val="left" w:pos="0"/>
              </w:tabs>
              <w:snapToGrid w:val="0"/>
              <w:spacing w:afterLines="25" w:line="360" w:lineRule="auto"/>
              <w:rPr>
                <w:rFonts w:ascii="宋体" w:hAnsi="宋体"/>
                <w:szCs w:val="21"/>
              </w:rPr>
            </w:pPr>
            <w:r>
              <w:rPr>
                <w:rFonts w:hint="eastAsia" w:ascii="宋体" w:hAnsi="宋体"/>
                <w:szCs w:val="21"/>
              </w:rPr>
              <w:t>（3）关键视频下载存储。支持通过专用设备实时播放或历史回放在线下载的关键视频数据，经确认标注后直接在视频云存储集群中进行存储；通过离线导出的关键视频数据，经确认标注后通过视频用户终端上传至视频处理中心，在视频云存储集群中进行存储。存储周期不小于一年。</w:t>
            </w:r>
          </w:p>
          <w:p>
            <w:pPr>
              <w:tabs>
                <w:tab w:val="left" w:pos="0"/>
              </w:tabs>
              <w:snapToGrid w:val="0"/>
              <w:spacing w:afterLines="25" w:line="360" w:lineRule="auto"/>
              <w:rPr>
                <w:rFonts w:ascii="宋体" w:hAnsi="宋体"/>
                <w:szCs w:val="21"/>
              </w:rPr>
            </w:pPr>
            <w:r>
              <w:rPr>
                <w:rFonts w:hint="eastAsia" w:ascii="宋体" w:hAnsi="宋体"/>
                <w:szCs w:val="21"/>
              </w:rPr>
              <w:t>2.4信息关联与融合</w:t>
            </w:r>
          </w:p>
          <w:p>
            <w:pPr>
              <w:tabs>
                <w:tab w:val="left" w:pos="0"/>
              </w:tabs>
              <w:snapToGrid w:val="0"/>
              <w:spacing w:afterLines="25" w:line="360" w:lineRule="auto"/>
              <w:rPr>
                <w:rFonts w:ascii="宋体" w:hAnsi="宋体"/>
                <w:szCs w:val="21"/>
              </w:rPr>
            </w:pPr>
            <w:r>
              <w:rPr>
                <w:rFonts w:hint="eastAsia" w:ascii="宋体" w:hAnsi="宋体"/>
                <w:szCs w:val="21"/>
              </w:rPr>
              <w:t>运行及线路信息具备与视频数据关联融合功能。将动车组实时运行信息、线路信息与视频数据进行关联融合与同步，播放时间同步显示。</w:t>
            </w:r>
          </w:p>
          <w:p>
            <w:pPr>
              <w:tabs>
                <w:tab w:val="left" w:pos="0"/>
              </w:tabs>
              <w:snapToGrid w:val="0"/>
              <w:spacing w:afterLines="25" w:line="360" w:lineRule="auto"/>
              <w:rPr>
                <w:rFonts w:ascii="宋体" w:hAnsi="宋体"/>
                <w:szCs w:val="21"/>
              </w:rPr>
            </w:pPr>
            <w:r>
              <w:rPr>
                <w:rFonts w:hint="eastAsia" w:ascii="宋体" w:hAnsi="宋体"/>
                <w:szCs w:val="21"/>
              </w:rPr>
              <w:t>3.车载视频采集处理传输设备配置参数要求</w:t>
            </w:r>
          </w:p>
          <w:tbl>
            <w:tblPr>
              <w:tblStyle w:val="47"/>
              <w:tblW w:w="47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1"/>
              <w:gridCol w:w="871"/>
              <w:gridCol w:w="1126"/>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bidi="ar"/>
                    </w:rPr>
                    <w:t>设备</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bidi="ar"/>
                    </w:rPr>
                    <w:t>功能</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bidi="ar"/>
                    </w:rPr>
                    <w:t>项目</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snapToGrid w:val="0"/>
                      <w:kern w:val="0"/>
                      <w:szCs w:val="21"/>
                      <w:lang w:bidi="ar"/>
                    </w:rPr>
                    <w:t>数据采集设备</w:t>
                  </w:r>
                </w:p>
              </w:tc>
              <w:tc>
                <w:tcPr>
                  <w:tcW w:w="7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lang w:bidi="ar"/>
                    </w:rPr>
                    <w:t>采集线路视频</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尺寸</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（1）长314*宽132*高388mm</w:t>
                  </w:r>
                </w:p>
                <w:p>
                  <w:pPr>
                    <w:widowControl/>
                    <w:jc w:val="center"/>
                    <w:rPr>
                      <w:rFonts w:ascii="宋体" w:hAnsi="宋体" w:cs="宋体"/>
                      <w:kern w:val="0"/>
                      <w:szCs w:val="21"/>
                    </w:rPr>
                  </w:pPr>
                  <w:r>
                    <w:rPr>
                      <w:rFonts w:hint="eastAsia" w:ascii="宋体" w:hAnsi="宋体" w:cs="宋体"/>
                      <w:kern w:val="0"/>
                      <w:szCs w:val="21"/>
                      <w:lang w:bidi="ar"/>
                    </w:rPr>
                    <w:t>（2）长314*宽132*高438mm</w:t>
                  </w:r>
                </w:p>
                <w:p>
                  <w:pPr>
                    <w:widowControl/>
                    <w:jc w:val="center"/>
                    <w:rPr>
                      <w:rFonts w:ascii="宋体" w:hAnsi="宋体" w:cs="宋体"/>
                      <w:kern w:val="0"/>
                      <w:szCs w:val="21"/>
                    </w:rPr>
                  </w:pPr>
                  <w:r>
                    <w:rPr>
                      <w:rFonts w:hint="eastAsia" w:ascii="宋体" w:hAnsi="宋体" w:cs="宋体"/>
                      <w:kern w:val="0"/>
                      <w:szCs w:val="21"/>
                      <w:lang w:bidi="ar"/>
                    </w:rPr>
                    <w:t>（3）长312*宽100*高238mm</w:t>
                  </w:r>
                </w:p>
                <w:p>
                  <w:pPr>
                    <w:widowControl/>
                    <w:jc w:val="center"/>
                    <w:rPr>
                      <w:rFonts w:ascii="宋体" w:hAnsi="宋体" w:cs="宋体"/>
                      <w:kern w:val="0"/>
                      <w:szCs w:val="21"/>
                    </w:rPr>
                  </w:pPr>
                  <w:r>
                    <w:rPr>
                      <w:rFonts w:hint="eastAsia" w:ascii="宋体" w:hAnsi="宋体" w:cs="宋体"/>
                      <w:kern w:val="0"/>
                      <w:szCs w:val="21"/>
                      <w:lang w:bidi="ar"/>
                    </w:rPr>
                    <w:t>具体尺寸按照实际车型为准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 w:hRule="atLeast"/>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有效像素</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分辨率</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帧率</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30fps，最高60fps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码率</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自适应，最高20Mbps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镜头光圈</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自动光圈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快门速度</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1/100000至2秒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低照度</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彩色最低照度0.02lux，黑白为0.004 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宽动态</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120dB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焦距</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焦距范围4-16mm，可调，视角不低于26度；支持H.264标准视频压缩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主板</w:t>
                  </w:r>
                </w:p>
              </w:tc>
              <w:tc>
                <w:tcPr>
                  <w:tcW w:w="7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视频处理</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通讯接口</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1000M自适应以太网口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ARM多核处理器</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主频2Ghz；10秒断电保护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固态硬盘</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存储设备</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存储空间</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6" w:hRule="atLeast"/>
                <w:jc w:val="center"/>
              </w:trPr>
              <w:tc>
                <w:tcPr>
                  <w:tcW w:w="9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移动通信模块、天线</w:t>
                  </w:r>
                </w:p>
              </w:tc>
              <w:tc>
                <w:tcPr>
                  <w:tcW w:w="7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与服务器进行通信</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4G模块</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支持双4G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最高上传速度</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≥20Mbps</w:t>
                  </w:r>
                </w:p>
              </w:tc>
            </w:tr>
          </w:tbl>
          <w:p>
            <w:pPr>
              <w:spacing w:afterLines="25" w:line="300" w:lineRule="auto"/>
              <w:jc w:val="center"/>
              <w:rPr>
                <w:rFonts w:ascii="宋体" w:hAnsi="宋体"/>
                <w:b/>
                <w:bCs/>
                <w:szCs w:val="21"/>
                <w:vertAlign w:val="baseline"/>
              </w:rPr>
            </w:pPr>
          </w:p>
        </w:tc>
        <w:tc>
          <w:tcPr>
            <w:tcW w:w="1548" w:type="dxa"/>
            <w:vAlign w:val="center"/>
          </w:tcPr>
          <w:p>
            <w:pPr>
              <w:spacing w:afterLines="25" w:line="300" w:lineRule="auto"/>
              <w:jc w:val="center"/>
              <w:rPr>
                <w:rFonts w:ascii="宋体" w:hAnsi="宋体"/>
                <w:b/>
                <w:bCs/>
                <w:szCs w:val="21"/>
                <w:vertAlign w:val="baseline"/>
              </w:rPr>
            </w:pPr>
          </w:p>
        </w:tc>
        <w:tc>
          <w:tcPr>
            <w:tcW w:w="1077" w:type="dxa"/>
            <w:vAlign w:val="center"/>
          </w:tcPr>
          <w:p>
            <w:pPr>
              <w:spacing w:afterLines="25" w:line="300" w:lineRule="auto"/>
              <w:jc w:val="center"/>
              <w:rPr>
                <w:rFonts w:ascii="宋体" w:hAnsi="宋体"/>
                <w:b/>
                <w:bCs/>
                <w:szCs w:val="21"/>
                <w:vertAlign w:val="baseline"/>
              </w:rPr>
            </w:pPr>
          </w:p>
        </w:tc>
      </w:tr>
      <w:bookmarkEnd w:id="333"/>
    </w:tbl>
    <w:p>
      <w:pPr>
        <w:rPr>
          <w:rFonts w:ascii="宋体" w:hAnsi="宋体"/>
          <w:b/>
          <w:bCs/>
          <w:szCs w:val="21"/>
        </w:rPr>
      </w:pPr>
    </w:p>
    <w:p>
      <w:pPr>
        <w:rPr>
          <w:rFonts w:ascii="宋体" w:hAnsi="宋体"/>
          <w:b/>
          <w:bCs/>
          <w:szCs w:val="21"/>
        </w:rPr>
      </w:pPr>
    </w:p>
    <w:p>
      <w:pPr>
        <w:rPr>
          <w:rFonts w:ascii="宋体" w:hAnsi="宋体"/>
          <w:b/>
          <w:bCs/>
          <w:szCs w:val="21"/>
        </w:rPr>
      </w:pPr>
      <w:r>
        <w:rPr>
          <w:rFonts w:ascii="宋体" w:hAnsi="宋体"/>
          <w:b/>
          <w:bCs/>
          <w:szCs w:val="21"/>
        </w:rPr>
        <w:t>注：</w:t>
      </w:r>
      <w:r>
        <w:rPr>
          <w:rFonts w:hint="eastAsia" w:ascii="宋体" w:hAnsi="宋体"/>
          <w:b/>
          <w:bCs/>
          <w:szCs w:val="21"/>
        </w:rPr>
        <w:t>1</w:t>
      </w:r>
      <w:r>
        <w:rPr>
          <w:rFonts w:ascii="宋体" w:hAnsi="宋体"/>
          <w:b/>
          <w:bCs/>
          <w:szCs w:val="21"/>
        </w:rPr>
        <w:t>.</w:t>
      </w:r>
      <w:r>
        <w:rPr>
          <w:rFonts w:hint="eastAsia" w:ascii="宋体" w:hAnsi="宋体"/>
          <w:b/>
          <w:bCs/>
          <w:szCs w:val="21"/>
        </w:rPr>
        <w:t>“偏离情况”一栏应填写正偏离、负偏离或无偏离</w:t>
      </w:r>
    </w:p>
    <w:p>
      <w:pPr>
        <w:rPr>
          <w:rFonts w:ascii="宋体" w:hAnsi="宋体"/>
          <w:b/>
          <w:bCs/>
          <w:szCs w:val="21"/>
        </w:rPr>
      </w:pPr>
      <w:r>
        <w:rPr>
          <w:rFonts w:hint="eastAsia" w:ascii="宋体" w:hAnsi="宋体"/>
          <w:b/>
          <w:bCs/>
          <w:szCs w:val="21"/>
        </w:rPr>
        <w:t>正偏离表示投标响应优于《技术规格偏离表》技术参数要求；</w:t>
      </w:r>
    </w:p>
    <w:p>
      <w:pPr>
        <w:rPr>
          <w:rFonts w:ascii="宋体" w:hAnsi="宋体"/>
          <w:b/>
          <w:bCs/>
          <w:szCs w:val="21"/>
        </w:rPr>
      </w:pPr>
      <w:r>
        <w:rPr>
          <w:rFonts w:hint="eastAsia" w:ascii="宋体" w:hAnsi="宋体"/>
          <w:b/>
          <w:bCs/>
          <w:szCs w:val="21"/>
        </w:rPr>
        <w:t>负偏离表示投标响应不满足《技术规格偏离表》技术参数要求；</w:t>
      </w:r>
    </w:p>
    <w:p>
      <w:pPr>
        <w:rPr>
          <w:rFonts w:ascii="宋体" w:hAnsi="宋体"/>
          <w:b/>
          <w:bCs/>
          <w:szCs w:val="21"/>
        </w:rPr>
      </w:pPr>
      <w:r>
        <w:rPr>
          <w:rFonts w:hint="eastAsia" w:ascii="宋体" w:hAnsi="宋体"/>
          <w:b/>
          <w:bCs/>
          <w:szCs w:val="21"/>
        </w:rPr>
        <w:t>无偏离表示投标响应与《技术规格偏离表》技术参数要求一致。</w:t>
      </w:r>
    </w:p>
    <w:p>
      <w:pPr>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要求提供证明资料，在“说明”一栏中列明证明资料的位置</w:t>
      </w:r>
      <w:r>
        <w:rPr>
          <w:rFonts w:ascii="宋体" w:hAnsi="宋体"/>
          <w:b/>
          <w:bCs/>
          <w:szCs w:val="21"/>
        </w:rPr>
        <w:t>,</w:t>
      </w:r>
      <w:r>
        <w:rPr>
          <w:rFonts w:hint="eastAsia" w:ascii="宋体" w:hAnsi="宋体"/>
          <w:b/>
          <w:bCs/>
          <w:szCs w:val="21"/>
        </w:rPr>
        <w:t>以便评审；未要求提供证明材料的，投标人可以不提供。</w:t>
      </w:r>
    </w:p>
    <w:p>
      <w:pPr>
        <w:rPr>
          <w:rFonts w:ascii="宋体" w:hAnsi="宋体"/>
          <w:b/>
          <w:bCs/>
          <w:szCs w:val="21"/>
        </w:rPr>
      </w:pPr>
      <w:r>
        <w:rPr>
          <w:rFonts w:hint="eastAsia" w:ascii="宋体" w:hAnsi="宋体"/>
          <w:b/>
          <w:bCs/>
          <w:szCs w:val="21"/>
        </w:rPr>
        <w:t>3</w:t>
      </w:r>
      <w:r>
        <w:rPr>
          <w:rFonts w:ascii="宋体" w:hAnsi="宋体"/>
          <w:b/>
          <w:bCs/>
          <w:szCs w:val="21"/>
        </w:rPr>
        <w:t>.</w:t>
      </w:r>
      <w:r>
        <w:rPr>
          <w:rFonts w:hint="eastAsia" w:ascii="宋体" w:hAnsi="宋体"/>
          <w:b/>
          <w:bCs/>
          <w:szCs w:val="21"/>
        </w:rPr>
        <w:t>评审委员会有权对投标响应情况作出判断（作出评审结论）。</w:t>
      </w:r>
    </w:p>
    <w:p>
      <w:pPr>
        <w:jc w:val="right"/>
        <w:rPr>
          <w:rFonts w:ascii="Arial" w:hAnsi="Arial" w:cs="Arial"/>
        </w:rPr>
      </w:pPr>
    </w:p>
    <w:p>
      <w:pPr>
        <w:jc w:val="right"/>
        <w:rPr>
          <w:rFonts w:ascii="宋体"/>
          <w:szCs w:val="21"/>
        </w:rPr>
      </w:pPr>
      <w:r>
        <w:rPr>
          <w:rFonts w:hint="eastAsia" w:ascii="Arial" w:hAnsi="Arial" w:cs="Arial"/>
        </w:rPr>
        <w:t>投标人（投标单位）：</w:t>
      </w:r>
      <w:r>
        <w:rPr>
          <w:rFonts w:ascii="Arial" w:hAnsi="Arial" w:cs="Arial"/>
        </w:rPr>
        <w:t>________________________</w:t>
      </w:r>
    </w:p>
    <w:p>
      <w:pPr>
        <w:wordWrap w:val="0"/>
        <w:spacing w:after="78" w:afterLines="25" w:line="276" w:lineRule="auto"/>
        <w:jc w:val="right"/>
        <w:rPr>
          <w:rFonts w:ascii="Arial" w:hAnsi="Arial" w:cs="Arial"/>
          <w:u w:val="single"/>
        </w:rPr>
      </w:pPr>
      <w:r>
        <w:rPr>
          <w:rFonts w:hint="eastAsia" w:ascii="Arial" w:hAnsi="Arial" w:cs="Arial"/>
        </w:rPr>
        <w:t>投标人法定代表人或投标人代表：</w:t>
      </w:r>
      <w:r>
        <w:rPr>
          <w:rFonts w:ascii="Arial" w:hAnsi="Arial" w:cs="Arial"/>
        </w:rPr>
        <w:t>_______________</w:t>
      </w:r>
    </w:p>
    <w:p>
      <w:pPr>
        <w:jc w:val="right"/>
        <w:rPr>
          <w:kern w:val="0"/>
          <w:sz w:val="20"/>
        </w:rPr>
      </w:pPr>
      <w:r>
        <w:rPr>
          <w:rFonts w:hint="eastAsia"/>
          <w:kern w:val="0"/>
          <w:sz w:val="20"/>
        </w:rPr>
        <w:t>日期：    年  月  日</w:t>
      </w:r>
    </w:p>
    <w:p>
      <w:pPr>
        <w:rPr>
          <w:rFonts w:ascii="宋体" w:hAnsi="宋体"/>
          <w:b/>
          <w:bCs/>
          <w:sz w:val="22"/>
          <w:szCs w:val="21"/>
        </w:rPr>
      </w:pPr>
    </w:p>
    <w:p>
      <w:pPr>
        <w:rPr>
          <w:rFonts w:hint="eastAsia" w:ascii="宋体" w:hAnsi="宋体"/>
          <w:b/>
          <w:bCs/>
          <w:sz w:val="22"/>
          <w:szCs w:val="21"/>
        </w:rPr>
      </w:pPr>
      <w:r>
        <w:rPr>
          <w:rFonts w:hint="eastAsia" w:ascii="宋体" w:hAnsi="宋体"/>
          <w:b/>
          <w:bCs/>
          <w:sz w:val="22"/>
          <w:szCs w:val="21"/>
        </w:rPr>
        <w:br w:type="page"/>
      </w:r>
    </w:p>
    <w:p>
      <w:pPr>
        <w:keepNext/>
        <w:keepLines/>
        <w:spacing w:before="260" w:after="260" w:line="360" w:lineRule="auto"/>
        <w:jc w:val="center"/>
        <w:outlineLvl w:val="2"/>
        <w:rPr>
          <w:rFonts w:ascii="宋体" w:hAnsi="宋体"/>
          <w:b/>
          <w:bCs/>
          <w:sz w:val="22"/>
          <w:szCs w:val="21"/>
        </w:rPr>
      </w:pPr>
      <w:r>
        <w:rPr>
          <w:rFonts w:hint="eastAsia" w:ascii="宋体" w:hAnsi="宋体"/>
          <w:b/>
          <w:bCs/>
          <w:sz w:val="22"/>
          <w:szCs w:val="21"/>
        </w:rPr>
        <w:t>十、《商务条款偏离表》</w:t>
      </w:r>
    </w:p>
    <w:tbl>
      <w:tblPr>
        <w:tblStyle w:val="48"/>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4422"/>
        <w:gridCol w:w="2721"/>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vAlign w:val="center"/>
          </w:tcPr>
          <w:p>
            <w:pPr>
              <w:keepNext w:val="0"/>
              <w:keepLines w:val="0"/>
              <w:suppressLineNumbers w:val="0"/>
              <w:spacing w:before="0" w:beforeAutospacing="0" w:after="0" w:afterLines="25" w:afterAutospacing="0" w:line="300" w:lineRule="auto"/>
              <w:ind w:left="0" w:leftChars="0" w:right="0" w:rightChars="0"/>
              <w:jc w:val="center"/>
              <w:rPr>
                <w:rFonts w:hint="eastAsia" w:ascii="宋体" w:hAnsi="宋体" w:eastAsia="宋体" w:cs="宋体"/>
                <w:kern w:val="0"/>
                <w:sz w:val="21"/>
                <w:szCs w:val="21"/>
                <w:vertAlign w:val="baseline"/>
                <w:lang w:eastAsia="zh-CN"/>
              </w:rPr>
            </w:pPr>
            <w:bookmarkStart w:id="334" w:name="OLE_LINK43"/>
            <w:r>
              <w:rPr>
                <w:rFonts w:hint="eastAsia" w:ascii="宋体" w:hAnsi="宋体" w:eastAsia="宋体" w:cs="宋体"/>
                <w:b/>
                <w:bCs/>
                <w:color w:val="000000"/>
                <w:sz w:val="21"/>
                <w:szCs w:val="21"/>
              </w:rPr>
              <w:t>序号</w:t>
            </w:r>
          </w:p>
        </w:tc>
        <w:tc>
          <w:tcPr>
            <w:tcW w:w="4422" w:type="dxa"/>
            <w:vAlign w:val="center"/>
          </w:tcPr>
          <w:p>
            <w:pPr>
              <w:keepNext w:val="0"/>
              <w:keepLines w:val="0"/>
              <w:suppressLineNumbers w:val="0"/>
              <w:spacing w:before="0" w:beforeAutospacing="0" w:after="0" w:afterLines="25" w:afterAutospacing="0" w:line="300" w:lineRule="auto"/>
              <w:ind w:left="0" w:leftChars="0" w:right="0" w:rightChars="0"/>
              <w:jc w:val="center"/>
              <w:rPr>
                <w:rFonts w:hint="eastAsia" w:ascii="宋体" w:hAnsi="宋体" w:eastAsia="宋体" w:cs="宋体"/>
                <w:kern w:val="0"/>
                <w:sz w:val="21"/>
                <w:szCs w:val="21"/>
                <w:vertAlign w:val="baseline"/>
              </w:rPr>
            </w:pPr>
            <w:r>
              <w:rPr>
                <w:rFonts w:hint="eastAsia" w:ascii="宋体" w:hAnsi="宋体" w:eastAsia="宋体" w:cs="宋体"/>
                <w:b/>
                <w:bCs/>
                <w:color w:val="000000"/>
                <w:sz w:val="21"/>
                <w:szCs w:val="21"/>
                <w:lang w:eastAsia="zh-CN"/>
              </w:rPr>
              <w:t>商务</w:t>
            </w:r>
            <w:r>
              <w:rPr>
                <w:rFonts w:hint="eastAsia" w:ascii="宋体" w:hAnsi="宋体" w:eastAsia="宋体" w:cs="宋体"/>
                <w:b/>
                <w:bCs/>
                <w:color w:val="000000"/>
                <w:sz w:val="21"/>
                <w:szCs w:val="21"/>
              </w:rPr>
              <w:t>要求</w:t>
            </w:r>
          </w:p>
        </w:tc>
        <w:tc>
          <w:tcPr>
            <w:tcW w:w="2721" w:type="dxa"/>
            <w:vAlign w:val="center"/>
          </w:tcPr>
          <w:p>
            <w:pPr>
              <w:keepNext w:val="0"/>
              <w:keepLines w:val="0"/>
              <w:suppressLineNumbers w:val="0"/>
              <w:spacing w:before="0" w:beforeAutospacing="0" w:after="0" w:afterLines="25" w:afterAutospacing="0" w:line="300" w:lineRule="auto"/>
              <w:ind w:left="0" w:leftChars="0" w:right="0" w:rightChars="0"/>
              <w:jc w:val="center"/>
              <w:rPr>
                <w:rFonts w:hint="eastAsia" w:ascii="宋体" w:hAnsi="宋体" w:eastAsia="宋体" w:cs="宋体"/>
                <w:kern w:val="0"/>
                <w:sz w:val="21"/>
                <w:szCs w:val="21"/>
                <w:vertAlign w:val="baseline"/>
              </w:rPr>
            </w:pPr>
            <w:r>
              <w:rPr>
                <w:rFonts w:hint="eastAsia" w:ascii="宋体" w:hAnsi="宋体" w:eastAsia="宋体" w:cs="宋体"/>
                <w:b/>
                <w:bCs/>
                <w:color w:val="000000"/>
                <w:sz w:val="21"/>
                <w:szCs w:val="21"/>
                <w:lang w:eastAsia="zh-CN"/>
              </w:rPr>
              <w:t>投标响应</w:t>
            </w:r>
          </w:p>
        </w:tc>
        <w:tc>
          <w:tcPr>
            <w:tcW w:w="1474" w:type="dxa"/>
            <w:vAlign w:val="center"/>
          </w:tcPr>
          <w:p>
            <w:pPr>
              <w:keepNext w:val="0"/>
              <w:keepLines w:val="0"/>
              <w:suppressLineNumbers w:val="0"/>
              <w:spacing w:before="0" w:beforeAutospacing="0" w:after="0" w:afterLines="25" w:afterAutospacing="0" w:line="300" w:lineRule="auto"/>
              <w:ind w:left="0" w:leftChars="0" w:right="0" w:rightChars="0"/>
              <w:jc w:val="center"/>
              <w:rPr>
                <w:rFonts w:hint="eastAsia" w:ascii="宋体" w:hAnsi="宋体" w:eastAsia="宋体" w:cs="宋体"/>
                <w:kern w:val="0"/>
                <w:sz w:val="21"/>
                <w:szCs w:val="21"/>
                <w:vertAlign w:val="baseline"/>
              </w:rPr>
            </w:pPr>
            <w:r>
              <w:rPr>
                <w:rFonts w:hint="eastAsia" w:ascii="宋体" w:hAnsi="宋体" w:eastAsia="宋体" w:cs="宋体"/>
                <w:b/>
                <w:bCs/>
                <w:color w:val="000000"/>
                <w:sz w:val="21"/>
                <w:szCs w:val="21"/>
                <w:lang w:eastAsia="zh-CN"/>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after="78" w:afterLines="25" w:line="30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1</w:t>
            </w:r>
          </w:p>
        </w:tc>
        <w:tc>
          <w:tcPr>
            <w:tcW w:w="4422" w:type="dxa"/>
            <w:vAlign w:val="center"/>
          </w:tcPr>
          <w:p>
            <w:pPr>
              <w:bidi w:val="0"/>
              <w:spacing w:afterLines="25" w:line="300" w:lineRule="auto"/>
              <w:rPr>
                <w:rFonts w:hint="eastAsia" w:ascii="宋体" w:hAnsi="宋体" w:eastAsia="宋体" w:cs="宋体"/>
                <w:kern w:val="0"/>
                <w:sz w:val="21"/>
                <w:szCs w:val="21"/>
                <w:vertAlign w:val="baseline"/>
              </w:rPr>
            </w:pPr>
            <w:r>
              <w:rPr>
                <w:rFonts w:hint="eastAsia" w:ascii="宋体" w:hAnsi="宋体" w:eastAsia="宋体" w:cs="宋体"/>
              </w:rPr>
              <w:t>报价要求：投标总价必须是完成该项目的一切费用总和，包括设备费、运输费、装卸费、保险费、技术培训费、设备安装费、调试费、售后服务费、国家规定的各项税费等全部费用。</w:t>
            </w:r>
          </w:p>
        </w:tc>
        <w:tc>
          <w:tcPr>
            <w:tcW w:w="2721" w:type="dxa"/>
            <w:vAlign w:val="center"/>
          </w:tcPr>
          <w:p>
            <w:pPr>
              <w:spacing w:after="78" w:afterLines="25" w:line="300" w:lineRule="auto"/>
              <w:jc w:val="both"/>
              <w:rPr>
                <w:rFonts w:hint="eastAsia" w:ascii="宋体" w:hAnsi="宋体" w:eastAsia="宋体" w:cs="宋体"/>
                <w:kern w:val="0"/>
                <w:sz w:val="21"/>
                <w:szCs w:val="21"/>
                <w:vertAlign w:val="baseline"/>
              </w:rPr>
            </w:pPr>
          </w:p>
        </w:tc>
        <w:tc>
          <w:tcPr>
            <w:tcW w:w="1474" w:type="dxa"/>
            <w:vAlign w:val="center"/>
          </w:tcPr>
          <w:p>
            <w:pPr>
              <w:spacing w:after="78" w:afterLines="25" w:line="300" w:lineRule="auto"/>
              <w:jc w:val="both"/>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80" w:type="dxa"/>
            <w:vAlign w:val="center"/>
          </w:tcPr>
          <w:p>
            <w:pPr>
              <w:spacing w:after="78" w:afterLines="25" w:line="30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2</w:t>
            </w:r>
          </w:p>
        </w:tc>
        <w:tc>
          <w:tcPr>
            <w:tcW w:w="4422" w:type="dxa"/>
            <w:vAlign w:val="center"/>
          </w:tcPr>
          <w:p>
            <w:pPr>
              <w:bidi w:val="0"/>
              <w:spacing w:afterLines="25" w:line="300" w:lineRule="auto"/>
              <w:rPr>
                <w:rFonts w:hint="eastAsia" w:ascii="宋体" w:hAnsi="宋体" w:eastAsia="宋体" w:cs="宋体"/>
                <w:lang w:eastAsia="zh-CN"/>
              </w:rPr>
            </w:pPr>
            <w:r>
              <w:rPr>
                <w:rFonts w:hint="eastAsia" w:ascii="宋体" w:hAnsi="宋体" w:eastAsia="宋体" w:cs="宋体"/>
              </w:rPr>
              <w:t>付款要求</w:t>
            </w:r>
            <w:r>
              <w:rPr>
                <w:rFonts w:hint="eastAsia" w:ascii="宋体" w:hAnsi="宋体" w:eastAsia="宋体" w:cs="宋体"/>
                <w:lang w:eastAsia="zh-CN"/>
              </w:rPr>
              <w:t>：</w:t>
            </w:r>
          </w:p>
          <w:p>
            <w:pPr>
              <w:bidi w:val="0"/>
              <w:spacing w:afterLines="25" w:line="300" w:lineRule="auto"/>
              <w:rPr>
                <w:rFonts w:hint="eastAsia" w:ascii="宋体" w:hAnsi="宋体" w:eastAsia="宋体" w:cs="宋体"/>
              </w:rPr>
            </w:pPr>
            <w:r>
              <w:rPr>
                <w:rFonts w:hint="eastAsia" w:ascii="宋体" w:hAnsi="宋体" w:eastAsia="宋体" w:cs="宋体"/>
              </w:rPr>
              <w:t>（1）中标人交付的标的零部件通过验收且采购人收到中标人开具的报酬总额100%的全额发票后，以支票、电汇、商业汇票等方式向中标人支付报酬总额的95%。</w:t>
            </w:r>
          </w:p>
          <w:p>
            <w:pPr>
              <w:bidi w:val="0"/>
              <w:spacing w:afterLines="25" w:line="300" w:lineRule="auto"/>
              <w:rPr>
                <w:rFonts w:hint="eastAsia" w:ascii="宋体" w:hAnsi="宋体" w:eastAsia="宋体" w:cs="宋体"/>
                <w:kern w:val="0"/>
                <w:sz w:val="21"/>
                <w:szCs w:val="21"/>
                <w:vertAlign w:val="baseline"/>
              </w:rPr>
            </w:pPr>
            <w:r>
              <w:rPr>
                <w:rFonts w:hint="eastAsia" w:ascii="宋体" w:hAnsi="宋体" w:eastAsia="宋体" w:cs="宋体"/>
              </w:rPr>
              <w:t>（2）采购人在质量保证期届满后视中标人质量责任履行情况无息支付报酬总额5%。</w:t>
            </w:r>
          </w:p>
        </w:tc>
        <w:tc>
          <w:tcPr>
            <w:tcW w:w="2721" w:type="dxa"/>
            <w:vAlign w:val="center"/>
          </w:tcPr>
          <w:p>
            <w:pPr>
              <w:spacing w:after="78" w:afterLines="25" w:line="300" w:lineRule="auto"/>
              <w:jc w:val="both"/>
              <w:rPr>
                <w:rFonts w:hint="eastAsia" w:ascii="宋体" w:hAnsi="宋体" w:eastAsia="宋体" w:cs="宋体"/>
                <w:kern w:val="0"/>
                <w:sz w:val="21"/>
                <w:szCs w:val="21"/>
                <w:vertAlign w:val="baseline"/>
              </w:rPr>
            </w:pPr>
          </w:p>
        </w:tc>
        <w:tc>
          <w:tcPr>
            <w:tcW w:w="1474" w:type="dxa"/>
            <w:vAlign w:val="center"/>
          </w:tcPr>
          <w:p>
            <w:pPr>
              <w:spacing w:after="78" w:afterLines="25" w:line="300" w:lineRule="auto"/>
              <w:jc w:val="both"/>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after="78" w:afterLines="25" w:line="30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2</w:t>
            </w:r>
          </w:p>
        </w:tc>
        <w:tc>
          <w:tcPr>
            <w:tcW w:w="4422" w:type="dxa"/>
            <w:vAlign w:val="center"/>
          </w:tcPr>
          <w:p>
            <w:pPr>
              <w:bidi w:val="0"/>
              <w:spacing w:afterLines="25" w:line="300" w:lineRule="auto"/>
              <w:rPr>
                <w:rFonts w:hint="eastAsia" w:ascii="宋体" w:hAnsi="宋体" w:eastAsia="宋体" w:cs="宋体"/>
              </w:rPr>
            </w:pPr>
            <w:r>
              <w:rPr>
                <w:rFonts w:hint="eastAsia" w:ascii="宋体" w:hAnsi="宋体" w:eastAsia="宋体" w:cs="宋体"/>
              </w:rPr>
              <w:t>违约要求：</w:t>
            </w:r>
          </w:p>
          <w:p>
            <w:pPr>
              <w:bidi w:val="0"/>
              <w:spacing w:afterLines="25" w:line="300" w:lineRule="auto"/>
              <w:rPr>
                <w:rFonts w:hint="eastAsia" w:ascii="宋体" w:hAnsi="宋体" w:eastAsia="宋体" w:cs="宋体"/>
              </w:rPr>
            </w:pPr>
            <w:r>
              <w:rPr>
                <w:rFonts w:hint="eastAsia" w:ascii="宋体" w:hAnsi="宋体" w:eastAsia="宋体" w:cs="宋体"/>
              </w:rPr>
              <w:t>（1）中标人迟延交付标的零部件，自应交付期限届满之次日起，每迟延1日，中标人应向采购人支付迟延交付部分对应价款总额5‰的违约金。迟延超过15日，采购人享有全部或部分解除本合同的选择权，前述违约金累计至实际交付日或合同解除日。</w:t>
            </w:r>
          </w:p>
          <w:p>
            <w:pPr>
              <w:bidi w:val="0"/>
              <w:spacing w:afterLines="25" w:line="300" w:lineRule="auto"/>
              <w:rPr>
                <w:rFonts w:hint="eastAsia" w:ascii="宋体" w:hAnsi="宋体" w:eastAsia="宋体" w:cs="宋体"/>
              </w:rPr>
            </w:pPr>
            <w:r>
              <w:rPr>
                <w:rFonts w:hint="eastAsia" w:ascii="宋体" w:hAnsi="宋体" w:eastAsia="宋体" w:cs="宋体"/>
              </w:rPr>
              <w:t>（2）若交付的标的零部件经检验不符合本合同约定，则中标人应按不符合部分对应价款总额的10%向采购人支付违约金；若检修完成的标的零部件经中标人修理或重修后，经第二次检验仍不符合本合同约定，则前述违约金调增为20%，同时采购人享有全部或部分解除本合同的选择权。</w:t>
            </w:r>
          </w:p>
          <w:p>
            <w:pPr>
              <w:bidi w:val="0"/>
              <w:spacing w:afterLines="25" w:line="300" w:lineRule="auto"/>
              <w:rPr>
                <w:rFonts w:hint="eastAsia" w:ascii="宋体" w:hAnsi="宋体" w:eastAsia="宋体" w:cs="宋体"/>
              </w:rPr>
            </w:pPr>
            <w:r>
              <w:rPr>
                <w:rFonts w:hint="eastAsia" w:ascii="宋体" w:hAnsi="宋体" w:eastAsia="宋体" w:cs="宋体"/>
              </w:rPr>
              <w:t>（3）若中标人未按本合同约定更换标的零部件的必换件，每出现一次，应向采购人支付报酬总额10%的违约金，并应承担因此而导致的故障、质量事故及采购人工期迟延等所引起的一切责任。同时，采购人享有全部或部分解除本合同的选择权。</w:t>
            </w:r>
          </w:p>
          <w:p>
            <w:pPr>
              <w:bidi w:val="0"/>
              <w:spacing w:afterLines="25" w:line="300" w:lineRule="auto"/>
              <w:rPr>
                <w:rFonts w:hint="eastAsia" w:ascii="宋体" w:hAnsi="宋体" w:eastAsia="宋体" w:cs="宋体"/>
              </w:rPr>
            </w:pPr>
            <w:r>
              <w:rPr>
                <w:rFonts w:hint="eastAsia" w:ascii="宋体" w:hAnsi="宋体" w:eastAsia="宋体" w:cs="宋体"/>
              </w:rPr>
              <w:t>（4）中标人违反本合同约定逾期返还采购人技术资料和图纸的，每迟延1日，向采购人承担报酬总金额5‰的违约金，直至返还为止。</w:t>
            </w:r>
          </w:p>
          <w:p>
            <w:pPr>
              <w:bidi w:val="0"/>
              <w:spacing w:afterLines="25" w:line="300" w:lineRule="auto"/>
              <w:rPr>
                <w:rFonts w:hint="eastAsia" w:ascii="宋体" w:hAnsi="宋体" w:eastAsia="宋体" w:cs="宋体"/>
              </w:rPr>
            </w:pPr>
            <w:r>
              <w:rPr>
                <w:rFonts w:hint="eastAsia" w:ascii="宋体" w:hAnsi="宋体" w:eastAsia="宋体" w:cs="宋体"/>
              </w:rPr>
              <w:t>（5）中标人应对违约而导致的采购人损失或约定违约金不足以弥补采购人损失的部分进行赔偿，该等损失包括但不限于实际损失、可得利益损失、第三方索赔、律师费、差旅费、食宿费等。</w:t>
            </w:r>
          </w:p>
          <w:p>
            <w:pPr>
              <w:bidi w:val="0"/>
              <w:spacing w:afterLines="25" w:line="300" w:lineRule="auto"/>
              <w:rPr>
                <w:rFonts w:hint="eastAsia" w:ascii="宋体" w:hAnsi="宋体" w:eastAsia="宋体" w:cs="宋体"/>
                <w:kern w:val="0"/>
                <w:sz w:val="21"/>
                <w:szCs w:val="21"/>
                <w:vertAlign w:val="baseline"/>
              </w:rPr>
            </w:pPr>
            <w:r>
              <w:rPr>
                <w:rFonts w:hint="eastAsia" w:ascii="宋体" w:hAnsi="宋体" w:eastAsia="宋体" w:cs="宋体"/>
              </w:rPr>
              <w:t>（6）若中标人收到采购人以书面形式发出违约索赔通知，应在3个工作日内将书面处理意见或解决方案回复采购人，未回复视为接受采购人索赔要求。</w:t>
            </w:r>
          </w:p>
        </w:tc>
        <w:tc>
          <w:tcPr>
            <w:tcW w:w="2721" w:type="dxa"/>
            <w:vAlign w:val="center"/>
          </w:tcPr>
          <w:p>
            <w:pPr>
              <w:spacing w:after="78" w:afterLines="25" w:line="300" w:lineRule="auto"/>
              <w:jc w:val="both"/>
              <w:rPr>
                <w:rFonts w:hint="eastAsia" w:ascii="宋体" w:hAnsi="宋体" w:eastAsia="宋体" w:cs="宋体"/>
                <w:kern w:val="0"/>
                <w:sz w:val="21"/>
                <w:szCs w:val="21"/>
                <w:vertAlign w:val="baseline"/>
              </w:rPr>
            </w:pPr>
          </w:p>
        </w:tc>
        <w:tc>
          <w:tcPr>
            <w:tcW w:w="1474" w:type="dxa"/>
            <w:vAlign w:val="center"/>
          </w:tcPr>
          <w:p>
            <w:pPr>
              <w:spacing w:after="78" w:afterLines="25" w:line="300" w:lineRule="auto"/>
              <w:jc w:val="both"/>
              <w:rPr>
                <w:rFonts w:hint="eastAsia" w:ascii="宋体" w:hAnsi="宋体" w:eastAsia="宋体" w:cs="宋体"/>
                <w:kern w:val="0"/>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spacing w:after="78" w:afterLines="25" w:line="300" w:lineRule="auto"/>
              <w:jc w:val="center"/>
              <w:rPr>
                <w:rFonts w:hint="eastAsia" w:ascii="宋体" w:hAnsi="宋体" w:eastAsia="宋体" w:cs="宋体"/>
                <w:kern w:val="0"/>
                <w:sz w:val="21"/>
                <w:szCs w:val="21"/>
                <w:vertAlign w:val="baseline"/>
                <w:lang w:val="en-US" w:eastAsia="zh-CN"/>
              </w:rPr>
            </w:pPr>
            <w:r>
              <w:rPr>
                <w:rFonts w:hint="eastAsia" w:ascii="宋体" w:hAnsi="宋体" w:eastAsia="宋体" w:cs="宋体"/>
                <w:kern w:val="0"/>
                <w:sz w:val="21"/>
                <w:szCs w:val="21"/>
                <w:vertAlign w:val="baseline"/>
                <w:lang w:val="en-US" w:eastAsia="zh-CN"/>
              </w:rPr>
              <w:t>4</w:t>
            </w:r>
          </w:p>
        </w:tc>
        <w:tc>
          <w:tcPr>
            <w:tcW w:w="4422" w:type="dxa"/>
            <w:vAlign w:val="center"/>
          </w:tcPr>
          <w:p>
            <w:pPr>
              <w:bidi w:val="0"/>
              <w:spacing w:afterLines="25" w:line="300" w:lineRule="auto"/>
              <w:rPr>
                <w:rFonts w:hint="eastAsia" w:ascii="宋体" w:hAnsi="宋体" w:eastAsia="宋体" w:cs="宋体"/>
              </w:rPr>
            </w:pPr>
            <w:r>
              <w:rPr>
                <w:rFonts w:hint="eastAsia" w:ascii="宋体" w:hAnsi="宋体" w:eastAsia="宋体" w:cs="宋体"/>
              </w:rPr>
              <w:t>售后服务</w:t>
            </w:r>
          </w:p>
          <w:p>
            <w:pPr>
              <w:bidi w:val="0"/>
              <w:spacing w:afterLines="25" w:line="300" w:lineRule="auto"/>
              <w:rPr>
                <w:rFonts w:hint="eastAsia" w:ascii="宋体" w:hAnsi="宋体" w:eastAsia="宋体" w:cs="宋体"/>
              </w:rPr>
            </w:pPr>
            <w:r>
              <w:rPr>
                <w:rFonts w:hint="eastAsia" w:ascii="宋体" w:hAnsi="宋体" w:eastAsia="宋体" w:cs="宋体"/>
              </w:rPr>
              <w:t>（1）该设备整机质量保证期为12个月。在质量保证期内出现设备缺陷、故障等质量问题，买方应尽快通知卖方，卖方收到买方通知后应在2小时内响应，48小时内到达用户现场免费处理。在质量保证期内，如有零部件损坏，卖方应负责无偿更换，并对该零部件延长质保12个月。</w:t>
            </w:r>
          </w:p>
          <w:p>
            <w:pPr>
              <w:bidi w:val="0"/>
              <w:spacing w:afterLines="25" w:line="300" w:lineRule="auto"/>
              <w:rPr>
                <w:rFonts w:hint="eastAsia" w:ascii="宋体" w:hAnsi="宋体" w:eastAsia="宋体" w:cs="宋体"/>
              </w:rPr>
            </w:pPr>
            <w:r>
              <w:rPr>
                <w:rFonts w:hint="eastAsia" w:ascii="宋体" w:hAnsi="宋体" w:eastAsia="宋体" w:cs="宋体"/>
              </w:rPr>
              <w:t>（2）设备存在设计缺陷，卖方须免费设计改造、完善性能，由此造成的一切损失由卖方负责。</w:t>
            </w:r>
          </w:p>
          <w:p>
            <w:pPr>
              <w:bidi w:val="0"/>
              <w:spacing w:afterLines="25" w:line="300" w:lineRule="auto"/>
              <w:rPr>
                <w:rFonts w:hint="eastAsia" w:ascii="宋体" w:hAnsi="宋体" w:eastAsia="宋体" w:cs="宋体"/>
                <w:kern w:val="0"/>
                <w:sz w:val="21"/>
                <w:szCs w:val="21"/>
                <w:vertAlign w:val="baseline"/>
              </w:rPr>
            </w:pPr>
            <w:r>
              <w:rPr>
                <w:rFonts w:hint="eastAsia" w:ascii="宋体" w:hAnsi="宋体" w:eastAsia="宋体" w:cs="宋体"/>
              </w:rPr>
              <w:t>（3）在质保期内设备的使用、保养、维修、改造等提供技术服务。</w:t>
            </w:r>
          </w:p>
        </w:tc>
        <w:tc>
          <w:tcPr>
            <w:tcW w:w="2721" w:type="dxa"/>
            <w:vAlign w:val="center"/>
          </w:tcPr>
          <w:p>
            <w:pPr>
              <w:spacing w:after="78" w:afterLines="25" w:line="300" w:lineRule="auto"/>
              <w:jc w:val="both"/>
              <w:rPr>
                <w:rFonts w:hint="eastAsia" w:ascii="宋体" w:hAnsi="宋体" w:eastAsia="宋体" w:cs="宋体"/>
                <w:kern w:val="0"/>
                <w:sz w:val="21"/>
                <w:szCs w:val="21"/>
                <w:vertAlign w:val="baseline"/>
              </w:rPr>
            </w:pPr>
          </w:p>
        </w:tc>
        <w:tc>
          <w:tcPr>
            <w:tcW w:w="1474" w:type="dxa"/>
            <w:vAlign w:val="center"/>
          </w:tcPr>
          <w:p>
            <w:pPr>
              <w:spacing w:after="78" w:afterLines="25" w:line="300" w:lineRule="auto"/>
              <w:jc w:val="both"/>
              <w:rPr>
                <w:rFonts w:hint="eastAsia" w:ascii="宋体" w:hAnsi="宋体" w:eastAsia="宋体" w:cs="宋体"/>
                <w:kern w:val="0"/>
                <w:sz w:val="21"/>
                <w:szCs w:val="21"/>
                <w:vertAlign w:val="baseline"/>
              </w:rPr>
            </w:pPr>
          </w:p>
        </w:tc>
      </w:tr>
      <w:bookmarkEnd w:id="334"/>
    </w:tbl>
    <w:p>
      <w:pPr>
        <w:spacing w:after="78"/>
        <w:ind w:firstLine="200" w:firstLineChars="100"/>
        <w:rPr>
          <w:kern w:val="0"/>
          <w:sz w:val="20"/>
        </w:rPr>
      </w:pPr>
    </w:p>
    <w:p>
      <w:pPr>
        <w:ind w:firstLine="422" w:firstLineChars="200"/>
        <w:rPr>
          <w:b/>
          <w:szCs w:val="21"/>
        </w:rPr>
      </w:pPr>
      <w:r>
        <w:rPr>
          <w:rFonts w:hint="eastAsia"/>
          <w:b/>
          <w:szCs w:val="21"/>
        </w:rPr>
        <w:t>说明：</w:t>
      </w:r>
    </w:p>
    <w:p>
      <w:pPr>
        <w:ind w:firstLine="422" w:firstLineChars="200"/>
        <w:rPr>
          <w:b/>
        </w:rPr>
      </w:pPr>
      <w:r>
        <w:rPr>
          <w:b/>
        </w:rPr>
        <w:t>1</w:t>
      </w:r>
      <w:r>
        <w:rPr>
          <w:rFonts w:hint="eastAsia"/>
          <w:b/>
        </w:rPr>
        <w:t>、评分时，如对一项招标商务要求（以划分框为准）中的内容存在两处（或以上）负偏离的，在评分时只作一项负偏离扣分。</w:t>
      </w:r>
    </w:p>
    <w:p>
      <w:pPr>
        <w:ind w:firstLine="422" w:firstLineChars="200"/>
        <w:rPr>
          <w:b/>
        </w:rPr>
      </w:pPr>
      <w:r>
        <w:rPr>
          <w:b/>
        </w:rPr>
        <w:t>2</w:t>
      </w:r>
      <w:r>
        <w:rPr>
          <w:rFonts w:hint="eastAsia"/>
          <w:b/>
        </w:rPr>
        <w:t>、带“★”指标项为实质性条款，如出现负偏离，将被视为未实质性满足招标文件要求作投标无效处理；带“</w:t>
      </w:r>
      <w:r>
        <w:rPr>
          <w:b/>
        </w:rPr>
        <w:t>▲</w:t>
      </w:r>
      <w:r>
        <w:rPr>
          <w:rFonts w:hint="eastAsia"/>
          <w:b/>
        </w:rPr>
        <w:t>”指标项为重要参数，负偏离时依相关评分准则内容作重点扣分处理。</w:t>
      </w:r>
    </w:p>
    <w:p>
      <w:pPr>
        <w:ind w:firstLine="422" w:firstLineChars="200"/>
        <w:rPr>
          <w:b/>
        </w:rPr>
      </w:pPr>
      <w:r>
        <w:rPr>
          <w:rFonts w:hint="eastAsia"/>
          <w:b/>
        </w:rPr>
        <w:t>3、招标技术要求中，用</w:t>
      </w:r>
      <w:r>
        <w:rPr>
          <w:rFonts w:hint="eastAsia"/>
          <w:b/>
          <w:color w:val="FF0000"/>
        </w:rPr>
        <w:t>红色加粗字体标注</w:t>
      </w:r>
      <w:r>
        <w:rPr>
          <w:rFonts w:hint="eastAsia"/>
          <w:b/>
        </w:rPr>
        <w:t>的指标项均要求提供证明资料，其余指标项未要求提供证明资料，无需提供相关证明资料。</w:t>
      </w:r>
    </w:p>
    <w:p>
      <w:pPr>
        <w:spacing w:after="78" w:afterLines="25"/>
        <w:ind w:firstLine="420"/>
        <w:rPr>
          <w:rFonts w:ascii="宋体" w:hAnsi="宋体"/>
          <w:b/>
          <w:bCs/>
          <w:szCs w:val="21"/>
        </w:rPr>
      </w:pPr>
    </w:p>
    <w:p>
      <w:pPr>
        <w:spacing w:after="78" w:afterLines="25"/>
        <w:ind w:firstLine="420"/>
        <w:rPr>
          <w:rFonts w:ascii="宋体" w:hAnsi="宋体"/>
          <w:b/>
          <w:bCs/>
          <w:szCs w:val="21"/>
        </w:rPr>
      </w:pPr>
      <w:r>
        <w:rPr>
          <w:rFonts w:ascii="宋体" w:hAnsi="宋体"/>
          <w:b/>
          <w:bCs/>
          <w:szCs w:val="21"/>
        </w:rPr>
        <w:t>注：</w:t>
      </w:r>
      <w:r>
        <w:rPr>
          <w:rFonts w:hint="eastAsia" w:ascii="宋体" w:hAnsi="宋体"/>
          <w:b/>
          <w:bCs/>
          <w:szCs w:val="21"/>
        </w:rPr>
        <w:t>1</w:t>
      </w:r>
      <w:r>
        <w:rPr>
          <w:rFonts w:ascii="宋体" w:hAnsi="宋体"/>
          <w:b/>
          <w:bCs/>
          <w:szCs w:val="21"/>
        </w:rPr>
        <w:t>.</w:t>
      </w:r>
      <w:r>
        <w:rPr>
          <w:rFonts w:hint="eastAsia" w:ascii="宋体" w:hAnsi="宋体"/>
          <w:b/>
          <w:bCs/>
          <w:szCs w:val="21"/>
        </w:rPr>
        <w:t>“偏离情况”一栏应填写正偏离、负偏离或无偏离</w:t>
      </w:r>
    </w:p>
    <w:p>
      <w:pPr>
        <w:spacing w:after="78" w:afterLines="25"/>
        <w:ind w:firstLine="420"/>
        <w:rPr>
          <w:rFonts w:ascii="宋体" w:hAnsi="宋体"/>
          <w:b/>
          <w:bCs/>
          <w:szCs w:val="21"/>
        </w:rPr>
      </w:pPr>
      <w:r>
        <w:rPr>
          <w:rFonts w:hint="eastAsia" w:ascii="宋体" w:hAnsi="宋体"/>
          <w:b/>
          <w:bCs/>
          <w:szCs w:val="21"/>
        </w:rPr>
        <w:t>正偏离表示投标响应优于《偏离表》要求；</w:t>
      </w:r>
    </w:p>
    <w:p>
      <w:pPr>
        <w:spacing w:after="78" w:afterLines="25"/>
        <w:ind w:firstLine="420"/>
        <w:rPr>
          <w:rFonts w:ascii="宋体" w:hAnsi="宋体"/>
          <w:b/>
          <w:bCs/>
          <w:szCs w:val="21"/>
        </w:rPr>
      </w:pPr>
      <w:r>
        <w:rPr>
          <w:rFonts w:hint="eastAsia" w:ascii="宋体" w:hAnsi="宋体"/>
          <w:b/>
          <w:bCs/>
          <w:szCs w:val="21"/>
        </w:rPr>
        <w:t>负偏离表示投标响应不满足《偏离表》要求；</w:t>
      </w:r>
    </w:p>
    <w:p>
      <w:pPr>
        <w:spacing w:after="78" w:afterLines="25"/>
        <w:ind w:firstLine="420"/>
        <w:rPr>
          <w:rFonts w:ascii="宋体" w:hAnsi="宋体"/>
          <w:b/>
          <w:bCs/>
          <w:szCs w:val="21"/>
        </w:rPr>
      </w:pPr>
      <w:r>
        <w:rPr>
          <w:rFonts w:hint="eastAsia" w:ascii="宋体" w:hAnsi="宋体"/>
          <w:b/>
          <w:bCs/>
          <w:szCs w:val="21"/>
        </w:rPr>
        <w:t>无偏离表示投标响应与《偏离表》要求一致。</w:t>
      </w:r>
    </w:p>
    <w:p>
      <w:pPr>
        <w:spacing w:after="78" w:afterLines="25"/>
        <w:ind w:firstLine="420"/>
        <w:rPr>
          <w:rFonts w:ascii="宋体" w:hAnsi="宋体"/>
          <w:b/>
          <w:bCs/>
          <w:szCs w:val="21"/>
        </w:rPr>
      </w:pPr>
      <w:r>
        <w:rPr>
          <w:rFonts w:hint="eastAsia" w:ascii="宋体" w:hAnsi="宋体"/>
          <w:b/>
          <w:bCs/>
          <w:szCs w:val="21"/>
        </w:rPr>
        <w:t>2</w:t>
      </w:r>
      <w:r>
        <w:rPr>
          <w:rFonts w:ascii="宋体" w:hAnsi="宋体"/>
          <w:b/>
          <w:bCs/>
          <w:szCs w:val="21"/>
        </w:rPr>
        <w:t>.</w:t>
      </w:r>
      <w:r>
        <w:rPr>
          <w:rFonts w:hint="eastAsia" w:ascii="宋体" w:hAnsi="宋体"/>
          <w:b/>
          <w:bCs/>
          <w:szCs w:val="21"/>
        </w:rPr>
        <w:t>要求提供证明资料，在“说明”一栏中列明证明资料的位置</w:t>
      </w:r>
      <w:r>
        <w:rPr>
          <w:rFonts w:ascii="宋体" w:hAnsi="宋体"/>
          <w:b/>
          <w:bCs/>
          <w:szCs w:val="21"/>
        </w:rPr>
        <w:t>,</w:t>
      </w:r>
      <w:r>
        <w:rPr>
          <w:rFonts w:hint="eastAsia" w:ascii="宋体" w:hAnsi="宋体"/>
          <w:b/>
          <w:bCs/>
          <w:szCs w:val="21"/>
        </w:rPr>
        <w:t>以便评审；未要求提供证明材料的，投标人可以不提供。</w:t>
      </w:r>
    </w:p>
    <w:p>
      <w:pPr>
        <w:spacing w:after="78" w:afterLines="25"/>
        <w:ind w:firstLine="420"/>
        <w:rPr>
          <w:rFonts w:ascii="宋体" w:hAnsi="宋体"/>
          <w:b/>
          <w:bCs/>
          <w:szCs w:val="21"/>
        </w:rPr>
      </w:pPr>
      <w:r>
        <w:rPr>
          <w:rFonts w:hint="eastAsia" w:ascii="宋体" w:hAnsi="宋体"/>
          <w:b/>
          <w:bCs/>
          <w:szCs w:val="21"/>
        </w:rPr>
        <w:t>3</w:t>
      </w:r>
      <w:r>
        <w:rPr>
          <w:rFonts w:ascii="宋体" w:hAnsi="宋体"/>
          <w:b/>
          <w:bCs/>
          <w:szCs w:val="21"/>
        </w:rPr>
        <w:t>.</w:t>
      </w:r>
      <w:r>
        <w:rPr>
          <w:rFonts w:hint="eastAsia" w:ascii="宋体" w:hAnsi="宋体"/>
          <w:b/>
          <w:bCs/>
          <w:szCs w:val="21"/>
        </w:rPr>
        <w:t>评审委员会有权对投标响应情况作出判断（作出评审结论）。</w:t>
      </w:r>
    </w:p>
    <w:p>
      <w:pPr>
        <w:jc w:val="right"/>
        <w:rPr>
          <w:rFonts w:ascii="Arial" w:hAnsi="Arial" w:cs="Arial"/>
        </w:rPr>
      </w:pPr>
    </w:p>
    <w:p>
      <w:pPr>
        <w:jc w:val="right"/>
        <w:rPr>
          <w:rFonts w:ascii="宋体"/>
          <w:szCs w:val="21"/>
        </w:rPr>
      </w:pPr>
      <w:r>
        <w:rPr>
          <w:rFonts w:hint="eastAsia" w:ascii="Arial" w:hAnsi="Arial" w:cs="Arial"/>
        </w:rPr>
        <w:t>投标人（投标单位）：</w:t>
      </w:r>
      <w:r>
        <w:rPr>
          <w:rFonts w:ascii="Arial" w:hAnsi="Arial" w:cs="Arial"/>
        </w:rPr>
        <w:t>________________________</w:t>
      </w:r>
    </w:p>
    <w:p>
      <w:pPr>
        <w:wordWrap w:val="0"/>
        <w:spacing w:after="78" w:afterLines="25" w:line="276" w:lineRule="auto"/>
        <w:jc w:val="right"/>
        <w:rPr>
          <w:rFonts w:ascii="Arial" w:hAnsi="Arial" w:cs="Arial"/>
          <w:u w:val="single"/>
        </w:rPr>
      </w:pPr>
      <w:r>
        <w:rPr>
          <w:rFonts w:hint="eastAsia" w:ascii="Arial" w:hAnsi="Arial" w:cs="Arial"/>
        </w:rPr>
        <w:t>投标人法定代表人或投标人代表：</w:t>
      </w:r>
      <w:r>
        <w:rPr>
          <w:rFonts w:ascii="Arial" w:hAnsi="Arial" w:cs="Arial"/>
        </w:rPr>
        <w:t>_______________</w:t>
      </w:r>
    </w:p>
    <w:p>
      <w:pPr>
        <w:spacing w:after="78"/>
        <w:jc w:val="right"/>
        <w:rPr>
          <w:kern w:val="0"/>
          <w:sz w:val="20"/>
        </w:rPr>
      </w:pPr>
      <w:r>
        <w:rPr>
          <w:rFonts w:hint="eastAsia"/>
          <w:kern w:val="0"/>
          <w:sz w:val="20"/>
        </w:rPr>
        <w:t>日期：    年  月  日</w:t>
      </w:r>
    </w:p>
    <w:p>
      <w:pPr>
        <w:keepNext/>
        <w:keepLines/>
        <w:spacing w:before="260" w:after="260" w:line="360" w:lineRule="auto"/>
        <w:jc w:val="center"/>
        <w:outlineLvl w:val="2"/>
        <w:rPr>
          <w:rFonts w:ascii="宋体" w:hAnsi="宋体"/>
          <w:b/>
          <w:bCs/>
          <w:sz w:val="22"/>
          <w:szCs w:val="21"/>
        </w:rPr>
      </w:pPr>
      <w:r>
        <w:rPr>
          <w:rFonts w:hint="eastAsia" w:ascii="宋体" w:hAnsi="宋体"/>
          <w:b/>
          <w:bCs/>
          <w:sz w:val="22"/>
          <w:szCs w:val="21"/>
        </w:rPr>
        <w:t>十</w:t>
      </w:r>
      <w:r>
        <w:rPr>
          <w:rFonts w:hint="eastAsia" w:ascii="宋体" w:hAnsi="宋体"/>
          <w:b/>
          <w:bCs/>
          <w:sz w:val="22"/>
          <w:szCs w:val="21"/>
          <w:lang w:eastAsia="zh-CN"/>
        </w:rPr>
        <w:t>一</w:t>
      </w:r>
      <w:r>
        <w:rPr>
          <w:rFonts w:hint="eastAsia" w:ascii="宋体" w:hAnsi="宋体"/>
          <w:b/>
          <w:bCs/>
          <w:sz w:val="22"/>
          <w:szCs w:val="21"/>
        </w:rPr>
        <w:t>、招标文件要求的其他内容及投标人认为需要加以说明其他内容（格式自拟）</w:t>
      </w:r>
    </w:p>
    <w:p>
      <w:pPr>
        <w:ind w:firstLine="200" w:firstLineChars="100"/>
        <w:rPr>
          <w:kern w:val="0"/>
          <w:sz w:val="20"/>
        </w:rPr>
      </w:pPr>
    </w:p>
    <w:p>
      <w:pPr>
        <w:spacing w:after="78" w:afterLines="25" w:line="276" w:lineRule="auto"/>
        <w:rPr>
          <w:rFonts w:ascii="Arial" w:hAnsi="Arial"/>
        </w:rPr>
      </w:pPr>
    </w:p>
    <w:p>
      <w:pPr>
        <w:keepNext/>
        <w:keepLines/>
        <w:pageBreakBefore/>
        <w:spacing w:before="340" w:after="78" w:afterLines="25" w:line="276" w:lineRule="auto"/>
        <w:jc w:val="center"/>
        <w:outlineLvl w:val="0"/>
        <w:rPr>
          <w:rFonts w:ascii="宋体" w:hAnsi="宋体" w:eastAsia="黑体"/>
          <w:b/>
          <w:bCs/>
          <w:kern w:val="44"/>
          <w:sz w:val="28"/>
          <w:szCs w:val="44"/>
        </w:rPr>
      </w:pPr>
      <w:r>
        <w:rPr>
          <w:rFonts w:ascii="宋体" w:hAnsi="宋体" w:eastAsia="黑体"/>
          <w:b/>
          <w:bCs/>
          <w:kern w:val="44"/>
          <w:sz w:val="28"/>
          <w:szCs w:val="44"/>
        </w:rPr>
        <w:t xml:space="preserve">第四章 </w:t>
      </w:r>
      <w:r>
        <w:rPr>
          <w:rFonts w:hint="eastAsia" w:ascii="宋体" w:hAnsi="宋体" w:eastAsia="黑体"/>
          <w:b/>
          <w:bCs/>
          <w:kern w:val="44"/>
          <w:sz w:val="28"/>
          <w:szCs w:val="44"/>
        </w:rPr>
        <w:t xml:space="preserve"> </w:t>
      </w:r>
      <w:r>
        <w:rPr>
          <w:rFonts w:ascii="宋体" w:hAnsi="宋体" w:eastAsia="黑体"/>
          <w:b/>
          <w:bCs/>
          <w:kern w:val="44"/>
          <w:sz w:val="28"/>
          <w:szCs w:val="44"/>
        </w:rPr>
        <w:t>招标邀请</w:t>
      </w:r>
    </w:p>
    <w:p>
      <w:pPr>
        <w:spacing w:after="78" w:afterLines="25" w:line="276" w:lineRule="auto"/>
        <w:ind w:firstLine="420" w:firstLineChars="200"/>
        <w:rPr>
          <w:rFonts w:ascii="Arial" w:hAnsi="Arial"/>
        </w:rPr>
      </w:pPr>
      <w:r>
        <w:rPr>
          <w:rFonts w:hint="eastAsia" w:ascii="Arial" w:hAnsi="Arial"/>
        </w:rPr>
        <w:t>深圳市河图建设项目管理有限公司（以下简称“招标机构”）就</w:t>
      </w:r>
      <w:r>
        <w:rPr>
          <w:rFonts w:hint="eastAsia" w:ascii="宋体" w:hAnsi="宋体" w:cs="宋体"/>
          <w:b/>
        </w:rPr>
        <w:t>深圳市长龙铁路电子工程有限公司</w:t>
      </w:r>
      <w:r>
        <w:rPr>
          <w:rFonts w:hint="eastAsia" w:ascii="Arial" w:hAnsi="Arial"/>
        </w:rPr>
        <w:t>组织的</w:t>
      </w:r>
      <w:r>
        <w:rPr>
          <w:rFonts w:hint="eastAsia" w:ascii="宋体" w:hAnsi="宋体" w:cs="宋体"/>
          <w:b/>
        </w:rPr>
        <w:t>北京副中心城际CRH6A型动车组四级修（120万公里）项目（C包）</w:t>
      </w:r>
      <w:r>
        <w:rPr>
          <w:rFonts w:hint="eastAsia" w:ascii="Arial" w:hAnsi="Arial"/>
        </w:rPr>
        <w:t xml:space="preserve">采购进行公开招标，欢迎符合招标要求的国内合格投标人参加投标。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ascii="宋体" w:hAnsi="宋体"/>
              </w:rPr>
            </w:pPr>
            <w:r>
              <w:rPr>
                <w:rFonts w:hint="eastAsia" w:ascii="宋体" w:hAnsi="宋体"/>
              </w:rPr>
              <w:t>招标文件编号</w:t>
            </w:r>
          </w:p>
        </w:tc>
        <w:tc>
          <w:tcPr>
            <w:tcW w:w="6343" w:type="dxa"/>
            <w:vAlign w:val="center"/>
          </w:tcPr>
          <w:p>
            <w:pPr>
              <w:spacing w:after="78" w:afterLines="25" w:line="300" w:lineRule="auto"/>
              <w:rPr>
                <w:rFonts w:ascii="宋体" w:hAnsi="宋体"/>
                <w:b/>
              </w:rPr>
            </w:pPr>
            <w:r>
              <w:rPr>
                <w:rFonts w:hint="eastAsia" w:ascii="宋体" w:hAnsi="宋体"/>
              </w:rPr>
              <w:t>SZHT2025-005-A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ascii="宋体" w:hAnsi="宋体"/>
              </w:rPr>
            </w:pPr>
            <w:r>
              <w:rPr>
                <w:rFonts w:hint="eastAsia" w:ascii="宋体" w:hAnsi="宋体"/>
              </w:rPr>
              <w:t>招标项目名称</w:t>
            </w:r>
          </w:p>
        </w:tc>
        <w:tc>
          <w:tcPr>
            <w:tcW w:w="6343" w:type="dxa"/>
            <w:vAlign w:val="center"/>
          </w:tcPr>
          <w:p>
            <w:pPr>
              <w:spacing w:after="78" w:afterLines="25" w:line="300" w:lineRule="auto"/>
              <w:rPr>
                <w:rFonts w:ascii="宋体" w:hAnsi="宋体"/>
              </w:rPr>
            </w:pPr>
            <w:r>
              <w:rPr>
                <w:rFonts w:hint="eastAsia" w:ascii="宋体" w:hAnsi="宋体" w:cs="宋体"/>
              </w:rPr>
              <w:t xml:space="preserve">北京副中心城际CRH6A型动车组四级修（120万公里）项目（C包）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spacing w:after="78" w:afterLines="25" w:line="300" w:lineRule="auto"/>
              <w:rPr>
                <w:rFonts w:ascii="宋体" w:hAnsi="宋体"/>
              </w:rPr>
            </w:pPr>
            <w:r>
              <w:rPr>
                <w:rFonts w:hint="eastAsia" w:ascii="宋体" w:hAnsi="宋体"/>
              </w:rPr>
              <w:t>标的内容</w:t>
            </w:r>
          </w:p>
        </w:tc>
        <w:tc>
          <w:tcPr>
            <w:tcW w:w="6343" w:type="dxa"/>
            <w:vAlign w:val="center"/>
          </w:tcPr>
          <w:p>
            <w:pPr>
              <w:spacing w:after="78" w:afterLines="25" w:line="300" w:lineRule="auto"/>
              <w:rPr>
                <w:rFonts w:ascii="宋体" w:hAnsi="宋体"/>
              </w:rPr>
            </w:pPr>
            <w:r>
              <w:rPr>
                <w:rFonts w:hint="eastAsia" w:ascii="宋体" w:hAnsi="宋体"/>
              </w:rPr>
              <w:t>本标的为</w:t>
            </w:r>
            <w:r>
              <w:rPr>
                <w:rFonts w:hint="eastAsia" w:ascii="宋体" w:hAnsi="宋体" w:cs="宋体"/>
                <w:b/>
              </w:rPr>
              <w:t>北京副中心城际CRH6A型动车组四级修（120万公里）项目（C包）</w:t>
            </w:r>
            <w:r>
              <w:rPr>
                <w:rFonts w:hint="eastAsia" w:ascii="宋体" w:hAnsi="宋体"/>
              </w:rPr>
              <w:t>，具体详见本招标文件第六章。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43" w:type="dxa"/>
            <w:vAlign w:val="center"/>
          </w:tcPr>
          <w:p>
            <w:pPr>
              <w:spacing w:after="78" w:afterLines="25" w:line="300" w:lineRule="auto"/>
              <w:rPr>
                <w:rFonts w:ascii="宋体" w:hAnsi="宋体"/>
                <w:kern w:val="0"/>
                <w:szCs w:val="21"/>
              </w:rPr>
            </w:pPr>
            <w:r>
              <w:rPr>
                <w:rFonts w:hint="eastAsia" w:ascii="宋体" w:hAnsi="宋体"/>
                <w:kern w:val="0"/>
                <w:szCs w:val="21"/>
              </w:rPr>
              <w:t>标书获得办法</w:t>
            </w:r>
          </w:p>
        </w:tc>
        <w:tc>
          <w:tcPr>
            <w:tcW w:w="6343" w:type="dxa"/>
            <w:vAlign w:val="center"/>
          </w:tcPr>
          <w:p>
            <w:pPr>
              <w:spacing w:after="78" w:afterLines="25" w:line="300" w:lineRule="auto"/>
              <w:rPr>
                <w:rFonts w:ascii="宋体" w:hAnsi="宋体"/>
              </w:rPr>
            </w:pPr>
            <w:r>
              <w:rPr>
                <w:rFonts w:hint="eastAsia" w:ascii="宋体" w:hAnsi="宋体"/>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Arial" w:hAnsi="Arial"/>
              </w:rPr>
            </w:pPr>
            <w:r>
              <w:rPr>
                <w:rFonts w:hint="eastAsia" w:ascii="宋体" w:hAnsi="宋体"/>
                <w:bCs/>
                <w:szCs w:val="21"/>
              </w:rPr>
              <w:t>★</w:t>
            </w:r>
            <w:r>
              <w:rPr>
                <w:rFonts w:hint="eastAsia" w:ascii="Arial" w:hAnsi="Arial"/>
              </w:rPr>
              <w:t>投标人资格要求</w:t>
            </w:r>
          </w:p>
        </w:tc>
        <w:tc>
          <w:tcPr>
            <w:tcW w:w="6343" w:type="dxa"/>
          </w:tcPr>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（1）具有独立法人资格或具有独立承担民事责任的能力的其它组织（提供营业执照或事业单位法人证等法人证明扫描件，原件备查）。</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（2）本项目不接受联合体投标，不接受投标人选用进口产品参与投标，不允许转包，不接受分包。</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（3）参与本项目投标前三年内，在经营活动中没有重大违法记录（由供应商在《政府采购投标及履约承诺函》中作出声明）。</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（4）参与本项目政府采购活动时不存在被有关部门禁止参与政府采购活动且在有效期内的情况（由供应商在《政府采购投标及履约承诺函》中作出声明）。</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（5）具备《中华人民共和国政府采购法》第二十二条第一款的条件（由供应商在《政府采购投标及履约承诺函》中作出声明）。</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（6）未被列入失信被执行人、重大税收违法案件当事人名单、政府采购严重违法失信行为记录名单（由供应商在《政府采购投标及履约承诺函》中作出声明）。</w:t>
            </w:r>
          </w:p>
          <w:p>
            <w:pPr>
              <w:spacing w:after="78" w:afterLines="25" w:line="360" w:lineRule="auto"/>
              <w:jc w:val="left"/>
              <w:rPr>
                <w:rFonts w:ascii="宋体" w:hAnsi="宋体" w:cs="宋体"/>
                <w:kern w:val="0"/>
                <w:szCs w:val="21"/>
                <w:shd w:val="clear" w:color="auto" w:fill="FFFFFF"/>
              </w:rPr>
            </w:pPr>
            <w:r>
              <w:rPr>
                <w:rFonts w:hint="eastAsia" w:ascii="宋体" w:hAnsi="宋体" w:cs="宋体"/>
                <w:kern w:val="0"/>
                <w:szCs w:val="21"/>
                <w:shd w:val="clear" w:color="auto" w:fill="FFFFFF"/>
              </w:rPr>
              <w:t>注：“信用中国”、“中国政府采购网”为供应商信用信息的查询渠道，相关信息以开标当日的查询结果为准。</w:t>
            </w:r>
          </w:p>
          <w:p>
            <w:pPr>
              <w:keepNext w:val="0"/>
              <w:keepLines w:val="0"/>
              <w:suppressLineNumbers w:val="0"/>
              <w:spacing w:before="0" w:beforeAutospacing="0" w:after="0" w:afterLines="25" w:afterAutospacing="0" w:line="360" w:lineRule="auto"/>
              <w:ind w:left="0" w:right="0"/>
              <w:jc w:val="left"/>
              <w:rPr>
                <w:rFonts w:hint="default" w:ascii="宋体" w:hAnsi="宋体" w:cs="宋体"/>
                <w:kern w:val="0"/>
                <w:szCs w:val="21"/>
                <w:shd w:val="clear" w:color="auto" w:fill="FFFFFF"/>
              </w:rPr>
            </w:pPr>
            <w:bookmarkStart w:id="335" w:name="OLE_LINK27"/>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7</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未参与本采购项目的整体设计、规范编制或者项目管理、监理、检测等服务。</w:t>
            </w:r>
          </w:p>
          <w:p>
            <w:pPr>
              <w:keepNext w:val="0"/>
              <w:keepLines w:val="0"/>
              <w:suppressLineNumbers w:val="0"/>
              <w:spacing w:before="0" w:beforeAutospacing="0" w:after="0" w:afterLines="25" w:afterAutospacing="0" w:line="360" w:lineRule="auto"/>
              <w:ind w:left="0" w:right="0"/>
              <w:jc w:val="left"/>
              <w:rPr>
                <w:rFonts w:ascii="宋体" w:hAnsi="宋体" w:cs="宋体"/>
                <w:kern w:val="0"/>
                <w:szCs w:val="21"/>
                <w:shd w:val="clear" w:color="auto" w:fill="FFFFFF"/>
              </w:rPr>
            </w:pP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lang w:val="en-US" w:eastAsia="zh-CN"/>
              </w:rPr>
              <w:t>8</w:t>
            </w:r>
            <w:r>
              <w:rPr>
                <w:rFonts w:hint="eastAsia" w:ascii="宋体" w:hAnsi="宋体" w:cs="宋体"/>
                <w:kern w:val="0"/>
                <w:szCs w:val="21"/>
                <w:shd w:val="clear" w:color="auto" w:fill="FFFFFF"/>
                <w:lang w:eastAsia="zh-CN"/>
              </w:rPr>
              <w:t>）</w:t>
            </w:r>
            <w:r>
              <w:rPr>
                <w:rFonts w:hint="eastAsia" w:ascii="宋体" w:hAnsi="宋体" w:cs="宋体"/>
                <w:kern w:val="0"/>
                <w:szCs w:val="21"/>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bookmarkEnd w:id="3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宋体" w:hAnsi="宋体"/>
                <w:kern w:val="0"/>
                <w:szCs w:val="21"/>
              </w:rPr>
            </w:pPr>
            <w:r>
              <w:rPr>
                <w:rFonts w:hint="eastAsia" w:ascii="宋体" w:hAnsi="宋体"/>
                <w:kern w:val="0"/>
                <w:szCs w:val="21"/>
              </w:rPr>
              <w:t>答疑事项</w:t>
            </w:r>
          </w:p>
        </w:tc>
        <w:tc>
          <w:tcPr>
            <w:tcW w:w="6343" w:type="dxa"/>
          </w:tcPr>
          <w:p>
            <w:pPr>
              <w:spacing w:after="78" w:afterLines="25" w:line="276" w:lineRule="auto"/>
              <w:rPr>
                <w:rFonts w:ascii="宋体" w:hAnsi="宋体"/>
                <w:kern w:val="0"/>
                <w:szCs w:val="21"/>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宋体" w:hAnsi="宋体"/>
                <w:kern w:val="0"/>
                <w:szCs w:val="21"/>
              </w:rPr>
            </w:pPr>
            <w:r>
              <w:rPr>
                <w:rFonts w:hint="eastAsia" w:ascii="宋体" w:hAnsi="宋体"/>
                <w:kern w:val="0"/>
                <w:szCs w:val="21"/>
              </w:rPr>
              <w:t>投标及开标</w:t>
            </w:r>
          </w:p>
        </w:tc>
        <w:tc>
          <w:tcPr>
            <w:tcW w:w="6343" w:type="dxa"/>
          </w:tcPr>
          <w:p>
            <w:pPr>
              <w:spacing w:after="78" w:afterLines="25" w:line="276" w:lineRule="auto"/>
              <w:rPr>
                <w:rFonts w:ascii="宋体" w:hAnsi="宋体"/>
                <w:kern w:val="0"/>
                <w:szCs w:val="21"/>
                <w:u w:val="single"/>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宋体" w:hAnsi="宋体"/>
                <w:kern w:val="0"/>
                <w:szCs w:val="21"/>
              </w:rPr>
            </w:pPr>
            <w:r>
              <w:rPr>
                <w:rFonts w:hint="eastAsia" w:ascii="宋体" w:hAnsi="宋体"/>
                <w:kern w:val="0"/>
                <w:szCs w:val="21"/>
              </w:rPr>
              <w:t>开标地点</w:t>
            </w:r>
          </w:p>
        </w:tc>
        <w:tc>
          <w:tcPr>
            <w:tcW w:w="6343" w:type="dxa"/>
          </w:tcPr>
          <w:p>
            <w:pPr>
              <w:spacing w:after="78" w:afterLines="25" w:line="276" w:lineRule="auto"/>
              <w:rPr>
                <w:rFonts w:ascii="宋体" w:hAnsi="宋体"/>
                <w:kern w:val="0"/>
                <w:szCs w:val="21"/>
              </w:rPr>
            </w:pPr>
            <w:r>
              <w:rPr>
                <w:rFonts w:hint="eastAsia" w:ascii="Arial" w:hAnsi="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pPr>
              <w:spacing w:after="78" w:afterLines="25" w:line="276" w:lineRule="auto"/>
              <w:rPr>
                <w:rFonts w:ascii="宋体" w:hAnsi="宋体"/>
                <w:kern w:val="0"/>
                <w:szCs w:val="21"/>
              </w:rPr>
            </w:pPr>
            <w:r>
              <w:rPr>
                <w:rFonts w:hint="eastAsia" w:ascii="宋体" w:hAnsi="宋体"/>
                <w:kern w:val="0"/>
                <w:szCs w:val="21"/>
              </w:rPr>
              <w:t>联系电话</w:t>
            </w:r>
          </w:p>
        </w:tc>
        <w:tc>
          <w:tcPr>
            <w:tcW w:w="6343" w:type="dxa"/>
          </w:tcPr>
          <w:p>
            <w:pPr>
              <w:spacing w:after="78" w:afterLines="25" w:line="276" w:lineRule="auto"/>
              <w:rPr>
                <w:rFonts w:ascii="Arial" w:hAnsi="Arial" w:cs="Arial"/>
              </w:rPr>
            </w:pPr>
            <w:r>
              <w:rPr>
                <w:rFonts w:hint="eastAsia" w:ascii="Arial" w:hAnsi="Arial"/>
              </w:rPr>
              <w:t>详见公告</w:t>
            </w:r>
          </w:p>
        </w:tc>
      </w:tr>
    </w:tbl>
    <w:p>
      <w:pPr>
        <w:keepNext/>
        <w:keepLines/>
        <w:pageBreakBefore/>
        <w:spacing w:before="340" w:after="78" w:afterLines="25" w:line="276" w:lineRule="auto"/>
        <w:jc w:val="center"/>
        <w:outlineLvl w:val="0"/>
        <w:rPr>
          <w:rFonts w:ascii="宋体" w:hAnsi="宋体" w:eastAsia="黑体"/>
          <w:b/>
          <w:bCs/>
          <w:kern w:val="44"/>
          <w:sz w:val="28"/>
          <w:szCs w:val="44"/>
        </w:rPr>
      </w:pPr>
      <w:bookmarkStart w:id="336" w:name="_Toc93397580"/>
      <w:bookmarkStart w:id="337" w:name="_Toc52762559"/>
      <w:bookmarkStart w:id="338" w:name="_Toc34664275"/>
      <w:bookmarkStart w:id="339" w:name="_Toc34703820"/>
      <w:bookmarkStart w:id="340" w:name="_Toc54430622"/>
      <w:bookmarkStart w:id="341" w:name="_Toc36146201"/>
      <w:bookmarkStart w:id="342" w:name="_Toc108257464"/>
      <w:bookmarkStart w:id="343" w:name="_Toc35742631"/>
      <w:bookmarkStart w:id="344" w:name="_Toc54411728"/>
      <w:bookmarkStart w:id="345" w:name="_Toc108260363"/>
      <w:bookmarkStart w:id="346" w:name="_Toc93397982"/>
      <w:bookmarkStart w:id="347" w:name="_Toc35941124"/>
      <w:bookmarkStart w:id="348" w:name="_Toc3785635"/>
      <w:bookmarkStart w:id="349" w:name="_Toc60130049"/>
      <w:bookmarkStart w:id="350" w:name="_Toc98731628"/>
      <w:bookmarkStart w:id="351" w:name="_Toc36279302"/>
      <w:bookmarkStart w:id="352" w:name="_Toc35071894"/>
      <w:bookmarkStart w:id="353" w:name="_Toc34789932"/>
      <w:bookmarkStart w:id="354" w:name="_Toc33953160"/>
      <w:bookmarkStart w:id="355" w:name="_Toc105389201"/>
      <w:bookmarkStart w:id="356" w:name="_Toc54430015"/>
      <w:bookmarkStart w:id="357" w:name="_Toc108257114"/>
      <w:bookmarkStart w:id="358" w:name="_Toc36268837"/>
      <w:bookmarkStart w:id="359" w:name="_Toc3785459"/>
      <w:bookmarkStart w:id="360" w:name="_Toc108257588"/>
      <w:bookmarkStart w:id="361" w:name="_Toc36123668"/>
      <w:bookmarkStart w:id="362" w:name="_Toc3785511"/>
      <w:bookmarkStart w:id="363" w:name="_Toc35107769"/>
      <w:bookmarkStart w:id="364" w:name="_Toc35222533"/>
      <w:bookmarkStart w:id="365" w:name="_Toc33775516"/>
      <w:bookmarkStart w:id="366" w:name="_Toc3785673"/>
      <w:bookmarkStart w:id="367" w:name="_Toc40761343"/>
      <w:bookmarkStart w:id="368" w:name="_Toc59932977"/>
      <w:bookmarkStart w:id="369" w:name="_Toc98672986"/>
      <w:bookmarkStart w:id="370" w:name="_Toc108257395"/>
      <w:bookmarkStart w:id="371" w:name="_Toc34745146"/>
      <w:bookmarkStart w:id="372" w:name="_Toc35068740"/>
      <w:bookmarkStart w:id="373" w:name="_Toc87857943"/>
      <w:bookmarkStart w:id="374" w:name="_Toc53335574"/>
      <w:bookmarkStart w:id="375" w:name="_Toc35599964"/>
      <w:bookmarkStart w:id="376" w:name="_Toc35622004"/>
      <w:r>
        <w:rPr>
          <w:rFonts w:ascii="宋体" w:hAnsi="宋体" w:eastAsia="黑体"/>
          <w:b/>
          <w:bCs/>
          <w:kern w:val="44"/>
          <w:sz w:val="28"/>
          <w:szCs w:val="44"/>
        </w:rPr>
        <w:t>第五章</w:t>
      </w:r>
      <w:r>
        <w:rPr>
          <w:rFonts w:hint="eastAsia" w:ascii="宋体" w:hAnsi="宋体" w:eastAsia="黑体"/>
          <w:b/>
          <w:bCs/>
          <w:kern w:val="44"/>
          <w:sz w:val="28"/>
          <w:szCs w:val="44"/>
        </w:rPr>
        <w:t xml:space="preserve">  </w:t>
      </w:r>
      <w:r>
        <w:rPr>
          <w:rFonts w:ascii="宋体" w:hAnsi="宋体" w:eastAsia="黑体"/>
          <w:b/>
          <w:bCs/>
          <w:kern w:val="44"/>
          <w:sz w:val="28"/>
          <w:szCs w:val="44"/>
        </w:rPr>
        <w:t>投标资料</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Fonts w:ascii="宋体" w:hAnsi="宋体" w:eastAsia="黑体"/>
          <w:b/>
          <w:bCs/>
          <w:kern w:val="44"/>
          <w:sz w:val="28"/>
          <w:szCs w:val="44"/>
        </w:rPr>
        <w:t>表</w:t>
      </w:r>
    </w:p>
    <w:p>
      <w:pPr>
        <w:tabs>
          <w:tab w:val="left" w:pos="4680"/>
        </w:tabs>
        <w:spacing w:after="78" w:afterLines="25" w:line="276" w:lineRule="auto"/>
        <w:ind w:firstLine="420" w:firstLineChars="200"/>
        <w:rPr>
          <w:rFonts w:ascii="Arial" w:hAnsi="Arial" w:cs="Arial"/>
        </w:rPr>
      </w:pPr>
      <w:r>
        <w:rPr>
          <w:rFonts w:hint="eastAsia" w:ascii="Arial" w:hAnsi="Arial" w:cs="Arial"/>
        </w:rPr>
        <w:t>本表关于要采购的货物的具体资料是对投标人须知的具体补充和修改。</w:t>
      </w:r>
    </w:p>
    <w:tbl>
      <w:tblPr>
        <w:tblStyle w:val="47"/>
        <w:tblW w:w="877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条款号</w:t>
            </w:r>
          </w:p>
        </w:tc>
        <w:tc>
          <w:tcPr>
            <w:tcW w:w="7906" w:type="dxa"/>
            <w:tcBorders>
              <w:top w:val="single" w:color="auto" w:sz="4" w:space="0"/>
              <w:left w:val="single" w:color="auto" w:sz="4" w:space="0"/>
              <w:bottom w:val="single" w:color="auto" w:sz="4" w:space="0"/>
              <w:right w:val="single" w:color="auto" w:sz="4" w:space="0"/>
            </w:tcBorders>
            <w:vAlign w:val="center"/>
          </w:tcPr>
          <w:p>
            <w:pPr>
              <w:ind w:firstLine="3101" w:firstLineChars="1477"/>
              <w:rPr>
                <w:rFonts w:ascii="宋体" w:hAnsi="宋体" w:cs="Arial"/>
              </w:rPr>
            </w:pPr>
            <w:r>
              <w:rPr>
                <w:rFonts w:hint="eastAsia" w:ascii="宋体" w:hAnsi="宋体" w:cs="Aria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4214" w:firstLineChars="2007"/>
              <w:rPr>
                <w:rFonts w:ascii="宋体" w:hAnsi="宋体" w:cs="Arial"/>
              </w:rPr>
            </w:pPr>
            <w:r>
              <w:rPr>
                <w:rFonts w:hint="eastAsia" w:ascii="宋体" w:hAnsi="宋体" w:cs="Aria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1.1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2.1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采购人：</w:t>
            </w:r>
            <w:r>
              <w:rPr>
                <w:rFonts w:hint="eastAsia" w:ascii="宋体" w:hAnsi="宋体" w:cs="宋体"/>
                <w:b/>
              </w:rPr>
              <w:t>深圳市长龙铁路电子工程有限公司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4.5</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除招标文件中有特殊要求外，采购项目不接受联合体投标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4048" w:firstLineChars="1928"/>
              <w:rPr>
                <w:rFonts w:ascii="宋体" w:hAnsi="宋体" w:cs="Arial"/>
              </w:rPr>
            </w:pPr>
            <w:r>
              <w:rPr>
                <w:rFonts w:hint="eastAsia" w:ascii="宋体" w:hAnsi="宋体" w:cs="Arial"/>
              </w:rPr>
              <w:t>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8.1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对招标文件澄清答复时间：投标截止前。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8.2</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对招标文件质疑的答复时间：投标截止前。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13</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投标报价，为交货价。货物总价内包含当不限于</w:t>
            </w:r>
            <w:r>
              <w:rPr>
                <w:rFonts w:ascii="宋体" w:hAnsi="宋体" w:cs="Arial"/>
              </w:rPr>
              <w:t>的</w:t>
            </w:r>
            <w:r>
              <w:rPr>
                <w:rFonts w:hint="eastAsia" w:ascii="宋体" w:hAnsi="宋体" w:cs="Arial"/>
              </w:rPr>
              <w:t>相关的费用有：</w:t>
            </w:r>
            <w:r>
              <w:rPr>
                <w:rFonts w:ascii="宋体" w:hAnsi="宋体" w:cs="Arial"/>
              </w:rPr>
              <w:t>原材料和配件费、深化设计、生产加工、安装、调试，通过有关主管部门的验收，运至合同指定地点的包装、运输、装卸、</w:t>
            </w:r>
            <w:r>
              <w:rPr>
                <w:rFonts w:hint="eastAsia" w:ascii="宋体" w:hAnsi="宋体" w:cs="Arial"/>
              </w:rPr>
              <w:t>安装</w:t>
            </w:r>
            <w:r>
              <w:rPr>
                <w:rFonts w:ascii="宋体" w:hAnsi="宋体" w:cs="Arial"/>
              </w:rPr>
              <w:t>，技术培训，检查、检验，及保修、利润、风险金</w:t>
            </w:r>
            <w:r>
              <w:rPr>
                <w:rFonts w:hint="eastAsia" w:ascii="宋体" w:hAnsi="宋体" w:cs="Arial"/>
              </w:rPr>
              <w:t>、国家规定的各项税费。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3465" w:firstLineChars="1650"/>
              <w:rPr>
                <w:rFonts w:ascii="宋体" w:hAnsi="宋体" w:cs="Arial"/>
              </w:rPr>
            </w:pPr>
            <w:r>
              <w:rPr>
                <w:rFonts w:hint="eastAsia" w:ascii="宋体" w:hAnsi="宋体" w:cs="Arial"/>
              </w:rPr>
              <w:t>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17.1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投标有效期：从投标截止之日起</w:t>
            </w:r>
            <w:r>
              <w:rPr>
                <w:rFonts w:ascii="宋体" w:hAnsi="宋体" w:cs="Arial"/>
                <w:u w:val="single"/>
              </w:rPr>
              <w:t>90</w:t>
            </w:r>
            <w:r>
              <w:rPr>
                <w:rFonts w:hint="eastAsia" w:ascii="宋体" w:hAnsi="宋体" w:cs="Arial"/>
              </w:rPr>
              <w:t>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ind w:firstLine="3645" w:firstLineChars="1736"/>
              <w:rPr>
                <w:rFonts w:ascii="宋体" w:hAnsi="宋体" w:cs="Arial"/>
              </w:rPr>
            </w:pPr>
            <w:r>
              <w:rPr>
                <w:rFonts w:hint="eastAsia" w:ascii="宋体" w:hAnsi="宋体" w:cs="Arial"/>
              </w:rPr>
              <w:t>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20.1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23.1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87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cs="Arial"/>
              </w:rPr>
              <w:t>24.1</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s="Arial"/>
              </w:rPr>
              <w:t>详见公告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 w:hRule="atLeast"/>
        </w:trPr>
        <w:tc>
          <w:tcPr>
            <w:tcW w:w="870"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hint="eastAsia" w:ascii="宋体" w:hAnsi="宋体" w:cs="Arial"/>
              </w:rPr>
              <w:t>25</w:t>
            </w:r>
          </w:p>
        </w:tc>
        <w:tc>
          <w:tcPr>
            <w:tcW w:w="7906"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rPr>
            </w:pPr>
            <w:r>
              <w:rPr>
                <w:rFonts w:ascii="宋体" w:hAnsi="宋体"/>
                <w:szCs w:val="21"/>
              </w:rPr>
              <w:t>中标供应商放弃中标资格的，或者中标供应商的中标资格被依法确认无效的，根据实际情况按相关法律规定处理。</w:t>
            </w:r>
          </w:p>
        </w:tc>
      </w:tr>
    </w:tbl>
    <w:p>
      <w:pPr>
        <w:keepNext/>
        <w:keepLines/>
        <w:pageBreakBefore/>
        <w:spacing w:before="340" w:after="78" w:afterLines="25" w:line="276" w:lineRule="auto"/>
        <w:jc w:val="center"/>
        <w:outlineLvl w:val="0"/>
        <w:rPr>
          <w:rFonts w:ascii="宋体" w:hAnsi="宋体" w:eastAsia="黑体"/>
          <w:b/>
          <w:bCs/>
          <w:kern w:val="44"/>
          <w:sz w:val="28"/>
          <w:szCs w:val="28"/>
        </w:rPr>
      </w:pPr>
      <w:bookmarkStart w:id="377" w:name="_Toc169000575"/>
      <w:bookmarkStart w:id="378" w:name="_Toc128884465"/>
      <w:r>
        <w:rPr>
          <w:rFonts w:ascii="宋体" w:hAnsi="宋体" w:eastAsia="黑体"/>
          <w:b/>
          <w:bCs/>
          <w:kern w:val="44"/>
          <w:sz w:val="28"/>
          <w:szCs w:val="28"/>
        </w:rPr>
        <w:t>第六章</w:t>
      </w:r>
      <w:r>
        <w:rPr>
          <w:rFonts w:hint="eastAsia" w:ascii="宋体" w:hAnsi="宋体" w:eastAsia="黑体"/>
          <w:b/>
          <w:bCs/>
          <w:kern w:val="44"/>
          <w:sz w:val="28"/>
          <w:szCs w:val="28"/>
        </w:rPr>
        <w:t xml:space="preserve">  招标项目要求</w:t>
      </w:r>
    </w:p>
    <w:p>
      <w:pPr>
        <w:tabs>
          <w:tab w:val="left" w:pos="0"/>
        </w:tabs>
        <w:snapToGrid w:val="0"/>
        <w:spacing w:line="360" w:lineRule="auto"/>
        <w:rPr>
          <w:rFonts w:ascii="宋体" w:hAnsi="宋体"/>
          <w:b/>
          <w:szCs w:val="21"/>
        </w:rPr>
      </w:pPr>
      <w:r>
        <w:rPr>
          <w:rFonts w:hint="eastAsia" w:ascii="宋体" w:hAnsi="宋体"/>
          <w:b/>
          <w:szCs w:val="21"/>
        </w:rPr>
        <w:t>一、本次招标的内容</w:t>
      </w:r>
    </w:p>
    <w:p>
      <w:pPr>
        <w:tabs>
          <w:tab w:val="left" w:pos="0"/>
        </w:tabs>
        <w:snapToGrid w:val="0"/>
        <w:spacing w:line="360" w:lineRule="auto"/>
        <w:rPr>
          <w:rFonts w:ascii="宋体" w:hAnsi="宋体"/>
          <w:szCs w:val="21"/>
        </w:rPr>
      </w:pPr>
      <w:r>
        <w:rPr>
          <w:rFonts w:hint="eastAsia" w:ascii="宋体" w:hAnsi="宋体"/>
          <w:szCs w:val="21"/>
        </w:rPr>
        <w:t>为确保</w:t>
      </w:r>
      <w:bookmarkStart w:id="379" w:name="OLE_LINK33"/>
      <w:r>
        <w:rPr>
          <w:rFonts w:hint="eastAsia" w:ascii="宋体" w:hAnsi="宋体"/>
          <w:szCs w:val="21"/>
        </w:rPr>
        <w:t>北京副中心城际</w:t>
      </w:r>
      <w:bookmarkStart w:id="380" w:name="OLE_LINK49"/>
      <w:bookmarkStart w:id="381" w:name="OLE_LINK48"/>
      <w:r>
        <w:rPr>
          <w:rFonts w:hint="eastAsia" w:ascii="宋体" w:hAnsi="宋体"/>
          <w:szCs w:val="21"/>
        </w:rPr>
        <w:t>CRH6A</w:t>
      </w:r>
      <w:bookmarkEnd w:id="380"/>
      <w:bookmarkEnd w:id="381"/>
      <w:r>
        <w:rPr>
          <w:rFonts w:hint="eastAsia" w:ascii="宋体" w:hAnsi="宋体"/>
          <w:szCs w:val="21"/>
        </w:rPr>
        <w:t>型动车组</w:t>
      </w:r>
      <w:bookmarkEnd w:id="379"/>
      <w:r>
        <w:rPr>
          <w:rFonts w:hint="eastAsia" w:ascii="宋体" w:hAnsi="宋体"/>
          <w:szCs w:val="21"/>
        </w:rPr>
        <w:t>的正常运行，本次项目其中就5列车厢正常运行所需更换的设备及零件进行采购，内容包括但不限于提供零件、安装调试、维修服务。一共包括四个标段：</w:t>
      </w:r>
    </w:p>
    <w:tbl>
      <w:tblPr>
        <w:tblStyle w:val="47"/>
        <w:tblW w:w="48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772"/>
        <w:gridCol w:w="932"/>
        <w:gridCol w:w="2792"/>
        <w:gridCol w:w="816"/>
        <w:gridCol w:w="816"/>
        <w:gridCol w:w="183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tblHeader/>
          <w:jc w:val="center"/>
        </w:trPr>
        <w:tc>
          <w:tcPr>
            <w:tcW w:w="454" w:type="pct"/>
            <w:vAlign w:val="center"/>
          </w:tcPr>
          <w:p>
            <w:pPr>
              <w:snapToGrid w:val="0"/>
              <w:jc w:val="center"/>
              <w:rPr>
                <w:rFonts w:ascii="宋体" w:hAnsi="宋体"/>
                <w:b/>
                <w:color w:val="000000"/>
              </w:rPr>
            </w:pPr>
            <w:r>
              <w:rPr>
                <w:rFonts w:hint="eastAsia" w:ascii="宋体" w:hAnsi="宋体"/>
                <w:b/>
                <w:color w:val="000000"/>
              </w:rPr>
              <w:t>序号</w:t>
            </w:r>
          </w:p>
        </w:tc>
        <w:tc>
          <w:tcPr>
            <w:tcW w:w="544" w:type="pct"/>
            <w:shd w:val="clear" w:color="auto" w:fill="auto"/>
            <w:noWrap/>
            <w:vAlign w:val="center"/>
          </w:tcPr>
          <w:p>
            <w:pPr>
              <w:snapToGrid w:val="0"/>
              <w:jc w:val="center"/>
              <w:rPr>
                <w:rFonts w:ascii="宋体" w:hAnsi="宋体"/>
                <w:b/>
                <w:color w:val="000000"/>
              </w:rPr>
            </w:pPr>
            <w:bookmarkStart w:id="382" w:name="_Hlk192773477"/>
            <w:r>
              <w:rPr>
                <w:rFonts w:hint="eastAsia" w:ascii="宋体" w:hAnsi="宋体"/>
                <w:b/>
                <w:color w:val="000000"/>
              </w:rPr>
              <w:t>包号</w:t>
            </w:r>
          </w:p>
        </w:tc>
        <w:tc>
          <w:tcPr>
            <w:tcW w:w="1458" w:type="pct"/>
            <w:shd w:val="clear" w:color="auto" w:fill="auto"/>
            <w:noWrap/>
            <w:vAlign w:val="center"/>
          </w:tcPr>
          <w:p>
            <w:pPr>
              <w:snapToGrid w:val="0"/>
              <w:jc w:val="center"/>
              <w:rPr>
                <w:rFonts w:ascii="宋体" w:hAnsi="宋体"/>
                <w:b/>
                <w:color w:val="000000"/>
              </w:rPr>
            </w:pPr>
            <w:r>
              <w:rPr>
                <w:rFonts w:hint="eastAsia" w:ascii="宋体" w:hAnsi="宋体"/>
                <w:b/>
                <w:color w:val="000000"/>
              </w:rPr>
              <w:t>项目内容</w:t>
            </w:r>
          </w:p>
        </w:tc>
        <w:tc>
          <w:tcPr>
            <w:tcW w:w="479" w:type="pct"/>
            <w:vAlign w:val="center"/>
          </w:tcPr>
          <w:p>
            <w:pPr>
              <w:snapToGrid w:val="0"/>
              <w:jc w:val="center"/>
              <w:rPr>
                <w:rFonts w:ascii="宋体" w:hAnsi="宋体"/>
                <w:b/>
                <w:color w:val="000000"/>
              </w:rPr>
            </w:pPr>
            <w:r>
              <w:rPr>
                <w:rFonts w:hint="eastAsia" w:ascii="宋体" w:hAnsi="宋体"/>
                <w:b/>
                <w:color w:val="000000"/>
              </w:rPr>
              <w:t>数量</w:t>
            </w:r>
          </w:p>
        </w:tc>
        <w:tc>
          <w:tcPr>
            <w:tcW w:w="479" w:type="pct"/>
            <w:vAlign w:val="center"/>
          </w:tcPr>
          <w:p>
            <w:pPr>
              <w:snapToGrid w:val="0"/>
              <w:jc w:val="center"/>
              <w:rPr>
                <w:rFonts w:ascii="宋体" w:hAnsi="宋体"/>
                <w:b/>
                <w:color w:val="000000"/>
              </w:rPr>
            </w:pPr>
            <w:r>
              <w:rPr>
                <w:rFonts w:hint="eastAsia" w:ascii="宋体" w:hAnsi="宋体"/>
                <w:b/>
                <w:color w:val="000000"/>
              </w:rPr>
              <w:t>单位</w:t>
            </w:r>
          </w:p>
        </w:tc>
        <w:tc>
          <w:tcPr>
            <w:tcW w:w="1054" w:type="pct"/>
            <w:vAlign w:val="center"/>
          </w:tcPr>
          <w:p>
            <w:pPr>
              <w:snapToGrid w:val="0"/>
              <w:jc w:val="center"/>
              <w:rPr>
                <w:rFonts w:ascii="宋体" w:hAnsi="宋体"/>
                <w:b/>
                <w:color w:val="000000"/>
              </w:rPr>
            </w:pPr>
            <w:r>
              <w:rPr>
                <w:rFonts w:hint="eastAsia" w:ascii="宋体" w:hAnsi="宋体"/>
                <w:b/>
                <w:color w:val="000000"/>
              </w:rPr>
              <w:t>预算限额（元）</w:t>
            </w:r>
          </w:p>
        </w:tc>
        <w:tc>
          <w:tcPr>
            <w:tcW w:w="532" w:type="pct"/>
            <w:vAlign w:val="center"/>
          </w:tcPr>
          <w:p>
            <w:pPr>
              <w:snapToGrid w:val="0"/>
              <w:jc w:val="center"/>
              <w:rPr>
                <w:rFonts w:ascii="宋体" w:hAnsi="宋体"/>
                <w:b/>
                <w:color w:val="000000"/>
              </w:rPr>
            </w:pPr>
            <w:r>
              <w:rPr>
                <w:rFonts w:hint="eastAsia" w:ascii="宋体" w:hAnsi="宋体"/>
                <w:b/>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jc w:val="center"/>
        </w:trPr>
        <w:tc>
          <w:tcPr>
            <w:tcW w:w="454" w:type="pct"/>
            <w:vAlign w:val="center"/>
          </w:tcPr>
          <w:p>
            <w:pPr>
              <w:jc w:val="center"/>
              <w:rPr>
                <w:rFonts w:ascii="宋体" w:hAnsi="宋体"/>
              </w:rPr>
            </w:pPr>
            <w:bookmarkStart w:id="383" w:name="OLE_LINK41" w:colFirst="3" w:colLast="4"/>
            <w:r>
              <w:rPr>
                <w:rFonts w:hint="eastAsia" w:ascii="宋体" w:hAnsi="宋体"/>
              </w:rPr>
              <w:t>1</w:t>
            </w:r>
          </w:p>
        </w:tc>
        <w:tc>
          <w:tcPr>
            <w:tcW w:w="544" w:type="pct"/>
            <w:shd w:val="clear" w:color="auto" w:fill="auto"/>
            <w:noWrap/>
            <w:vAlign w:val="center"/>
          </w:tcPr>
          <w:p>
            <w:pPr>
              <w:jc w:val="center"/>
              <w:rPr>
                <w:rFonts w:ascii="宋体" w:hAnsi="宋体"/>
              </w:rPr>
            </w:pPr>
            <w:r>
              <w:rPr>
                <w:rFonts w:hint="eastAsia" w:ascii="宋体" w:hAnsi="宋体"/>
              </w:rPr>
              <w:t>A包</w:t>
            </w:r>
          </w:p>
        </w:tc>
        <w:tc>
          <w:tcPr>
            <w:tcW w:w="1458" w:type="pct"/>
            <w:shd w:val="clear" w:color="auto" w:fill="auto"/>
            <w:noWrap/>
            <w:vAlign w:val="center"/>
          </w:tcPr>
          <w:p>
            <w:pPr>
              <w:widowControl/>
              <w:jc w:val="center"/>
              <w:textAlignment w:val="center"/>
              <w:rPr>
                <w:rFonts w:ascii="宋体" w:hAnsi="宋体" w:cs="宋体"/>
                <w:color w:val="000000"/>
                <w:kern w:val="0"/>
                <w:lang w:bidi="ar"/>
              </w:rPr>
            </w:pPr>
            <w:r>
              <w:rPr>
                <w:rFonts w:ascii="宋体" w:hAnsi="宋体" w:cs="宋体"/>
                <w:color w:val="000000"/>
                <w:kern w:val="0"/>
                <w:lang w:bidi="ar"/>
              </w:rPr>
              <w:t>LKJ</w:t>
            </w:r>
            <w:r>
              <w:rPr>
                <w:rFonts w:hint="eastAsia" w:ascii="宋体" w:hAnsi="宋体" w:cs="宋体"/>
                <w:color w:val="000000"/>
                <w:kern w:val="0"/>
                <w:lang w:bidi="ar"/>
              </w:rPr>
              <w:t>设备</w:t>
            </w:r>
          </w:p>
        </w:tc>
        <w:tc>
          <w:tcPr>
            <w:tcW w:w="479" w:type="pct"/>
            <w:vAlign w:val="center"/>
          </w:tcPr>
          <w:p>
            <w:pPr>
              <w:jc w:val="center"/>
              <w:rPr>
                <w:rFonts w:ascii="宋体" w:hAnsi="宋体"/>
                <w:color w:val="000000"/>
                <w:szCs w:val="21"/>
              </w:rPr>
            </w:pPr>
            <w:r>
              <w:rPr>
                <w:rFonts w:hint="eastAsia" w:ascii="宋体" w:hAnsi="宋体"/>
                <w:szCs w:val="21"/>
              </w:rPr>
              <w:t>5</w:t>
            </w:r>
          </w:p>
        </w:tc>
        <w:tc>
          <w:tcPr>
            <w:tcW w:w="479" w:type="pct"/>
            <w:vAlign w:val="center"/>
          </w:tcPr>
          <w:p>
            <w:pPr>
              <w:jc w:val="center"/>
              <w:rPr>
                <w:rFonts w:ascii="宋体" w:hAnsi="宋体" w:cs="宋体"/>
                <w:color w:val="000000"/>
                <w:szCs w:val="21"/>
              </w:rPr>
            </w:pPr>
            <w:r>
              <w:rPr>
                <w:rFonts w:hint="eastAsia" w:ascii="宋体" w:hAnsi="宋体"/>
                <w:color w:val="000000"/>
                <w:szCs w:val="21"/>
              </w:rPr>
              <w:t>列</w:t>
            </w:r>
          </w:p>
        </w:tc>
        <w:tc>
          <w:tcPr>
            <w:tcW w:w="1054" w:type="pct"/>
            <w:vAlign w:val="center"/>
          </w:tcPr>
          <w:p>
            <w:pPr>
              <w:jc w:val="center"/>
              <w:rPr>
                <w:rFonts w:ascii="宋体" w:hAnsi="宋体" w:cs="宋体"/>
                <w:color w:val="000000"/>
                <w:szCs w:val="21"/>
              </w:rPr>
            </w:pPr>
            <w:bookmarkStart w:id="384" w:name="OLE_LINK64"/>
            <w:bookmarkStart w:id="385" w:name="OLE_LINK63"/>
            <w:r>
              <w:rPr>
                <w:rFonts w:hint="eastAsia" w:ascii="宋体" w:hAnsi="宋体"/>
                <w:color w:val="000000"/>
                <w:szCs w:val="21"/>
              </w:rPr>
              <w:t>1930000.00</w:t>
            </w:r>
            <w:bookmarkEnd w:id="384"/>
            <w:bookmarkEnd w:id="385"/>
          </w:p>
        </w:tc>
        <w:tc>
          <w:tcPr>
            <w:tcW w:w="532" w:type="pct"/>
            <w:vAlign w:val="center"/>
          </w:tcPr>
          <w:p>
            <w:pPr>
              <w:jc w:val="center"/>
              <w:rPr>
                <w:rFonts w:ascii="宋体" w:hAnsi="宋体"/>
                <w:color w:val="000000"/>
                <w:szCs w:val="21"/>
              </w:rPr>
            </w:pPr>
            <w:r>
              <w:rPr>
                <w:rFonts w:hint="eastAsia" w:ascii="宋体" w:hAnsi="宋体"/>
                <w:color w:val="000000"/>
                <w:szCs w:val="21"/>
              </w:rPr>
              <w:t>/</w:t>
            </w:r>
          </w:p>
        </w:tc>
      </w:tr>
      <w:bookmarkEnd w:id="3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54" w:type="pct"/>
            <w:vAlign w:val="center"/>
          </w:tcPr>
          <w:p>
            <w:pPr>
              <w:jc w:val="center"/>
              <w:rPr>
                <w:rFonts w:ascii="宋体" w:hAnsi="宋体"/>
              </w:rPr>
            </w:pPr>
            <w:r>
              <w:rPr>
                <w:rFonts w:hint="eastAsia" w:ascii="宋体" w:hAnsi="宋体"/>
              </w:rPr>
              <w:t>2</w:t>
            </w:r>
          </w:p>
        </w:tc>
        <w:tc>
          <w:tcPr>
            <w:tcW w:w="544" w:type="pct"/>
            <w:shd w:val="clear" w:color="auto" w:fill="auto"/>
            <w:noWrap/>
            <w:vAlign w:val="center"/>
          </w:tcPr>
          <w:p>
            <w:pPr>
              <w:jc w:val="center"/>
              <w:rPr>
                <w:rFonts w:ascii="宋体" w:hAnsi="宋体"/>
              </w:rPr>
            </w:pPr>
            <w:r>
              <w:rPr>
                <w:rFonts w:hint="eastAsia" w:ascii="宋体" w:hAnsi="宋体"/>
              </w:rPr>
              <w:t>B包</w:t>
            </w:r>
          </w:p>
        </w:tc>
        <w:tc>
          <w:tcPr>
            <w:tcW w:w="1458" w:type="pct"/>
            <w:shd w:val="clear" w:color="auto" w:fill="auto"/>
            <w:noWrap/>
            <w:vAlign w:val="center"/>
          </w:tcPr>
          <w:p>
            <w:pPr>
              <w:widowControl/>
              <w:jc w:val="center"/>
              <w:textAlignment w:val="center"/>
              <w:rPr>
                <w:rFonts w:ascii="宋体" w:hAnsi="宋体" w:cs="宋体"/>
                <w:color w:val="000000"/>
              </w:rPr>
            </w:pPr>
            <w:r>
              <w:rPr>
                <w:rFonts w:hint="eastAsia" w:ascii="宋体" w:hAnsi="宋体" w:cs="宋体"/>
                <w:color w:val="000000"/>
                <w:kern w:val="0"/>
                <w:lang w:bidi="ar"/>
              </w:rPr>
              <w:t>CIR设备四级修</w:t>
            </w:r>
          </w:p>
        </w:tc>
        <w:tc>
          <w:tcPr>
            <w:tcW w:w="850" w:type="dxa"/>
            <w:vAlign w:val="center"/>
          </w:tcPr>
          <w:p>
            <w:pPr>
              <w:jc w:val="center"/>
              <w:rPr>
                <w:rFonts w:ascii="宋体" w:hAnsi="宋体"/>
                <w:color w:val="000000"/>
                <w:szCs w:val="21"/>
              </w:rPr>
            </w:pPr>
            <w:r>
              <w:rPr>
                <w:rFonts w:hint="eastAsia" w:ascii="宋体" w:hAnsi="宋体"/>
                <w:szCs w:val="21"/>
              </w:rPr>
              <w:t>5</w:t>
            </w:r>
          </w:p>
        </w:tc>
        <w:tc>
          <w:tcPr>
            <w:tcW w:w="850" w:type="dxa"/>
            <w:vAlign w:val="center"/>
          </w:tcPr>
          <w:p>
            <w:pPr>
              <w:jc w:val="center"/>
              <w:rPr>
                <w:rFonts w:ascii="宋体" w:hAnsi="宋体" w:cs="宋体"/>
                <w:color w:val="000000"/>
                <w:szCs w:val="21"/>
              </w:rPr>
            </w:pPr>
            <w:r>
              <w:rPr>
                <w:rFonts w:hint="eastAsia" w:ascii="宋体" w:hAnsi="宋体"/>
                <w:color w:val="000000"/>
                <w:szCs w:val="21"/>
              </w:rPr>
              <w:t>列</w:t>
            </w:r>
          </w:p>
        </w:tc>
        <w:tc>
          <w:tcPr>
            <w:tcW w:w="1054" w:type="pct"/>
            <w:vAlign w:val="center"/>
          </w:tcPr>
          <w:p>
            <w:pPr>
              <w:jc w:val="center"/>
              <w:rPr>
                <w:rFonts w:ascii="宋体" w:hAnsi="宋体" w:cs="宋体"/>
                <w:color w:val="000000"/>
                <w:szCs w:val="21"/>
              </w:rPr>
            </w:pPr>
            <w:r>
              <w:rPr>
                <w:rFonts w:hint="eastAsia" w:ascii="宋体" w:hAnsi="宋体"/>
                <w:color w:val="000000"/>
                <w:szCs w:val="21"/>
              </w:rPr>
              <w:t>627000.00</w:t>
            </w:r>
          </w:p>
        </w:tc>
        <w:tc>
          <w:tcPr>
            <w:tcW w:w="532" w:type="pct"/>
            <w:vAlign w:val="center"/>
          </w:tcPr>
          <w:p>
            <w:pPr>
              <w:jc w:val="center"/>
              <w:rPr>
                <w:rFonts w:ascii="宋体" w:hAnsi="宋体"/>
                <w:color w:val="000000"/>
                <w:szCs w:val="21"/>
              </w:rPr>
            </w:pP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bookmarkStart w:id="386" w:name="OLE_LINK16" w:colFirst="2" w:colLast="2"/>
            <w:r>
              <w:rPr>
                <w:rFonts w:hint="eastAsia" w:ascii="宋体" w:hAnsi="宋体"/>
              </w:rPr>
              <w:t>3</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rPr>
            </w:pPr>
            <w:r>
              <w:rPr>
                <w:rFonts w:hint="eastAsia" w:ascii="宋体" w:hAnsi="宋体"/>
              </w:rPr>
              <w:t>C包</w:t>
            </w:r>
          </w:p>
        </w:tc>
        <w:tc>
          <w:tcPr>
            <w:tcW w:w="14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cs="宋体"/>
                <w:color w:val="000000"/>
                <w:kern w:val="0"/>
                <w:lang w:val="en-US" w:eastAsia="zh-CN" w:bidi="ar"/>
              </w:rPr>
            </w:pPr>
            <w:bookmarkStart w:id="387" w:name="OLE_LINK26"/>
            <w:r>
              <w:rPr>
                <w:rFonts w:hint="eastAsia" w:ascii="宋体" w:hAnsi="宋体" w:cs="宋体"/>
                <w:color w:val="000000"/>
                <w:kern w:val="0"/>
                <w:lang w:bidi="ar"/>
              </w:rPr>
              <w:t>DMS、</w:t>
            </w:r>
            <w:bookmarkStart w:id="388" w:name="OLE_LINK28"/>
            <w:r>
              <w:rPr>
                <w:rFonts w:hint="eastAsia" w:ascii="宋体" w:hAnsi="宋体" w:cs="宋体"/>
                <w:color w:val="000000"/>
                <w:kern w:val="0"/>
                <w:lang w:bidi="ar"/>
              </w:rPr>
              <w:t>EOAS车载设备</w:t>
            </w:r>
            <w:bookmarkEnd w:id="388"/>
            <w:r>
              <w:rPr>
                <w:rFonts w:hint="eastAsia" w:ascii="宋体" w:hAnsi="宋体" w:cs="宋体"/>
                <w:color w:val="000000"/>
                <w:kern w:val="0"/>
                <w:lang w:bidi="ar"/>
              </w:rPr>
              <w:t>四级修</w:t>
            </w:r>
            <w:bookmarkEnd w:id="387"/>
            <w:r>
              <w:rPr>
                <w:rFonts w:hint="eastAsia" w:ascii="宋体" w:hAnsi="宋体" w:cs="宋体"/>
                <w:color w:val="000000"/>
                <w:kern w:val="0"/>
                <w:lang w:val="en-US" w:eastAsia="zh-CN" w:bidi="ar"/>
              </w:rPr>
              <w:t>及</w:t>
            </w:r>
          </w:p>
          <w:p>
            <w:pPr>
              <w:widowControl/>
              <w:jc w:val="center"/>
              <w:textAlignment w:val="center"/>
              <w:rPr>
                <w:rFonts w:hint="default" w:ascii="宋体" w:hAnsi="宋体" w:cs="宋体"/>
                <w:color w:val="000000"/>
                <w:kern w:val="0"/>
                <w:lang w:val="en-US" w:eastAsia="zh-CN" w:bidi="ar"/>
              </w:rPr>
            </w:pPr>
            <w:r>
              <w:rPr>
                <w:rFonts w:hint="eastAsia" w:ascii="宋体" w:hAnsi="宋体" w:cs="宋体"/>
                <w:color w:val="000000"/>
                <w:kern w:val="0"/>
                <w:lang w:val="en-US" w:eastAsia="zh-CN" w:bidi="ar"/>
              </w:rPr>
              <w:t>EOAS高清线路摄像机</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lang w:bidi="ar"/>
              </w:rPr>
            </w:pPr>
            <w:r>
              <w:rPr>
                <w:rFonts w:hint="eastAsia" w:ascii="宋体" w:hAnsi="宋体" w:cs="宋体"/>
                <w:color w:val="000000"/>
                <w:kern w:val="0"/>
                <w:lang w:bidi="ar"/>
              </w:rPr>
              <w:t>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列</w:t>
            </w:r>
          </w:p>
        </w:tc>
        <w:tc>
          <w:tcPr>
            <w:tcW w:w="10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1520000.00</w:t>
            </w:r>
          </w:p>
        </w:tc>
        <w:tc>
          <w:tcPr>
            <w:tcW w:w="5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w:t>
            </w:r>
          </w:p>
        </w:tc>
      </w:tr>
      <w:bookmarkEnd w:id="3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4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4</w:t>
            </w:r>
          </w:p>
        </w:tc>
        <w:tc>
          <w:tcPr>
            <w:tcW w:w="5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rPr>
            </w:pPr>
            <w:r>
              <w:rPr>
                <w:rFonts w:hint="eastAsia" w:ascii="宋体" w:hAnsi="宋体"/>
              </w:rPr>
              <w:t>D包</w:t>
            </w:r>
          </w:p>
        </w:tc>
        <w:tc>
          <w:tcPr>
            <w:tcW w:w="14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lang w:bidi="ar"/>
              </w:rPr>
            </w:pPr>
            <w:r>
              <w:rPr>
                <w:rFonts w:hint="eastAsia" w:ascii="宋体" w:hAnsi="宋体" w:cs="宋体"/>
                <w:color w:val="000000"/>
                <w:kern w:val="0"/>
                <w:lang w:bidi="ar"/>
              </w:rPr>
              <w:t>LAIS车载设备四级修</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szCs w:val="21"/>
              </w:rPr>
              <w:t>5</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列</w:t>
            </w:r>
          </w:p>
        </w:tc>
        <w:tc>
          <w:tcPr>
            <w:tcW w:w="105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olor w:val="000000"/>
                <w:szCs w:val="21"/>
              </w:rPr>
              <w:t>500000.00</w:t>
            </w:r>
          </w:p>
        </w:tc>
        <w:tc>
          <w:tcPr>
            <w:tcW w:w="53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w:t>
            </w:r>
          </w:p>
        </w:tc>
      </w:tr>
      <w:bookmarkEnd w:id="382"/>
    </w:tbl>
    <w:p>
      <w:pPr>
        <w:spacing w:line="360" w:lineRule="auto"/>
        <w:rPr>
          <w:b/>
          <w:kern w:val="0"/>
          <w:sz w:val="20"/>
        </w:rPr>
      </w:pPr>
      <w:bookmarkStart w:id="389" w:name="OLE_LINK32"/>
      <w:r>
        <w:rPr>
          <w:rFonts w:hint="eastAsia"/>
          <w:b/>
          <w:kern w:val="0"/>
          <w:sz w:val="20"/>
        </w:rPr>
        <w:t>二、实质性条款</w:t>
      </w:r>
    </w:p>
    <w:tbl>
      <w:tblPr>
        <w:tblStyle w:val="4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lang w:bidi="ar"/>
              </w:rPr>
              <w:t>序号</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lang w:bidi="ar"/>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bookmarkStart w:id="390" w:name="_Hlk193730291"/>
            <w:r>
              <w:rPr>
                <w:rFonts w:hint="eastAsia" w:ascii="宋体" w:hAnsi="宋体" w:cs="宋体"/>
                <w:kern w:val="0"/>
                <w:szCs w:val="21"/>
              </w:rPr>
              <w:t>1</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kern w:val="0"/>
                <w:szCs w:val="21"/>
              </w:rPr>
            </w:pPr>
            <w:r>
              <w:rPr>
                <w:rFonts w:hint="eastAsia" w:hAnsi="宋体" w:cs="宋体"/>
                <w:kern w:val="0"/>
                <w:szCs w:val="21"/>
              </w:rPr>
              <w:t>投标文件载明的交货期不超过招标文件规定的期限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rPr>
              <w:t>2</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kern w:val="0"/>
                <w:szCs w:val="21"/>
              </w:rPr>
            </w:pPr>
            <w:r>
              <w:rPr>
                <w:rFonts w:hint="eastAsia" w:hAnsi="宋体" w:cs="宋体"/>
                <w:kern w:val="0"/>
                <w:szCs w:val="21"/>
              </w:rPr>
              <w:t>投标文件载明的免费保修期不低于招标文件规定的期限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kern w:val="0"/>
                <w:szCs w:val="21"/>
              </w:rPr>
            </w:pPr>
            <w:r>
              <w:rPr>
                <w:rFonts w:hint="eastAsia" w:ascii="宋体" w:hAnsi="宋体" w:cs="宋体"/>
                <w:kern w:val="0"/>
                <w:szCs w:val="21"/>
              </w:rPr>
              <w:t>3</w:t>
            </w:r>
          </w:p>
        </w:tc>
        <w:tc>
          <w:tcPr>
            <w:tcW w:w="7483"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rFonts w:hAnsi="宋体"/>
                <w:kern w:val="0"/>
                <w:szCs w:val="21"/>
              </w:rPr>
            </w:pPr>
            <w:r>
              <w:rPr>
                <w:rFonts w:hint="eastAsia" w:hAnsi="宋体" w:cs="宋体"/>
                <w:kern w:val="0"/>
                <w:szCs w:val="21"/>
              </w:rPr>
              <w:t>招标文件的具体技术要求、商务要求。</w:t>
            </w:r>
          </w:p>
        </w:tc>
      </w:tr>
      <w:bookmarkEnd w:id="389"/>
      <w:bookmarkEnd w:id="390"/>
    </w:tbl>
    <w:p>
      <w:pPr>
        <w:spacing w:line="360" w:lineRule="auto"/>
        <w:rPr>
          <w:b/>
          <w:kern w:val="0"/>
          <w:sz w:val="20"/>
        </w:rPr>
      </w:pPr>
      <w:r>
        <w:rPr>
          <w:rFonts w:hint="eastAsia"/>
          <w:b/>
          <w:kern w:val="0"/>
          <w:sz w:val="20"/>
          <w:lang w:eastAsia="zh-CN"/>
        </w:rPr>
        <w:t>三</w:t>
      </w:r>
      <w:r>
        <w:rPr>
          <w:b/>
          <w:kern w:val="0"/>
          <w:sz w:val="20"/>
        </w:rPr>
        <w:t>、货物总清单</w:t>
      </w:r>
    </w:p>
    <w:tbl>
      <w:tblPr>
        <w:tblStyle w:val="47"/>
        <w:tblW w:w="47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574"/>
        <w:gridCol w:w="1519"/>
        <w:gridCol w:w="847"/>
        <w:gridCol w:w="847"/>
        <w:gridCol w:w="1165"/>
        <w:gridCol w:w="1416"/>
        <w:gridCol w:w="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5" w:hRule="atLeast"/>
          <w:jc w:val="center"/>
        </w:trPr>
        <w:tc>
          <w:tcPr>
            <w:tcW w:w="387" w:type="pct"/>
            <w:vAlign w:val="center"/>
          </w:tcPr>
          <w:p>
            <w:pPr>
              <w:widowControl/>
              <w:jc w:val="center"/>
              <w:rPr>
                <w:rFonts w:ascii="宋体" w:hAnsi="宋体"/>
                <w:b/>
                <w:bCs/>
                <w:szCs w:val="21"/>
              </w:rPr>
            </w:pPr>
            <w:r>
              <w:rPr>
                <w:rFonts w:ascii="宋体" w:hAnsi="宋体"/>
                <w:b/>
                <w:bCs/>
                <w:szCs w:val="21"/>
              </w:rPr>
              <w:t>序号</w:t>
            </w:r>
          </w:p>
        </w:tc>
        <w:tc>
          <w:tcPr>
            <w:tcW w:w="890" w:type="pct"/>
            <w:vAlign w:val="center"/>
          </w:tcPr>
          <w:p>
            <w:pPr>
              <w:jc w:val="center"/>
              <w:rPr>
                <w:rFonts w:ascii="宋体" w:hAnsi="宋体"/>
                <w:b/>
                <w:bCs/>
                <w:szCs w:val="21"/>
              </w:rPr>
            </w:pPr>
            <w:r>
              <w:rPr>
                <w:rFonts w:hint="eastAsia" w:ascii="宋体" w:hAnsi="宋体"/>
                <w:b/>
                <w:bCs/>
                <w:szCs w:val="21"/>
              </w:rPr>
              <w:t>项目名称</w:t>
            </w:r>
          </w:p>
        </w:tc>
        <w:tc>
          <w:tcPr>
            <w:tcW w:w="859" w:type="pct"/>
            <w:vAlign w:val="center"/>
          </w:tcPr>
          <w:p>
            <w:pPr>
              <w:widowControl/>
              <w:jc w:val="center"/>
              <w:rPr>
                <w:rFonts w:hint="eastAsia" w:ascii="宋体" w:hAnsi="宋体" w:eastAsia="宋体"/>
                <w:b/>
                <w:bCs/>
                <w:szCs w:val="21"/>
                <w:lang w:eastAsia="zh-CN"/>
              </w:rPr>
            </w:pPr>
            <w:r>
              <w:rPr>
                <w:rFonts w:hint="eastAsia" w:ascii="宋体" w:hAnsi="宋体"/>
                <w:b/>
                <w:bCs/>
                <w:szCs w:val="21"/>
                <w:lang w:eastAsia="zh-CN"/>
              </w:rPr>
              <w:t>子项</w:t>
            </w:r>
          </w:p>
        </w:tc>
        <w:tc>
          <w:tcPr>
            <w:tcW w:w="479" w:type="pct"/>
            <w:vAlign w:val="center"/>
          </w:tcPr>
          <w:p>
            <w:pPr>
              <w:widowControl/>
              <w:jc w:val="center"/>
              <w:rPr>
                <w:rFonts w:ascii="宋体" w:hAnsi="宋体"/>
                <w:b/>
                <w:bCs/>
                <w:szCs w:val="21"/>
              </w:rPr>
            </w:pPr>
            <w:r>
              <w:rPr>
                <w:rFonts w:ascii="宋体" w:hAnsi="宋体"/>
                <w:b/>
                <w:bCs/>
                <w:szCs w:val="21"/>
              </w:rPr>
              <w:t>数量</w:t>
            </w:r>
          </w:p>
        </w:tc>
        <w:tc>
          <w:tcPr>
            <w:tcW w:w="479" w:type="pct"/>
            <w:vAlign w:val="center"/>
          </w:tcPr>
          <w:p>
            <w:pPr>
              <w:widowControl/>
              <w:jc w:val="center"/>
              <w:rPr>
                <w:rFonts w:ascii="宋体" w:hAnsi="宋体"/>
                <w:b/>
                <w:bCs/>
                <w:szCs w:val="21"/>
              </w:rPr>
            </w:pPr>
            <w:r>
              <w:rPr>
                <w:rFonts w:ascii="宋体" w:hAnsi="宋体"/>
                <w:b/>
                <w:bCs/>
                <w:szCs w:val="21"/>
              </w:rPr>
              <w:t>单位</w:t>
            </w:r>
          </w:p>
        </w:tc>
        <w:tc>
          <w:tcPr>
            <w:tcW w:w="659" w:type="pct"/>
            <w:vAlign w:val="center"/>
          </w:tcPr>
          <w:p>
            <w:pPr>
              <w:widowControl/>
              <w:jc w:val="center"/>
              <w:rPr>
                <w:rFonts w:ascii="宋体" w:hAnsi="宋体"/>
                <w:b/>
                <w:bCs/>
                <w:szCs w:val="21"/>
              </w:rPr>
            </w:pPr>
            <w:r>
              <w:rPr>
                <w:rFonts w:hint="eastAsia" w:ascii="宋体" w:hAnsi="宋体"/>
                <w:b/>
                <w:bCs/>
                <w:szCs w:val="21"/>
              </w:rPr>
              <w:t>预算限额（元）</w:t>
            </w:r>
          </w:p>
        </w:tc>
        <w:tc>
          <w:tcPr>
            <w:tcW w:w="801" w:type="pct"/>
            <w:vAlign w:val="center"/>
          </w:tcPr>
          <w:p>
            <w:pPr>
              <w:widowControl/>
              <w:jc w:val="center"/>
              <w:rPr>
                <w:rFonts w:ascii="宋体" w:hAnsi="宋体"/>
                <w:b/>
                <w:bCs/>
                <w:szCs w:val="21"/>
              </w:rPr>
            </w:pPr>
            <w:r>
              <w:rPr>
                <w:rFonts w:hint="eastAsia" w:ascii="宋体" w:hAnsi="宋体"/>
                <w:b/>
                <w:bCs/>
                <w:szCs w:val="21"/>
              </w:rPr>
              <w:t>交货期</w:t>
            </w:r>
          </w:p>
        </w:tc>
        <w:tc>
          <w:tcPr>
            <w:tcW w:w="442" w:type="pct"/>
            <w:vAlign w:val="center"/>
          </w:tcPr>
          <w:p>
            <w:pPr>
              <w:jc w:val="center"/>
              <w:rPr>
                <w:rFonts w:ascii="宋体" w:hAnsi="宋体"/>
                <w:b/>
                <w:bCs/>
                <w:szCs w:val="21"/>
              </w:rPr>
            </w:pPr>
            <w:r>
              <w:rPr>
                <w:rFonts w:hint="eastAsia" w:ascii="宋体" w:hAnsi="宋体" w:cs="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87" w:type="pct"/>
            <w:vAlign w:val="center"/>
          </w:tcPr>
          <w:p>
            <w:pPr>
              <w:widowControl/>
              <w:jc w:val="center"/>
              <w:rPr>
                <w:rFonts w:ascii="宋体" w:hAnsi="宋体"/>
                <w:szCs w:val="21"/>
              </w:rPr>
            </w:pPr>
            <w:bookmarkStart w:id="391" w:name="OLE_LINK37" w:colFirst="3" w:colLast="4"/>
            <w:r>
              <w:rPr>
                <w:rFonts w:hint="eastAsia" w:ascii="宋体" w:hAnsi="宋体"/>
                <w:szCs w:val="21"/>
              </w:rPr>
              <w:t>1</w:t>
            </w:r>
          </w:p>
        </w:tc>
        <w:tc>
          <w:tcPr>
            <w:tcW w:w="890" w:type="pct"/>
            <w:vMerge w:val="restart"/>
            <w:vAlign w:val="center"/>
          </w:tcPr>
          <w:p>
            <w:pPr>
              <w:jc w:val="center"/>
              <w:rPr>
                <w:rFonts w:ascii="宋体" w:hAnsi="宋体"/>
                <w:szCs w:val="21"/>
              </w:rPr>
            </w:pPr>
            <w:r>
              <w:rPr>
                <w:rFonts w:hint="eastAsia" w:ascii="宋体" w:hAnsi="宋体"/>
                <w:szCs w:val="21"/>
              </w:rPr>
              <w:t>北京副中心城际CRH6A型动车组四级修（120万公里）项目（C包）</w:t>
            </w:r>
          </w:p>
        </w:tc>
        <w:tc>
          <w:tcPr>
            <w:tcW w:w="859" w:type="pct"/>
            <w:vAlign w:val="center"/>
          </w:tcPr>
          <w:p>
            <w:pPr>
              <w:keepNext w:val="0"/>
              <w:keepLines w:val="0"/>
              <w:widowControl/>
              <w:suppressLineNumbers w:val="0"/>
              <w:jc w:val="center"/>
              <w:textAlignment w:val="center"/>
              <w:rPr>
                <w:rFonts w:ascii="宋体" w:hAnsi="宋体"/>
                <w:szCs w:val="21"/>
              </w:rPr>
            </w:pPr>
            <w:r>
              <w:rPr>
                <w:rFonts w:hint="eastAsia" w:ascii="宋体" w:hAnsi="宋体" w:eastAsia="宋体" w:cs="宋体"/>
                <w:i w:val="0"/>
                <w:iCs w:val="0"/>
                <w:color w:val="000000"/>
                <w:kern w:val="0"/>
                <w:sz w:val="22"/>
                <w:szCs w:val="22"/>
                <w:u w:val="none"/>
                <w:lang w:val="en-US" w:eastAsia="zh-CN" w:bidi="ar"/>
              </w:rPr>
              <w:t>DMS四级修</w:t>
            </w:r>
          </w:p>
        </w:tc>
        <w:tc>
          <w:tcPr>
            <w:tcW w:w="479" w:type="pct"/>
            <w:vAlign w:val="center"/>
          </w:tcPr>
          <w:p>
            <w:pPr>
              <w:widowControl/>
              <w:jc w:val="center"/>
              <w:rPr>
                <w:rFonts w:ascii="宋体" w:hAnsi="宋体"/>
                <w:szCs w:val="21"/>
              </w:rPr>
            </w:pPr>
            <w:bookmarkStart w:id="392" w:name="OLE_LINK40"/>
            <w:r>
              <w:rPr>
                <w:rFonts w:hint="eastAsia" w:ascii="宋体" w:hAnsi="宋体"/>
                <w:szCs w:val="21"/>
              </w:rPr>
              <w:t>5</w:t>
            </w:r>
            <w:bookmarkEnd w:id="392"/>
          </w:p>
        </w:tc>
        <w:tc>
          <w:tcPr>
            <w:tcW w:w="479" w:type="pct"/>
            <w:vAlign w:val="center"/>
          </w:tcPr>
          <w:p>
            <w:pPr>
              <w:widowControl/>
              <w:jc w:val="center"/>
              <w:rPr>
                <w:rFonts w:ascii="宋体" w:hAnsi="宋体"/>
                <w:szCs w:val="21"/>
              </w:rPr>
            </w:pPr>
            <w:r>
              <w:rPr>
                <w:rFonts w:hint="eastAsia" w:ascii="宋体" w:hAnsi="宋体"/>
                <w:szCs w:val="21"/>
              </w:rPr>
              <w:t>列</w:t>
            </w:r>
          </w:p>
        </w:tc>
        <w:tc>
          <w:tcPr>
            <w:tcW w:w="659" w:type="pct"/>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1"/>
                <w:szCs w:val="21"/>
                <w:u w:val="none"/>
                <w:lang w:val="en-US" w:eastAsia="zh-CN" w:bidi="ar"/>
              </w:rPr>
              <w:t>192500</w:t>
            </w:r>
          </w:p>
        </w:tc>
        <w:tc>
          <w:tcPr>
            <w:tcW w:w="801" w:type="pct"/>
            <w:vAlign w:val="center"/>
          </w:tcPr>
          <w:p>
            <w:pPr>
              <w:widowControl/>
              <w:jc w:val="center"/>
              <w:rPr>
                <w:rFonts w:ascii="宋体" w:hAnsi="宋体"/>
                <w:szCs w:val="21"/>
              </w:rPr>
            </w:pPr>
            <w:bookmarkStart w:id="393" w:name="OLE_LINK29"/>
            <w:r>
              <w:rPr>
                <w:rFonts w:hint="eastAsia" w:ascii="宋体" w:hAnsi="宋体"/>
                <w:szCs w:val="21"/>
                <w:highlight w:val="none"/>
                <w:shd w:val="clear" w:color="auto" w:fill="FFFFFF"/>
                <w:lang w:val="en-US" w:eastAsia="zh-CN"/>
              </w:rPr>
              <w:t>签订合同后7天内</w:t>
            </w:r>
            <w:bookmarkEnd w:id="393"/>
          </w:p>
        </w:tc>
        <w:tc>
          <w:tcPr>
            <w:tcW w:w="442" w:type="pct"/>
            <w:vAlign w:val="center"/>
          </w:tcPr>
          <w:p>
            <w:pPr>
              <w:widowControl/>
              <w:jc w:val="center"/>
              <w:rPr>
                <w:rFonts w:ascii="宋体" w:hAnsi="宋体"/>
                <w:szCs w:val="21"/>
              </w:rPr>
            </w:pPr>
            <w:r>
              <w:rPr>
                <w:rFonts w:hint="eastAsia" w:ascii="宋体" w:hAnsi="宋体" w:cs="宋体"/>
                <w:color w:val="000000"/>
                <w:szCs w:val="21"/>
              </w:rPr>
              <w:t>拒绝进口</w:t>
            </w:r>
          </w:p>
        </w:tc>
      </w:tr>
      <w:bookmarkEnd w:id="39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87" w:type="pct"/>
            <w:vAlign w:val="center"/>
          </w:tcPr>
          <w:p>
            <w:pPr>
              <w:widowControl/>
              <w:jc w:val="center"/>
              <w:rPr>
                <w:rFonts w:hint="eastAsia" w:ascii="宋体" w:hAnsi="宋体" w:eastAsia="宋体"/>
                <w:szCs w:val="21"/>
                <w:lang w:val="en-US" w:eastAsia="zh-CN"/>
              </w:rPr>
            </w:pPr>
            <w:r>
              <w:rPr>
                <w:rFonts w:hint="eastAsia" w:ascii="宋体" w:hAnsi="宋体"/>
                <w:szCs w:val="21"/>
                <w:lang w:val="en-US" w:eastAsia="zh-CN"/>
              </w:rPr>
              <w:t>2</w:t>
            </w:r>
          </w:p>
        </w:tc>
        <w:tc>
          <w:tcPr>
            <w:tcW w:w="890" w:type="pct"/>
            <w:vMerge w:val="continue"/>
            <w:vAlign w:val="center"/>
          </w:tcPr>
          <w:p>
            <w:pPr>
              <w:jc w:val="center"/>
              <w:rPr>
                <w:rFonts w:hint="eastAsia" w:ascii="宋体" w:hAnsi="宋体"/>
                <w:szCs w:val="21"/>
              </w:rPr>
            </w:pPr>
          </w:p>
        </w:tc>
        <w:tc>
          <w:tcPr>
            <w:tcW w:w="859" w:type="pct"/>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EOAS四级修</w:t>
            </w:r>
          </w:p>
        </w:tc>
        <w:tc>
          <w:tcPr>
            <w:tcW w:w="479" w:type="pct"/>
            <w:vAlign w:val="center"/>
          </w:tcPr>
          <w:p>
            <w:pPr>
              <w:widowControl/>
              <w:jc w:val="center"/>
              <w:rPr>
                <w:rFonts w:hint="eastAsia" w:ascii="宋体" w:hAnsi="宋体"/>
                <w:szCs w:val="21"/>
              </w:rPr>
            </w:pPr>
            <w:r>
              <w:rPr>
                <w:rFonts w:hint="eastAsia" w:ascii="宋体" w:hAnsi="宋体"/>
                <w:szCs w:val="21"/>
              </w:rPr>
              <w:t>5</w:t>
            </w:r>
          </w:p>
        </w:tc>
        <w:tc>
          <w:tcPr>
            <w:tcW w:w="479" w:type="pct"/>
            <w:vAlign w:val="center"/>
          </w:tcPr>
          <w:p>
            <w:pPr>
              <w:widowControl/>
              <w:jc w:val="center"/>
              <w:rPr>
                <w:rFonts w:hint="eastAsia" w:ascii="宋体" w:hAnsi="宋体"/>
                <w:szCs w:val="21"/>
              </w:rPr>
            </w:pPr>
            <w:r>
              <w:rPr>
                <w:rFonts w:hint="eastAsia" w:ascii="宋体" w:hAnsi="宋体"/>
                <w:szCs w:val="21"/>
              </w:rPr>
              <w:t>列</w:t>
            </w:r>
          </w:p>
        </w:tc>
        <w:tc>
          <w:tcPr>
            <w:tcW w:w="659" w:type="pct"/>
            <w:vAlign w:val="center"/>
          </w:tcPr>
          <w:p>
            <w:pPr>
              <w:keepNext w:val="0"/>
              <w:keepLines w:val="0"/>
              <w:widowControl/>
              <w:suppressLineNumbers w:val="0"/>
              <w:jc w:val="center"/>
              <w:textAlignment w:val="center"/>
              <w:rPr>
                <w:rFonts w:hint="eastAsia" w:ascii="宋体" w:hAnsi="宋体" w:cs="宋体"/>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642500</w:t>
            </w:r>
          </w:p>
        </w:tc>
        <w:tc>
          <w:tcPr>
            <w:tcW w:w="801" w:type="pct"/>
            <w:vAlign w:val="center"/>
          </w:tcPr>
          <w:p>
            <w:pPr>
              <w:widowControl/>
              <w:jc w:val="center"/>
              <w:rPr>
                <w:rFonts w:hint="eastAsia" w:ascii="宋体" w:hAnsi="宋体"/>
                <w:szCs w:val="21"/>
                <w:highlight w:val="none"/>
                <w:shd w:val="clear" w:color="auto" w:fill="FFFFFF"/>
                <w:lang w:val="en-US" w:eastAsia="zh-CN"/>
              </w:rPr>
            </w:pPr>
            <w:r>
              <w:rPr>
                <w:rFonts w:hint="eastAsia" w:ascii="宋体" w:hAnsi="宋体"/>
                <w:szCs w:val="21"/>
                <w:highlight w:val="none"/>
                <w:shd w:val="clear" w:color="auto" w:fill="FFFFFF"/>
                <w:lang w:val="en-US" w:eastAsia="zh-CN"/>
              </w:rPr>
              <w:t>签订合同后7天内</w:t>
            </w:r>
          </w:p>
        </w:tc>
        <w:tc>
          <w:tcPr>
            <w:tcW w:w="442" w:type="pct"/>
            <w:vAlign w:val="center"/>
          </w:tcPr>
          <w:p>
            <w:pPr>
              <w:widowControl/>
              <w:jc w:val="center"/>
              <w:rPr>
                <w:rFonts w:hint="eastAsia" w:ascii="宋体" w:hAnsi="宋体" w:cs="宋体"/>
                <w:color w:val="000000"/>
                <w:szCs w:val="21"/>
              </w:rPr>
            </w:pPr>
            <w:r>
              <w:rPr>
                <w:rFonts w:hint="eastAsia" w:ascii="宋体" w:hAnsi="宋体" w:cs="宋体"/>
                <w:color w:val="00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jc w:val="center"/>
        </w:trPr>
        <w:tc>
          <w:tcPr>
            <w:tcW w:w="387" w:type="pct"/>
            <w:vAlign w:val="center"/>
          </w:tcPr>
          <w:p>
            <w:pPr>
              <w:widowControl/>
              <w:jc w:val="center"/>
              <w:rPr>
                <w:rFonts w:hint="eastAsia" w:ascii="宋体" w:hAnsi="宋体" w:eastAsia="宋体"/>
                <w:szCs w:val="21"/>
                <w:lang w:val="en-US" w:eastAsia="zh-CN"/>
              </w:rPr>
            </w:pPr>
            <w:r>
              <w:rPr>
                <w:rFonts w:hint="eastAsia" w:ascii="宋体" w:hAnsi="宋体"/>
                <w:szCs w:val="21"/>
                <w:lang w:val="en-US" w:eastAsia="zh-CN"/>
              </w:rPr>
              <w:t>3</w:t>
            </w:r>
          </w:p>
        </w:tc>
        <w:tc>
          <w:tcPr>
            <w:tcW w:w="890" w:type="pct"/>
            <w:vMerge w:val="continue"/>
            <w:vAlign w:val="center"/>
          </w:tcPr>
          <w:p>
            <w:pPr>
              <w:jc w:val="center"/>
              <w:rPr>
                <w:rFonts w:hint="eastAsia" w:ascii="宋体" w:hAnsi="宋体"/>
                <w:szCs w:val="21"/>
              </w:rPr>
            </w:pPr>
          </w:p>
        </w:tc>
        <w:tc>
          <w:tcPr>
            <w:tcW w:w="859" w:type="pct"/>
            <w:vAlign w:val="center"/>
          </w:tcPr>
          <w:p>
            <w:pPr>
              <w:keepNext w:val="0"/>
              <w:keepLines w:val="0"/>
              <w:widowControl/>
              <w:suppressLineNumbers w:val="0"/>
              <w:jc w:val="center"/>
              <w:textAlignment w:val="center"/>
              <w:rPr>
                <w:rFonts w:hint="eastAsia" w:ascii="宋体" w:hAnsi="宋体"/>
                <w:szCs w:val="21"/>
              </w:rPr>
            </w:pPr>
            <w:r>
              <w:rPr>
                <w:rFonts w:hint="eastAsia" w:ascii="宋体" w:hAnsi="宋体" w:eastAsia="宋体" w:cs="宋体"/>
                <w:i w:val="0"/>
                <w:iCs w:val="0"/>
                <w:color w:val="000000"/>
                <w:kern w:val="0"/>
                <w:sz w:val="22"/>
                <w:szCs w:val="22"/>
                <w:u w:val="none"/>
                <w:lang w:val="en-US" w:eastAsia="zh-CN" w:bidi="ar"/>
              </w:rPr>
              <w:t>EOAS高清线路摄像机</w:t>
            </w:r>
          </w:p>
        </w:tc>
        <w:tc>
          <w:tcPr>
            <w:tcW w:w="479" w:type="pct"/>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Cs w:val="21"/>
              </w:rPr>
              <w:t>5</w:t>
            </w:r>
          </w:p>
        </w:tc>
        <w:tc>
          <w:tcPr>
            <w:tcW w:w="479" w:type="pct"/>
            <w:vAlign w:val="center"/>
          </w:tcPr>
          <w:p>
            <w:pPr>
              <w:widowControl/>
              <w:jc w:val="center"/>
              <w:rPr>
                <w:rFonts w:hint="eastAsia" w:ascii="宋体" w:hAnsi="宋体" w:eastAsia="宋体" w:cs="Times New Roman"/>
                <w:kern w:val="2"/>
                <w:sz w:val="21"/>
                <w:szCs w:val="21"/>
                <w:lang w:val="en-US" w:eastAsia="zh-CN" w:bidi="ar-SA"/>
              </w:rPr>
            </w:pPr>
            <w:r>
              <w:rPr>
                <w:rFonts w:hint="eastAsia" w:ascii="宋体" w:hAnsi="宋体"/>
                <w:szCs w:val="21"/>
              </w:rPr>
              <w:t>列</w:t>
            </w:r>
          </w:p>
        </w:tc>
        <w:tc>
          <w:tcPr>
            <w:tcW w:w="659" w:type="pct"/>
            <w:vAlign w:val="center"/>
          </w:tcPr>
          <w:p>
            <w:pPr>
              <w:keepNext w:val="0"/>
              <w:keepLines w:val="0"/>
              <w:widowControl/>
              <w:suppressLineNumbers w:val="0"/>
              <w:jc w:val="center"/>
              <w:textAlignment w:val="center"/>
              <w:rPr>
                <w:rFonts w:hint="eastAsia" w:ascii="宋体" w:hAnsi="宋体" w:cs="宋体"/>
                <w:sz w:val="21"/>
                <w:szCs w:val="21"/>
                <w:shd w:val="clear" w:color="auto" w:fill="FFFFFF"/>
              </w:rPr>
            </w:pPr>
            <w:r>
              <w:rPr>
                <w:rFonts w:hint="eastAsia" w:ascii="宋体" w:hAnsi="宋体" w:eastAsia="宋体" w:cs="宋体"/>
                <w:i w:val="0"/>
                <w:iCs w:val="0"/>
                <w:color w:val="000000"/>
                <w:kern w:val="0"/>
                <w:sz w:val="21"/>
                <w:szCs w:val="21"/>
                <w:u w:val="none"/>
                <w:lang w:val="en-US" w:eastAsia="zh-CN" w:bidi="ar"/>
              </w:rPr>
              <w:t>685000</w:t>
            </w:r>
          </w:p>
        </w:tc>
        <w:tc>
          <w:tcPr>
            <w:tcW w:w="801" w:type="pct"/>
            <w:vAlign w:val="center"/>
          </w:tcPr>
          <w:p>
            <w:pPr>
              <w:widowControl/>
              <w:jc w:val="center"/>
              <w:rPr>
                <w:rFonts w:hint="eastAsia" w:ascii="宋体" w:hAnsi="宋体"/>
                <w:szCs w:val="21"/>
                <w:highlight w:val="none"/>
                <w:shd w:val="clear" w:color="auto" w:fill="FFFFFF"/>
                <w:lang w:val="en-US" w:eastAsia="zh-CN"/>
              </w:rPr>
            </w:pPr>
            <w:r>
              <w:rPr>
                <w:rFonts w:hint="eastAsia" w:ascii="宋体" w:hAnsi="宋体"/>
                <w:szCs w:val="21"/>
                <w:highlight w:val="none"/>
                <w:shd w:val="clear" w:color="auto" w:fill="FFFFFF"/>
                <w:lang w:val="en-US" w:eastAsia="zh-CN"/>
              </w:rPr>
              <w:t>签订合同后7天内</w:t>
            </w:r>
          </w:p>
        </w:tc>
        <w:tc>
          <w:tcPr>
            <w:tcW w:w="442" w:type="pct"/>
            <w:vAlign w:val="center"/>
          </w:tcPr>
          <w:p>
            <w:pPr>
              <w:widowControl/>
              <w:jc w:val="center"/>
              <w:rPr>
                <w:rFonts w:hint="eastAsia" w:ascii="宋体" w:hAnsi="宋体" w:cs="宋体"/>
                <w:color w:val="000000"/>
                <w:szCs w:val="21"/>
              </w:rPr>
            </w:pPr>
            <w:r>
              <w:rPr>
                <w:rFonts w:hint="eastAsia" w:ascii="宋体" w:hAnsi="宋体" w:cs="宋体"/>
                <w:color w:val="000000"/>
                <w:szCs w:val="21"/>
              </w:rPr>
              <w:t>拒绝进口</w:t>
            </w:r>
          </w:p>
        </w:tc>
      </w:tr>
    </w:tbl>
    <w:p>
      <w:pPr>
        <w:spacing w:line="360" w:lineRule="auto"/>
        <w:rPr>
          <w:rFonts w:hint="eastAsia"/>
          <w:b/>
          <w:kern w:val="0"/>
          <w:sz w:val="20"/>
          <w:lang w:eastAsia="zh-CN"/>
        </w:rPr>
      </w:pPr>
      <w:r>
        <w:rPr>
          <w:rFonts w:hint="eastAsia"/>
          <w:b/>
          <w:kern w:val="0"/>
          <w:sz w:val="20"/>
          <w:lang w:eastAsia="zh-CN"/>
        </w:rPr>
        <w:t>四、技术要求</w:t>
      </w:r>
    </w:p>
    <w:p>
      <w:pPr>
        <w:tabs>
          <w:tab w:val="left" w:pos="0"/>
        </w:tabs>
        <w:snapToGrid w:val="0"/>
        <w:spacing w:line="360" w:lineRule="auto"/>
        <w:rPr>
          <w:rFonts w:hint="eastAsia" w:ascii="宋体" w:hAnsi="宋体"/>
          <w:b/>
          <w:bCs/>
          <w:szCs w:val="21"/>
          <w:lang w:val="en-US" w:eastAsia="zh-CN"/>
        </w:rPr>
      </w:pPr>
      <w:r>
        <w:rPr>
          <w:rFonts w:hint="eastAsia" w:ascii="宋体" w:hAnsi="宋体"/>
          <w:b/>
          <w:bCs/>
          <w:szCs w:val="21"/>
        </w:rPr>
        <w:t>（一）DMS车载设备</w:t>
      </w:r>
      <w:r>
        <w:rPr>
          <w:rFonts w:hint="eastAsia" w:ascii="宋体" w:hAnsi="宋体"/>
          <w:b/>
          <w:bCs/>
          <w:szCs w:val="21"/>
          <w:lang w:val="en-US" w:eastAsia="zh-CN"/>
        </w:rPr>
        <w:t>四级修</w:t>
      </w:r>
    </w:p>
    <w:p>
      <w:pPr>
        <w:tabs>
          <w:tab w:val="left" w:pos="0"/>
        </w:tabs>
        <w:snapToGrid w:val="0"/>
        <w:spacing w:line="360" w:lineRule="auto"/>
        <w:rPr>
          <w:rFonts w:ascii="宋体" w:hAnsi="宋体"/>
          <w:szCs w:val="21"/>
        </w:rPr>
      </w:pPr>
      <w:r>
        <w:rPr>
          <w:rFonts w:hint="eastAsia" w:ascii="宋体" w:hAnsi="宋体"/>
          <w:szCs w:val="21"/>
        </w:rPr>
        <w:t>1.承修工作量。</w:t>
      </w:r>
    </w:p>
    <w:p>
      <w:pPr>
        <w:tabs>
          <w:tab w:val="left" w:pos="0"/>
        </w:tabs>
        <w:snapToGrid w:val="0"/>
        <w:spacing w:line="360" w:lineRule="auto"/>
        <w:rPr>
          <w:rFonts w:ascii="宋体" w:hAnsi="宋体"/>
          <w:szCs w:val="21"/>
        </w:rPr>
      </w:pPr>
      <w:r>
        <w:rPr>
          <w:rFonts w:hint="eastAsia" w:ascii="宋体" w:hAnsi="宋体"/>
          <w:szCs w:val="21"/>
        </w:rPr>
        <w:t>详见附件：2024年度北京局集团国铁及合资公司动车组电务车载设备高级修工作量统计。</w:t>
      </w:r>
    </w:p>
    <w:p>
      <w:pPr>
        <w:tabs>
          <w:tab w:val="left" w:pos="0"/>
        </w:tabs>
        <w:snapToGrid w:val="0"/>
        <w:spacing w:line="360" w:lineRule="auto"/>
        <w:rPr>
          <w:rFonts w:ascii="宋体" w:hAnsi="宋体"/>
          <w:szCs w:val="21"/>
        </w:rPr>
      </w:pPr>
      <w:r>
        <w:rPr>
          <w:rFonts w:hint="eastAsia" w:ascii="宋体" w:hAnsi="宋体"/>
          <w:szCs w:val="21"/>
        </w:rPr>
        <w:t>2．承修工作内容。</w:t>
      </w:r>
    </w:p>
    <w:p>
      <w:pPr>
        <w:tabs>
          <w:tab w:val="left" w:pos="0"/>
        </w:tabs>
        <w:snapToGrid w:val="0"/>
        <w:spacing w:line="360" w:lineRule="auto"/>
        <w:rPr>
          <w:rFonts w:ascii="宋体" w:hAnsi="宋体"/>
          <w:szCs w:val="21"/>
        </w:rPr>
      </w:pPr>
      <w:r>
        <w:rPr>
          <w:rFonts w:hint="eastAsia" w:ascii="宋体" w:hAnsi="宋体"/>
          <w:szCs w:val="21"/>
        </w:rPr>
        <w:t>（1）中标人按《CTCS-2/3级列控车载设备维护管理办法》（铁总运[2015]57号）、《中国铁路北京局集团有限公司CTCS－2／3级列控车载设备维护管理实施细则》（京铁电[2022]49号）、《高速铁路信号维护规则》（铁总运[2015]322 号）、规定实施检修。</w:t>
      </w:r>
    </w:p>
    <w:p>
      <w:pPr>
        <w:tabs>
          <w:tab w:val="left" w:pos="0"/>
        </w:tabs>
        <w:snapToGrid w:val="0"/>
        <w:spacing w:line="360" w:lineRule="auto"/>
        <w:rPr>
          <w:rFonts w:ascii="宋体" w:hAnsi="宋体"/>
          <w:szCs w:val="21"/>
        </w:rPr>
      </w:pPr>
      <w:r>
        <w:rPr>
          <w:rFonts w:hint="eastAsia" w:ascii="宋体" w:hAnsi="宋体"/>
          <w:szCs w:val="21"/>
        </w:rPr>
        <w:t>（2）最终检修车组数量、检修项目以双方签订的交接验收资料为准核计。当因核计的检修工作量（含检修车组列数、检修项目）与本合同不一致，造成采购人实际应支付给中标人的费用与本合同不符时，按实际检修费用实施清算。</w:t>
      </w:r>
    </w:p>
    <w:p>
      <w:pPr>
        <w:tabs>
          <w:tab w:val="left" w:pos="0"/>
        </w:tabs>
        <w:snapToGrid w:val="0"/>
        <w:spacing w:line="360" w:lineRule="auto"/>
        <w:rPr>
          <w:rFonts w:ascii="宋体" w:hAnsi="宋体"/>
          <w:szCs w:val="21"/>
        </w:rPr>
      </w:pPr>
      <w:r>
        <w:rPr>
          <w:rFonts w:hint="eastAsia" w:ascii="宋体" w:hAnsi="宋体"/>
          <w:szCs w:val="21"/>
        </w:rPr>
        <w:t>（3）中标人在采购人配合下，承担高级修竣后线上动态调试工作。</w:t>
      </w:r>
    </w:p>
    <w:p>
      <w:pPr>
        <w:tabs>
          <w:tab w:val="left" w:pos="0"/>
        </w:tabs>
        <w:snapToGrid w:val="0"/>
        <w:spacing w:line="360" w:lineRule="auto"/>
        <w:rPr>
          <w:rFonts w:ascii="宋体" w:hAnsi="宋体"/>
          <w:szCs w:val="21"/>
        </w:rPr>
      </w:pPr>
      <w:r>
        <w:rPr>
          <w:rFonts w:hint="eastAsia" w:ascii="宋体" w:hAnsi="宋体"/>
          <w:szCs w:val="21"/>
        </w:rPr>
        <w:t>（4）检修过程中发现合同约定检修范围外的设备问题时，经甲乙双方协商、确认后，由中标人提供新部件实施更换处理。</w:t>
      </w:r>
    </w:p>
    <w:p>
      <w:pPr>
        <w:tabs>
          <w:tab w:val="left" w:pos="0"/>
        </w:tabs>
        <w:snapToGrid w:val="0"/>
        <w:spacing w:line="360" w:lineRule="auto"/>
        <w:rPr>
          <w:rFonts w:ascii="宋体" w:hAnsi="宋体"/>
          <w:szCs w:val="21"/>
        </w:rPr>
      </w:pPr>
      <w:r>
        <w:rPr>
          <w:rFonts w:hint="eastAsia" w:ascii="宋体" w:hAnsi="宋体"/>
          <w:szCs w:val="21"/>
        </w:rPr>
        <w:t>，费用由采购人列支本单位设备维修成本，随发现问题的车组的高级检修费用一并清算给中标人。</w:t>
      </w:r>
    </w:p>
    <w:p>
      <w:pPr>
        <w:tabs>
          <w:tab w:val="left" w:pos="0"/>
        </w:tabs>
        <w:snapToGrid w:val="0"/>
        <w:spacing w:line="360" w:lineRule="auto"/>
        <w:rPr>
          <w:rFonts w:ascii="宋体" w:hAnsi="宋体"/>
          <w:szCs w:val="21"/>
        </w:rPr>
      </w:pPr>
      <w:r>
        <w:rPr>
          <w:rFonts w:hint="eastAsia" w:ascii="宋体" w:hAnsi="宋体"/>
          <w:szCs w:val="21"/>
        </w:rPr>
        <w:t>1.2 质量标准</w:t>
      </w:r>
    </w:p>
    <w:p>
      <w:pPr>
        <w:tabs>
          <w:tab w:val="left" w:pos="0"/>
        </w:tabs>
        <w:snapToGrid w:val="0"/>
        <w:spacing w:line="360" w:lineRule="auto"/>
        <w:rPr>
          <w:rFonts w:ascii="宋体" w:hAnsi="宋体"/>
          <w:szCs w:val="21"/>
        </w:rPr>
      </w:pPr>
      <w:r>
        <w:rPr>
          <w:rFonts w:hint="eastAsia" w:ascii="宋体" w:hAnsi="宋体"/>
          <w:szCs w:val="21"/>
        </w:rPr>
        <w:t>中标人提供的产品和服务按照《CTCS-2/3 级列控车载设备维护管理办法》（铁总运[2015]57号）、《中国铁路北京局集团有限公司CTCS－2／3级列控车载设备维护管理实施细则》（京铁电[2022]49号）、《高速铁路信号维护规则》（铁总运[2015]322 号）、执行，确保满足采购人使用要求。中标人在工作期间，应当接受采购人必要的监督检查。</w:t>
      </w:r>
    </w:p>
    <w:p>
      <w:pPr>
        <w:tabs>
          <w:tab w:val="left" w:pos="0"/>
        </w:tabs>
        <w:snapToGrid w:val="0"/>
        <w:spacing w:line="360" w:lineRule="auto"/>
        <w:rPr>
          <w:rFonts w:ascii="宋体" w:hAnsi="宋体"/>
          <w:szCs w:val="21"/>
        </w:rPr>
      </w:pPr>
      <w:r>
        <w:rPr>
          <w:rFonts w:hint="eastAsia" w:ascii="宋体" w:hAnsi="宋体"/>
          <w:szCs w:val="21"/>
        </w:rPr>
        <w:t>1.3 中标人对质量负责的条件及期限</w:t>
      </w:r>
    </w:p>
    <w:p>
      <w:pPr>
        <w:tabs>
          <w:tab w:val="left" w:pos="0"/>
        </w:tabs>
        <w:snapToGrid w:val="0"/>
        <w:spacing w:line="360" w:lineRule="auto"/>
        <w:rPr>
          <w:rFonts w:ascii="宋体" w:hAnsi="宋体"/>
          <w:szCs w:val="21"/>
        </w:rPr>
      </w:pPr>
      <w:r>
        <w:rPr>
          <w:rFonts w:hint="eastAsia" w:ascii="宋体" w:hAnsi="宋体"/>
          <w:szCs w:val="21"/>
        </w:rPr>
        <w:t>1．修理更换部件的免费保修期（以下简称质保期）为12个月，质保期以整车验收合格（完成动调）双方交验签字日开始计算，期间因维修出现质量问题，中标人应无偿给予返工修理。</w:t>
      </w:r>
    </w:p>
    <w:p>
      <w:pPr>
        <w:tabs>
          <w:tab w:val="left" w:pos="0"/>
        </w:tabs>
        <w:snapToGrid w:val="0"/>
        <w:spacing w:line="360" w:lineRule="auto"/>
        <w:rPr>
          <w:rFonts w:ascii="宋体" w:hAnsi="宋体"/>
          <w:szCs w:val="21"/>
        </w:rPr>
      </w:pPr>
      <w:r>
        <w:rPr>
          <w:rFonts w:hint="eastAsia" w:ascii="宋体" w:hAnsi="宋体"/>
          <w:szCs w:val="21"/>
        </w:rPr>
        <w:t>2．整车高级检修质量保证期为6个月，以整车验收合格（完成动调）双方交验签字日开始计算，期间因维修出现质量问题，中标人应无偿给予返工修理。</w:t>
      </w:r>
    </w:p>
    <w:p>
      <w:pPr>
        <w:tabs>
          <w:tab w:val="left" w:pos="0"/>
        </w:tabs>
        <w:snapToGrid w:val="0"/>
        <w:spacing w:line="360" w:lineRule="auto"/>
        <w:rPr>
          <w:rFonts w:ascii="宋体" w:hAnsi="宋体"/>
          <w:szCs w:val="21"/>
        </w:rPr>
      </w:pPr>
      <w:r>
        <w:rPr>
          <w:rFonts w:hint="eastAsia" w:ascii="宋体" w:hAnsi="宋体"/>
          <w:szCs w:val="21"/>
        </w:rPr>
        <w:t>3．质保期内，中标人负责对产品进行跟踪服务，承担免费保修责任。在质保期内因采购人自身原因导致设备毁损的问题中标人不承担免费维修义务。</w:t>
      </w:r>
    </w:p>
    <w:p>
      <w:pPr>
        <w:tabs>
          <w:tab w:val="left" w:pos="0"/>
        </w:tabs>
        <w:snapToGrid w:val="0"/>
        <w:spacing w:line="360" w:lineRule="auto"/>
        <w:rPr>
          <w:rFonts w:ascii="宋体" w:hAnsi="宋体"/>
          <w:szCs w:val="21"/>
        </w:rPr>
      </w:pPr>
      <w:r>
        <w:rPr>
          <w:rFonts w:hint="eastAsia" w:ascii="宋体" w:hAnsi="宋体"/>
          <w:szCs w:val="21"/>
        </w:rPr>
        <w:t>4．中标人应保证所更换的设备是全新的、未经使用的、没有设计和材料及工艺上的缺陷，符合设备技术规范。</w:t>
      </w:r>
    </w:p>
    <w:p>
      <w:pPr>
        <w:tabs>
          <w:tab w:val="left" w:pos="0"/>
        </w:tabs>
        <w:snapToGrid w:val="0"/>
        <w:spacing w:line="360" w:lineRule="auto"/>
        <w:rPr>
          <w:rFonts w:ascii="宋体" w:hAnsi="宋体"/>
          <w:szCs w:val="21"/>
        </w:rPr>
      </w:pPr>
      <w:r>
        <w:rPr>
          <w:rFonts w:hint="eastAsia" w:ascii="宋体" w:hAnsi="宋体"/>
          <w:szCs w:val="21"/>
        </w:rPr>
        <w:t>5．所更换的设备在质保期内发生产品质量缺陷，中标人需在10个工作日内免费修复或更换。</w:t>
      </w:r>
    </w:p>
    <w:p>
      <w:pPr>
        <w:tabs>
          <w:tab w:val="left" w:pos="0"/>
        </w:tabs>
        <w:snapToGrid w:val="0"/>
        <w:spacing w:line="360" w:lineRule="auto"/>
        <w:rPr>
          <w:rFonts w:ascii="宋体" w:hAnsi="宋体"/>
          <w:szCs w:val="21"/>
        </w:rPr>
      </w:pPr>
      <w:r>
        <w:rPr>
          <w:rFonts w:hint="eastAsia" w:ascii="宋体" w:hAnsi="宋体"/>
          <w:szCs w:val="21"/>
        </w:rPr>
        <w:t>1.4 包装标准、包装物的供应与回收</w:t>
      </w:r>
    </w:p>
    <w:p>
      <w:pPr>
        <w:tabs>
          <w:tab w:val="left" w:pos="0"/>
        </w:tabs>
        <w:snapToGrid w:val="0"/>
        <w:spacing w:line="360" w:lineRule="auto"/>
        <w:rPr>
          <w:rFonts w:ascii="宋体" w:hAnsi="宋体"/>
          <w:szCs w:val="21"/>
        </w:rPr>
      </w:pPr>
      <w:r>
        <w:rPr>
          <w:rFonts w:hint="eastAsia" w:ascii="宋体" w:hAnsi="宋体"/>
          <w:szCs w:val="21"/>
        </w:rPr>
        <w:t>中标人应选择合适的包装，保证合同设备能够经受起多次搬运、装卸以及航空或汽车等长途运输，包装费用由中标人承担，包装物不回收。</w:t>
      </w:r>
    </w:p>
    <w:p>
      <w:pPr>
        <w:tabs>
          <w:tab w:val="left" w:pos="0"/>
        </w:tabs>
        <w:snapToGrid w:val="0"/>
        <w:spacing w:line="360" w:lineRule="auto"/>
        <w:rPr>
          <w:rFonts w:ascii="宋体" w:hAnsi="宋体"/>
          <w:szCs w:val="21"/>
        </w:rPr>
      </w:pPr>
      <w:r>
        <w:rPr>
          <w:rFonts w:hint="eastAsia" w:ascii="宋体" w:hAnsi="宋体"/>
          <w:szCs w:val="21"/>
        </w:rPr>
        <w:t>1.5 更换标准、所有权归属</w:t>
      </w:r>
    </w:p>
    <w:p>
      <w:pPr>
        <w:tabs>
          <w:tab w:val="left" w:pos="0"/>
        </w:tabs>
        <w:snapToGrid w:val="0"/>
        <w:spacing w:line="360" w:lineRule="auto"/>
        <w:rPr>
          <w:rFonts w:ascii="宋体" w:hAnsi="宋体"/>
          <w:szCs w:val="21"/>
        </w:rPr>
      </w:pPr>
      <w:r>
        <w:rPr>
          <w:rFonts w:hint="eastAsia" w:ascii="宋体" w:hAnsi="宋体"/>
          <w:szCs w:val="21"/>
        </w:rPr>
        <w:t>部件的修理更换工作，由中标人按照前述质量标准实施。经修理更换上车的部件的所有权，自双方交验签字日起转移至采购人。被更换下的部件其所有权仍归采购人，由中标人现场人员交还采购人，采购人负责回收处理。</w:t>
      </w:r>
    </w:p>
    <w:p>
      <w:pPr>
        <w:tabs>
          <w:tab w:val="left" w:pos="0"/>
        </w:tabs>
        <w:snapToGrid w:val="0"/>
        <w:spacing w:line="360" w:lineRule="auto"/>
        <w:rPr>
          <w:rFonts w:ascii="宋体" w:hAnsi="宋体"/>
          <w:szCs w:val="21"/>
        </w:rPr>
      </w:pPr>
      <w:r>
        <w:rPr>
          <w:rFonts w:hint="eastAsia" w:ascii="宋体" w:hAnsi="宋体"/>
          <w:szCs w:val="21"/>
        </w:rPr>
        <w:t>1.6 检修时间、地点</w:t>
      </w:r>
    </w:p>
    <w:p>
      <w:pPr>
        <w:tabs>
          <w:tab w:val="left" w:pos="0"/>
        </w:tabs>
        <w:snapToGrid w:val="0"/>
        <w:spacing w:line="360" w:lineRule="auto"/>
        <w:rPr>
          <w:rFonts w:ascii="宋体" w:hAnsi="宋体"/>
          <w:szCs w:val="21"/>
        </w:rPr>
      </w:pPr>
      <w:r>
        <w:rPr>
          <w:rFonts w:hint="eastAsia" w:ascii="宋体" w:hAnsi="宋体"/>
          <w:szCs w:val="21"/>
        </w:rPr>
        <w:t>采购人向中标人提供车辆年度检修计划，并在每列车实际检修工作前十五个工作日，以书面的形式通知中标人进行检修作业，通知内容包括作业的时间、地点。中标人按照采购人车辆的检修进度，提前五天准备好所需物料并运抵现场。</w:t>
      </w:r>
    </w:p>
    <w:p>
      <w:pPr>
        <w:tabs>
          <w:tab w:val="left" w:pos="0"/>
        </w:tabs>
        <w:snapToGrid w:val="0"/>
        <w:spacing w:line="360" w:lineRule="auto"/>
        <w:rPr>
          <w:rFonts w:ascii="宋体" w:hAnsi="宋体"/>
          <w:szCs w:val="21"/>
        </w:rPr>
      </w:pPr>
      <w:r>
        <w:rPr>
          <w:rFonts w:hint="eastAsia" w:ascii="宋体" w:hAnsi="宋体"/>
          <w:szCs w:val="21"/>
        </w:rPr>
        <w:t>1.7 运输费用负担</w:t>
      </w:r>
    </w:p>
    <w:p>
      <w:pPr>
        <w:tabs>
          <w:tab w:val="left" w:pos="0"/>
        </w:tabs>
        <w:snapToGrid w:val="0"/>
        <w:spacing w:line="360" w:lineRule="auto"/>
        <w:rPr>
          <w:rFonts w:ascii="宋体" w:hAnsi="宋体"/>
          <w:szCs w:val="21"/>
        </w:rPr>
      </w:pPr>
      <w:r>
        <w:rPr>
          <w:rFonts w:hint="eastAsia" w:ascii="宋体" w:hAnsi="宋体"/>
          <w:szCs w:val="21"/>
        </w:rPr>
        <w:t>中标人负担运至采购人指定地点的运输费用。</w:t>
      </w:r>
    </w:p>
    <w:p>
      <w:pPr>
        <w:tabs>
          <w:tab w:val="left" w:pos="0"/>
        </w:tabs>
        <w:snapToGrid w:val="0"/>
        <w:spacing w:line="360" w:lineRule="auto"/>
        <w:rPr>
          <w:rFonts w:ascii="宋体" w:hAnsi="宋体"/>
          <w:szCs w:val="21"/>
        </w:rPr>
      </w:pPr>
      <w:r>
        <w:rPr>
          <w:rFonts w:hint="eastAsia" w:ascii="宋体" w:hAnsi="宋体"/>
          <w:szCs w:val="21"/>
        </w:rPr>
        <w:t>1.8 检验标准、方法</w:t>
      </w:r>
    </w:p>
    <w:p>
      <w:pPr>
        <w:tabs>
          <w:tab w:val="left" w:pos="0"/>
        </w:tabs>
        <w:snapToGrid w:val="0"/>
        <w:spacing w:line="360" w:lineRule="auto"/>
        <w:rPr>
          <w:rFonts w:ascii="宋体" w:hAnsi="宋体"/>
          <w:szCs w:val="21"/>
        </w:rPr>
      </w:pPr>
      <w:r>
        <w:rPr>
          <w:rFonts w:hint="eastAsia" w:ascii="宋体" w:hAnsi="宋体"/>
          <w:szCs w:val="21"/>
        </w:rPr>
        <w:t>在每列车高级修工作完成后，中标人通知采购人对检修工作进行验收，采购人在接到通知后二日内会同中标人按照前述质量标准进行联合交接验收。</w:t>
      </w:r>
    </w:p>
    <w:p>
      <w:pPr>
        <w:tabs>
          <w:tab w:val="left" w:pos="0"/>
        </w:tabs>
        <w:snapToGrid w:val="0"/>
        <w:spacing w:line="360" w:lineRule="auto"/>
        <w:rPr>
          <w:rFonts w:ascii="宋体" w:hAnsi="宋体"/>
          <w:szCs w:val="21"/>
        </w:rPr>
      </w:pPr>
      <w:r>
        <w:rPr>
          <w:rFonts w:hint="eastAsia" w:ascii="宋体" w:hAnsi="宋体"/>
          <w:szCs w:val="21"/>
        </w:rPr>
        <w:t>1.9 其他约定</w:t>
      </w:r>
    </w:p>
    <w:p>
      <w:pPr>
        <w:tabs>
          <w:tab w:val="left" w:pos="0"/>
        </w:tabs>
        <w:snapToGrid w:val="0"/>
        <w:spacing w:line="360" w:lineRule="auto"/>
        <w:rPr>
          <w:rFonts w:ascii="宋体" w:hAnsi="宋体"/>
          <w:szCs w:val="21"/>
        </w:rPr>
      </w:pPr>
      <w:r>
        <w:rPr>
          <w:rFonts w:hint="eastAsia" w:ascii="宋体" w:hAnsi="宋体"/>
          <w:szCs w:val="21"/>
        </w:rPr>
        <w:t>1．双方应按照前述质量标准中，各项管理文件确定的要求承担各自的责任与义务。</w:t>
      </w:r>
    </w:p>
    <w:p>
      <w:pPr>
        <w:tabs>
          <w:tab w:val="left" w:pos="0"/>
        </w:tabs>
        <w:snapToGrid w:val="0"/>
        <w:spacing w:line="360" w:lineRule="auto"/>
        <w:rPr>
          <w:rFonts w:ascii="宋体" w:hAnsi="宋体"/>
          <w:szCs w:val="21"/>
        </w:rPr>
      </w:pPr>
      <w:r>
        <w:rPr>
          <w:rFonts w:hint="eastAsia" w:ascii="宋体" w:hAnsi="宋体"/>
          <w:szCs w:val="21"/>
        </w:rPr>
        <w:t>2．中标人负责按时完成DMS车载设备高级修工作内容，并出具检修报告，负责准备检修工作中所需工装器具。</w:t>
      </w:r>
    </w:p>
    <w:p>
      <w:pPr>
        <w:tabs>
          <w:tab w:val="left" w:pos="0"/>
        </w:tabs>
        <w:snapToGrid w:val="0"/>
        <w:spacing w:line="360" w:lineRule="auto"/>
        <w:rPr>
          <w:rFonts w:ascii="宋体" w:hAnsi="宋体"/>
          <w:szCs w:val="21"/>
          <w:highlight w:val="none"/>
        </w:rPr>
      </w:pPr>
      <w:r>
        <w:rPr>
          <w:rFonts w:hint="eastAsia" w:ascii="宋体" w:hAnsi="宋体"/>
          <w:szCs w:val="21"/>
        </w:rPr>
        <w:t>3．动车组在车辆主机厂、北京局集团公司管外其他单位实施高级修时，由中标人负责本合同中所涉及的车载设备高级修与车辆方面的协调工作；动车组在北京局集团管内单位（北京动车段）实施高</w:t>
      </w:r>
      <w:r>
        <w:rPr>
          <w:rFonts w:hint="eastAsia" w:ascii="宋体" w:hAnsi="宋体"/>
          <w:szCs w:val="21"/>
          <w:highlight w:val="none"/>
        </w:rPr>
        <w:t>级修时，由采购人负责本合同中所涉及的车载设备高级修与车辆方面的协调工作。</w:t>
      </w:r>
    </w:p>
    <w:p>
      <w:pPr>
        <w:tabs>
          <w:tab w:val="left" w:pos="0"/>
        </w:tabs>
        <w:snapToGrid w:val="0"/>
        <w:spacing w:line="360" w:lineRule="auto"/>
        <w:rPr>
          <w:rFonts w:ascii="宋体" w:hAnsi="宋体"/>
          <w:szCs w:val="21"/>
          <w:highlight w:val="none"/>
        </w:rPr>
      </w:pPr>
      <w:r>
        <w:rPr>
          <w:rFonts w:hint="eastAsia" w:ascii="宋体" w:hAnsi="宋体"/>
          <w:szCs w:val="21"/>
          <w:highlight w:val="none"/>
        </w:rPr>
        <w:t>4．由采购人组织进行线路动态测试，为中标人提供开展工作的必要条件。</w:t>
      </w:r>
    </w:p>
    <w:p>
      <w:pPr>
        <w:tabs>
          <w:tab w:val="left" w:pos="0"/>
        </w:tabs>
        <w:snapToGrid w:val="0"/>
        <w:spacing w:line="360" w:lineRule="auto"/>
        <w:rPr>
          <w:highlight w:val="none"/>
        </w:rPr>
      </w:pPr>
      <w:r>
        <w:rPr>
          <w:rFonts w:hint="eastAsia" w:ascii="宋体" w:hAnsi="宋体"/>
          <w:szCs w:val="21"/>
          <w:highlight w:val="none"/>
        </w:rPr>
        <w:t>5．采购人负责对中标人提供的设备、软件、技术资料等进行保密。</w:t>
      </w:r>
    </w:p>
    <w:p>
      <w:pPr>
        <w:tabs>
          <w:tab w:val="left" w:pos="0"/>
        </w:tabs>
        <w:snapToGrid w:val="0"/>
        <w:spacing w:line="360" w:lineRule="auto"/>
        <w:rPr>
          <w:rFonts w:hint="default" w:ascii="宋体" w:hAnsi="宋体" w:eastAsia="宋体"/>
          <w:b/>
          <w:bCs/>
          <w:szCs w:val="21"/>
          <w:highlight w:val="none"/>
          <w:lang w:val="en-US" w:eastAsia="zh-CN"/>
        </w:rPr>
      </w:pPr>
      <w:r>
        <w:rPr>
          <w:rFonts w:hint="eastAsia" w:ascii="宋体" w:hAnsi="宋体"/>
          <w:b/>
          <w:bCs/>
          <w:szCs w:val="21"/>
          <w:highlight w:val="none"/>
        </w:rPr>
        <w:t>（二）EOAS车载设备</w:t>
      </w:r>
      <w:r>
        <w:rPr>
          <w:rFonts w:hint="eastAsia" w:ascii="宋体" w:hAnsi="宋体"/>
          <w:b/>
          <w:bCs/>
          <w:szCs w:val="21"/>
          <w:highlight w:val="none"/>
          <w:lang w:val="en-US" w:eastAsia="zh-CN"/>
        </w:rPr>
        <w:t>四级修及EOAS高清线路摄像机</w:t>
      </w:r>
    </w:p>
    <w:p>
      <w:pPr>
        <w:tabs>
          <w:tab w:val="left" w:pos="0"/>
        </w:tabs>
        <w:snapToGrid w:val="0"/>
        <w:spacing w:line="360" w:lineRule="auto"/>
        <w:rPr>
          <w:rFonts w:ascii="宋体" w:hAnsi="宋体"/>
          <w:szCs w:val="21"/>
          <w:highlight w:val="none"/>
        </w:rPr>
      </w:pPr>
      <w:r>
        <w:rPr>
          <w:rFonts w:hint="eastAsia" w:ascii="宋体" w:hAnsi="宋体"/>
          <w:szCs w:val="21"/>
          <w:highlight w:val="none"/>
        </w:rPr>
        <w:t>1．技术质量要求</w:t>
      </w:r>
    </w:p>
    <w:p>
      <w:pPr>
        <w:tabs>
          <w:tab w:val="left" w:pos="0"/>
        </w:tabs>
        <w:snapToGrid w:val="0"/>
        <w:spacing w:line="360" w:lineRule="auto"/>
        <w:rPr>
          <w:rFonts w:ascii="宋体" w:hAnsi="宋体"/>
          <w:szCs w:val="21"/>
          <w:highlight w:val="none"/>
        </w:rPr>
      </w:pPr>
      <w:r>
        <w:rPr>
          <w:rFonts w:hint="eastAsia" w:ascii="宋体" w:hAnsi="宋体"/>
          <w:szCs w:val="21"/>
          <w:highlight w:val="none"/>
        </w:rPr>
        <w:t>（1）EOAS车载设备四级修及</w:t>
      </w:r>
      <w:r>
        <w:rPr>
          <w:rFonts w:hint="eastAsia" w:ascii="宋体" w:hAnsi="宋体"/>
          <w:szCs w:val="21"/>
          <w:highlight w:val="none"/>
          <w:lang w:val="en-US" w:eastAsia="zh-CN"/>
        </w:rPr>
        <w:t>高铁移动视频系统</w:t>
      </w:r>
      <w:r>
        <w:rPr>
          <w:rFonts w:hint="eastAsia" w:ascii="宋体" w:hAnsi="宋体"/>
          <w:szCs w:val="21"/>
          <w:highlight w:val="none"/>
        </w:rPr>
        <w:t>EOAS高清线路摄像机设备须为原厂正品、原包装全新产品，需与既有EOAS系统兼容。</w:t>
      </w:r>
    </w:p>
    <w:p>
      <w:pPr>
        <w:tabs>
          <w:tab w:val="left" w:pos="0"/>
        </w:tabs>
        <w:snapToGrid w:val="0"/>
        <w:spacing w:line="360" w:lineRule="auto"/>
        <w:rPr>
          <w:rFonts w:ascii="宋体" w:hAnsi="宋体"/>
          <w:szCs w:val="21"/>
          <w:highlight w:val="none"/>
        </w:rPr>
      </w:pPr>
      <w:r>
        <w:rPr>
          <w:rFonts w:hint="eastAsia" w:ascii="宋体" w:hAnsi="宋体"/>
          <w:szCs w:val="21"/>
          <w:highlight w:val="none"/>
        </w:rPr>
        <w:t>（2）高铁移动视频系统EOAS高清线路摄像机车载设备应具备与EOAS设备接口通信功能，满足向EOAS设备提供视频需求，符合《动车组司机操控信息分析系统EOAS暂行技术条件》（铁总运〔2014〕137号）及《动车组司机操控信息分析系统（EOAS）技术评审证书的通知》（科技装函〔2015〕67号）文件中要求EOAS设备原功能。</w:t>
      </w:r>
    </w:p>
    <w:p>
      <w:pPr>
        <w:tabs>
          <w:tab w:val="left" w:pos="0"/>
        </w:tabs>
        <w:snapToGrid w:val="0"/>
        <w:spacing w:line="360" w:lineRule="auto"/>
        <w:rPr>
          <w:rFonts w:ascii="宋体" w:hAnsi="宋体"/>
          <w:szCs w:val="21"/>
          <w:highlight w:val="none"/>
        </w:rPr>
      </w:pPr>
      <w:r>
        <w:rPr>
          <w:rFonts w:hint="eastAsia" w:ascii="宋体" w:hAnsi="宋体"/>
          <w:szCs w:val="21"/>
          <w:highlight w:val="none"/>
        </w:rPr>
        <w:t>（3）产品性能特性必须满足轨道交通机车车辆电子装置《GB/T25119-2010》相关规定。</w:t>
      </w:r>
    </w:p>
    <w:p>
      <w:pPr>
        <w:tabs>
          <w:tab w:val="left" w:pos="0"/>
        </w:tabs>
        <w:snapToGrid w:val="0"/>
        <w:spacing w:line="360" w:lineRule="auto"/>
        <w:rPr>
          <w:rFonts w:ascii="宋体" w:hAnsi="宋体"/>
          <w:szCs w:val="21"/>
        </w:rPr>
      </w:pPr>
      <w:r>
        <w:rPr>
          <w:rFonts w:hint="eastAsia" w:ascii="宋体" w:hAnsi="宋体"/>
          <w:szCs w:val="21"/>
          <w:highlight w:val="none"/>
        </w:rPr>
        <w:t>（4）</w:t>
      </w:r>
      <w:r>
        <w:rPr>
          <w:rFonts w:hint="eastAsia" w:ascii="宋体" w:hAnsi="宋体"/>
          <w:szCs w:val="21"/>
          <w:highlight w:val="none"/>
          <w:lang w:val="en-US" w:eastAsia="zh-CN"/>
        </w:rPr>
        <w:t>高铁移动视频系统</w:t>
      </w:r>
      <w:r>
        <w:rPr>
          <w:rFonts w:hint="eastAsia" w:ascii="宋体" w:hAnsi="宋体"/>
          <w:szCs w:val="21"/>
          <w:highlight w:val="none"/>
        </w:rPr>
        <w:t>信息安全方面参照《信息安全技术网络安全等级保护安全设计技术要求》（GBT25070-2019）和《信息安全技术网络安全等级保护安全设计技术要求》（GBT25070-2019）的标准和规范设计。系统必须通过等保三级认证，以抵御网络病毒和攻击，提升系统和网络的安全可靠</w:t>
      </w:r>
      <w:r>
        <w:rPr>
          <w:rFonts w:hint="eastAsia" w:ascii="宋体" w:hAnsi="宋体"/>
          <w:szCs w:val="21"/>
        </w:rPr>
        <w:t>性。需提供等保认证备案证书复印件，原件备查。</w:t>
      </w:r>
    </w:p>
    <w:p>
      <w:pPr>
        <w:tabs>
          <w:tab w:val="left" w:pos="0"/>
        </w:tabs>
        <w:snapToGrid w:val="0"/>
        <w:spacing w:line="360" w:lineRule="auto"/>
        <w:rPr>
          <w:rFonts w:ascii="宋体" w:hAnsi="宋体"/>
          <w:szCs w:val="21"/>
        </w:rPr>
      </w:pPr>
      <w:r>
        <w:rPr>
          <w:rFonts w:hint="eastAsia" w:ascii="宋体" w:hAnsi="宋体"/>
          <w:szCs w:val="21"/>
        </w:rPr>
        <w:t>（5）须符合《中国铁路总公司工电部关于印发高铁移动视频系统通过需求分析报告评审的通知》（工电综技函〔2018〕21号）中系统总体性能及功能要求执行。</w:t>
      </w:r>
    </w:p>
    <w:p>
      <w:pPr>
        <w:tabs>
          <w:tab w:val="left" w:pos="0"/>
        </w:tabs>
        <w:snapToGrid w:val="0"/>
        <w:spacing w:line="360" w:lineRule="auto"/>
        <w:rPr>
          <w:rFonts w:ascii="宋体" w:hAnsi="宋体"/>
          <w:szCs w:val="21"/>
        </w:rPr>
      </w:pPr>
      <w:r>
        <w:rPr>
          <w:rFonts w:hint="eastAsia" w:ascii="宋体" w:hAnsi="宋体"/>
          <w:szCs w:val="21"/>
        </w:rPr>
        <w:t>（6）须符合中国铁路总公司工电部关于印发《高铁移动视频平台专题会会议纪要》(工电函〔2018〕72号）中相关要求。</w:t>
      </w:r>
    </w:p>
    <w:p>
      <w:pPr>
        <w:tabs>
          <w:tab w:val="left" w:pos="0"/>
        </w:tabs>
        <w:snapToGrid w:val="0"/>
        <w:spacing w:line="360" w:lineRule="auto"/>
        <w:rPr>
          <w:rFonts w:ascii="宋体" w:hAnsi="宋体"/>
          <w:szCs w:val="21"/>
        </w:rPr>
      </w:pPr>
      <w:bookmarkStart w:id="394" w:name="_Toc28532"/>
      <w:r>
        <w:rPr>
          <w:rFonts w:hint="eastAsia" w:ascii="宋体" w:hAnsi="宋体"/>
          <w:szCs w:val="21"/>
        </w:rPr>
        <w:t>2.功能要求</w:t>
      </w:r>
      <w:bookmarkEnd w:id="394"/>
    </w:p>
    <w:p>
      <w:pPr>
        <w:tabs>
          <w:tab w:val="left" w:pos="0"/>
        </w:tabs>
        <w:snapToGrid w:val="0"/>
        <w:spacing w:line="360" w:lineRule="auto"/>
        <w:rPr>
          <w:rFonts w:ascii="宋体" w:hAnsi="宋体"/>
          <w:szCs w:val="21"/>
        </w:rPr>
      </w:pPr>
      <w:r>
        <w:rPr>
          <w:rFonts w:hint="eastAsia" w:ascii="宋体" w:hAnsi="宋体"/>
          <w:szCs w:val="21"/>
        </w:rPr>
        <w:t>高铁移动视频系统是在动车组司机操控信息分析系统( EOAS）基础上进行的功能扩展搭建，包括车载视频采集处理传输设备、地面视频处理中心和视频分析终端三部分。车载视频采集处理传输设备将动车组线路摄像机视频实时传送至视频处理中心，叠加融合行车数据、线路基础数据后，通过视频分析终端实现对动车组运行线路上的工务、电务、供电等设备设施状况实时查看和历史调阅，为高铁线路基础设施日常维护和应急处置提供了信息化技术手段。</w:t>
      </w:r>
    </w:p>
    <w:p>
      <w:pPr>
        <w:tabs>
          <w:tab w:val="left" w:pos="0"/>
        </w:tabs>
        <w:snapToGrid w:val="0"/>
        <w:spacing w:line="360" w:lineRule="auto"/>
        <w:rPr>
          <w:rFonts w:ascii="宋体" w:hAnsi="宋体"/>
          <w:szCs w:val="21"/>
        </w:rPr>
      </w:pPr>
      <w:bookmarkStart w:id="395" w:name="_Toc3629"/>
      <w:r>
        <w:rPr>
          <w:rFonts w:hint="eastAsia" w:ascii="宋体" w:hAnsi="宋体"/>
          <w:szCs w:val="21"/>
        </w:rPr>
        <w:t>2.1视频采集与传输</w:t>
      </w:r>
      <w:bookmarkEnd w:id="395"/>
    </w:p>
    <w:p>
      <w:pPr>
        <w:tabs>
          <w:tab w:val="left" w:pos="0"/>
        </w:tabs>
        <w:snapToGrid w:val="0"/>
        <w:spacing w:line="360" w:lineRule="auto"/>
        <w:rPr>
          <w:rFonts w:ascii="宋体" w:hAnsi="宋体"/>
          <w:szCs w:val="21"/>
        </w:rPr>
      </w:pPr>
      <w:r>
        <w:rPr>
          <w:rFonts w:hint="eastAsia" w:ascii="宋体" w:hAnsi="宋体"/>
          <w:szCs w:val="21"/>
        </w:rPr>
        <w:t>视频采集与传输须采用加密处理。实时采集动车组线路视频及运行状态等数据，经视频编码、加密、压缩处理后，分别采用不同的数据格式进行上传。具备实时播放、历史回放及下载功能。</w:t>
      </w:r>
    </w:p>
    <w:p>
      <w:pPr>
        <w:tabs>
          <w:tab w:val="left" w:pos="0"/>
        </w:tabs>
        <w:snapToGrid w:val="0"/>
        <w:spacing w:line="360" w:lineRule="auto"/>
        <w:rPr>
          <w:rFonts w:ascii="宋体" w:hAnsi="宋体"/>
          <w:szCs w:val="21"/>
        </w:rPr>
      </w:pPr>
      <w:bookmarkStart w:id="396" w:name="_Toc27034"/>
      <w:r>
        <w:rPr>
          <w:rFonts w:hint="eastAsia" w:ascii="宋体" w:hAnsi="宋体"/>
          <w:szCs w:val="21"/>
        </w:rPr>
        <w:t>2.2视频接收与分发</w:t>
      </w:r>
      <w:bookmarkEnd w:id="396"/>
    </w:p>
    <w:p>
      <w:pPr>
        <w:tabs>
          <w:tab w:val="left" w:pos="0"/>
        </w:tabs>
        <w:snapToGrid w:val="0"/>
        <w:spacing w:line="360" w:lineRule="auto"/>
        <w:rPr>
          <w:rFonts w:ascii="宋体" w:hAnsi="宋体"/>
          <w:szCs w:val="21"/>
        </w:rPr>
      </w:pPr>
      <w:r>
        <w:rPr>
          <w:rFonts w:hint="eastAsia" w:ascii="宋体" w:hAnsi="宋体"/>
          <w:szCs w:val="21"/>
        </w:rPr>
        <w:t>接收与分发须具备安全认证功能。流媒体转发服务器实时接收车载设备上传的视频流，经过安全平台认证后，由流媒体分发服务器将视频流发至请求该视频的视频用户终端。支持将同一视频流同时分发给多个视频用户终端进行播放。</w:t>
      </w:r>
    </w:p>
    <w:p>
      <w:pPr>
        <w:tabs>
          <w:tab w:val="left" w:pos="0"/>
        </w:tabs>
        <w:snapToGrid w:val="0"/>
        <w:spacing w:line="360" w:lineRule="auto"/>
        <w:rPr>
          <w:rFonts w:ascii="宋体" w:hAnsi="宋体"/>
          <w:szCs w:val="21"/>
        </w:rPr>
      </w:pPr>
      <w:bookmarkStart w:id="397" w:name="_Toc12280"/>
      <w:r>
        <w:rPr>
          <w:rFonts w:hint="eastAsia" w:ascii="宋体" w:hAnsi="宋体"/>
          <w:szCs w:val="21"/>
        </w:rPr>
        <w:t>2.3视频下载与存储</w:t>
      </w:r>
      <w:bookmarkEnd w:id="397"/>
    </w:p>
    <w:p>
      <w:pPr>
        <w:tabs>
          <w:tab w:val="left" w:pos="0"/>
        </w:tabs>
        <w:snapToGrid w:val="0"/>
        <w:spacing w:line="360" w:lineRule="auto"/>
        <w:rPr>
          <w:rFonts w:ascii="宋体" w:hAnsi="宋体"/>
          <w:szCs w:val="21"/>
        </w:rPr>
      </w:pPr>
      <w:r>
        <w:rPr>
          <w:rFonts w:hint="eastAsia" w:ascii="宋体" w:hAnsi="宋体"/>
          <w:szCs w:val="21"/>
        </w:rPr>
        <w:t>（1）车载视频存储。视频数据须满足在动车组车载设备上存储周期不小于5天。</w:t>
      </w:r>
    </w:p>
    <w:p>
      <w:pPr>
        <w:tabs>
          <w:tab w:val="left" w:pos="0"/>
        </w:tabs>
        <w:snapToGrid w:val="0"/>
        <w:spacing w:line="360" w:lineRule="auto"/>
        <w:rPr>
          <w:rFonts w:ascii="宋体" w:hAnsi="宋体"/>
          <w:szCs w:val="21"/>
        </w:rPr>
      </w:pPr>
      <w:r>
        <w:rPr>
          <w:rFonts w:hint="eastAsia" w:ascii="宋体" w:hAnsi="宋体"/>
          <w:szCs w:val="21"/>
        </w:rPr>
        <w:t>（2）实时播放及历史回放视频数据下载与存储。支持通过专用设备可以实时播放车载视频或历史回放车载存储的历史视频数据，通过视频云存储集群进行集中存储，存储周期不小于30天。</w:t>
      </w:r>
    </w:p>
    <w:p>
      <w:pPr>
        <w:tabs>
          <w:tab w:val="left" w:pos="0"/>
        </w:tabs>
        <w:snapToGrid w:val="0"/>
        <w:spacing w:line="360" w:lineRule="auto"/>
        <w:rPr>
          <w:rFonts w:ascii="宋体" w:hAnsi="宋体"/>
          <w:szCs w:val="21"/>
        </w:rPr>
      </w:pPr>
      <w:r>
        <w:rPr>
          <w:rFonts w:hint="eastAsia" w:ascii="宋体" w:hAnsi="宋体"/>
          <w:szCs w:val="21"/>
        </w:rPr>
        <w:t>（3）关键视频下载存储。支持通过专用设备实时播放或历史回放在线下载的关键视频数据，经确认标注后直接在视频云存储集群中进行存储；通过离线导出的关键视频数据，经确认标注后通过视频用户终端上传至视频处理中心，在视频云存储集群中进行存储。存储周期不小于一年。</w:t>
      </w:r>
    </w:p>
    <w:p>
      <w:pPr>
        <w:tabs>
          <w:tab w:val="left" w:pos="0"/>
        </w:tabs>
        <w:snapToGrid w:val="0"/>
        <w:spacing w:line="360" w:lineRule="auto"/>
        <w:rPr>
          <w:rFonts w:ascii="宋体" w:hAnsi="宋体"/>
          <w:szCs w:val="21"/>
        </w:rPr>
      </w:pPr>
      <w:bookmarkStart w:id="398" w:name="_Toc5278"/>
      <w:r>
        <w:rPr>
          <w:rFonts w:hint="eastAsia" w:ascii="宋体" w:hAnsi="宋体"/>
          <w:szCs w:val="21"/>
        </w:rPr>
        <w:t>2.4信息关联与融合</w:t>
      </w:r>
      <w:bookmarkEnd w:id="398"/>
    </w:p>
    <w:p>
      <w:pPr>
        <w:tabs>
          <w:tab w:val="left" w:pos="0"/>
        </w:tabs>
        <w:snapToGrid w:val="0"/>
        <w:spacing w:line="360" w:lineRule="auto"/>
        <w:rPr>
          <w:rFonts w:ascii="宋体" w:hAnsi="宋体"/>
          <w:szCs w:val="21"/>
        </w:rPr>
      </w:pPr>
      <w:r>
        <w:rPr>
          <w:rFonts w:hint="eastAsia" w:ascii="宋体" w:hAnsi="宋体"/>
          <w:szCs w:val="21"/>
        </w:rPr>
        <w:t>运行及线路信息具备与视频数据关联融合功能。将动车组实时运行信息、线路信息与视频数据进行关联融合与同步，播放时间同步显示。</w:t>
      </w:r>
    </w:p>
    <w:p>
      <w:pPr>
        <w:tabs>
          <w:tab w:val="left" w:pos="0"/>
        </w:tabs>
        <w:snapToGrid w:val="0"/>
        <w:spacing w:line="360" w:lineRule="auto"/>
        <w:rPr>
          <w:rFonts w:ascii="宋体" w:hAnsi="宋体"/>
          <w:szCs w:val="21"/>
        </w:rPr>
      </w:pPr>
      <w:bookmarkStart w:id="399" w:name="_Toc18975"/>
      <w:r>
        <w:rPr>
          <w:rFonts w:hint="eastAsia" w:ascii="宋体" w:hAnsi="宋体"/>
          <w:szCs w:val="21"/>
        </w:rPr>
        <w:t>3.车载视频采集处理传输设备配置参数要求</w:t>
      </w:r>
      <w:bookmarkEnd w:id="399"/>
    </w:p>
    <w:tbl>
      <w:tblPr>
        <w:tblStyle w:val="47"/>
        <w:tblW w:w="47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359"/>
        <w:gridCol w:w="1756"/>
        <w:gridCol w:w="4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bidi="ar"/>
              </w:rPr>
              <w:t>设备</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bidi="ar"/>
              </w:rPr>
              <w:t>功能</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bidi="ar"/>
              </w:rPr>
              <w:t>项目</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lang w:bidi="ar"/>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snapToGrid w:val="0"/>
                <w:kern w:val="0"/>
                <w:szCs w:val="21"/>
                <w:lang w:bidi="ar"/>
              </w:rPr>
              <w:t>数据采集设备</w:t>
            </w:r>
          </w:p>
        </w:tc>
        <w:tc>
          <w:tcPr>
            <w:tcW w:w="7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Cs w:val="21"/>
              </w:rPr>
            </w:pPr>
            <w:r>
              <w:rPr>
                <w:rFonts w:hint="eastAsia" w:ascii="宋体" w:hAnsi="宋体" w:cs="宋体"/>
                <w:kern w:val="0"/>
                <w:szCs w:val="21"/>
                <w:lang w:bidi="ar"/>
              </w:rPr>
              <w:t>采集线路视频</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尺寸</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（1）长314*宽132*高388mm</w:t>
            </w:r>
          </w:p>
          <w:p>
            <w:pPr>
              <w:widowControl/>
              <w:jc w:val="center"/>
              <w:rPr>
                <w:rFonts w:ascii="宋体" w:hAnsi="宋体" w:cs="宋体"/>
                <w:kern w:val="0"/>
                <w:szCs w:val="21"/>
              </w:rPr>
            </w:pPr>
            <w:r>
              <w:rPr>
                <w:rFonts w:hint="eastAsia" w:ascii="宋体" w:hAnsi="宋体" w:cs="宋体"/>
                <w:kern w:val="0"/>
                <w:szCs w:val="21"/>
                <w:lang w:bidi="ar"/>
              </w:rPr>
              <w:t>（2）长314*宽132*高438mm</w:t>
            </w:r>
          </w:p>
          <w:p>
            <w:pPr>
              <w:widowControl/>
              <w:jc w:val="center"/>
              <w:rPr>
                <w:rFonts w:ascii="宋体" w:hAnsi="宋体" w:cs="宋体"/>
                <w:kern w:val="0"/>
                <w:szCs w:val="21"/>
              </w:rPr>
            </w:pPr>
            <w:r>
              <w:rPr>
                <w:rFonts w:hint="eastAsia" w:ascii="宋体" w:hAnsi="宋体" w:cs="宋体"/>
                <w:kern w:val="0"/>
                <w:szCs w:val="21"/>
                <w:lang w:bidi="ar"/>
              </w:rPr>
              <w:t>（3）长312*宽100*高238mm</w:t>
            </w:r>
          </w:p>
          <w:p>
            <w:pPr>
              <w:widowControl/>
              <w:jc w:val="center"/>
              <w:rPr>
                <w:rFonts w:ascii="宋体" w:hAnsi="宋体" w:cs="宋体"/>
                <w:kern w:val="0"/>
                <w:szCs w:val="21"/>
              </w:rPr>
            </w:pPr>
            <w:r>
              <w:rPr>
                <w:rFonts w:hint="eastAsia" w:ascii="宋体" w:hAnsi="宋体" w:cs="宋体"/>
                <w:kern w:val="0"/>
                <w:szCs w:val="21"/>
                <w:lang w:bidi="ar"/>
              </w:rPr>
              <w:t>具体尺寸按照实际车型为准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有效像素</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200万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分辨率</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帧率</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30fps，最高60fps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码率</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自适应，最高20Mbps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镜头光圈</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自动光圈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快门速度</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1/100000至2秒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低照度</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彩色最低照度0.02lux，黑白为0.004 lux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宽动态</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120dB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焦距</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焦距范围4-16mm，可调，视角不低于26度；支持H.264标准视频压缩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主板</w:t>
            </w:r>
          </w:p>
        </w:tc>
        <w:tc>
          <w:tcPr>
            <w:tcW w:w="7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视频处理</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通讯接口</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1000M自适应以太网口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ARM多核处理器</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主频2Ghz；10秒断电保护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固态硬盘</w:t>
            </w:r>
          </w:p>
        </w:tc>
        <w:tc>
          <w:tcPr>
            <w:tcW w:w="7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存储设备</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存储空间</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≥512GB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5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移动通信模块、天线</w:t>
            </w:r>
          </w:p>
        </w:tc>
        <w:tc>
          <w:tcPr>
            <w:tcW w:w="76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与服务器进行通信</w:t>
            </w: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4G模块</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支持双4G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763"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p>
        </w:tc>
        <w:tc>
          <w:tcPr>
            <w:tcW w:w="98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最高上传速度</w:t>
            </w:r>
          </w:p>
        </w:tc>
        <w:tc>
          <w:tcPr>
            <w:tcW w:w="2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lang w:bidi="ar"/>
              </w:rPr>
              <w:t>≥20Mbps</w:t>
            </w:r>
          </w:p>
        </w:tc>
      </w:tr>
    </w:tbl>
    <w:p>
      <w:pPr>
        <w:pStyle w:val="2"/>
        <w:rPr>
          <w:rFonts w:ascii="宋体" w:hAnsi="宋体"/>
          <w:sz w:val="21"/>
          <w:szCs w:val="21"/>
        </w:rPr>
      </w:pPr>
    </w:p>
    <w:p>
      <w:pPr>
        <w:spacing w:line="360" w:lineRule="auto"/>
        <w:rPr>
          <w:rFonts w:ascii="宋体" w:hAnsi="宋体"/>
          <w:b/>
          <w:szCs w:val="21"/>
        </w:rPr>
      </w:pPr>
      <w:bookmarkStart w:id="400" w:name="OLE_LINK11"/>
      <w:r>
        <w:rPr>
          <w:rFonts w:hint="eastAsia" w:ascii="宋体" w:hAnsi="宋体"/>
          <w:b/>
          <w:szCs w:val="21"/>
          <w:lang w:eastAsia="zh-CN"/>
        </w:rPr>
        <w:t>五</w:t>
      </w:r>
      <w:r>
        <w:rPr>
          <w:rFonts w:hint="eastAsia" w:ascii="宋体" w:hAnsi="宋体"/>
          <w:b/>
          <w:szCs w:val="21"/>
        </w:rPr>
        <w:t>、商务要求</w:t>
      </w:r>
    </w:p>
    <w:p>
      <w:pPr>
        <w:pStyle w:val="2"/>
        <w:spacing w:line="360" w:lineRule="auto"/>
        <w:rPr>
          <w:rFonts w:ascii="宋体" w:hAnsi="宋体"/>
          <w:sz w:val="21"/>
          <w:szCs w:val="21"/>
        </w:rPr>
      </w:pPr>
      <w:r>
        <w:rPr>
          <w:rFonts w:hint="eastAsia" w:ascii="宋体" w:hAnsi="宋体"/>
          <w:sz w:val="21"/>
          <w:szCs w:val="21"/>
        </w:rPr>
        <w:t>1.报价要求：</w:t>
      </w:r>
      <w:r>
        <w:rPr>
          <w:rFonts w:hint="eastAsia" w:ascii="宋体" w:hAnsi="宋体"/>
          <w:sz w:val="21"/>
          <w:szCs w:val="21"/>
        </w:rPr>
        <w:tab/>
      </w:r>
      <w:r>
        <w:rPr>
          <w:rFonts w:hint="eastAsia" w:ascii="宋体" w:hAnsi="宋体"/>
          <w:sz w:val="21"/>
          <w:szCs w:val="21"/>
        </w:rPr>
        <w:t>投标总价必须是完成该项目的一切费用总和，包括设备费、运输费、装卸费、保险费、技术培训费、设备安装费、调试费、售后服务费、国家规定的各项税费等全部费用。</w:t>
      </w:r>
    </w:p>
    <w:p>
      <w:pPr>
        <w:pStyle w:val="2"/>
        <w:spacing w:line="360" w:lineRule="auto"/>
        <w:rPr>
          <w:rFonts w:ascii="宋体" w:hAnsi="宋体"/>
          <w:sz w:val="21"/>
          <w:szCs w:val="21"/>
        </w:rPr>
      </w:pPr>
      <w:r>
        <w:rPr>
          <w:rFonts w:hint="eastAsia" w:ascii="宋体" w:hAnsi="宋体"/>
          <w:sz w:val="21"/>
          <w:szCs w:val="21"/>
        </w:rPr>
        <w:t>2.付款要求</w:t>
      </w:r>
    </w:p>
    <w:p>
      <w:pPr>
        <w:pStyle w:val="2"/>
        <w:spacing w:line="360" w:lineRule="auto"/>
        <w:rPr>
          <w:rFonts w:ascii="宋体" w:hAnsi="宋体"/>
          <w:sz w:val="21"/>
          <w:szCs w:val="21"/>
        </w:rPr>
      </w:pPr>
      <w:r>
        <w:rPr>
          <w:rFonts w:hint="eastAsia" w:ascii="宋体" w:hAnsi="宋体"/>
          <w:sz w:val="21"/>
          <w:szCs w:val="21"/>
        </w:rPr>
        <w:t>（1）中标人交付的标的零部件通过验收且采购人收到中标人开具的报酬总额100%的全额发票后，以支票、电汇、商业汇票等方式向中标人支付报酬总额的95%。</w:t>
      </w:r>
    </w:p>
    <w:p>
      <w:pPr>
        <w:pStyle w:val="2"/>
        <w:spacing w:line="360" w:lineRule="auto"/>
        <w:rPr>
          <w:rFonts w:ascii="宋体" w:hAnsi="宋体"/>
          <w:sz w:val="21"/>
          <w:szCs w:val="21"/>
        </w:rPr>
      </w:pPr>
      <w:r>
        <w:rPr>
          <w:rFonts w:hint="eastAsia" w:ascii="宋体" w:hAnsi="宋体"/>
          <w:sz w:val="21"/>
          <w:szCs w:val="21"/>
        </w:rPr>
        <w:t>（2）采购人在质量保证期届满后视中标人质量责任履行情况无息支付报酬总额5%。</w:t>
      </w:r>
    </w:p>
    <w:p>
      <w:pPr>
        <w:pStyle w:val="2"/>
        <w:spacing w:line="360" w:lineRule="auto"/>
        <w:rPr>
          <w:rFonts w:ascii="宋体" w:hAnsi="宋体"/>
          <w:sz w:val="21"/>
          <w:szCs w:val="21"/>
        </w:rPr>
      </w:pPr>
      <w:r>
        <w:rPr>
          <w:rFonts w:hint="eastAsia" w:ascii="宋体" w:hAnsi="宋体"/>
          <w:sz w:val="21"/>
          <w:szCs w:val="21"/>
        </w:rPr>
        <w:t>3.违约要求：</w:t>
      </w:r>
    </w:p>
    <w:p>
      <w:pPr>
        <w:pStyle w:val="2"/>
        <w:spacing w:line="360" w:lineRule="auto"/>
        <w:rPr>
          <w:rFonts w:ascii="宋体" w:hAnsi="宋体"/>
          <w:sz w:val="21"/>
          <w:szCs w:val="21"/>
        </w:rPr>
      </w:pPr>
      <w:r>
        <w:rPr>
          <w:rFonts w:hint="eastAsia" w:ascii="宋体" w:hAnsi="宋体"/>
          <w:sz w:val="21"/>
          <w:szCs w:val="21"/>
        </w:rPr>
        <w:t>（1）中标人迟延交付标的零部件，自应交付期限届满之次日起，每迟延1日，中标人应向采购人支付迟延交付部分对应价款总额5‰的违约金。迟延超过15日，采购人享有全部或部分解除本合同的选择权，前述违约金累计至实际交付日或合同解除日。</w:t>
      </w:r>
    </w:p>
    <w:p>
      <w:pPr>
        <w:pStyle w:val="2"/>
        <w:spacing w:line="360" w:lineRule="auto"/>
        <w:rPr>
          <w:rFonts w:ascii="宋体" w:hAnsi="宋体"/>
          <w:sz w:val="21"/>
          <w:szCs w:val="21"/>
        </w:rPr>
      </w:pPr>
      <w:r>
        <w:rPr>
          <w:rFonts w:hint="eastAsia" w:ascii="宋体" w:hAnsi="宋体"/>
          <w:sz w:val="21"/>
          <w:szCs w:val="21"/>
        </w:rPr>
        <w:t>（2）若交付的标的零部件经检验不符合本合同约定，则中标人应按不符合部分对应价款总额的10%向采购人支付违约金；若检修完成的标的零部件经中标人修理或重修后，经第二次检验仍不符合本合同约定，则前述违约金调增为20%，同时采购人享有全部或部分解除本合同的选择权。</w:t>
      </w:r>
    </w:p>
    <w:p>
      <w:pPr>
        <w:pStyle w:val="2"/>
        <w:spacing w:line="360" w:lineRule="auto"/>
        <w:rPr>
          <w:rFonts w:ascii="宋体" w:hAnsi="宋体"/>
          <w:sz w:val="21"/>
          <w:szCs w:val="21"/>
        </w:rPr>
      </w:pPr>
      <w:r>
        <w:rPr>
          <w:rFonts w:hint="eastAsia" w:ascii="宋体" w:hAnsi="宋体"/>
          <w:sz w:val="21"/>
          <w:szCs w:val="21"/>
        </w:rPr>
        <w:t>（3）若中标人未按本合同约定更换标的零部件的必换件，每出现一次，应向采购人支付报酬总额10%的违约金，并应承担因此而导致的故障、质量事故及采购人工期迟延等所引起的一切责任。同时，采购人享有全部或部分解除本合同的选择权。</w:t>
      </w:r>
    </w:p>
    <w:p>
      <w:pPr>
        <w:pStyle w:val="2"/>
        <w:spacing w:line="360" w:lineRule="auto"/>
        <w:rPr>
          <w:rFonts w:ascii="宋体" w:hAnsi="宋体"/>
          <w:sz w:val="21"/>
          <w:szCs w:val="21"/>
        </w:rPr>
      </w:pPr>
      <w:r>
        <w:rPr>
          <w:rFonts w:hint="eastAsia" w:ascii="宋体" w:hAnsi="宋体"/>
          <w:sz w:val="21"/>
          <w:szCs w:val="21"/>
        </w:rPr>
        <w:t>（4）中标人违反本合同约定逾期返还采购人技术资料和图纸的，每迟延1日，向采购人承担报酬总金额5‰的违约金，直至返还为止。</w:t>
      </w:r>
    </w:p>
    <w:p>
      <w:pPr>
        <w:pStyle w:val="2"/>
        <w:spacing w:line="360" w:lineRule="auto"/>
        <w:rPr>
          <w:rFonts w:ascii="宋体" w:hAnsi="宋体"/>
          <w:sz w:val="21"/>
          <w:szCs w:val="21"/>
        </w:rPr>
      </w:pPr>
      <w:r>
        <w:rPr>
          <w:rFonts w:hint="eastAsia" w:ascii="宋体" w:hAnsi="宋体"/>
          <w:sz w:val="21"/>
          <w:szCs w:val="21"/>
        </w:rPr>
        <w:t>（5）中标人应对违约而导致的采购人损失或约定违约金不足以弥补采购人损失的部分进行赔偿，该等损失包括但不限于实际损失、可得利益损失、第三方索赔、律师费、差旅费、食宿费等。</w:t>
      </w:r>
    </w:p>
    <w:p>
      <w:pPr>
        <w:pStyle w:val="2"/>
        <w:spacing w:line="360" w:lineRule="auto"/>
        <w:rPr>
          <w:rFonts w:ascii="宋体" w:hAnsi="宋体"/>
          <w:sz w:val="21"/>
          <w:szCs w:val="21"/>
        </w:rPr>
      </w:pPr>
      <w:r>
        <w:rPr>
          <w:rFonts w:hint="eastAsia" w:ascii="宋体" w:hAnsi="宋体"/>
          <w:sz w:val="21"/>
          <w:szCs w:val="21"/>
        </w:rPr>
        <w:t>（6）若中标人收到采购人以书面形式发出违约索赔通知，应在3个工作日内将书面处理意见或解决方案回复采购人，未回复视为接受采购人索赔要求。</w:t>
      </w:r>
    </w:p>
    <w:p>
      <w:pPr>
        <w:pStyle w:val="2"/>
        <w:spacing w:line="360" w:lineRule="auto"/>
        <w:rPr>
          <w:rFonts w:ascii="宋体" w:hAnsi="宋体"/>
          <w:sz w:val="21"/>
          <w:szCs w:val="21"/>
        </w:rPr>
      </w:pPr>
      <w:r>
        <w:rPr>
          <w:rFonts w:hint="eastAsia" w:ascii="宋体" w:hAnsi="宋体"/>
          <w:sz w:val="21"/>
          <w:szCs w:val="21"/>
        </w:rPr>
        <w:t>4.</w:t>
      </w:r>
      <w:bookmarkStart w:id="401" w:name="_Toc2817"/>
      <w:r>
        <w:rPr>
          <w:rFonts w:hint="eastAsia" w:ascii="宋体" w:hAnsi="宋体"/>
          <w:sz w:val="21"/>
          <w:szCs w:val="21"/>
        </w:rPr>
        <w:t>售后服务</w:t>
      </w:r>
      <w:bookmarkEnd w:id="401"/>
    </w:p>
    <w:p>
      <w:pPr>
        <w:pStyle w:val="2"/>
        <w:spacing w:line="360" w:lineRule="auto"/>
        <w:rPr>
          <w:rFonts w:ascii="宋体" w:hAnsi="宋体"/>
          <w:sz w:val="21"/>
          <w:szCs w:val="21"/>
        </w:rPr>
      </w:pPr>
      <w:r>
        <w:rPr>
          <w:rFonts w:hint="eastAsia" w:ascii="宋体" w:hAnsi="宋体"/>
          <w:sz w:val="21"/>
          <w:szCs w:val="21"/>
        </w:rPr>
        <w:t>（1）该设备整机质量保证期为12个月。在质量保证期内出现设备缺陷、故障等质量问题，买方应尽快通知卖方，卖方收到买方通知后应在2小时内响应，48小时内到达用户现场免费处理。在质量保证期内，如有零部件损坏，卖方应负责无偿更换，并对该零部件延长质保12个月。</w:t>
      </w:r>
    </w:p>
    <w:p>
      <w:pPr>
        <w:pStyle w:val="2"/>
        <w:spacing w:line="360" w:lineRule="auto"/>
        <w:rPr>
          <w:rFonts w:ascii="宋体" w:hAnsi="宋体"/>
          <w:sz w:val="21"/>
          <w:szCs w:val="21"/>
        </w:rPr>
      </w:pPr>
      <w:r>
        <w:rPr>
          <w:rFonts w:hint="eastAsia" w:ascii="宋体" w:hAnsi="宋体"/>
          <w:sz w:val="21"/>
          <w:szCs w:val="21"/>
        </w:rPr>
        <w:t>（2）设备存在设计缺陷，卖方须免费设计改造、完善性能，由此造成的一切损失由卖方负责。</w:t>
      </w:r>
    </w:p>
    <w:p>
      <w:pPr>
        <w:pStyle w:val="2"/>
        <w:spacing w:line="360" w:lineRule="auto"/>
        <w:rPr>
          <w:rFonts w:ascii="宋体" w:hAnsi="宋体"/>
          <w:sz w:val="21"/>
          <w:szCs w:val="21"/>
        </w:rPr>
      </w:pPr>
      <w:r>
        <w:rPr>
          <w:rFonts w:hint="eastAsia" w:ascii="宋体" w:hAnsi="宋体"/>
          <w:sz w:val="21"/>
          <w:szCs w:val="21"/>
        </w:rPr>
        <w:t>（3）在质保期内设备的使用、保养、维修、改造等提供技术服务。</w:t>
      </w:r>
    </w:p>
    <w:bookmarkEnd w:id="377"/>
    <w:bookmarkEnd w:id="378"/>
    <w:bookmarkEnd w:id="400"/>
    <w:p>
      <w:pPr>
        <w:pStyle w:val="2"/>
      </w:pPr>
    </w:p>
    <w:p>
      <w:pPr>
        <w:spacing w:line="360" w:lineRule="auto"/>
        <w:jc w:val="left"/>
        <w:rPr>
          <w:rFonts w:ascii="宋体" w:hAnsi="宋体"/>
          <w:b/>
          <w:szCs w:val="21"/>
        </w:rPr>
      </w:pPr>
      <w:r>
        <w:rPr>
          <w:rFonts w:hint="eastAsia" w:ascii="宋体" w:hAnsi="宋体"/>
          <w:b/>
          <w:szCs w:val="21"/>
          <w:lang w:eastAsia="zh-CN"/>
        </w:rPr>
        <w:t>六</w:t>
      </w:r>
      <w:r>
        <w:rPr>
          <w:rFonts w:hint="eastAsia" w:ascii="宋体" w:hAnsi="宋体"/>
          <w:b/>
          <w:szCs w:val="21"/>
        </w:rPr>
        <w:t>、风险管控措施</w:t>
      </w:r>
    </w:p>
    <w:p>
      <w:pPr>
        <w:spacing w:line="360" w:lineRule="auto"/>
        <w:jc w:val="left"/>
        <w:rPr>
          <w:rFonts w:ascii="宋体" w:hAnsi="宋体"/>
          <w:szCs w:val="21"/>
        </w:rPr>
      </w:pPr>
      <w:r>
        <w:rPr>
          <w:rFonts w:hint="eastAsia" w:ascii="宋体" w:hAnsi="宋体"/>
          <w:szCs w:val="21"/>
        </w:rPr>
        <w:t>（1）国家政策变化应对措施：响应国家政策</w:t>
      </w:r>
    </w:p>
    <w:p>
      <w:pPr>
        <w:spacing w:line="360" w:lineRule="auto"/>
        <w:jc w:val="left"/>
        <w:rPr>
          <w:rFonts w:ascii="宋体" w:hAnsi="宋体"/>
          <w:szCs w:val="21"/>
        </w:rPr>
      </w:pPr>
      <w:r>
        <w:rPr>
          <w:rFonts w:hint="eastAsia" w:ascii="宋体" w:hAnsi="宋体"/>
          <w:szCs w:val="21"/>
        </w:rPr>
        <w:t>（2）实施环境变化应对措施：制定符合环境的采购需求</w:t>
      </w:r>
    </w:p>
    <w:p>
      <w:pPr>
        <w:spacing w:line="360" w:lineRule="auto"/>
        <w:jc w:val="left"/>
        <w:rPr>
          <w:rFonts w:ascii="宋体" w:hAnsi="宋体"/>
          <w:szCs w:val="21"/>
        </w:rPr>
      </w:pPr>
      <w:r>
        <w:rPr>
          <w:rFonts w:hint="eastAsia" w:ascii="宋体" w:hAnsi="宋体"/>
          <w:szCs w:val="21"/>
        </w:rPr>
        <w:t>（3）重大技术变化应对措施：不涉及</w:t>
      </w:r>
    </w:p>
    <w:p>
      <w:pPr>
        <w:spacing w:line="360" w:lineRule="auto"/>
        <w:jc w:val="left"/>
        <w:rPr>
          <w:rFonts w:ascii="宋体" w:hAnsi="宋体"/>
          <w:szCs w:val="21"/>
        </w:rPr>
      </w:pPr>
      <w:r>
        <w:rPr>
          <w:rFonts w:hint="eastAsia" w:ascii="宋体" w:hAnsi="宋体"/>
          <w:szCs w:val="21"/>
        </w:rPr>
        <w:t>（4）预算项目调整应对措施：重新申报项目预算</w:t>
      </w:r>
    </w:p>
    <w:p>
      <w:pPr>
        <w:spacing w:line="360" w:lineRule="auto"/>
        <w:jc w:val="left"/>
        <w:rPr>
          <w:rFonts w:ascii="宋体" w:hAnsi="宋体"/>
          <w:szCs w:val="21"/>
        </w:rPr>
      </w:pPr>
      <w:r>
        <w:rPr>
          <w:rFonts w:hint="eastAsia" w:ascii="宋体" w:hAnsi="宋体"/>
          <w:szCs w:val="21"/>
        </w:rPr>
        <w:t>（5）因质疑投诉影响采购进度应对措施：根据政府采购法等相关法律法规执行</w:t>
      </w:r>
    </w:p>
    <w:p>
      <w:pPr>
        <w:spacing w:line="360" w:lineRule="auto"/>
        <w:jc w:val="left"/>
        <w:rPr>
          <w:rFonts w:ascii="宋体" w:hAnsi="宋体"/>
          <w:szCs w:val="21"/>
        </w:rPr>
      </w:pPr>
      <w:r>
        <w:rPr>
          <w:rFonts w:hint="eastAsia" w:ascii="宋体" w:hAnsi="宋体"/>
          <w:szCs w:val="21"/>
        </w:rPr>
        <w:t>（6）采购失败应对措施：重新采购</w:t>
      </w:r>
    </w:p>
    <w:p>
      <w:pPr>
        <w:spacing w:line="360" w:lineRule="auto"/>
        <w:jc w:val="left"/>
        <w:rPr>
          <w:rFonts w:ascii="宋体" w:hAnsi="宋体"/>
          <w:szCs w:val="21"/>
        </w:rPr>
      </w:pPr>
      <w:r>
        <w:rPr>
          <w:rFonts w:hint="eastAsia" w:ascii="宋体" w:hAnsi="宋体"/>
          <w:szCs w:val="21"/>
        </w:rPr>
        <w:t>（7）不按规定签订或者履行合同应对措施：根据政府采购法等相关法律法规执行</w:t>
      </w:r>
    </w:p>
    <w:p>
      <w:pPr>
        <w:spacing w:line="360" w:lineRule="auto"/>
        <w:jc w:val="left"/>
        <w:rPr>
          <w:rFonts w:ascii="宋体" w:hAnsi="宋体"/>
          <w:szCs w:val="21"/>
        </w:rPr>
      </w:pPr>
      <w:r>
        <w:rPr>
          <w:rFonts w:hint="eastAsia" w:ascii="宋体" w:hAnsi="宋体"/>
          <w:szCs w:val="21"/>
        </w:rPr>
        <w:t>（8）出现损害国家利益和社会公共利益情形应对措施：根据政府采购法等相关法律法规执行</w:t>
      </w:r>
    </w:p>
    <w:p>
      <w:pPr>
        <w:pStyle w:val="2"/>
      </w:pPr>
    </w:p>
    <w:sectPr>
      <w:headerReference r:id="rId3" w:type="default"/>
      <w:footerReference r:id="rId4" w:type="default"/>
      <w:pgSz w:w="11906" w:h="16838"/>
      <w:pgMar w:top="1418" w:right="1418" w:bottom="1418" w:left="1418" w:header="851" w:footer="850"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FrutLigt">
    <w:altName w:val="Times New Roman"/>
    <w:panose1 w:val="00000000000000000000"/>
    <w:charset w:val="00"/>
    <w:family w:val="auto"/>
    <w:pitch w:val="default"/>
    <w:sig w:usb0="00000000" w:usb1="00000000" w:usb2="00000000" w:usb3="00000000" w:csb0="0000001B" w:csb1="00000000"/>
  </w:font>
  <w:font w:name="Calibri Light">
    <w:panose1 w:val="020F0302020204030204"/>
    <w:charset w:val="00"/>
    <w:family w:val="swiss"/>
    <w:pitch w:val="default"/>
    <w:sig w:usb0="A00002EF" w:usb1="4000207B"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FrutBold">
    <w:altName w:val="Segoe Print"/>
    <w:panose1 w:val="00000000000000000000"/>
    <w:charset w:val="00"/>
    <w:family w:val="auto"/>
    <w:pitch w:val="default"/>
    <w:sig w:usb0="00000000"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ˎ̥">
    <w:altName w:val="微软雅黑"/>
    <w:panose1 w:val="00000000000000000000"/>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YuMincho +36p Kana Medium __L">
    <w:altName w:val="Segoe Print"/>
    <w:panose1 w:val="00000000000000000000"/>
    <w:charset w:val="00"/>
    <w:family w:val="auto"/>
    <w:pitch w:val="default"/>
    <w:sig w:usb0="00000000" w:usb1="00000000" w:usb2="00000000" w:usb3="00000000" w:csb0="0000009B" w:csb1="00000000"/>
  </w:font>
  <w:font w:name="Verdana">
    <w:panose1 w:val="020B0604030504040204"/>
    <w:charset w:val="00"/>
    <w:family w:val="swiss"/>
    <w:pitch w:val="default"/>
    <w:sig w:usb0="A10006FF" w:usb1="4000205B" w:usb2="00000010" w:usb3="00000000" w:csb0="2000019F" w:csb1="00000000"/>
  </w:font>
  <w:font w:name="_GB2312">
    <w:altName w:val="微软雅黑"/>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ヒラギノ角ゴ Pro W3">
    <w:altName w:val="MS Mincho"/>
    <w:panose1 w:val="00000000000000000000"/>
    <w:charset w:val="80"/>
    <w:family w:val="roman"/>
    <w:pitch w:val="default"/>
    <w:sig w:usb0="00000000" w:usb1="00000000" w:usb2="00000012" w:usb3="00000000" w:csb0="0002000D" w:csb1="00000000"/>
  </w:font>
  <w:font w:name="Arial Unicode MS">
    <w:panose1 w:val="020B0604020202020204"/>
    <w:charset w:val="86"/>
    <w:family w:val="swiss"/>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Rounded MT Bold">
    <w:panose1 w:val="020F0704030504030204"/>
    <w:charset w:val="00"/>
    <w:family w:val="swiss"/>
    <w:pitch w:val="default"/>
    <w:sig w:usb0="00000003" w:usb1="00000000" w:usb2="00000000" w:usb3="00000000" w:csb0="2000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spacing w:after="60"/>
      <w:jc w:val="center"/>
    </w:pPr>
    <w:r>
      <w:fldChar w:fldCharType="begin"/>
    </w:r>
    <w:r>
      <w:instrText xml:space="preserve">PAGE   \* MERGEFORMAT</w:instrText>
    </w:r>
    <w:r>
      <w:fldChar w:fldCharType="separate"/>
    </w:r>
    <w:r>
      <w:rPr>
        <w:lang w:val="zh-CN"/>
      </w:rPr>
      <w:t>35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rPr>
    </w:pPr>
    <w:bookmarkStart w:id="402" w:name="OLE_LINK12"/>
    <w:bookmarkStart w:id="403" w:name="OLE_LINK13"/>
    <w:bookmarkStart w:id="404" w:name="_Hlk192687665"/>
    <w:r>
      <w:rPr>
        <w:rFonts w:hint="eastAsia" w:ascii="宋体" w:hAnsi="宋体"/>
      </w:rPr>
      <w:t>北京副中心城际CRH6A型动车组四级修（120万公里）</w:t>
    </w:r>
    <w:bookmarkStart w:id="405" w:name="OLE_LINK14"/>
    <w:bookmarkStart w:id="406" w:name="OLE_LINK15"/>
    <w:r>
      <w:rPr>
        <w:rFonts w:hint="eastAsia" w:ascii="宋体" w:hAnsi="宋体"/>
      </w:rPr>
      <w:t>项目</w:t>
    </w:r>
    <w:r>
      <w:rPr>
        <w:rFonts w:hint="eastAsia" w:ascii="宋体" w:hAnsi="宋体"/>
        <w:bCs/>
        <w:szCs w:val="21"/>
      </w:rPr>
      <w:t>（</w:t>
    </w:r>
    <w:bookmarkStart w:id="407" w:name="OLE_LINK44"/>
    <w:r>
      <w:rPr>
        <w:rFonts w:hint="eastAsia" w:ascii="宋体" w:hAnsi="宋体"/>
        <w:bCs/>
        <w:szCs w:val="21"/>
      </w:rPr>
      <w:t>C包</w:t>
    </w:r>
    <w:bookmarkEnd w:id="407"/>
    <w:r>
      <w:rPr>
        <w:rFonts w:hint="eastAsia" w:ascii="宋体" w:hAnsi="宋体"/>
        <w:bCs/>
        <w:szCs w:val="21"/>
      </w:rPr>
      <w:t>）</w:t>
    </w:r>
    <w:r>
      <w:rPr>
        <w:rFonts w:hint="eastAsia" w:ascii="宋体" w:hAnsi="宋体"/>
      </w:rPr>
      <w:t xml:space="preserve"> </w:t>
    </w:r>
    <w:bookmarkEnd w:id="405"/>
    <w:bookmarkEnd w:id="406"/>
    <w:r>
      <w:rPr>
        <w:rFonts w:hint="eastAsia" w:ascii="宋体" w:hAnsi="宋体"/>
      </w:rPr>
      <w:t xml:space="preserve">                           S</w:t>
    </w:r>
    <w:r>
      <w:rPr>
        <w:rFonts w:ascii="宋体" w:hAnsi="宋体"/>
      </w:rPr>
      <w:t>ZHT20</w:t>
    </w:r>
    <w:r>
      <w:rPr>
        <w:rFonts w:hint="eastAsia" w:ascii="宋体" w:hAnsi="宋体"/>
      </w:rPr>
      <w:t>25-005</w:t>
    </w:r>
    <w:bookmarkEnd w:id="402"/>
    <w:bookmarkEnd w:id="403"/>
    <w:bookmarkEnd w:id="404"/>
    <w:r>
      <w:rPr>
        <w:rFonts w:hint="eastAsia" w:ascii="宋体" w:hAnsi="宋体"/>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8C1B5C"/>
    <w:multiLevelType w:val="singleLevel"/>
    <w:tmpl w:val="DB8C1B5C"/>
    <w:lvl w:ilvl="0" w:tentative="0">
      <w:start w:val="2"/>
      <w:numFmt w:val="chineseCounting"/>
      <w:suff w:val="nothing"/>
      <w:lvlText w:val="（%1）"/>
      <w:lvlJc w:val="left"/>
      <w:rPr>
        <w:rFonts w:hint="eastAsia"/>
      </w:rPr>
    </w:lvl>
  </w:abstractNum>
  <w:abstractNum w:abstractNumId="1">
    <w:nsid w:val="47507981"/>
    <w:multiLevelType w:val="multilevel"/>
    <w:tmpl w:val="47507981"/>
    <w:lvl w:ilvl="0" w:tentative="0">
      <w:start w:val="1"/>
      <w:numFmt w:val="taiwaneseCountingThousand"/>
      <w:lvlText w:val="第%1章"/>
      <w:lvlJc w:val="left"/>
      <w:pPr>
        <w:tabs>
          <w:tab w:val="left" w:pos="840"/>
        </w:tabs>
        <w:ind w:left="840" w:hanging="84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2B37074"/>
    <w:multiLevelType w:val="multilevel"/>
    <w:tmpl w:val="52B37074"/>
    <w:lvl w:ilvl="0" w:tentative="0">
      <w:start w:val="1"/>
      <w:numFmt w:val="decimal"/>
      <w:lvlText w:val="%1．"/>
      <w:lvlJc w:val="left"/>
      <w:pPr>
        <w:tabs>
          <w:tab w:val="left" w:pos="780"/>
        </w:tabs>
        <w:ind w:left="780" w:hanging="360"/>
      </w:pPr>
    </w:lvl>
    <w:lvl w:ilvl="1" w:tentative="0">
      <w:start w:val="1"/>
      <w:numFmt w:val="decimal"/>
      <w:lvlText w:val="%2."/>
      <w:lvlJc w:val="left"/>
      <w:pPr>
        <w:tabs>
          <w:tab w:val="left" w:pos="1200"/>
        </w:tabs>
        <w:ind w:left="1200" w:hanging="360"/>
      </w:pPr>
      <w:rPr>
        <w:rFonts w:hint="eastAsia" w:ascii="宋体" w:hAnsi="宋体" w:eastAsia="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ZTcyYzIxMjk0YjYzOTU4ODY2Y2EwYWQ0YTdmZTEifQ=="/>
    <w:docVar w:name="KSO_WPS_MARK_KEY" w:val="6120c787-6172-4c67-9130-6ea1fcefcfec"/>
  </w:docVars>
  <w:rsids>
    <w:rsidRoot w:val="00A70410"/>
    <w:rsid w:val="000012C5"/>
    <w:rsid w:val="00033F31"/>
    <w:rsid w:val="00047DA8"/>
    <w:rsid w:val="00092C29"/>
    <w:rsid w:val="00113402"/>
    <w:rsid w:val="001642FB"/>
    <w:rsid w:val="00192BD3"/>
    <w:rsid w:val="001B24DF"/>
    <w:rsid w:val="001F653E"/>
    <w:rsid w:val="00203711"/>
    <w:rsid w:val="0021131A"/>
    <w:rsid w:val="0027720D"/>
    <w:rsid w:val="002A1D4D"/>
    <w:rsid w:val="002D5F99"/>
    <w:rsid w:val="002E43CE"/>
    <w:rsid w:val="00302AA9"/>
    <w:rsid w:val="00330692"/>
    <w:rsid w:val="00337BF6"/>
    <w:rsid w:val="00375A48"/>
    <w:rsid w:val="0038645D"/>
    <w:rsid w:val="003A170E"/>
    <w:rsid w:val="003C3C12"/>
    <w:rsid w:val="003E6461"/>
    <w:rsid w:val="003F579B"/>
    <w:rsid w:val="00442D14"/>
    <w:rsid w:val="00465F15"/>
    <w:rsid w:val="00471EE9"/>
    <w:rsid w:val="004D67A3"/>
    <w:rsid w:val="004E2BDC"/>
    <w:rsid w:val="004E2BF6"/>
    <w:rsid w:val="004F4F4D"/>
    <w:rsid w:val="00513E5F"/>
    <w:rsid w:val="00520035"/>
    <w:rsid w:val="0056000A"/>
    <w:rsid w:val="00565B48"/>
    <w:rsid w:val="00585C97"/>
    <w:rsid w:val="005C002D"/>
    <w:rsid w:val="005D3BFB"/>
    <w:rsid w:val="005F08BC"/>
    <w:rsid w:val="00611622"/>
    <w:rsid w:val="00643CDF"/>
    <w:rsid w:val="00694264"/>
    <w:rsid w:val="006B52A4"/>
    <w:rsid w:val="006B6593"/>
    <w:rsid w:val="006E7264"/>
    <w:rsid w:val="00740C3F"/>
    <w:rsid w:val="00743647"/>
    <w:rsid w:val="007468BE"/>
    <w:rsid w:val="00770B09"/>
    <w:rsid w:val="007975FF"/>
    <w:rsid w:val="007A1B65"/>
    <w:rsid w:val="007C33CE"/>
    <w:rsid w:val="00804F55"/>
    <w:rsid w:val="0082385E"/>
    <w:rsid w:val="00825439"/>
    <w:rsid w:val="008643BB"/>
    <w:rsid w:val="008942FA"/>
    <w:rsid w:val="008B7D05"/>
    <w:rsid w:val="008C6137"/>
    <w:rsid w:val="008F605B"/>
    <w:rsid w:val="00901515"/>
    <w:rsid w:val="00905ECD"/>
    <w:rsid w:val="00936805"/>
    <w:rsid w:val="00964F7E"/>
    <w:rsid w:val="009F3351"/>
    <w:rsid w:val="009F79CD"/>
    <w:rsid w:val="00A01702"/>
    <w:rsid w:val="00A61A3C"/>
    <w:rsid w:val="00A678ED"/>
    <w:rsid w:val="00A70410"/>
    <w:rsid w:val="00A77944"/>
    <w:rsid w:val="00A93B39"/>
    <w:rsid w:val="00AA44DD"/>
    <w:rsid w:val="00AD05C8"/>
    <w:rsid w:val="00AD592C"/>
    <w:rsid w:val="00B11786"/>
    <w:rsid w:val="00B236C1"/>
    <w:rsid w:val="00B7314E"/>
    <w:rsid w:val="00B77FFE"/>
    <w:rsid w:val="00B81451"/>
    <w:rsid w:val="00BA57FB"/>
    <w:rsid w:val="00BB79C3"/>
    <w:rsid w:val="00BC59CA"/>
    <w:rsid w:val="00C31FB1"/>
    <w:rsid w:val="00C52981"/>
    <w:rsid w:val="00CB0276"/>
    <w:rsid w:val="00CB0C8E"/>
    <w:rsid w:val="00CB223A"/>
    <w:rsid w:val="00CD2E20"/>
    <w:rsid w:val="00CD7706"/>
    <w:rsid w:val="00CE7C25"/>
    <w:rsid w:val="00CF28EE"/>
    <w:rsid w:val="00D270C5"/>
    <w:rsid w:val="00D72853"/>
    <w:rsid w:val="00D762B6"/>
    <w:rsid w:val="00DA300B"/>
    <w:rsid w:val="00DA39DF"/>
    <w:rsid w:val="00DC68B0"/>
    <w:rsid w:val="00DE5B72"/>
    <w:rsid w:val="00DF0B2F"/>
    <w:rsid w:val="00E0329C"/>
    <w:rsid w:val="00E04E1E"/>
    <w:rsid w:val="00E156C6"/>
    <w:rsid w:val="00E158CF"/>
    <w:rsid w:val="00E463A0"/>
    <w:rsid w:val="00E673B4"/>
    <w:rsid w:val="00E94349"/>
    <w:rsid w:val="00EA2E77"/>
    <w:rsid w:val="00ED4803"/>
    <w:rsid w:val="00F02DEF"/>
    <w:rsid w:val="00F079F9"/>
    <w:rsid w:val="00F11E8B"/>
    <w:rsid w:val="00F16AD7"/>
    <w:rsid w:val="00F76D1D"/>
    <w:rsid w:val="00F95F85"/>
    <w:rsid w:val="00FA29EE"/>
    <w:rsid w:val="00FB0BBC"/>
    <w:rsid w:val="00FB3946"/>
    <w:rsid w:val="00FC25B1"/>
    <w:rsid w:val="00FC3E1C"/>
    <w:rsid w:val="00FE1628"/>
    <w:rsid w:val="07124399"/>
    <w:rsid w:val="0923288D"/>
    <w:rsid w:val="09A154B2"/>
    <w:rsid w:val="0A2B1590"/>
    <w:rsid w:val="0B660A46"/>
    <w:rsid w:val="0BAD4C41"/>
    <w:rsid w:val="0C8B73B0"/>
    <w:rsid w:val="0CA5180B"/>
    <w:rsid w:val="0CC55A09"/>
    <w:rsid w:val="0E5030EB"/>
    <w:rsid w:val="0E653000"/>
    <w:rsid w:val="0EC617B5"/>
    <w:rsid w:val="13C642B6"/>
    <w:rsid w:val="1AD61526"/>
    <w:rsid w:val="1B282A9E"/>
    <w:rsid w:val="1C33298F"/>
    <w:rsid w:val="1C5514B4"/>
    <w:rsid w:val="1C752FA8"/>
    <w:rsid w:val="1DB80C9C"/>
    <w:rsid w:val="22384720"/>
    <w:rsid w:val="27137C5B"/>
    <w:rsid w:val="2754511E"/>
    <w:rsid w:val="285C326E"/>
    <w:rsid w:val="2B9F5CDF"/>
    <w:rsid w:val="2BF34441"/>
    <w:rsid w:val="2D9D4A1E"/>
    <w:rsid w:val="2E572F33"/>
    <w:rsid w:val="305C4200"/>
    <w:rsid w:val="30F93D50"/>
    <w:rsid w:val="312F602E"/>
    <w:rsid w:val="329A6A6D"/>
    <w:rsid w:val="336509B9"/>
    <w:rsid w:val="341A3CE1"/>
    <w:rsid w:val="350D65F0"/>
    <w:rsid w:val="35F26FC0"/>
    <w:rsid w:val="398E7BB3"/>
    <w:rsid w:val="41863F68"/>
    <w:rsid w:val="426125F2"/>
    <w:rsid w:val="4FE47521"/>
    <w:rsid w:val="551C6D0B"/>
    <w:rsid w:val="55F2175F"/>
    <w:rsid w:val="560501F2"/>
    <w:rsid w:val="5BA65FD3"/>
    <w:rsid w:val="5BAF6C35"/>
    <w:rsid w:val="5C6E1D4B"/>
    <w:rsid w:val="61457E4C"/>
    <w:rsid w:val="62CA338D"/>
    <w:rsid w:val="6420205F"/>
    <w:rsid w:val="64990483"/>
    <w:rsid w:val="65BD17EA"/>
    <w:rsid w:val="67095D94"/>
    <w:rsid w:val="67FA0F20"/>
    <w:rsid w:val="6B786AEF"/>
    <w:rsid w:val="6E651D56"/>
    <w:rsid w:val="708F31E5"/>
    <w:rsid w:val="70E519AF"/>
    <w:rsid w:val="72015D97"/>
    <w:rsid w:val="73A2714D"/>
    <w:rsid w:val="76D41018"/>
    <w:rsid w:val="799B5E7E"/>
    <w:rsid w:val="7A5C5D83"/>
    <w:rsid w:val="7AC01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2"/>
    <w:qFormat/>
    <w:uiPriority w:val="0"/>
    <w:pPr>
      <w:widowControl/>
      <w:spacing w:before="340" w:after="330"/>
      <w:outlineLvl w:val="0"/>
    </w:pPr>
    <w:rPr>
      <w:rFonts w:ascii="华文细黑" w:hAnsi="宋体"/>
      <w:b/>
      <w:kern w:val="0"/>
      <w:sz w:val="28"/>
      <w:szCs w:val="20"/>
    </w:rPr>
  </w:style>
  <w:style w:type="paragraph" w:styleId="4">
    <w:name w:val="heading 2"/>
    <w:basedOn w:val="1"/>
    <w:next w:val="1"/>
    <w:link w:val="71"/>
    <w:qFormat/>
    <w:uiPriority w:val="9"/>
    <w:pPr>
      <w:wordWrap w:val="0"/>
      <w:spacing w:after="160"/>
      <w:outlineLvl w:val="1"/>
    </w:pPr>
    <w:rPr>
      <w:rFonts w:ascii="宋体" w:hAnsi="宋体" w:cstheme="majorBidi"/>
      <w:kern w:val="0"/>
      <w:szCs w:val="20"/>
    </w:rPr>
  </w:style>
  <w:style w:type="paragraph" w:styleId="5">
    <w:name w:val="heading 3"/>
    <w:basedOn w:val="6"/>
    <w:next w:val="1"/>
    <w:link w:val="73"/>
    <w:qFormat/>
    <w:uiPriority w:val="0"/>
    <w:pPr>
      <w:ind w:left="1400"/>
      <w:outlineLvl w:val="2"/>
    </w:pPr>
    <w:rPr>
      <w:rFonts w:cs="Times New Roman"/>
    </w:rPr>
  </w:style>
  <w:style w:type="paragraph" w:styleId="6">
    <w:name w:val="heading 4"/>
    <w:basedOn w:val="1"/>
    <w:next w:val="1"/>
    <w:link w:val="74"/>
    <w:qFormat/>
    <w:uiPriority w:val="0"/>
    <w:pPr>
      <w:wordWrap w:val="0"/>
      <w:spacing w:after="160"/>
      <w:ind w:left="1600" w:hanging="400"/>
      <w:outlineLvl w:val="3"/>
    </w:pPr>
    <w:rPr>
      <w:rFonts w:ascii="宋体" w:hAnsi="宋体" w:cstheme="majorBidi"/>
      <w:b/>
      <w:kern w:val="0"/>
      <w:szCs w:val="20"/>
    </w:rPr>
  </w:style>
  <w:style w:type="paragraph" w:styleId="7">
    <w:name w:val="heading 5"/>
    <w:next w:val="1"/>
    <w:link w:val="75"/>
    <w:qFormat/>
    <w:uiPriority w:val="0"/>
    <w:pPr>
      <w:wordWrap w:val="0"/>
      <w:spacing w:after="160"/>
      <w:ind w:left="1800" w:hanging="400"/>
      <w:jc w:val="both"/>
      <w:outlineLvl w:val="4"/>
    </w:pPr>
    <w:rPr>
      <w:rFonts w:ascii="宋体" w:hAnsi="宋体" w:eastAsia="宋体" w:cs="Times New Roman"/>
      <w:sz w:val="21"/>
      <w:lang w:val="en-US" w:eastAsia="zh-CN" w:bidi="ar-SA"/>
    </w:rPr>
  </w:style>
  <w:style w:type="paragraph" w:styleId="8">
    <w:name w:val="heading 6"/>
    <w:next w:val="1"/>
    <w:link w:val="76"/>
    <w:qFormat/>
    <w:uiPriority w:val="0"/>
    <w:pPr>
      <w:wordWrap w:val="0"/>
      <w:spacing w:after="160"/>
      <w:ind w:left="2000" w:hanging="400"/>
      <w:jc w:val="both"/>
      <w:outlineLvl w:val="5"/>
    </w:pPr>
    <w:rPr>
      <w:rFonts w:ascii="宋体" w:hAnsi="宋体" w:eastAsia="宋体" w:cs="Times New Roman"/>
      <w:b/>
      <w:sz w:val="21"/>
      <w:lang w:val="en-US" w:eastAsia="zh-CN" w:bidi="ar-SA"/>
    </w:rPr>
  </w:style>
  <w:style w:type="paragraph" w:styleId="9">
    <w:name w:val="heading 7"/>
    <w:next w:val="1"/>
    <w:link w:val="77"/>
    <w:qFormat/>
    <w:uiPriority w:val="0"/>
    <w:pPr>
      <w:wordWrap w:val="0"/>
      <w:spacing w:after="160"/>
      <w:ind w:left="2200" w:hanging="400"/>
      <w:jc w:val="both"/>
      <w:outlineLvl w:val="6"/>
    </w:pPr>
    <w:rPr>
      <w:rFonts w:ascii="宋体" w:hAnsi="宋体" w:eastAsia="宋体" w:cs="Times New Roman"/>
      <w:sz w:val="21"/>
      <w:lang w:val="en-US" w:eastAsia="zh-CN" w:bidi="ar-SA"/>
    </w:rPr>
  </w:style>
  <w:style w:type="paragraph" w:styleId="10">
    <w:name w:val="heading 8"/>
    <w:next w:val="1"/>
    <w:link w:val="78"/>
    <w:qFormat/>
    <w:uiPriority w:val="0"/>
    <w:pPr>
      <w:wordWrap w:val="0"/>
      <w:spacing w:after="160"/>
      <w:ind w:left="2400" w:hanging="400"/>
      <w:jc w:val="both"/>
      <w:outlineLvl w:val="7"/>
    </w:pPr>
    <w:rPr>
      <w:rFonts w:ascii="宋体" w:hAnsi="宋体" w:eastAsia="宋体" w:cs="Times New Roman"/>
      <w:sz w:val="21"/>
      <w:lang w:val="en-US" w:eastAsia="zh-CN" w:bidi="ar-SA"/>
    </w:rPr>
  </w:style>
  <w:style w:type="paragraph" w:styleId="11">
    <w:name w:val="heading 9"/>
    <w:next w:val="1"/>
    <w:link w:val="79"/>
    <w:qFormat/>
    <w:uiPriority w:val="0"/>
    <w:pPr>
      <w:wordWrap w:val="0"/>
      <w:spacing w:after="160"/>
      <w:ind w:left="2600" w:hanging="400"/>
      <w:jc w:val="both"/>
      <w:outlineLvl w:val="8"/>
    </w:pPr>
    <w:rPr>
      <w:rFonts w:ascii="宋体" w:hAnsi="宋体" w:eastAsia="宋体" w:cs="Times New Roman"/>
      <w:sz w:val="21"/>
      <w:lang w:val="en-US" w:eastAsia="zh-CN" w:bidi="ar-SA"/>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18"/>
    <w:qFormat/>
    <w:uiPriority w:val="0"/>
    <w:pPr>
      <w:tabs>
        <w:tab w:val="center" w:pos="4153"/>
        <w:tab w:val="right" w:pos="8306"/>
      </w:tabs>
      <w:snapToGrid w:val="0"/>
    </w:pPr>
    <w:rPr>
      <w:sz w:val="18"/>
      <w:szCs w:val="20"/>
    </w:rPr>
  </w:style>
  <w:style w:type="paragraph" w:styleId="12">
    <w:name w:val="toc 7"/>
    <w:basedOn w:val="1"/>
    <w:next w:val="1"/>
    <w:unhideWhenUsed/>
    <w:qFormat/>
    <w:uiPriority w:val="0"/>
    <w:pPr>
      <w:widowControl/>
      <w:ind w:left="1200"/>
      <w:jc w:val="left"/>
    </w:pPr>
    <w:rPr>
      <w:rFonts w:ascii="Calibri" w:hAnsi="Calibri" w:eastAsia="仿宋_GB2312"/>
      <w:kern w:val="0"/>
      <w:sz w:val="18"/>
      <w:szCs w:val="18"/>
    </w:rPr>
  </w:style>
  <w:style w:type="paragraph" w:styleId="13">
    <w:name w:val="Normal Indent"/>
    <w:basedOn w:val="1"/>
    <w:link w:val="117"/>
    <w:qFormat/>
    <w:uiPriority w:val="0"/>
    <w:pPr>
      <w:widowControl/>
      <w:spacing w:before="100" w:beforeAutospacing="1" w:after="100" w:afterAutospacing="1"/>
      <w:jc w:val="left"/>
    </w:pPr>
    <w:rPr>
      <w:rFonts w:ascii="宋体" w:hAnsi="宋体" w:cs="宋体"/>
      <w:kern w:val="0"/>
      <w:sz w:val="24"/>
    </w:rPr>
  </w:style>
  <w:style w:type="paragraph" w:styleId="14">
    <w:name w:val="caption"/>
    <w:basedOn w:val="1"/>
    <w:next w:val="1"/>
    <w:link w:val="125"/>
    <w:qFormat/>
    <w:uiPriority w:val="0"/>
    <w:pPr>
      <w:spacing w:afterLines="25"/>
    </w:pPr>
    <w:rPr>
      <w:rFonts w:ascii="Arial" w:hAnsi="Arial"/>
      <w:b/>
      <w:bCs/>
      <w:color w:val="4F81BD"/>
      <w:sz w:val="18"/>
      <w:szCs w:val="18"/>
    </w:rPr>
  </w:style>
  <w:style w:type="paragraph" w:styleId="15">
    <w:name w:val="Document Map"/>
    <w:basedOn w:val="1"/>
    <w:link w:val="126"/>
    <w:unhideWhenUsed/>
    <w:qFormat/>
    <w:uiPriority w:val="0"/>
    <w:pPr>
      <w:spacing w:afterLines="25" w:line="300" w:lineRule="auto"/>
    </w:pPr>
    <w:rPr>
      <w:rFonts w:ascii="宋体" w:hAnsi="Arial"/>
      <w:sz w:val="18"/>
      <w:szCs w:val="18"/>
    </w:rPr>
  </w:style>
  <w:style w:type="paragraph" w:styleId="16">
    <w:name w:val="annotation text"/>
    <w:basedOn w:val="1"/>
    <w:link w:val="80"/>
    <w:unhideWhenUsed/>
    <w:qFormat/>
    <w:uiPriority w:val="0"/>
    <w:pPr>
      <w:jc w:val="left"/>
    </w:pPr>
    <w:rPr>
      <w:rFonts w:ascii="宋体" w:hAnsi="宋体"/>
      <w:kern w:val="0"/>
      <w:szCs w:val="20"/>
    </w:rPr>
  </w:style>
  <w:style w:type="paragraph" w:styleId="17">
    <w:name w:val="Body Text 3"/>
    <w:basedOn w:val="1"/>
    <w:link w:val="89"/>
    <w:qFormat/>
    <w:uiPriority w:val="0"/>
    <w:rPr>
      <w:rFonts w:ascii="宋体" w:hAnsi="宋体"/>
      <w:kern w:val="0"/>
      <w:sz w:val="24"/>
      <w:szCs w:val="20"/>
    </w:rPr>
  </w:style>
  <w:style w:type="paragraph" w:styleId="18">
    <w:name w:val="Body Text"/>
    <w:basedOn w:val="1"/>
    <w:link w:val="121"/>
    <w:unhideWhenUsed/>
    <w:qFormat/>
    <w:uiPriority w:val="99"/>
    <w:pPr>
      <w:spacing w:after="120"/>
    </w:pPr>
  </w:style>
  <w:style w:type="paragraph" w:styleId="19">
    <w:name w:val="Body Text Indent"/>
    <w:basedOn w:val="1"/>
    <w:link w:val="85"/>
    <w:unhideWhenUsed/>
    <w:qFormat/>
    <w:uiPriority w:val="0"/>
    <w:pPr>
      <w:spacing w:after="120"/>
      <w:ind w:left="420" w:leftChars="200"/>
    </w:pPr>
    <w:rPr>
      <w:rFonts w:ascii="宋体" w:hAnsi="宋体"/>
      <w:kern w:val="0"/>
      <w:szCs w:val="20"/>
    </w:rPr>
  </w:style>
  <w:style w:type="paragraph" w:styleId="20">
    <w:name w:val="List 2"/>
    <w:basedOn w:val="1"/>
    <w:unhideWhenUsed/>
    <w:qFormat/>
    <w:uiPriority w:val="99"/>
    <w:pPr>
      <w:ind w:left="100" w:leftChars="200" w:hanging="200" w:hangingChars="200"/>
      <w:contextualSpacing/>
    </w:pPr>
  </w:style>
  <w:style w:type="paragraph" w:styleId="21">
    <w:name w:val="toc 5"/>
    <w:basedOn w:val="1"/>
    <w:next w:val="1"/>
    <w:unhideWhenUsed/>
    <w:qFormat/>
    <w:uiPriority w:val="0"/>
    <w:pPr>
      <w:widowControl/>
      <w:ind w:left="800"/>
      <w:jc w:val="left"/>
    </w:pPr>
    <w:rPr>
      <w:rFonts w:ascii="Calibri" w:hAnsi="Calibri" w:eastAsia="仿宋_GB2312"/>
      <w:kern w:val="0"/>
      <w:sz w:val="18"/>
      <w:szCs w:val="18"/>
    </w:rPr>
  </w:style>
  <w:style w:type="paragraph" w:styleId="22">
    <w:name w:val="toc 3"/>
    <w:basedOn w:val="1"/>
    <w:next w:val="1"/>
    <w:qFormat/>
    <w:uiPriority w:val="39"/>
    <w:pPr>
      <w:widowControl/>
      <w:ind w:left="400"/>
      <w:jc w:val="left"/>
    </w:pPr>
    <w:rPr>
      <w:rFonts w:ascii="Calibri" w:hAnsi="Calibri" w:eastAsia="仿宋_GB2312"/>
      <w:i/>
      <w:iCs/>
      <w:kern w:val="0"/>
      <w:sz w:val="20"/>
      <w:szCs w:val="20"/>
    </w:rPr>
  </w:style>
  <w:style w:type="paragraph" w:styleId="23">
    <w:name w:val="Plain Text"/>
    <w:basedOn w:val="1"/>
    <w:link w:val="90"/>
    <w:qFormat/>
    <w:uiPriority w:val="0"/>
    <w:rPr>
      <w:rFonts w:ascii="宋体" w:hAnsi="宋体"/>
      <w:kern w:val="0"/>
      <w:sz w:val="20"/>
      <w:szCs w:val="20"/>
    </w:rPr>
  </w:style>
  <w:style w:type="paragraph" w:styleId="24">
    <w:name w:val="toc 8"/>
    <w:basedOn w:val="1"/>
    <w:next w:val="1"/>
    <w:unhideWhenUsed/>
    <w:qFormat/>
    <w:uiPriority w:val="0"/>
    <w:pPr>
      <w:widowControl/>
      <w:ind w:left="1400"/>
      <w:jc w:val="left"/>
    </w:pPr>
    <w:rPr>
      <w:rFonts w:ascii="Calibri" w:hAnsi="Calibri" w:eastAsia="仿宋_GB2312"/>
      <w:kern w:val="0"/>
      <w:sz w:val="18"/>
      <w:szCs w:val="18"/>
    </w:rPr>
  </w:style>
  <w:style w:type="paragraph" w:styleId="25">
    <w:name w:val="Date"/>
    <w:basedOn w:val="1"/>
    <w:next w:val="1"/>
    <w:link w:val="119"/>
    <w:qFormat/>
    <w:uiPriority w:val="0"/>
    <w:pPr>
      <w:ind w:left="100" w:leftChars="2500"/>
    </w:pPr>
    <w:rPr>
      <w:sz w:val="20"/>
      <w:szCs w:val="20"/>
    </w:rPr>
  </w:style>
  <w:style w:type="paragraph" w:styleId="26">
    <w:name w:val="Body Text Indent 2"/>
    <w:basedOn w:val="1"/>
    <w:link w:val="128"/>
    <w:qFormat/>
    <w:uiPriority w:val="0"/>
    <w:pPr>
      <w:spacing w:line="360" w:lineRule="auto"/>
      <w:ind w:left="840"/>
    </w:pPr>
  </w:style>
  <w:style w:type="paragraph" w:styleId="27">
    <w:name w:val="Balloon Text"/>
    <w:basedOn w:val="1"/>
    <w:link w:val="120"/>
    <w:qFormat/>
    <w:uiPriority w:val="99"/>
    <w:rPr>
      <w:sz w:val="18"/>
      <w:szCs w:val="20"/>
    </w:rPr>
  </w:style>
  <w:style w:type="paragraph" w:styleId="28">
    <w:name w:val="footer"/>
    <w:basedOn w:val="1"/>
    <w:next w:val="29"/>
    <w:link w:val="82"/>
    <w:qFormat/>
    <w:uiPriority w:val="99"/>
    <w:rPr>
      <w:rFonts w:ascii="宋体" w:hAnsi="宋体"/>
      <w:kern w:val="0"/>
      <w:sz w:val="18"/>
      <w:szCs w:val="20"/>
    </w:rPr>
  </w:style>
  <w:style w:type="paragraph" w:styleId="29">
    <w:name w:val="Intense Quote"/>
    <w:next w:val="1"/>
    <w:link w:val="83"/>
    <w:qFormat/>
    <w:uiPriority w:val="0"/>
    <w:pPr>
      <w:wordWrap w:val="0"/>
      <w:spacing w:before="360" w:after="360"/>
      <w:ind w:left="950" w:right="950"/>
      <w:jc w:val="center"/>
    </w:pPr>
    <w:rPr>
      <w:rFonts w:ascii="宋体" w:hAnsi="宋体" w:eastAsia="宋体" w:cs="Times New Roman"/>
      <w:i/>
      <w:sz w:val="21"/>
      <w:lang w:val="en-US" w:eastAsia="zh-CN" w:bidi="ar-SA"/>
    </w:rPr>
  </w:style>
  <w:style w:type="paragraph" w:styleId="30">
    <w:name w:val="Signature"/>
    <w:basedOn w:val="1"/>
    <w:link w:val="129"/>
    <w:qFormat/>
    <w:uiPriority w:val="0"/>
    <w:pPr>
      <w:keepLines/>
      <w:widowControl/>
      <w:tabs>
        <w:tab w:val="left" w:pos="4536"/>
      </w:tabs>
      <w:spacing w:before="960" w:after="480"/>
      <w:jc w:val="left"/>
    </w:pPr>
    <w:rPr>
      <w:rFonts w:ascii="Arial" w:hAnsi="Arial"/>
      <w:kern w:val="0"/>
      <w:sz w:val="24"/>
      <w:szCs w:val="20"/>
      <w:lang w:val="en-GB" w:eastAsia="en-US"/>
    </w:rPr>
  </w:style>
  <w:style w:type="paragraph" w:styleId="31">
    <w:name w:val="toc 1"/>
    <w:basedOn w:val="1"/>
    <w:next w:val="1"/>
    <w:qFormat/>
    <w:uiPriority w:val="39"/>
    <w:pPr>
      <w:widowControl/>
      <w:spacing w:before="120" w:after="120"/>
      <w:jc w:val="left"/>
    </w:pPr>
    <w:rPr>
      <w:rFonts w:cs="宋体"/>
      <w:b/>
      <w:bCs/>
      <w:caps/>
      <w:sz w:val="20"/>
    </w:rPr>
  </w:style>
  <w:style w:type="paragraph" w:styleId="32">
    <w:name w:val="toc 4"/>
    <w:basedOn w:val="1"/>
    <w:next w:val="1"/>
    <w:unhideWhenUsed/>
    <w:qFormat/>
    <w:uiPriority w:val="0"/>
    <w:pPr>
      <w:widowControl/>
      <w:ind w:left="600"/>
      <w:jc w:val="left"/>
    </w:pPr>
    <w:rPr>
      <w:rFonts w:ascii="Calibri" w:hAnsi="Calibri" w:eastAsia="仿宋_GB2312"/>
      <w:kern w:val="0"/>
      <w:sz w:val="18"/>
      <w:szCs w:val="18"/>
    </w:rPr>
  </w:style>
  <w:style w:type="paragraph" w:styleId="33">
    <w:name w:val="Subtitle"/>
    <w:next w:val="1"/>
    <w:link w:val="86"/>
    <w:qFormat/>
    <w:uiPriority w:val="0"/>
    <w:pPr>
      <w:wordWrap w:val="0"/>
      <w:spacing w:after="60"/>
      <w:jc w:val="center"/>
    </w:pPr>
    <w:rPr>
      <w:rFonts w:ascii="宋体" w:hAnsi="宋体" w:eastAsia="宋体" w:cs="Times New Roman"/>
      <w:sz w:val="24"/>
      <w:lang w:val="en-US" w:eastAsia="zh-CN" w:bidi="ar-SA"/>
    </w:rPr>
  </w:style>
  <w:style w:type="paragraph" w:styleId="34">
    <w:name w:val="toc 6"/>
    <w:basedOn w:val="1"/>
    <w:next w:val="1"/>
    <w:unhideWhenUsed/>
    <w:qFormat/>
    <w:uiPriority w:val="0"/>
    <w:pPr>
      <w:widowControl/>
      <w:ind w:left="1000"/>
      <w:jc w:val="left"/>
    </w:pPr>
    <w:rPr>
      <w:rFonts w:ascii="Calibri" w:hAnsi="Calibri" w:eastAsia="仿宋_GB2312"/>
      <w:kern w:val="0"/>
      <w:sz w:val="18"/>
      <w:szCs w:val="18"/>
    </w:rPr>
  </w:style>
  <w:style w:type="paragraph" w:styleId="35">
    <w:name w:val="Body Text Indent 3"/>
    <w:basedOn w:val="1"/>
    <w:link w:val="107"/>
    <w:unhideWhenUsed/>
    <w:qFormat/>
    <w:uiPriority w:val="0"/>
    <w:pPr>
      <w:spacing w:after="120"/>
      <w:ind w:left="420" w:leftChars="200"/>
    </w:pPr>
    <w:rPr>
      <w:sz w:val="16"/>
      <w:szCs w:val="16"/>
    </w:rPr>
  </w:style>
  <w:style w:type="paragraph" w:styleId="36">
    <w:name w:val="toc 2"/>
    <w:basedOn w:val="1"/>
    <w:next w:val="1"/>
    <w:qFormat/>
    <w:uiPriority w:val="39"/>
    <w:pPr>
      <w:widowControl/>
      <w:ind w:left="200"/>
      <w:jc w:val="left"/>
    </w:pPr>
    <w:rPr>
      <w:rFonts w:ascii="Calibri" w:hAnsi="Calibri" w:eastAsia="仿宋_GB2312"/>
      <w:smallCaps/>
      <w:kern w:val="0"/>
      <w:sz w:val="20"/>
      <w:szCs w:val="20"/>
    </w:rPr>
  </w:style>
  <w:style w:type="paragraph" w:styleId="37">
    <w:name w:val="toc 9"/>
    <w:basedOn w:val="1"/>
    <w:next w:val="1"/>
    <w:unhideWhenUsed/>
    <w:qFormat/>
    <w:uiPriority w:val="0"/>
    <w:pPr>
      <w:widowControl/>
      <w:ind w:left="1600"/>
      <w:jc w:val="left"/>
    </w:pPr>
    <w:rPr>
      <w:rFonts w:ascii="Calibri" w:hAnsi="Calibri" w:eastAsia="仿宋_GB2312"/>
      <w:kern w:val="0"/>
      <w:sz w:val="18"/>
      <w:szCs w:val="18"/>
    </w:rPr>
  </w:style>
  <w:style w:type="paragraph" w:styleId="38">
    <w:name w:val="Body Text 2"/>
    <w:basedOn w:val="1"/>
    <w:link w:val="88"/>
    <w:unhideWhenUsed/>
    <w:qFormat/>
    <w:uiPriority w:val="0"/>
    <w:pPr>
      <w:spacing w:after="120" w:line="480" w:lineRule="auto"/>
    </w:pPr>
    <w:rPr>
      <w:rFonts w:ascii="宋体" w:hAnsi="宋体"/>
      <w:kern w:val="0"/>
      <w:sz w:val="20"/>
      <w:szCs w:val="20"/>
    </w:rPr>
  </w:style>
  <w:style w:type="paragraph" w:styleId="39">
    <w:name w:val="Message Header"/>
    <w:basedOn w:val="18"/>
    <w:link w:val="130"/>
    <w:qFormat/>
    <w:uiPriority w:val="0"/>
    <w:pPr>
      <w:keepLines/>
      <w:widowControl/>
      <w:tabs>
        <w:tab w:val="left" w:pos="720"/>
      </w:tabs>
      <w:spacing w:before="218" w:after="218" w:line="180" w:lineRule="atLeast"/>
      <w:ind w:left="720" w:hanging="720"/>
      <w:jc w:val="left"/>
    </w:pPr>
    <w:rPr>
      <w:rFonts w:ascii="Cambria" w:hAnsi="Cambria"/>
      <w:sz w:val="24"/>
      <w:szCs w:val="20"/>
      <w:shd w:val="pct20" w:color="auto" w:fill="auto"/>
    </w:rPr>
  </w:style>
  <w:style w:type="paragraph" w:styleId="40">
    <w:name w:val="HTML Preformatted"/>
    <w:basedOn w:val="1"/>
    <w:link w:val="13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link w:val="132"/>
    <w:qFormat/>
    <w:uiPriority w:val="99"/>
    <w:pPr>
      <w:widowControl/>
      <w:spacing w:before="100" w:beforeAutospacing="1" w:afterAutospacing="1"/>
      <w:jc w:val="left"/>
    </w:pPr>
    <w:rPr>
      <w:rFonts w:ascii="宋体" w:hAnsi="宋体"/>
      <w:kern w:val="0"/>
      <w:sz w:val="24"/>
    </w:rPr>
  </w:style>
  <w:style w:type="paragraph" w:styleId="42">
    <w:name w:val="index 1"/>
    <w:basedOn w:val="1"/>
    <w:next w:val="1"/>
    <w:qFormat/>
    <w:uiPriority w:val="0"/>
  </w:style>
  <w:style w:type="paragraph" w:styleId="43">
    <w:name w:val="Title"/>
    <w:basedOn w:val="1"/>
    <w:next w:val="1"/>
    <w:link w:val="84"/>
    <w:qFormat/>
    <w:uiPriority w:val="0"/>
    <w:pPr>
      <w:spacing w:before="240" w:after="60"/>
      <w:jc w:val="left"/>
      <w:outlineLvl w:val="0"/>
    </w:pPr>
    <w:rPr>
      <w:rFonts w:ascii="Cambria" w:hAnsi="Cambria"/>
      <w:b/>
      <w:bCs/>
      <w:sz w:val="24"/>
      <w:szCs w:val="32"/>
    </w:rPr>
  </w:style>
  <w:style w:type="paragraph" w:styleId="44">
    <w:name w:val="annotation subject"/>
    <w:basedOn w:val="16"/>
    <w:next w:val="16"/>
    <w:link w:val="134"/>
    <w:qFormat/>
    <w:uiPriority w:val="0"/>
    <w:rPr>
      <w:rFonts w:ascii="Times New Roman" w:hAnsi="Times New Roman"/>
      <w:b/>
      <w:bCs/>
      <w:kern w:val="2"/>
      <w:szCs w:val="24"/>
    </w:rPr>
  </w:style>
  <w:style w:type="paragraph" w:styleId="45">
    <w:name w:val="Body Text First Indent"/>
    <w:basedOn w:val="18"/>
    <w:link w:val="123"/>
    <w:qFormat/>
    <w:uiPriority w:val="0"/>
    <w:pPr>
      <w:spacing w:after="0"/>
      <w:ind w:firstLine="420" w:firstLineChars="100"/>
    </w:pPr>
    <w:rPr>
      <w:kern w:val="0"/>
      <w:sz w:val="20"/>
    </w:rPr>
  </w:style>
  <w:style w:type="paragraph" w:styleId="46">
    <w:name w:val="Body Text First Indent 2"/>
    <w:basedOn w:val="19"/>
    <w:link w:val="87"/>
    <w:unhideWhenUsed/>
    <w:qFormat/>
    <w:uiPriority w:val="99"/>
    <w:pPr>
      <w:ind w:firstLine="420" w:firstLineChars="200"/>
    </w:pPr>
  </w:style>
  <w:style w:type="table" w:styleId="48">
    <w:name w:val="Table Grid"/>
    <w:basedOn w:val="47"/>
    <w:qFormat/>
    <w:uiPriority w:val="0"/>
    <w:pPr>
      <w:widowControl w:val="0"/>
      <w:spacing w:afterLines="25" w:line="300"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22"/>
    <w:rPr>
      <w:b/>
      <w:sz w:val="21"/>
    </w:rPr>
  </w:style>
  <w:style w:type="character" w:styleId="51">
    <w:name w:val="page number"/>
    <w:qFormat/>
    <w:uiPriority w:val="0"/>
  </w:style>
  <w:style w:type="character" w:styleId="52">
    <w:name w:val="FollowedHyperlink"/>
    <w:unhideWhenUsed/>
    <w:qFormat/>
    <w:uiPriority w:val="99"/>
    <w:rPr>
      <w:color w:val="954F72"/>
      <w:u w:val="single"/>
    </w:rPr>
  </w:style>
  <w:style w:type="character" w:styleId="53">
    <w:name w:val="Emphasis"/>
    <w:qFormat/>
    <w:uiPriority w:val="0"/>
    <w:rPr>
      <w:i/>
      <w:sz w:val="21"/>
    </w:rPr>
  </w:style>
  <w:style w:type="character" w:styleId="54">
    <w:name w:val="Hyperlink"/>
    <w:qFormat/>
    <w:uiPriority w:val="99"/>
    <w:rPr>
      <w:color w:val="2440B3"/>
      <w:u w:val="none"/>
    </w:rPr>
  </w:style>
  <w:style w:type="character" w:styleId="55">
    <w:name w:val="HTML Code"/>
    <w:qFormat/>
    <w:uiPriority w:val="0"/>
    <w:rPr>
      <w:rFonts w:ascii="黑体" w:hAnsi="Courier New" w:eastAsia="黑体" w:cs="Courier New"/>
      <w:sz w:val="20"/>
      <w:szCs w:val="20"/>
    </w:rPr>
  </w:style>
  <w:style w:type="character" w:styleId="56">
    <w:name w:val="annotation reference"/>
    <w:unhideWhenUsed/>
    <w:qFormat/>
    <w:uiPriority w:val="0"/>
    <w:rPr>
      <w:sz w:val="21"/>
      <w:szCs w:val="21"/>
    </w:rPr>
  </w:style>
  <w:style w:type="character" w:customStyle="1" w:styleId="57">
    <w:name w:val="纯文本 Char"/>
    <w:qFormat/>
    <w:uiPriority w:val="99"/>
    <w:rPr>
      <w:sz w:val="20"/>
    </w:rPr>
  </w:style>
  <w:style w:type="paragraph" w:customStyle="1" w:styleId="58">
    <w:name w:val="列出段落3"/>
    <w:basedOn w:val="1"/>
    <w:qFormat/>
    <w:uiPriority w:val="99"/>
    <w:pPr>
      <w:ind w:firstLine="420" w:firstLineChars="200"/>
    </w:pPr>
    <w:rPr>
      <w:rFonts w:ascii="Calibri" w:hAnsi="Calibri" w:cs="Calibri"/>
      <w:szCs w:val="21"/>
    </w:rPr>
  </w:style>
  <w:style w:type="paragraph" w:customStyle="1" w:styleId="59">
    <w:name w:val="表格"/>
    <w:basedOn w:val="1"/>
    <w:qFormat/>
    <w:uiPriority w:val="0"/>
    <w:pPr>
      <w:jc w:val="center"/>
      <w:textAlignment w:val="center"/>
    </w:pPr>
    <w:rPr>
      <w:rFonts w:ascii="华文细黑" w:hAnsi="华文细黑"/>
    </w:rPr>
  </w:style>
  <w:style w:type="paragraph" w:customStyle="1" w:styleId="60">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Normal_0"/>
    <w:qFormat/>
    <w:uiPriority w:val="0"/>
    <w:pPr>
      <w:widowControl w:val="0"/>
      <w:jc w:val="both"/>
    </w:pPr>
    <w:rPr>
      <w:rFonts w:ascii="宋体" w:hAnsi="宋体" w:eastAsia="宋体" w:cs="Times New Roman"/>
      <w:kern w:val="2"/>
      <w:sz w:val="21"/>
      <w:szCs w:val="24"/>
      <w:lang w:val="en-US" w:eastAsia="zh-CN" w:bidi="ar-SA"/>
    </w:rPr>
  </w:style>
  <w:style w:type="paragraph" w:customStyle="1" w:styleId="62">
    <w:name w:val="Heading 2_0"/>
    <w:basedOn w:val="61"/>
    <w:qFormat/>
    <w:uiPriority w:val="0"/>
    <w:pPr>
      <w:spacing w:before="260" w:after="260"/>
      <w:jc w:val="center"/>
      <w:outlineLvl w:val="1"/>
    </w:pPr>
    <w:rPr>
      <w:rFonts w:ascii="华文细黑" w:hAnsi="Arial"/>
      <w:b/>
      <w:bCs/>
      <w:kern w:val="0"/>
      <w:sz w:val="44"/>
      <w:szCs w:val="32"/>
    </w:rPr>
  </w:style>
  <w:style w:type="paragraph" w:customStyle="1" w:styleId="63">
    <w:name w:val="Normal_0_0"/>
    <w:qFormat/>
    <w:uiPriority w:val="0"/>
    <w:pPr>
      <w:widowControl w:val="0"/>
      <w:jc w:val="both"/>
    </w:pPr>
    <w:rPr>
      <w:rFonts w:ascii="宋体" w:hAnsi="宋体" w:eastAsia="宋体" w:cs="Times New Roman"/>
      <w:kern w:val="2"/>
      <w:sz w:val="21"/>
      <w:szCs w:val="24"/>
      <w:lang w:val="en-US" w:eastAsia="zh-CN" w:bidi="ar-SA"/>
    </w:rPr>
  </w:style>
  <w:style w:type="character" w:customStyle="1" w:styleId="64">
    <w:name w:val="标题 2 Char1"/>
    <w:qFormat/>
    <w:uiPriority w:val="9"/>
    <w:rPr>
      <w:rFonts w:ascii="华文细黑" w:hAnsi="Arial" w:eastAsia="华文细黑"/>
      <w:b/>
      <w:bCs/>
      <w:sz w:val="44"/>
      <w:szCs w:val="32"/>
      <w:lang w:val="en-US" w:eastAsia="zh-CN" w:bidi="ar-SA"/>
    </w:rPr>
  </w:style>
  <w:style w:type="paragraph" w:customStyle="1" w:styleId="65">
    <w:name w:val="表内正文"/>
    <w:basedOn w:val="1"/>
    <w:link w:val="66"/>
    <w:qFormat/>
    <w:uiPriority w:val="0"/>
    <w:pPr>
      <w:widowControl/>
      <w:spacing w:line="320" w:lineRule="atLeast"/>
      <w:jc w:val="left"/>
    </w:pPr>
    <w:rPr>
      <w:rFonts w:ascii="宋体" w:hAnsi="宋体"/>
      <w:spacing w:val="2"/>
      <w:kern w:val="0"/>
      <w:szCs w:val="21"/>
      <w:lang w:eastAsia="en-US" w:bidi="en-US"/>
    </w:rPr>
  </w:style>
  <w:style w:type="character" w:customStyle="1" w:styleId="66">
    <w:name w:val="表内正文 Char"/>
    <w:link w:val="65"/>
    <w:qFormat/>
    <w:uiPriority w:val="0"/>
    <w:rPr>
      <w:spacing w:val="2"/>
      <w:sz w:val="21"/>
      <w:szCs w:val="21"/>
      <w:lang w:eastAsia="en-US" w:bidi="en-US"/>
    </w:rPr>
  </w:style>
  <w:style w:type="paragraph" w:customStyle="1" w:styleId="67">
    <w:name w:val="表内正文左两列"/>
    <w:basedOn w:val="65"/>
    <w:link w:val="68"/>
    <w:qFormat/>
    <w:uiPriority w:val="0"/>
    <w:pPr>
      <w:jc w:val="center"/>
    </w:pPr>
    <w:rPr>
      <w:spacing w:val="0"/>
      <w:sz w:val="20"/>
      <w:szCs w:val="20"/>
      <w:lang w:eastAsia="zh-CN" w:bidi="ar-SA"/>
    </w:rPr>
  </w:style>
  <w:style w:type="character" w:customStyle="1" w:styleId="68">
    <w:name w:val="表内正文左两列 Char"/>
    <w:link w:val="67"/>
    <w:qFormat/>
    <w:uiPriority w:val="0"/>
  </w:style>
  <w:style w:type="paragraph" w:customStyle="1" w:styleId="69">
    <w:name w:val="投标文件副标题"/>
    <w:basedOn w:val="1"/>
    <w:qFormat/>
    <w:uiPriority w:val="0"/>
    <w:pPr>
      <w:widowControl/>
      <w:spacing w:line="360" w:lineRule="auto"/>
      <w:jc w:val="left"/>
    </w:pPr>
    <w:rPr>
      <w:spacing w:val="6"/>
      <w:sz w:val="30"/>
      <w:szCs w:val="30"/>
      <w:lang w:bidi="en-US"/>
    </w:rPr>
  </w:style>
  <w:style w:type="paragraph" w:customStyle="1" w:styleId="70">
    <w:name w:val="表内列标题"/>
    <w:basedOn w:val="1"/>
    <w:qFormat/>
    <w:uiPriority w:val="0"/>
    <w:pPr>
      <w:widowControl/>
      <w:spacing w:line="320" w:lineRule="atLeast"/>
      <w:jc w:val="center"/>
    </w:pPr>
    <w:rPr>
      <w:rFonts w:ascii="方正黑体简体" w:hAnsi="黑体" w:eastAsia="方正黑体简体"/>
      <w:spacing w:val="2"/>
      <w:szCs w:val="22"/>
      <w:lang w:eastAsia="en-US" w:bidi="en-US"/>
    </w:rPr>
  </w:style>
  <w:style w:type="character" w:customStyle="1" w:styleId="71">
    <w:name w:val="标题 2 Char"/>
    <w:basedOn w:val="49"/>
    <w:link w:val="4"/>
    <w:qFormat/>
    <w:uiPriority w:val="9"/>
    <w:rPr>
      <w:rFonts w:cstheme="majorBidi"/>
      <w:sz w:val="21"/>
    </w:rPr>
  </w:style>
  <w:style w:type="character" w:customStyle="1" w:styleId="72">
    <w:name w:val="标题 1 Char"/>
    <w:basedOn w:val="49"/>
    <w:link w:val="3"/>
    <w:qFormat/>
    <w:uiPriority w:val="9"/>
    <w:rPr>
      <w:rFonts w:ascii="华文细黑"/>
      <w:b/>
      <w:sz w:val="28"/>
    </w:rPr>
  </w:style>
  <w:style w:type="character" w:customStyle="1" w:styleId="73">
    <w:name w:val="标题 3 Char"/>
    <w:basedOn w:val="49"/>
    <w:link w:val="5"/>
    <w:qFormat/>
    <w:uiPriority w:val="0"/>
    <w:rPr>
      <w:b/>
      <w:sz w:val="21"/>
    </w:rPr>
  </w:style>
  <w:style w:type="character" w:customStyle="1" w:styleId="74">
    <w:name w:val="标题 4 Char"/>
    <w:basedOn w:val="49"/>
    <w:link w:val="6"/>
    <w:qFormat/>
    <w:uiPriority w:val="0"/>
    <w:rPr>
      <w:rFonts w:cstheme="majorBidi"/>
      <w:b/>
      <w:sz w:val="21"/>
    </w:rPr>
  </w:style>
  <w:style w:type="character" w:customStyle="1" w:styleId="75">
    <w:name w:val="标题 5 Char"/>
    <w:basedOn w:val="49"/>
    <w:link w:val="7"/>
    <w:qFormat/>
    <w:uiPriority w:val="9"/>
    <w:rPr>
      <w:sz w:val="21"/>
    </w:rPr>
  </w:style>
  <w:style w:type="character" w:customStyle="1" w:styleId="76">
    <w:name w:val="标题 6 Char"/>
    <w:basedOn w:val="49"/>
    <w:link w:val="8"/>
    <w:qFormat/>
    <w:uiPriority w:val="9"/>
    <w:rPr>
      <w:b/>
      <w:sz w:val="21"/>
    </w:rPr>
  </w:style>
  <w:style w:type="character" w:customStyle="1" w:styleId="77">
    <w:name w:val="标题 7 Char"/>
    <w:basedOn w:val="49"/>
    <w:link w:val="9"/>
    <w:qFormat/>
    <w:uiPriority w:val="0"/>
    <w:rPr>
      <w:sz w:val="21"/>
    </w:rPr>
  </w:style>
  <w:style w:type="character" w:customStyle="1" w:styleId="78">
    <w:name w:val="标题 8 Char"/>
    <w:basedOn w:val="49"/>
    <w:link w:val="10"/>
    <w:qFormat/>
    <w:uiPriority w:val="0"/>
    <w:rPr>
      <w:sz w:val="21"/>
    </w:rPr>
  </w:style>
  <w:style w:type="character" w:customStyle="1" w:styleId="79">
    <w:name w:val="标题 9 Char"/>
    <w:basedOn w:val="49"/>
    <w:link w:val="11"/>
    <w:qFormat/>
    <w:uiPriority w:val="0"/>
    <w:rPr>
      <w:sz w:val="21"/>
    </w:rPr>
  </w:style>
  <w:style w:type="character" w:customStyle="1" w:styleId="80">
    <w:name w:val="批注文字 Char"/>
    <w:link w:val="16"/>
    <w:qFormat/>
    <w:uiPriority w:val="0"/>
    <w:rPr>
      <w:sz w:val="21"/>
    </w:rPr>
  </w:style>
  <w:style w:type="character" w:customStyle="1" w:styleId="81">
    <w:name w:val="页脚 Char"/>
    <w:basedOn w:val="49"/>
    <w:qFormat/>
    <w:uiPriority w:val="99"/>
    <w:rPr>
      <w:sz w:val="18"/>
      <w:szCs w:val="18"/>
    </w:rPr>
  </w:style>
  <w:style w:type="character" w:customStyle="1" w:styleId="82">
    <w:name w:val="页脚 Char1"/>
    <w:link w:val="28"/>
    <w:qFormat/>
    <w:uiPriority w:val="0"/>
    <w:rPr>
      <w:sz w:val="18"/>
    </w:rPr>
  </w:style>
  <w:style w:type="character" w:customStyle="1" w:styleId="83">
    <w:name w:val="明显引用 Char"/>
    <w:basedOn w:val="49"/>
    <w:link w:val="29"/>
    <w:qFormat/>
    <w:uiPriority w:val="30"/>
    <w:rPr>
      <w:i/>
      <w:sz w:val="21"/>
    </w:rPr>
  </w:style>
  <w:style w:type="character" w:customStyle="1" w:styleId="84">
    <w:name w:val="标题 Char"/>
    <w:link w:val="43"/>
    <w:qFormat/>
    <w:uiPriority w:val="10"/>
    <w:rPr>
      <w:rFonts w:ascii="Cambria" w:hAnsi="Cambria"/>
      <w:b/>
      <w:bCs/>
      <w:kern w:val="2"/>
      <w:sz w:val="24"/>
      <w:szCs w:val="32"/>
    </w:rPr>
  </w:style>
  <w:style w:type="character" w:customStyle="1" w:styleId="85">
    <w:name w:val="正文文本缩进 Char"/>
    <w:basedOn w:val="49"/>
    <w:link w:val="19"/>
    <w:qFormat/>
    <w:uiPriority w:val="0"/>
    <w:rPr>
      <w:sz w:val="21"/>
    </w:rPr>
  </w:style>
  <w:style w:type="character" w:customStyle="1" w:styleId="86">
    <w:name w:val="副标题 Char"/>
    <w:basedOn w:val="49"/>
    <w:link w:val="33"/>
    <w:qFormat/>
    <w:uiPriority w:val="11"/>
    <w:rPr>
      <w:sz w:val="24"/>
    </w:rPr>
  </w:style>
  <w:style w:type="character" w:customStyle="1" w:styleId="87">
    <w:name w:val="正文首行缩进 2 Char"/>
    <w:basedOn w:val="85"/>
    <w:link w:val="46"/>
    <w:qFormat/>
    <w:uiPriority w:val="99"/>
    <w:rPr>
      <w:sz w:val="21"/>
    </w:rPr>
  </w:style>
  <w:style w:type="character" w:customStyle="1" w:styleId="88">
    <w:name w:val="正文文本 2 Char"/>
    <w:basedOn w:val="49"/>
    <w:link w:val="38"/>
    <w:qFormat/>
    <w:uiPriority w:val="0"/>
  </w:style>
  <w:style w:type="character" w:customStyle="1" w:styleId="89">
    <w:name w:val="正文文本 3 Char"/>
    <w:basedOn w:val="49"/>
    <w:link w:val="17"/>
    <w:qFormat/>
    <w:uiPriority w:val="99"/>
    <w:rPr>
      <w:sz w:val="24"/>
    </w:rPr>
  </w:style>
  <w:style w:type="character" w:customStyle="1" w:styleId="90">
    <w:name w:val="纯文本 Char1"/>
    <w:basedOn w:val="49"/>
    <w:link w:val="23"/>
    <w:qFormat/>
    <w:uiPriority w:val="0"/>
  </w:style>
  <w:style w:type="paragraph" w:styleId="91">
    <w:name w:val="List Paragraph"/>
    <w:basedOn w:val="1"/>
    <w:next w:val="1"/>
    <w:link w:val="247"/>
    <w:qFormat/>
    <w:uiPriority w:val="34"/>
    <w:pPr>
      <w:wordWrap w:val="0"/>
      <w:ind w:left="850"/>
    </w:pPr>
  </w:style>
  <w:style w:type="paragraph" w:styleId="92">
    <w:name w:val="Quote"/>
    <w:next w:val="1"/>
    <w:link w:val="93"/>
    <w:qFormat/>
    <w:uiPriority w:val="0"/>
    <w:pPr>
      <w:wordWrap w:val="0"/>
      <w:spacing w:before="200" w:after="160"/>
      <w:ind w:left="864" w:right="864"/>
      <w:jc w:val="center"/>
    </w:pPr>
    <w:rPr>
      <w:rFonts w:ascii="宋体" w:hAnsi="宋体" w:eastAsia="宋体" w:cs="Times New Roman"/>
      <w:i/>
      <w:sz w:val="21"/>
      <w:lang w:val="en-US" w:eastAsia="zh-CN" w:bidi="ar-SA"/>
    </w:rPr>
  </w:style>
  <w:style w:type="character" w:customStyle="1" w:styleId="93">
    <w:name w:val="引用 Char"/>
    <w:basedOn w:val="49"/>
    <w:link w:val="92"/>
    <w:qFormat/>
    <w:uiPriority w:val="29"/>
    <w:rPr>
      <w:i/>
      <w:sz w:val="21"/>
    </w:rPr>
  </w:style>
  <w:style w:type="character" w:customStyle="1" w:styleId="94">
    <w:name w:val="不明显强调1"/>
    <w:qFormat/>
    <w:uiPriority w:val="19"/>
    <w:rPr>
      <w:i/>
      <w:iCs/>
      <w:color w:val="808080" w:themeColor="text1" w:themeTint="80"/>
      <w14:textFill>
        <w14:solidFill>
          <w14:schemeClr w14:val="tx1">
            <w14:lumMod w14:val="50000"/>
            <w14:lumOff w14:val="50000"/>
          </w14:schemeClr>
        </w14:solidFill>
      </w14:textFill>
    </w:rPr>
  </w:style>
  <w:style w:type="character" w:customStyle="1" w:styleId="95">
    <w:name w:val="明显强调1"/>
    <w:qFormat/>
    <w:uiPriority w:val="21"/>
    <w:rPr>
      <w:b/>
      <w:bCs/>
      <w:i/>
      <w:iCs/>
      <w:color w:val="4F81BD" w:themeColor="accent1"/>
      <w14:textFill>
        <w14:solidFill>
          <w14:schemeClr w14:val="accent1"/>
        </w14:solidFill>
      </w14:textFill>
    </w:rPr>
  </w:style>
  <w:style w:type="character" w:customStyle="1" w:styleId="96">
    <w:name w:val="不明显参考1"/>
    <w:qFormat/>
    <w:uiPriority w:val="31"/>
    <w:rPr>
      <w:smallCaps/>
      <w:color w:val="C0504D" w:themeColor="accent2"/>
      <w:u w:val="single"/>
      <w14:textFill>
        <w14:solidFill>
          <w14:schemeClr w14:val="accent2"/>
        </w14:solidFill>
      </w14:textFill>
    </w:rPr>
  </w:style>
  <w:style w:type="character" w:customStyle="1" w:styleId="97">
    <w:name w:val="明显参考1"/>
    <w:qFormat/>
    <w:uiPriority w:val="32"/>
    <w:rPr>
      <w:b/>
      <w:bCs/>
      <w:smallCaps/>
      <w:color w:val="C0504D" w:themeColor="accent2"/>
      <w:spacing w:val="5"/>
      <w:u w:val="single"/>
      <w14:textFill>
        <w14:solidFill>
          <w14:schemeClr w14:val="accent2"/>
        </w14:solidFill>
      </w14:textFill>
    </w:rPr>
  </w:style>
  <w:style w:type="character" w:customStyle="1" w:styleId="98">
    <w:name w:val="书籍标题1"/>
    <w:qFormat/>
    <w:uiPriority w:val="33"/>
    <w:rPr>
      <w:b/>
      <w:bCs/>
      <w:smallCaps/>
      <w:spacing w:val="5"/>
    </w:rPr>
  </w:style>
  <w:style w:type="paragraph" w:customStyle="1" w:styleId="99">
    <w:name w:val="TOC 标题1"/>
    <w:next w:val="1"/>
    <w:unhideWhenUsed/>
    <w:qFormat/>
    <w:uiPriority w:val="0"/>
    <w:pPr>
      <w:keepNext/>
      <w:keepLines/>
      <w:widowControl w:val="0"/>
      <w:spacing w:before="340" w:after="330" w:line="578" w:lineRule="auto"/>
      <w:jc w:val="both"/>
    </w:pPr>
    <w:rPr>
      <w:rFonts w:ascii="宋体" w:hAnsi="宋体" w:eastAsia="宋体" w:cs="Times New Roman"/>
      <w:b/>
      <w:bCs/>
      <w:kern w:val="44"/>
      <w:sz w:val="44"/>
      <w:szCs w:val="44"/>
      <w:lang w:val="en-US" w:eastAsia="zh-CN" w:bidi="ar-SA"/>
    </w:rPr>
  </w:style>
  <w:style w:type="character" w:customStyle="1" w:styleId="100">
    <w:name w:val="不明显强调11"/>
    <w:qFormat/>
    <w:uiPriority w:val="0"/>
    <w:rPr>
      <w:i/>
      <w:color w:val="auto"/>
      <w:sz w:val="21"/>
    </w:rPr>
  </w:style>
  <w:style w:type="character" w:customStyle="1" w:styleId="101">
    <w:name w:val="明显强调11"/>
    <w:qFormat/>
    <w:uiPriority w:val="0"/>
    <w:rPr>
      <w:i/>
      <w:color w:val="auto"/>
      <w:sz w:val="21"/>
    </w:rPr>
  </w:style>
  <w:style w:type="character" w:customStyle="1" w:styleId="102">
    <w:name w:val="不明显参考11"/>
    <w:qFormat/>
    <w:uiPriority w:val="0"/>
    <w:rPr>
      <w:color w:val="auto"/>
      <w:sz w:val="21"/>
    </w:rPr>
  </w:style>
  <w:style w:type="character" w:customStyle="1" w:styleId="103">
    <w:name w:val="明显参考11"/>
    <w:qFormat/>
    <w:uiPriority w:val="0"/>
    <w:rPr>
      <w:b/>
      <w:color w:val="auto"/>
      <w:sz w:val="21"/>
    </w:rPr>
  </w:style>
  <w:style w:type="character" w:customStyle="1" w:styleId="104">
    <w:name w:val="书籍标题11"/>
    <w:qFormat/>
    <w:uiPriority w:val="0"/>
    <w:rPr>
      <w:b/>
      <w:i/>
      <w:sz w:val="21"/>
    </w:rPr>
  </w:style>
  <w:style w:type="paragraph" w:customStyle="1" w:styleId="105">
    <w:name w:val="TOC 标题11"/>
    <w:next w:val="1"/>
    <w:qFormat/>
    <w:uiPriority w:val="0"/>
    <w:pPr>
      <w:wordWrap w:val="0"/>
    </w:pPr>
    <w:rPr>
      <w:rFonts w:ascii="宋体" w:hAnsi="宋体" w:eastAsia="宋体" w:cs="Times New Roman"/>
      <w:sz w:val="32"/>
      <w:lang w:val="en-US" w:eastAsia="zh-CN" w:bidi="ar-SA"/>
    </w:rPr>
  </w:style>
  <w:style w:type="paragraph" w:customStyle="1" w:styleId="106">
    <w:name w:val="_Style 3"/>
    <w:next w:val="35"/>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7">
    <w:name w:val="正文文本缩进 3 Char"/>
    <w:basedOn w:val="49"/>
    <w:link w:val="35"/>
    <w:qFormat/>
    <w:uiPriority w:val="0"/>
    <w:rPr>
      <w:sz w:val="16"/>
      <w:szCs w:val="16"/>
    </w:rPr>
  </w:style>
  <w:style w:type="paragraph" w:customStyle="1" w:styleId="108">
    <w:name w:val="样式 标题 1 + 首行缩进:  2 字符"/>
    <w:basedOn w:val="3"/>
    <w:next w:val="1"/>
    <w:qFormat/>
    <w:uiPriority w:val="0"/>
    <w:pPr>
      <w:keepNext/>
      <w:keepLines/>
      <w:widowControl w:val="0"/>
      <w:ind w:firstLine="200" w:firstLineChars="200"/>
      <w:jc w:val="center"/>
    </w:pPr>
    <w:rPr>
      <w:rFonts w:ascii="Times New Roman" w:hAnsi="Times New Roman" w:eastAsia="黑体" w:cs="宋体"/>
      <w:b w:val="0"/>
      <w:kern w:val="44"/>
      <w:sz w:val="30"/>
      <w:szCs w:val="24"/>
    </w:rPr>
  </w:style>
  <w:style w:type="character" w:customStyle="1" w:styleId="109">
    <w:name w:val="正文缩进 Char"/>
    <w:qFormat/>
    <w:uiPriority w:val="0"/>
    <w:rPr>
      <w:sz w:val="32"/>
    </w:rPr>
  </w:style>
  <w:style w:type="paragraph" w:customStyle="1" w:styleId="110">
    <w:name w:val="彩色列表1"/>
    <w:basedOn w:val="1"/>
    <w:link w:val="111"/>
    <w:qFormat/>
    <w:uiPriority w:val="0"/>
    <w:pPr>
      <w:ind w:firstLine="420" w:firstLineChars="200"/>
    </w:pPr>
    <w:rPr>
      <w:rFonts w:ascii="宋体" w:hAnsi="宋体"/>
      <w:sz w:val="20"/>
    </w:rPr>
  </w:style>
  <w:style w:type="character" w:customStyle="1" w:styleId="111">
    <w:name w:val="彩色列表字符"/>
    <w:link w:val="110"/>
    <w:qFormat/>
    <w:uiPriority w:val="34"/>
    <w:rPr>
      <w:kern w:val="2"/>
      <w:szCs w:val="24"/>
    </w:rPr>
  </w:style>
  <w:style w:type="paragraph" w:customStyle="1" w:styleId="112">
    <w:name w:val="彩色列表 - 强调文字颜色 11"/>
    <w:basedOn w:val="1"/>
    <w:link w:val="205"/>
    <w:qFormat/>
    <w:uiPriority w:val="0"/>
    <w:pPr>
      <w:ind w:firstLine="420" w:firstLineChars="200"/>
    </w:pPr>
  </w:style>
  <w:style w:type="paragraph" w:customStyle="1" w:styleId="113">
    <w:name w:val="彩色列表 - 强调文字颜色 111"/>
    <w:basedOn w:val="1"/>
    <w:qFormat/>
    <w:uiPriority w:val="0"/>
    <w:pPr>
      <w:ind w:firstLine="420" w:firstLineChars="200"/>
    </w:pPr>
  </w:style>
  <w:style w:type="paragraph" w:customStyle="1" w:styleId="114">
    <w:name w:val="Default"/>
    <w:link w:val="300"/>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15">
    <w:name w:val="样式1"/>
    <w:basedOn w:val="1"/>
    <w:link w:val="116"/>
    <w:qFormat/>
    <w:uiPriority w:val="0"/>
    <w:pPr>
      <w:spacing w:line="360" w:lineRule="auto"/>
      <w:ind w:firstLine="422" w:firstLineChars="200"/>
      <w:outlineLvl w:val="2"/>
    </w:pPr>
    <w:rPr>
      <w:b/>
      <w:szCs w:val="20"/>
    </w:rPr>
  </w:style>
  <w:style w:type="character" w:customStyle="1" w:styleId="116">
    <w:name w:val="样式1 Char"/>
    <w:basedOn w:val="49"/>
    <w:link w:val="115"/>
    <w:qFormat/>
    <w:uiPriority w:val="0"/>
    <w:rPr>
      <w:rFonts w:ascii="Times New Roman" w:hAnsi="Times New Roman"/>
      <w:b/>
      <w:kern w:val="2"/>
      <w:sz w:val="21"/>
    </w:rPr>
  </w:style>
  <w:style w:type="character" w:customStyle="1" w:styleId="117">
    <w:name w:val="正文缩进 Char1"/>
    <w:link w:val="13"/>
    <w:qFormat/>
    <w:uiPriority w:val="0"/>
    <w:rPr>
      <w:rFonts w:cs="宋体"/>
      <w:sz w:val="24"/>
      <w:szCs w:val="24"/>
    </w:rPr>
  </w:style>
  <w:style w:type="character" w:customStyle="1" w:styleId="118">
    <w:name w:val="页眉 Char"/>
    <w:basedOn w:val="49"/>
    <w:link w:val="2"/>
    <w:qFormat/>
    <w:uiPriority w:val="0"/>
    <w:rPr>
      <w:rFonts w:ascii="Times New Roman" w:hAnsi="Times New Roman"/>
      <w:kern w:val="2"/>
      <w:sz w:val="18"/>
    </w:rPr>
  </w:style>
  <w:style w:type="character" w:customStyle="1" w:styleId="119">
    <w:name w:val="日期 Char"/>
    <w:basedOn w:val="49"/>
    <w:link w:val="25"/>
    <w:qFormat/>
    <w:uiPriority w:val="0"/>
    <w:rPr>
      <w:rFonts w:ascii="Times New Roman" w:hAnsi="Times New Roman"/>
      <w:kern w:val="2"/>
    </w:rPr>
  </w:style>
  <w:style w:type="character" w:customStyle="1" w:styleId="120">
    <w:name w:val="批注框文本 Char"/>
    <w:basedOn w:val="49"/>
    <w:link w:val="27"/>
    <w:qFormat/>
    <w:uiPriority w:val="99"/>
    <w:rPr>
      <w:rFonts w:ascii="Times New Roman" w:hAnsi="Times New Roman"/>
      <w:kern w:val="2"/>
      <w:sz w:val="18"/>
    </w:rPr>
  </w:style>
  <w:style w:type="character" w:customStyle="1" w:styleId="121">
    <w:name w:val="正文文本 Char"/>
    <w:basedOn w:val="49"/>
    <w:link w:val="18"/>
    <w:qFormat/>
    <w:uiPriority w:val="99"/>
    <w:rPr>
      <w:rFonts w:ascii="Times New Roman" w:hAnsi="Times New Roman"/>
      <w:kern w:val="2"/>
      <w:sz w:val="21"/>
      <w:szCs w:val="24"/>
    </w:rPr>
  </w:style>
  <w:style w:type="character" w:customStyle="1" w:styleId="122">
    <w:name w:val="正文首行缩进 Char"/>
    <w:basedOn w:val="121"/>
    <w:qFormat/>
    <w:uiPriority w:val="0"/>
    <w:rPr>
      <w:rFonts w:ascii="Times New Roman" w:hAnsi="Times New Roman"/>
      <w:kern w:val="2"/>
      <w:sz w:val="21"/>
      <w:szCs w:val="24"/>
    </w:rPr>
  </w:style>
  <w:style w:type="character" w:customStyle="1" w:styleId="123">
    <w:name w:val="正文首行缩进 Char1"/>
    <w:link w:val="45"/>
    <w:qFormat/>
    <w:uiPriority w:val="0"/>
    <w:rPr>
      <w:rFonts w:ascii="Times New Roman" w:hAnsi="Times New Roman"/>
      <w:szCs w:val="24"/>
    </w:rPr>
  </w:style>
  <w:style w:type="character" w:customStyle="1" w:styleId="124">
    <w:name w:val="标题 1 Char1"/>
    <w:qFormat/>
    <w:locked/>
    <w:uiPriority w:val="9"/>
    <w:rPr>
      <w:rFonts w:ascii="Arial" w:hAnsi="Arial"/>
      <w:kern w:val="44"/>
      <w:sz w:val="44"/>
      <w:szCs w:val="44"/>
    </w:rPr>
  </w:style>
  <w:style w:type="character" w:customStyle="1" w:styleId="125">
    <w:name w:val="题注 Char"/>
    <w:link w:val="14"/>
    <w:qFormat/>
    <w:uiPriority w:val="0"/>
    <w:rPr>
      <w:rFonts w:ascii="Arial" w:hAnsi="Arial"/>
      <w:b/>
      <w:bCs/>
      <w:color w:val="4F81BD"/>
      <w:kern w:val="2"/>
      <w:sz w:val="18"/>
      <w:szCs w:val="18"/>
    </w:rPr>
  </w:style>
  <w:style w:type="character" w:customStyle="1" w:styleId="126">
    <w:name w:val="文档结构图 Char"/>
    <w:basedOn w:val="49"/>
    <w:link w:val="15"/>
    <w:qFormat/>
    <w:uiPriority w:val="0"/>
    <w:rPr>
      <w:rFonts w:hAnsi="Arial"/>
      <w:kern w:val="2"/>
      <w:sz w:val="18"/>
      <w:szCs w:val="18"/>
    </w:rPr>
  </w:style>
  <w:style w:type="character" w:customStyle="1" w:styleId="127">
    <w:name w:val="正文文本 3 Char4"/>
    <w:qFormat/>
    <w:uiPriority w:val="0"/>
    <w:rPr>
      <w:rFonts w:ascii="Calibri" w:hAnsi="Calibri"/>
      <w:kern w:val="2"/>
      <w:sz w:val="16"/>
      <w:szCs w:val="16"/>
    </w:rPr>
  </w:style>
  <w:style w:type="character" w:customStyle="1" w:styleId="128">
    <w:name w:val="正文文本缩进 2 Char"/>
    <w:basedOn w:val="49"/>
    <w:link w:val="26"/>
    <w:qFormat/>
    <w:uiPriority w:val="0"/>
    <w:rPr>
      <w:rFonts w:ascii="Times New Roman" w:hAnsi="Times New Roman"/>
      <w:kern w:val="2"/>
      <w:sz w:val="21"/>
      <w:szCs w:val="24"/>
    </w:rPr>
  </w:style>
  <w:style w:type="character" w:customStyle="1" w:styleId="129">
    <w:name w:val="签名 Char"/>
    <w:basedOn w:val="49"/>
    <w:link w:val="30"/>
    <w:qFormat/>
    <w:uiPriority w:val="0"/>
    <w:rPr>
      <w:rFonts w:ascii="Arial" w:hAnsi="Arial"/>
      <w:sz w:val="24"/>
      <w:lang w:val="en-GB" w:eastAsia="en-US"/>
    </w:rPr>
  </w:style>
  <w:style w:type="character" w:customStyle="1" w:styleId="130">
    <w:name w:val="信息标题 Char"/>
    <w:basedOn w:val="49"/>
    <w:link w:val="39"/>
    <w:qFormat/>
    <w:uiPriority w:val="0"/>
    <w:rPr>
      <w:rFonts w:ascii="Cambria" w:hAnsi="Cambria"/>
      <w:kern w:val="2"/>
      <w:sz w:val="24"/>
    </w:rPr>
  </w:style>
  <w:style w:type="character" w:customStyle="1" w:styleId="131">
    <w:name w:val="HTML 预设格式 Char"/>
    <w:basedOn w:val="49"/>
    <w:link w:val="40"/>
    <w:qFormat/>
    <w:uiPriority w:val="99"/>
    <w:rPr>
      <w:sz w:val="24"/>
      <w:szCs w:val="24"/>
    </w:rPr>
  </w:style>
  <w:style w:type="character" w:customStyle="1" w:styleId="132">
    <w:name w:val="普通(网站) Char"/>
    <w:link w:val="41"/>
    <w:qFormat/>
    <w:uiPriority w:val="99"/>
    <w:rPr>
      <w:sz w:val="24"/>
      <w:szCs w:val="24"/>
    </w:rPr>
  </w:style>
  <w:style w:type="character" w:customStyle="1" w:styleId="133">
    <w:name w:val="标题 Char1"/>
    <w:qFormat/>
    <w:locked/>
    <w:uiPriority w:val="0"/>
    <w:rPr>
      <w:rFonts w:ascii="Cambria" w:hAnsi="Cambria"/>
      <w:color w:val="17365D"/>
      <w:spacing w:val="5"/>
      <w:kern w:val="28"/>
      <w:sz w:val="52"/>
      <w:szCs w:val="52"/>
      <w:lang w:eastAsia="en-US"/>
    </w:rPr>
  </w:style>
  <w:style w:type="character" w:customStyle="1" w:styleId="134">
    <w:name w:val="批注主题 Char"/>
    <w:basedOn w:val="80"/>
    <w:link w:val="44"/>
    <w:qFormat/>
    <w:uiPriority w:val="0"/>
    <w:rPr>
      <w:rFonts w:ascii="Times New Roman" w:hAnsi="Times New Roman"/>
      <w:b/>
      <w:bCs/>
      <w:kern w:val="2"/>
      <w:sz w:val="21"/>
      <w:szCs w:val="24"/>
    </w:rPr>
  </w:style>
  <w:style w:type="character" w:customStyle="1" w:styleId="135">
    <w:name w:val="吉奥正文 Char"/>
    <w:link w:val="136"/>
    <w:qFormat/>
    <w:locked/>
    <w:uiPriority w:val="0"/>
    <w:rPr>
      <w:rFonts w:eastAsia="仿宋_GB2312"/>
      <w:sz w:val="28"/>
    </w:rPr>
  </w:style>
  <w:style w:type="paragraph" w:customStyle="1" w:styleId="136">
    <w:name w:val="吉奥正文"/>
    <w:basedOn w:val="1"/>
    <w:link w:val="135"/>
    <w:qFormat/>
    <w:uiPriority w:val="0"/>
    <w:pPr>
      <w:adjustRightInd w:val="0"/>
      <w:snapToGrid w:val="0"/>
      <w:spacing w:before="120" w:line="360" w:lineRule="auto"/>
      <w:ind w:firstLine="200" w:firstLineChars="200"/>
      <w:textAlignment w:val="baseline"/>
    </w:pPr>
    <w:rPr>
      <w:rFonts w:ascii="宋体" w:hAnsi="宋体" w:eastAsia="仿宋_GB2312"/>
      <w:kern w:val="0"/>
      <w:sz w:val="28"/>
      <w:szCs w:val="20"/>
    </w:rPr>
  </w:style>
  <w:style w:type="character" w:customStyle="1" w:styleId="137">
    <w:name w:val="标题 1 字符1"/>
    <w:qFormat/>
    <w:locked/>
    <w:uiPriority w:val="0"/>
    <w:rPr>
      <w:rFonts w:ascii="Arial" w:hAnsi="Arial"/>
      <w:kern w:val="44"/>
      <w:sz w:val="44"/>
      <w:szCs w:val="44"/>
    </w:rPr>
  </w:style>
  <w:style w:type="character" w:customStyle="1" w:styleId="138">
    <w:name w:val="10"/>
    <w:qFormat/>
    <w:uiPriority w:val="0"/>
    <w:rPr>
      <w:rFonts w:hint="default" w:ascii="Times New Roman" w:hAnsi="Times New Roman" w:cs="Times New Roman"/>
    </w:rPr>
  </w:style>
  <w:style w:type="character" w:customStyle="1" w:styleId="139">
    <w:name w:val="普通(网站) 字符"/>
    <w:qFormat/>
    <w:locked/>
    <w:uiPriority w:val="99"/>
    <w:rPr>
      <w:rFonts w:ascii="宋体" w:hAnsi="宋体"/>
      <w:color w:val="000000"/>
      <w:sz w:val="24"/>
      <w:szCs w:val="21"/>
    </w:rPr>
  </w:style>
  <w:style w:type="character" w:customStyle="1" w:styleId="140">
    <w:name w:val="p9k11"/>
    <w:qFormat/>
    <w:uiPriority w:val="0"/>
    <w:rPr>
      <w:rFonts w:hint="default"/>
      <w:sz w:val="18"/>
      <w:szCs w:val="18"/>
    </w:rPr>
  </w:style>
  <w:style w:type="character" w:customStyle="1" w:styleId="141">
    <w:name w:val="批注文字 Char1"/>
    <w:qFormat/>
    <w:uiPriority w:val="0"/>
    <w:rPr>
      <w:rFonts w:ascii="Times New Roman" w:hAnsi="Times New Roman" w:eastAsia="宋体" w:cs="Times New Roman"/>
      <w:szCs w:val="24"/>
    </w:rPr>
  </w:style>
  <w:style w:type="character" w:customStyle="1" w:styleId="142">
    <w:name w:val="apple-style-span"/>
    <w:qFormat/>
    <w:uiPriority w:val="0"/>
    <w:rPr>
      <w:rFonts w:eastAsia="宋体"/>
      <w:kern w:val="2"/>
      <w:sz w:val="24"/>
      <w:szCs w:val="24"/>
      <w:lang w:val="en-US" w:eastAsia="zh-CN" w:bidi="ar-SA"/>
    </w:rPr>
  </w:style>
  <w:style w:type="character" w:customStyle="1" w:styleId="143">
    <w:name w:val="MAICO light Zchn"/>
    <w:link w:val="144"/>
    <w:qFormat/>
    <w:uiPriority w:val="0"/>
    <w:rPr>
      <w:rFonts w:ascii="FrutLigt" w:hAnsi="FrutLigt"/>
      <w:b/>
      <w:kern w:val="2"/>
      <w:sz w:val="28"/>
      <w:szCs w:val="28"/>
      <w:lang w:val="en-GB"/>
    </w:rPr>
  </w:style>
  <w:style w:type="paragraph" w:customStyle="1" w:styleId="144">
    <w:name w:val="MAICO light"/>
    <w:basedOn w:val="1"/>
    <w:link w:val="143"/>
    <w:qFormat/>
    <w:uiPriority w:val="0"/>
    <w:pPr>
      <w:widowControl/>
      <w:outlineLvl w:val="0"/>
    </w:pPr>
    <w:rPr>
      <w:rFonts w:ascii="FrutLigt" w:hAnsi="FrutLigt"/>
      <w:b/>
      <w:sz w:val="28"/>
      <w:szCs w:val="28"/>
      <w:lang w:val="en-GB"/>
    </w:rPr>
  </w:style>
  <w:style w:type="character" w:customStyle="1" w:styleId="145">
    <w:name w:val="纯文本 Char_0_0"/>
    <w:link w:val="146"/>
    <w:qFormat/>
    <w:locked/>
    <w:uiPriority w:val="0"/>
    <w:rPr>
      <w:rFonts w:hAnsi="Courier New"/>
      <w:szCs w:val="21"/>
      <w:lang w:val="zh-CN"/>
    </w:rPr>
  </w:style>
  <w:style w:type="paragraph" w:customStyle="1" w:styleId="146">
    <w:name w:val="纯文本1"/>
    <w:basedOn w:val="147"/>
    <w:link w:val="145"/>
    <w:qFormat/>
    <w:uiPriority w:val="0"/>
    <w:rPr>
      <w:rFonts w:ascii="宋体" w:hAnsi="Courier New"/>
      <w:sz w:val="20"/>
      <w:szCs w:val="21"/>
      <w:lang w:val="zh-CN"/>
    </w:rPr>
  </w:style>
  <w:style w:type="paragraph" w:customStyle="1" w:styleId="147">
    <w:name w:val="Normal_7"/>
    <w:qFormat/>
    <w:uiPriority w:val="0"/>
    <w:rPr>
      <w:rFonts w:ascii="Times New Roman" w:hAnsi="Times New Roman" w:eastAsia="宋体" w:cs="Times New Roman"/>
      <w:sz w:val="21"/>
      <w:lang w:val="en-US" w:eastAsia="zh-CN" w:bidi="ar-SA"/>
    </w:rPr>
  </w:style>
  <w:style w:type="character" w:customStyle="1" w:styleId="148">
    <w:name w:val="批注框文本 Char1"/>
    <w:qFormat/>
    <w:uiPriority w:val="99"/>
    <w:rPr>
      <w:rFonts w:ascii="Calibri Light" w:hAnsi="Calibri Light" w:eastAsia="仿宋_GB2312" w:cs="Times New Roman"/>
      <w:kern w:val="0"/>
      <w:sz w:val="18"/>
      <w:szCs w:val="18"/>
    </w:rPr>
  </w:style>
  <w:style w:type="character" w:customStyle="1" w:styleId="149">
    <w:name w:val="正文文本 3 Char1"/>
    <w:qFormat/>
    <w:uiPriority w:val="0"/>
    <w:rPr>
      <w:rFonts w:ascii="Calibri" w:hAnsi="Calibri" w:eastAsia="宋体" w:cs="Times New Roman"/>
      <w:sz w:val="16"/>
      <w:szCs w:val="16"/>
    </w:rPr>
  </w:style>
  <w:style w:type="character" w:customStyle="1" w:styleId="150">
    <w:name w:val="样式4 Char"/>
    <w:link w:val="151"/>
    <w:qFormat/>
    <w:uiPriority w:val="0"/>
    <w:rPr>
      <w:rFonts w:ascii="Arial" w:hAnsi="Arial"/>
      <w:sz w:val="24"/>
      <w:szCs w:val="24"/>
    </w:rPr>
  </w:style>
  <w:style w:type="paragraph" w:customStyle="1" w:styleId="151">
    <w:name w:val="样式4"/>
    <w:basedOn w:val="1"/>
    <w:link w:val="150"/>
    <w:qFormat/>
    <w:uiPriority w:val="0"/>
    <w:pPr>
      <w:widowControl/>
      <w:ind w:left="425" w:hanging="425"/>
      <w:jc w:val="left"/>
      <w:outlineLvl w:val="2"/>
    </w:pPr>
    <w:rPr>
      <w:rFonts w:ascii="Arial" w:hAnsi="Arial"/>
      <w:kern w:val="0"/>
      <w:sz w:val="24"/>
    </w:rPr>
  </w:style>
  <w:style w:type="character" w:customStyle="1" w:styleId="152">
    <w:name w:val="引用 字符"/>
    <w:qFormat/>
    <w:uiPriority w:val="0"/>
    <w:rPr>
      <w:i/>
      <w:iCs/>
      <w:color w:val="404040"/>
    </w:rPr>
  </w:style>
  <w:style w:type="character" w:customStyle="1" w:styleId="153">
    <w:name w:val="页眉 Char1"/>
    <w:qFormat/>
    <w:uiPriority w:val="0"/>
    <w:rPr>
      <w:rFonts w:eastAsia="宋体"/>
      <w:kern w:val="2"/>
      <w:sz w:val="18"/>
      <w:szCs w:val="18"/>
      <w:lang w:bidi="ar-SA"/>
    </w:rPr>
  </w:style>
  <w:style w:type="character" w:customStyle="1" w:styleId="154">
    <w:name w:val="正文首行缩进（绿盟科技） Char"/>
    <w:link w:val="155"/>
    <w:qFormat/>
    <w:uiPriority w:val="0"/>
    <w:rPr>
      <w:rFonts w:ascii="Arial" w:hAnsi="Arial"/>
      <w:sz w:val="21"/>
      <w:szCs w:val="21"/>
    </w:rPr>
  </w:style>
  <w:style w:type="paragraph" w:customStyle="1" w:styleId="155">
    <w:name w:val="正文首行缩进（绿盟科技）"/>
    <w:basedOn w:val="1"/>
    <w:link w:val="154"/>
    <w:qFormat/>
    <w:uiPriority w:val="0"/>
    <w:pPr>
      <w:widowControl/>
      <w:spacing w:after="50" w:line="300" w:lineRule="auto"/>
      <w:ind w:firstLine="200" w:firstLineChars="200"/>
      <w:jc w:val="left"/>
    </w:pPr>
    <w:rPr>
      <w:rFonts w:ascii="Arial" w:hAnsi="Arial"/>
      <w:kern w:val="0"/>
      <w:szCs w:val="21"/>
    </w:rPr>
  </w:style>
  <w:style w:type="character" w:customStyle="1" w:styleId="156">
    <w:name w:val="标题 9 Char_0"/>
    <w:link w:val="157"/>
    <w:qFormat/>
    <w:uiPriority w:val="9"/>
    <w:rPr>
      <w:rFonts w:ascii="Cambria" w:hAnsi="Cambria"/>
      <w:szCs w:val="21"/>
      <w:lang w:val="zh-CN"/>
    </w:rPr>
  </w:style>
  <w:style w:type="paragraph" w:customStyle="1" w:styleId="157">
    <w:name w:val="标题 9_1"/>
    <w:basedOn w:val="158"/>
    <w:next w:val="158"/>
    <w:link w:val="156"/>
    <w:qFormat/>
    <w:uiPriority w:val="9"/>
    <w:pPr>
      <w:keepNext/>
      <w:keepLines/>
      <w:spacing w:before="240" w:after="64" w:line="320" w:lineRule="auto"/>
      <w:ind w:left="1584" w:hanging="1584"/>
      <w:outlineLvl w:val="8"/>
    </w:pPr>
    <w:rPr>
      <w:rFonts w:ascii="Cambria" w:hAnsi="Cambria"/>
      <w:kern w:val="0"/>
      <w:sz w:val="20"/>
      <w:szCs w:val="21"/>
      <w:lang w:val="zh-CN"/>
    </w:rPr>
  </w:style>
  <w:style w:type="paragraph" w:customStyle="1" w:styleId="158">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9">
    <w:name w:val="font31"/>
    <w:qFormat/>
    <w:uiPriority w:val="0"/>
    <w:rPr>
      <w:rFonts w:hint="default" w:ascii="等线" w:hAnsi="等线" w:eastAsia="等线" w:cs="等线"/>
      <w:color w:val="000000"/>
      <w:sz w:val="22"/>
      <w:szCs w:val="22"/>
      <w:u w:val="none"/>
    </w:rPr>
  </w:style>
  <w:style w:type="character" w:customStyle="1" w:styleId="160">
    <w:name w:val="标题 8 字符"/>
    <w:qFormat/>
    <w:uiPriority w:val="0"/>
    <w:rPr>
      <w:rFonts w:ascii="Cambria" w:hAnsi="Cambria"/>
      <w:kern w:val="2"/>
      <w:sz w:val="24"/>
      <w:szCs w:val="24"/>
    </w:rPr>
  </w:style>
  <w:style w:type="character" w:customStyle="1" w:styleId="161">
    <w:name w:val="信息标题 字符"/>
    <w:semiHidden/>
    <w:qFormat/>
    <w:uiPriority w:val="99"/>
    <w:rPr>
      <w:rFonts w:ascii="等线 Light" w:hAnsi="等线 Light" w:eastAsia="等线 Light" w:cs="Times New Roman"/>
      <w:sz w:val="24"/>
      <w:szCs w:val="24"/>
      <w:shd w:val="pct20" w:color="auto" w:fill="auto"/>
    </w:rPr>
  </w:style>
  <w:style w:type="character" w:customStyle="1" w:styleId="162">
    <w:name w:val="正文文本样式 Char"/>
    <w:link w:val="163"/>
    <w:qFormat/>
    <w:uiPriority w:val="0"/>
    <w:rPr>
      <w:rFonts w:cs="宋体"/>
      <w:kern w:val="2"/>
      <w:sz w:val="24"/>
    </w:rPr>
  </w:style>
  <w:style w:type="paragraph" w:customStyle="1" w:styleId="163">
    <w:name w:val="正文文本样式"/>
    <w:basedOn w:val="1"/>
    <w:link w:val="162"/>
    <w:qFormat/>
    <w:uiPriority w:val="0"/>
    <w:pPr>
      <w:spacing w:line="360" w:lineRule="auto"/>
      <w:ind w:firstLine="482"/>
    </w:pPr>
    <w:rPr>
      <w:rFonts w:ascii="宋体" w:hAnsi="宋体" w:cs="宋体"/>
      <w:sz w:val="24"/>
      <w:szCs w:val="20"/>
    </w:rPr>
  </w:style>
  <w:style w:type="character" w:customStyle="1" w:styleId="164">
    <w:name w:val="副标题 Char1"/>
    <w:qFormat/>
    <w:uiPriority w:val="0"/>
    <w:rPr>
      <w:rFonts w:ascii="Calibri Light" w:hAnsi="Calibri Light" w:cs="Times New Roman"/>
      <w:b/>
      <w:bCs/>
      <w:kern w:val="28"/>
      <w:sz w:val="32"/>
      <w:szCs w:val="32"/>
    </w:rPr>
  </w:style>
  <w:style w:type="character" w:customStyle="1" w:styleId="165">
    <w:name w:val="font71"/>
    <w:qFormat/>
    <w:uiPriority w:val="0"/>
    <w:rPr>
      <w:rFonts w:ascii="宋体" w:hAnsi="宋体" w:eastAsia="宋体" w:cs="宋体"/>
      <w:color w:val="000000"/>
      <w:sz w:val="18"/>
      <w:szCs w:val="18"/>
      <w:u w:val="none"/>
    </w:rPr>
  </w:style>
  <w:style w:type="character" w:customStyle="1" w:styleId="166">
    <w:name w:val="一般文 Char"/>
    <w:link w:val="167"/>
    <w:qFormat/>
    <w:locked/>
    <w:uiPriority w:val="0"/>
    <w:rPr>
      <w:rFonts w:hAnsi="Courier New"/>
      <w:szCs w:val="21"/>
      <w:lang w:val="zh-CN"/>
    </w:rPr>
  </w:style>
  <w:style w:type="paragraph" w:customStyle="1" w:styleId="167">
    <w:name w:val="纯文本_0_0"/>
    <w:basedOn w:val="168"/>
    <w:link w:val="166"/>
    <w:qFormat/>
    <w:uiPriority w:val="0"/>
    <w:pPr>
      <w:widowControl/>
      <w:jc w:val="left"/>
    </w:pPr>
    <w:rPr>
      <w:rFonts w:ascii="宋体" w:hAnsi="Courier New"/>
      <w:kern w:val="0"/>
      <w:sz w:val="20"/>
      <w:szCs w:val="21"/>
      <w:lang w:val="zh-CN"/>
    </w:rPr>
  </w:style>
  <w:style w:type="paragraph" w:customStyle="1" w:styleId="168">
    <w:name w:val="正文_0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9">
    <w:name w:val="样式 首行缩进:  0 字符 Char"/>
    <w:link w:val="170"/>
    <w:qFormat/>
    <w:uiPriority w:val="0"/>
    <w:rPr>
      <w:sz w:val="24"/>
    </w:rPr>
  </w:style>
  <w:style w:type="paragraph" w:customStyle="1" w:styleId="170">
    <w:name w:val="样式 首行缩进:  0 字符"/>
    <w:basedOn w:val="1"/>
    <w:link w:val="169"/>
    <w:qFormat/>
    <w:uiPriority w:val="0"/>
    <w:pPr>
      <w:spacing w:line="360" w:lineRule="auto"/>
      <w:ind w:firstLine="200" w:firstLineChars="200"/>
    </w:pPr>
    <w:rPr>
      <w:rFonts w:ascii="宋体" w:hAnsi="宋体"/>
      <w:kern w:val="0"/>
      <w:sz w:val="24"/>
      <w:szCs w:val="20"/>
    </w:rPr>
  </w:style>
  <w:style w:type="character" w:customStyle="1" w:styleId="171">
    <w:name w:val="列出段落 字符"/>
    <w:qFormat/>
    <w:uiPriority w:val="34"/>
    <w:rPr>
      <w:rFonts w:ascii="Times New Roman" w:hAnsi="Times New Roman" w:eastAsia="宋体" w:cs="Times New Roman"/>
      <w:sz w:val="24"/>
      <w:szCs w:val="24"/>
    </w:rPr>
  </w:style>
  <w:style w:type="character" w:customStyle="1" w:styleId="172">
    <w:name w:val="MAICO Bold Zchn"/>
    <w:link w:val="173"/>
    <w:qFormat/>
    <w:uiPriority w:val="0"/>
    <w:rPr>
      <w:rFonts w:ascii="FrutBold" w:hAnsi="FrutBold"/>
      <w:kern w:val="2"/>
      <w:sz w:val="28"/>
      <w:szCs w:val="28"/>
      <w:lang w:val="en-GB"/>
    </w:rPr>
  </w:style>
  <w:style w:type="paragraph" w:customStyle="1" w:styleId="173">
    <w:name w:val="MAICO Bold"/>
    <w:basedOn w:val="1"/>
    <w:link w:val="172"/>
    <w:qFormat/>
    <w:uiPriority w:val="0"/>
    <w:pPr>
      <w:widowControl/>
      <w:tabs>
        <w:tab w:val="left" w:pos="709"/>
        <w:tab w:val="right" w:pos="1701"/>
      </w:tabs>
      <w:ind w:right="112"/>
      <w:jc w:val="left"/>
    </w:pPr>
    <w:rPr>
      <w:rFonts w:ascii="FrutBold" w:hAnsi="FrutBold"/>
      <w:sz w:val="28"/>
      <w:szCs w:val="28"/>
      <w:lang w:val="en-GB"/>
    </w:rPr>
  </w:style>
  <w:style w:type="character" w:customStyle="1" w:styleId="174">
    <w:name w:val="正文样式 Char"/>
    <w:link w:val="175"/>
    <w:qFormat/>
    <w:locked/>
    <w:uiPriority w:val="7"/>
    <w:rPr>
      <w:sz w:val="24"/>
      <w:szCs w:val="24"/>
    </w:rPr>
  </w:style>
  <w:style w:type="paragraph" w:customStyle="1" w:styleId="175">
    <w:name w:val="正文样式"/>
    <w:basedOn w:val="1"/>
    <w:link w:val="174"/>
    <w:qFormat/>
    <w:uiPriority w:val="7"/>
    <w:pPr>
      <w:spacing w:line="360" w:lineRule="auto"/>
      <w:ind w:firstLine="480" w:firstLineChars="200"/>
    </w:pPr>
    <w:rPr>
      <w:rFonts w:ascii="宋体" w:hAnsi="宋体"/>
      <w:kern w:val="0"/>
      <w:sz w:val="24"/>
    </w:rPr>
  </w:style>
  <w:style w:type="character" w:customStyle="1" w:styleId="176">
    <w:name w:val="标题 6 Char1"/>
    <w:qFormat/>
    <w:uiPriority w:val="0"/>
    <w:rPr>
      <w:rFonts w:ascii="Cambria" w:hAnsi="Cambria"/>
      <w:i/>
      <w:iCs/>
      <w:color w:val="243F60"/>
      <w:sz w:val="22"/>
      <w:szCs w:val="22"/>
      <w:lang w:eastAsia="en-US"/>
    </w:rPr>
  </w:style>
  <w:style w:type="character" w:customStyle="1" w:styleId="177">
    <w:name w:val="正文文本缩进 2 字符"/>
    <w:qFormat/>
    <w:uiPriority w:val="0"/>
    <w:rPr>
      <w:kern w:val="2"/>
      <w:sz w:val="21"/>
      <w:szCs w:val="22"/>
    </w:rPr>
  </w:style>
  <w:style w:type="character" w:customStyle="1" w:styleId="178">
    <w:name w:val="批注框文本 字符"/>
    <w:qFormat/>
    <w:uiPriority w:val="99"/>
    <w:rPr>
      <w:kern w:val="2"/>
      <w:sz w:val="18"/>
      <w:szCs w:val="18"/>
    </w:rPr>
  </w:style>
  <w:style w:type="character" w:customStyle="1" w:styleId="179">
    <w:name w:val="样式 正文缩进 + 首行缩进:  2 字符 Char"/>
    <w:link w:val="180"/>
    <w:qFormat/>
    <w:uiPriority w:val="0"/>
    <w:rPr>
      <w:bCs/>
      <w:sz w:val="24"/>
      <w:szCs w:val="24"/>
      <w:lang w:val="zh-CN"/>
    </w:rPr>
  </w:style>
  <w:style w:type="paragraph" w:customStyle="1" w:styleId="180">
    <w:name w:val="样式 正文缩进 + 首行缩进:  2 字符"/>
    <w:basedOn w:val="181"/>
    <w:link w:val="179"/>
    <w:qFormat/>
    <w:uiPriority w:val="0"/>
    <w:pPr>
      <w:spacing w:line="360" w:lineRule="auto"/>
      <w:ind w:firstLine="480"/>
    </w:pPr>
    <w:rPr>
      <w:rFonts w:ascii="宋体" w:hAnsi="宋体"/>
      <w:bCs/>
      <w:sz w:val="24"/>
    </w:rPr>
  </w:style>
  <w:style w:type="paragraph" w:customStyle="1" w:styleId="181">
    <w:name w:val="正文缩进_0"/>
    <w:basedOn w:val="182"/>
    <w:link w:val="183"/>
    <w:unhideWhenUsed/>
    <w:qFormat/>
    <w:uiPriority w:val="0"/>
    <w:pPr>
      <w:spacing w:line="240" w:lineRule="auto"/>
      <w:ind w:firstLine="420" w:firstLineChars="200"/>
    </w:pPr>
    <w:rPr>
      <w:rFonts w:ascii="Times New Roman" w:hAnsi="Times New Roman"/>
      <w:kern w:val="0"/>
      <w:sz w:val="20"/>
      <w:szCs w:val="24"/>
      <w:lang w:val="zh-CN"/>
    </w:rPr>
  </w:style>
  <w:style w:type="paragraph" w:customStyle="1" w:styleId="182">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 w:type="character" w:customStyle="1" w:styleId="183">
    <w:name w:val="正文缩进 Char_0"/>
    <w:link w:val="181"/>
    <w:qFormat/>
    <w:uiPriority w:val="0"/>
    <w:rPr>
      <w:rFonts w:ascii="Times New Roman" w:hAnsi="Times New Roman"/>
      <w:szCs w:val="24"/>
      <w:lang w:val="zh-CN"/>
    </w:rPr>
  </w:style>
  <w:style w:type="character" w:customStyle="1" w:styleId="184">
    <w:name w:val="副标题 Char2"/>
    <w:qFormat/>
    <w:locked/>
    <w:uiPriority w:val="0"/>
    <w:rPr>
      <w:rFonts w:ascii="Cambria" w:hAnsi="Cambria"/>
      <w:i/>
      <w:iCs/>
      <w:color w:val="4F81BD"/>
      <w:spacing w:val="15"/>
      <w:sz w:val="24"/>
      <w:szCs w:val="24"/>
      <w:lang w:eastAsia="en-US"/>
    </w:rPr>
  </w:style>
  <w:style w:type="character" w:customStyle="1" w:styleId="185">
    <w:name w:val="标题 2 字符"/>
    <w:qFormat/>
    <w:uiPriority w:val="0"/>
    <w:rPr>
      <w:rFonts w:ascii="Cambria" w:hAnsi="Cambria"/>
      <w:b/>
      <w:bCs/>
      <w:kern w:val="2"/>
      <w:sz w:val="32"/>
      <w:szCs w:val="32"/>
    </w:rPr>
  </w:style>
  <w:style w:type="character" w:customStyle="1" w:styleId="186">
    <w:name w:val="标题 字符"/>
    <w:qFormat/>
    <w:uiPriority w:val="0"/>
    <w:rPr>
      <w:rFonts w:ascii="等线 Light" w:hAnsi="等线 Light" w:cs="Times New Roman"/>
      <w:b/>
      <w:bCs/>
      <w:kern w:val="2"/>
      <w:sz w:val="32"/>
      <w:szCs w:val="32"/>
    </w:rPr>
  </w:style>
  <w:style w:type="character" w:customStyle="1" w:styleId="187">
    <w:name w:val="Char Char9"/>
    <w:semiHidden/>
    <w:qFormat/>
    <w:locked/>
    <w:uiPriority w:val="0"/>
  </w:style>
  <w:style w:type="character" w:customStyle="1" w:styleId="188">
    <w:name w:val="标题 字符1"/>
    <w:qFormat/>
    <w:locked/>
    <w:uiPriority w:val="0"/>
    <w:rPr>
      <w:rFonts w:ascii="等线 Light" w:hAnsi="等线 Light" w:eastAsia="方正小标宋_GBK" w:cs="等线 Light"/>
      <w:kern w:val="2"/>
      <w:sz w:val="36"/>
      <w:szCs w:val="36"/>
    </w:rPr>
  </w:style>
  <w:style w:type="character" w:customStyle="1" w:styleId="189">
    <w:name w:val="font11"/>
    <w:qFormat/>
    <w:uiPriority w:val="0"/>
    <w:rPr>
      <w:rFonts w:ascii="Arial" w:hAnsi="Arial" w:cs="Arial"/>
      <w:color w:val="FF0000"/>
      <w:sz w:val="22"/>
      <w:szCs w:val="22"/>
      <w:u w:val="none"/>
    </w:rPr>
  </w:style>
  <w:style w:type="character" w:customStyle="1" w:styleId="190">
    <w:name w:val="纯文本 字符1"/>
    <w:qFormat/>
    <w:locked/>
    <w:uiPriority w:val="0"/>
    <w:rPr>
      <w:rFonts w:ascii="宋体" w:hAnsi="Courier New"/>
      <w:kern w:val="2"/>
      <w:sz w:val="21"/>
      <w:szCs w:val="24"/>
    </w:rPr>
  </w:style>
  <w:style w:type="character" w:customStyle="1" w:styleId="191">
    <w:name w:val="标题 1 字符"/>
    <w:qFormat/>
    <w:uiPriority w:val="0"/>
    <w:rPr>
      <w:b/>
      <w:bCs/>
      <w:kern w:val="44"/>
      <w:sz w:val="44"/>
      <w:szCs w:val="44"/>
    </w:rPr>
  </w:style>
  <w:style w:type="character" w:customStyle="1" w:styleId="192">
    <w:name w:val="font41"/>
    <w:qFormat/>
    <w:uiPriority w:val="0"/>
    <w:rPr>
      <w:rFonts w:hint="default" w:ascii="Times New Roman" w:hAnsi="Times New Roman" w:cs="Times New Roman"/>
      <w:color w:val="000000"/>
      <w:sz w:val="18"/>
      <w:szCs w:val="18"/>
      <w:u w:val="none"/>
    </w:rPr>
  </w:style>
  <w:style w:type="character" w:customStyle="1" w:styleId="193">
    <w:name w:val="正文1 Char"/>
    <w:link w:val="194"/>
    <w:qFormat/>
    <w:locked/>
    <w:uiPriority w:val="0"/>
    <w:rPr>
      <w:rFonts w:ascii="Calibri" w:hAnsi="Calibri" w:cs="宋体"/>
      <w:sz w:val="22"/>
      <w:szCs w:val="22"/>
    </w:rPr>
  </w:style>
  <w:style w:type="paragraph" w:customStyle="1" w:styleId="194">
    <w:name w:val="正文11"/>
    <w:basedOn w:val="1"/>
    <w:link w:val="193"/>
    <w:qFormat/>
    <w:uiPriority w:val="0"/>
    <w:pPr>
      <w:widowControl/>
      <w:spacing w:line="300" w:lineRule="atLeast"/>
      <w:jc w:val="left"/>
    </w:pPr>
    <w:rPr>
      <w:rFonts w:ascii="Calibri" w:hAnsi="Calibri" w:cs="宋体"/>
      <w:kern w:val="0"/>
      <w:sz w:val="22"/>
      <w:szCs w:val="22"/>
    </w:rPr>
  </w:style>
  <w:style w:type="character" w:customStyle="1" w:styleId="195">
    <w:name w:val="文档结构图 字符1"/>
    <w:qFormat/>
    <w:uiPriority w:val="0"/>
    <w:rPr>
      <w:rFonts w:ascii="宋体" w:hAnsi="Tahoma"/>
      <w:kern w:val="2"/>
      <w:sz w:val="18"/>
      <w:szCs w:val="18"/>
    </w:rPr>
  </w:style>
  <w:style w:type="character" w:customStyle="1" w:styleId="196">
    <w:name w:val="12blk1"/>
    <w:qFormat/>
    <w:uiPriority w:val="0"/>
    <w:rPr>
      <w:rFonts w:hint="default" w:ascii="ˎ̥" w:hAnsi="ˎ̥"/>
      <w:color w:val="000000"/>
      <w:sz w:val="18"/>
      <w:szCs w:val="18"/>
      <w:u w:val="none"/>
    </w:rPr>
  </w:style>
  <w:style w:type="character" w:customStyle="1" w:styleId="197">
    <w:name w:val="明显引用 Char2"/>
    <w:qFormat/>
    <w:locked/>
    <w:uiPriority w:val="0"/>
    <w:rPr>
      <w:rFonts w:ascii="Calibri" w:hAnsi="Calibri"/>
      <w:b/>
      <w:bCs/>
      <w:i/>
      <w:iCs/>
      <w:color w:val="4F81BD"/>
      <w:lang w:eastAsia="en-US"/>
    </w:rPr>
  </w:style>
  <w:style w:type="character" w:customStyle="1" w:styleId="198">
    <w:name w:val="批注引用_0"/>
    <w:unhideWhenUsed/>
    <w:qFormat/>
    <w:uiPriority w:val="99"/>
    <w:rPr>
      <w:rFonts w:ascii="等线" w:hAnsi="等线" w:eastAsia="等线"/>
      <w:sz w:val="21"/>
      <w:szCs w:val="21"/>
    </w:rPr>
  </w:style>
  <w:style w:type="character" w:customStyle="1" w:styleId="199">
    <w:name w:val="访问过的超链接1"/>
    <w:qFormat/>
    <w:uiPriority w:val="0"/>
    <w:rPr>
      <w:color w:val="800080"/>
      <w:u w:val="single"/>
    </w:rPr>
  </w:style>
  <w:style w:type="character" w:customStyle="1" w:styleId="200">
    <w:name w:val="wf1"/>
    <w:qFormat/>
    <w:uiPriority w:val="0"/>
    <w:rPr>
      <w:rFonts w:hint="eastAsia" w:ascii="宋体" w:hAnsi="宋体" w:eastAsia="宋体"/>
      <w:sz w:val="24"/>
      <w:szCs w:val="24"/>
    </w:rPr>
  </w:style>
  <w:style w:type="character" w:customStyle="1" w:styleId="201">
    <w:name w:val="样式3 Char"/>
    <w:link w:val="202"/>
    <w:qFormat/>
    <w:uiPriority w:val="0"/>
    <w:rPr>
      <w:rFonts w:hAnsi="Courier New"/>
      <w:sz w:val="28"/>
      <w:szCs w:val="24"/>
    </w:rPr>
  </w:style>
  <w:style w:type="paragraph" w:customStyle="1" w:styleId="202">
    <w:name w:val="样式3"/>
    <w:basedOn w:val="23"/>
    <w:link w:val="201"/>
    <w:qFormat/>
    <w:uiPriority w:val="0"/>
    <w:pPr>
      <w:spacing w:line="0" w:lineRule="atLeast"/>
      <w:outlineLvl w:val="0"/>
    </w:pPr>
    <w:rPr>
      <w:rFonts w:hAnsi="Courier New"/>
      <w:sz w:val="28"/>
      <w:szCs w:val="24"/>
    </w:rPr>
  </w:style>
  <w:style w:type="character" w:customStyle="1" w:styleId="203">
    <w:name w:val="无间隔 Char"/>
    <w:link w:val="204"/>
    <w:qFormat/>
    <w:uiPriority w:val="0"/>
    <w:rPr>
      <w:rFonts w:ascii="Calibri" w:hAnsi="Calibri"/>
      <w:kern w:val="2"/>
      <w:sz w:val="21"/>
      <w:szCs w:val="21"/>
    </w:rPr>
  </w:style>
  <w:style w:type="paragraph" w:styleId="204">
    <w:name w:val="No Spacing"/>
    <w:link w:val="203"/>
    <w:qFormat/>
    <w:uiPriority w:val="0"/>
    <w:pPr>
      <w:widowControl w:val="0"/>
      <w:jc w:val="both"/>
    </w:pPr>
    <w:rPr>
      <w:rFonts w:ascii="Calibri" w:hAnsi="Calibri" w:eastAsia="宋体" w:cs="Times New Roman"/>
      <w:kern w:val="2"/>
      <w:sz w:val="21"/>
      <w:szCs w:val="21"/>
      <w:lang w:val="en-US" w:eastAsia="zh-CN" w:bidi="ar-SA"/>
    </w:rPr>
  </w:style>
  <w:style w:type="character" w:customStyle="1" w:styleId="205">
    <w:name w:val="彩色列表 - 强调文字颜色 1 Char"/>
    <w:link w:val="112"/>
    <w:qFormat/>
    <w:uiPriority w:val="0"/>
    <w:rPr>
      <w:rFonts w:ascii="Times New Roman" w:hAnsi="Times New Roman"/>
      <w:kern w:val="2"/>
      <w:sz w:val="21"/>
      <w:szCs w:val="24"/>
    </w:rPr>
  </w:style>
  <w:style w:type="character" w:customStyle="1" w:styleId="206">
    <w:name w:val="正文缩进 字符"/>
    <w:qFormat/>
    <w:uiPriority w:val="0"/>
    <w:rPr>
      <w:rFonts w:ascii="Times New Roman" w:hAnsi="Times New Roman" w:eastAsia="宋体" w:cs="Times New Roman"/>
      <w:szCs w:val="24"/>
    </w:rPr>
  </w:style>
  <w:style w:type="character" w:customStyle="1" w:styleId="207">
    <w:name w:val="标书的正文 Char"/>
    <w:link w:val="208"/>
    <w:qFormat/>
    <w:uiPriority w:val="0"/>
    <w:rPr>
      <w:sz w:val="24"/>
    </w:rPr>
  </w:style>
  <w:style w:type="paragraph" w:customStyle="1" w:styleId="208">
    <w:name w:val="标书的正文"/>
    <w:basedOn w:val="1"/>
    <w:link w:val="207"/>
    <w:qFormat/>
    <w:uiPriority w:val="0"/>
    <w:pPr>
      <w:spacing w:line="360" w:lineRule="auto"/>
      <w:ind w:firstLine="200" w:firstLineChars="200"/>
      <w:jc w:val="left"/>
    </w:pPr>
    <w:rPr>
      <w:rFonts w:ascii="宋体" w:hAnsi="宋体"/>
      <w:kern w:val="0"/>
      <w:sz w:val="24"/>
      <w:szCs w:val="20"/>
    </w:rPr>
  </w:style>
  <w:style w:type="character" w:customStyle="1" w:styleId="209">
    <w:name w:val="标题 9 字符"/>
    <w:qFormat/>
    <w:uiPriority w:val="0"/>
    <w:rPr>
      <w:rFonts w:ascii="Cambria" w:hAnsi="Cambria"/>
      <w:kern w:val="2"/>
      <w:sz w:val="24"/>
      <w:szCs w:val="21"/>
    </w:rPr>
  </w:style>
  <w:style w:type="character" w:customStyle="1" w:styleId="210">
    <w:name w:val="纯文本 Char_0"/>
    <w:link w:val="211"/>
    <w:qFormat/>
    <w:locked/>
    <w:uiPriority w:val="0"/>
    <w:rPr>
      <w:rFonts w:hAnsi="Courier New"/>
      <w:szCs w:val="21"/>
      <w:lang w:val="zh-CN"/>
    </w:rPr>
  </w:style>
  <w:style w:type="paragraph" w:customStyle="1" w:styleId="211">
    <w:name w:val="纯文本_0"/>
    <w:basedOn w:val="158"/>
    <w:link w:val="210"/>
    <w:unhideWhenUsed/>
    <w:qFormat/>
    <w:uiPriority w:val="0"/>
    <w:pPr>
      <w:widowControl/>
      <w:jc w:val="left"/>
    </w:pPr>
    <w:rPr>
      <w:rFonts w:ascii="宋体" w:hAnsi="Courier New"/>
      <w:kern w:val="0"/>
      <w:sz w:val="20"/>
      <w:szCs w:val="21"/>
      <w:lang w:val="zh-CN"/>
    </w:rPr>
  </w:style>
  <w:style w:type="character" w:customStyle="1" w:styleId="212">
    <w:name w:val="标题 7 Char_0"/>
    <w:link w:val="213"/>
    <w:qFormat/>
    <w:uiPriority w:val="9"/>
    <w:rPr>
      <w:rFonts w:ascii="Calibri" w:hAnsi="Calibri"/>
      <w:b/>
      <w:bCs/>
      <w:sz w:val="24"/>
      <w:szCs w:val="24"/>
      <w:lang w:val="zh-CN"/>
    </w:rPr>
  </w:style>
  <w:style w:type="paragraph" w:customStyle="1" w:styleId="213">
    <w:name w:val="标题 7_1"/>
    <w:basedOn w:val="158"/>
    <w:next w:val="158"/>
    <w:link w:val="212"/>
    <w:qFormat/>
    <w:uiPriority w:val="9"/>
    <w:pPr>
      <w:keepNext/>
      <w:keepLines/>
      <w:spacing w:before="240" w:after="64" w:line="320" w:lineRule="auto"/>
      <w:ind w:left="1296" w:hanging="1296"/>
      <w:outlineLvl w:val="6"/>
    </w:pPr>
    <w:rPr>
      <w:b/>
      <w:bCs/>
      <w:kern w:val="0"/>
      <w:sz w:val="24"/>
      <w:szCs w:val="24"/>
      <w:lang w:val="zh-CN"/>
    </w:rPr>
  </w:style>
  <w:style w:type="character" w:customStyle="1" w:styleId="214">
    <w:name w:val="font01"/>
    <w:qFormat/>
    <w:uiPriority w:val="0"/>
    <w:rPr>
      <w:rFonts w:hint="eastAsia" w:ascii="宋体" w:hAnsi="宋体" w:eastAsia="宋体" w:cs="宋体"/>
      <w:b/>
      <w:color w:val="0000FF"/>
      <w:sz w:val="18"/>
      <w:szCs w:val="18"/>
      <w:u w:val="none"/>
    </w:rPr>
  </w:style>
  <w:style w:type="character" w:customStyle="1" w:styleId="215">
    <w:name w:val="明显引用 字符"/>
    <w:qFormat/>
    <w:uiPriority w:val="0"/>
    <w:rPr>
      <w:i/>
      <w:iCs/>
      <w:color w:val="5B9BD5"/>
    </w:rPr>
  </w:style>
  <w:style w:type="character" w:customStyle="1" w:styleId="216">
    <w:name w:val="标题 2 Char_0"/>
    <w:link w:val="217"/>
    <w:qFormat/>
    <w:uiPriority w:val="9"/>
    <w:rPr>
      <w:rFonts w:ascii="Cambria" w:hAnsi="Cambria"/>
      <w:b/>
      <w:bCs/>
      <w:sz w:val="30"/>
      <w:szCs w:val="32"/>
      <w:lang w:val="zh-CN"/>
    </w:rPr>
  </w:style>
  <w:style w:type="paragraph" w:customStyle="1" w:styleId="217">
    <w:name w:val="标题 2_1"/>
    <w:basedOn w:val="158"/>
    <w:next w:val="158"/>
    <w:link w:val="216"/>
    <w:qFormat/>
    <w:uiPriority w:val="9"/>
    <w:pPr>
      <w:keepNext/>
      <w:keepLines/>
      <w:spacing w:before="260" w:after="260" w:line="416" w:lineRule="auto"/>
      <w:ind w:left="576" w:hanging="576"/>
      <w:outlineLvl w:val="1"/>
    </w:pPr>
    <w:rPr>
      <w:rFonts w:ascii="Cambria" w:hAnsi="Cambria"/>
      <w:b/>
      <w:bCs/>
      <w:kern w:val="0"/>
      <w:sz w:val="30"/>
      <w:szCs w:val="32"/>
      <w:lang w:val="zh-CN"/>
    </w:rPr>
  </w:style>
  <w:style w:type="character" w:customStyle="1" w:styleId="218">
    <w:name w:val="小四 Char"/>
    <w:link w:val="219"/>
    <w:qFormat/>
    <w:uiPriority w:val="0"/>
    <w:rPr>
      <w:sz w:val="24"/>
      <w:szCs w:val="24"/>
    </w:rPr>
  </w:style>
  <w:style w:type="paragraph" w:customStyle="1" w:styleId="219">
    <w:name w:val="小四"/>
    <w:basedOn w:val="1"/>
    <w:link w:val="218"/>
    <w:qFormat/>
    <w:uiPriority w:val="0"/>
    <w:pPr>
      <w:spacing w:line="360" w:lineRule="auto"/>
    </w:pPr>
    <w:rPr>
      <w:rFonts w:ascii="宋体" w:hAnsi="宋体"/>
      <w:kern w:val="0"/>
      <w:sz w:val="24"/>
    </w:rPr>
  </w:style>
  <w:style w:type="character" w:customStyle="1" w:styleId="220">
    <w:name w:val="font61"/>
    <w:qFormat/>
    <w:uiPriority w:val="0"/>
    <w:rPr>
      <w:rFonts w:hint="eastAsia" w:ascii="宋体" w:hAnsi="宋体" w:eastAsia="宋体" w:cs="宋体"/>
      <w:color w:val="000000"/>
      <w:sz w:val="18"/>
      <w:szCs w:val="18"/>
      <w:u w:val="none"/>
    </w:rPr>
  </w:style>
  <w:style w:type="character" w:customStyle="1" w:styleId="221">
    <w:name w:val="列出段落 Char2"/>
    <w:qFormat/>
    <w:locked/>
    <w:uiPriority w:val="0"/>
    <w:rPr>
      <w:rFonts w:ascii="Times New Roman" w:hAnsi="Times New Roman"/>
      <w:kern w:val="2"/>
      <w:sz w:val="24"/>
      <w:szCs w:val="24"/>
    </w:rPr>
  </w:style>
  <w:style w:type="character" w:customStyle="1" w:styleId="222">
    <w:name w:val="纯文本 字符"/>
    <w:qFormat/>
    <w:uiPriority w:val="0"/>
    <w:rPr>
      <w:rFonts w:ascii="宋体" w:hAnsi="Courier New"/>
      <w:kern w:val="2"/>
      <w:sz w:val="32"/>
    </w:rPr>
  </w:style>
  <w:style w:type="character" w:customStyle="1" w:styleId="223">
    <w:name w:val="标题 9 Char1"/>
    <w:qFormat/>
    <w:locked/>
    <w:uiPriority w:val="0"/>
    <w:rPr>
      <w:rFonts w:ascii="Arial" w:hAnsi="Arial" w:eastAsia="黑体"/>
      <w:kern w:val="2"/>
      <w:sz w:val="21"/>
    </w:rPr>
  </w:style>
  <w:style w:type="character" w:customStyle="1" w:styleId="224">
    <w:name w:val="标题 7 字符"/>
    <w:qFormat/>
    <w:uiPriority w:val="0"/>
    <w:rPr>
      <w:b/>
      <w:bCs/>
      <w:kern w:val="2"/>
      <w:sz w:val="24"/>
      <w:szCs w:val="24"/>
    </w:rPr>
  </w:style>
  <w:style w:type="character" w:customStyle="1" w:styleId="225">
    <w:name w:val="font81"/>
    <w:qFormat/>
    <w:uiPriority w:val="0"/>
    <w:rPr>
      <w:rFonts w:hint="eastAsia" w:ascii="宋体" w:hAnsi="宋体" w:eastAsia="宋体" w:cs="宋体"/>
      <w:color w:val="FF0000"/>
      <w:sz w:val="22"/>
      <w:szCs w:val="22"/>
      <w:u w:val="none"/>
    </w:rPr>
  </w:style>
  <w:style w:type="character" w:customStyle="1" w:styleId="226">
    <w:name w:val="_正文段落 Char"/>
    <w:link w:val="227"/>
    <w:qFormat/>
    <w:uiPriority w:val="0"/>
    <w:rPr>
      <w:sz w:val="24"/>
      <w:szCs w:val="24"/>
    </w:rPr>
  </w:style>
  <w:style w:type="paragraph" w:customStyle="1" w:styleId="227">
    <w:name w:val="_正文段落"/>
    <w:basedOn w:val="1"/>
    <w:link w:val="226"/>
    <w:qFormat/>
    <w:uiPriority w:val="0"/>
    <w:pPr>
      <w:spacing w:before="156" w:beforeLines="50" w:line="360" w:lineRule="auto"/>
      <w:ind w:firstLine="200" w:firstLineChars="200"/>
    </w:pPr>
    <w:rPr>
      <w:rFonts w:ascii="宋体" w:hAnsi="宋体"/>
      <w:kern w:val="0"/>
      <w:sz w:val="24"/>
    </w:rPr>
  </w:style>
  <w:style w:type="character" w:customStyle="1" w:styleId="228">
    <w:name w:val="副标题 字符1"/>
    <w:qFormat/>
    <w:locked/>
    <w:uiPriority w:val="0"/>
    <w:rPr>
      <w:rFonts w:ascii="Calibri Light" w:hAnsi="Calibri Light" w:eastAsia="方正小标宋_GBK" w:cs="Calibri Light"/>
      <w:kern w:val="28"/>
      <w:sz w:val="36"/>
      <w:szCs w:val="36"/>
    </w:rPr>
  </w:style>
  <w:style w:type="character" w:customStyle="1" w:styleId="229">
    <w:name w:val="15"/>
    <w:qFormat/>
    <w:uiPriority w:val="0"/>
    <w:rPr>
      <w:rFonts w:hint="default" w:ascii="Times New Roman" w:hAnsi="Times New Roman" w:cs="Times New Roman"/>
    </w:rPr>
  </w:style>
  <w:style w:type="character" w:customStyle="1" w:styleId="230">
    <w:name w:val="font141"/>
    <w:qFormat/>
    <w:uiPriority w:val="0"/>
    <w:rPr>
      <w:rFonts w:ascii="宋体" w:hAnsi="宋体" w:eastAsia="宋体" w:cs="宋体"/>
      <w:color w:val="000000"/>
      <w:sz w:val="20"/>
      <w:szCs w:val="20"/>
      <w:u w:val="none"/>
    </w:rPr>
  </w:style>
  <w:style w:type="character" w:customStyle="1" w:styleId="231">
    <w:name w:val="GP正文(首行缩进) Char"/>
    <w:link w:val="232"/>
    <w:qFormat/>
    <w:uiPriority w:val="0"/>
    <w:rPr>
      <w:rFonts w:ascii="仿宋_GB2312"/>
      <w:color w:val="000000"/>
      <w:sz w:val="24"/>
      <w:lang w:val="zh-CN"/>
    </w:rPr>
  </w:style>
  <w:style w:type="paragraph" w:customStyle="1" w:styleId="232">
    <w:name w:val="GP正文(首行缩进)"/>
    <w:basedOn w:val="182"/>
    <w:link w:val="231"/>
    <w:qFormat/>
    <w:uiPriority w:val="0"/>
    <w:pPr>
      <w:spacing w:line="440" w:lineRule="exact"/>
      <w:ind w:firstLine="200" w:firstLineChars="200"/>
      <w:jc w:val="left"/>
    </w:pPr>
    <w:rPr>
      <w:rFonts w:ascii="仿宋_GB2312" w:hAnsi="宋体"/>
      <w:color w:val="000000"/>
      <w:kern w:val="0"/>
      <w:sz w:val="24"/>
      <w:szCs w:val="20"/>
      <w:lang w:val="zh-CN"/>
    </w:rPr>
  </w:style>
  <w:style w:type="character" w:customStyle="1" w:styleId="233">
    <w:name w:val="正文文本 Char1"/>
    <w:qFormat/>
    <w:uiPriority w:val="0"/>
    <w:rPr>
      <w:rFonts w:eastAsia="宋体"/>
      <w:kern w:val="2"/>
      <w:sz w:val="21"/>
    </w:rPr>
  </w:style>
  <w:style w:type="character" w:customStyle="1" w:styleId="234">
    <w:name w:val="正文-缩进 Char"/>
    <w:link w:val="235"/>
    <w:qFormat/>
    <w:uiPriority w:val="0"/>
    <w:rPr>
      <w:rFonts w:ascii="Arial" w:hAnsi="Arial"/>
      <w:kern w:val="21"/>
      <w:szCs w:val="24"/>
    </w:rPr>
  </w:style>
  <w:style w:type="paragraph" w:customStyle="1" w:styleId="235">
    <w:name w:val="正文-缩进"/>
    <w:link w:val="234"/>
    <w:qFormat/>
    <w:uiPriority w:val="0"/>
    <w:pPr>
      <w:widowControl w:val="0"/>
      <w:spacing w:before="40" w:after="40" w:line="240" w:lineRule="atLeast"/>
      <w:ind w:firstLine="200" w:firstLineChars="200"/>
      <w:jc w:val="both"/>
      <w:textAlignment w:val="center"/>
    </w:pPr>
    <w:rPr>
      <w:rFonts w:ascii="Arial" w:hAnsi="Arial" w:eastAsia="宋体" w:cs="Times New Roman"/>
      <w:kern w:val="21"/>
      <w:szCs w:val="24"/>
      <w:lang w:val="en-US" w:eastAsia="zh-CN" w:bidi="ar-SA"/>
    </w:rPr>
  </w:style>
  <w:style w:type="character" w:customStyle="1" w:styleId="236">
    <w:name w:val="!正文 Char"/>
    <w:link w:val="237"/>
    <w:qFormat/>
    <w:uiPriority w:val="0"/>
    <w:rPr>
      <w:kern w:val="2"/>
      <w:sz w:val="24"/>
      <w:szCs w:val="28"/>
      <w:lang w:val="zh-CN"/>
    </w:rPr>
  </w:style>
  <w:style w:type="paragraph" w:customStyle="1" w:styleId="237">
    <w:name w:val="!正文"/>
    <w:basedOn w:val="1"/>
    <w:link w:val="236"/>
    <w:qFormat/>
    <w:uiPriority w:val="0"/>
    <w:pPr>
      <w:spacing w:line="360" w:lineRule="auto"/>
      <w:ind w:firstLine="200" w:firstLineChars="200"/>
    </w:pPr>
    <w:rPr>
      <w:rFonts w:ascii="宋体" w:hAnsi="宋体"/>
      <w:sz w:val="24"/>
      <w:szCs w:val="28"/>
      <w:lang w:val="zh-CN"/>
    </w:rPr>
  </w:style>
  <w:style w:type="character" w:customStyle="1" w:styleId="238">
    <w:name w:val="标题 3 字符"/>
    <w:qFormat/>
    <w:uiPriority w:val="0"/>
    <w:rPr>
      <w:b/>
      <w:bCs/>
      <w:kern w:val="2"/>
      <w:sz w:val="32"/>
      <w:szCs w:val="32"/>
    </w:rPr>
  </w:style>
  <w:style w:type="character" w:customStyle="1" w:styleId="239">
    <w:name w:val="副标题 字符"/>
    <w:qFormat/>
    <w:uiPriority w:val="0"/>
    <w:rPr>
      <w:rFonts w:ascii="等线 Light" w:hAnsi="等线 Light" w:cs="Times New Roman"/>
      <w:b/>
      <w:bCs/>
      <w:kern w:val="28"/>
      <w:sz w:val="32"/>
      <w:szCs w:val="32"/>
    </w:rPr>
  </w:style>
  <w:style w:type="character" w:customStyle="1" w:styleId="240">
    <w:name w:val="页眉 字符1"/>
    <w:qFormat/>
    <w:uiPriority w:val="0"/>
    <w:rPr>
      <w:kern w:val="2"/>
      <w:sz w:val="18"/>
      <w:szCs w:val="18"/>
      <w:lang w:bidi="ar-SA"/>
    </w:rPr>
  </w:style>
  <w:style w:type="character" w:customStyle="1" w:styleId="241">
    <w:name w:val="文档结构图 字符"/>
    <w:qFormat/>
    <w:uiPriority w:val="0"/>
    <w:rPr>
      <w:rFonts w:ascii="Microsoft YaHei UI" w:eastAsia="Microsoft YaHei UI"/>
      <w:kern w:val="2"/>
      <w:sz w:val="18"/>
      <w:szCs w:val="18"/>
    </w:rPr>
  </w:style>
  <w:style w:type="character" w:customStyle="1" w:styleId="242">
    <w:name w:val="列表段落 字符"/>
    <w:qFormat/>
    <w:locked/>
    <w:uiPriority w:val="0"/>
    <w:rPr>
      <w:kern w:val="2"/>
      <w:sz w:val="21"/>
    </w:rPr>
  </w:style>
  <w:style w:type="character" w:customStyle="1" w:styleId="243">
    <w:name w:val="正文首行缩进 字符1"/>
    <w:qFormat/>
    <w:locked/>
    <w:uiPriority w:val="0"/>
    <w:rPr>
      <w:rFonts w:ascii="Times New Roman" w:hAnsi="Times New Roman"/>
      <w:sz w:val="24"/>
      <w:szCs w:val="24"/>
    </w:rPr>
  </w:style>
  <w:style w:type="character" w:customStyle="1" w:styleId="244">
    <w:name w:val="Header Char"/>
    <w:qFormat/>
    <w:locked/>
    <w:uiPriority w:val="0"/>
    <w:rPr>
      <w:rFonts w:cs="Times New Roman"/>
      <w:sz w:val="18"/>
      <w:szCs w:val="18"/>
    </w:rPr>
  </w:style>
  <w:style w:type="character" w:customStyle="1" w:styleId="245">
    <w:name w:val="3级标题 Char"/>
    <w:link w:val="246"/>
    <w:qFormat/>
    <w:uiPriority w:val="0"/>
    <w:rPr>
      <w:rFonts w:ascii="黑体" w:hAnsi="黑体" w:eastAsia="黑体"/>
      <w:sz w:val="28"/>
      <w:szCs w:val="36"/>
      <w:lang w:eastAsia="en-US" w:bidi="en-US"/>
    </w:rPr>
  </w:style>
  <w:style w:type="paragraph" w:customStyle="1" w:styleId="246">
    <w:name w:val="3级标题"/>
    <w:basedOn w:val="91"/>
    <w:link w:val="245"/>
    <w:qFormat/>
    <w:uiPriority w:val="0"/>
    <w:pPr>
      <w:keepLines/>
      <w:wordWrap/>
      <w:spacing w:line="360" w:lineRule="auto"/>
      <w:ind w:left="0"/>
      <w:contextualSpacing/>
      <w:jc w:val="left"/>
      <w:outlineLvl w:val="2"/>
    </w:pPr>
    <w:rPr>
      <w:rFonts w:ascii="黑体" w:hAnsi="黑体" w:eastAsia="黑体"/>
      <w:kern w:val="0"/>
      <w:sz w:val="28"/>
      <w:szCs w:val="36"/>
      <w:lang w:eastAsia="en-US" w:bidi="en-US"/>
    </w:rPr>
  </w:style>
  <w:style w:type="character" w:customStyle="1" w:styleId="247">
    <w:name w:val="列出段落 Char"/>
    <w:link w:val="91"/>
    <w:qFormat/>
    <w:locked/>
    <w:uiPriority w:val="34"/>
    <w:rPr>
      <w:rFonts w:ascii="Times New Roman" w:hAnsi="Times New Roman"/>
      <w:kern w:val="2"/>
      <w:sz w:val="21"/>
      <w:szCs w:val="24"/>
    </w:rPr>
  </w:style>
  <w:style w:type="character" w:customStyle="1" w:styleId="248">
    <w:name w:val="标题 4 Char_0"/>
    <w:link w:val="249"/>
    <w:qFormat/>
    <w:uiPriority w:val="9"/>
    <w:rPr>
      <w:rFonts w:ascii="Cambria" w:hAnsi="Cambria"/>
      <w:b/>
      <w:bCs/>
      <w:sz w:val="28"/>
      <w:szCs w:val="28"/>
      <w:lang w:val="zh-CN"/>
    </w:rPr>
  </w:style>
  <w:style w:type="paragraph" w:customStyle="1" w:styleId="249">
    <w:name w:val="标题 4_1"/>
    <w:basedOn w:val="158"/>
    <w:next w:val="158"/>
    <w:link w:val="248"/>
    <w:qFormat/>
    <w:uiPriority w:val="9"/>
    <w:pPr>
      <w:keepNext/>
      <w:keepLines/>
      <w:spacing w:before="280" w:after="290" w:line="376" w:lineRule="auto"/>
      <w:ind w:left="864" w:hanging="864"/>
      <w:outlineLvl w:val="3"/>
    </w:pPr>
    <w:rPr>
      <w:rFonts w:ascii="Cambria" w:hAnsi="Cambria"/>
      <w:b/>
      <w:bCs/>
      <w:kern w:val="0"/>
      <w:sz w:val="28"/>
      <w:szCs w:val="28"/>
      <w:lang w:val="zh-CN"/>
    </w:rPr>
  </w:style>
  <w:style w:type="character" w:customStyle="1" w:styleId="250">
    <w:name w:val="_正文 Char"/>
    <w:link w:val="251"/>
    <w:qFormat/>
    <w:uiPriority w:val="0"/>
    <w:rPr>
      <w:sz w:val="28"/>
      <w:szCs w:val="24"/>
      <w:lang w:val="zh-CN"/>
    </w:rPr>
  </w:style>
  <w:style w:type="paragraph" w:customStyle="1" w:styleId="251">
    <w:name w:val="_正文"/>
    <w:basedOn w:val="182"/>
    <w:link w:val="250"/>
    <w:qFormat/>
    <w:uiPriority w:val="0"/>
    <w:pPr>
      <w:adjustRightInd w:val="0"/>
      <w:snapToGrid w:val="0"/>
      <w:spacing w:beforeLines="50" w:line="440" w:lineRule="exact"/>
      <w:ind w:firstLine="200" w:firstLineChars="200"/>
    </w:pPr>
    <w:rPr>
      <w:rFonts w:ascii="宋体" w:hAnsi="宋体"/>
      <w:kern w:val="0"/>
      <w:sz w:val="28"/>
      <w:szCs w:val="24"/>
      <w:lang w:val="zh-CN"/>
    </w:rPr>
  </w:style>
  <w:style w:type="character" w:customStyle="1" w:styleId="252">
    <w:name w:val="Heading 3 Char"/>
    <w:qFormat/>
    <w:locked/>
    <w:uiPriority w:val="0"/>
    <w:rPr>
      <w:rFonts w:ascii="宋体" w:hAnsi="宋体" w:eastAsia="宋体" w:cs="宋体"/>
      <w:b/>
      <w:bCs/>
      <w:kern w:val="0"/>
      <w:sz w:val="27"/>
      <w:szCs w:val="27"/>
    </w:rPr>
  </w:style>
  <w:style w:type="character" w:customStyle="1" w:styleId="253">
    <w:name w:val="段落内容一级列表 Char"/>
    <w:link w:val="254"/>
    <w:qFormat/>
    <w:locked/>
    <w:uiPriority w:val="99"/>
    <w:rPr>
      <w:sz w:val="24"/>
      <w:lang w:val="zh-CN"/>
    </w:rPr>
  </w:style>
  <w:style w:type="paragraph" w:customStyle="1" w:styleId="254">
    <w:name w:val="段落内容一级列表"/>
    <w:basedOn w:val="182"/>
    <w:link w:val="253"/>
    <w:qFormat/>
    <w:uiPriority w:val="99"/>
    <w:pPr>
      <w:spacing w:line="440" w:lineRule="exact"/>
      <w:ind w:left="420"/>
      <w:jc w:val="left"/>
    </w:pPr>
    <w:rPr>
      <w:rFonts w:ascii="宋体" w:hAnsi="宋体"/>
      <w:kern w:val="0"/>
      <w:sz w:val="24"/>
      <w:szCs w:val="20"/>
      <w:lang w:val="zh-CN"/>
    </w:rPr>
  </w:style>
  <w:style w:type="character" w:customStyle="1" w:styleId="255">
    <w:name w:val="正文 Char"/>
    <w:link w:val="256"/>
    <w:qFormat/>
    <w:uiPriority w:val="0"/>
    <w:rPr>
      <w:rFonts w:hAnsi="仿宋_GB2312"/>
      <w:sz w:val="24"/>
    </w:rPr>
  </w:style>
  <w:style w:type="paragraph" w:customStyle="1" w:styleId="256">
    <w:name w:val="正文2"/>
    <w:link w:val="255"/>
    <w:qFormat/>
    <w:uiPriority w:val="0"/>
    <w:pPr>
      <w:adjustRightInd w:val="0"/>
      <w:snapToGrid w:val="0"/>
      <w:spacing w:line="360" w:lineRule="auto"/>
      <w:ind w:firstLine="480" w:firstLineChars="200"/>
    </w:pPr>
    <w:rPr>
      <w:rFonts w:ascii="宋体" w:hAnsi="仿宋_GB2312" w:eastAsia="宋体" w:cs="Times New Roman"/>
      <w:sz w:val="24"/>
      <w:lang w:val="en-US" w:eastAsia="zh-CN" w:bidi="ar-SA"/>
    </w:rPr>
  </w:style>
  <w:style w:type="character" w:customStyle="1" w:styleId="257">
    <w:name w:val="正文文本 字符"/>
    <w:qFormat/>
    <w:uiPriority w:val="0"/>
    <w:rPr>
      <w:kern w:val="2"/>
      <w:sz w:val="21"/>
      <w:szCs w:val="24"/>
    </w:rPr>
  </w:style>
  <w:style w:type="character" w:customStyle="1" w:styleId="258">
    <w:name w:val="标题 8 Char1"/>
    <w:qFormat/>
    <w:locked/>
    <w:uiPriority w:val="0"/>
    <w:rPr>
      <w:rFonts w:ascii="Arial" w:hAnsi="Arial" w:eastAsia="黑体"/>
      <w:kern w:val="2"/>
      <w:sz w:val="28"/>
    </w:rPr>
  </w:style>
  <w:style w:type="character" w:customStyle="1" w:styleId="259">
    <w:name w:val="正文首行缩进 字符"/>
    <w:qFormat/>
    <w:uiPriority w:val="0"/>
  </w:style>
  <w:style w:type="character" w:customStyle="1" w:styleId="260">
    <w:name w:val="ca-22"/>
    <w:qFormat/>
    <w:uiPriority w:val="0"/>
  </w:style>
  <w:style w:type="character" w:customStyle="1" w:styleId="261">
    <w:name w:val="（符号）三标题1.1 Char"/>
    <w:link w:val="262"/>
    <w:qFormat/>
    <w:uiPriority w:val="0"/>
    <w:rPr>
      <w:kern w:val="2"/>
      <w:sz w:val="24"/>
    </w:rPr>
  </w:style>
  <w:style w:type="paragraph" w:customStyle="1" w:styleId="262">
    <w:name w:val="（符号）三标题1.1"/>
    <w:basedOn w:val="1"/>
    <w:link w:val="261"/>
    <w:qFormat/>
    <w:uiPriority w:val="0"/>
    <w:pPr>
      <w:tabs>
        <w:tab w:val="left" w:pos="700"/>
        <w:tab w:val="left" w:pos="1200"/>
      </w:tabs>
      <w:spacing w:line="500" w:lineRule="exact"/>
      <w:ind w:left="1200" w:hanging="360"/>
    </w:pPr>
    <w:rPr>
      <w:rFonts w:ascii="宋体" w:hAnsi="宋体"/>
      <w:sz w:val="24"/>
      <w:szCs w:val="20"/>
    </w:rPr>
  </w:style>
  <w:style w:type="character" w:customStyle="1" w:styleId="263">
    <w:name w:val="Char Char2"/>
    <w:qFormat/>
    <w:locked/>
    <w:uiPriority w:val="0"/>
    <w:rPr>
      <w:sz w:val="18"/>
      <w:szCs w:val="18"/>
    </w:rPr>
  </w:style>
  <w:style w:type="character" w:customStyle="1" w:styleId="264">
    <w:name w:val="文档结构图 Char1"/>
    <w:qFormat/>
    <w:uiPriority w:val="0"/>
    <w:rPr>
      <w:rFonts w:ascii="宋体" w:hAnsi="Times New Roman" w:eastAsia="宋体" w:cs="Times New Roman"/>
      <w:sz w:val="18"/>
      <w:szCs w:val="18"/>
    </w:rPr>
  </w:style>
  <w:style w:type="character" w:customStyle="1" w:styleId="265">
    <w:name w:val="图片格式序号 Char"/>
    <w:link w:val="266"/>
    <w:qFormat/>
    <w:uiPriority w:val="0"/>
    <w:rPr>
      <w:rFonts w:ascii="Calibri" w:hAnsi="Calibri" w:eastAsia="黑体"/>
      <w:sz w:val="24"/>
    </w:rPr>
  </w:style>
  <w:style w:type="paragraph" w:customStyle="1" w:styleId="266">
    <w:name w:val="图片格式序号"/>
    <w:basedOn w:val="1"/>
    <w:next w:val="1"/>
    <w:link w:val="265"/>
    <w:qFormat/>
    <w:uiPriority w:val="0"/>
    <w:pPr>
      <w:tabs>
        <w:tab w:val="left" w:pos="900"/>
      </w:tabs>
      <w:spacing w:line="360" w:lineRule="auto"/>
      <w:ind w:left="900" w:hanging="420"/>
      <w:jc w:val="center"/>
    </w:pPr>
    <w:rPr>
      <w:rFonts w:ascii="Calibri" w:hAnsi="Calibri" w:eastAsia="黑体"/>
      <w:kern w:val="0"/>
      <w:sz w:val="24"/>
      <w:szCs w:val="20"/>
    </w:rPr>
  </w:style>
  <w:style w:type="character" w:customStyle="1" w:styleId="267">
    <w:name w:val="font21"/>
    <w:qFormat/>
    <w:uiPriority w:val="0"/>
    <w:rPr>
      <w:rFonts w:ascii="宋体" w:hAnsi="宋体" w:eastAsia="宋体" w:cs="宋体"/>
      <w:b/>
      <w:color w:val="000000"/>
      <w:sz w:val="20"/>
      <w:szCs w:val="20"/>
      <w:u w:val="none"/>
    </w:rPr>
  </w:style>
  <w:style w:type="character" w:customStyle="1" w:styleId="268">
    <w:name w:val="标题 5 字符"/>
    <w:qFormat/>
    <w:uiPriority w:val="0"/>
    <w:rPr>
      <w:b/>
      <w:bCs/>
      <w:kern w:val="2"/>
      <w:sz w:val="28"/>
      <w:szCs w:val="28"/>
    </w:rPr>
  </w:style>
  <w:style w:type="character" w:customStyle="1" w:styleId="269">
    <w:name w:val="批注主题 字符"/>
    <w:qFormat/>
    <w:uiPriority w:val="0"/>
    <w:rPr>
      <w:b/>
      <w:bCs/>
      <w:kern w:val="2"/>
      <w:sz w:val="24"/>
      <w:szCs w:val="21"/>
    </w:rPr>
  </w:style>
  <w:style w:type="character" w:customStyle="1" w:styleId="270">
    <w:name w:val="正文缩进 Char_0_0"/>
    <w:link w:val="271"/>
    <w:qFormat/>
    <w:uiPriority w:val="0"/>
    <w:rPr>
      <w:rFonts w:ascii="Calibri" w:hAnsi="Calibri"/>
      <w:sz w:val="24"/>
      <w:lang w:val="zh-CN"/>
    </w:rPr>
  </w:style>
  <w:style w:type="paragraph" w:customStyle="1" w:styleId="271">
    <w:name w:val="正文缩进_0_0_0"/>
    <w:basedOn w:val="272"/>
    <w:link w:val="270"/>
    <w:qFormat/>
    <w:uiPriority w:val="0"/>
    <w:pPr>
      <w:autoSpaceDE w:val="0"/>
      <w:autoSpaceDN w:val="0"/>
      <w:spacing w:line="360" w:lineRule="auto"/>
      <w:ind w:left="181" w:firstLine="420"/>
    </w:pPr>
    <w:rPr>
      <w:rFonts w:ascii="Calibri" w:hAnsi="Calibri"/>
      <w:kern w:val="0"/>
      <w:sz w:val="24"/>
      <w:lang w:val="zh-CN"/>
    </w:rPr>
  </w:style>
  <w:style w:type="paragraph" w:customStyle="1" w:styleId="272">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3">
    <w:name w:val="标题 1 Char2"/>
    <w:qFormat/>
    <w:locked/>
    <w:uiPriority w:val="0"/>
    <w:rPr>
      <w:rFonts w:ascii="Arial" w:hAnsi="Arial" w:eastAsia="宋体" w:cs="Times New Roman"/>
      <w:kern w:val="44"/>
      <w:sz w:val="44"/>
      <w:szCs w:val="44"/>
    </w:rPr>
  </w:style>
  <w:style w:type="character" w:customStyle="1" w:styleId="274">
    <w:name w:val="style15"/>
    <w:qFormat/>
    <w:uiPriority w:val="0"/>
  </w:style>
  <w:style w:type="character" w:customStyle="1" w:styleId="275">
    <w:name w:val="标题 6 字符"/>
    <w:qFormat/>
    <w:uiPriority w:val="0"/>
    <w:rPr>
      <w:rFonts w:ascii="Cambria" w:hAnsi="Cambria"/>
      <w:b/>
      <w:bCs/>
      <w:kern w:val="2"/>
      <w:sz w:val="24"/>
      <w:szCs w:val="24"/>
    </w:rPr>
  </w:style>
  <w:style w:type="paragraph" w:customStyle="1" w:styleId="276">
    <w:name w:val="标题 1_0"/>
    <w:basedOn w:val="182"/>
    <w:next w:val="182"/>
    <w:qFormat/>
    <w:uiPriority w:val="9"/>
    <w:pPr>
      <w:keepNext/>
      <w:keepLines/>
      <w:pageBreakBefore/>
      <w:widowControl/>
      <w:spacing w:beforeLines="100" w:afterLines="200" w:line="240" w:lineRule="auto"/>
      <w:ind w:left="420"/>
      <w:jc w:val="left"/>
      <w:outlineLvl w:val="0"/>
    </w:pPr>
    <w:rPr>
      <w:rFonts w:hint="eastAsia" w:ascii="宋体" w:hAnsi="宋体" w:eastAsia="黑体"/>
      <w:b/>
      <w:bCs/>
      <w:kern w:val="44"/>
      <w:sz w:val="28"/>
      <w:szCs w:val="44"/>
    </w:rPr>
  </w:style>
  <w:style w:type="character" w:customStyle="1" w:styleId="277">
    <w:name w:val="unnamed51"/>
    <w:qFormat/>
    <w:uiPriority w:val="0"/>
    <w:rPr>
      <w:rFonts w:hint="eastAsia" w:ascii="宋体" w:hAnsi="宋体" w:eastAsia="宋体"/>
      <w:color w:val="000000"/>
      <w:spacing w:val="360"/>
      <w:sz w:val="18"/>
      <w:szCs w:val="18"/>
    </w:rPr>
  </w:style>
  <w:style w:type="character" w:customStyle="1" w:styleId="278">
    <w:name w:val="正文文本 3 Char3"/>
    <w:qFormat/>
    <w:uiPriority w:val="0"/>
    <w:rPr>
      <w:rFonts w:ascii="Calibri" w:hAnsi="Calibri"/>
      <w:kern w:val="2"/>
      <w:sz w:val="16"/>
      <w:szCs w:val="16"/>
    </w:rPr>
  </w:style>
  <w:style w:type="character" w:customStyle="1" w:styleId="279">
    <w:name w:val="标题 Char2"/>
    <w:qFormat/>
    <w:uiPriority w:val="0"/>
    <w:rPr>
      <w:rFonts w:ascii="Cambria" w:hAnsi="Cambria"/>
      <w:b/>
      <w:bCs/>
      <w:kern w:val="2"/>
      <w:sz w:val="32"/>
      <w:szCs w:val="32"/>
    </w:rPr>
  </w:style>
  <w:style w:type="character" w:customStyle="1" w:styleId="280">
    <w:name w:val="QB 正文 Char"/>
    <w:link w:val="281"/>
    <w:qFormat/>
    <w:locked/>
    <w:uiPriority w:val="0"/>
    <w:rPr>
      <w:rFonts w:ascii="ˎ̥" w:hAnsi="ˎ̥"/>
      <w:sz w:val="24"/>
      <w:szCs w:val="24"/>
      <w:lang w:val="zh-CN"/>
    </w:rPr>
  </w:style>
  <w:style w:type="paragraph" w:customStyle="1" w:styleId="281">
    <w:name w:val="QB 正文"/>
    <w:basedOn w:val="182"/>
    <w:link w:val="280"/>
    <w:qFormat/>
    <w:uiPriority w:val="0"/>
    <w:pPr>
      <w:ind w:firstLine="480"/>
    </w:pPr>
    <w:rPr>
      <w:rFonts w:ascii="ˎ̥" w:hAnsi="ˎ̥"/>
      <w:kern w:val="0"/>
      <w:sz w:val="24"/>
      <w:szCs w:val="24"/>
      <w:lang w:val="zh-CN"/>
    </w:rPr>
  </w:style>
  <w:style w:type="character" w:customStyle="1" w:styleId="282">
    <w:name w:val="font51"/>
    <w:qFormat/>
    <w:uiPriority w:val="0"/>
    <w:rPr>
      <w:rFonts w:hint="default" w:ascii="Times New Roman" w:hAnsi="Times New Roman" w:cs="Times New Roman"/>
      <w:color w:val="000000"/>
      <w:sz w:val="20"/>
      <w:szCs w:val="20"/>
      <w:u w:val="none"/>
    </w:rPr>
  </w:style>
  <w:style w:type="character" w:customStyle="1" w:styleId="283">
    <w:name w:val="图标题 Char"/>
    <w:link w:val="284"/>
    <w:qFormat/>
    <w:uiPriority w:val="0"/>
    <w:rPr>
      <w:rFonts w:eastAsia="黑体"/>
    </w:rPr>
  </w:style>
  <w:style w:type="paragraph" w:customStyle="1" w:styleId="284">
    <w:name w:val="图标题"/>
    <w:basedOn w:val="1"/>
    <w:link w:val="283"/>
    <w:qFormat/>
    <w:uiPriority w:val="0"/>
    <w:pPr>
      <w:spacing w:line="360" w:lineRule="auto"/>
      <w:ind w:firstLine="480" w:firstLineChars="200"/>
      <w:jc w:val="center"/>
    </w:pPr>
    <w:rPr>
      <w:rFonts w:ascii="宋体" w:hAnsi="宋体" w:eastAsia="黑体"/>
      <w:kern w:val="0"/>
      <w:sz w:val="20"/>
      <w:szCs w:val="20"/>
    </w:rPr>
  </w:style>
  <w:style w:type="character" w:customStyle="1" w:styleId="285">
    <w:name w:val="标题 5 Char1"/>
    <w:qFormat/>
    <w:uiPriority w:val="0"/>
    <w:rPr>
      <w:rFonts w:ascii="Cambria" w:hAnsi="Cambria"/>
      <w:color w:val="243F60"/>
      <w:sz w:val="22"/>
      <w:szCs w:val="22"/>
      <w:lang w:eastAsia="en-US"/>
    </w:rPr>
  </w:style>
  <w:style w:type="character" w:customStyle="1" w:styleId="286">
    <w:name w:val="正文缩进 Char Char"/>
    <w:link w:val="287"/>
    <w:qFormat/>
    <w:uiPriority w:val="0"/>
    <w:rPr>
      <w:sz w:val="24"/>
    </w:rPr>
  </w:style>
  <w:style w:type="paragraph" w:customStyle="1" w:styleId="287">
    <w:name w:val="正文缩进1"/>
    <w:basedOn w:val="1"/>
    <w:link w:val="286"/>
    <w:qFormat/>
    <w:uiPriority w:val="0"/>
    <w:pPr>
      <w:autoSpaceDE w:val="0"/>
      <w:autoSpaceDN w:val="0"/>
      <w:spacing w:line="360" w:lineRule="auto"/>
      <w:ind w:left="181" w:firstLine="420"/>
    </w:pPr>
    <w:rPr>
      <w:rFonts w:ascii="宋体" w:hAnsi="宋体"/>
      <w:kern w:val="0"/>
      <w:sz w:val="24"/>
      <w:szCs w:val="20"/>
    </w:rPr>
  </w:style>
  <w:style w:type="character" w:customStyle="1" w:styleId="288">
    <w:name w:val="Y_段 Char"/>
    <w:link w:val="289"/>
    <w:qFormat/>
    <w:uiPriority w:val="0"/>
    <w:rPr>
      <w:sz w:val="24"/>
      <w:szCs w:val="21"/>
    </w:rPr>
  </w:style>
  <w:style w:type="paragraph" w:customStyle="1" w:styleId="289">
    <w:name w:val="Y_段"/>
    <w:link w:val="288"/>
    <w:qFormat/>
    <w:uiPriority w:val="0"/>
    <w:pPr>
      <w:spacing w:line="300" w:lineRule="auto"/>
      <w:ind w:firstLine="200" w:firstLineChars="200"/>
      <w:jc w:val="both"/>
    </w:pPr>
    <w:rPr>
      <w:rFonts w:ascii="宋体" w:hAnsi="宋体" w:eastAsia="宋体" w:cs="Times New Roman"/>
      <w:sz w:val="24"/>
      <w:szCs w:val="21"/>
      <w:lang w:val="en-US" w:eastAsia="zh-CN" w:bidi="ar-SA"/>
    </w:rPr>
  </w:style>
  <w:style w:type="character" w:customStyle="1" w:styleId="290">
    <w:name w:val="标题 1 Char_0"/>
    <w:link w:val="291"/>
    <w:qFormat/>
    <w:uiPriority w:val="9"/>
    <w:rPr>
      <w:rFonts w:ascii="Calibri" w:hAnsi="Calibri"/>
      <w:b/>
      <w:bCs/>
      <w:kern w:val="44"/>
      <w:sz w:val="32"/>
      <w:szCs w:val="44"/>
      <w:lang w:val="zh-CN"/>
    </w:rPr>
  </w:style>
  <w:style w:type="paragraph" w:customStyle="1" w:styleId="291">
    <w:name w:val="标题 1_1"/>
    <w:basedOn w:val="158"/>
    <w:next w:val="158"/>
    <w:link w:val="290"/>
    <w:qFormat/>
    <w:uiPriority w:val="9"/>
    <w:pPr>
      <w:keepNext/>
      <w:keepLines/>
      <w:spacing w:before="120" w:after="120" w:line="360" w:lineRule="auto"/>
      <w:ind w:hanging="431" w:hangingChars="205"/>
      <w:outlineLvl w:val="0"/>
    </w:pPr>
    <w:rPr>
      <w:b/>
      <w:bCs/>
      <w:kern w:val="44"/>
      <w:sz w:val="32"/>
      <w:szCs w:val="44"/>
      <w:lang w:val="zh-CN"/>
    </w:rPr>
  </w:style>
  <w:style w:type="character" w:customStyle="1" w:styleId="292">
    <w:name w:val="引用 Char2"/>
    <w:qFormat/>
    <w:locked/>
    <w:uiPriority w:val="0"/>
    <w:rPr>
      <w:rFonts w:ascii="Calibri" w:hAnsi="Calibri"/>
      <w:i/>
      <w:iCs/>
      <w:color w:val="000000"/>
      <w:lang w:eastAsia="en-US"/>
    </w:rPr>
  </w:style>
  <w:style w:type="character" w:customStyle="1" w:styleId="293">
    <w:name w:val="批注文字 字符"/>
    <w:qFormat/>
    <w:uiPriority w:val="0"/>
    <w:rPr>
      <w:kern w:val="2"/>
      <w:sz w:val="21"/>
      <w:szCs w:val="24"/>
    </w:rPr>
  </w:style>
  <w:style w:type="character" w:customStyle="1" w:styleId="294">
    <w:name w:val="ca-10"/>
    <w:qFormat/>
    <w:uiPriority w:val="0"/>
  </w:style>
  <w:style w:type="character" w:customStyle="1" w:styleId="295">
    <w:name w:val="HTML 预设格式 Char1"/>
    <w:qFormat/>
    <w:uiPriority w:val="99"/>
    <w:rPr>
      <w:rFonts w:ascii="宋体" w:hAnsi="宋体" w:cs="宋体"/>
      <w:sz w:val="24"/>
      <w:szCs w:val="24"/>
    </w:rPr>
  </w:style>
  <w:style w:type="character" w:customStyle="1" w:styleId="296">
    <w:name w:val="标题 6 Char_0"/>
    <w:link w:val="297"/>
    <w:qFormat/>
    <w:uiPriority w:val="9"/>
    <w:rPr>
      <w:rFonts w:ascii="Cambria" w:hAnsi="Cambria"/>
      <w:b/>
      <w:bCs/>
      <w:sz w:val="24"/>
      <w:szCs w:val="24"/>
      <w:lang w:val="zh-CN"/>
    </w:rPr>
  </w:style>
  <w:style w:type="paragraph" w:customStyle="1" w:styleId="297">
    <w:name w:val="标题 6_1"/>
    <w:basedOn w:val="158"/>
    <w:next w:val="158"/>
    <w:link w:val="296"/>
    <w:qFormat/>
    <w:uiPriority w:val="9"/>
    <w:pPr>
      <w:keepNext/>
      <w:keepLines/>
      <w:spacing w:before="240" w:after="64" w:line="320" w:lineRule="auto"/>
      <w:ind w:left="1152" w:hanging="1152"/>
      <w:outlineLvl w:val="5"/>
    </w:pPr>
    <w:rPr>
      <w:rFonts w:ascii="Cambria" w:hAnsi="Cambria"/>
      <w:b/>
      <w:bCs/>
      <w:kern w:val="0"/>
      <w:sz w:val="24"/>
      <w:szCs w:val="24"/>
      <w:lang w:val="zh-CN"/>
    </w:rPr>
  </w:style>
  <w:style w:type="character" w:customStyle="1" w:styleId="298">
    <w:name w:val="批注主题 Char1"/>
    <w:qFormat/>
    <w:uiPriority w:val="0"/>
    <w:rPr>
      <w:b/>
      <w:bCs/>
      <w:szCs w:val="24"/>
    </w:rPr>
  </w:style>
  <w:style w:type="character" w:customStyle="1" w:styleId="299">
    <w:name w:val="标题 7 Char1"/>
    <w:qFormat/>
    <w:locked/>
    <w:uiPriority w:val="0"/>
    <w:rPr>
      <w:b/>
      <w:kern w:val="2"/>
      <w:sz w:val="28"/>
    </w:rPr>
  </w:style>
  <w:style w:type="character" w:customStyle="1" w:styleId="300">
    <w:name w:val="Default Char"/>
    <w:link w:val="114"/>
    <w:qFormat/>
    <w:uiPriority w:val="0"/>
    <w:rPr>
      <w:rFonts w:ascii="方正小标宋_GBK" w:hAnsi="方正小标宋_GBK" w:eastAsia="方正小标宋_GBK"/>
      <w:color w:val="000000"/>
      <w:sz w:val="24"/>
      <w:szCs w:val="22"/>
    </w:rPr>
  </w:style>
  <w:style w:type="character" w:customStyle="1" w:styleId="301">
    <w:name w:val="List Paragraph Char"/>
    <w:link w:val="302"/>
    <w:qFormat/>
    <w:uiPriority w:val="0"/>
    <w:rPr>
      <w:rFonts w:ascii="Calibri" w:hAnsi="Calibri"/>
      <w:kern w:val="2"/>
      <w:sz w:val="21"/>
      <w:szCs w:val="22"/>
    </w:rPr>
  </w:style>
  <w:style w:type="paragraph" w:customStyle="1" w:styleId="302">
    <w:name w:val="列出段落1"/>
    <w:basedOn w:val="1"/>
    <w:link w:val="301"/>
    <w:qFormat/>
    <w:uiPriority w:val="0"/>
    <w:pPr>
      <w:ind w:firstLine="420" w:firstLineChars="200"/>
    </w:pPr>
    <w:rPr>
      <w:rFonts w:ascii="Calibri" w:hAnsi="Calibri"/>
      <w:szCs w:val="22"/>
    </w:rPr>
  </w:style>
  <w:style w:type="character" w:customStyle="1" w:styleId="303">
    <w:name w:val="样式 仿宋"/>
    <w:qFormat/>
    <w:uiPriority w:val="0"/>
    <w:rPr>
      <w:rFonts w:ascii="仿宋" w:hAnsi="仿宋" w:eastAsia="仿宋"/>
      <w:kern w:val="1"/>
    </w:rPr>
  </w:style>
  <w:style w:type="character" w:customStyle="1" w:styleId="304">
    <w:name w:val="apple-converted-space"/>
    <w:qFormat/>
    <w:uiPriority w:val="0"/>
  </w:style>
  <w:style w:type="character" w:customStyle="1" w:styleId="305">
    <w:name w:val="font101"/>
    <w:qFormat/>
    <w:uiPriority w:val="0"/>
    <w:rPr>
      <w:rFonts w:ascii="Arial" w:hAnsi="Arial" w:cs="Arial"/>
      <w:color w:val="000000"/>
      <w:sz w:val="22"/>
      <w:szCs w:val="22"/>
      <w:u w:val="none"/>
    </w:rPr>
  </w:style>
  <w:style w:type="character" w:customStyle="1" w:styleId="306">
    <w:name w:val="param-name"/>
    <w:qFormat/>
    <w:uiPriority w:val="0"/>
  </w:style>
  <w:style w:type="character" w:customStyle="1" w:styleId="307">
    <w:name w:val="*正文 Char Char"/>
    <w:link w:val="308"/>
    <w:qFormat/>
    <w:uiPriority w:val="0"/>
    <w:rPr>
      <w:sz w:val="22"/>
      <w:szCs w:val="24"/>
    </w:rPr>
  </w:style>
  <w:style w:type="paragraph" w:customStyle="1" w:styleId="308">
    <w:name w:val="*正文"/>
    <w:basedOn w:val="1"/>
    <w:link w:val="307"/>
    <w:qFormat/>
    <w:uiPriority w:val="0"/>
    <w:pPr>
      <w:spacing w:line="360" w:lineRule="auto"/>
      <w:ind w:firstLine="200" w:firstLineChars="200"/>
    </w:pPr>
    <w:rPr>
      <w:rFonts w:ascii="宋体" w:hAnsi="宋体"/>
      <w:kern w:val="0"/>
      <w:sz w:val="22"/>
    </w:rPr>
  </w:style>
  <w:style w:type="character" w:customStyle="1" w:styleId="309">
    <w:name w:val="Title Char"/>
    <w:qFormat/>
    <w:locked/>
    <w:uiPriority w:val="0"/>
    <w:rPr>
      <w:rFonts w:ascii="Arial" w:hAnsi="Arial" w:eastAsia="隶书" w:cs="Arial"/>
      <w:b/>
      <w:bCs/>
      <w:sz w:val="32"/>
      <w:szCs w:val="32"/>
    </w:rPr>
  </w:style>
  <w:style w:type="character" w:customStyle="1" w:styleId="310">
    <w:name w:val="文档正文 Char"/>
    <w:link w:val="311"/>
    <w:qFormat/>
    <w:locked/>
    <w:uiPriority w:val="0"/>
    <w:rPr>
      <w:rFonts w:ascii="Arial" w:hAnsi="Arial" w:cs="Arial"/>
      <w:bCs/>
      <w:kern w:val="2"/>
      <w:sz w:val="21"/>
      <w:szCs w:val="24"/>
    </w:rPr>
  </w:style>
  <w:style w:type="paragraph" w:customStyle="1" w:styleId="311">
    <w:name w:val="文档正文"/>
    <w:basedOn w:val="1"/>
    <w:link w:val="310"/>
    <w:qFormat/>
    <w:uiPriority w:val="0"/>
    <w:pPr>
      <w:spacing w:line="360" w:lineRule="auto"/>
    </w:pPr>
    <w:rPr>
      <w:rFonts w:ascii="Arial" w:hAnsi="Arial" w:cs="Arial"/>
      <w:bCs/>
    </w:rPr>
  </w:style>
  <w:style w:type="character" w:customStyle="1" w:styleId="312">
    <w:name w:val="Char Char3"/>
    <w:qFormat/>
    <w:uiPriority w:val="0"/>
    <w:rPr>
      <w:rFonts w:ascii="宋体" w:hAnsi="Courier New" w:eastAsia="宋体"/>
    </w:rPr>
  </w:style>
  <w:style w:type="character" w:customStyle="1" w:styleId="313">
    <w:name w:val="09正文_wh Char Char"/>
    <w:link w:val="314"/>
    <w:qFormat/>
    <w:uiPriority w:val="0"/>
    <w:rPr>
      <w:sz w:val="28"/>
    </w:rPr>
  </w:style>
  <w:style w:type="paragraph" w:customStyle="1" w:styleId="314">
    <w:name w:val="09正文_wh"/>
    <w:link w:val="313"/>
    <w:qFormat/>
    <w:uiPriority w:val="0"/>
    <w:pPr>
      <w:spacing w:line="300" w:lineRule="auto"/>
      <w:ind w:firstLine="200" w:firstLineChars="200"/>
      <w:jc w:val="both"/>
    </w:pPr>
    <w:rPr>
      <w:rFonts w:ascii="宋体" w:hAnsi="宋体" w:eastAsia="宋体" w:cs="Times New Roman"/>
      <w:sz w:val="28"/>
      <w:lang w:val="en-US" w:eastAsia="zh-CN" w:bidi="ar-SA"/>
    </w:rPr>
  </w:style>
  <w:style w:type="character" w:customStyle="1" w:styleId="315">
    <w:name w:val="列表1 Char Char"/>
    <w:link w:val="316"/>
    <w:qFormat/>
    <w:uiPriority w:val="0"/>
    <w:rPr>
      <w:rFonts w:ascii="Century" w:hAnsi="Century"/>
      <w:szCs w:val="21"/>
    </w:rPr>
  </w:style>
  <w:style w:type="paragraph" w:customStyle="1" w:styleId="316">
    <w:name w:val="列表1"/>
    <w:basedOn w:val="1"/>
    <w:link w:val="315"/>
    <w:qFormat/>
    <w:uiPriority w:val="0"/>
    <w:pPr>
      <w:widowControl/>
      <w:tabs>
        <w:tab w:val="left" w:pos="3660"/>
      </w:tabs>
      <w:spacing w:line="360" w:lineRule="auto"/>
      <w:ind w:left="3660" w:hanging="420"/>
      <w:jc w:val="left"/>
    </w:pPr>
    <w:rPr>
      <w:rFonts w:ascii="Century" w:hAnsi="Century"/>
      <w:kern w:val="0"/>
      <w:sz w:val="20"/>
      <w:szCs w:val="21"/>
    </w:rPr>
  </w:style>
  <w:style w:type="character" w:customStyle="1" w:styleId="317">
    <w:name w:val="表格内容"/>
    <w:qFormat/>
    <w:uiPriority w:val="0"/>
    <w:rPr>
      <w:sz w:val="24"/>
    </w:rPr>
  </w:style>
  <w:style w:type="character" w:customStyle="1" w:styleId="318">
    <w:name w:val="正文缩进2格 Char Char"/>
    <w:link w:val="319"/>
    <w:qFormat/>
    <w:uiPriority w:val="0"/>
    <w:rPr>
      <w:rFonts w:ascii="仿宋_GB2312" w:eastAsia="仿宋_GB2312"/>
      <w:kern w:val="2"/>
      <w:sz w:val="31"/>
      <w:szCs w:val="28"/>
    </w:rPr>
  </w:style>
  <w:style w:type="paragraph" w:customStyle="1" w:styleId="319">
    <w:name w:val="正文缩进2格"/>
    <w:basedOn w:val="1"/>
    <w:link w:val="318"/>
    <w:qFormat/>
    <w:uiPriority w:val="0"/>
    <w:pPr>
      <w:spacing w:line="600" w:lineRule="exact"/>
      <w:ind w:firstLine="639" w:firstLineChars="206"/>
    </w:pPr>
    <w:rPr>
      <w:rFonts w:ascii="仿宋_GB2312" w:hAnsi="宋体" w:eastAsia="仿宋_GB2312"/>
      <w:sz w:val="31"/>
      <w:szCs w:val="28"/>
    </w:rPr>
  </w:style>
  <w:style w:type="character" w:customStyle="1" w:styleId="320">
    <w:name w:val="2级标题 Char"/>
    <w:link w:val="321"/>
    <w:qFormat/>
    <w:uiPriority w:val="0"/>
    <w:rPr>
      <w:rFonts w:ascii="黑体" w:hAnsi="黑体" w:eastAsia="黑体"/>
      <w:sz w:val="32"/>
      <w:szCs w:val="36"/>
      <w:lang w:eastAsia="en-US" w:bidi="en-US"/>
    </w:rPr>
  </w:style>
  <w:style w:type="paragraph" w:customStyle="1" w:styleId="321">
    <w:name w:val="2级标题"/>
    <w:basedOn w:val="1"/>
    <w:link w:val="320"/>
    <w:qFormat/>
    <w:uiPriority w:val="0"/>
    <w:pPr>
      <w:keepLines/>
      <w:spacing w:line="360" w:lineRule="auto"/>
      <w:contextualSpacing/>
      <w:jc w:val="left"/>
      <w:outlineLvl w:val="1"/>
    </w:pPr>
    <w:rPr>
      <w:rFonts w:ascii="黑体" w:hAnsi="黑体" w:eastAsia="黑体"/>
      <w:kern w:val="0"/>
      <w:sz w:val="32"/>
      <w:szCs w:val="36"/>
      <w:lang w:eastAsia="en-US" w:bidi="en-US"/>
    </w:rPr>
  </w:style>
  <w:style w:type="character" w:customStyle="1" w:styleId="322">
    <w:name w:val="fontstyle01"/>
    <w:qFormat/>
    <w:uiPriority w:val="0"/>
    <w:rPr>
      <w:rFonts w:hint="eastAsia" w:ascii="黑体" w:hAnsi="黑体" w:eastAsia="黑体"/>
      <w:color w:val="000000"/>
      <w:sz w:val="52"/>
      <w:szCs w:val="52"/>
    </w:rPr>
  </w:style>
  <w:style w:type="character" w:customStyle="1" w:styleId="323">
    <w:name w:val="标题 4 字符"/>
    <w:qFormat/>
    <w:uiPriority w:val="0"/>
    <w:rPr>
      <w:rFonts w:ascii="Cambria" w:hAnsi="Cambria"/>
      <w:b/>
      <w:bCs/>
      <w:kern w:val="2"/>
      <w:sz w:val="28"/>
      <w:szCs w:val="28"/>
    </w:rPr>
  </w:style>
  <w:style w:type="character" w:customStyle="1" w:styleId="324">
    <w:name w:val="正文文本缩进 字符"/>
    <w:qFormat/>
    <w:uiPriority w:val="0"/>
    <w:rPr>
      <w:kern w:val="2"/>
      <w:sz w:val="24"/>
      <w:szCs w:val="21"/>
    </w:rPr>
  </w:style>
  <w:style w:type="character" w:customStyle="1" w:styleId="325">
    <w:name w:val="日期 字符"/>
    <w:qFormat/>
    <w:uiPriority w:val="0"/>
    <w:rPr>
      <w:rFonts w:ascii="楷体_GB2312" w:eastAsia="楷体_GB2312"/>
      <w:kern w:val="2"/>
      <w:sz w:val="28"/>
      <w:szCs w:val="22"/>
    </w:rPr>
  </w:style>
  <w:style w:type="character" w:customStyle="1" w:styleId="326">
    <w:name w:val="正文首行缩进 2 字符"/>
    <w:qFormat/>
    <w:uiPriority w:val="99"/>
  </w:style>
  <w:style w:type="character" w:customStyle="1" w:styleId="327">
    <w:name w:val="正文文本缩进 3 字符"/>
    <w:qFormat/>
    <w:uiPriority w:val="0"/>
    <w:rPr>
      <w:kern w:val="2"/>
      <w:sz w:val="16"/>
      <w:szCs w:val="16"/>
    </w:rPr>
  </w:style>
  <w:style w:type="character" w:customStyle="1" w:styleId="328">
    <w:name w:val="正文文本 2 字符"/>
    <w:qFormat/>
    <w:uiPriority w:val="0"/>
    <w:rPr>
      <w:kern w:val="2"/>
      <w:sz w:val="21"/>
      <w:szCs w:val="22"/>
    </w:rPr>
  </w:style>
  <w:style w:type="character" w:customStyle="1" w:styleId="329">
    <w:name w:val="HTML 预设格式 字符"/>
    <w:qFormat/>
    <w:uiPriority w:val="99"/>
    <w:rPr>
      <w:rFonts w:ascii="黑体" w:hAnsi="Courier New" w:eastAsia="黑体" w:cs="Courier New"/>
      <w:kern w:val="2"/>
      <w:szCs w:val="21"/>
    </w:rPr>
  </w:style>
  <w:style w:type="character" w:customStyle="1" w:styleId="330">
    <w:name w:val="页眉 字符"/>
    <w:qFormat/>
    <w:uiPriority w:val="99"/>
    <w:rPr>
      <w:kern w:val="2"/>
      <w:sz w:val="18"/>
      <w:szCs w:val="18"/>
    </w:rPr>
  </w:style>
  <w:style w:type="character" w:customStyle="1" w:styleId="331">
    <w:name w:val="页脚 字符"/>
    <w:qFormat/>
    <w:uiPriority w:val="99"/>
    <w:rPr>
      <w:kern w:val="2"/>
      <w:sz w:val="18"/>
      <w:szCs w:val="18"/>
    </w:rPr>
  </w:style>
  <w:style w:type="character" w:customStyle="1" w:styleId="332">
    <w:name w:val="列出段落字符"/>
    <w:link w:val="333"/>
    <w:qFormat/>
    <w:locked/>
    <w:uiPriority w:val="34"/>
    <w:rPr>
      <w:rFonts w:ascii="Calibri" w:hAnsi="Calibri"/>
      <w:kern w:val="2"/>
      <w:sz w:val="21"/>
      <w:szCs w:val="24"/>
    </w:rPr>
  </w:style>
  <w:style w:type="paragraph" w:customStyle="1" w:styleId="333">
    <w:name w:val="列出段落11"/>
    <w:basedOn w:val="1"/>
    <w:link w:val="332"/>
    <w:qFormat/>
    <w:uiPriority w:val="34"/>
    <w:pPr>
      <w:ind w:firstLine="420" w:firstLineChars="200"/>
    </w:pPr>
    <w:rPr>
      <w:rFonts w:ascii="Calibri" w:hAnsi="Calibri"/>
    </w:rPr>
  </w:style>
  <w:style w:type="character" w:customStyle="1" w:styleId="334">
    <w:name w:val="Char Char"/>
    <w:qFormat/>
    <w:locked/>
    <w:uiPriority w:val="0"/>
    <w:rPr>
      <w:rFonts w:ascii="Calibri Light" w:hAnsi="Calibri Light" w:eastAsia="方正小标宋_GBK" w:cs="Calibri Light"/>
      <w:sz w:val="32"/>
      <w:szCs w:val="32"/>
    </w:rPr>
  </w:style>
  <w:style w:type="character" w:customStyle="1" w:styleId="335">
    <w:name w:val="图编号 Char"/>
    <w:link w:val="336"/>
    <w:qFormat/>
    <w:locked/>
    <w:uiPriority w:val="0"/>
    <w:rPr>
      <w:kern w:val="2"/>
      <w:sz w:val="24"/>
      <w:szCs w:val="24"/>
    </w:rPr>
  </w:style>
  <w:style w:type="paragraph" w:customStyle="1" w:styleId="336">
    <w:name w:val="图编号"/>
    <w:basedOn w:val="1"/>
    <w:link w:val="335"/>
    <w:qFormat/>
    <w:uiPriority w:val="0"/>
    <w:pPr>
      <w:spacing w:line="360" w:lineRule="auto"/>
      <w:jc w:val="center"/>
    </w:pPr>
    <w:rPr>
      <w:rFonts w:ascii="宋体" w:hAnsi="宋体"/>
      <w:sz w:val="24"/>
    </w:rPr>
  </w:style>
  <w:style w:type="character" w:customStyle="1" w:styleId="337">
    <w:name w:val="ll1"/>
    <w:qFormat/>
    <w:uiPriority w:val="0"/>
    <w:rPr>
      <w:spacing w:val="31680"/>
    </w:rPr>
  </w:style>
  <w:style w:type="character" w:customStyle="1" w:styleId="338">
    <w:name w:val="p141"/>
    <w:qFormat/>
    <w:uiPriority w:val="0"/>
    <w:rPr>
      <w:sz w:val="21"/>
      <w:szCs w:val="21"/>
    </w:rPr>
  </w:style>
  <w:style w:type="character" w:customStyle="1" w:styleId="339">
    <w:name w:val="批注文字 Char1_0"/>
    <w:link w:val="340"/>
    <w:qFormat/>
    <w:uiPriority w:val="0"/>
    <w:rPr>
      <w:lang w:val="en-GB"/>
    </w:rPr>
  </w:style>
  <w:style w:type="paragraph" w:customStyle="1" w:styleId="340">
    <w:name w:val="批注文字_0"/>
    <w:basedOn w:val="182"/>
    <w:link w:val="339"/>
    <w:unhideWhenUsed/>
    <w:qFormat/>
    <w:uiPriority w:val="0"/>
    <w:pPr>
      <w:widowControl/>
      <w:spacing w:line="440" w:lineRule="exact"/>
      <w:ind w:firstLine="200" w:firstLineChars="200"/>
      <w:jc w:val="left"/>
    </w:pPr>
    <w:rPr>
      <w:rFonts w:ascii="宋体" w:hAnsi="宋体"/>
      <w:kern w:val="0"/>
      <w:sz w:val="20"/>
      <w:szCs w:val="20"/>
      <w:lang w:val="en-GB"/>
    </w:rPr>
  </w:style>
  <w:style w:type="character" w:customStyle="1" w:styleId="341">
    <w:name w:val="列出段落 Char1"/>
    <w:link w:val="342"/>
    <w:qFormat/>
    <w:locked/>
    <w:uiPriority w:val="34"/>
    <w:rPr>
      <w:rFonts w:ascii="Calibri" w:hAnsi="Calibri"/>
      <w:kern w:val="2"/>
      <w:sz w:val="21"/>
    </w:rPr>
  </w:style>
  <w:style w:type="paragraph" w:customStyle="1" w:styleId="342">
    <w:name w:val="列出段落2"/>
    <w:basedOn w:val="1"/>
    <w:link w:val="341"/>
    <w:qFormat/>
    <w:uiPriority w:val="34"/>
    <w:pPr>
      <w:ind w:firstLine="420" w:firstLineChars="200"/>
    </w:pPr>
    <w:rPr>
      <w:rFonts w:ascii="Calibri" w:hAnsi="Calibri"/>
      <w:szCs w:val="20"/>
    </w:rPr>
  </w:style>
  <w:style w:type="character" w:customStyle="1" w:styleId="343">
    <w:name w:val="正文111 Char"/>
    <w:link w:val="344"/>
    <w:qFormat/>
    <w:uiPriority w:val="0"/>
    <w:rPr>
      <w:sz w:val="24"/>
      <w:szCs w:val="24"/>
      <w:lang w:val="zh-CN"/>
    </w:rPr>
  </w:style>
  <w:style w:type="paragraph" w:customStyle="1" w:styleId="344">
    <w:name w:val="正文111"/>
    <w:basedOn w:val="182"/>
    <w:link w:val="343"/>
    <w:qFormat/>
    <w:uiPriority w:val="0"/>
    <w:pPr>
      <w:spacing w:before="120" w:after="120" w:line="440" w:lineRule="exact"/>
      <w:ind w:firstLine="200" w:firstLineChars="200"/>
    </w:pPr>
    <w:rPr>
      <w:rFonts w:ascii="宋体" w:hAnsi="宋体"/>
      <w:kern w:val="0"/>
      <w:sz w:val="24"/>
      <w:szCs w:val="24"/>
      <w:lang w:val="zh-CN"/>
    </w:rPr>
  </w:style>
  <w:style w:type="character" w:customStyle="1" w:styleId="345">
    <w:name w:val="正文样式1 字符"/>
    <w:link w:val="346"/>
    <w:qFormat/>
    <w:uiPriority w:val="99"/>
    <w:rPr>
      <w:color w:val="000000"/>
      <w:sz w:val="24"/>
      <w:szCs w:val="24"/>
      <w:lang w:val="zh-CN"/>
    </w:rPr>
  </w:style>
  <w:style w:type="paragraph" w:customStyle="1" w:styleId="346">
    <w:name w:val="正文样式1"/>
    <w:basedOn w:val="182"/>
    <w:link w:val="345"/>
    <w:qFormat/>
    <w:uiPriority w:val="99"/>
    <w:pPr>
      <w:spacing w:line="440" w:lineRule="exact"/>
      <w:ind w:firstLine="480" w:firstLineChars="200"/>
    </w:pPr>
    <w:rPr>
      <w:rFonts w:ascii="宋体" w:hAnsi="宋体"/>
      <w:color w:val="000000"/>
      <w:kern w:val="0"/>
      <w:sz w:val="24"/>
      <w:szCs w:val="24"/>
      <w:lang w:val="zh-CN"/>
    </w:rPr>
  </w:style>
  <w:style w:type="character" w:customStyle="1" w:styleId="347">
    <w:name w:val="￥正文 Char Char"/>
    <w:link w:val="348"/>
    <w:qFormat/>
    <w:uiPriority w:val="0"/>
    <w:rPr>
      <w:sz w:val="24"/>
      <w:lang w:val="zh-CN"/>
    </w:rPr>
  </w:style>
  <w:style w:type="paragraph" w:customStyle="1" w:styleId="348">
    <w:name w:val="￥正文"/>
    <w:basedOn w:val="182"/>
    <w:link w:val="347"/>
    <w:qFormat/>
    <w:uiPriority w:val="0"/>
    <w:pPr>
      <w:spacing w:line="440" w:lineRule="exact"/>
      <w:ind w:firstLine="200" w:firstLineChars="200"/>
    </w:pPr>
    <w:rPr>
      <w:rFonts w:ascii="宋体" w:hAnsi="宋体"/>
      <w:kern w:val="0"/>
      <w:sz w:val="24"/>
      <w:szCs w:val="20"/>
      <w:lang w:val="zh-CN"/>
    </w:rPr>
  </w:style>
  <w:style w:type="character" w:customStyle="1" w:styleId="349">
    <w:name w:val="正文缩进 Char_0_1"/>
    <w:link w:val="350"/>
    <w:qFormat/>
    <w:uiPriority w:val="0"/>
    <w:rPr>
      <w:rFonts w:ascii="Calibri" w:hAnsi="Calibri"/>
      <w:sz w:val="24"/>
      <w:lang w:val="zh-CN"/>
    </w:rPr>
  </w:style>
  <w:style w:type="paragraph" w:customStyle="1" w:styleId="350">
    <w:name w:val="正文缩进_0_0"/>
    <w:basedOn w:val="351"/>
    <w:link w:val="349"/>
    <w:qFormat/>
    <w:uiPriority w:val="0"/>
    <w:pPr>
      <w:autoSpaceDE w:val="0"/>
      <w:autoSpaceDN w:val="0"/>
      <w:spacing w:line="360" w:lineRule="auto"/>
      <w:ind w:left="181" w:firstLine="420"/>
    </w:pPr>
    <w:rPr>
      <w:rFonts w:ascii="Calibri" w:hAnsi="Calibri"/>
      <w:kern w:val="0"/>
      <w:sz w:val="24"/>
      <w:szCs w:val="20"/>
      <w:lang w:val="zh-CN"/>
    </w:rPr>
  </w:style>
  <w:style w:type="paragraph" w:customStyle="1" w:styleId="351">
    <w:name w:val="正文_0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52">
    <w:name w:val="标题 3 Char_0"/>
    <w:link w:val="353"/>
    <w:qFormat/>
    <w:uiPriority w:val="9"/>
    <w:rPr>
      <w:rFonts w:ascii="Calibri" w:hAnsi="Calibri"/>
      <w:b/>
      <w:bCs/>
      <w:sz w:val="32"/>
      <w:szCs w:val="32"/>
      <w:lang w:val="zh-CN"/>
    </w:rPr>
  </w:style>
  <w:style w:type="paragraph" w:customStyle="1" w:styleId="353">
    <w:name w:val="标题 3_1"/>
    <w:basedOn w:val="158"/>
    <w:next w:val="158"/>
    <w:link w:val="352"/>
    <w:qFormat/>
    <w:uiPriority w:val="9"/>
    <w:pPr>
      <w:keepNext/>
      <w:keepLines/>
      <w:spacing w:before="260" w:after="260" w:line="416" w:lineRule="auto"/>
      <w:ind w:left="720" w:hanging="720"/>
      <w:outlineLvl w:val="2"/>
    </w:pPr>
    <w:rPr>
      <w:b/>
      <w:bCs/>
      <w:kern w:val="0"/>
      <w:sz w:val="32"/>
      <w:szCs w:val="32"/>
      <w:lang w:val="zh-CN"/>
    </w:rPr>
  </w:style>
  <w:style w:type="character" w:customStyle="1" w:styleId="354">
    <w:name w:val="标题 5 Char_0"/>
    <w:link w:val="355"/>
    <w:qFormat/>
    <w:uiPriority w:val="9"/>
    <w:rPr>
      <w:rFonts w:ascii="Calibri" w:hAnsi="Calibri"/>
      <w:b/>
      <w:bCs/>
      <w:sz w:val="28"/>
      <w:szCs w:val="28"/>
      <w:lang w:val="zh-CN"/>
    </w:rPr>
  </w:style>
  <w:style w:type="paragraph" w:customStyle="1" w:styleId="355">
    <w:name w:val="标题 5_1"/>
    <w:basedOn w:val="158"/>
    <w:next w:val="158"/>
    <w:link w:val="354"/>
    <w:qFormat/>
    <w:uiPriority w:val="9"/>
    <w:pPr>
      <w:keepNext/>
      <w:keepLines/>
      <w:spacing w:before="280" w:after="290" w:line="376" w:lineRule="auto"/>
      <w:ind w:left="1008" w:hanging="1008"/>
      <w:outlineLvl w:val="4"/>
    </w:pPr>
    <w:rPr>
      <w:b/>
      <w:bCs/>
      <w:kern w:val="0"/>
      <w:sz w:val="28"/>
      <w:szCs w:val="28"/>
      <w:lang w:val="zh-CN"/>
    </w:rPr>
  </w:style>
  <w:style w:type="character" w:customStyle="1" w:styleId="356">
    <w:name w:val="标题 8 Char_0"/>
    <w:link w:val="357"/>
    <w:qFormat/>
    <w:uiPriority w:val="9"/>
    <w:rPr>
      <w:rFonts w:ascii="Cambria" w:hAnsi="Cambria"/>
      <w:sz w:val="24"/>
      <w:szCs w:val="24"/>
      <w:lang w:val="zh-CN"/>
    </w:rPr>
  </w:style>
  <w:style w:type="paragraph" w:customStyle="1" w:styleId="357">
    <w:name w:val="标题 8_1"/>
    <w:basedOn w:val="158"/>
    <w:next w:val="158"/>
    <w:link w:val="356"/>
    <w:qFormat/>
    <w:uiPriority w:val="9"/>
    <w:pPr>
      <w:keepNext/>
      <w:keepLines/>
      <w:spacing w:before="240" w:after="64" w:line="320" w:lineRule="auto"/>
      <w:ind w:left="1440" w:hanging="1440"/>
      <w:outlineLvl w:val="7"/>
    </w:pPr>
    <w:rPr>
      <w:rFonts w:ascii="Cambria" w:hAnsi="Cambria"/>
      <w:kern w:val="0"/>
      <w:sz w:val="24"/>
      <w:szCs w:val="24"/>
      <w:lang w:val="zh-CN"/>
    </w:rPr>
  </w:style>
  <w:style w:type="character" w:customStyle="1" w:styleId="358">
    <w:name w:val="纯文本 Char_2_0"/>
    <w:link w:val="359"/>
    <w:qFormat/>
    <w:uiPriority w:val="0"/>
    <w:rPr>
      <w:rFonts w:hAnsi="Courier New"/>
      <w:sz w:val="21"/>
      <w:szCs w:val="21"/>
      <w:lang w:val="zh-CN"/>
    </w:rPr>
  </w:style>
  <w:style w:type="paragraph" w:customStyle="1" w:styleId="359">
    <w:name w:val="纯文本_2_0"/>
    <w:basedOn w:val="1"/>
    <w:link w:val="358"/>
    <w:qFormat/>
    <w:uiPriority w:val="0"/>
    <w:pPr>
      <w:widowControl/>
      <w:jc w:val="left"/>
    </w:pPr>
    <w:rPr>
      <w:rFonts w:ascii="宋体" w:hAnsi="Courier New"/>
      <w:kern w:val="0"/>
      <w:szCs w:val="21"/>
      <w:lang w:val="zh-CN"/>
    </w:rPr>
  </w:style>
  <w:style w:type="character" w:customStyle="1" w:styleId="360">
    <w:name w:val="段 Char"/>
    <w:link w:val="361"/>
    <w:qFormat/>
    <w:uiPriority w:val="0"/>
    <w:rPr>
      <w:sz w:val="21"/>
    </w:rPr>
  </w:style>
  <w:style w:type="paragraph" w:customStyle="1" w:styleId="361">
    <w:name w:val="段"/>
    <w:link w:val="360"/>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character" w:customStyle="1" w:styleId="362">
    <w:name w:val="方案正文 Char"/>
    <w:link w:val="363"/>
    <w:qFormat/>
    <w:uiPriority w:val="0"/>
    <w:rPr>
      <w:rFonts w:cs="宋体"/>
      <w:kern w:val="2"/>
      <w:sz w:val="21"/>
    </w:rPr>
  </w:style>
  <w:style w:type="paragraph" w:customStyle="1" w:styleId="363">
    <w:name w:val="方案正文"/>
    <w:basedOn w:val="1"/>
    <w:link w:val="362"/>
    <w:qFormat/>
    <w:uiPriority w:val="0"/>
    <w:pPr>
      <w:spacing w:line="360" w:lineRule="auto"/>
      <w:ind w:firstLine="420"/>
    </w:pPr>
    <w:rPr>
      <w:rFonts w:ascii="宋体" w:hAnsi="宋体" w:cs="宋体"/>
      <w:szCs w:val="20"/>
    </w:rPr>
  </w:style>
  <w:style w:type="character" w:customStyle="1" w:styleId="364">
    <w:name w:val="明显引用 Char1"/>
    <w:qFormat/>
    <w:uiPriority w:val="30"/>
    <w:rPr>
      <w:rFonts w:ascii="Arial" w:hAnsi="Arial"/>
      <w:i/>
      <w:iCs/>
      <w:color w:val="5B9BD5"/>
      <w:kern w:val="2"/>
      <w:sz w:val="21"/>
      <w:szCs w:val="24"/>
    </w:rPr>
  </w:style>
  <w:style w:type="character" w:customStyle="1" w:styleId="365">
    <w:name w:val="引用 Char1"/>
    <w:qFormat/>
    <w:uiPriority w:val="29"/>
    <w:rPr>
      <w:rFonts w:ascii="Arial" w:hAnsi="Arial"/>
      <w:i/>
      <w:iCs/>
      <w:color w:val="404040"/>
      <w:kern w:val="2"/>
      <w:sz w:val="21"/>
      <w:szCs w:val="24"/>
    </w:rPr>
  </w:style>
  <w:style w:type="character" w:customStyle="1" w:styleId="366">
    <w:name w:val="正文文本 3 Char2"/>
    <w:qFormat/>
    <w:uiPriority w:val="0"/>
    <w:rPr>
      <w:rFonts w:ascii="Calibri" w:hAnsi="Calibri"/>
      <w:kern w:val="2"/>
      <w:sz w:val="16"/>
      <w:szCs w:val="16"/>
    </w:rPr>
  </w:style>
  <w:style w:type="character" w:customStyle="1" w:styleId="367">
    <w:name w:val="标题 3 Char1"/>
    <w:qFormat/>
    <w:uiPriority w:val="0"/>
    <w:rPr>
      <w:b/>
      <w:kern w:val="2"/>
      <w:sz w:val="32"/>
      <w:szCs w:val="32"/>
    </w:rPr>
  </w:style>
  <w:style w:type="character" w:customStyle="1" w:styleId="368">
    <w:name w:val="页脚 字符1"/>
    <w:qFormat/>
    <w:locked/>
    <w:uiPriority w:val="0"/>
    <w:rPr>
      <w:rFonts w:eastAsia="宋体"/>
      <w:kern w:val="2"/>
      <w:sz w:val="18"/>
      <w:szCs w:val="18"/>
      <w:lang w:val="en-US" w:eastAsia="zh-CN" w:bidi="ar-SA"/>
    </w:rPr>
  </w:style>
  <w:style w:type="character" w:customStyle="1" w:styleId="369">
    <w:name w:val="标题 4 Char1"/>
    <w:qFormat/>
    <w:uiPriority w:val="0"/>
    <w:rPr>
      <w:rFonts w:ascii="Cambria" w:hAnsi="Cambria"/>
      <w:b/>
      <w:kern w:val="2"/>
      <w:sz w:val="28"/>
      <w:szCs w:val="28"/>
    </w:rPr>
  </w:style>
  <w:style w:type="character" w:customStyle="1" w:styleId="370">
    <w:name w:val="文档正文 Char Char"/>
    <w:qFormat/>
    <w:uiPriority w:val="0"/>
    <w:rPr>
      <w:rFonts w:ascii="Arial" w:hAnsi="Arial"/>
      <w:bCs/>
      <w:kern w:val="2"/>
      <w:sz w:val="21"/>
      <w:szCs w:val="24"/>
    </w:rPr>
  </w:style>
  <w:style w:type="character" w:customStyle="1" w:styleId="371">
    <w:name w:val="标题 2 字符1"/>
    <w:qFormat/>
    <w:uiPriority w:val="9"/>
    <w:rPr>
      <w:rFonts w:ascii="Arial" w:hAnsi="Arial" w:eastAsia="黑体"/>
      <w:kern w:val="2"/>
      <w:sz w:val="32"/>
      <w:szCs w:val="32"/>
      <w:lang w:val="en-US" w:eastAsia="zh-CN" w:bidi="ar-SA"/>
    </w:rPr>
  </w:style>
  <w:style w:type="character" w:customStyle="1" w:styleId="372">
    <w:name w:val="标题 3 字符1"/>
    <w:qFormat/>
    <w:uiPriority w:val="0"/>
    <w:rPr>
      <w:b/>
      <w:kern w:val="2"/>
      <w:sz w:val="32"/>
      <w:szCs w:val="32"/>
    </w:rPr>
  </w:style>
  <w:style w:type="character" w:customStyle="1" w:styleId="373">
    <w:name w:val="font10pt"/>
    <w:qFormat/>
    <w:uiPriority w:val="0"/>
  </w:style>
  <w:style w:type="character" w:customStyle="1" w:styleId="374">
    <w:name w:val="签名 Char1"/>
    <w:semiHidden/>
    <w:qFormat/>
    <w:uiPriority w:val="0"/>
    <w:rPr>
      <w:rFonts w:ascii="Arial" w:hAnsi="Arial"/>
      <w:kern w:val="2"/>
      <w:sz w:val="21"/>
      <w:szCs w:val="24"/>
    </w:rPr>
  </w:style>
  <w:style w:type="paragraph" w:customStyle="1" w:styleId="375">
    <w:name w:val="xl146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3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377">
    <w:name w:val="xl56"/>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cs="宋体"/>
      <w:b/>
      <w:bCs/>
      <w:kern w:val="0"/>
      <w:sz w:val="24"/>
    </w:rPr>
  </w:style>
  <w:style w:type="paragraph" w:customStyle="1" w:styleId="378">
    <w:name w:val="xl154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379">
    <w:name w:val="标题 2_0"/>
    <w:basedOn w:val="182"/>
    <w:next w:val="182"/>
    <w:qFormat/>
    <w:uiPriority w:val="0"/>
    <w:pPr>
      <w:keepNext/>
      <w:keepLines/>
      <w:widowControl/>
      <w:spacing w:beforeLines="200" w:afterLines="200" w:line="240" w:lineRule="auto"/>
      <w:ind w:left="567"/>
      <w:jc w:val="left"/>
      <w:outlineLvl w:val="1"/>
    </w:pPr>
    <w:rPr>
      <w:rFonts w:ascii="@YuMincho +36p Kana Medium __L" w:hAnsi="@YuMincho +36p Kana Medium __L" w:eastAsia="方正小标宋_GBK" w:cs="@YuMincho +36p Kana Medium __L"/>
      <w:sz w:val="30"/>
      <w:szCs w:val="30"/>
    </w:rPr>
  </w:style>
  <w:style w:type="paragraph" w:customStyle="1" w:styleId="380">
    <w:name w:val="xl73"/>
    <w:basedOn w:val="1"/>
    <w:qFormat/>
    <w:uiPriority w:val="0"/>
    <w:pPr>
      <w:widowControl/>
      <w:spacing w:before="100" w:beforeAutospacing="1" w:afterAutospacing="1"/>
      <w:jc w:val="left"/>
    </w:pPr>
    <w:rPr>
      <w:rFonts w:ascii="宋体" w:hAnsi="宋体" w:cs="宋体"/>
      <w:kern w:val="0"/>
      <w:sz w:val="24"/>
    </w:rPr>
  </w:style>
  <w:style w:type="paragraph" w:customStyle="1" w:styleId="381">
    <w:name w:val="_Style 1"/>
    <w:basedOn w:val="1"/>
    <w:qFormat/>
    <w:uiPriority w:val="99"/>
    <w:pPr>
      <w:ind w:firstLine="420" w:firstLineChars="200"/>
    </w:pPr>
    <w:rPr>
      <w:rFonts w:ascii="Calibri" w:hAnsi="Calibri"/>
    </w:rPr>
  </w:style>
  <w:style w:type="paragraph" w:customStyle="1" w:styleId="382">
    <w:name w:val="xl61"/>
    <w:basedOn w:val="1"/>
    <w:qFormat/>
    <w:uiPriority w:val="0"/>
    <w:pPr>
      <w:widowControl/>
      <w:pBdr>
        <w:top w:val="single" w:color="auto" w:sz="4" w:space="0"/>
      </w:pBdr>
      <w:spacing w:before="100" w:beforeAutospacing="1" w:afterAutospacing="1"/>
      <w:jc w:val="left"/>
    </w:pPr>
    <w:rPr>
      <w:rFonts w:ascii="宋体" w:hAnsi="宋体" w:cs="宋体"/>
      <w:b/>
      <w:bCs/>
      <w:kern w:val="0"/>
      <w:sz w:val="24"/>
    </w:rPr>
  </w:style>
  <w:style w:type="paragraph" w:customStyle="1" w:styleId="383">
    <w:name w:val="font10"/>
    <w:basedOn w:val="1"/>
    <w:qFormat/>
    <w:uiPriority w:val="0"/>
    <w:pPr>
      <w:widowControl/>
      <w:spacing w:before="100" w:beforeAutospacing="1" w:afterAutospacing="1"/>
      <w:jc w:val="left"/>
    </w:pPr>
    <w:rPr>
      <w:rFonts w:ascii="宋体" w:hAnsi="宋体" w:cs="宋体"/>
      <w:kern w:val="0"/>
      <w:sz w:val="22"/>
      <w:szCs w:val="22"/>
    </w:rPr>
  </w:style>
  <w:style w:type="paragraph" w:customStyle="1" w:styleId="384">
    <w:name w:val="xl161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385">
    <w:name w:val="Char Char Char Char Char Char Char Char Char Char1"/>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386">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87">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88">
    <w:name w:val="xl115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38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center"/>
      <w:textAlignment w:val="center"/>
    </w:pPr>
    <w:rPr>
      <w:rFonts w:ascii="宋体" w:hAnsi="宋体" w:cs="宋体"/>
      <w:kern w:val="0"/>
      <w:sz w:val="18"/>
      <w:szCs w:val="18"/>
    </w:rPr>
  </w:style>
  <w:style w:type="paragraph" w:customStyle="1" w:styleId="39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24"/>
    </w:rPr>
  </w:style>
  <w:style w:type="paragraph" w:customStyle="1" w:styleId="391">
    <w:name w:val="xl129"/>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9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18"/>
      <w:szCs w:val="18"/>
    </w:rPr>
  </w:style>
  <w:style w:type="paragraph" w:customStyle="1" w:styleId="39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394">
    <w:name w:val="Char1 Char"/>
    <w:basedOn w:val="1"/>
    <w:qFormat/>
    <w:uiPriority w:val="0"/>
    <w:pPr>
      <w:ind w:left="425" w:hanging="425"/>
    </w:pPr>
    <w:rPr>
      <w:rFonts w:ascii="Calibri" w:hAnsi="Calibri"/>
      <w:sz w:val="24"/>
    </w:rPr>
  </w:style>
  <w:style w:type="paragraph" w:customStyle="1" w:styleId="395">
    <w:name w:val="Table Paragraph"/>
    <w:basedOn w:val="1"/>
    <w:qFormat/>
    <w:uiPriority w:val="0"/>
  </w:style>
  <w:style w:type="paragraph" w:customStyle="1" w:styleId="396">
    <w:name w:val="Item List"/>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paragraph" w:customStyle="1" w:styleId="397">
    <w:name w:val="表格文字"/>
    <w:basedOn w:val="1"/>
    <w:qFormat/>
    <w:uiPriority w:val="0"/>
    <w:pPr>
      <w:spacing w:beforeLines="25" w:afterLines="25"/>
    </w:pPr>
    <w:rPr>
      <w:spacing w:val="10"/>
      <w:sz w:val="24"/>
    </w:rPr>
  </w:style>
  <w:style w:type="paragraph" w:customStyle="1" w:styleId="398">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399">
    <w:name w:val="标书标题 3 Char"/>
    <w:qFormat/>
    <w:uiPriority w:val="0"/>
    <w:pPr>
      <w:widowControl w:val="0"/>
      <w:tabs>
        <w:tab w:val="left" w:pos="720"/>
      </w:tabs>
      <w:spacing w:line="360" w:lineRule="auto"/>
      <w:ind w:left="720" w:hanging="720"/>
      <w:jc w:val="both"/>
      <w:outlineLvl w:val="2"/>
    </w:pPr>
    <w:rPr>
      <w:rFonts w:ascii="Arial" w:hAnsi="Arial" w:eastAsia="宋体" w:cs="Times New Roman"/>
      <w:bCs/>
      <w:kern w:val="2"/>
      <w:sz w:val="24"/>
      <w:szCs w:val="32"/>
      <w:lang w:val="en-US" w:eastAsia="zh-CN" w:bidi="ar-SA"/>
    </w:rPr>
  </w:style>
  <w:style w:type="paragraph" w:customStyle="1" w:styleId="400">
    <w:name w:val="Char2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40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left"/>
      <w:textAlignment w:val="center"/>
    </w:pPr>
    <w:rPr>
      <w:rFonts w:ascii="宋体" w:hAnsi="宋体" w:cs="宋体"/>
      <w:kern w:val="0"/>
      <w:sz w:val="20"/>
      <w:szCs w:val="20"/>
    </w:rPr>
  </w:style>
  <w:style w:type="paragraph" w:customStyle="1" w:styleId="402">
    <w:name w:val="f12"/>
    <w:basedOn w:val="1"/>
    <w:qFormat/>
    <w:uiPriority w:val="0"/>
    <w:pPr>
      <w:spacing w:before="100" w:beforeAutospacing="1" w:after="100" w:afterAutospacing="1"/>
    </w:pPr>
    <w:rPr>
      <w:rFonts w:ascii="_GB2312" w:hAnsi="_GB2312"/>
      <w:color w:val="000000"/>
      <w:szCs w:val="21"/>
    </w:rPr>
  </w:style>
  <w:style w:type="paragraph" w:customStyle="1" w:styleId="403">
    <w:name w:val="Char Char Char Char Char Char Char Char Char Char Char Char Char Char Char Char"/>
    <w:basedOn w:val="15"/>
    <w:qFormat/>
    <w:uiPriority w:val="0"/>
    <w:pPr>
      <w:shd w:val="clear" w:color="auto" w:fill="000080"/>
      <w:spacing w:afterLines="0" w:line="360" w:lineRule="auto"/>
      <w:ind w:firstLine="200" w:firstLineChars="200"/>
    </w:pPr>
    <w:rPr>
      <w:rFonts w:ascii="Times New Roman" w:hAnsi="Times New Roman"/>
      <w:sz w:val="28"/>
      <w:szCs w:val="20"/>
    </w:rPr>
  </w:style>
  <w:style w:type="paragraph" w:customStyle="1" w:styleId="4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05">
    <w:name w:val="xl15029734"/>
    <w:basedOn w:val="1"/>
    <w:qFormat/>
    <w:uiPriority w:val="0"/>
    <w:pPr>
      <w:widowControl/>
      <w:pBdr>
        <w:left w:val="single" w:color="auto" w:sz="4" w:space="0"/>
        <w:bottom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0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left"/>
      <w:textAlignment w:val="center"/>
    </w:pPr>
    <w:rPr>
      <w:rFonts w:ascii="宋体" w:hAnsi="宋体" w:cs="宋体"/>
      <w:kern w:val="0"/>
      <w:sz w:val="20"/>
      <w:szCs w:val="20"/>
    </w:rPr>
  </w:style>
  <w:style w:type="paragraph" w:customStyle="1" w:styleId="407">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kern w:val="0"/>
      <w:sz w:val="18"/>
      <w:szCs w:val="18"/>
    </w:rPr>
  </w:style>
  <w:style w:type="paragraph" w:customStyle="1" w:styleId="408">
    <w:name w:val="p0"/>
    <w:basedOn w:val="1"/>
    <w:qFormat/>
    <w:uiPriority w:val="0"/>
    <w:pPr>
      <w:widowControl/>
      <w:spacing w:before="100" w:beforeAutospacing="1" w:afterAutospacing="1"/>
      <w:jc w:val="left"/>
    </w:pPr>
    <w:rPr>
      <w:rFonts w:ascii="宋体" w:hAnsi="宋体" w:cs="宋体"/>
      <w:kern w:val="0"/>
      <w:sz w:val="24"/>
    </w:rPr>
  </w:style>
  <w:style w:type="paragraph" w:customStyle="1" w:styleId="409">
    <w:name w:val="a2"/>
    <w:basedOn w:val="1"/>
    <w:qFormat/>
    <w:uiPriority w:val="0"/>
    <w:pPr>
      <w:widowControl/>
      <w:spacing w:before="100" w:beforeAutospacing="1" w:afterAutospacing="1"/>
      <w:jc w:val="left"/>
    </w:pPr>
    <w:rPr>
      <w:rFonts w:ascii="宋体" w:hAnsi="宋体" w:cs="宋体"/>
      <w:kern w:val="0"/>
      <w:sz w:val="24"/>
    </w:rPr>
  </w:style>
  <w:style w:type="paragraph" w:customStyle="1" w:styleId="410">
    <w:name w:val="正文_2"/>
    <w:qFormat/>
    <w:uiPriority w:val="0"/>
    <w:rPr>
      <w:rFonts w:ascii="Times New Roman" w:hAnsi="Times New Roman" w:eastAsia="宋体" w:cs="Times New Roman"/>
      <w:sz w:val="21"/>
      <w:lang w:val="en-US" w:eastAsia="zh-CN" w:bidi="ar-SA"/>
    </w:rPr>
  </w:style>
  <w:style w:type="paragraph" w:customStyle="1" w:styleId="411">
    <w:name w:val="样式8"/>
    <w:basedOn w:val="1"/>
    <w:qFormat/>
    <w:uiPriority w:val="0"/>
    <w:pPr>
      <w:spacing w:line="470" w:lineRule="exact"/>
      <w:ind w:firstLine="480" w:firstLineChars="200"/>
    </w:pPr>
    <w:rPr>
      <w:rFonts w:ascii="宋体" w:hAnsi="宋体"/>
      <w:bCs/>
      <w:sz w:val="24"/>
    </w:rPr>
  </w:style>
  <w:style w:type="paragraph" w:customStyle="1" w:styleId="412">
    <w:name w:val="Char Char1 Char Char Char Char Char Char Char Char Char Char"/>
    <w:basedOn w:val="1"/>
    <w:qFormat/>
    <w:uiPriority w:val="0"/>
    <w:rPr>
      <w:rFonts w:ascii="Tahoma" w:hAnsi="Tahoma"/>
      <w:sz w:val="24"/>
      <w:szCs w:val="22"/>
    </w:rPr>
  </w:style>
  <w:style w:type="paragraph" w:customStyle="1" w:styleId="413">
    <w:name w:val="大标题"/>
    <w:basedOn w:val="3"/>
    <w:qFormat/>
    <w:uiPriority w:val="0"/>
    <w:pPr>
      <w:keepNext/>
      <w:widowControl w:val="0"/>
      <w:spacing w:before="0" w:after="0" w:line="360" w:lineRule="auto"/>
      <w:jc w:val="center"/>
    </w:pPr>
    <w:rPr>
      <w:rFonts w:ascii="宋体" w:hAnsi="Arial" w:cs="Arial"/>
      <w:bCs/>
      <w:sz w:val="52"/>
      <w:szCs w:val="72"/>
    </w:rPr>
  </w:style>
  <w:style w:type="paragraph" w:customStyle="1" w:styleId="414">
    <w:name w:val="正文缩近"/>
    <w:basedOn w:val="1"/>
    <w:qFormat/>
    <w:uiPriority w:val="0"/>
    <w:pPr>
      <w:spacing w:line="360" w:lineRule="auto"/>
      <w:ind w:firstLine="200" w:firstLineChars="200"/>
    </w:pPr>
    <w:rPr>
      <w:rFonts w:ascii="Calibri" w:hAnsi="Calibri"/>
      <w:sz w:val="24"/>
    </w:rPr>
  </w:style>
  <w:style w:type="paragraph" w:customStyle="1" w:styleId="415">
    <w:name w:val="xl57"/>
    <w:basedOn w:val="1"/>
    <w:qFormat/>
    <w:uiPriority w:val="0"/>
    <w:pPr>
      <w:widowControl/>
      <w:pBdr>
        <w:top w:val="single" w:color="auto" w:sz="4" w:space="0"/>
        <w:bottom w:val="single" w:color="auto" w:sz="4" w:space="0"/>
      </w:pBdr>
      <w:spacing w:before="100" w:beforeAutospacing="1" w:afterAutospacing="1"/>
      <w:jc w:val="left"/>
    </w:pPr>
    <w:rPr>
      <w:rFonts w:ascii="宋体" w:hAnsi="宋体" w:cs="宋体"/>
      <w:b/>
      <w:bCs/>
      <w:kern w:val="0"/>
      <w:sz w:val="24"/>
    </w:rPr>
  </w:style>
  <w:style w:type="paragraph" w:customStyle="1" w:styleId="41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样式 仿宋_GB2312 四号 首行缩进:  0.74 厘米"/>
    <w:basedOn w:val="1"/>
    <w:qFormat/>
    <w:uiPriority w:val="0"/>
    <w:pPr>
      <w:ind w:firstLine="420"/>
    </w:pPr>
    <w:rPr>
      <w:rFonts w:ascii="仿宋_GB2312" w:eastAsia="仿宋_GB2312" w:cs="宋体"/>
      <w:sz w:val="28"/>
      <w:szCs w:val="20"/>
    </w:rPr>
  </w:style>
  <w:style w:type="paragraph" w:customStyle="1" w:styleId="418">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419">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20">
    <w:name w:val="正文_2_0"/>
    <w:qFormat/>
    <w:uiPriority w:val="0"/>
    <w:rPr>
      <w:rFonts w:ascii="Times New Roman" w:hAnsi="Times New Roman" w:eastAsia="宋体" w:cs="Times New Roman"/>
      <w:sz w:val="24"/>
      <w:szCs w:val="24"/>
      <w:lang w:val="en-US" w:eastAsia="zh-CN" w:bidi="ar-SA"/>
    </w:rPr>
  </w:style>
  <w:style w:type="paragraph" w:customStyle="1" w:styleId="421">
    <w:name w:val="1级正文设置"/>
    <w:basedOn w:val="1"/>
    <w:qFormat/>
    <w:uiPriority w:val="99"/>
    <w:pPr>
      <w:spacing w:line="360" w:lineRule="auto"/>
      <w:ind w:firstLine="482"/>
    </w:pPr>
    <w:rPr>
      <w:sz w:val="24"/>
      <w:szCs w:val="22"/>
    </w:rPr>
  </w:style>
  <w:style w:type="paragraph" w:customStyle="1" w:styleId="422">
    <w:name w:val="Char5 Char Char Char Char Char Char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23">
    <w:name w:val="Char Char11"/>
    <w:basedOn w:val="1"/>
    <w:qFormat/>
    <w:uiPriority w:val="0"/>
    <w:rPr>
      <w:rFonts w:ascii="Tahoma" w:hAnsi="Tahoma"/>
      <w:b/>
      <w:kern w:val="0"/>
      <w:sz w:val="28"/>
      <w:szCs w:val="20"/>
    </w:rPr>
  </w:style>
  <w:style w:type="paragraph" w:customStyle="1" w:styleId="424">
    <w:name w:val="xl14929734"/>
    <w:basedOn w:val="1"/>
    <w:qFormat/>
    <w:uiPriority w:val="0"/>
    <w:pPr>
      <w:widowControl/>
      <w:pBdr>
        <w:lef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2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26">
    <w:name w:val="xl14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27">
    <w:name w:val="a"/>
    <w:basedOn w:val="1"/>
    <w:qFormat/>
    <w:uiPriority w:val="0"/>
    <w:pPr>
      <w:widowControl/>
      <w:spacing w:before="100" w:beforeAutospacing="1" w:afterAutospacing="1"/>
      <w:jc w:val="left"/>
    </w:pPr>
    <w:rPr>
      <w:rFonts w:ascii="宋体" w:hAnsi="宋体" w:cs="宋体"/>
      <w:kern w:val="0"/>
      <w:sz w:val="24"/>
    </w:rPr>
  </w:style>
  <w:style w:type="paragraph" w:customStyle="1" w:styleId="42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29">
    <w:name w:val="Normal_19"/>
    <w:qFormat/>
    <w:uiPriority w:val="0"/>
    <w:rPr>
      <w:rFonts w:ascii="Times New Roman" w:hAnsi="Times New Roman" w:eastAsia="宋体" w:cs="Times New Roman"/>
      <w:sz w:val="21"/>
      <w:lang w:val="en-US" w:eastAsia="zh-CN" w:bidi="ar-SA"/>
    </w:rPr>
  </w:style>
  <w:style w:type="paragraph" w:customStyle="1" w:styleId="430">
    <w:name w:val="indent1"/>
    <w:basedOn w:val="1"/>
    <w:qFormat/>
    <w:uiPriority w:val="0"/>
    <w:pPr>
      <w:widowControl/>
      <w:spacing w:line="200" w:lineRule="atLeast"/>
      <w:ind w:firstLine="301"/>
      <w:jc w:val="left"/>
    </w:pPr>
    <w:rPr>
      <w:rFonts w:ascii="宋体" w:hAnsi="宋体" w:cs="宋体"/>
      <w:color w:val="5E5E5E"/>
      <w:kern w:val="0"/>
      <w:sz w:val="15"/>
      <w:szCs w:val="15"/>
    </w:rPr>
  </w:style>
  <w:style w:type="paragraph" w:customStyle="1" w:styleId="431">
    <w:name w:val="标题 3_0"/>
    <w:basedOn w:val="182"/>
    <w:next w:val="182"/>
    <w:qFormat/>
    <w:uiPriority w:val="0"/>
    <w:pPr>
      <w:keepNext/>
      <w:keepLines/>
      <w:widowControl/>
      <w:spacing w:beforeLines="100" w:afterLines="100" w:line="240" w:lineRule="auto"/>
      <w:ind w:left="425"/>
      <w:outlineLvl w:val="2"/>
    </w:pPr>
    <w:rPr>
      <w:rFonts w:eastAsia="方正小标宋_GBK"/>
      <w:sz w:val="30"/>
      <w:szCs w:val="30"/>
    </w:rPr>
  </w:style>
  <w:style w:type="paragraph" w:customStyle="1" w:styleId="432">
    <w:name w:val="样式 文档-正文(new) + 行距: 1.5 倍行距"/>
    <w:basedOn w:val="182"/>
    <w:qFormat/>
    <w:uiPriority w:val="99"/>
    <w:pPr>
      <w:spacing w:line="440" w:lineRule="exact"/>
      <w:ind w:firstLine="480" w:firstLineChars="200"/>
    </w:pPr>
    <w:rPr>
      <w:rFonts w:ascii="等线" w:hAnsi="等线" w:eastAsia="等线" w:cs="宋体"/>
      <w:sz w:val="24"/>
      <w:szCs w:val="20"/>
    </w:rPr>
  </w:style>
  <w:style w:type="paragraph" w:customStyle="1" w:styleId="433">
    <w:name w:val="_Style 4721"/>
    <w:basedOn w:val="1"/>
    <w:next w:val="91"/>
    <w:qFormat/>
    <w:uiPriority w:val="34"/>
    <w:pPr>
      <w:ind w:firstLine="420" w:firstLineChars="200"/>
    </w:pPr>
    <w:rPr>
      <w:rFonts w:ascii="Calibri" w:hAnsi="Calibri"/>
      <w:szCs w:val="22"/>
    </w:rPr>
  </w:style>
  <w:style w:type="paragraph" w:customStyle="1" w:styleId="434">
    <w:name w:val="正文1"/>
    <w:basedOn w:val="1"/>
    <w:qFormat/>
    <w:uiPriority w:val="0"/>
    <w:pPr>
      <w:widowControl/>
      <w:spacing w:line="300" w:lineRule="atLeast"/>
      <w:jc w:val="left"/>
    </w:pPr>
    <w:rPr>
      <w:rFonts w:ascii="Calibri" w:hAnsi="Calibri" w:cs="宋体"/>
      <w:kern w:val="0"/>
      <w:sz w:val="22"/>
      <w:szCs w:val="22"/>
    </w:rPr>
  </w:style>
  <w:style w:type="paragraph" w:customStyle="1" w:styleId="435">
    <w:name w:val="_Style 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36">
    <w:name w:val="无间隔1"/>
    <w:qFormat/>
    <w:uiPriority w:val="0"/>
    <w:pPr>
      <w:widowControl w:val="0"/>
      <w:jc w:val="both"/>
    </w:pPr>
    <w:rPr>
      <w:rFonts w:ascii="Calibri" w:hAnsi="Calibri" w:eastAsia="宋体" w:cs="Times New Roman"/>
      <w:kern w:val="2"/>
      <w:sz w:val="22"/>
      <w:szCs w:val="22"/>
      <w:lang w:val="en-US" w:eastAsia="zh-CN" w:bidi="ar-SA"/>
    </w:rPr>
  </w:style>
  <w:style w:type="paragraph" w:customStyle="1" w:styleId="43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438">
    <w:name w:val="五"/>
    <w:basedOn w:val="6"/>
    <w:qFormat/>
    <w:uiPriority w:val="0"/>
    <w:pPr>
      <w:keepNext/>
      <w:keepLines/>
      <w:wordWrap/>
      <w:spacing w:before="280" w:after="290" w:line="360" w:lineRule="auto"/>
      <w:ind w:left="992" w:hanging="992"/>
      <w:outlineLvl w:val="4"/>
    </w:pPr>
    <w:rPr>
      <w:rFonts w:ascii="Cambria" w:hAnsi="Cambria" w:cs="Times New Roman"/>
      <w:bCs/>
      <w:sz w:val="28"/>
      <w:szCs w:val="28"/>
    </w:rPr>
  </w:style>
  <w:style w:type="paragraph" w:customStyle="1" w:styleId="439">
    <w:name w:val="Char5 Char Char Char Char Char Char3"/>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24"/>
    </w:rPr>
  </w:style>
  <w:style w:type="paragraph" w:customStyle="1" w:styleId="44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42">
    <w:name w:val="彩色列表 - 着色 11"/>
    <w:basedOn w:val="1"/>
    <w:qFormat/>
    <w:uiPriority w:val="0"/>
    <w:pPr>
      <w:ind w:firstLine="420" w:firstLineChars="200"/>
    </w:pPr>
    <w:rPr>
      <w:rFonts w:ascii="Calibri" w:hAnsi="Calibri"/>
      <w:szCs w:val="22"/>
    </w:rPr>
  </w:style>
  <w:style w:type="paragraph" w:customStyle="1" w:styleId="443">
    <w:name w:val="xl147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44">
    <w:name w:val="xl137297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4"/>
    </w:rPr>
  </w:style>
  <w:style w:type="paragraph" w:customStyle="1" w:styleId="445">
    <w:name w:val="xl13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446">
    <w:name w:val="xl10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48">
    <w:name w:val="font9"/>
    <w:basedOn w:val="1"/>
    <w:qFormat/>
    <w:uiPriority w:val="0"/>
    <w:pPr>
      <w:widowControl/>
      <w:spacing w:before="100" w:beforeAutospacing="1" w:afterAutospacing="1"/>
      <w:jc w:val="left"/>
    </w:pPr>
    <w:rPr>
      <w:rFonts w:ascii="宋体" w:hAnsi="宋体" w:cs="宋体"/>
      <w:b/>
      <w:bCs/>
      <w:kern w:val="0"/>
      <w:sz w:val="18"/>
      <w:szCs w:val="18"/>
    </w:rPr>
  </w:style>
  <w:style w:type="paragraph" w:customStyle="1" w:styleId="449">
    <w:name w:val="xl149"/>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50">
    <w:name w:val="xl102"/>
    <w:basedOn w:val="1"/>
    <w:qFormat/>
    <w:uiPriority w:val="0"/>
    <w:pPr>
      <w:widowControl/>
      <w:pBdr>
        <w:top w:val="single" w:color="auto" w:sz="4" w:space="0"/>
        <w:bottom w:val="single" w:color="auto" w:sz="4" w:space="0"/>
      </w:pBdr>
      <w:spacing w:before="100" w:beforeAutospacing="1" w:afterAutospacing="1"/>
      <w:jc w:val="left"/>
    </w:pPr>
    <w:rPr>
      <w:rFonts w:ascii="宋体" w:hAnsi="宋体" w:cs="宋体"/>
      <w:b/>
      <w:bCs/>
      <w:kern w:val="0"/>
      <w:sz w:val="18"/>
      <w:szCs w:val="18"/>
    </w:rPr>
  </w:style>
  <w:style w:type="paragraph" w:customStyle="1" w:styleId="451">
    <w:name w:val="xl58"/>
    <w:basedOn w:val="1"/>
    <w:qFormat/>
    <w:uiPriority w:val="0"/>
    <w:pPr>
      <w:widowControl/>
      <w:pBdr>
        <w:top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452">
    <w:name w:val="(符号)五标题1.1.1"/>
    <w:basedOn w:val="1"/>
    <w:qFormat/>
    <w:uiPriority w:val="0"/>
    <w:pPr>
      <w:tabs>
        <w:tab w:val="left" w:pos="1000"/>
      </w:tabs>
      <w:spacing w:line="500" w:lineRule="exact"/>
      <w:ind w:left="624"/>
    </w:pPr>
    <w:rPr>
      <w:rFonts w:ascii="宋体" w:hAnsi="宋体"/>
      <w:color w:val="000000"/>
      <w:sz w:val="24"/>
      <w:szCs w:val="20"/>
    </w:rPr>
  </w:style>
  <w:style w:type="paragraph" w:customStyle="1" w:styleId="453">
    <w:name w:val="一级正文"/>
    <w:basedOn w:val="1"/>
    <w:qFormat/>
    <w:uiPriority w:val="0"/>
    <w:pPr>
      <w:spacing w:line="360" w:lineRule="auto"/>
      <w:ind w:firstLine="480" w:firstLineChars="200"/>
    </w:pPr>
    <w:rPr>
      <w:sz w:val="24"/>
    </w:rPr>
  </w:style>
  <w:style w:type="paragraph" w:customStyle="1" w:styleId="454">
    <w:name w:val="font12"/>
    <w:basedOn w:val="1"/>
    <w:qFormat/>
    <w:uiPriority w:val="0"/>
    <w:pPr>
      <w:widowControl/>
      <w:spacing w:before="100" w:beforeAutospacing="1" w:afterAutospacing="1"/>
      <w:jc w:val="left"/>
    </w:pPr>
    <w:rPr>
      <w:rFonts w:ascii="微软雅黑" w:hAnsi="微软雅黑" w:eastAsia="微软雅黑" w:cs="宋体"/>
      <w:b/>
      <w:bCs/>
      <w:color w:val="000000"/>
      <w:kern w:val="0"/>
      <w:sz w:val="24"/>
    </w:rPr>
  </w:style>
  <w:style w:type="paragraph" w:customStyle="1" w:styleId="455">
    <w:name w:val="xl132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456">
    <w:name w:val="自由格式"/>
    <w:qFormat/>
    <w:uiPriority w:val="0"/>
    <w:rPr>
      <w:rFonts w:ascii="Helvetica" w:hAnsi="Helvetica" w:eastAsia="ヒラギノ角ゴ Pro W3" w:cs="Times New Roman"/>
      <w:color w:val="000000"/>
      <w:sz w:val="24"/>
      <w:lang w:val="en-US" w:eastAsia="zh-CN" w:bidi="ar-SA"/>
    </w:rPr>
  </w:style>
  <w:style w:type="paragraph" w:customStyle="1" w:styleId="45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458">
    <w:name w:val="Char"/>
    <w:basedOn w:val="1"/>
    <w:qFormat/>
    <w:uiPriority w:val="0"/>
    <w:pPr>
      <w:widowControl/>
      <w:spacing w:line="240" w:lineRule="exact"/>
      <w:jc w:val="left"/>
    </w:pPr>
  </w:style>
  <w:style w:type="paragraph" w:customStyle="1" w:styleId="459">
    <w:name w:val="xl62"/>
    <w:basedOn w:val="1"/>
    <w:qFormat/>
    <w:uiPriority w:val="0"/>
    <w:pPr>
      <w:widowControl/>
      <w:pBdr>
        <w:top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460">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1">
    <w:name w:val="xl14329734"/>
    <w:basedOn w:val="1"/>
    <w:qFormat/>
    <w:uiPriority w:val="0"/>
    <w:pPr>
      <w:widowControl/>
      <w:spacing w:before="100" w:beforeAutospacing="1" w:afterAutospacing="1"/>
      <w:jc w:val="center"/>
      <w:textAlignment w:val="center"/>
    </w:pPr>
    <w:rPr>
      <w:rFonts w:ascii="微软雅黑" w:hAnsi="微软雅黑" w:eastAsia="微软雅黑" w:cs="宋体"/>
      <w:b/>
      <w:bCs/>
      <w:kern w:val="0"/>
      <w:sz w:val="32"/>
      <w:szCs w:val="32"/>
    </w:rPr>
  </w:style>
  <w:style w:type="paragraph" w:customStyle="1" w:styleId="462">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6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464">
    <w:name w:val="1_0"/>
    <w:basedOn w:val="1"/>
    <w:next w:val="1"/>
    <w:qFormat/>
    <w:uiPriority w:val="0"/>
    <w:rPr>
      <w:rFonts w:ascii="宋体" w:hAnsi="Courier New"/>
      <w:szCs w:val="20"/>
    </w:rPr>
  </w:style>
  <w:style w:type="paragraph" w:customStyle="1" w:styleId="465">
    <w:name w:val="正文序号 1"/>
    <w:basedOn w:val="1"/>
    <w:qFormat/>
    <w:uiPriority w:val="0"/>
    <w:pPr>
      <w:tabs>
        <w:tab w:val="left" w:pos="839"/>
        <w:tab w:val="left" w:pos="1045"/>
      </w:tabs>
      <w:spacing w:before="60"/>
      <w:ind w:left="1045" w:hanging="195"/>
    </w:pPr>
  </w:style>
  <w:style w:type="paragraph" w:customStyle="1" w:styleId="466">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46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468">
    <w:name w:val="Char3"/>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69">
    <w:name w:val="Char Char112"/>
    <w:basedOn w:val="1"/>
    <w:qFormat/>
    <w:uiPriority w:val="0"/>
    <w:rPr>
      <w:rFonts w:ascii="Tahoma" w:hAnsi="Tahoma"/>
      <w:b/>
      <w:kern w:val="0"/>
      <w:sz w:val="28"/>
      <w:szCs w:val="20"/>
    </w:rPr>
  </w:style>
  <w:style w:type="paragraph" w:customStyle="1" w:styleId="470">
    <w:name w:val="xl33"/>
    <w:basedOn w:val="1"/>
    <w:qFormat/>
    <w:uiPriority w:val="0"/>
    <w:pPr>
      <w:widowControl/>
      <w:pBdr>
        <w:left w:val="single" w:color="auto" w:sz="4" w:space="0"/>
        <w:bottom w:val="single" w:color="auto" w:sz="4" w:space="0"/>
        <w:right w:val="single" w:color="auto" w:sz="4" w:space="0"/>
      </w:pBdr>
      <w:spacing w:before="100" w:beforeAutospacing="1" w:afterAutospacing="1"/>
      <w:jc w:val="center"/>
    </w:pPr>
    <w:rPr>
      <w:rFonts w:ascii="楷体_GB2312" w:hAnsi="宋体" w:eastAsia="楷体_GB2312"/>
      <w:kern w:val="0"/>
      <w:sz w:val="24"/>
    </w:rPr>
  </w:style>
  <w:style w:type="paragraph" w:customStyle="1" w:styleId="47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color w:val="000000"/>
      <w:kern w:val="0"/>
      <w:sz w:val="18"/>
      <w:szCs w:val="18"/>
    </w:rPr>
  </w:style>
  <w:style w:type="paragraph" w:customStyle="1" w:styleId="472">
    <w:name w:val="Char Char Char Char Char Char Char Char Char Char Char Char Char"/>
    <w:qFormat/>
    <w:uiPriority w:val="0"/>
    <w:pPr>
      <w:spacing w:after="160" w:line="240" w:lineRule="exact"/>
    </w:pPr>
    <w:rPr>
      <w:rFonts w:ascii="Verdana" w:hAnsi="Verdana" w:eastAsia="仿宋_GB2312" w:cs="Times New Roman"/>
      <w:sz w:val="24"/>
      <w:lang w:val="en-US" w:eastAsia="en-US" w:bidi="ar-SA"/>
    </w:rPr>
  </w:style>
  <w:style w:type="paragraph" w:customStyle="1" w:styleId="473">
    <w:name w:val="Char Char111"/>
    <w:basedOn w:val="1"/>
    <w:qFormat/>
    <w:uiPriority w:val="0"/>
    <w:rPr>
      <w:rFonts w:ascii="Tahoma" w:hAnsi="Tahoma"/>
      <w:b/>
      <w:kern w:val="0"/>
      <w:sz w:val="28"/>
      <w:szCs w:val="20"/>
    </w:rPr>
  </w:style>
  <w:style w:type="paragraph" w:customStyle="1" w:styleId="47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475">
    <w:name w:val="xl139"/>
    <w:basedOn w:val="1"/>
    <w:qFormat/>
    <w:uiPriority w:val="0"/>
    <w:pPr>
      <w:widowControl/>
      <w:pBdr>
        <w:left w:val="single" w:color="auto" w:sz="4" w:space="0"/>
        <w:bottom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76">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kern w:val="0"/>
      <w:sz w:val="18"/>
      <w:szCs w:val="18"/>
    </w:rPr>
  </w:style>
  <w:style w:type="paragraph" w:customStyle="1" w:styleId="477">
    <w:name w:val="xl15829734"/>
    <w:basedOn w:val="1"/>
    <w:qFormat/>
    <w:uiPriority w:val="0"/>
    <w:pPr>
      <w:widowControl/>
      <w:pBdr>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color w:val="FF0000"/>
      <w:kern w:val="0"/>
      <w:sz w:val="22"/>
      <w:szCs w:val="22"/>
    </w:rPr>
  </w:style>
  <w:style w:type="paragraph" w:customStyle="1" w:styleId="478">
    <w:name w:val="普通(网站)_0"/>
    <w:basedOn w:val="182"/>
    <w:unhideWhenUsed/>
    <w:qFormat/>
    <w:uiPriority w:val="99"/>
    <w:pPr>
      <w:widowControl/>
      <w:spacing w:before="100" w:beforeAutospacing="1" w:after="100" w:afterAutospacing="1" w:line="240" w:lineRule="auto"/>
      <w:ind w:firstLine="200" w:firstLineChars="200"/>
      <w:jc w:val="left"/>
    </w:pPr>
    <w:rPr>
      <w:rFonts w:ascii="宋体" w:hAnsi="宋体"/>
      <w:kern w:val="0"/>
      <w:sz w:val="24"/>
      <w:szCs w:val="24"/>
      <w:lang w:val="zh-CN"/>
    </w:rPr>
  </w:style>
  <w:style w:type="paragraph" w:customStyle="1" w:styleId="479">
    <w:name w:val="xl114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480">
    <w:name w:val="修订1"/>
    <w:semiHidden/>
    <w:qFormat/>
    <w:uiPriority w:val="99"/>
    <w:rPr>
      <w:rFonts w:ascii="Calibri" w:hAnsi="Calibri" w:eastAsia="宋体" w:cs="Times New Roman"/>
      <w:kern w:val="2"/>
      <w:sz w:val="24"/>
      <w:szCs w:val="21"/>
      <w:lang w:val="en-US" w:eastAsia="zh-CN" w:bidi="ar-SA"/>
    </w:rPr>
  </w:style>
  <w:style w:type="paragraph" w:customStyle="1" w:styleId="481">
    <w:name w:val="xl141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82">
    <w:name w:val="xl11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83">
    <w:name w:val="xl144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484">
    <w:name w:val="xl14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85">
    <w:name w:val="列项◆（三级）"/>
    <w:basedOn w:val="1"/>
    <w:qFormat/>
    <w:uiPriority w:val="0"/>
    <w:pPr>
      <w:tabs>
        <w:tab w:val="left" w:pos="1678"/>
      </w:tabs>
      <w:ind w:left="1678" w:hanging="414"/>
    </w:pPr>
    <w:rPr>
      <w:rFonts w:ascii="宋体"/>
      <w:szCs w:val="21"/>
    </w:rPr>
  </w:style>
  <w:style w:type="paragraph" w:customStyle="1" w:styleId="486">
    <w:name w:val="默认段落字体 Para Char Char Char Char"/>
    <w:basedOn w:val="1"/>
    <w:qFormat/>
    <w:uiPriority w:val="0"/>
  </w:style>
  <w:style w:type="paragraph" w:customStyle="1" w:styleId="487">
    <w:name w:val="xl11729734"/>
    <w:basedOn w:val="1"/>
    <w:qFormat/>
    <w:uiPriority w:val="0"/>
    <w:pPr>
      <w:widowControl/>
      <w:shd w:val="clear" w:color="000000" w:fill="FFFFFF"/>
      <w:spacing w:before="100" w:beforeAutospacing="1" w:afterAutospacing="1"/>
      <w:jc w:val="right"/>
      <w:textAlignment w:val="center"/>
    </w:pPr>
    <w:rPr>
      <w:rFonts w:ascii="微软雅黑" w:hAnsi="微软雅黑" w:eastAsia="微软雅黑" w:cs="宋体"/>
      <w:kern w:val="0"/>
      <w:sz w:val="22"/>
      <w:szCs w:val="22"/>
    </w:rPr>
  </w:style>
  <w:style w:type="paragraph" w:customStyle="1" w:styleId="488">
    <w:name w:val="正文_3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89">
    <w:name w:val="xl10029734"/>
    <w:basedOn w:val="1"/>
    <w:qFormat/>
    <w:uiPriority w:val="0"/>
    <w:pPr>
      <w:widowControl/>
      <w:spacing w:before="100" w:beforeAutospacing="1" w:afterAutospacing="1"/>
      <w:jc w:val="left"/>
      <w:textAlignment w:val="center"/>
    </w:pPr>
    <w:rPr>
      <w:rFonts w:ascii="微软雅黑" w:hAnsi="微软雅黑" w:eastAsia="微软雅黑" w:cs="宋体"/>
      <w:color w:val="FF0000"/>
      <w:kern w:val="0"/>
      <w:sz w:val="22"/>
      <w:szCs w:val="22"/>
    </w:rPr>
  </w:style>
  <w:style w:type="paragraph" w:customStyle="1" w:styleId="490">
    <w:name w:val="_Style 47211"/>
    <w:basedOn w:val="1"/>
    <w:next w:val="91"/>
    <w:qFormat/>
    <w:uiPriority w:val="34"/>
    <w:pPr>
      <w:ind w:firstLine="420" w:firstLineChars="200"/>
    </w:pPr>
    <w:rPr>
      <w:rFonts w:ascii="Calibri" w:hAnsi="Calibri"/>
      <w:szCs w:val="22"/>
    </w:rPr>
  </w:style>
  <w:style w:type="paragraph" w:customStyle="1" w:styleId="491">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492">
    <w:name w:val="_Style 4821"/>
    <w:basedOn w:val="1"/>
    <w:next w:val="1"/>
    <w:unhideWhenUsed/>
    <w:qFormat/>
    <w:uiPriority w:val="99"/>
    <w:pPr>
      <w:spacing w:afterLines="25" w:line="300" w:lineRule="auto"/>
    </w:pPr>
    <w:rPr>
      <w:rFonts w:ascii="Arial" w:hAnsi="Arial"/>
    </w:rPr>
  </w:style>
  <w:style w:type="paragraph" w:customStyle="1" w:styleId="493">
    <w:name w:val="Char Char1 Char Char Char Char Char Char Char Char Char Char Char Char Char Char Char Char Char Char1 Char Char Char Char2 Char Char Char Char Char Char Char Char Char Char Char Char Char"/>
    <w:basedOn w:val="1"/>
    <w:qFormat/>
    <w:uiPriority w:val="0"/>
    <w:pPr>
      <w:spacing w:before="240" w:line="288" w:lineRule="auto"/>
      <w:ind w:firstLine="200" w:firstLineChars="200"/>
      <w:jc w:val="left"/>
    </w:pPr>
    <w:rPr>
      <w:rFonts w:ascii="Tahoma" w:hAnsi="Tahoma"/>
      <w:sz w:val="24"/>
    </w:rPr>
  </w:style>
  <w:style w:type="paragraph" w:customStyle="1" w:styleId="494">
    <w:name w:val="f14"/>
    <w:basedOn w:val="1"/>
    <w:qFormat/>
    <w:uiPriority w:val="0"/>
    <w:pPr>
      <w:spacing w:before="100" w:beforeAutospacing="1" w:after="100" w:afterAutospacing="1"/>
    </w:pPr>
    <w:rPr>
      <w:rFonts w:ascii="_GB2312" w:hAnsi="_GB2312"/>
      <w:color w:val="000000"/>
      <w:sz w:val="28"/>
      <w:szCs w:val="28"/>
    </w:rPr>
  </w:style>
  <w:style w:type="paragraph" w:customStyle="1" w:styleId="495">
    <w:name w:val="Normal_3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xl15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498">
    <w:name w:val="150"/>
    <w:basedOn w:val="1"/>
    <w:qFormat/>
    <w:uiPriority w:val="0"/>
    <w:pPr>
      <w:spacing w:before="100" w:beforeAutospacing="1" w:after="100" w:afterAutospacing="1" w:line="360" w:lineRule="auto"/>
    </w:pPr>
    <w:rPr>
      <w:rFonts w:ascii="宋体" w:hAnsi="宋体"/>
      <w:color w:val="000000"/>
      <w:sz w:val="24"/>
    </w:rPr>
  </w:style>
  <w:style w:type="paragraph" w:customStyle="1" w:styleId="499">
    <w:name w:val="xl138"/>
    <w:basedOn w:val="1"/>
    <w:qFormat/>
    <w:uiPriority w:val="0"/>
    <w:pPr>
      <w:widowControl/>
      <w:pBdr>
        <w:lef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00">
    <w:name w:val="xl11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01">
    <w:name w:val="xl116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02">
    <w:name w:val="xl133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03">
    <w:name w:val="Char4"/>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505">
    <w:name w:val="Normal_2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6">
    <w:name w:val="xl50"/>
    <w:basedOn w:val="1"/>
    <w:qFormat/>
    <w:uiPriority w:val="0"/>
    <w:pPr>
      <w:widowControl/>
      <w:pBdr>
        <w:top w:val="single" w:color="auto" w:sz="4" w:space="0"/>
        <w:left w:val="single" w:color="auto" w:sz="4" w:space="0"/>
        <w:right w:val="single" w:color="auto" w:sz="4" w:space="0"/>
      </w:pBdr>
      <w:spacing w:before="100" w:beforeAutospacing="1" w:afterAutospacing="1"/>
      <w:jc w:val="center"/>
    </w:pPr>
    <w:rPr>
      <w:rFonts w:ascii="宋体" w:hAnsi="宋体" w:cs="宋体"/>
      <w:b/>
      <w:bCs/>
      <w:kern w:val="0"/>
      <w:sz w:val="24"/>
    </w:rPr>
  </w:style>
  <w:style w:type="paragraph" w:customStyle="1" w:styleId="50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0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509">
    <w:name w:val="_Style 14"/>
    <w:basedOn w:val="1"/>
    <w:next w:val="91"/>
    <w:qFormat/>
    <w:uiPriority w:val="34"/>
    <w:pPr>
      <w:spacing w:afterLines="25" w:line="300" w:lineRule="auto"/>
      <w:ind w:firstLine="420" w:firstLineChars="200"/>
    </w:pPr>
    <w:rPr>
      <w:rFonts w:ascii="等线" w:hAnsi="等线" w:eastAsia="等线"/>
      <w:szCs w:val="22"/>
    </w:rPr>
  </w:style>
  <w:style w:type="paragraph" w:customStyle="1" w:styleId="510">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512">
    <w:name w:val="xl106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13">
    <w:name w:val="xl101"/>
    <w:basedOn w:val="1"/>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cs="宋体"/>
      <w:b/>
      <w:bCs/>
      <w:kern w:val="0"/>
      <w:sz w:val="18"/>
      <w:szCs w:val="18"/>
    </w:rPr>
  </w:style>
  <w:style w:type="paragraph" w:customStyle="1" w:styleId="514">
    <w:name w:val="font0"/>
    <w:basedOn w:val="1"/>
    <w:qFormat/>
    <w:uiPriority w:val="0"/>
    <w:pPr>
      <w:widowControl/>
      <w:spacing w:before="100" w:beforeAutospacing="1" w:afterAutospacing="1"/>
      <w:jc w:val="left"/>
    </w:pPr>
    <w:rPr>
      <w:rFonts w:ascii="宋体" w:hAnsi="宋体" w:cs="宋体"/>
      <w:color w:val="000000"/>
      <w:kern w:val="0"/>
      <w:sz w:val="22"/>
      <w:szCs w:val="22"/>
    </w:rPr>
  </w:style>
  <w:style w:type="paragraph" w:customStyle="1" w:styleId="51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16">
    <w:name w:val="xl120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17">
    <w:name w:val="msonormal"/>
    <w:basedOn w:val="1"/>
    <w:qFormat/>
    <w:uiPriority w:val="0"/>
    <w:pPr>
      <w:widowControl/>
      <w:spacing w:before="100" w:beforeAutospacing="1" w:afterAutospacing="1"/>
      <w:jc w:val="left"/>
    </w:pPr>
    <w:rPr>
      <w:rFonts w:ascii="宋体" w:hAnsi="宋体" w:cs="宋体"/>
      <w:kern w:val="0"/>
      <w:sz w:val="24"/>
    </w:rPr>
  </w:style>
  <w:style w:type="paragraph" w:customStyle="1" w:styleId="518">
    <w:name w:val="样式 标题 1 + 左侧:  0.74 厘米"/>
    <w:basedOn w:val="3"/>
    <w:qFormat/>
    <w:uiPriority w:val="0"/>
    <w:pPr>
      <w:widowControl w:val="0"/>
      <w:tabs>
        <w:tab w:val="left" w:pos="425"/>
      </w:tabs>
      <w:spacing w:beforeLines="1600" w:after="0" w:line="300" w:lineRule="auto"/>
      <w:ind w:left="840" w:hanging="420"/>
      <w:jc w:val="left"/>
    </w:pPr>
    <w:rPr>
      <w:rFonts w:ascii="华文彩云" w:eastAsia="华文彩云"/>
      <w:b w:val="0"/>
      <w:kern w:val="2"/>
      <w:sz w:val="52"/>
    </w:rPr>
  </w:style>
  <w:style w:type="paragraph" w:customStyle="1" w:styleId="519">
    <w:name w:val="Normal_13"/>
    <w:qFormat/>
    <w:uiPriority w:val="0"/>
    <w:rPr>
      <w:rFonts w:ascii="Times New Roman" w:hAnsi="Times New Roman" w:eastAsia="宋体" w:cs="Times New Roman"/>
      <w:sz w:val="21"/>
      <w:lang w:val="en-US" w:eastAsia="zh-CN" w:bidi="ar-SA"/>
    </w:rPr>
  </w:style>
  <w:style w:type="paragraph" w:customStyle="1" w:styleId="520">
    <w:name w:val="font1029734"/>
    <w:basedOn w:val="1"/>
    <w:qFormat/>
    <w:uiPriority w:val="0"/>
    <w:pPr>
      <w:widowControl/>
      <w:spacing w:before="100" w:beforeAutospacing="1" w:afterAutospacing="1"/>
      <w:jc w:val="left"/>
    </w:pPr>
    <w:rPr>
      <w:rFonts w:ascii="微软雅黑" w:hAnsi="微软雅黑" w:eastAsia="微软雅黑" w:cs="宋体"/>
      <w:color w:val="000000"/>
      <w:kern w:val="0"/>
      <w:sz w:val="22"/>
      <w:szCs w:val="22"/>
    </w:rPr>
  </w:style>
  <w:style w:type="paragraph" w:customStyle="1" w:styleId="521">
    <w:name w:val="xl12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522">
    <w:name w:val="标题 6_0"/>
    <w:basedOn w:val="182"/>
    <w:next w:val="182"/>
    <w:qFormat/>
    <w:uiPriority w:val="0"/>
    <w:pPr>
      <w:keepNext/>
      <w:keepLines/>
      <w:widowControl/>
      <w:tabs>
        <w:tab w:val="left" w:pos="1152"/>
      </w:tabs>
      <w:spacing w:beforeLines="100" w:afterLines="100" w:line="240" w:lineRule="auto"/>
      <w:ind w:left="1152"/>
      <w:jc w:val="left"/>
      <w:outlineLvl w:val="5"/>
    </w:pPr>
    <w:rPr>
      <w:rFonts w:ascii="Arial" w:hAnsi="Arial" w:eastAsia="黑体"/>
      <w:bCs/>
      <w:kern w:val="0"/>
      <w:sz w:val="24"/>
      <w:szCs w:val="24"/>
      <w:lang w:val="en-GB"/>
    </w:rPr>
  </w:style>
  <w:style w:type="paragraph" w:customStyle="1" w:styleId="523">
    <w:name w:val="xl145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24">
    <w:name w:val="xl10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25">
    <w:name w:val="xl125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526">
    <w:name w:val="xl9629734"/>
    <w:basedOn w:val="1"/>
    <w:qFormat/>
    <w:uiPriority w:val="0"/>
    <w:pPr>
      <w:widowControl/>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27">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2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29">
    <w:name w:val="目录标题"/>
    <w:basedOn w:val="1"/>
    <w:qFormat/>
    <w:uiPriority w:val="0"/>
    <w:pPr>
      <w:overflowPunct w:val="0"/>
      <w:autoSpaceDE w:val="0"/>
      <w:autoSpaceDN w:val="0"/>
      <w:spacing w:before="100" w:line="360" w:lineRule="auto"/>
      <w:ind w:left="643" w:hanging="643" w:hangingChars="200"/>
      <w:jc w:val="center"/>
      <w:outlineLvl w:val="0"/>
    </w:pPr>
    <w:rPr>
      <w:rFonts w:ascii="Garamond" w:hAnsi="Garamond" w:eastAsia="黑体"/>
      <w:b/>
      <w:sz w:val="32"/>
      <w:szCs w:val="20"/>
    </w:rPr>
  </w:style>
  <w:style w:type="paragraph" w:customStyle="1" w:styleId="530">
    <w:name w:val="xl142"/>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31">
    <w:name w:val="Normal_5"/>
    <w:qFormat/>
    <w:uiPriority w:val="0"/>
    <w:rPr>
      <w:rFonts w:ascii="Times New Roman" w:hAnsi="Times New Roman" w:eastAsia="宋体" w:cs="Times New Roman"/>
      <w:sz w:val="21"/>
      <w:lang w:val="en-US" w:eastAsia="zh-CN" w:bidi="ar-SA"/>
    </w:rPr>
  </w:style>
  <w:style w:type="paragraph" w:customStyle="1" w:styleId="532">
    <w:name w:val="xl60"/>
    <w:basedOn w:val="1"/>
    <w:qFormat/>
    <w:uiPriority w:val="0"/>
    <w:pPr>
      <w:widowControl/>
      <w:pBdr>
        <w:top w:val="single" w:color="auto" w:sz="4" w:space="0"/>
        <w:left w:val="single" w:color="auto" w:sz="4" w:space="0"/>
      </w:pBdr>
      <w:spacing w:before="100" w:beforeAutospacing="1" w:afterAutospacing="1"/>
      <w:jc w:val="left"/>
    </w:pPr>
    <w:rPr>
      <w:rFonts w:ascii="宋体" w:hAnsi="宋体" w:cs="宋体"/>
      <w:b/>
      <w:bCs/>
      <w:kern w:val="0"/>
      <w:sz w:val="24"/>
    </w:rPr>
  </w:style>
  <w:style w:type="paragraph" w:customStyle="1" w:styleId="53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34">
    <w:name w:val="xl55"/>
    <w:basedOn w:val="1"/>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535">
    <w:name w:val="正文_1_0"/>
    <w:basedOn w:val="410"/>
    <w:qFormat/>
    <w:uiPriority w:val="0"/>
    <w:rPr>
      <w:szCs w:val="21"/>
    </w:rPr>
  </w:style>
  <w:style w:type="paragraph" w:customStyle="1" w:styleId="536">
    <w:name w:val="样式 标题 2 + 字距调整二号"/>
    <w:basedOn w:val="4"/>
    <w:qFormat/>
    <w:uiPriority w:val="0"/>
    <w:pPr>
      <w:widowControl/>
      <w:wordWrap/>
      <w:adjustRightInd w:val="0"/>
      <w:snapToGrid w:val="0"/>
      <w:spacing w:before="60" w:after="0"/>
      <w:ind w:left="420" w:hanging="420"/>
    </w:pPr>
    <w:rPr>
      <w:rFonts w:ascii="Times New Roman" w:hAnsi="Times New Roman" w:cs="Times New Roman"/>
      <w:kern w:val="44"/>
      <w:sz w:val="30"/>
    </w:rPr>
  </w:style>
  <w:style w:type="paragraph" w:customStyle="1" w:styleId="537">
    <w:name w:val="正文_0_2"/>
    <w:basedOn w:val="410"/>
    <w:qFormat/>
    <w:uiPriority w:val="0"/>
    <w:pPr>
      <w:widowControl w:val="0"/>
      <w:jc w:val="both"/>
    </w:pPr>
    <w:rPr>
      <w:b/>
      <w:bCs/>
      <w:color w:val="000000"/>
      <w:kern w:val="2"/>
      <w:szCs w:val="21"/>
    </w:rPr>
  </w:style>
  <w:style w:type="paragraph" w:customStyle="1" w:styleId="538">
    <w:name w:val="xl13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39">
    <w:name w:val="04正文二级标题"/>
    <w:qFormat/>
    <w:uiPriority w:val="0"/>
    <w:pPr>
      <w:spacing w:line="300" w:lineRule="auto"/>
      <w:ind w:firstLine="200" w:firstLineChars="200"/>
      <w:jc w:val="both"/>
    </w:pPr>
    <w:rPr>
      <w:rFonts w:ascii="Times New Roman" w:hAnsi="Times New Roman" w:eastAsia="黑体" w:cs="Times New Roman"/>
      <w:sz w:val="28"/>
      <w:lang w:val="en-US" w:eastAsia="zh-CN" w:bidi="ar-SA"/>
    </w:rPr>
  </w:style>
  <w:style w:type="paragraph" w:customStyle="1" w:styleId="540">
    <w:name w:val="c03"/>
    <w:basedOn w:val="1"/>
    <w:qFormat/>
    <w:uiPriority w:val="0"/>
    <w:pPr>
      <w:spacing w:before="100" w:beforeAutospacing="1" w:after="100" w:afterAutospacing="1"/>
    </w:pPr>
    <w:rPr>
      <w:rFonts w:ascii="宋体" w:hAnsi="宋体"/>
      <w:color w:val="000000"/>
      <w:sz w:val="24"/>
    </w:rPr>
  </w:style>
  <w:style w:type="paragraph" w:customStyle="1" w:styleId="541">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542">
    <w:name w:val="表编号"/>
    <w:basedOn w:val="1"/>
    <w:qFormat/>
    <w:uiPriority w:val="0"/>
    <w:pPr>
      <w:spacing w:line="360" w:lineRule="auto"/>
      <w:jc w:val="center"/>
    </w:pPr>
    <w:rPr>
      <w:sz w:val="24"/>
    </w:rPr>
  </w:style>
  <w:style w:type="paragraph" w:customStyle="1" w:styleId="5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pPr>
    <w:rPr>
      <w:rFonts w:ascii="微软雅黑" w:hAnsi="微软雅黑" w:eastAsia="微软雅黑" w:cs="宋体"/>
      <w:b/>
      <w:bCs/>
      <w:color w:val="FFFFFF"/>
      <w:kern w:val="0"/>
      <w:sz w:val="24"/>
    </w:rPr>
  </w:style>
  <w:style w:type="paragraph" w:customStyle="1" w:styleId="544">
    <w:name w:val="xl160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545">
    <w:name w:val="xl108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46">
    <w:name w:val="xl11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4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548">
    <w:name w:val="xl107"/>
    <w:basedOn w:val="1"/>
    <w:qFormat/>
    <w:uiPriority w:val="0"/>
    <w:pPr>
      <w:widowControl/>
      <w:spacing w:before="100" w:beforeAutospacing="1" w:afterAutospacing="1"/>
      <w:jc w:val="center"/>
    </w:pPr>
    <w:rPr>
      <w:rFonts w:ascii="宋体" w:hAnsi="宋体" w:cs="宋体"/>
      <w:kern w:val="0"/>
      <w:sz w:val="18"/>
      <w:szCs w:val="18"/>
    </w:rPr>
  </w:style>
  <w:style w:type="paragraph" w:customStyle="1" w:styleId="54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FF0000"/>
      <w:kern w:val="0"/>
      <w:sz w:val="18"/>
      <w:szCs w:val="18"/>
    </w:rPr>
  </w:style>
  <w:style w:type="paragraph" w:customStyle="1" w:styleId="550">
    <w:name w:val="正文3"/>
    <w:basedOn w:val="1"/>
    <w:qFormat/>
    <w:uiPriority w:val="0"/>
    <w:pPr>
      <w:widowControl/>
      <w:spacing w:after="200" w:line="300" w:lineRule="atLeast"/>
      <w:jc w:val="left"/>
    </w:pPr>
    <w:rPr>
      <w:rFonts w:ascii="Calibri" w:hAnsi="Calibri" w:cs="宋体"/>
      <w:kern w:val="0"/>
      <w:sz w:val="22"/>
      <w:szCs w:val="22"/>
    </w:rPr>
  </w:style>
  <w:style w:type="paragraph" w:customStyle="1" w:styleId="55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52">
    <w:name w:val="130"/>
    <w:basedOn w:val="1"/>
    <w:qFormat/>
    <w:uiPriority w:val="0"/>
    <w:pPr>
      <w:spacing w:before="100" w:beforeAutospacing="1" w:after="100" w:afterAutospacing="1" w:line="324" w:lineRule="auto"/>
    </w:pPr>
    <w:rPr>
      <w:rFonts w:ascii="宋体" w:hAnsi="宋体"/>
      <w:color w:val="000000"/>
      <w:sz w:val="24"/>
    </w:rPr>
  </w:style>
  <w:style w:type="paragraph" w:customStyle="1" w:styleId="553">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8"/>
      <w:szCs w:val="28"/>
    </w:rPr>
  </w:style>
  <w:style w:type="paragraph" w:customStyle="1" w:styleId="55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555">
    <w:name w:val="xl151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56">
    <w:name w:val="font8"/>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57">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CCFFCC"/>
      <w:spacing w:before="100" w:beforeAutospacing="1" w:afterAutospacing="1"/>
      <w:jc w:val="center"/>
      <w:textAlignment w:val="center"/>
    </w:pPr>
    <w:rPr>
      <w:rFonts w:ascii="宋体" w:hAnsi="宋体" w:cs="宋体"/>
      <w:kern w:val="0"/>
      <w:sz w:val="18"/>
      <w:szCs w:val="18"/>
    </w:rPr>
  </w:style>
  <w:style w:type="paragraph" w:customStyle="1" w:styleId="558">
    <w:name w:val="xl13829734"/>
    <w:basedOn w:val="1"/>
    <w:qFormat/>
    <w:uiPriority w:val="0"/>
    <w:pPr>
      <w:widowControl/>
      <w:pBdr>
        <w:top w:val="single" w:color="auto" w:sz="4" w:space="0"/>
        <w:bottom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4"/>
    </w:rPr>
  </w:style>
  <w:style w:type="paragraph" w:customStyle="1" w:styleId="55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56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561">
    <w:name w:val="xl103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62">
    <w:name w:val="xl13629734"/>
    <w:basedOn w:val="1"/>
    <w:qFormat/>
    <w:uiPriority w:val="0"/>
    <w:pPr>
      <w:widowControl/>
      <w:spacing w:before="100" w:beforeAutospacing="1" w:afterAutospacing="1"/>
      <w:jc w:val="left"/>
      <w:textAlignment w:val="center"/>
    </w:pPr>
    <w:rPr>
      <w:rFonts w:ascii="微软雅黑" w:hAnsi="微软雅黑" w:eastAsia="微软雅黑" w:cs="宋体"/>
      <w:i/>
      <w:iCs/>
      <w:color w:val="000000"/>
      <w:kern w:val="0"/>
      <w:sz w:val="22"/>
      <w:szCs w:val="22"/>
    </w:rPr>
  </w:style>
  <w:style w:type="paragraph" w:customStyle="1" w:styleId="563">
    <w:name w:val="xl86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564">
    <w:name w:val="标题 5_0"/>
    <w:basedOn w:val="182"/>
    <w:next w:val="182"/>
    <w:qFormat/>
    <w:uiPriority w:val="0"/>
    <w:pPr>
      <w:keepNext/>
      <w:keepLines/>
      <w:widowControl/>
      <w:spacing w:beforeLines="100" w:afterLines="100" w:line="240" w:lineRule="auto"/>
      <w:ind w:left="1418"/>
      <w:jc w:val="left"/>
      <w:outlineLvl w:val="4"/>
    </w:pPr>
    <w:rPr>
      <w:rFonts w:ascii="@YuMincho +36p Kana Medium __L" w:hAnsi="@YuMincho +36p Kana Medium __L" w:eastAsia="楷体_GB2312" w:cs="@YuMincho +36p Kana Medium __L"/>
      <w:sz w:val="24"/>
      <w:szCs w:val="24"/>
    </w:rPr>
  </w:style>
  <w:style w:type="paragraph" w:customStyle="1" w:styleId="565">
    <w:name w:val="font7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66">
    <w:name w:val="font6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56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568">
    <w:name w:val="0KL列表-符号-箭-1级"/>
    <w:basedOn w:val="1"/>
    <w:qFormat/>
    <w:uiPriority w:val="0"/>
    <w:pPr>
      <w:topLinePunct/>
      <w:spacing w:line="360" w:lineRule="auto"/>
      <w:ind w:left="846" w:hanging="420"/>
      <w:textAlignment w:val="center"/>
    </w:pPr>
    <w:rPr>
      <w:rFonts w:eastAsia="仿宋_GB2312"/>
      <w:color w:val="000000"/>
      <w:sz w:val="24"/>
    </w:rPr>
  </w:style>
  <w:style w:type="paragraph" w:customStyle="1" w:styleId="569">
    <w:name w:val="xl103"/>
    <w:basedOn w:val="1"/>
    <w:qFormat/>
    <w:uiPriority w:val="0"/>
    <w:pPr>
      <w:widowControl/>
      <w:pBdr>
        <w:top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570">
    <w:name w:val="Char Char Char Char Char Char Char"/>
    <w:basedOn w:val="1"/>
    <w:qFormat/>
    <w:uiPriority w:val="0"/>
    <w:pPr>
      <w:widowControl/>
      <w:spacing w:line="240" w:lineRule="exact"/>
      <w:jc w:val="left"/>
    </w:pPr>
  </w:style>
  <w:style w:type="paragraph" w:customStyle="1" w:styleId="5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572">
    <w:name w:val="xl90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7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574">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4"/>
    </w:rPr>
  </w:style>
  <w:style w:type="paragraph" w:customStyle="1" w:styleId="575">
    <w:name w:val="正文缩进_0_0_0_0"/>
    <w:basedOn w:val="272"/>
    <w:qFormat/>
    <w:uiPriority w:val="0"/>
    <w:pPr>
      <w:ind w:firstLine="420"/>
    </w:pPr>
    <w:rPr>
      <w:rFonts w:hint="eastAsia" w:ascii="Calibri" w:hAnsi="Calibri" w:eastAsia="等线"/>
      <w:sz w:val="20"/>
      <w:szCs w:val="22"/>
    </w:rPr>
  </w:style>
  <w:style w:type="paragraph" w:customStyle="1" w:styleId="576">
    <w:name w:val="xl10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color w:val="000000"/>
      <w:kern w:val="0"/>
      <w:sz w:val="22"/>
      <w:szCs w:val="22"/>
    </w:rPr>
  </w:style>
  <w:style w:type="paragraph" w:customStyle="1" w:styleId="577">
    <w:name w:val="标题 9_0"/>
    <w:basedOn w:val="182"/>
    <w:next w:val="182"/>
    <w:qFormat/>
    <w:uiPriority w:val="0"/>
    <w:pPr>
      <w:keepNext/>
      <w:keepLines/>
      <w:widowControl/>
      <w:tabs>
        <w:tab w:val="left" w:pos="1584"/>
      </w:tabs>
      <w:spacing w:before="240" w:after="64" w:line="320" w:lineRule="auto"/>
      <w:ind w:left="1584"/>
      <w:jc w:val="left"/>
      <w:outlineLvl w:val="8"/>
    </w:pPr>
    <w:rPr>
      <w:rFonts w:ascii="Arial" w:hAnsi="Arial" w:eastAsia="黑体"/>
      <w:kern w:val="0"/>
      <w:sz w:val="24"/>
      <w:szCs w:val="20"/>
      <w:lang w:val="en-GB"/>
    </w:rPr>
  </w:style>
  <w:style w:type="paragraph" w:customStyle="1" w:styleId="578">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579">
    <w:name w:val="Char5 Char Char Char Char Char Char1"/>
    <w:basedOn w:val="1"/>
    <w:qFormat/>
    <w:uiPriority w:val="0"/>
    <w:pPr>
      <w:widowControl/>
      <w:spacing w:line="240" w:lineRule="exact"/>
      <w:jc w:val="left"/>
    </w:pPr>
    <w:rPr>
      <w:rFonts w:ascii="Verdana" w:hAnsi="Verdana" w:eastAsia="仿宋_GB2312" w:cs="Verdana"/>
      <w:kern w:val="0"/>
      <w:sz w:val="24"/>
      <w:lang w:eastAsia="en-US"/>
    </w:rPr>
  </w:style>
  <w:style w:type="paragraph" w:customStyle="1" w:styleId="580">
    <w:name w:val="Normal_21"/>
    <w:qFormat/>
    <w:uiPriority w:val="0"/>
    <w:rPr>
      <w:rFonts w:ascii="Times New Roman" w:hAnsi="Times New Roman" w:eastAsia="宋体" w:cs="Times New Roman"/>
      <w:sz w:val="21"/>
      <w:lang w:val="en-US" w:eastAsia="zh-CN" w:bidi="ar-SA"/>
    </w:rPr>
  </w:style>
  <w:style w:type="paragraph" w:customStyle="1" w:styleId="58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18"/>
      <w:szCs w:val="18"/>
    </w:rPr>
  </w:style>
  <w:style w:type="paragraph" w:customStyle="1" w:styleId="582">
    <w:name w:val="xl155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83">
    <w:name w:val="xl11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584">
    <w:name w:val="Char2"/>
    <w:basedOn w:val="1"/>
    <w:qFormat/>
    <w:uiPriority w:val="0"/>
    <w:pPr>
      <w:spacing w:line="360" w:lineRule="auto"/>
      <w:ind w:firstLine="200" w:firstLineChars="200"/>
    </w:pPr>
    <w:rPr>
      <w:rFonts w:ascii="宋体" w:hAnsi="宋体" w:cs="宋体"/>
      <w:sz w:val="24"/>
    </w:rPr>
  </w:style>
  <w:style w:type="paragraph" w:customStyle="1" w:styleId="585">
    <w:name w:val="MM Topic 1"/>
    <w:basedOn w:val="3"/>
    <w:qFormat/>
    <w:uiPriority w:val="0"/>
    <w:pPr>
      <w:keepNext/>
      <w:tabs>
        <w:tab w:val="left" w:pos="425"/>
      </w:tabs>
      <w:autoSpaceDE w:val="0"/>
      <w:autoSpaceDN w:val="0"/>
      <w:adjustRightInd w:val="0"/>
      <w:spacing w:before="0" w:after="100" w:afterAutospacing="1"/>
      <w:ind w:left="840"/>
    </w:pPr>
    <w:rPr>
      <w:rFonts w:ascii="@YuMincho +36p Kana Medium __L" w:hAnsi="@YuMincho +36p Kana Medium __L" w:eastAsia="黑体" w:cs="@YuMincho +36p Kana Medium __L"/>
      <w:bCs/>
      <w:sz w:val="32"/>
      <w:szCs w:val="32"/>
    </w:rPr>
  </w:style>
  <w:style w:type="paragraph" w:customStyle="1" w:styleId="586">
    <w:name w:val="标题 4_0"/>
    <w:basedOn w:val="182"/>
    <w:next w:val="182"/>
    <w:qFormat/>
    <w:uiPriority w:val="0"/>
    <w:pPr>
      <w:keepNext/>
      <w:keepLines/>
      <w:widowControl/>
      <w:spacing w:beforeLines="100" w:afterLines="100" w:line="240" w:lineRule="auto"/>
      <w:ind w:left="425"/>
      <w:jc w:val="left"/>
      <w:outlineLvl w:val="3"/>
    </w:pPr>
    <w:rPr>
      <w:rFonts w:ascii="Times New Roman" w:hAnsi="Times New Roman"/>
      <w:sz w:val="18"/>
      <w:szCs w:val="18"/>
    </w:rPr>
  </w:style>
  <w:style w:type="paragraph" w:customStyle="1" w:styleId="58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588">
    <w:name w:val="xl113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589">
    <w:name w:val="_Style 46"/>
    <w:basedOn w:val="15"/>
    <w:qFormat/>
    <w:uiPriority w:val="0"/>
    <w:pPr>
      <w:shd w:val="clear" w:color="auto" w:fill="000080"/>
      <w:spacing w:afterLines="0" w:line="240" w:lineRule="auto"/>
    </w:pPr>
    <w:rPr>
      <w:rFonts w:ascii="Tahoma" w:hAnsi="Tahoma"/>
      <w:i/>
      <w:sz w:val="24"/>
      <w:szCs w:val="24"/>
    </w:rPr>
  </w:style>
  <w:style w:type="paragraph" w:customStyle="1" w:styleId="590">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591">
    <w:name w:val="标题 7_0"/>
    <w:basedOn w:val="182"/>
    <w:next w:val="182"/>
    <w:qFormat/>
    <w:uiPriority w:val="0"/>
    <w:pPr>
      <w:keepNext/>
      <w:keepLines/>
      <w:widowControl/>
      <w:tabs>
        <w:tab w:val="left" w:pos="1152"/>
      </w:tabs>
      <w:spacing w:beforeLines="100" w:afterLines="100" w:line="240" w:lineRule="auto"/>
      <w:jc w:val="left"/>
      <w:outlineLvl w:val="6"/>
    </w:pPr>
    <w:rPr>
      <w:rFonts w:ascii="Arial Rounded MT Bold" w:hAnsi="Arial Rounded MT Bold" w:eastAsia="仿宋_GB2312" w:cs="Arial Rounded MT Bold"/>
      <w:b/>
      <w:bCs/>
      <w:kern w:val="0"/>
      <w:sz w:val="24"/>
      <w:szCs w:val="24"/>
    </w:rPr>
  </w:style>
  <w:style w:type="paragraph" w:customStyle="1" w:styleId="592">
    <w:name w:val="xl1232973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textAlignment w:val="center"/>
    </w:pPr>
    <w:rPr>
      <w:rFonts w:ascii="微软雅黑" w:hAnsi="微软雅黑" w:eastAsia="微软雅黑" w:cs="宋体"/>
      <w:b/>
      <w:bCs/>
      <w:color w:val="FFFFFF"/>
      <w:kern w:val="0"/>
      <w:sz w:val="22"/>
      <w:szCs w:val="22"/>
    </w:rPr>
  </w:style>
  <w:style w:type="paragraph" w:customStyle="1" w:styleId="59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微软雅黑" w:hAnsi="微软雅黑" w:eastAsia="微软雅黑" w:cs="宋体"/>
      <w:kern w:val="0"/>
      <w:sz w:val="24"/>
    </w:rPr>
  </w:style>
  <w:style w:type="paragraph" w:customStyle="1" w:styleId="594">
    <w:name w:val="图"/>
    <w:basedOn w:val="1"/>
    <w:qFormat/>
    <w:uiPriority w:val="0"/>
    <w:pPr>
      <w:keepNext/>
      <w:adjustRightInd w:val="0"/>
      <w:spacing w:before="60" w:after="60" w:line="300" w:lineRule="auto"/>
      <w:jc w:val="center"/>
      <w:textAlignment w:val="center"/>
    </w:pPr>
    <w:rPr>
      <w:rFonts w:ascii="Calibri" w:hAnsi="Calibri"/>
      <w:snapToGrid w:val="0"/>
      <w:spacing w:val="20"/>
      <w:sz w:val="24"/>
      <w:szCs w:val="22"/>
    </w:rPr>
  </w:style>
  <w:style w:type="paragraph" w:customStyle="1" w:styleId="595">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596">
    <w:name w:val="样式41"/>
    <w:basedOn w:val="1"/>
    <w:qFormat/>
    <w:uiPriority w:val="0"/>
    <w:pPr>
      <w:tabs>
        <w:tab w:val="left" w:pos="420"/>
        <w:tab w:val="left" w:pos="945"/>
      </w:tabs>
      <w:spacing w:line="360" w:lineRule="auto"/>
      <w:ind w:hanging="420"/>
    </w:pPr>
    <w:rPr>
      <w:b/>
      <w:color w:val="000000"/>
      <w:sz w:val="24"/>
      <w:szCs w:val="20"/>
    </w:rPr>
  </w:style>
  <w:style w:type="paragraph" w:customStyle="1" w:styleId="597">
    <w:name w:val="xl13429734"/>
    <w:basedOn w:val="1"/>
    <w:qFormat/>
    <w:uiPriority w:val="0"/>
    <w:pPr>
      <w:widowControl/>
      <w:pBdr>
        <w:left w:val="single" w:color="auto" w:sz="4" w:space="0"/>
      </w:pBdr>
      <w:shd w:val="clear" w:color="000000" w:fill="FFFFFF"/>
      <w:spacing w:before="100" w:beforeAutospacing="1" w:afterAutospacing="1"/>
      <w:jc w:val="left"/>
      <w:textAlignment w:val="center"/>
    </w:pPr>
    <w:rPr>
      <w:rFonts w:ascii="微软雅黑" w:hAnsi="微软雅黑" w:eastAsia="微软雅黑" w:cs="宋体"/>
      <w:color w:val="FF0000"/>
      <w:kern w:val="0"/>
      <w:sz w:val="22"/>
      <w:szCs w:val="22"/>
    </w:rPr>
  </w:style>
  <w:style w:type="paragraph" w:customStyle="1" w:styleId="598">
    <w:name w:val="xl122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32"/>
      <w:szCs w:val="32"/>
    </w:rPr>
  </w:style>
  <w:style w:type="paragraph" w:customStyle="1" w:styleId="599">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600">
    <w:name w:val="xl147"/>
    <w:basedOn w:val="1"/>
    <w:qFormat/>
    <w:uiPriority w:val="0"/>
    <w:pPr>
      <w:widowControl/>
      <w:pBdr>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color w:val="FF0000"/>
      <w:kern w:val="0"/>
      <w:sz w:val="24"/>
    </w:rPr>
  </w:style>
  <w:style w:type="paragraph" w:customStyle="1" w:styleId="601">
    <w:name w:val="xl1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02">
    <w:name w:val="font1129734"/>
    <w:basedOn w:val="1"/>
    <w:qFormat/>
    <w:uiPriority w:val="0"/>
    <w:pPr>
      <w:widowControl/>
      <w:spacing w:before="100" w:beforeAutospacing="1" w:afterAutospacing="1"/>
      <w:jc w:val="left"/>
    </w:pPr>
    <w:rPr>
      <w:rFonts w:ascii="微软雅黑" w:hAnsi="微软雅黑" w:eastAsia="微软雅黑" w:cs="宋体"/>
      <w:color w:val="000000"/>
      <w:kern w:val="0"/>
      <w:sz w:val="22"/>
      <w:szCs w:val="22"/>
    </w:rPr>
  </w:style>
  <w:style w:type="paragraph" w:customStyle="1" w:styleId="603">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604">
    <w:name w:val="font529734"/>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05">
    <w:name w:val="xl105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06">
    <w:name w:val="xl39"/>
    <w:basedOn w:val="1"/>
    <w:qFormat/>
    <w:uiPriority w:val="0"/>
    <w:pPr>
      <w:widowControl/>
      <w:spacing w:before="100" w:beforeAutospacing="1" w:afterAutospacing="1"/>
      <w:jc w:val="left"/>
    </w:pPr>
    <w:rPr>
      <w:rFonts w:ascii="宋体" w:hAnsi="宋体" w:cs="宋体"/>
      <w:kern w:val="0"/>
      <w:sz w:val="24"/>
    </w:rPr>
  </w:style>
  <w:style w:type="paragraph" w:customStyle="1" w:styleId="607">
    <w:name w:val="_Style 472"/>
    <w:basedOn w:val="1"/>
    <w:next w:val="91"/>
    <w:qFormat/>
    <w:uiPriority w:val="34"/>
    <w:pPr>
      <w:ind w:firstLine="420" w:firstLineChars="200"/>
    </w:pPr>
    <w:rPr>
      <w:rFonts w:ascii="Calibri" w:hAnsi="Calibri"/>
      <w:szCs w:val="22"/>
    </w:rPr>
  </w:style>
  <w:style w:type="paragraph" w:customStyle="1" w:styleId="608">
    <w:name w:val="xl88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09">
    <w:name w:val="中等深浅网格 1 - 强调文字颜色 21"/>
    <w:basedOn w:val="1"/>
    <w:qFormat/>
    <w:uiPriority w:val="34"/>
    <w:pPr>
      <w:ind w:firstLine="420" w:firstLineChars="200"/>
    </w:pPr>
    <w:rPr>
      <w:rFonts w:ascii="Calibri" w:hAnsi="Calibri"/>
    </w:rPr>
  </w:style>
  <w:style w:type="paragraph" w:customStyle="1" w:styleId="61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611">
    <w:name w:val="xl12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1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b/>
      <w:bCs/>
      <w:kern w:val="0"/>
      <w:sz w:val="18"/>
      <w:szCs w:val="18"/>
    </w:rPr>
  </w:style>
  <w:style w:type="paragraph" w:customStyle="1" w:styleId="613">
    <w:name w:val="样式 正文缩进正文（首行缩进两字）四号四号1四号2四号11特点正文非缩进段1ALT+ZPI正文文字首行缩进...2"/>
    <w:basedOn w:val="13"/>
    <w:qFormat/>
    <w:uiPriority w:val="0"/>
    <w:pPr>
      <w:widowControl w:val="0"/>
      <w:spacing w:before="0" w:beforeLines="50" w:beforeAutospacing="0" w:after="0" w:afterAutospacing="0" w:line="360" w:lineRule="exact"/>
      <w:ind w:firstLine="200" w:firstLineChars="200"/>
      <w:jc w:val="both"/>
    </w:pPr>
    <w:rPr>
      <w:rFonts w:hAnsi="Calibri"/>
      <w:bCs/>
      <w:szCs w:val="20"/>
    </w:rPr>
  </w:style>
  <w:style w:type="paragraph" w:customStyle="1" w:styleId="614">
    <w:name w:val="Char Char Char"/>
    <w:basedOn w:val="1"/>
    <w:qFormat/>
    <w:uiPriority w:val="0"/>
    <w:rPr>
      <w:szCs w:val="20"/>
    </w:rPr>
  </w:style>
  <w:style w:type="paragraph" w:customStyle="1" w:styleId="615">
    <w:name w:val="xl110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16">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color w:val="000000"/>
      <w:kern w:val="0"/>
      <w:sz w:val="18"/>
      <w:szCs w:val="18"/>
    </w:rPr>
  </w:style>
  <w:style w:type="paragraph" w:customStyle="1" w:styleId="618">
    <w:name w:val="5号正文"/>
    <w:qFormat/>
    <w:uiPriority w:val="0"/>
    <w:pPr>
      <w:widowControl w:val="0"/>
      <w:adjustRightInd w:val="0"/>
      <w:snapToGrid w:val="0"/>
      <w:spacing w:line="360" w:lineRule="auto"/>
      <w:ind w:firstLine="200" w:firstLineChars="200"/>
      <w:jc w:val="both"/>
    </w:pPr>
    <w:rPr>
      <w:rFonts w:ascii="楷体_GB2312" w:hAnsi="Times New Roman" w:eastAsia="楷体_GB2312" w:cs="Times New Roman"/>
      <w:snapToGrid w:val="0"/>
      <w:sz w:val="24"/>
      <w:szCs w:val="28"/>
      <w:lang w:val="en-US" w:eastAsia="zh-CN" w:bidi="ar-SA"/>
    </w:rPr>
  </w:style>
  <w:style w:type="paragraph" w:customStyle="1" w:styleId="619">
    <w:name w:val="默认段落字体 Para Char Char Char Char Char Char Char Char Char Char Char Char Char"/>
    <w:basedOn w:val="1"/>
    <w:qFormat/>
    <w:uiPriority w:val="0"/>
    <w:pPr>
      <w:widowControl/>
      <w:jc w:val="left"/>
    </w:pPr>
    <w:rPr>
      <w:rFonts w:ascii="Calibri Light" w:hAnsi="Calibri Light" w:eastAsia="仿宋_GB2312"/>
      <w:kern w:val="0"/>
    </w:rPr>
  </w:style>
  <w:style w:type="paragraph" w:customStyle="1" w:styleId="620">
    <w:name w:val="xl153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21">
    <w:name w:val="标题 8_0"/>
    <w:basedOn w:val="182"/>
    <w:next w:val="182"/>
    <w:qFormat/>
    <w:uiPriority w:val="0"/>
    <w:pPr>
      <w:keepNext/>
      <w:keepLines/>
      <w:widowControl/>
      <w:tabs>
        <w:tab w:val="left" w:pos="1440"/>
      </w:tabs>
      <w:spacing w:before="240" w:after="64" w:line="319" w:lineRule="auto"/>
      <w:ind w:left="1440"/>
      <w:jc w:val="left"/>
      <w:outlineLvl w:val="7"/>
    </w:pPr>
    <w:rPr>
      <w:rFonts w:ascii="Arial" w:hAnsi="Arial" w:eastAsia="黑体"/>
      <w:kern w:val="0"/>
      <w:sz w:val="24"/>
      <w:szCs w:val="24"/>
      <w:lang w:val="en-GB"/>
    </w:rPr>
  </w:style>
  <w:style w:type="paragraph" w:customStyle="1" w:styleId="622">
    <w:name w:val="xl14829734"/>
    <w:basedOn w:val="1"/>
    <w:qFormat/>
    <w:uiPriority w:val="0"/>
    <w:pPr>
      <w:widowControl/>
      <w:pBdr>
        <w:top w:val="single" w:color="auto" w:sz="4" w:space="0"/>
        <w:lef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2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微软雅黑" w:hAnsi="微软雅黑" w:eastAsia="微软雅黑" w:cs="宋体"/>
      <w:kern w:val="0"/>
      <w:sz w:val="24"/>
    </w:rPr>
  </w:style>
  <w:style w:type="paragraph" w:customStyle="1" w:styleId="624">
    <w:name w:val="xl133"/>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25">
    <w:name w:val="xl1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26">
    <w:name w:val="xl121"/>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Autospacing="1"/>
      <w:jc w:val="left"/>
    </w:pPr>
    <w:rPr>
      <w:rFonts w:ascii="微软雅黑" w:hAnsi="微软雅黑" w:eastAsia="微软雅黑" w:cs="宋体"/>
      <w:kern w:val="0"/>
      <w:sz w:val="24"/>
    </w:rPr>
  </w:style>
  <w:style w:type="paragraph" w:customStyle="1" w:styleId="627">
    <w:name w:val="m"/>
    <w:next w:val="26"/>
    <w:qFormat/>
    <w:uiPriority w:val="0"/>
    <w:rPr>
      <w:rFonts w:ascii="宋体" w:hAnsi="Times New Roman" w:eastAsia="宋体" w:cs="Times New Roman"/>
      <w:color w:val="666666"/>
      <w:sz w:val="24"/>
      <w:lang w:val="en-US" w:eastAsia="zh-CN" w:bidi="ar-SA"/>
    </w:rPr>
  </w:style>
  <w:style w:type="paragraph" w:customStyle="1" w:styleId="628">
    <w:name w:val="正文_3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9">
    <w:name w:val="xl15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b/>
      <w:bCs/>
      <w:kern w:val="0"/>
      <w:sz w:val="22"/>
      <w:szCs w:val="22"/>
    </w:rPr>
  </w:style>
  <w:style w:type="paragraph" w:customStyle="1" w:styleId="630">
    <w:name w:val="样式 首行缩进:  2 字符"/>
    <w:basedOn w:val="1"/>
    <w:qFormat/>
    <w:uiPriority w:val="0"/>
    <w:pPr>
      <w:widowControl/>
      <w:ind w:firstLine="420" w:firstLineChars="200"/>
      <w:jc w:val="left"/>
    </w:pPr>
    <w:rPr>
      <w:rFonts w:ascii="宋体" w:hAnsi="宋体" w:cs="宋体"/>
      <w:kern w:val="0"/>
      <w:sz w:val="28"/>
      <w:szCs w:val="20"/>
    </w:rPr>
  </w:style>
  <w:style w:type="paragraph" w:customStyle="1" w:styleId="63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32">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633">
    <w:name w:val="Char Char Char Char Char Char 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34">
    <w:name w:val="需求书2"/>
    <w:basedOn w:val="1"/>
    <w:qFormat/>
    <w:uiPriority w:val="0"/>
    <w:rPr>
      <w:rFonts w:ascii="宋体" w:hAnsi="宋体"/>
      <w:b/>
      <w:spacing w:val="10"/>
      <w:sz w:val="24"/>
    </w:rPr>
  </w:style>
  <w:style w:type="paragraph" w:customStyle="1" w:styleId="635">
    <w:name w:val="xl128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36">
    <w:name w:val="xl8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637">
    <w:name w:val="二级条标题"/>
    <w:basedOn w:val="1"/>
    <w:next w:val="361"/>
    <w:qFormat/>
    <w:uiPriority w:val="0"/>
    <w:pPr>
      <w:widowControl/>
      <w:jc w:val="left"/>
      <w:outlineLvl w:val="3"/>
    </w:pPr>
    <w:rPr>
      <w:rFonts w:eastAsia="黑体"/>
      <w:kern w:val="0"/>
      <w:szCs w:val="20"/>
    </w:rPr>
  </w:style>
  <w:style w:type="paragraph" w:customStyle="1" w:styleId="638">
    <w:name w:val="xl10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39">
    <w:name w:val="xl121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color w:val="FF0000"/>
      <w:kern w:val="0"/>
      <w:sz w:val="22"/>
      <w:szCs w:val="22"/>
    </w:rPr>
  </w:style>
  <w:style w:type="paragraph" w:customStyle="1" w:styleId="64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641">
    <w:name w:val="Char Char Char Char"/>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64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24"/>
    </w:rPr>
  </w:style>
  <w:style w:type="paragraph" w:customStyle="1" w:styleId="643">
    <w:name w:val="xl91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644">
    <w:name w:val="xl51"/>
    <w:basedOn w:val="1"/>
    <w:qFormat/>
    <w:uiPriority w:val="0"/>
    <w:pPr>
      <w:widowControl/>
      <w:pBdr>
        <w:top w:val="single" w:color="auto" w:sz="4" w:space="0"/>
        <w:left w:val="single" w:color="auto" w:sz="4" w:space="0"/>
        <w:right w:val="single" w:color="auto" w:sz="4" w:space="0"/>
      </w:pBdr>
      <w:spacing w:before="100" w:beforeAutospacing="1" w:afterAutospacing="1"/>
      <w:jc w:val="left"/>
    </w:pPr>
    <w:rPr>
      <w:rFonts w:ascii="宋体" w:hAnsi="宋体" w:cs="宋体"/>
      <w:b/>
      <w:bCs/>
      <w:kern w:val="0"/>
      <w:sz w:val="24"/>
    </w:rPr>
  </w:style>
  <w:style w:type="paragraph" w:customStyle="1" w:styleId="645">
    <w:name w:val="xl118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46">
    <w:name w:val="xl85"/>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4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FF0000"/>
      <w:kern w:val="0"/>
      <w:sz w:val="18"/>
      <w:szCs w:val="18"/>
    </w:rPr>
  </w:style>
  <w:style w:type="paragraph" w:customStyle="1" w:styleId="648">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49">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0">
    <w:name w:val="1册标题3"/>
    <w:basedOn w:val="1"/>
    <w:next w:val="1"/>
    <w:qFormat/>
    <w:uiPriority w:val="0"/>
    <w:pPr>
      <w:keepNext/>
      <w:keepLines/>
      <w:adjustRightInd w:val="0"/>
      <w:spacing w:beforeLines="50" w:afterLines="50" w:line="300" w:lineRule="auto"/>
      <w:textAlignment w:val="baseline"/>
      <w:outlineLvl w:val="2"/>
    </w:pPr>
    <w:rPr>
      <w:rFonts w:ascii="Arial" w:hAnsi="Arial" w:eastAsia="黑体"/>
      <w:kern w:val="0"/>
      <w:sz w:val="30"/>
      <w:szCs w:val="20"/>
    </w:rPr>
  </w:style>
  <w:style w:type="paragraph" w:customStyle="1" w:styleId="65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kern w:val="0"/>
      <w:sz w:val="18"/>
      <w:szCs w:val="18"/>
    </w:rPr>
  </w:style>
  <w:style w:type="paragraph" w:customStyle="1" w:styleId="652">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653">
    <w:name w:val="xl14029734"/>
    <w:basedOn w:val="1"/>
    <w:qFormat/>
    <w:uiPriority w:val="0"/>
    <w:pPr>
      <w:widowControl/>
      <w:pBdr>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54">
    <w:name w:val="xl104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655">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656">
    <w:name w:val="font1229734"/>
    <w:basedOn w:val="1"/>
    <w:qFormat/>
    <w:uiPriority w:val="0"/>
    <w:pPr>
      <w:widowControl/>
      <w:spacing w:before="100" w:beforeAutospacing="1" w:afterAutospacing="1"/>
      <w:jc w:val="left"/>
    </w:pPr>
    <w:rPr>
      <w:rFonts w:ascii="微软雅黑" w:hAnsi="微软雅黑" w:eastAsia="微软雅黑" w:cs="宋体"/>
      <w:b/>
      <w:bCs/>
      <w:color w:val="000000"/>
      <w:kern w:val="0"/>
      <w:sz w:val="24"/>
    </w:rPr>
  </w:style>
  <w:style w:type="paragraph" w:customStyle="1" w:styleId="657">
    <w:name w:val="135"/>
    <w:basedOn w:val="1"/>
    <w:qFormat/>
    <w:uiPriority w:val="0"/>
    <w:pPr>
      <w:spacing w:before="100" w:beforeAutospacing="1" w:after="100" w:afterAutospacing="1" w:line="360" w:lineRule="auto"/>
    </w:pPr>
    <w:rPr>
      <w:rFonts w:ascii="宋体" w:hAnsi="宋体"/>
      <w:color w:val="000000"/>
      <w:sz w:val="24"/>
    </w:rPr>
  </w:style>
  <w:style w:type="paragraph" w:customStyle="1" w:styleId="658">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9">
    <w:name w:val="xl132"/>
    <w:basedOn w:val="1"/>
    <w:qFormat/>
    <w:uiPriority w:val="0"/>
    <w:pPr>
      <w:widowControl/>
      <w:spacing w:before="100" w:beforeAutospacing="1" w:afterAutospacing="1"/>
      <w:jc w:val="center"/>
    </w:pPr>
    <w:rPr>
      <w:rFonts w:ascii="微软雅黑" w:hAnsi="微软雅黑" w:eastAsia="微软雅黑" w:cs="宋体"/>
      <w:b/>
      <w:bCs/>
      <w:kern w:val="0"/>
      <w:sz w:val="32"/>
      <w:szCs w:val="32"/>
    </w:rPr>
  </w:style>
  <w:style w:type="paragraph" w:customStyle="1" w:styleId="660">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61">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662">
    <w:name w:val="xl144"/>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63">
    <w:name w:val="xl125"/>
    <w:basedOn w:val="1"/>
    <w:qFormat/>
    <w:uiPriority w:val="0"/>
    <w:pPr>
      <w:widowControl/>
      <w:spacing w:before="100" w:beforeAutospacing="1" w:afterAutospacing="1"/>
      <w:jc w:val="left"/>
    </w:pPr>
    <w:rPr>
      <w:rFonts w:ascii="微软雅黑" w:hAnsi="微软雅黑" w:eastAsia="微软雅黑" w:cs="宋体"/>
      <w:i/>
      <w:iCs/>
      <w:kern w:val="0"/>
      <w:sz w:val="24"/>
    </w:rPr>
  </w:style>
  <w:style w:type="paragraph" w:customStyle="1" w:styleId="664">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4"/>
    </w:rPr>
  </w:style>
  <w:style w:type="paragraph" w:customStyle="1" w:styleId="665">
    <w:name w:val="Char Char Char Char Char1 Char"/>
    <w:basedOn w:val="1"/>
    <w:qFormat/>
    <w:uiPriority w:val="0"/>
    <w:pPr>
      <w:widowControl/>
      <w:jc w:val="left"/>
    </w:pPr>
    <w:rPr>
      <w:rFonts w:ascii="Calibri Light" w:hAnsi="Calibri Light" w:eastAsia="仿宋_GB2312"/>
      <w:kern w:val="0"/>
      <w:sz w:val="24"/>
    </w:rPr>
  </w:style>
  <w:style w:type="paragraph" w:customStyle="1" w:styleId="666">
    <w:name w:val="Char1 Char Char Char"/>
    <w:basedOn w:val="1"/>
    <w:qFormat/>
    <w:uiPriority w:val="0"/>
    <w:pPr>
      <w:widowControl/>
      <w:tabs>
        <w:tab w:val="left" w:pos="990"/>
      </w:tabs>
      <w:ind w:left="990" w:hanging="420"/>
      <w:jc w:val="left"/>
    </w:pPr>
    <w:rPr>
      <w:rFonts w:ascii="宋体" w:hAnsi="宋体" w:cs="宋体"/>
      <w:kern w:val="0"/>
      <w:sz w:val="24"/>
    </w:rPr>
  </w:style>
  <w:style w:type="paragraph" w:customStyle="1" w:styleId="66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color w:val="000000"/>
      <w:kern w:val="0"/>
      <w:sz w:val="24"/>
    </w:rPr>
  </w:style>
  <w:style w:type="paragraph" w:customStyle="1" w:styleId="66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69">
    <w:name w:val="List Paragraph1"/>
    <w:basedOn w:val="1"/>
    <w:qFormat/>
    <w:uiPriority w:val="0"/>
    <w:pPr>
      <w:ind w:firstLine="420" w:firstLineChars="200"/>
    </w:pPr>
  </w:style>
  <w:style w:type="paragraph" w:customStyle="1" w:styleId="670">
    <w:name w:val="xl127"/>
    <w:basedOn w:val="1"/>
    <w:qFormat/>
    <w:uiPriority w:val="0"/>
    <w:pPr>
      <w:widowControl/>
      <w:pBdr>
        <w:top w:val="single" w:color="auto" w:sz="4" w:space="0"/>
        <w:bottom w:val="single" w:color="auto" w:sz="4" w:space="0"/>
      </w:pBdr>
      <w:shd w:val="clear" w:color="000000" w:fill="FFFFFF"/>
      <w:spacing w:before="100" w:beforeAutospacing="1" w:afterAutospacing="1"/>
      <w:jc w:val="left"/>
    </w:pPr>
    <w:rPr>
      <w:rFonts w:ascii="微软雅黑" w:hAnsi="微软雅黑" w:eastAsia="微软雅黑" w:cs="宋体"/>
      <w:b/>
      <w:bCs/>
      <w:kern w:val="0"/>
      <w:sz w:val="24"/>
    </w:rPr>
  </w:style>
  <w:style w:type="paragraph" w:customStyle="1" w:styleId="671">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24"/>
    </w:rPr>
  </w:style>
  <w:style w:type="paragraph" w:customStyle="1" w:styleId="672">
    <w:name w:val="xl1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kern w:val="0"/>
      <w:sz w:val="24"/>
    </w:rPr>
  </w:style>
  <w:style w:type="paragraph" w:customStyle="1" w:styleId="673">
    <w:name w:val="列出段落7"/>
    <w:basedOn w:val="1"/>
    <w:qFormat/>
    <w:uiPriority w:val="0"/>
    <w:pPr>
      <w:ind w:firstLine="420" w:firstLineChars="200"/>
    </w:pPr>
    <w:rPr>
      <w:rFonts w:ascii="Calibri" w:hAnsi="Calibri"/>
      <w:szCs w:val="21"/>
    </w:rPr>
  </w:style>
  <w:style w:type="paragraph" w:customStyle="1" w:styleId="674">
    <w:name w:val="_Style 482"/>
    <w:next w:val="1"/>
    <w:unhideWhenUsed/>
    <w:qFormat/>
    <w:uiPriority w:val="99"/>
    <w:pPr>
      <w:widowControl w:val="0"/>
      <w:spacing w:afterLines="25" w:line="300" w:lineRule="auto"/>
      <w:jc w:val="both"/>
    </w:pPr>
    <w:rPr>
      <w:rFonts w:ascii="Arial" w:hAnsi="Arial" w:eastAsia="宋体" w:cs="Times New Roman"/>
      <w:kern w:val="2"/>
      <w:sz w:val="21"/>
      <w:szCs w:val="24"/>
      <w:lang w:val="en-US" w:eastAsia="zh-CN" w:bidi="ar-SA"/>
    </w:rPr>
  </w:style>
  <w:style w:type="paragraph" w:customStyle="1" w:styleId="675">
    <w:name w:val="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76">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77">
    <w:name w:val="font829734"/>
    <w:basedOn w:val="1"/>
    <w:qFormat/>
    <w:uiPriority w:val="0"/>
    <w:pPr>
      <w:widowControl/>
      <w:spacing w:before="100" w:beforeAutospacing="1" w:afterAutospacing="1"/>
      <w:jc w:val="left"/>
    </w:pPr>
    <w:rPr>
      <w:rFonts w:ascii="微软雅黑" w:hAnsi="微软雅黑" w:eastAsia="微软雅黑" w:cs="宋体"/>
      <w:b/>
      <w:bCs/>
      <w:kern w:val="0"/>
      <w:sz w:val="22"/>
      <w:szCs w:val="22"/>
    </w:rPr>
  </w:style>
  <w:style w:type="paragraph" w:customStyle="1" w:styleId="67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679">
    <w:name w:val="xl112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0">
    <w:name w:val="xl131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1">
    <w:name w:val="font6"/>
    <w:basedOn w:val="1"/>
    <w:qFormat/>
    <w:uiPriority w:val="0"/>
    <w:pPr>
      <w:widowControl/>
      <w:spacing w:before="100" w:beforeAutospacing="1" w:afterAutospacing="1"/>
      <w:jc w:val="left"/>
    </w:pPr>
    <w:rPr>
      <w:rFonts w:ascii="宋体" w:hAnsi="宋体" w:cs="宋体"/>
      <w:kern w:val="0"/>
      <w:sz w:val="18"/>
      <w:szCs w:val="18"/>
    </w:rPr>
  </w:style>
  <w:style w:type="paragraph" w:customStyle="1" w:styleId="682">
    <w:name w:val="font5"/>
    <w:basedOn w:val="1"/>
    <w:qFormat/>
    <w:uiPriority w:val="0"/>
    <w:pPr>
      <w:widowControl/>
      <w:spacing w:before="100" w:beforeAutospacing="1" w:afterAutospacing="1"/>
      <w:jc w:val="left"/>
    </w:pPr>
    <w:rPr>
      <w:rFonts w:ascii="等线" w:hAnsi="等线" w:eastAsia="等线" w:cs="宋体"/>
      <w:kern w:val="0"/>
      <w:sz w:val="18"/>
      <w:szCs w:val="18"/>
    </w:rPr>
  </w:style>
  <w:style w:type="paragraph" w:customStyle="1" w:styleId="683">
    <w:name w:val="xl151"/>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4">
    <w:name w:val="xl12929734"/>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85">
    <w:name w:val="xl135"/>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18"/>
      <w:szCs w:val="18"/>
    </w:rPr>
  </w:style>
  <w:style w:type="paragraph" w:customStyle="1" w:styleId="687">
    <w:name w:val="Char2 Char Char Char"/>
    <w:basedOn w:val="1"/>
    <w:qFormat/>
    <w:uiPriority w:val="0"/>
    <w:rPr>
      <w:rFonts w:ascii="Tahoma" w:hAnsi="Tahoma"/>
      <w:sz w:val="24"/>
      <w:szCs w:val="20"/>
    </w:rPr>
  </w:style>
  <w:style w:type="paragraph" w:customStyle="1" w:styleId="688">
    <w:name w:val="xl137"/>
    <w:basedOn w:val="1"/>
    <w:qFormat/>
    <w:uiPriority w:val="0"/>
    <w:pPr>
      <w:widowControl/>
      <w:pBdr>
        <w:top w:val="single" w:color="auto" w:sz="4" w:space="0"/>
        <w:lef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89">
    <w:name w:val="xl15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690">
    <w:name w:val="f12pt1"/>
    <w:basedOn w:val="1"/>
    <w:qFormat/>
    <w:uiPriority w:val="0"/>
    <w:pPr>
      <w:spacing w:before="100" w:beforeAutospacing="1" w:after="100" w:afterAutospacing="1"/>
    </w:pPr>
    <w:rPr>
      <w:rFonts w:ascii="_GB2312" w:hAnsi="_GB2312"/>
      <w:color w:val="000000"/>
      <w:szCs w:val="21"/>
    </w:rPr>
  </w:style>
  <w:style w:type="paragraph" w:customStyle="1" w:styleId="6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692">
    <w:name w:val="xl89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693">
    <w:name w:val="xl99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694">
    <w:name w:val="Sub Item Step in Tabl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695">
    <w:name w:val="xl142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696">
    <w:name w:val="(符号)三标题1.1"/>
    <w:basedOn w:val="1"/>
    <w:qFormat/>
    <w:uiPriority w:val="0"/>
    <w:pPr>
      <w:tabs>
        <w:tab w:val="left" w:pos="420"/>
      </w:tabs>
      <w:spacing w:before="140" w:line="500" w:lineRule="exact"/>
      <w:ind w:left="624"/>
      <w:outlineLvl w:val="2"/>
    </w:pPr>
    <w:rPr>
      <w:rFonts w:ascii="楷体_GB2312" w:hAnsi="宋体" w:eastAsia="楷体_GB2312"/>
      <w:b/>
      <w:sz w:val="28"/>
      <w:szCs w:val="20"/>
    </w:rPr>
  </w:style>
  <w:style w:type="paragraph" w:customStyle="1" w:styleId="697">
    <w:name w:val="正文标题"/>
    <w:basedOn w:val="1"/>
    <w:qFormat/>
    <w:uiPriority w:val="0"/>
    <w:pPr>
      <w:spacing w:beforeLines="50" w:afterLines="50" w:line="360" w:lineRule="auto"/>
      <w:ind w:left="50" w:leftChars="50" w:right="50" w:rightChars="50"/>
      <w:jc w:val="center"/>
    </w:pPr>
    <w:rPr>
      <w:b/>
      <w:spacing w:val="40"/>
      <w:kern w:val="0"/>
      <w:sz w:val="30"/>
      <w:szCs w:val="32"/>
    </w:rPr>
  </w:style>
  <w:style w:type="paragraph" w:customStyle="1" w:styleId="698">
    <w:name w:val="xl95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699">
    <w:name w:val="xl1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700">
    <w:name w:val="Normal_23"/>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1">
    <w:name w:val="xl126297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702">
    <w:name w:val="样式 标题 5 + 五号 居中 段前: 1.5 磅 段后: 1.5 磅 行距: 多倍行距 1.57 字行"/>
    <w:basedOn w:val="7"/>
    <w:next w:val="703"/>
    <w:qFormat/>
    <w:uiPriority w:val="0"/>
    <w:pPr>
      <w:keepNext/>
      <w:keepLines/>
      <w:wordWrap/>
      <w:spacing w:before="30" w:after="30" w:line="377" w:lineRule="auto"/>
      <w:ind w:left="0" w:firstLine="0"/>
      <w:jc w:val="center"/>
    </w:pPr>
    <w:rPr>
      <w:rFonts w:ascii="Times New Roman" w:hAnsi="Times New Roman" w:cs="宋体"/>
      <w:b/>
      <w:bCs/>
      <w:lang w:eastAsia="en-US"/>
    </w:rPr>
  </w:style>
  <w:style w:type="paragraph" w:customStyle="1" w:styleId="703">
    <w:name w:val="样式 四号"/>
    <w:basedOn w:val="1"/>
    <w:qFormat/>
    <w:uiPriority w:val="0"/>
    <w:pPr>
      <w:widowControl/>
      <w:spacing w:line="360" w:lineRule="auto"/>
      <w:ind w:firstLine="200" w:firstLineChars="200"/>
      <w:jc w:val="left"/>
    </w:pPr>
    <w:rPr>
      <w:rFonts w:ascii="宋体" w:hAnsi="宋体" w:cs="宋体"/>
      <w:kern w:val="0"/>
      <w:sz w:val="28"/>
      <w:szCs w:val="20"/>
    </w:rPr>
  </w:style>
  <w:style w:type="paragraph" w:customStyle="1" w:styleId="704">
    <w:name w:val="样式2"/>
    <w:basedOn w:val="7"/>
    <w:qFormat/>
    <w:uiPriority w:val="0"/>
    <w:pPr>
      <w:keepNext/>
      <w:widowControl w:val="0"/>
      <w:wordWrap/>
      <w:spacing w:after="0" w:line="360" w:lineRule="auto"/>
      <w:ind w:left="0" w:firstLine="0"/>
    </w:pPr>
    <w:rPr>
      <w:b/>
      <w:bCs/>
      <w:kern w:val="2"/>
      <w:sz w:val="24"/>
      <w:szCs w:val="28"/>
    </w:rPr>
  </w:style>
  <w:style w:type="paragraph" w:customStyle="1" w:styleId="70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4"/>
    </w:rPr>
  </w:style>
  <w:style w:type="paragraph" w:customStyle="1" w:styleId="706">
    <w:name w:val="yiv2125247115msonormal"/>
    <w:basedOn w:val="1"/>
    <w:qFormat/>
    <w:uiPriority w:val="0"/>
    <w:pPr>
      <w:widowControl/>
      <w:spacing w:before="100" w:beforeAutospacing="1" w:afterAutospacing="1"/>
      <w:jc w:val="left"/>
    </w:pPr>
    <w:rPr>
      <w:rFonts w:ascii="宋体" w:hAnsi="宋体" w:cs="宋体"/>
      <w:kern w:val="0"/>
      <w:sz w:val="24"/>
    </w:rPr>
  </w:style>
  <w:style w:type="paragraph" w:customStyle="1" w:styleId="707">
    <w:name w:val="xl64"/>
    <w:basedOn w:val="1"/>
    <w:qFormat/>
    <w:uiPriority w:val="0"/>
    <w:pPr>
      <w:widowControl/>
      <w:pBdr>
        <w:top w:val="single" w:color="auto" w:sz="4" w:space="0"/>
        <w:left w:val="single" w:color="auto" w:sz="4" w:space="0"/>
        <w:right w:val="single" w:color="auto" w:sz="4" w:space="0"/>
      </w:pBdr>
      <w:shd w:val="clear" w:color="000000" w:fill="2254F6"/>
      <w:spacing w:before="100" w:beforeAutospacing="1" w:afterAutospacing="1"/>
      <w:jc w:val="center"/>
    </w:pPr>
    <w:rPr>
      <w:rFonts w:ascii="微软雅黑" w:hAnsi="微软雅黑" w:eastAsia="微软雅黑" w:cs="宋体"/>
      <w:b/>
      <w:bCs/>
      <w:color w:val="FFFFFF"/>
      <w:kern w:val="0"/>
      <w:sz w:val="24"/>
    </w:rPr>
  </w:style>
  <w:style w:type="paragraph" w:customStyle="1" w:styleId="708">
    <w:name w:val="xl9729734"/>
    <w:basedOn w:val="1"/>
    <w:qFormat/>
    <w:uiPriority w:val="0"/>
    <w:pPr>
      <w:widowControl/>
      <w:spacing w:before="100" w:beforeAutospacing="1" w:afterAutospacing="1"/>
      <w:jc w:val="left"/>
      <w:textAlignment w:val="center"/>
    </w:pPr>
    <w:rPr>
      <w:rFonts w:ascii="微软雅黑" w:hAnsi="微软雅黑" w:eastAsia="微软雅黑" w:cs="宋体"/>
      <w:color w:val="000000"/>
      <w:kern w:val="0"/>
      <w:sz w:val="22"/>
      <w:szCs w:val="22"/>
    </w:rPr>
  </w:style>
  <w:style w:type="paragraph" w:customStyle="1" w:styleId="709">
    <w:name w:val="1.2.3标题"/>
    <w:basedOn w:val="1"/>
    <w:next w:val="91"/>
    <w:qFormat/>
    <w:uiPriority w:val="0"/>
    <w:pPr>
      <w:ind w:firstLine="420" w:firstLineChars="200"/>
    </w:pPr>
    <w:rPr>
      <w:rFonts w:ascii="Calibri" w:hAnsi="Calibri"/>
      <w:szCs w:val="22"/>
    </w:rPr>
  </w:style>
  <w:style w:type="paragraph" w:customStyle="1" w:styleId="710">
    <w:name w:val="Normal_2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 Char Char Char Char Char1 Char Char Char Char"/>
    <w:basedOn w:val="1"/>
    <w:qFormat/>
    <w:uiPriority w:val="0"/>
    <w:pPr>
      <w:tabs>
        <w:tab w:val="left" w:pos="360"/>
      </w:tabs>
      <w:spacing w:after="160" w:line="240" w:lineRule="exact"/>
    </w:pPr>
    <w:rPr>
      <w:rFonts w:ascii="Calibri" w:hAnsi="Calibri"/>
      <w:sz w:val="24"/>
    </w:rPr>
  </w:style>
  <w:style w:type="paragraph" w:customStyle="1" w:styleId="71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18"/>
      <w:szCs w:val="18"/>
    </w:rPr>
  </w:style>
  <w:style w:type="paragraph" w:customStyle="1" w:styleId="713">
    <w:name w:val="xl130"/>
    <w:basedOn w:val="1"/>
    <w:qFormat/>
    <w:uiPriority w:val="0"/>
    <w:pPr>
      <w:widowControl/>
      <w:pBdr>
        <w:left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kern w:val="0"/>
      <w:sz w:val="24"/>
    </w:rPr>
  </w:style>
  <w:style w:type="paragraph" w:customStyle="1" w:styleId="714">
    <w:name w:val="xl127297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微软雅黑" w:hAnsi="微软雅黑" w:eastAsia="微软雅黑" w:cs="宋体"/>
      <w:kern w:val="0"/>
      <w:sz w:val="22"/>
      <w:szCs w:val="22"/>
    </w:rPr>
  </w:style>
  <w:style w:type="paragraph" w:customStyle="1" w:styleId="715">
    <w:name w:val="正文 New New New New"/>
    <w:qFormat/>
    <w:uiPriority w:val="0"/>
    <w:pPr>
      <w:widowControl w:val="0"/>
      <w:jc w:val="both"/>
    </w:pPr>
    <w:rPr>
      <w:rFonts w:ascii="Times New Roman" w:hAnsi="Times New Roman" w:eastAsia="宋体" w:cs="Times New Roman"/>
      <w:lang w:val="en-US" w:eastAsia="zh-CN" w:bidi="ar-SA"/>
    </w:rPr>
  </w:style>
  <w:style w:type="paragraph" w:customStyle="1" w:styleId="716">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717">
    <w:name w:val="font929734"/>
    <w:basedOn w:val="1"/>
    <w:qFormat/>
    <w:uiPriority w:val="0"/>
    <w:pPr>
      <w:widowControl/>
      <w:spacing w:before="100" w:beforeAutospacing="1" w:afterAutospacing="1"/>
      <w:jc w:val="left"/>
    </w:pPr>
    <w:rPr>
      <w:rFonts w:ascii="微软雅黑" w:hAnsi="微软雅黑" w:eastAsia="微软雅黑" w:cs="宋体"/>
      <w:kern w:val="0"/>
      <w:sz w:val="22"/>
      <w:szCs w:val="22"/>
    </w:rPr>
  </w:style>
  <w:style w:type="paragraph" w:customStyle="1" w:styleId="718">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719">
    <w:name w:val="xl9829734"/>
    <w:basedOn w:val="1"/>
    <w:qFormat/>
    <w:uiPriority w:val="0"/>
    <w:pPr>
      <w:widowControl/>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720">
    <w:name w:val="Char1"/>
    <w:basedOn w:val="1"/>
    <w:qFormat/>
    <w:uiPriority w:val="0"/>
    <w:pPr>
      <w:spacing w:line="360" w:lineRule="auto"/>
      <w:ind w:firstLine="200" w:firstLineChars="200"/>
    </w:pPr>
    <w:rPr>
      <w:rFonts w:ascii="宋体" w:hAnsi="宋体" w:cs="宋体"/>
      <w:sz w:val="24"/>
    </w:rPr>
  </w:style>
  <w:style w:type="paragraph" w:customStyle="1" w:styleId="721">
    <w:name w:val="列表段落1"/>
    <w:basedOn w:val="1"/>
    <w:qFormat/>
    <w:uiPriority w:val="34"/>
    <w:pPr>
      <w:ind w:firstLine="420" w:firstLineChars="200"/>
    </w:pPr>
    <w:rPr>
      <w:szCs w:val="20"/>
    </w:rPr>
  </w:style>
  <w:style w:type="paragraph" w:customStyle="1" w:styleId="7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24"/>
    </w:rPr>
  </w:style>
  <w:style w:type="paragraph" w:customStyle="1" w:styleId="723">
    <w:name w:val="xl1562973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2"/>
      <w:szCs w:val="22"/>
    </w:rPr>
  </w:style>
  <w:style w:type="paragraph" w:customStyle="1" w:styleId="72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微软雅黑" w:hAnsi="微软雅黑" w:eastAsia="微软雅黑" w:cs="宋体"/>
      <w:kern w:val="0"/>
      <w:sz w:val="24"/>
    </w:rPr>
  </w:style>
  <w:style w:type="paragraph" w:customStyle="1" w:styleId="725">
    <w:name w:val="font1"/>
    <w:basedOn w:val="1"/>
    <w:qFormat/>
    <w:uiPriority w:val="0"/>
    <w:pPr>
      <w:widowControl/>
      <w:spacing w:before="100" w:beforeAutospacing="1" w:afterAutospacing="1"/>
      <w:jc w:val="left"/>
    </w:pPr>
    <w:rPr>
      <w:rFonts w:ascii="宋体" w:hAnsi="宋体" w:cs="宋体"/>
      <w:color w:val="000000"/>
      <w:kern w:val="0"/>
      <w:sz w:val="22"/>
      <w:szCs w:val="22"/>
    </w:rPr>
  </w:style>
  <w:style w:type="paragraph" w:customStyle="1" w:styleId="726">
    <w:name w:val="样式 New"/>
    <w:basedOn w:val="194"/>
    <w:next w:val="1"/>
    <w:qFormat/>
    <w:uiPriority w:val="0"/>
    <w:pPr>
      <w:widowControl w:val="0"/>
      <w:spacing w:line="240" w:lineRule="auto"/>
      <w:ind w:left="572" w:right="32" w:firstLine="478"/>
      <w:jc w:val="both"/>
    </w:pPr>
    <w:rPr>
      <w:rFonts w:hint="eastAsia" w:cs="Times New Roman"/>
      <w:kern w:val="2"/>
      <w:sz w:val="21"/>
      <w:szCs w:val="20"/>
    </w:rPr>
  </w:style>
  <w:style w:type="paragraph" w:customStyle="1" w:styleId="727">
    <w:name w:val="xl9429734"/>
    <w:basedOn w:val="1"/>
    <w:qFormat/>
    <w:uiPriority w:val="0"/>
    <w:pPr>
      <w:widowControl/>
      <w:spacing w:before="100" w:beforeAutospacing="1" w:afterAutospacing="1"/>
      <w:jc w:val="center"/>
      <w:textAlignment w:val="center"/>
    </w:pPr>
    <w:rPr>
      <w:rFonts w:ascii="微软雅黑" w:hAnsi="微软雅黑" w:eastAsia="微软雅黑" w:cs="宋体"/>
      <w:kern w:val="0"/>
      <w:sz w:val="20"/>
      <w:szCs w:val="20"/>
    </w:rPr>
  </w:style>
  <w:style w:type="paragraph" w:customStyle="1" w:styleId="728">
    <w:name w:val="正文首行缩进3"/>
    <w:basedOn w:val="1"/>
    <w:qFormat/>
    <w:uiPriority w:val="0"/>
    <w:pPr>
      <w:spacing w:afterLines="30" w:line="288" w:lineRule="auto"/>
      <w:ind w:firstLine="480" w:firstLineChars="200"/>
    </w:pPr>
    <w:rPr>
      <w:sz w:val="24"/>
      <w:lang w:val="en-GB"/>
    </w:rPr>
  </w:style>
  <w:style w:type="paragraph" w:customStyle="1" w:styleId="729">
    <w:name w:val="xl106"/>
    <w:basedOn w:val="1"/>
    <w:qFormat/>
    <w:uiPriority w:val="0"/>
    <w:pPr>
      <w:widowControl/>
      <w:spacing w:before="100" w:beforeAutospacing="1" w:afterAutospacing="1"/>
      <w:jc w:val="center"/>
    </w:pPr>
    <w:rPr>
      <w:rFonts w:ascii="宋体" w:hAnsi="宋体" w:cs="宋体"/>
      <w:kern w:val="0"/>
      <w:sz w:val="24"/>
    </w:rPr>
  </w:style>
  <w:style w:type="paragraph" w:customStyle="1" w:styleId="730">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pPr>
    <w:rPr>
      <w:rFonts w:ascii="微软雅黑" w:hAnsi="微软雅黑" w:eastAsia="微软雅黑" w:cs="宋体"/>
      <w:color w:val="FF0000"/>
      <w:kern w:val="0"/>
      <w:sz w:val="24"/>
    </w:rPr>
  </w:style>
  <w:style w:type="paragraph" w:customStyle="1" w:styleId="731">
    <w:name w:val="xl13529734"/>
    <w:basedOn w:val="1"/>
    <w:qFormat/>
    <w:uiPriority w:val="0"/>
    <w:pPr>
      <w:widowControl/>
      <w:shd w:val="clear" w:color="000000" w:fill="FFFFFF"/>
      <w:spacing w:before="100" w:beforeAutospacing="1" w:afterAutospacing="1"/>
      <w:jc w:val="left"/>
      <w:textAlignment w:val="center"/>
    </w:pPr>
    <w:rPr>
      <w:rFonts w:ascii="微软雅黑" w:hAnsi="微软雅黑" w:eastAsia="微软雅黑" w:cs="宋体"/>
      <w:i/>
      <w:iCs/>
      <w:kern w:val="0"/>
      <w:sz w:val="22"/>
      <w:szCs w:val="22"/>
    </w:rPr>
  </w:style>
  <w:style w:type="paragraph" w:customStyle="1" w:styleId="732">
    <w:name w:val="_Style 76"/>
    <w:basedOn w:val="1"/>
    <w:qFormat/>
    <w:uiPriority w:val="0"/>
    <w:pPr>
      <w:spacing w:line="240" w:lineRule="atLeast"/>
      <w:ind w:left="420" w:firstLine="420"/>
    </w:pPr>
    <w:rPr>
      <w:kern w:val="0"/>
      <w:szCs w:val="21"/>
    </w:rPr>
  </w:style>
  <w:style w:type="paragraph" w:customStyle="1" w:styleId="733">
    <w:name w:val="font7"/>
    <w:basedOn w:val="1"/>
    <w:qFormat/>
    <w:uiPriority w:val="0"/>
    <w:pPr>
      <w:widowControl/>
      <w:spacing w:before="100" w:beforeAutospacing="1" w:afterAutospacing="1"/>
      <w:jc w:val="left"/>
    </w:pPr>
    <w:rPr>
      <w:rFonts w:ascii="等线" w:hAnsi="等线" w:eastAsia="等线" w:cs="宋体"/>
      <w:kern w:val="0"/>
      <w:sz w:val="18"/>
      <w:szCs w:val="18"/>
    </w:rPr>
  </w:style>
  <w:style w:type="paragraph" w:customStyle="1" w:styleId="734">
    <w:name w:val="xl1302973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Autospacing="1"/>
      <w:jc w:val="left"/>
      <w:textAlignment w:val="center"/>
    </w:pPr>
    <w:rPr>
      <w:rFonts w:ascii="微软雅黑" w:hAnsi="微软雅黑" w:eastAsia="微软雅黑" w:cs="宋体"/>
      <w:kern w:val="0"/>
      <w:sz w:val="22"/>
      <w:szCs w:val="22"/>
    </w:rPr>
  </w:style>
  <w:style w:type="paragraph" w:customStyle="1" w:styleId="735">
    <w:name w:val="_Style 48211"/>
    <w:basedOn w:val="1"/>
    <w:next w:val="1"/>
    <w:unhideWhenUsed/>
    <w:qFormat/>
    <w:uiPriority w:val="99"/>
    <w:pPr>
      <w:spacing w:afterLines="25" w:line="300" w:lineRule="auto"/>
    </w:pPr>
    <w:rPr>
      <w:rFonts w:ascii="Arial" w:hAnsi="Arial"/>
    </w:rPr>
  </w:style>
  <w:style w:type="paragraph" w:customStyle="1" w:styleId="73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pPr>
    <w:rPr>
      <w:rFonts w:ascii="微软雅黑" w:hAnsi="微软雅黑" w:eastAsia="微软雅黑" w:cs="宋体"/>
      <w:b/>
      <w:bCs/>
      <w:color w:val="FFFFFF"/>
      <w:kern w:val="0"/>
      <w:sz w:val="24"/>
    </w:rPr>
  </w:style>
  <w:style w:type="paragraph" w:customStyle="1" w:styleId="737">
    <w:name w:val="xl9329734"/>
    <w:basedOn w:val="1"/>
    <w:qFormat/>
    <w:uiPriority w:val="0"/>
    <w:pPr>
      <w:widowControl/>
      <w:spacing w:before="100" w:beforeAutospacing="1" w:afterAutospacing="1"/>
      <w:jc w:val="center"/>
      <w:textAlignment w:val="center"/>
    </w:pPr>
    <w:rPr>
      <w:rFonts w:ascii="微软雅黑" w:hAnsi="微软雅黑" w:eastAsia="微软雅黑" w:cs="宋体"/>
      <w:b/>
      <w:bCs/>
      <w:kern w:val="0"/>
      <w:sz w:val="24"/>
    </w:rPr>
  </w:style>
  <w:style w:type="paragraph" w:customStyle="1" w:styleId="73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pPr>
    <w:rPr>
      <w:rFonts w:ascii="宋体" w:hAnsi="宋体" w:cs="宋体"/>
      <w:b/>
      <w:bCs/>
      <w:kern w:val="0"/>
      <w:sz w:val="28"/>
      <w:szCs w:val="28"/>
    </w:rPr>
  </w:style>
  <w:style w:type="paragraph" w:customStyle="1" w:styleId="739">
    <w:name w:val="xl12429734"/>
    <w:basedOn w:val="1"/>
    <w:qFormat/>
    <w:uiPriority w:val="0"/>
    <w:pPr>
      <w:widowControl/>
      <w:pBdr>
        <w:top w:val="single" w:color="auto" w:sz="4" w:space="0"/>
        <w:left w:val="single" w:color="auto" w:sz="4" w:space="0"/>
        <w:bottom w:val="single" w:color="auto" w:sz="4" w:space="0"/>
        <w:right w:val="single" w:color="auto" w:sz="4" w:space="0"/>
      </w:pBdr>
      <w:shd w:val="clear" w:color="000000" w:fill="0070C0"/>
      <w:spacing w:before="100" w:beforeAutospacing="1" w:afterAutospacing="1"/>
      <w:jc w:val="center"/>
      <w:textAlignment w:val="center"/>
    </w:pPr>
    <w:rPr>
      <w:rFonts w:ascii="微软雅黑" w:hAnsi="微软雅黑" w:eastAsia="微软雅黑" w:cs="宋体"/>
      <w:b/>
      <w:bCs/>
      <w:color w:val="FFFFFF"/>
      <w:kern w:val="0"/>
      <w:sz w:val="22"/>
      <w:szCs w:val="22"/>
    </w:rPr>
  </w:style>
  <w:style w:type="paragraph" w:customStyle="1" w:styleId="740">
    <w:name w:val="xl159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center"/>
      <w:textAlignment w:val="center"/>
    </w:pPr>
    <w:rPr>
      <w:rFonts w:ascii="微软雅黑" w:hAnsi="微软雅黑" w:eastAsia="微软雅黑" w:cs="宋体"/>
      <w:kern w:val="0"/>
      <w:sz w:val="24"/>
    </w:rPr>
  </w:style>
  <w:style w:type="paragraph" w:customStyle="1" w:styleId="741">
    <w:name w:val="xl9229734"/>
    <w:basedOn w:val="1"/>
    <w:qFormat/>
    <w:uiPriority w:val="0"/>
    <w:pPr>
      <w:widowControl/>
      <w:spacing w:before="100" w:beforeAutospacing="1" w:afterAutospacing="1"/>
      <w:jc w:val="left"/>
      <w:textAlignment w:val="center"/>
    </w:pPr>
    <w:rPr>
      <w:rFonts w:ascii="微软雅黑" w:hAnsi="微软雅黑" w:eastAsia="微软雅黑" w:cs="宋体"/>
      <w:b/>
      <w:bCs/>
      <w:kern w:val="0"/>
      <w:sz w:val="24"/>
    </w:rPr>
  </w:style>
  <w:style w:type="paragraph" w:customStyle="1" w:styleId="74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pPr>
    <w:rPr>
      <w:rFonts w:ascii="宋体" w:hAnsi="宋体" w:cs="宋体"/>
      <w:kern w:val="0"/>
      <w:sz w:val="18"/>
      <w:szCs w:val="18"/>
    </w:rPr>
  </w:style>
  <w:style w:type="paragraph" w:customStyle="1" w:styleId="743">
    <w:name w:val="xl157297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Autospacing="1"/>
      <w:jc w:val="left"/>
      <w:textAlignment w:val="top"/>
    </w:pPr>
    <w:rPr>
      <w:rFonts w:ascii="微软雅黑" w:hAnsi="微软雅黑" w:eastAsia="微软雅黑" w:cs="宋体"/>
      <w:kern w:val="0"/>
      <w:sz w:val="22"/>
      <w:szCs w:val="22"/>
    </w:rPr>
  </w:style>
  <w:style w:type="table" w:customStyle="1" w:styleId="744">
    <w:name w:val="网格型2"/>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5">
    <w:name w:val="网格型1"/>
    <w:basedOn w:val="47"/>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6">
    <w:name w:val="浅色底纹11"/>
    <w:basedOn w:val="47"/>
    <w:qFormat/>
    <w:uiPriority w:val="60"/>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47">
    <w:name w:val="Table Normal"/>
    <w:unhideWhenUsed/>
    <w:qFormat/>
    <w:uiPriority w:val="0"/>
    <w:tblPr>
      <w:tblCellMar>
        <w:top w:w="0" w:type="dxa"/>
        <w:left w:w="0" w:type="dxa"/>
        <w:bottom w:w="0" w:type="dxa"/>
        <w:right w:w="0" w:type="dxa"/>
      </w:tblCellMar>
    </w:tblPr>
  </w:style>
  <w:style w:type="table" w:customStyle="1" w:styleId="748">
    <w:name w:val="日历 4"/>
    <w:basedOn w:val="47"/>
    <w:qFormat/>
    <w:uiPriority w:val="99"/>
    <w:pPr>
      <w:snapToGrid w:val="0"/>
    </w:pPr>
    <w:rPr>
      <w:rFonts w:ascii="Calibri" w:hAnsi="Calibri"/>
      <w:b/>
      <w:color w:val="FFFFFF"/>
      <w:sz w:val="16"/>
      <w:szCs w:val="22"/>
    </w:rPr>
    <w:tblPr>
      <w:tblBorders>
        <w:top w:val="single" w:color="C0504D" w:sz="4" w:space="0"/>
        <w:left w:val="single" w:color="C0504D" w:sz="4" w:space="0"/>
        <w:bottom w:val="single" w:color="C0504D" w:sz="4" w:space="0"/>
        <w:right w:val="single" w:color="C0504D" w:sz="4" w:space="0"/>
      </w:tblBorders>
      <w:tblCellMar>
        <w:top w:w="0" w:type="dxa"/>
        <w:left w:w="108" w:type="dxa"/>
        <w:bottom w:w="0" w:type="dxa"/>
        <w:right w:w="108" w:type="dxa"/>
      </w:tblCellMar>
    </w:tblPr>
    <w:tcPr>
      <w:shd w:val="clear" w:color="auto" w:fill="244061"/>
    </w:tcPr>
    <w:tblStylePr w:type="firstRow">
      <w:rPr>
        <w:sz w:val="8"/>
      </w:rPr>
    </w:tblStylePr>
    <w:tblStylePr w:type="firstCol">
      <w:pPr>
        <w:wordWrap/>
        <w:ind w:right="144"/>
        <w:jc w:val="right"/>
      </w:pPr>
      <w:rPr>
        <w:b/>
        <w:i w:val="0"/>
        <w:sz w:val="72"/>
      </w:rPr>
    </w:tblStylePr>
    <w:tblStylePr w:type="band1Horz">
      <w:rPr>
        <w:sz w:val="16"/>
      </w:rPr>
    </w:tblStylePr>
    <w:tblStylePr w:type="band2Horz">
      <w:rPr>
        <w:sz w:val="40"/>
      </w:rPr>
      <w:tcPr>
        <w:tcMar>
          <w:top w:w="0" w:type="dxa"/>
          <w:left w:w="115" w:type="dxa"/>
          <w:bottom w:w="86" w:type="dxa"/>
          <w:right w:w="115" w:type="dxa"/>
        </w:tcMar>
      </w:tcPr>
    </w:tblStylePr>
    <w:tblStylePr w:type="nwCell">
      <w:rPr>
        <w:sz w:val="8"/>
      </w:rPr>
    </w:tblStylePr>
  </w:style>
  <w:style w:type="table" w:customStyle="1" w:styleId="749">
    <w:name w:val="浅色底纹1"/>
    <w:basedOn w:val="47"/>
    <w:qFormat/>
    <w:uiPriority w:val="60"/>
    <w:rPr>
      <w:rFonts w:ascii="Calibri" w:hAnsi="Calibri"/>
      <w:color w:val="000000"/>
      <w:kern w:val="2"/>
      <w:sz w:val="21"/>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50">
    <w:name w:val="网格型3"/>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51">
    <w:name w:val="objwebdatawindowcontrol117d"/>
    <w:basedOn w:val="49"/>
    <w:qFormat/>
    <w:uiPriority w:val="0"/>
  </w:style>
  <w:style w:type="character" w:customStyle="1" w:styleId="752">
    <w:name w:val="objwebdatawindowcontrol1183"/>
    <w:basedOn w:val="49"/>
    <w:qFormat/>
    <w:uiPriority w:val="0"/>
  </w:style>
  <w:style w:type="character" w:customStyle="1" w:styleId="753">
    <w:name w:val="objwebdatawindowcontrol31e5"/>
    <w:basedOn w:val="4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34901</Words>
  <Characters>37733</Characters>
  <Lines>265</Lines>
  <Paragraphs>74</Paragraphs>
  <TotalTime>0</TotalTime>
  <ScaleCrop>false</ScaleCrop>
  <LinksUpToDate>false</LinksUpToDate>
  <CharactersWithSpaces>39140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2025-03-12T09:01:00Z</dcterms:created>
  <dc:creator>administrator</dc:creator>
  <cp:lastModifiedBy>西柚</cp:lastModifiedBy>
  <dcterms:modified xsi:type="dcterms:W3CDTF">2025-04-01T08:49:19Z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8D566746DC9B4B5D9ABE9EA5A0BD61A0</vt:lpwstr>
  </property>
  <property fmtid="{D5CDD505-2E9C-101B-9397-08002B2CF9AE}" pid="4" name="KSOTemplateDocerSaveRecord">
    <vt:lpwstr>eyJoZGlkIjoiN2E0YjkwZGQzOTJjMGJjNWZlNWM5YzY1NTYxMTMyZDUiLCJ1c2VySWQiOiIyMDc3NjUxODUifQ==</vt:lpwstr>
  </property>
</Properties>
</file>