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F33BA3">
      <w:pPr>
        <w:tabs>
          <w:tab w:val="left" w:pos="1251"/>
          <w:tab w:val="left" w:pos="1511"/>
        </w:tabs>
        <w:adjustRightInd w:val="0"/>
        <w:snapToGrid w:val="0"/>
        <w:spacing w:line="560" w:lineRule="exact"/>
        <w:jc w:val="right"/>
        <w:rPr>
          <w:rFonts w:ascii="宋体"/>
          <w:snapToGrid w:val="0"/>
        </w:rPr>
      </w:pPr>
      <w:r>
        <w:rPr>
          <w:rFonts w:hint="eastAsia" w:ascii="宋体"/>
          <w:snapToGrid w:val="0"/>
        </w:rPr>
        <w:t>甲方合同编号：</w:t>
      </w:r>
    </w:p>
    <w:p w14:paraId="0343DF1E">
      <w:pPr>
        <w:tabs>
          <w:tab w:val="left" w:pos="1251"/>
          <w:tab w:val="left" w:pos="1511"/>
        </w:tabs>
        <w:adjustRightInd w:val="0"/>
        <w:snapToGrid w:val="0"/>
        <w:spacing w:line="560" w:lineRule="exact"/>
        <w:ind w:firstLine="4160" w:firstLineChars="1300"/>
        <w:jc w:val="right"/>
        <w:rPr>
          <w:rFonts w:ascii="宋体"/>
          <w:snapToGrid w:val="0"/>
        </w:rPr>
      </w:pPr>
      <w:r>
        <w:rPr>
          <w:rFonts w:hint="eastAsia" w:ascii="宋体"/>
          <w:snapToGrid w:val="0"/>
        </w:rPr>
        <w:t>乙方合同编号：</w:t>
      </w:r>
    </w:p>
    <w:p w14:paraId="5DD341F6">
      <w:pPr>
        <w:adjustRightInd w:val="0"/>
        <w:snapToGrid w:val="0"/>
        <w:spacing w:line="560" w:lineRule="exact"/>
        <w:rPr>
          <w:rFonts w:ascii="方正小标宋简体" w:hAnsi="等线" w:eastAsia="方正小标宋简体" w:cs="华文中宋"/>
          <w:szCs w:val="32"/>
        </w:rPr>
      </w:pPr>
    </w:p>
    <w:p w14:paraId="0C965FD3">
      <w:pPr>
        <w:adjustRightInd w:val="0"/>
        <w:snapToGrid w:val="0"/>
        <w:spacing w:line="560" w:lineRule="exact"/>
        <w:jc w:val="center"/>
        <w:rPr>
          <w:rFonts w:ascii="黑体" w:hAnsi="黑体" w:eastAsia="黑体" w:cs="华文中宋"/>
          <w:sz w:val="44"/>
          <w:szCs w:val="44"/>
        </w:rPr>
      </w:pPr>
      <w:r>
        <w:rPr>
          <w:rFonts w:hint="eastAsia" w:ascii="黑体" w:hAnsi="黑体" w:eastAsia="黑体" w:cs="华文中宋"/>
          <w:sz w:val="44"/>
          <w:szCs w:val="44"/>
        </w:rPr>
        <w:t>深圳深港科技创新合作区发展有限公司</w:t>
      </w:r>
    </w:p>
    <w:p w14:paraId="7FE6E9E1">
      <w:pPr>
        <w:adjustRightInd w:val="0"/>
        <w:snapToGrid w:val="0"/>
        <w:spacing w:line="560" w:lineRule="exact"/>
        <w:jc w:val="center"/>
        <w:rPr>
          <w:rFonts w:ascii="黑体" w:hAnsi="黑体" w:eastAsia="黑体" w:cs="华文中宋"/>
          <w:sz w:val="44"/>
          <w:szCs w:val="44"/>
        </w:rPr>
      </w:pPr>
      <w:r>
        <w:rPr>
          <w:rFonts w:hint="eastAsia" w:ascii="黑体" w:hAnsi="黑体" w:eastAsia="黑体" w:cs="华文中宋"/>
          <w:sz w:val="44"/>
          <w:szCs w:val="44"/>
        </w:rPr>
        <w:t>2026-2027年度常年法律顾问</w:t>
      </w:r>
    </w:p>
    <w:p w14:paraId="58A760D6">
      <w:pPr>
        <w:adjustRightInd w:val="0"/>
        <w:snapToGrid w:val="0"/>
        <w:spacing w:line="560" w:lineRule="exact"/>
        <w:jc w:val="center"/>
        <w:rPr>
          <w:rFonts w:ascii="黑体" w:hAnsi="黑体" w:eastAsia="黑体"/>
          <w:sz w:val="44"/>
          <w:szCs w:val="44"/>
        </w:rPr>
      </w:pPr>
      <w:r>
        <w:rPr>
          <w:rFonts w:hint="eastAsia" w:ascii="黑体" w:hAnsi="黑体" w:eastAsia="黑体" w:cs="华文中宋"/>
          <w:sz w:val="44"/>
          <w:szCs w:val="44"/>
        </w:rPr>
        <w:t>服务合同</w:t>
      </w:r>
    </w:p>
    <w:p w14:paraId="283AD493">
      <w:pPr>
        <w:snapToGrid w:val="0"/>
        <w:spacing w:line="560" w:lineRule="exact"/>
        <w:rPr>
          <w:rFonts w:ascii="等线" w:hAnsi="等线" w:cs="华文中宋"/>
          <w:bCs/>
          <w:sz w:val="28"/>
          <w:szCs w:val="28"/>
        </w:rPr>
      </w:pPr>
    </w:p>
    <w:p w14:paraId="73F9D547">
      <w:pPr>
        <w:snapToGrid w:val="0"/>
        <w:spacing w:line="560" w:lineRule="exact"/>
        <w:rPr>
          <w:rFonts w:ascii="等线" w:hAnsi="等线"/>
        </w:rPr>
      </w:pPr>
      <w:r>
        <w:rPr>
          <w:rFonts w:hint="eastAsia" w:ascii="等线" w:hAnsi="等线" w:cs="华文中宋"/>
          <w:bCs/>
        </w:rPr>
        <w:t>甲方：</w:t>
      </w:r>
      <w:r>
        <w:rPr>
          <w:rFonts w:hint="eastAsia" w:ascii="等线" w:hAnsi="等线"/>
        </w:rPr>
        <w:t xml:space="preserve">  深圳深港科技创新合作区发展有限公司</w:t>
      </w:r>
    </w:p>
    <w:p w14:paraId="527808BE">
      <w:pPr>
        <w:snapToGrid w:val="0"/>
        <w:spacing w:line="560" w:lineRule="exact"/>
        <w:rPr>
          <w:rFonts w:ascii="等线" w:hAnsi="等线" w:cs="华文中宋"/>
          <w:bCs/>
        </w:rPr>
      </w:pPr>
      <w:r>
        <w:rPr>
          <w:rFonts w:hint="eastAsia" w:ascii="等线" w:hAnsi="等线" w:cs="华文中宋"/>
          <w:bCs/>
        </w:rPr>
        <w:t xml:space="preserve">乙方：  </w:t>
      </w:r>
    </w:p>
    <w:p w14:paraId="61F435EA">
      <w:pPr>
        <w:adjustRightInd w:val="0"/>
        <w:snapToGrid w:val="0"/>
        <w:spacing w:line="560" w:lineRule="exact"/>
        <w:ind w:firstLine="640" w:firstLineChars="200"/>
        <w:rPr>
          <w:rFonts w:ascii="等线" w:hAnsi="等线" w:cs="华文中宋"/>
        </w:rPr>
      </w:pPr>
      <w:r>
        <w:rPr>
          <w:rFonts w:hint="eastAsia" w:ascii="等线" w:hAnsi="等线" w:cs="华文中宋"/>
        </w:rPr>
        <w:t>甲方为防范经营过程中的法律风险，现委托乙方为甲方提供相关法律服务，现双方根据《中华人民共和国民法典》《中华人民共和国律师法》及其他相关法律规定，经充分协商，订立合同如下：</w:t>
      </w:r>
    </w:p>
    <w:p w14:paraId="70C54A7D">
      <w:pPr>
        <w:adjustRightInd w:val="0"/>
        <w:snapToGrid w:val="0"/>
        <w:spacing w:line="560" w:lineRule="exact"/>
        <w:ind w:firstLine="640" w:firstLineChars="200"/>
        <w:rPr>
          <w:rFonts w:ascii="黑体" w:hAnsi="黑体" w:eastAsia="黑体" w:cs="华文中宋"/>
        </w:rPr>
      </w:pPr>
      <w:r>
        <w:rPr>
          <w:rFonts w:hint="eastAsia" w:ascii="黑体" w:hAnsi="黑体" w:eastAsia="黑体" w:cs="华文中宋"/>
        </w:rPr>
        <w:t>一、服务类型</w:t>
      </w:r>
    </w:p>
    <w:p w14:paraId="5BC7A09C">
      <w:pPr>
        <w:adjustRightInd w:val="0"/>
        <w:snapToGrid w:val="0"/>
        <w:spacing w:line="560" w:lineRule="exact"/>
        <w:ind w:firstLine="640" w:firstLineChars="200"/>
        <w:rPr>
          <w:rFonts w:ascii="等线" w:hAnsi="等线" w:cs="华文中宋"/>
        </w:rPr>
      </w:pPr>
      <w:r>
        <w:rPr>
          <w:rFonts w:hint="eastAsia" w:ascii="等线" w:hAnsi="等线" w:cs="华文中宋"/>
        </w:rPr>
        <w:t>常年法律顾问服务。</w:t>
      </w:r>
    </w:p>
    <w:p w14:paraId="14695C9D">
      <w:pPr>
        <w:adjustRightInd w:val="0"/>
        <w:snapToGrid w:val="0"/>
        <w:spacing w:line="560" w:lineRule="exact"/>
        <w:ind w:firstLine="640" w:firstLineChars="200"/>
        <w:rPr>
          <w:rFonts w:ascii="黑体" w:hAnsi="黑体" w:eastAsia="黑体" w:cs="华文中宋"/>
        </w:rPr>
      </w:pPr>
      <w:r>
        <w:rPr>
          <w:rFonts w:hint="eastAsia" w:ascii="黑体" w:hAnsi="黑体" w:eastAsia="黑体" w:cs="华文中宋"/>
        </w:rPr>
        <w:t>二、服务对象</w:t>
      </w:r>
    </w:p>
    <w:p w14:paraId="2912A1A4">
      <w:pPr>
        <w:adjustRightInd w:val="0"/>
        <w:snapToGrid w:val="0"/>
        <w:spacing w:line="560" w:lineRule="exact"/>
        <w:ind w:firstLine="640" w:firstLineChars="200"/>
        <w:rPr>
          <w:rFonts w:ascii="等线" w:hAnsi="等线" w:cs="华文中宋"/>
        </w:rPr>
      </w:pPr>
      <w:r>
        <w:rPr>
          <w:rFonts w:hint="eastAsia" w:ascii="等线" w:hAnsi="等线" w:cs="华文中宋"/>
        </w:rPr>
        <w:t>甲方及控股子公司涉及的日常法律服务。</w:t>
      </w:r>
    </w:p>
    <w:p w14:paraId="4ACFE9AB">
      <w:pPr>
        <w:adjustRightInd w:val="0"/>
        <w:snapToGrid w:val="0"/>
        <w:spacing w:line="560" w:lineRule="exact"/>
        <w:ind w:firstLine="640" w:firstLineChars="200"/>
        <w:rPr>
          <w:rFonts w:ascii="黑体" w:hAnsi="黑体" w:eastAsia="黑体" w:cs="华文中宋"/>
        </w:rPr>
      </w:pPr>
      <w:r>
        <w:rPr>
          <w:rFonts w:hint="eastAsia" w:ascii="黑体" w:hAnsi="黑体" w:eastAsia="黑体" w:cs="华文中宋"/>
        </w:rPr>
        <w:t>三、服务领域及内容</w:t>
      </w:r>
    </w:p>
    <w:p w14:paraId="25441DD7">
      <w:pPr>
        <w:adjustRightInd w:val="0"/>
        <w:snapToGrid w:val="0"/>
        <w:spacing w:line="560" w:lineRule="exact"/>
        <w:ind w:firstLine="643" w:firstLineChars="200"/>
        <w:rPr>
          <w:rFonts w:ascii="等线" w:hAnsi="等线" w:cs="华文中宋"/>
          <w:b/>
        </w:rPr>
      </w:pPr>
      <w:bookmarkStart w:id="0" w:name="_Hlk40964760"/>
      <w:r>
        <w:rPr>
          <w:rFonts w:hint="eastAsia" w:ascii="等线" w:hAnsi="等线" w:cs="华文中宋"/>
          <w:b/>
        </w:rPr>
        <w:t>服务领域：</w:t>
      </w:r>
    </w:p>
    <w:p w14:paraId="413976FB">
      <w:pPr>
        <w:adjustRightInd w:val="0"/>
        <w:snapToGrid w:val="0"/>
        <w:spacing w:line="560" w:lineRule="exact"/>
        <w:ind w:firstLine="640" w:firstLineChars="200"/>
        <w:rPr>
          <w:rFonts w:ascii="等线" w:hAnsi="等线"/>
        </w:rPr>
      </w:pPr>
      <w:r>
        <w:rPr>
          <w:rFonts w:hint="eastAsia" w:ascii="等线" w:hAnsi="等线"/>
        </w:rPr>
        <w:t>（一）常规类：法人治理、制度建设、产权管理、招投标管理、合规体系建设、劳动关系、知识产权、法律培训等法律事务。</w:t>
      </w:r>
    </w:p>
    <w:p w14:paraId="549645A9">
      <w:pPr>
        <w:adjustRightInd w:val="0"/>
        <w:snapToGrid w:val="0"/>
        <w:spacing w:line="560" w:lineRule="exact"/>
        <w:ind w:firstLine="640" w:firstLineChars="200"/>
        <w:rPr>
          <w:rFonts w:ascii="等线" w:hAnsi="等线"/>
        </w:rPr>
      </w:pPr>
      <w:r>
        <w:rPr>
          <w:rFonts w:hint="eastAsia" w:ascii="等线" w:hAnsi="等线"/>
        </w:rPr>
        <w:t>（二）项目类：土地获取、建设工程、园区运营、投融资、股权转让、科创服务等法律事务。</w:t>
      </w:r>
    </w:p>
    <w:p w14:paraId="23FB535E">
      <w:pPr>
        <w:adjustRightInd w:val="0"/>
        <w:snapToGrid w:val="0"/>
        <w:spacing w:line="560" w:lineRule="exact"/>
        <w:ind w:firstLine="640" w:firstLineChars="200"/>
        <w:rPr>
          <w:rFonts w:ascii="等线" w:hAnsi="等线"/>
        </w:rPr>
      </w:pPr>
      <w:r>
        <w:rPr>
          <w:rFonts w:hint="eastAsia" w:ascii="等线" w:hAnsi="等线"/>
        </w:rPr>
        <w:t>（三）合规类：与国有资产监督管理、企业合规建设有关的咨询服务。</w:t>
      </w:r>
    </w:p>
    <w:p w14:paraId="7BB9F0FF">
      <w:pPr>
        <w:adjustRightInd w:val="0"/>
        <w:snapToGrid w:val="0"/>
        <w:spacing w:line="560" w:lineRule="exact"/>
        <w:ind w:firstLine="640" w:firstLineChars="200"/>
        <w:rPr>
          <w:rFonts w:ascii="等线" w:hAnsi="等线"/>
        </w:rPr>
      </w:pPr>
      <w:r>
        <w:rPr>
          <w:rFonts w:hint="eastAsia" w:ascii="等线" w:hAnsi="等线"/>
        </w:rPr>
        <w:t>（四）其他日常法律事务。</w:t>
      </w:r>
    </w:p>
    <w:p w14:paraId="45479DFB">
      <w:pPr>
        <w:adjustRightInd w:val="0"/>
        <w:snapToGrid w:val="0"/>
        <w:spacing w:line="560" w:lineRule="exact"/>
        <w:ind w:firstLine="640" w:firstLineChars="200"/>
        <w:rPr>
          <w:rFonts w:ascii="等线" w:hAnsi="等线"/>
        </w:rPr>
      </w:pPr>
      <w:r>
        <w:rPr>
          <w:rFonts w:ascii="等线" w:hAnsi="等线"/>
        </w:rPr>
        <w:t>以上法律服务内容不包括相关诉讼、仲裁事宜，以及经甲方书面单独立项确认的项目专项法律服务（专项服务仅限</w:t>
      </w:r>
      <w:r>
        <w:rPr>
          <w:rFonts w:hint="eastAsia" w:ascii="等线" w:hAnsi="等线"/>
        </w:rPr>
        <w:t>尽职调查、</w:t>
      </w:r>
      <w:r>
        <w:rPr>
          <w:rFonts w:ascii="等线" w:hAnsi="等线"/>
        </w:rPr>
        <w:t>公司收并购、重大重组程序的独立项目）。</w:t>
      </w:r>
    </w:p>
    <w:p w14:paraId="28A23C62">
      <w:pPr>
        <w:adjustRightInd w:val="0"/>
        <w:snapToGrid w:val="0"/>
        <w:spacing w:line="560" w:lineRule="exact"/>
        <w:ind w:firstLine="640" w:firstLineChars="200"/>
        <w:rPr>
          <w:rFonts w:ascii="等线" w:hAnsi="等线"/>
        </w:rPr>
      </w:pPr>
      <w:r>
        <w:rPr>
          <w:rFonts w:ascii="等线" w:hAnsi="等线"/>
        </w:rPr>
        <w:t>特别明确：无论涉及甲方及下属企业何种核心业务，所有类型的合同、协议及法律文书的草拟、修改与法律审查工作及意见出具，包括非诉争议处理、对外谈判协助与法律风险处置等，均原则上无条件属于本常年法律顾问服务范围；乙方不得以项目重大、金额较高、案情复杂或服务周期较长为由拒绝审查或要求按专项另行收费。某项服务是否属于</w:t>
      </w:r>
      <w:r>
        <w:rPr>
          <w:rFonts w:hint="eastAsia" w:ascii="等线" w:hAnsi="等线"/>
        </w:rPr>
        <w:t>“</w:t>
      </w:r>
      <w:r>
        <w:rPr>
          <w:rFonts w:ascii="等线" w:hAnsi="等线"/>
        </w:rPr>
        <w:t>项目专项法律服务</w:t>
      </w:r>
      <w:r>
        <w:rPr>
          <w:rFonts w:hint="eastAsia" w:ascii="等线" w:hAnsi="等线"/>
        </w:rPr>
        <w:t>”</w:t>
      </w:r>
      <w:r>
        <w:rPr>
          <w:rFonts w:ascii="等线" w:hAnsi="等线"/>
        </w:rPr>
        <w:t>，最终解释权与认定权归甲方所有。</w:t>
      </w:r>
    </w:p>
    <w:p w14:paraId="275F5B27">
      <w:pPr>
        <w:adjustRightInd w:val="0"/>
        <w:snapToGrid w:val="0"/>
        <w:spacing w:line="560" w:lineRule="exact"/>
        <w:ind w:firstLine="643" w:firstLineChars="200"/>
        <w:rPr>
          <w:rFonts w:ascii="等线" w:hAnsi="等线" w:cs="华文中宋"/>
          <w:b/>
        </w:rPr>
      </w:pPr>
      <w:r>
        <w:rPr>
          <w:rFonts w:hint="eastAsia" w:ascii="等线" w:hAnsi="等线" w:cs="华文中宋"/>
          <w:b/>
        </w:rPr>
        <w:t>服务内容：</w:t>
      </w:r>
    </w:p>
    <w:p w14:paraId="1038AC08">
      <w:pPr>
        <w:adjustRightInd w:val="0"/>
        <w:snapToGrid w:val="0"/>
        <w:spacing w:line="560" w:lineRule="exact"/>
        <w:ind w:firstLine="640" w:firstLineChars="200"/>
        <w:rPr>
          <w:rFonts w:ascii="等线" w:hAnsi="等线"/>
        </w:rPr>
      </w:pPr>
      <w:r>
        <w:rPr>
          <w:rFonts w:hint="eastAsia" w:ascii="等线" w:hAnsi="等线"/>
        </w:rPr>
        <w:t>（一）接受甲方各类业务的合规咨询以及提供法律文件的起草、修订、审核工作。</w:t>
      </w:r>
    </w:p>
    <w:p w14:paraId="692C5F9C">
      <w:pPr>
        <w:adjustRightInd w:val="0"/>
        <w:snapToGrid w:val="0"/>
        <w:spacing w:line="560" w:lineRule="exact"/>
        <w:ind w:firstLine="640" w:firstLineChars="200"/>
        <w:rPr>
          <w:rFonts w:ascii="等线" w:hAnsi="等线"/>
        </w:rPr>
      </w:pPr>
      <w:r>
        <w:rPr>
          <w:rFonts w:hint="eastAsia" w:ascii="等线" w:hAnsi="等线"/>
        </w:rPr>
        <w:t>（二）排查风险隐患并相应提出法律风险对策建议，</w:t>
      </w:r>
      <w:r>
        <w:rPr>
          <w:rFonts w:ascii="等线" w:hAnsi="等线"/>
        </w:rPr>
        <w:t>针对风险事项</w:t>
      </w:r>
      <w:r>
        <w:rPr>
          <w:rFonts w:hint="eastAsia" w:ascii="等线" w:hAnsi="等线"/>
        </w:rPr>
        <w:t>出具</w:t>
      </w:r>
      <w:r>
        <w:rPr>
          <w:rFonts w:ascii="等线" w:hAnsi="等线"/>
        </w:rPr>
        <w:t>法律</w:t>
      </w:r>
      <w:r>
        <w:rPr>
          <w:rFonts w:hint="eastAsia" w:ascii="等线" w:hAnsi="等线"/>
        </w:rPr>
        <w:t>风险提示</w:t>
      </w:r>
      <w:r>
        <w:rPr>
          <w:rFonts w:ascii="等线" w:hAnsi="等线"/>
        </w:rPr>
        <w:t>报告</w:t>
      </w:r>
      <w:r>
        <w:rPr>
          <w:rFonts w:hint="eastAsia" w:ascii="等线" w:hAnsi="等线"/>
        </w:rPr>
        <w:t>。</w:t>
      </w:r>
    </w:p>
    <w:p w14:paraId="665CC00E">
      <w:pPr>
        <w:adjustRightInd w:val="0"/>
        <w:snapToGrid w:val="0"/>
        <w:spacing w:line="560" w:lineRule="exact"/>
        <w:ind w:firstLine="640" w:firstLineChars="200"/>
        <w:rPr>
          <w:rFonts w:ascii="等线" w:hAnsi="等线"/>
        </w:rPr>
      </w:pPr>
      <w:r>
        <w:rPr>
          <w:rFonts w:hint="eastAsia" w:ascii="等线" w:hAnsi="等线"/>
        </w:rPr>
        <w:t>（三）结合过往法律服务经验，提供可供借鉴的业务管理建议，指导甲方主营业务经营发展。</w:t>
      </w:r>
    </w:p>
    <w:p w14:paraId="0F40D7DE">
      <w:pPr>
        <w:adjustRightInd w:val="0"/>
        <w:snapToGrid w:val="0"/>
        <w:spacing w:line="560" w:lineRule="exact"/>
        <w:ind w:firstLine="640" w:firstLineChars="200"/>
        <w:rPr>
          <w:rFonts w:ascii="等线" w:hAnsi="等线"/>
        </w:rPr>
      </w:pPr>
      <w:r>
        <w:rPr>
          <w:rFonts w:hint="eastAsia" w:ascii="等线" w:hAnsi="等线"/>
        </w:rPr>
        <w:t>（四）提供法律</w:t>
      </w:r>
      <w:r>
        <w:rPr>
          <w:rFonts w:ascii="等线" w:hAnsi="等线"/>
        </w:rPr>
        <w:t>风险</w:t>
      </w:r>
      <w:r>
        <w:rPr>
          <w:rFonts w:hint="eastAsia" w:ascii="等线" w:hAnsi="等线"/>
        </w:rPr>
        <w:t>培训，</w:t>
      </w:r>
      <w:r>
        <w:rPr>
          <w:rFonts w:ascii="等线" w:hAnsi="等线"/>
        </w:rPr>
        <w:t>应</w:t>
      </w:r>
      <w:r>
        <w:rPr>
          <w:rFonts w:hint="eastAsia" w:ascii="等线" w:hAnsi="等线"/>
        </w:rPr>
        <w:t>甲方</w:t>
      </w:r>
      <w:r>
        <w:rPr>
          <w:rFonts w:ascii="等线" w:hAnsi="等线"/>
        </w:rPr>
        <w:t>要求</w:t>
      </w:r>
      <w:r>
        <w:rPr>
          <w:rFonts w:hint="eastAsia" w:ascii="等线" w:hAnsi="等线"/>
        </w:rPr>
        <w:t>提供针对性的法律风险防范专题讲座。</w:t>
      </w:r>
    </w:p>
    <w:p w14:paraId="45A62003">
      <w:pPr>
        <w:adjustRightInd w:val="0"/>
        <w:snapToGrid w:val="0"/>
        <w:spacing w:line="560" w:lineRule="exact"/>
        <w:ind w:firstLine="640" w:firstLineChars="200"/>
        <w:rPr>
          <w:rFonts w:ascii="等线" w:hAnsi="等线"/>
        </w:rPr>
      </w:pPr>
      <w:r>
        <w:rPr>
          <w:rFonts w:hint="eastAsia" w:ascii="等线" w:hAnsi="等线"/>
        </w:rPr>
        <w:t>（五）协助公司处理开展上述活动过程中产生的争议和纠纷。</w:t>
      </w:r>
    </w:p>
    <w:p w14:paraId="1126EE0E">
      <w:pPr>
        <w:adjustRightInd w:val="0"/>
        <w:snapToGrid w:val="0"/>
        <w:spacing w:line="560" w:lineRule="exact"/>
        <w:ind w:firstLine="640" w:firstLineChars="200"/>
        <w:rPr>
          <w:rFonts w:ascii="黑体" w:hAnsi="黑体" w:eastAsia="黑体" w:cs="华文中宋"/>
        </w:rPr>
      </w:pPr>
      <w:r>
        <w:rPr>
          <w:rFonts w:hint="eastAsia" w:ascii="黑体" w:hAnsi="黑体" w:eastAsia="黑体" w:cs="华文中宋"/>
        </w:rPr>
        <w:t>四、服务方式</w:t>
      </w:r>
    </w:p>
    <w:p w14:paraId="1D875632">
      <w:pPr>
        <w:adjustRightInd w:val="0"/>
        <w:snapToGrid w:val="0"/>
        <w:spacing w:line="560" w:lineRule="exact"/>
        <w:ind w:firstLine="643" w:firstLineChars="200"/>
        <w:rPr>
          <w:rFonts w:ascii="等线" w:hAnsi="等线" w:cs="华文中宋"/>
          <w:b/>
        </w:rPr>
      </w:pPr>
      <w:r>
        <w:rPr>
          <w:rFonts w:hint="eastAsia" w:ascii="等线" w:hAnsi="等线" w:cs="华文中宋"/>
          <w:b/>
        </w:rPr>
        <w:t>（一）服务团队</w:t>
      </w:r>
    </w:p>
    <w:p w14:paraId="6C027E19">
      <w:pPr>
        <w:adjustRightInd w:val="0"/>
        <w:snapToGrid w:val="0"/>
        <w:spacing w:line="560" w:lineRule="exact"/>
        <w:ind w:firstLine="640" w:firstLineChars="200"/>
        <w:rPr>
          <w:rFonts w:hAnsi="等线" w:cs="华文中宋"/>
          <w:b/>
        </w:rPr>
      </w:pPr>
      <w:r>
        <w:rPr>
          <w:rFonts w:hint="eastAsia" w:hAnsi="等线"/>
        </w:rPr>
        <w:t>乙方应指派1名合伙人律师（名称</w:t>
      </w:r>
      <w:r>
        <w:rPr>
          <w:rFonts w:hint="eastAsia" w:hAnsi="等线"/>
          <w:u w:val="single"/>
        </w:rPr>
        <w:t xml:space="preserve">     </w:t>
      </w:r>
      <w:r>
        <w:rPr>
          <w:rFonts w:hint="eastAsia" w:hAnsi="等线"/>
        </w:rPr>
        <w:t>）及4名（含4名）以上的律师（不包括律师助理）组建服务团队，并指定1名</w:t>
      </w:r>
      <w:r>
        <w:rPr>
          <w:rFonts w:hint="eastAsia" w:hAnsi="等线"/>
          <w:b/>
          <w:bCs/>
        </w:rPr>
        <w:t>主办律师</w:t>
      </w:r>
      <w:r>
        <w:rPr>
          <w:rFonts w:hint="eastAsia" w:hAnsi="等线"/>
        </w:rPr>
        <w:t>（名称</w:t>
      </w:r>
      <w:r>
        <w:rPr>
          <w:rFonts w:hint="eastAsia" w:hAnsi="等线"/>
          <w:u w:val="single"/>
        </w:rPr>
        <w:t xml:space="preserve">      </w:t>
      </w:r>
      <w:r>
        <w:rPr>
          <w:rFonts w:hint="eastAsia" w:hAnsi="等线"/>
        </w:rPr>
        <w:t>）与甲方进行对接。合伙人律师与主办律师在合同期内不得擅自更换，如该合伙人律师或主办律师变动所属律所的，乙方应指派一名与前述人员履职资格、执业经验等同的其他律师；组成专业服务团队（</w:t>
      </w:r>
      <w:r>
        <w:rPr>
          <w:rFonts w:hint="eastAsia" w:hAnsi="等线"/>
          <w:b/>
        </w:rPr>
        <w:t>乙方团队具体名单见附件一</w:t>
      </w:r>
      <w:r>
        <w:rPr>
          <w:rFonts w:hint="eastAsia" w:hAnsi="等线"/>
        </w:rPr>
        <w:t>）为甲方提供法律服务，保证团队人员和服务人数的相对固定，指派的律师应熟知与甲方法律服务需求有关的专业知识及专业经验，对甲方要求应做到随时响应，并准时参加甲方通知的各类会议；对甲方向乙方指定邮箱（邮箱地址:</w:t>
      </w:r>
      <w:r>
        <w:t xml:space="preserve"> </w:t>
      </w:r>
      <w:r>
        <w:rPr>
          <w:rFonts w:hint="eastAsia" w:hAnsi="等线"/>
        </w:rPr>
        <w:t xml:space="preserve">       </w:t>
      </w:r>
      <w:r>
        <w:rPr>
          <w:rFonts w:hAnsi="等线"/>
        </w:rPr>
        <w:t xml:space="preserve"> </w:t>
      </w:r>
      <w:r>
        <w:rPr>
          <w:rFonts w:hint="eastAsia" w:hAnsi="等线"/>
        </w:rPr>
        <w:t>）发送的服务请求及时反馈。</w:t>
      </w:r>
    </w:p>
    <w:p w14:paraId="36AC7F4A">
      <w:pPr>
        <w:adjustRightInd w:val="0"/>
        <w:snapToGrid w:val="0"/>
        <w:spacing w:line="560" w:lineRule="exact"/>
        <w:ind w:firstLine="643" w:firstLineChars="200"/>
        <w:rPr>
          <w:rFonts w:ascii="等线" w:hAnsi="等线" w:cs="华文中宋"/>
          <w:b/>
        </w:rPr>
      </w:pPr>
      <w:r>
        <w:rPr>
          <w:rFonts w:hint="eastAsia" w:ascii="等线" w:hAnsi="等线" w:cs="华文中宋"/>
          <w:b/>
        </w:rPr>
        <w:t>（二）及时响应需求</w:t>
      </w:r>
    </w:p>
    <w:p w14:paraId="129C1D9E">
      <w:pPr>
        <w:snapToGrid w:val="0"/>
        <w:spacing w:line="560" w:lineRule="exact"/>
        <w:ind w:firstLine="646" w:firstLineChars="202"/>
        <w:rPr>
          <w:rFonts w:hAnsi="等线"/>
        </w:rPr>
      </w:pPr>
      <w:r>
        <w:rPr>
          <w:rFonts w:hint="eastAsia" w:hAnsi="等线"/>
        </w:rPr>
        <w:t>1.普通文件或普通合同自收到甲方发送的文件之日起24小时内起草、修订或审核完毕，并出具书面法律意见；</w:t>
      </w:r>
    </w:p>
    <w:p w14:paraId="0A28E0D0">
      <w:pPr>
        <w:snapToGrid w:val="0"/>
        <w:spacing w:line="560" w:lineRule="exact"/>
        <w:ind w:firstLine="646" w:firstLineChars="202"/>
        <w:rPr>
          <w:rFonts w:hAnsi="等线"/>
        </w:rPr>
      </w:pPr>
      <w:r>
        <w:rPr>
          <w:rFonts w:hint="eastAsia" w:hAnsi="等线"/>
        </w:rPr>
        <w:t>2.重要文件或重大合同自收到甲方发送的文件之日起48小时内起草、修订或审核完毕，并出具书面法律意见；</w:t>
      </w:r>
    </w:p>
    <w:p w14:paraId="5D4537B2">
      <w:pPr>
        <w:snapToGrid w:val="0"/>
        <w:spacing w:line="560" w:lineRule="exact"/>
        <w:ind w:firstLine="646" w:firstLineChars="202"/>
        <w:rPr>
          <w:rFonts w:hAnsi="等线"/>
        </w:rPr>
      </w:pPr>
      <w:r>
        <w:rPr>
          <w:rFonts w:hint="eastAsia" w:hAnsi="等线"/>
        </w:rPr>
        <w:t>3.如文件或合同特别复杂，在上述约定时间内确实无法完成，经甲方同意可适当延长，但最多不超过5日，同时乙方应作出书面解释。</w:t>
      </w:r>
    </w:p>
    <w:p w14:paraId="437680FB">
      <w:pPr>
        <w:snapToGrid w:val="0"/>
        <w:spacing w:line="560" w:lineRule="exact"/>
        <w:ind w:firstLine="646" w:firstLineChars="202"/>
        <w:rPr>
          <w:rFonts w:hAnsi="等线"/>
        </w:rPr>
      </w:pPr>
      <w:r>
        <w:rPr>
          <w:rFonts w:hint="eastAsia" w:hAnsi="等线"/>
        </w:rPr>
        <w:t>4.发生服务对象与第三人间纠纷的，乙方应在收到甲方通知后24小时内提出初步解决方案，并及时跟进解决。</w:t>
      </w:r>
    </w:p>
    <w:p w14:paraId="343EE471">
      <w:pPr>
        <w:snapToGrid w:val="0"/>
        <w:spacing w:line="560" w:lineRule="exact"/>
        <w:ind w:firstLine="646" w:firstLineChars="202"/>
        <w:rPr>
          <w:rFonts w:hAnsi="等线"/>
        </w:rPr>
      </w:pPr>
      <w:r>
        <w:rPr>
          <w:rFonts w:hint="eastAsia" w:hAnsi="等线"/>
        </w:rPr>
        <w:t>5.如服务对象发生突发情况或事件需乙方解决的，乙方应在2小时内</w:t>
      </w:r>
      <w:r>
        <w:rPr>
          <w:rFonts w:hAnsi="等线"/>
        </w:rPr>
        <w:t>提出初步解决方案（可通过电话、视频会议）</w:t>
      </w:r>
      <w:r>
        <w:rPr>
          <w:rFonts w:hint="eastAsia" w:hAnsi="等线"/>
        </w:rPr>
        <w:t>。如甲方要求，应在收到通知后4小时内赶到现场，提出初步解决方案，并及时跟进解决。</w:t>
      </w:r>
    </w:p>
    <w:p w14:paraId="6BCE92EC">
      <w:pPr>
        <w:adjustRightInd w:val="0"/>
        <w:snapToGrid w:val="0"/>
        <w:spacing w:line="560" w:lineRule="exact"/>
        <w:ind w:firstLine="643" w:firstLineChars="200"/>
        <w:rPr>
          <w:rFonts w:ascii="等线" w:hAnsi="等线" w:cs="华文中宋"/>
          <w:b/>
        </w:rPr>
      </w:pPr>
      <w:r>
        <w:rPr>
          <w:rFonts w:hint="eastAsia" w:ascii="等线" w:hAnsi="等线" w:cs="华文中宋"/>
          <w:b/>
        </w:rPr>
        <w:t>（三）参与甲方会议</w:t>
      </w:r>
    </w:p>
    <w:p w14:paraId="6EE759B3">
      <w:pPr>
        <w:snapToGrid w:val="0"/>
        <w:spacing w:line="560" w:lineRule="exact"/>
        <w:ind w:firstLine="646" w:firstLineChars="202"/>
        <w:rPr>
          <w:rFonts w:ascii="等线" w:hAnsi="等线"/>
        </w:rPr>
      </w:pPr>
      <w:r>
        <w:rPr>
          <w:rFonts w:hint="eastAsia" w:ascii="等线" w:hAnsi="等线"/>
        </w:rPr>
        <w:t>乙方应根据甲方的通知，准时参加甲方组织的有关会议，并发表法律意见。甲方副总裁以上领导主持召开的会议，如向乙方发出参会邀请的，应由乙方合伙人律师参加；甲方召开一般专题会议，如向乙方发出邀请的，</w:t>
      </w:r>
      <w:r>
        <w:rPr>
          <w:rFonts w:ascii="等线" w:hAnsi="等线"/>
        </w:rPr>
        <w:t>可</w:t>
      </w:r>
      <w:r>
        <w:rPr>
          <w:rFonts w:hint="eastAsia" w:ascii="等线" w:hAnsi="等线"/>
        </w:rPr>
        <w:t>由乙方主办律师参加。</w:t>
      </w:r>
    </w:p>
    <w:p w14:paraId="3C690C82">
      <w:pPr>
        <w:adjustRightInd w:val="0"/>
        <w:snapToGrid w:val="0"/>
        <w:spacing w:line="560" w:lineRule="exact"/>
        <w:ind w:firstLine="643" w:firstLineChars="200"/>
        <w:rPr>
          <w:rFonts w:ascii="等线" w:hAnsi="等线" w:cs="华文中宋"/>
          <w:b/>
        </w:rPr>
      </w:pPr>
      <w:r>
        <w:rPr>
          <w:rFonts w:hint="eastAsia" w:ascii="等线" w:hAnsi="等线" w:cs="华文中宋"/>
          <w:b/>
        </w:rPr>
        <w:t>（四）驻场办公服务</w:t>
      </w:r>
    </w:p>
    <w:p w14:paraId="2511A108">
      <w:pPr>
        <w:adjustRightInd w:val="0"/>
        <w:snapToGrid w:val="0"/>
        <w:spacing w:line="560" w:lineRule="exact"/>
        <w:ind w:firstLine="640" w:firstLineChars="200"/>
        <w:rPr>
          <w:rFonts w:hAnsi="等线" w:cs="华文中宋"/>
        </w:rPr>
      </w:pPr>
      <w:r>
        <w:rPr>
          <w:rFonts w:hint="eastAsia" w:hAnsi="等线" w:cs="华文中宋"/>
        </w:rPr>
        <w:t>1.应甲方要求，乙方应安排附件一名单内的人员常驻甲方现场办公（原则上每周一天，</w:t>
      </w:r>
      <w:r>
        <w:rPr>
          <w:rFonts w:hAnsi="等线" w:cs="华文中宋"/>
        </w:rPr>
        <w:t>甲方因紧急需要增加驻场天数的，应提前2个工作日通知乙方，每月累计额外驻场不超过</w:t>
      </w:r>
      <w:r>
        <w:rPr>
          <w:rFonts w:hint="eastAsia" w:hAnsi="等线" w:cs="华文中宋"/>
        </w:rPr>
        <w:t>4</w:t>
      </w:r>
      <w:r>
        <w:rPr>
          <w:rFonts w:hAnsi="等线" w:cs="华文中宋"/>
        </w:rPr>
        <w:t>天</w:t>
      </w:r>
      <w:r>
        <w:rPr>
          <w:rFonts w:hint="eastAsia" w:hAnsi="等线" w:cs="华文中宋"/>
        </w:rPr>
        <w:t>）；</w:t>
      </w:r>
    </w:p>
    <w:p w14:paraId="305B8686">
      <w:pPr>
        <w:adjustRightInd w:val="0"/>
        <w:snapToGrid w:val="0"/>
        <w:spacing w:line="560" w:lineRule="exact"/>
        <w:ind w:firstLine="640" w:firstLineChars="200"/>
        <w:rPr>
          <w:rFonts w:hAnsi="等线" w:cs="华文中宋"/>
        </w:rPr>
      </w:pPr>
      <w:r>
        <w:rPr>
          <w:rFonts w:hint="eastAsia" w:hAnsi="等线" w:cs="华文中宋"/>
        </w:rPr>
        <w:t>2.驻点人员不能胜任工作的，甲方有权要求更换；</w:t>
      </w:r>
    </w:p>
    <w:p w14:paraId="42449B9F">
      <w:pPr>
        <w:adjustRightInd w:val="0"/>
        <w:snapToGrid w:val="0"/>
        <w:spacing w:line="560" w:lineRule="exact"/>
        <w:ind w:firstLine="640" w:firstLineChars="200"/>
        <w:rPr>
          <w:rFonts w:hAnsi="等线" w:cs="华文中宋"/>
        </w:rPr>
      </w:pPr>
      <w:r>
        <w:rPr>
          <w:rFonts w:hint="eastAsia" w:hAnsi="等线" w:cs="华文中宋"/>
        </w:rPr>
        <w:t>3.驻点人员原则上应为一至两名固定的服务人员，确有需要时，乙方可以安排附件一名单内具有相应专业能力的律师临时替换服务人员驻场。</w:t>
      </w:r>
    </w:p>
    <w:p w14:paraId="5D12ED8A">
      <w:pPr>
        <w:adjustRightInd w:val="0"/>
        <w:snapToGrid w:val="0"/>
        <w:spacing w:line="560" w:lineRule="exact"/>
        <w:ind w:firstLine="643" w:firstLineChars="200"/>
        <w:rPr>
          <w:rFonts w:ascii="等线" w:hAnsi="等线" w:cs="华文中宋"/>
          <w:b/>
        </w:rPr>
      </w:pPr>
      <w:r>
        <w:rPr>
          <w:rFonts w:hint="eastAsia" w:ascii="等线" w:hAnsi="等线" w:cs="华文中宋"/>
          <w:b/>
        </w:rPr>
        <w:t>（五）提供书面成果</w:t>
      </w:r>
    </w:p>
    <w:p w14:paraId="3A2FAB9D">
      <w:pPr>
        <w:adjustRightInd w:val="0"/>
        <w:snapToGrid w:val="0"/>
        <w:spacing w:line="560" w:lineRule="exact"/>
        <w:ind w:firstLine="640" w:firstLineChars="200"/>
        <w:rPr>
          <w:rFonts w:ascii="等线" w:hAnsi="等线" w:cs="华文中宋"/>
        </w:rPr>
      </w:pPr>
      <w:r>
        <w:rPr>
          <w:rFonts w:hint="eastAsia" w:ascii="等线" w:hAnsi="等线" w:cs="华文中宋"/>
        </w:rPr>
        <w:t>包括但不限于根据公司实际需求出具律师函、业务合同范本、法律意见书、备忘录等文件，以及按季度、年度提交工作报告总结服务成果，具体包括：提示公司近期应关注风险点，汇报公司主要业务板块相关法律法规动态，对建立健全公司法律风险防控体系提出建议。</w:t>
      </w:r>
    </w:p>
    <w:bookmarkEnd w:id="0"/>
    <w:p w14:paraId="51D76FC4">
      <w:pPr>
        <w:adjustRightInd w:val="0"/>
        <w:snapToGrid w:val="0"/>
        <w:spacing w:line="560" w:lineRule="exact"/>
        <w:ind w:firstLine="643" w:firstLineChars="200"/>
        <w:rPr>
          <w:rFonts w:ascii="等线" w:hAnsi="等线" w:cs="华文中宋"/>
          <w:b/>
          <w:bCs/>
        </w:rPr>
      </w:pPr>
      <w:r>
        <w:rPr>
          <w:rFonts w:hint="eastAsia" w:ascii="等线" w:hAnsi="等线" w:cs="华文中宋"/>
          <w:b/>
          <w:bCs/>
        </w:rPr>
        <w:t xml:space="preserve">五、服务期限 </w:t>
      </w:r>
    </w:p>
    <w:p w14:paraId="50E781DA">
      <w:pPr>
        <w:snapToGrid w:val="0"/>
        <w:spacing w:line="560" w:lineRule="exact"/>
        <w:ind w:firstLine="640" w:firstLineChars="200"/>
        <w:rPr>
          <w:rFonts w:hAnsi="等线" w:cs="华文中宋"/>
        </w:rPr>
      </w:pPr>
      <w:r>
        <w:rPr>
          <w:rFonts w:hint="eastAsia" w:hAnsi="等线" w:cs="华文中宋"/>
        </w:rPr>
        <w:t>自</w:t>
      </w:r>
      <w:r>
        <w:rPr>
          <w:rFonts w:hAnsi="等线" w:cs="华文中宋"/>
        </w:rPr>
        <w:t>202</w:t>
      </w:r>
      <w:r>
        <w:rPr>
          <w:rFonts w:hint="eastAsia" w:hAnsi="等线" w:cs="华文中宋"/>
        </w:rPr>
        <w:t>6年  月  日至</w:t>
      </w:r>
      <w:r>
        <w:rPr>
          <w:rFonts w:hAnsi="等线" w:cs="华文中宋"/>
        </w:rPr>
        <w:t>202</w:t>
      </w:r>
      <w:r>
        <w:rPr>
          <w:rFonts w:hint="eastAsia" w:hAnsi="等线" w:cs="华文中宋"/>
        </w:rPr>
        <w:t>7年  月  日止。在服务期限剩余1个自然月时</w:t>
      </w:r>
      <w:r>
        <w:rPr>
          <w:rFonts w:hAnsi="等线" w:cs="华文中宋"/>
        </w:rPr>
        <w:t>，由甲方对乙方服务质量进行履约评价，</w:t>
      </w:r>
      <w:r>
        <w:rPr>
          <w:rFonts w:hint="eastAsia" w:hAnsi="等线" w:cs="华文中宋"/>
        </w:rPr>
        <w:t>在</w:t>
      </w:r>
      <w:r>
        <w:rPr>
          <w:rFonts w:hAnsi="等线" w:cs="华文中宋"/>
        </w:rPr>
        <w:t>评价结果</w:t>
      </w:r>
      <w:r>
        <w:rPr>
          <w:rFonts w:hint="eastAsia" w:hAnsi="等线" w:cs="华文中宋"/>
        </w:rPr>
        <w:t>为“良好”及以上的前提下，</w:t>
      </w:r>
      <w:r>
        <w:rPr>
          <w:rFonts w:hAnsi="等线" w:cs="华文中宋"/>
        </w:rPr>
        <w:t>甲方可根据项目需求决定是否续签合同，</w:t>
      </w:r>
      <w:r>
        <w:rPr>
          <w:rFonts w:hint="eastAsia" w:hAnsi="等线" w:cs="华文中宋"/>
        </w:rPr>
        <w:t>续约</w:t>
      </w:r>
      <w:r>
        <w:rPr>
          <w:rFonts w:hAnsi="等线" w:cs="华文中宋"/>
        </w:rPr>
        <w:t>服务期不超过一年。</w:t>
      </w:r>
    </w:p>
    <w:p w14:paraId="5C6D6541">
      <w:pPr>
        <w:adjustRightInd w:val="0"/>
        <w:snapToGrid w:val="0"/>
        <w:spacing w:line="560" w:lineRule="exact"/>
        <w:ind w:firstLine="640" w:firstLineChars="200"/>
        <w:rPr>
          <w:rFonts w:ascii="黑体" w:hAnsi="黑体" w:eastAsia="黑体" w:cs="华文中宋"/>
        </w:rPr>
      </w:pPr>
      <w:r>
        <w:rPr>
          <w:rFonts w:hint="eastAsia" w:ascii="黑体" w:hAnsi="黑体" w:eastAsia="黑体" w:cs="华文中宋"/>
        </w:rPr>
        <w:t>六、服务费用及支付</w:t>
      </w:r>
    </w:p>
    <w:p w14:paraId="6BD25F61">
      <w:pPr>
        <w:adjustRightInd w:val="0"/>
        <w:snapToGrid w:val="0"/>
        <w:spacing w:line="560" w:lineRule="exact"/>
        <w:ind w:firstLine="643" w:firstLineChars="200"/>
        <w:rPr>
          <w:rFonts w:ascii="等线" w:hAnsi="等线" w:cs="华文中宋"/>
          <w:b/>
        </w:rPr>
      </w:pPr>
      <w:r>
        <w:rPr>
          <w:rFonts w:hint="eastAsia" w:ascii="等线" w:hAnsi="等线" w:cs="华文中宋"/>
          <w:b/>
        </w:rPr>
        <w:t>（一）法律顾问费</w:t>
      </w:r>
    </w:p>
    <w:p w14:paraId="00A1F43E">
      <w:pPr>
        <w:snapToGrid w:val="0"/>
        <w:spacing w:line="560" w:lineRule="exact"/>
        <w:ind w:firstLine="640" w:firstLineChars="200"/>
        <w:rPr>
          <w:rFonts w:hAnsi="等线" w:cs="华文中宋"/>
        </w:rPr>
      </w:pPr>
      <w:r>
        <w:rPr>
          <w:rFonts w:hint="eastAsia" w:hAnsi="等线" w:cs="华文中宋"/>
        </w:rPr>
        <w:t>1.本合同项下法律顾问费每年为</w:t>
      </w:r>
      <w:r>
        <w:rPr>
          <w:rFonts w:hint="eastAsia" w:hAnsi="等线" w:cs="华文中宋"/>
          <w:u w:val="single"/>
        </w:rPr>
        <w:t xml:space="preserve">        </w:t>
      </w:r>
      <w:r>
        <w:rPr>
          <w:rFonts w:hint="eastAsia" w:hAnsi="等线" w:cs="华文中宋"/>
        </w:rPr>
        <w:t>元（大写：人民币</w:t>
      </w:r>
      <w:r>
        <w:rPr>
          <w:rFonts w:hint="eastAsia" w:hAnsi="等线" w:cs="华文中宋"/>
          <w:u w:val="single"/>
        </w:rPr>
        <w:t xml:space="preserve"> </w:t>
      </w:r>
      <w:r>
        <w:rPr>
          <w:rFonts w:hAnsi="等线" w:cs="华文中宋"/>
          <w:u w:val="single"/>
        </w:rPr>
        <w:t xml:space="preserve"> </w:t>
      </w:r>
      <w:r>
        <w:rPr>
          <w:rFonts w:hint="eastAsia" w:hAnsi="等线" w:cs="华文中宋"/>
          <w:u w:val="single"/>
        </w:rPr>
        <w:t xml:space="preserve">    </w:t>
      </w:r>
      <w:r>
        <w:rPr>
          <w:rFonts w:hint="eastAsia" w:hAnsi="等线" w:cs="华文中宋"/>
        </w:rPr>
        <w:t>元整）（税率6%，不含税金额为</w:t>
      </w:r>
      <w:r>
        <w:rPr>
          <w:rFonts w:hint="eastAsia" w:hAnsi="等线" w:cs="华文中宋"/>
          <w:u w:val="single"/>
        </w:rPr>
        <w:t xml:space="preserve">         </w:t>
      </w:r>
      <w:r>
        <w:rPr>
          <w:rFonts w:hint="eastAsia" w:hAnsi="等线" w:cs="华文中宋"/>
        </w:rPr>
        <w:t>元），其中20%为绩效顾问费，由甲方对乙方当年服务进行考核后依据考核结果支付。法律顾问费用是指乙方为完成本项目服务所获取的唯一对价，包括但不限于乙方因此支出的办公费用、人工费用、差旅费用、税费、奖金及利润等。</w:t>
      </w:r>
    </w:p>
    <w:p w14:paraId="6023A67E">
      <w:pPr>
        <w:snapToGrid w:val="0"/>
        <w:spacing w:line="560" w:lineRule="exact"/>
        <w:ind w:firstLine="640" w:firstLineChars="200"/>
        <w:rPr>
          <w:rFonts w:hAnsi="等线" w:cs="华文中宋"/>
        </w:rPr>
      </w:pPr>
      <w:r>
        <w:rPr>
          <w:rFonts w:hint="eastAsia" w:hAnsi="等线" w:cs="华文中宋"/>
        </w:rPr>
        <w:t>除本合同另有约定外，法律顾问费不予调整，乙方无权提出且甲方亦不接受任何增加费用的请求/索赔。</w:t>
      </w:r>
    </w:p>
    <w:p w14:paraId="5B09FDFA">
      <w:pPr>
        <w:adjustRightInd w:val="0"/>
        <w:snapToGrid w:val="0"/>
        <w:spacing w:line="560" w:lineRule="exact"/>
        <w:ind w:firstLine="643" w:firstLineChars="200"/>
        <w:rPr>
          <w:rFonts w:ascii="等线" w:hAnsi="等线" w:cs="华文中宋"/>
          <w:b/>
        </w:rPr>
      </w:pPr>
      <w:r>
        <w:rPr>
          <w:rFonts w:hint="eastAsia" w:ascii="等线" w:hAnsi="等线" w:cs="华文中宋"/>
          <w:b/>
        </w:rPr>
        <w:t>（二）法律顾问费支付</w:t>
      </w:r>
    </w:p>
    <w:p w14:paraId="2961541C">
      <w:pPr>
        <w:snapToGrid w:val="0"/>
        <w:spacing w:line="560" w:lineRule="exact"/>
        <w:ind w:firstLine="640" w:firstLineChars="200"/>
        <w:rPr>
          <w:rFonts w:hAnsi="等线" w:cs="华文中宋"/>
        </w:rPr>
      </w:pPr>
      <w:r>
        <w:rPr>
          <w:rFonts w:hint="eastAsia" w:hAnsi="等线" w:cs="华文中宋"/>
        </w:rPr>
        <w:t>1.首期顾问费：本合同签订之日起20个工作日内，甲方向乙方支付总法律顾问费的30%，即￥</w:t>
      </w:r>
      <w:r>
        <w:rPr>
          <w:rFonts w:hint="eastAsia" w:hAnsi="等线" w:cs="华文中宋"/>
          <w:u w:val="single"/>
        </w:rPr>
        <w:t xml:space="preserve">      </w:t>
      </w:r>
      <w:r>
        <w:rPr>
          <w:rFonts w:hint="eastAsia" w:hAnsi="等线" w:cs="华文中宋"/>
        </w:rPr>
        <w:t>元（大写：人民币</w:t>
      </w:r>
      <w:r>
        <w:rPr>
          <w:rFonts w:hint="eastAsia" w:hAnsi="等线" w:cs="华文中宋"/>
          <w:u w:val="single"/>
        </w:rPr>
        <w:t xml:space="preserve">      </w:t>
      </w:r>
      <w:r>
        <w:rPr>
          <w:rFonts w:hint="eastAsia" w:hAnsi="等线" w:cs="华文中宋"/>
        </w:rPr>
        <w:t>元整）；</w:t>
      </w:r>
    </w:p>
    <w:p w14:paraId="15E48C6B">
      <w:pPr>
        <w:snapToGrid w:val="0"/>
        <w:spacing w:line="560" w:lineRule="exact"/>
        <w:ind w:firstLine="640" w:firstLineChars="200"/>
        <w:rPr>
          <w:rFonts w:hAnsi="等线" w:cs="华文中宋"/>
        </w:rPr>
      </w:pPr>
      <w:r>
        <w:rPr>
          <w:rFonts w:hint="eastAsia" w:hAnsi="等线" w:cs="华文中宋"/>
        </w:rPr>
        <w:t>2.二期顾问费：在本合同履行满12个月后，甲方应支付总法律顾问费的50%，并根据考核结果支付最高不超过总法律顾问费20%的绩效顾问费。甲方履行支付前，乙方应向甲方提供真实有效的增值税专用发票（具体金额以考核结果确定）。甲方在收到前述发票后的20个工作日内予以支付。</w:t>
      </w:r>
    </w:p>
    <w:p w14:paraId="7BEB9AF7">
      <w:pPr>
        <w:snapToGrid w:val="0"/>
        <w:spacing w:line="560" w:lineRule="exact"/>
        <w:ind w:firstLine="640" w:firstLineChars="200"/>
        <w:rPr>
          <w:rFonts w:hAnsi="等线" w:cs="华文中宋"/>
        </w:rPr>
      </w:pPr>
      <w:r>
        <w:rPr>
          <w:rFonts w:hint="eastAsia" w:hAnsi="等线" w:cs="华文中宋"/>
        </w:rPr>
        <w:t>具体支付安排见下表:</w:t>
      </w:r>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2252"/>
        <w:gridCol w:w="2841"/>
      </w:tblGrid>
      <w:tr w14:paraId="291E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1" w:type="dxa"/>
            <w:vAlign w:val="center"/>
          </w:tcPr>
          <w:p w14:paraId="18A4FB7B">
            <w:pPr>
              <w:snapToGrid w:val="0"/>
              <w:spacing w:line="560" w:lineRule="exact"/>
              <w:jc w:val="center"/>
              <w:rPr>
                <w:rFonts w:hAnsi="等线" w:cs="华文中宋"/>
              </w:rPr>
            </w:pPr>
          </w:p>
        </w:tc>
        <w:tc>
          <w:tcPr>
            <w:tcW w:w="2252" w:type="dxa"/>
            <w:vAlign w:val="center"/>
          </w:tcPr>
          <w:p w14:paraId="0C505A01">
            <w:pPr>
              <w:snapToGrid w:val="0"/>
              <w:spacing w:line="560" w:lineRule="exact"/>
              <w:jc w:val="center"/>
              <w:rPr>
                <w:rFonts w:hAnsi="等线" w:cs="华文中宋"/>
              </w:rPr>
            </w:pPr>
            <w:r>
              <w:rPr>
                <w:rFonts w:hint="eastAsia" w:hAnsi="等线" w:cs="华文中宋"/>
              </w:rPr>
              <w:t>首期顾问费</w:t>
            </w:r>
          </w:p>
        </w:tc>
        <w:tc>
          <w:tcPr>
            <w:tcW w:w="2841" w:type="dxa"/>
            <w:vAlign w:val="center"/>
          </w:tcPr>
          <w:p w14:paraId="0199944F">
            <w:pPr>
              <w:snapToGrid w:val="0"/>
              <w:spacing w:line="560" w:lineRule="exact"/>
              <w:jc w:val="center"/>
              <w:rPr>
                <w:rFonts w:hAnsi="等线" w:cs="华文中宋"/>
              </w:rPr>
            </w:pPr>
            <w:r>
              <w:rPr>
                <w:rFonts w:hint="eastAsia" w:hAnsi="等线" w:cs="华文中宋"/>
              </w:rPr>
              <w:t>二期顾问费</w:t>
            </w:r>
          </w:p>
        </w:tc>
      </w:tr>
      <w:tr w14:paraId="56DC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421" w:type="dxa"/>
            <w:vAlign w:val="center"/>
          </w:tcPr>
          <w:p w14:paraId="1E516141">
            <w:pPr>
              <w:snapToGrid w:val="0"/>
              <w:spacing w:line="560" w:lineRule="exact"/>
              <w:ind w:firstLine="320" w:firstLineChars="100"/>
              <w:rPr>
                <w:rFonts w:hAnsi="等线" w:cs="华文中宋"/>
              </w:rPr>
            </w:pPr>
            <w:r>
              <w:rPr>
                <w:rFonts w:hint="eastAsia" w:hAnsi="等线" w:cs="华文中宋"/>
              </w:rPr>
              <w:t>占比</w:t>
            </w:r>
          </w:p>
        </w:tc>
        <w:tc>
          <w:tcPr>
            <w:tcW w:w="2252" w:type="dxa"/>
            <w:vAlign w:val="center"/>
          </w:tcPr>
          <w:p w14:paraId="330CB702">
            <w:pPr>
              <w:snapToGrid w:val="0"/>
              <w:spacing w:line="560" w:lineRule="exact"/>
              <w:jc w:val="center"/>
              <w:rPr>
                <w:rFonts w:hAnsi="等线" w:cs="华文中宋"/>
              </w:rPr>
            </w:pPr>
            <w:r>
              <w:rPr>
                <w:rFonts w:hint="eastAsia" w:hAnsi="等线" w:cs="华文中宋"/>
              </w:rPr>
              <w:t>30%</w:t>
            </w:r>
          </w:p>
        </w:tc>
        <w:tc>
          <w:tcPr>
            <w:tcW w:w="2841" w:type="dxa"/>
            <w:vAlign w:val="center"/>
          </w:tcPr>
          <w:p w14:paraId="09D58AA4">
            <w:pPr>
              <w:snapToGrid w:val="0"/>
              <w:spacing w:line="560" w:lineRule="exact"/>
              <w:jc w:val="center"/>
              <w:rPr>
                <w:rFonts w:hAnsi="等线" w:cs="华文中宋"/>
              </w:rPr>
            </w:pPr>
            <w:r>
              <w:rPr>
                <w:rFonts w:hint="eastAsia" w:hAnsi="等线" w:cs="华文中宋"/>
              </w:rPr>
              <w:t>50%+20%</w:t>
            </w:r>
          </w:p>
        </w:tc>
      </w:tr>
      <w:tr w14:paraId="7C62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1" w:type="dxa"/>
            <w:vAlign w:val="center"/>
          </w:tcPr>
          <w:p w14:paraId="72DDCD62">
            <w:pPr>
              <w:snapToGrid w:val="0"/>
              <w:spacing w:line="560" w:lineRule="exact"/>
              <w:rPr>
                <w:rFonts w:hAnsi="等线" w:cs="华文中宋"/>
              </w:rPr>
            </w:pPr>
            <w:r>
              <w:rPr>
                <w:rFonts w:hint="eastAsia" w:hAnsi="等线" w:cs="华文中宋"/>
              </w:rPr>
              <w:t>实际金额</w:t>
            </w:r>
          </w:p>
          <w:p w14:paraId="421D1E2A">
            <w:pPr>
              <w:snapToGrid w:val="0"/>
              <w:spacing w:line="560" w:lineRule="exact"/>
              <w:rPr>
                <w:rFonts w:hAnsi="等线" w:cs="华文中宋"/>
              </w:rPr>
            </w:pPr>
            <w:r>
              <w:rPr>
                <w:rFonts w:hint="eastAsia" w:hAnsi="等线" w:cs="华文中宋"/>
              </w:rPr>
              <w:t>（万元）</w:t>
            </w:r>
          </w:p>
        </w:tc>
        <w:tc>
          <w:tcPr>
            <w:tcW w:w="2252" w:type="dxa"/>
            <w:vAlign w:val="center"/>
          </w:tcPr>
          <w:p w14:paraId="721B0AF2">
            <w:pPr>
              <w:snapToGrid w:val="0"/>
              <w:spacing w:line="560" w:lineRule="exact"/>
              <w:jc w:val="center"/>
              <w:rPr>
                <w:rFonts w:hAnsi="等线" w:cs="华文中宋"/>
              </w:rPr>
            </w:pPr>
          </w:p>
        </w:tc>
        <w:tc>
          <w:tcPr>
            <w:tcW w:w="2841" w:type="dxa"/>
            <w:vAlign w:val="center"/>
          </w:tcPr>
          <w:p w14:paraId="127FD004">
            <w:pPr>
              <w:snapToGrid w:val="0"/>
              <w:spacing w:line="560" w:lineRule="exact"/>
              <w:jc w:val="center"/>
              <w:rPr>
                <w:rFonts w:hAnsi="等线" w:cs="华文中宋"/>
              </w:rPr>
            </w:pPr>
          </w:p>
        </w:tc>
      </w:tr>
    </w:tbl>
    <w:p w14:paraId="643DBE5E">
      <w:pPr>
        <w:snapToGrid w:val="0"/>
        <w:spacing w:line="560" w:lineRule="exact"/>
        <w:ind w:firstLine="640" w:firstLineChars="200"/>
        <w:rPr>
          <w:rFonts w:hAnsi="等线" w:cs="华文中宋"/>
        </w:rPr>
      </w:pPr>
      <w:r>
        <w:rPr>
          <w:rFonts w:hint="eastAsia" w:hAnsi="等线" w:cs="华文中宋"/>
        </w:rPr>
        <w:t>备注：“20%”系当期绩效顾问费最高值，实际支付数额应视绩效考核结果而定。</w:t>
      </w:r>
    </w:p>
    <w:p w14:paraId="2FBD116A">
      <w:pPr>
        <w:snapToGrid w:val="0"/>
        <w:spacing w:line="560" w:lineRule="exact"/>
        <w:ind w:firstLine="640" w:firstLineChars="200"/>
        <w:rPr>
          <w:rFonts w:hAnsi="等线" w:cs="华文中宋"/>
        </w:rPr>
      </w:pPr>
      <w:r>
        <w:rPr>
          <w:rFonts w:hint="eastAsia" w:hAnsi="等线" w:cs="华文中宋"/>
        </w:rPr>
        <w:t>3.绩效考核与续期</w:t>
      </w:r>
    </w:p>
    <w:p w14:paraId="0351CD41">
      <w:pPr>
        <w:snapToGrid w:val="0"/>
        <w:spacing w:line="560" w:lineRule="exact"/>
        <w:ind w:firstLine="640" w:firstLineChars="200"/>
        <w:rPr>
          <w:rFonts w:hAnsi="等线" w:cs="华文中宋"/>
        </w:rPr>
      </w:pPr>
      <w:r>
        <w:rPr>
          <w:rFonts w:hint="eastAsia" w:hAnsi="等线" w:cs="华文中宋"/>
        </w:rPr>
        <w:t>（1）考核周期：年度考核。</w:t>
      </w:r>
    </w:p>
    <w:p w14:paraId="743BDD80">
      <w:pPr>
        <w:snapToGrid w:val="0"/>
        <w:spacing w:line="560" w:lineRule="exact"/>
        <w:ind w:firstLine="640" w:firstLineChars="200"/>
        <w:rPr>
          <w:rFonts w:hAnsi="等线" w:cs="华文中宋"/>
        </w:rPr>
      </w:pPr>
      <w:r>
        <w:rPr>
          <w:rFonts w:hint="eastAsia" w:hAnsi="等线" w:cs="华文中宋"/>
        </w:rPr>
        <w:t>（2）考核方式：</w:t>
      </w:r>
      <w:r>
        <w:rPr>
          <w:rFonts w:hAnsi="等线" w:cs="华文中宋"/>
        </w:rPr>
        <w:t>由乙方在</w:t>
      </w:r>
      <w:r>
        <w:rPr>
          <w:rFonts w:hAnsi="等线" w:cs="华文中宋"/>
          <w:b/>
          <w:bCs/>
        </w:rPr>
        <w:t>服务期限剩余1个自然月时（即第11个月）向甲方提交年度</w:t>
      </w:r>
      <w:r>
        <w:rPr>
          <w:rFonts w:hAnsi="等线" w:cs="华文中宋"/>
        </w:rPr>
        <w:t>工作报告。在收到乙方提交的工作报告后的1</w:t>
      </w:r>
      <w:r>
        <w:rPr>
          <w:rFonts w:hint="eastAsia" w:hAnsi="等线" w:cs="华文中宋"/>
        </w:rPr>
        <w:t>5</w:t>
      </w:r>
      <w:r>
        <w:rPr>
          <w:rFonts w:hAnsi="等线" w:cs="华文中宋"/>
        </w:rPr>
        <w:t>个工作日内，甲方应对照本合同约定的考核内容完成考核评价并将结果告知乙方</w:t>
      </w:r>
      <w:r>
        <w:rPr>
          <w:rFonts w:hint="eastAsia" w:hAnsi="等线" w:cs="华文中宋"/>
        </w:rPr>
        <w:t>。</w:t>
      </w:r>
    </w:p>
    <w:p w14:paraId="37AD5BC2">
      <w:pPr>
        <w:snapToGrid w:val="0"/>
        <w:spacing w:line="560" w:lineRule="exact"/>
        <w:ind w:firstLine="640" w:firstLineChars="200"/>
        <w:rPr>
          <w:rFonts w:hAnsi="等线" w:cs="华文中宋"/>
        </w:rPr>
      </w:pPr>
      <w:r>
        <w:rPr>
          <w:rFonts w:hint="eastAsia" w:hAnsi="等线" w:cs="华文中宋"/>
        </w:rPr>
        <w:t>乙方服务考核评价按</w:t>
      </w:r>
      <w:r>
        <w:rPr>
          <w:rFonts w:hint="eastAsia" w:hAnsi="等线" w:cs="华文中宋"/>
          <w:b/>
          <w:bCs/>
        </w:rPr>
        <w:t>附件二</w:t>
      </w:r>
      <w:r>
        <w:rPr>
          <w:rFonts w:hint="eastAsia" w:hAnsi="等线" w:cs="华文中宋"/>
        </w:rPr>
        <w:t>执行。</w:t>
      </w:r>
    </w:p>
    <w:p w14:paraId="10A5ED62">
      <w:pPr>
        <w:snapToGrid w:val="0"/>
        <w:spacing w:line="560" w:lineRule="exact"/>
        <w:ind w:firstLine="646" w:firstLineChars="202"/>
        <w:rPr>
          <w:rFonts w:hAnsi="等线"/>
        </w:rPr>
      </w:pPr>
      <w:r>
        <w:rPr>
          <w:rFonts w:hint="eastAsia" w:hAnsi="等线"/>
        </w:rPr>
        <w:t>（3）绩效顾问费支付：每期绩效顾问费按下表支付，被扣减的绩效顾问费为永久扣除，不再以任何形式补发。</w:t>
      </w:r>
    </w:p>
    <w:tbl>
      <w:tblPr>
        <w:tblStyle w:val="89"/>
        <w:tblpPr w:leftFromText="180" w:rightFromText="180" w:vertAnchor="text" w:horzAnchor="margin" w:tblpXSpec="center" w:tblpY="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2900"/>
        <w:gridCol w:w="2429"/>
      </w:tblGrid>
      <w:tr w14:paraId="59B7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vAlign w:val="center"/>
          </w:tcPr>
          <w:p w14:paraId="48907C27">
            <w:pPr>
              <w:spacing w:line="560" w:lineRule="exact"/>
              <w:jc w:val="center"/>
              <w:rPr>
                <w:rFonts w:hAnsi="等线" w:cs="宋体"/>
              </w:rPr>
            </w:pPr>
            <w:r>
              <w:rPr>
                <w:rFonts w:hint="eastAsia" w:hAnsi="等线" w:cs="宋体"/>
              </w:rPr>
              <w:t>序号</w:t>
            </w:r>
          </w:p>
        </w:tc>
        <w:tc>
          <w:tcPr>
            <w:tcW w:w="2900" w:type="dxa"/>
            <w:vAlign w:val="center"/>
          </w:tcPr>
          <w:p w14:paraId="69F7BCCE">
            <w:pPr>
              <w:spacing w:line="560" w:lineRule="exact"/>
              <w:jc w:val="center"/>
              <w:rPr>
                <w:rFonts w:hAnsi="等线" w:cs="宋体"/>
              </w:rPr>
            </w:pPr>
            <w:r>
              <w:rPr>
                <w:rFonts w:hint="eastAsia" w:hAnsi="等线" w:cs="宋体"/>
              </w:rPr>
              <w:t>服务考核结果</w:t>
            </w:r>
          </w:p>
        </w:tc>
        <w:tc>
          <w:tcPr>
            <w:tcW w:w="2429" w:type="dxa"/>
            <w:vAlign w:val="center"/>
          </w:tcPr>
          <w:p w14:paraId="60132677">
            <w:pPr>
              <w:spacing w:line="560" w:lineRule="exact"/>
              <w:jc w:val="center"/>
              <w:rPr>
                <w:rFonts w:hAnsi="等线" w:cs="宋体"/>
              </w:rPr>
            </w:pPr>
            <w:r>
              <w:rPr>
                <w:rFonts w:hint="eastAsia" w:hAnsi="等线" w:cs="宋体"/>
              </w:rPr>
              <w:t>绩效顾问费百分比</w:t>
            </w:r>
          </w:p>
        </w:tc>
      </w:tr>
      <w:tr w14:paraId="6D27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vAlign w:val="center"/>
          </w:tcPr>
          <w:p w14:paraId="73567E64">
            <w:pPr>
              <w:spacing w:line="560" w:lineRule="exact"/>
              <w:jc w:val="center"/>
              <w:rPr>
                <w:rFonts w:hAnsi="等线" w:cs="宋体"/>
              </w:rPr>
            </w:pPr>
            <w:r>
              <w:rPr>
                <w:rFonts w:hint="eastAsia" w:hAnsi="等线" w:cs="宋体"/>
              </w:rPr>
              <w:t>1</w:t>
            </w:r>
          </w:p>
        </w:tc>
        <w:tc>
          <w:tcPr>
            <w:tcW w:w="2900" w:type="dxa"/>
            <w:vAlign w:val="center"/>
          </w:tcPr>
          <w:p w14:paraId="583BC66D">
            <w:pPr>
              <w:spacing w:line="560" w:lineRule="exact"/>
              <w:jc w:val="center"/>
              <w:rPr>
                <w:rFonts w:hAnsi="等线" w:cs="宋体"/>
              </w:rPr>
            </w:pPr>
            <w:r>
              <w:rPr>
                <w:rFonts w:hint="eastAsia" w:hAnsi="等线" w:cs="宋体"/>
              </w:rPr>
              <w:t>优秀</w:t>
            </w:r>
          </w:p>
        </w:tc>
        <w:tc>
          <w:tcPr>
            <w:tcW w:w="2429" w:type="dxa"/>
            <w:vAlign w:val="center"/>
          </w:tcPr>
          <w:p w14:paraId="0838266F">
            <w:pPr>
              <w:spacing w:line="560" w:lineRule="exact"/>
              <w:jc w:val="center"/>
              <w:rPr>
                <w:rFonts w:hAnsi="等线" w:cs="宋体"/>
              </w:rPr>
            </w:pPr>
            <w:r>
              <w:rPr>
                <w:rFonts w:hint="eastAsia" w:hAnsi="等线" w:cs="宋体"/>
              </w:rPr>
              <w:t>20%</w:t>
            </w:r>
          </w:p>
        </w:tc>
      </w:tr>
      <w:tr w14:paraId="7F433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vAlign w:val="center"/>
          </w:tcPr>
          <w:p w14:paraId="0F30FCB2">
            <w:pPr>
              <w:spacing w:line="560" w:lineRule="exact"/>
              <w:jc w:val="center"/>
              <w:rPr>
                <w:rFonts w:hAnsi="等线" w:cs="宋体"/>
              </w:rPr>
            </w:pPr>
            <w:r>
              <w:rPr>
                <w:rFonts w:hint="eastAsia" w:hAnsi="等线" w:cs="宋体"/>
              </w:rPr>
              <w:t>2</w:t>
            </w:r>
          </w:p>
        </w:tc>
        <w:tc>
          <w:tcPr>
            <w:tcW w:w="2900" w:type="dxa"/>
            <w:vAlign w:val="center"/>
          </w:tcPr>
          <w:p w14:paraId="655AE731">
            <w:pPr>
              <w:spacing w:line="560" w:lineRule="exact"/>
              <w:jc w:val="center"/>
              <w:rPr>
                <w:rFonts w:hAnsi="等线" w:cs="宋体"/>
              </w:rPr>
            </w:pPr>
            <w:r>
              <w:rPr>
                <w:rFonts w:hint="eastAsia" w:hAnsi="等线" w:cs="宋体"/>
              </w:rPr>
              <w:t>良好</w:t>
            </w:r>
          </w:p>
        </w:tc>
        <w:tc>
          <w:tcPr>
            <w:tcW w:w="2429" w:type="dxa"/>
            <w:vAlign w:val="center"/>
          </w:tcPr>
          <w:p w14:paraId="6B643B48">
            <w:pPr>
              <w:spacing w:line="560" w:lineRule="exact"/>
              <w:jc w:val="center"/>
              <w:rPr>
                <w:rFonts w:hAnsi="等线" w:cs="宋体"/>
              </w:rPr>
            </w:pPr>
            <w:r>
              <w:rPr>
                <w:rFonts w:hint="eastAsia" w:hAnsi="等线" w:cs="宋体"/>
              </w:rPr>
              <w:t>15%</w:t>
            </w:r>
          </w:p>
        </w:tc>
      </w:tr>
      <w:tr w14:paraId="067E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vAlign w:val="center"/>
          </w:tcPr>
          <w:p w14:paraId="516F4AFF">
            <w:pPr>
              <w:spacing w:line="560" w:lineRule="exact"/>
              <w:jc w:val="center"/>
              <w:rPr>
                <w:rFonts w:hAnsi="等线" w:cs="宋体"/>
              </w:rPr>
            </w:pPr>
            <w:r>
              <w:rPr>
                <w:rFonts w:hint="eastAsia" w:hAnsi="等线" w:cs="宋体"/>
              </w:rPr>
              <w:t>3</w:t>
            </w:r>
          </w:p>
        </w:tc>
        <w:tc>
          <w:tcPr>
            <w:tcW w:w="2900" w:type="dxa"/>
            <w:vAlign w:val="center"/>
          </w:tcPr>
          <w:p w14:paraId="359CEDAE">
            <w:pPr>
              <w:spacing w:line="560" w:lineRule="exact"/>
              <w:jc w:val="center"/>
              <w:rPr>
                <w:rFonts w:hAnsi="等线" w:cs="宋体"/>
              </w:rPr>
            </w:pPr>
            <w:r>
              <w:rPr>
                <w:rFonts w:hint="eastAsia" w:hAnsi="等线" w:cs="宋体"/>
              </w:rPr>
              <w:t>合格</w:t>
            </w:r>
          </w:p>
        </w:tc>
        <w:tc>
          <w:tcPr>
            <w:tcW w:w="2429" w:type="dxa"/>
            <w:vAlign w:val="center"/>
          </w:tcPr>
          <w:p w14:paraId="60570C44">
            <w:pPr>
              <w:spacing w:line="560" w:lineRule="exact"/>
              <w:jc w:val="center"/>
              <w:rPr>
                <w:rFonts w:hAnsi="等线" w:cs="宋体"/>
              </w:rPr>
            </w:pPr>
            <w:r>
              <w:rPr>
                <w:rFonts w:hint="eastAsia" w:hAnsi="等线" w:cs="宋体"/>
              </w:rPr>
              <w:t>10%</w:t>
            </w:r>
          </w:p>
        </w:tc>
      </w:tr>
      <w:tr w14:paraId="595B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0" w:type="dxa"/>
            <w:vAlign w:val="center"/>
          </w:tcPr>
          <w:p w14:paraId="3F273B02">
            <w:pPr>
              <w:spacing w:line="560" w:lineRule="exact"/>
              <w:jc w:val="center"/>
              <w:rPr>
                <w:rFonts w:hAnsi="等线" w:cs="宋体"/>
              </w:rPr>
            </w:pPr>
            <w:r>
              <w:rPr>
                <w:rFonts w:hint="eastAsia" w:hAnsi="等线" w:cs="宋体"/>
              </w:rPr>
              <w:t>4</w:t>
            </w:r>
          </w:p>
        </w:tc>
        <w:tc>
          <w:tcPr>
            <w:tcW w:w="2900" w:type="dxa"/>
            <w:vAlign w:val="center"/>
          </w:tcPr>
          <w:p w14:paraId="5F0F82AF">
            <w:pPr>
              <w:spacing w:line="560" w:lineRule="exact"/>
              <w:jc w:val="center"/>
              <w:rPr>
                <w:rFonts w:hAnsi="等线" w:cs="宋体"/>
              </w:rPr>
            </w:pPr>
            <w:r>
              <w:rPr>
                <w:rFonts w:hint="eastAsia" w:hAnsi="等线" w:cs="宋体"/>
              </w:rPr>
              <w:t>不合格</w:t>
            </w:r>
          </w:p>
        </w:tc>
        <w:tc>
          <w:tcPr>
            <w:tcW w:w="2429" w:type="dxa"/>
            <w:vAlign w:val="center"/>
          </w:tcPr>
          <w:p w14:paraId="71154DEF">
            <w:pPr>
              <w:spacing w:line="560" w:lineRule="exact"/>
              <w:jc w:val="center"/>
              <w:rPr>
                <w:rFonts w:hAnsi="等线" w:cs="宋体"/>
              </w:rPr>
            </w:pPr>
            <w:r>
              <w:rPr>
                <w:rFonts w:hint="eastAsia" w:hAnsi="等线" w:cs="宋体"/>
              </w:rPr>
              <w:t>0%</w:t>
            </w:r>
          </w:p>
        </w:tc>
      </w:tr>
    </w:tbl>
    <w:p w14:paraId="31B87C69">
      <w:pPr>
        <w:pStyle w:val="206"/>
        <w:snapToGrid w:val="0"/>
        <w:spacing w:line="560" w:lineRule="exact"/>
        <w:ind w:firstLine="0" w:firstLineChars="0"/>
        <w:rPr>
          <w:rFonts w:hAnsi="等线"/>
          <w:sz w:val="24"/>
        </w:rPr>
      </w:pPr>
    </w:p>
    <w:p w14:paraId="0D899FF7">
      <w:pPr>
        <w:spacing w:line="560" w:lineRule="exact"/>
        <w:rPr>
          <w:rFonts w:hAnsi="等线"/>
        </w:rPr>
      </w:pPr>
    </w:p>
    <w:p w14:paraId="73CA75B5">
      <w:pPr>
        <w:spacing w:line="560" w:lineRule="exact"/>
        <w:ind w:firstLine="640" w:firstLineChars="200"/>
      </w:pPr>
      <w:r>
        <w:rPr>
          <w:rFonts w:hint="eastAsia" w:hAnsi="等线"/>
        </w:rPr>
        <w:t>服务评价分为优秀、良好、合格、不合格四个等级，其中服务评价得分在90（含）-100分者为优秀，80（含）-89分者为良好，70（含）-79分者为合格，不足70分者为不合格。</w:t>
      </w:r>
    </w:p>
    <w:p w14:paraId="39129CB0">
      <w:pPr>
        <w:snapToGrid w:val="0"/>
        <w:spacing w:line="560" w:lineRule="exact"/>
        <w:ind w:firstLine="646" w:firstLineChars="202"/>
        <w:rPr>
          <w:rFonts w:hAnsi="等线"/>
        </w:rPr>
      </w:pPr>
      <w:r>
        <w:rPr>
          <w:rFonts w:hint="eastAsia" w:hAnsi="等线"/>
        </w:rPr>
        <w:t>（三）甲方每期付款前，乙方应向甲方开具等额增值税专用发票，甲方收到后将应付顾问费支付至乙方下列账户：</w:t>
      </w:r>
    </w:p>
    <w:p w14:paraId="1A11D033">
      <w:pPr>
        <w:snapToGrid w:val="0"/>
        <w:spacing w:line="560" w:lineRule="exact"/>
        <w:ind w:firstLine="646" w:firstLineChars="202"/>
        <w:rPr>
          <w:rFonts w:hAnsi="等线"/>
        </w:rPr>
      </w:pPr>
      <w:r>
        <w:rPr>
          <w:rFonts w:hint="eastAsia" w:hAnsi="等线"/>
        </w:rPr>
        <w:t xml:space="preserve">收 款 人： </w:t>
      </w:r>
    </w:p>
    <w:p w14:paraId="386CFA36">
      <w:pPr>
        <w:snapToGrid w:val="0"/>
        <w:spacing w:line="560" w:lineRule="exact"/>
        <w:ind w:firstLine="646" w:firstLineChars="202"/>
        <w:rPr>
          <w:rFonts w:hAnsi="等线"/>
        </w:rPr>
      </w:pPr>
      <w:r>
        <w:rPr>
          <w:rFonts w:hint="eastAsia" w:hAnsi="等线"/>
        </w:rPr>
        <w:t xml:space="preserve">开户银行： </w:t>
      </w:r>
    </w:p>
    <w:p w14:paraId="47C7C09C">
      <w:pPr>
        <w:snapToGrid w:val="0"/>
        <w:spacing w:line="560" w:lineRule="exact"/>
        <w:ind w:firstLine="646" w:firstLineChars="202"/>
        <w:rPr>
          <w:rFonts w:hAnsi="等线"/>
        </w:rPr>
      </w:pPr>
      <w:r>
        <w:rPr>
          <w:rFonts w:hint="eastAsia" w:hAnsi="等线"/>
        </w:rPr>
        <w:t>帐    号：</w:t>
      </w:r>
      <w:r>
        <w:rPr>
          <w:rFonts w:hAnsi="等线"/>
        </w:rPr>
        <w:t xml:space="preserve"> </w:t>
      </w:r>
    </w:p>
    <w:p w14:paraId="5534F617">
      <w:pPr>
        <w:snapToGrid w:val="0"/>
        <w:spacing w:line="560" w:lineRule="exact"/>
        <w:ind w:firstLine="646" w:firstLineChars="202"/>
        <w:rPr>
          <w:rFonts w:hAnsi="等线"/>
        </w:rPr>
      </w:pPr>
      <w:r>
        <w:rPr>
          <w:rFonts w:hint="eastAsia" w:hAnsi="等线"/>
        </w:rPr>
        <w:t>（四）如甲方需乙方提供本合同约定服务范围之外的法律服务的，由双方参照有关收费标准另行协商收费。</w:t>
      </w:r>
    </w:p>
    <w:p w14:paraId="6BD1ACE4">
      <w:pPr>
        <w:snapToGrid w:val="0"/>
        <w:spacing w:line="560" w:lineRule="exact"/>
        <w:ind w:firstLine="640" w:firstLineChars="200"/>
        <w:rPr>
          <w:rFonts w:ascii="黑体" w:hAnsi="黑体" w:eastAsia="黑体" w:cs="华文中宋"/>
          <w:bCs/>
        </w:rPr>
      </w:pPr>
      <w:r>
        <w:rPr>
          <w:rFonts w:hint="eastAsia" w:ascii="黑体" w:hAnsi="黑体" w:eastAsia="黑体" w:cs="华文中宋"/>
          <w:bCs/>
        </w:rPr>
        <w:t>七、其他费用的负担</w:t>
      </w:r>
    </w:p>
    <w:p w14:paraId="65E28D2E">
      <w:pPr>
        <w:snapToGrid w:val="0"/>
        <w:spacing w:line="560" w:lineRule="exact"/>
        <w:ind w:firstLine="646" w:firstLineChars="202"/>
        <w:rPr>
          <w:rFonts w:ascii="等线" w:hAnsi="等线"/>
        </w:rPr>
      </w:pPr>
      <w:r>
        <w:rPr>
          <w:rFonts w:hint="eastAsia" w:ascii="等线" w:hAnsi="等线"/>
        </w:rPr>
        <w:t>乙方律师办理甲方委托事项所发生的下列费用，应由甲方承担：</w:t>
      </w:r>
    </w:p>
    <w:p w14:paraId="3F4EFC59">
      <w:pPr>
        <w:snapToGrid w:val="0"/>
        <w:spacing w:line="560" w:lineRule="exact"/>
        <w:ind w:firstLine="646" w:firstLineChars="202"/>
        <w:rPr>
          <w:rFonts w:ascii="等线" w:hAnsi="等线"/>
        </w:rPr>
      </w:pPr>
      <w:r>
        <w:rPr>
          <w:rFonts w:hint="eastAsia" w:ascii="等线" w:hAnsi="等线"/>
        </w:rPr>
        <w:t>（一）相关行政、司法、鉴定、公证等部门收取的鉴定费用、评估费用等；</w:t>
      </w:r>
    </w:p>
    <w:p w14:paraId="5433A59E">
      <w:pPr>
        <w:snapToGrid w:val="0"/>
        <w:spacing w:line="560" w:lineRule="exact"/>
        <w:ind w:firstLine="646" w:firstLineChars="202"/>
        <w:rPr>
          <w:rFonts w:ascii="等线" w:hAnsi="等线"/>
        </w:rPr>
      </w:pPr>
      <w:r>
        <w:rPr>
          <w:rFonts w:hint="eastAsia" w:ascii="等线" w:hAnsi="等线"/>
        </w:rPr>
        <w:t>（二）深圳地区外发生的差旅费、食宿费，翻译费等；</w:t>
      </w:r>
    </w:p>
    <w:p w14:paraId="5C657C95">
      <w:pPr>
        <w:snapToGrid w:val="0"/>
        <w:spacing w:line="560" w:lineRule="exact"/>
        <w:ind w:firstLine="646" w:firstLineChars="202"/>
        <w:rPr>
          <w:rFonts w:ascii="等线" w:hAnsi="等线"/>
        </w:rPr>
      </w:pPr>
      <w:r>
        <w:rPr>
          <w:rFonts w:hint="eastAsia" w:ascii="等线" w:hAnsi="等线"/>
        </w:rPr>
        <w:t>（三）征得甲方同意后支出的其他费用。</w:t>
      </w:r>
    </w:p>
    <w:p w14:paraId="3C694655">
      <w:pPr>
        <w:snapToGrid w:val="0"/>
        <w:spacing w:line="560" w:lineRule="exact"/>
        <w:ind w:firstLine="646" w:firstLineChars="202"/>
        <w:rPr>
          <w:rFonts w:ascii="等线" w:hAnsi="等线"/>
        </w:rPr>
      </w:pPr>
      <w:r>
        <w:rPr>
          <w:rFonts w:hint="eastAsia" w:ascii="等线" w:hAnsi="等线"/>
        </w:rPr>
        <w:t>乙方律师应当本着节俭的原则合理支出上述有关费用。</w:t>
      </w:r>
    </w:p>
    <w:p w14:paraId="2DBBFB6E">
      <w:pPr>
        <w:snapToGrid w:val="0"/>
        <w:spacing w:line="560" w:lineRule="exact"/>
        <w:ind w:firstLine="640" w:firstLineChars="200"/>
        <w:rPr>
          <w:rFonts w:ascii="黑体" w:hAnsi="黑体" w:eastAsia="黑体" w:cs="华文中宋"/>
          <w:bCs/>
        </w:rPr>
      </w:pPr>
      <w:r>
        <w:rPr>
          <w:rFonts w:hint="eastAsia" w:ascii="黑体" w:hAnsi="黑体" w:eastAsia="黑体" w:cs="华文中宋"/>
          <w:bCs/>
        </w:rPr>
        <w:t>八、甲方权利义务</w:t>
      </w:r>
    </w:p>
    <w:p w14:paraId="1FA9688E">
      <w:pPr>
        <w:snapToGrid w:val="0"/>
        <w:spacing w:line="560" w:lineRule="exact"/>
        <w:ind w:firstLine="646" w:firstLineChars="202"/>
        <w:rPr>
          <w:rFonts w:ascii="等线" w:hAnsi="等线"/>
        </w:rPr>
      </w:pPr>
      <w:r>
        <w:rPr>
          <w:rFonts w:hint="eastAsia" w:ascii="等线" w:hAnsi="等线"/>
        </w:rPr>
        <w:t>（一）甲方应及时、准确、完整地向乙方提供所需的资料及文件；</w:t>
      </w:r>
    </w:p>
    <w:p w14:paraId="411CCEE7">
      <w:pPr>
        <w:snapToGrid w:val="0"/>
        <w:spacing w:line="560" w:lineRule="exact"/>
        <w:ind w:firstLine="646" w:firstLineChars="202"/>
        <w:rPr>
          <w:rFonts w:ascii="等线" w:hAnsi="等线"/>
        </w:rPr>
      </w:pPr>
      <w:r>
        <w:rPr>
          <w:rFonts w:hint="eastAsia" w:ascii="等线" w:hAnsi="等线"/>
        </w:rPr>
        <w:t>（二）乙方到甲方处办公时，甲方应为乙方提供必要的办公条件；</w:t>
      </w:r>
    </w:p>
    <w:p w14:paraId="093A3A0E">
      <w:pPr>
        <w:snapToGrid w:val="0"/>
        <w:spacing w:line="560" w:lineRule="exact"/>
        <w:ind w:firstLine="646" w:firstLineChars="202"/>
        <w:rPr>
          <w:rFonts w:ascii="等线" w:hAnsi="等线"/>
        </w:rPr>
      </w:pPr>
      <w:r>
        <w:rPr>
          <w:rFonts w:hint="eastAsia" w:ascii="等线" w:hAnsi="等线"/>
        </w:rPr>
        <w:t>（三）甲方应按照合同约定的时间、方式向乙方支付服务费用；</w:t>
      </w:r>
    </w:p>
    <w:p w14:paraId="19D1DF2A">
      <w:pPr>
        <w:snapToGrid w:val="0"/>
        <w:spacing w:line="560" w:lineRule="exact"/>
        <w:ind w:firstLine="646" w:firstLineChars="202"/>
        <w:rPr>
          <w:rFonts w:ascii="等线" w:hAnsi="等线"/>
        </w:rPr>
      </w:pPr>
      <w:r>
        <w:rPr>
          <w:rFonts w:hint="eastAsia" w:ascii="等线" w:hAnsi="等线"/>
        </w:rPr>
        <w:t>（四）甲方应对乙方办理的相关法律事务提出明确的要求，但不得提出不合理要求；</w:t>
      </w:r>
    </w:p>
    <w:p w14:paraId="236B0AF4">
      <w:pPr>
        <w:snapToGrid w:val="0"/>
        <w:spacing w:line="560" w:lineRule="exact"/>
        <w:ind w:firstLine="646" w:firstLineChars="202"/>
        <w:rPr>
          <w:rFonts w:ascii="等线" w:hAnsi="等线"/>
        </w:rPr>
      </w:pPr>
      <w:r>
        <w:rPr>
          <w:rFonts w:hint="eastAsia" w:ascii="等线" w:hAnsi="等线"/>
        </w:rPr>
        <w:t>（五）甲方不得向乙方律师隐瞒与委托事项相关的情况；</w:t>
      </w:r>
    </w:p>
    <w:p w14:paraId="5C8FEB0F">
      <w:pPr>
        <w:snapToGrid w:val="0"/>
        <w:spacing w:line="560" w:lineRule="exact"/>
        <w:ind w:firstLine="646" w:firstLineChars="202"/>
        <w:rPr>
          <w:rFonts w:ascii="等线" w:hAnsi="等线"/>
        </w:rPr>
      </w:pPr>
      <w:r>
        <w:rPr>
          <w:rFonts w:hint="eastAsia" w:ascii="等线" w:hAnsi="等线"/>
        </w:rPr>
        <w:t>（六）甲方对向乙方所提交资料及文件的真实性和合法性负责，并承担因提供虚假信息而导致的损失；</w:t>
      </w:r>
    </w:p>
    <w:p w14:paraId="1839960A">
      <w:pPr>
        <w:snapToGrid w:val="0"/>
        <w:spacing w:line="560" w:lineRule="exact"/>
        <w:ind w:firstLine="646" w:firstLineChars="202"/>
        <w:rPr>
          <w:rFonts w:ascii="等线" w:hAnsi="等线"/>
        </w:rPr>
      </w:pPr>
      <w:r>
        <w:rPr>
          <w:rFonts w:hint="eastAsia" w:ascii="等线" w:hAnsi="等线"/>
        </w:rPr>
        <w:t>（七）甲方委托的事项不得违反法律规定或律师执业规范；</w:t>
      </w:r>
    </w:p>
    <w:p w14:paraId="743DAD36">
      <w:pPr>
        <w:snapToGrid w:val="0"/>
        <w:spacing w:line="560" w:lineRule="exact"/>
        <w:ind w:firstLine="646" w:firstLineChars="202"/>
        <w:rPr>
          <w:rFonts w:ascii="等线" w:hAnsi="等线"/>
        </w:rPr>
      </w:pPr>
      <w:r>
        <w:rPr>
          <w:rFonts w:hint="eastAsia" w:ascii="等线" w:hAnsi="等线"/>
        </w:rPr>
        <w:t>（八）甲方有权就乙方服务范围内的事项，随时向乙方提出口头或书面咨询，乙方应及时作出答复；</w:t>
      </w:r>
    </w:p>
    <w:p w14:paraId="7D2AD791">
      <w:pPr>
        <w:snapToGrid w:val="0"/>
        <w:spacing w:line="560" w:lineRule="exact"/>
        <w:ind w:firstLine="646" w:firstLineChars="202"/>
        <w:rPr>
          <w:rFonts w:ascii="等线" w:hAnsi="等线"/>
        </w:rPr>
      </w:pPr>
      <w:r>
        <w:rPr>
          <w:rFonts w:hint="eastAsia" w:ascii="等线" w:hAnsi="等线"/>
        </w:rPr>
        <w:t>（九）甲方有权随时检查监督乙方的工作服务内容，但不得影响乙方的正常工作秩序；</w:t>
      </w:r>
    </w:p>
    <w:p w14:paraId="6F9CC5B1">
      <w:pPr>
        <w:snapToGrid w:val="0"/>
        <w:spacing w:line="560" w:lineRule="exact"/>
        <w:ind w:firstLine="646" w:firstLineChars="202"/>
        <w:rPr>
          <w:rFonts w:ascii="等线" w:hAnsi="等线"/>
        </w:rPr>
      </w:pPr>
      <w:r>
        <w:rPr>
          <w:rFonts w:hint="eastAsia" w:ascii="等线" w:hAnsi="等线"/>
        </w:rPr>
        <w:t>（十）甲方有证据证明乙方团队成员没有尽勤勉义务为其进行法律服务的，有权要求乙方更换团队人员；</w:t>
      </w:r>
    </w:p>
    <w:p w14:paraId="6C59066B">
      <w:pPr>
        <w:snapToGrid w:val="0"/>
        <w:spacing w:line="560" w:lineRule="exact"/>
        <w:ind w:firstLine="646" w:firstLineChars="202"/>
        <w:rPr>
          <w:rFonts w:hAnsi="等线"/>
        </w:rPr>
      </w:pPr>
      <w:r>
        <w:rPr>
          <w:rFonts w:hint="eastAsia" w:hAnsi="等线"/>
        </w:rPr>
        <w:t>（十一）甲方认为乙方指派至甲方的驻点人员不能胜任工作的，甲方有权要求乙方在5日内予以更换。</w:t>
      </w:r>
    </w:p>
    <w:p w14:paraId="2E581F19">
      <w:pPr>
        <w:snapToGrid w:val="0"/>
        <w:spacing w:line="560" w:lineRule="exact"/>
        <w:ind w:firstLine="640" w:firstLineChars="200"/>
        <w:rPr>
          <w:rFonts w:ascii="黑体" w:hAnsi="黑体" w:eastAsia="黑体" w:cs="华文中宋"/>
          <w:bCs/>
        </w:rPr>
      </w:pPr>
      <w:r>
        <w:rPr>
          <w:rFonts w:hint="eastAsia" w:ascii="黑体" w:hAnsi="黑体" w:eastAsia="黑体" w:cs="华文中宋"/>
          <w:bCs/>
        </w:rPr>
        <w:t>九、乙方权利义务</w:t>
      </w:r>
    </w:p>
    <w:p w14:paraId="05ADCF0A">
      <w:pPr>
        <w:snapToGrid w:val="0"/>
        <w:spacing w:line="560" w:lineRule="exact"/>
        <w:ind w:firstLine="646" w:firstLineChars="202"/>
        <w:rPr>
          <w:rFonts w:ascii="等线" w:hAnsi="等线"/>
        </w:rPr>
      </w:pPr>
      <w:r>
        <w:rPr>
          <w:rFonts w:hint="eastAsia" w:ascii="等线" w:hAnsi="等线"/>
        </w:rPr>
        <w:t>（一）</w:t>
      </w:r>
      <w:bookmarkStart w:id="1" w:name="_Hlk40965364"/>
      <w:r>
        <w:rPr>
          <w:rFonts w:hint="eastAsia" w:ascii="等线" w:hAnsi="等线"/>
        </w:rPr>
        <w:t>按照约定的响应时间向甲方反馈服务成果。</w:t>
      </w:r>
    </w:p>
    <w:bookmarkEnd w:id="1"/>
    <w:p w14:paraId="77EC54A6">
      <w:pPr>
        <w:snapToGrid w:val="0"/>
        <w:spacing w:line="560" w:lineRule="exact"/>
        <w:ind w:firstLine="646" w:firstLineChars="202"/>
        <w:rPr>
          <w:rFonts w:ascii="等线" w:hAnsi="等线"/>
        </w:rPr>
      </w:pPr>
      <w:r>
        <w:rPr>
          <w:rFonts w:hint="eastAsia" w:ascii="等线" w:hAnsi="等线"/>
        </w:rPr>
        <w:t>（二）乙方应勤勉尽责地完成委托事项，维护甲方的合法权益；</w:t>
      </w:r>
    </w:p>
    <w:p w14:paraId="40784FFA">
      <w:pPr>
        <w:snapToGrid w:val="0"/>
        <w:spacing w:line="560" w:lineRule="exact"/>
        <w:ind w:firstLine="646" w:firstLineChars="202"/>
        <w:rPr>
          <w:rFonts w:ascii="等线" w:hAnsi="等线"/>
        </w:rPr>
      </w:pPr>
      <w:r>
        <w:rPr>
          <w:rFonts w:hint="eastAsia" w:ascii="等线" w:hAnsi="等线"/>
        </w:rPr>
        <w:t>（三）乙方应及时办理甲方委托的有关法律事务，并对所经办事务的合法性负责；</w:t>
      </w:r>
    </w:p>
    <w:p w14:paraId="62A10468">
      <w:pPr>
        <w:snapToGrid w:val="0"/>
        <w:spacing w:line="560" w:lineRule="exact"/>
        <w:ind w:firstLine="646" w:firstLineChars="202"/>
        <w:rPr>
          <w:rFonts w:ascii="等线" w:hAnsi="等线"/>
        </w:rPr>
      </w:pPr>
      <w:r>
        <w:rPr>
          <w:rFonts w:hint="eastAsia" w:ascii="等线" w:hAnsi="等线"/>
        </w:rPr>
        <w:t>（四）乙方应根据本合同规定和甲方的授权委托进行工作，不得超越代理权限；</w:t>
      </w:r>
    </w:p>
    <w:p w14:paraId="5632FAC6">
      <w:pPr>
        <w:snapToGrid w:val="0"/>
        <w:spacing w:line="560" w:lineRule="exact"/>
        <w:ind w:firstLine="646" w:firstLineChars="202"/>
        <w:rPr>
          <w:rFonts w:ascii="等线" w:hAnsi="等线"/>
        </w:rPr>
      </w:pPr>
      <w:r>
        <w:rPr>
          <w:rFonts w:hint="eastAsia" w:ascii="等线" w:hAnsi="等线"/>
        </w:rPr>
        <w:t>（五）乙方不得从事有损于甲方合法权益的活动，不得在民事、经济、行政诉讼或仲裁活动中担任甲方对立一方当事人代理人；</w:t>
      </w:r>
    </w:p>
    <w:p w14:paraId="7CCB5478">
      <w:pPr>
        <w:snapToGrid w:val="0"/>
        <w:spacing w:line="560" w:lineRule="exact"/>
        <w:ind w:firstLine="646" w:firstLineChars="202"/>
        <w:rPr>
          <w:rFonts w:ascii="等线" w:hAnsi="等线"/>
        </w:rPr>
      </w:pPr>
      <w:r>
        <w:rPr>
          <w:rFonts w:hint="eastAsia" w:ascii="等线" w:hAnsi="等线"/>
        </w:rPr>
        <w:t>（六）乙方在同时担任甲方和另一公司法律顾问期间，遇到两公司之间发生争议时，应进行调解，但不得代理任何一方参加诉讼或仲裁；</w:t>
      </w:r>
    </w:p>
    <w:p w14:paraId="1F7477EE">
      <w:pPr>
        <w:snapToGrid w:val="0"/>
        <w:spacing w:line="560" w:lineRule="exact"/>
        <w:ind w:firstLine="646" w:firstLineChars="202"/>
        <w:rPr>
          <w:rFonts w:ascii="等线" w:hAnsi="等线"/>
        </w:rPr>
      </w:pPr>
      <w:r>
        <w:rPr>
          <w:rFonts w:hint="eastAsia" w:ascii="等线" w:hAnsi="等线"/>
        </w:rPr>
        <w:t>（七）因乙方过错给甲方造成损失的，乙方应按有关规定进行赔偿；</w:t>
      </w:r>
    </w:p>
    <w:p w14:paraId="5229B482">
      <w:pPr>
        <w:snapToGrid w:val="0"/>
        <w:spacing w:line="560" w:lineRule="exact"/>
        <w:ind w:firstLine="646" w:firstLineChars="202"/>
        <w:rPr>
          <w:rFonts w:hAnsi="等线"/>
        </w:rPr>
      </w:pPr>
      <w:r>
        <w:rPr>
          <w:rFonts w:hint="eastAsia" w:hAnsi="等线"/>
        </w:rPr>
        <w:t>（八）未经甲方同意，乙方不得擅自更换指派的律师；乙方指派至甲方的驻点人员不能胜任工作的，应在接到甲方通知后5日内更换完毕；</w:t>
      </w:r>
    </w:p>
    <w:p w14:paraId="24FED145">
      <w:pPr>
        <w:snapToGrid w:val="0"/>
        <w:spacing w:line="560" w:lineRule="exact"/>
        <w:ind w:firstLine="646" w:firstLineChars="202"/>
        <w:rPr>
          <w:rFonts w:hAnsi="等线"/>
        </w:rPr>
      </w:pPr>
      <w:r>
        <w:rPr>
          <w:rFonts w:hint="eastAsia" w:hAnsi="等线"/>
        </w:rPr>
        <w:t>（九）乙方应积极主动为甲方提供专题法律培训，每年不得少于3次；</w:t>
      </w:r>
    </w:p>
    <w:p w14:paraId="5EAF0913">
      <w:pPr>
        <w:snapToGrid w:val="0"/>
        <w:spacing w:line="560" w:lineRule="exact"/>
        <w:ind w:firstLine="646" w:firstLineChars="202"/>
        <w:rPr>
          <w:rFonts w:ascii="等线" w:hAnsi="等线"/>
        </w:rPr>
      </w:pPr>
      <w:r>
        <w:rPr>
          <w:rFonts w:hint="eastAsia" w:hAnsi="等线"/>
        </w:rPr>
        <w:t>（十）乙方应在考核周期结束前一个月认真撰写工作报告，</w:t>
      </w:r>
      <w:r>
        <w:rPr>
          <w:rFonts w:hint="eastAsia" w:ascii="等线" w:hAnsi="等线"/>
        </w:rPr>
        <w:t>提交甲方考核；</w:t>
      </w:r>
    </w:p>
    <w:p w14:paraId="7BFC02E7">
      <w:pPr>
        <w:snapToGrid w:val="0"/>
        <w:spacing w:line="560" w:lineRule="exact"/>
        <w:ind w:firstLine="646" w:firstLineChars="202"/>
        <w:rPr>
          <w:rFonts w:ascii="等线" w:hAnsi="等线"/>
        </w:rPr>
      </w:pPr>
      <w:r>
        <w:rPr>
          <w:rFonts w:hint="eastAsia" w:ascii="等线" w:hAnsi="等线"/>
        </w:rPr>
        <w:t>（十一）乙方有权查阅与承办法律事务有关的文件和资料；</w:t>
      </w:r>
    </w:p>
    <w:p w14:paraId="0E08526E">
      <w:pPr>
        <w:snapToGrid w:val="0"/>
        <w:spacing w:line="560" w:lineRule="exact"/>
        <w:ind w:firstLine="646" w:firstLineChars="202"/>
        <w:rPr>
          <w:rFonts w:ascii="等线" w:hAnsi="等线"/>
        </w:rPr>
      </w:pPr>
      <w:r>
        <w:rPr>
          <w:rFonts w:hint="eastAsia" w:ascii="等线" w:hAnsi="等线"/>
        </w:rPr>
        <w:t>（十二）乙方有权了解与本项目有关的甲方生产、经营、管理情况；</w:t>
      </w:r>
    </w:p>
    <w:p w14:paraId="2CE59143">
      <w:pPr>
        <w:snapToGrid w:val="0"/>
        <w:spacing w:line="560" w:lineRule="exact"/>
        <w:ind w:firstLine="646" w:firstLineChars="202"/>
        <w:rPr>
          <w:rFonts w:ascii="等线" w:hAnsi="等线"/>
        </w:rPr>
      </w:pPr>
      <w:r>
        <w:rPr>
          <w:rFonts w:hint="eastAsia" w:ascii="等线" w:hAnsi="等线"/>
        </w:rPr>
        <w:t>（十三）乙方有权获得所必须的办公及其他工作条件和便利。</w:t>
      </w:r>
    </w:p>
    <w:p w14:paraId="704EF8D6">
      <w:pPr>
        <w:snapToGrid w:val="0"/>
        <w:spacing w:line="560" w:lineRule="exact"/>
        <w:ind w:firstLine="646" w:firstLineChars="202"/>
        <w:rPr>
          <w:rFonts w:hint="eastAsia" w:ascii="等线" w:hAnsi="等线"/>
        </w:rPr>
      </w:pPr>
      <w:r>
        <w:rPr>
          <w:rFonts w:ascii="等线" w:hAnsi="等线"/>
        </w:rPr>
        <w:t>（十四）乙方应严格遵守国家劳动法律法规，</w:t>
      </w:r>
      <w:r>
        <w:rPr>
          <w:rFonts w:ascii="等线" w:hAnsi="等线"/>
          <w:b/>
          <w:bCs/>
          <w:highlight w:val="none"/>
        </w:rPr>
        <w:t>依法、按期、足额发放本项目服务团队所有成员（包括但不限于合伙人律师、主办律师、驻场律师及其他辅助人员）的工资、提成及其他劳动或劳务报酬</w:t>
      </w:r>
      <w:r>
        <w:rPr>
          <w:rFonts w:ascii="等线" w:hAnsi="等线"/>
          <w:highlight w:val="none"/>
        </w:rPr>
        <w:t>。</w:t>
      </w:r>
      <w:r>
        <w:rPr>
          <w:rFonts w:ascii="等线" w:hAnsi="等线"/>
        </w:rPr>
        <w:t>乙方与其指派人员之间产生的任何劳资纠纷、报酬争议均由乙方自行负责解决，与甲方无关。若因乙方拖欠团队成员薪酬导致服务中断、消极怠工，或引发信访投诉给甲方声誉及正常运营造成不良影响的，乙方应承担全部赔偿责任。</w:t>
      </w:r>
    </w:p>
    <w:p w14:paraId="20AD1065">
      <w:pPr>
        <w:snapToGrid w:val="0"/>
        <w:spacing w:line="560" w:lineRule="exact"/>
        <w:ind w:firstLine="640" w:firstLineChars="200"/>
        <w:rPr>
          <w:rFonts w:ascii="黑体" w:hAnsi="黑体" w:eastAsia="黑体" w:cs="华文中宋"/>
          <w:bCs/>
        </w:rPr>
      </w:pPr>
      <w:r>
        <w:rPr>
          <w:rFonts w:hint="eastAsia" w:ascii="黑体" w:hAnsi="黑体" w:eastAsia="黑体" w:cs="华文中宋"/>
          <w:bCs/>
        </w:rPr>
        <w:t>十、合同解除</w:t>
      </w:r>
    </w:p>
    <w:p w14:paraId="2A5AC6D6">
      <w:pPr>
        <w:snapToGrid w:val="0"/>
        <w:spacing w:line="560" w:lineRule="exact"/>
        <w:ind w:firstLine="646" w:firstLineChars="202"/>
        <w:rPr>
          <w:rFonts w:ascii="等线" w:hAnsi="等线"/>
        </w:rPr>
      </w:pPr>
      <w:r>
        <w:rPr>
          <w:rFonts w:hint="eastAsia" w:ascii="等线" w:hAnsi="等线"/>
        </w:rPr>
        <w:t>（一）甲乙双方经协商一致，可通过协议方式解除本合同；</w:t>
      </w:r>
    </w:p>
    <w:p w14:paraId="778AD8E7">
      <w:pPr>
        <w:snapToGrid w:val="0"/>
        <w:spacing w:line="560" w:lineRule="exact"/>
        <w:ind w:firstLine="646" w:firstLineChars="202"/>
        <w:rPr>
          <w:rFonts w:ascii="等线" w:hAnsi="等线"/>
        </w:rPr>
      </w:pPr>
      <w:r>
        <w:rPr>
          <w:rFonts w:hint="eastAsia" w:ascii="等线" w:hAnsi="等线"/>
        </w:rPr>
        <w:t>（二）因不可抗力致使合同目的不能实现的，双方可解除本合同；</w:t>
      </w:r>
    </w:p>
    <w:p w14:paraId="24B01BF7">
      <w:pPr>
        <w:snapToGrid w:val="0"/>
        <w:spacing w:line="560" w:lineRule="exact"/>
        <w:ind w:firstLine="646" w:firstLineChars="202"/>
        <w:rPr>
          <w:rFonts w:ascii="等线" w:hAnsi="等线"/>
        </w:rPr>
      </w:pPr>
      <w:r>
        <w:rPr>
          <w:rFonts w:hint="eastAsia" w:ascii="等线" w:hAnsi="等线"/>
        </w:rPr>
        <w:t>（三）乙方有下列情形之一的，甲方可单方解除本合同：</w:t>
      </w:r>
    </w:p>
    <w:p w14:paraId="132DAAED">
      <w:pPr>
        <w:snapToGrid w:val="0"/>
        <w:spacing w:line="560" w:lineRule="exact"/>
        <w:ind w:firstLine="646" w:firstLineChars="202"/>
        <w:rPr>
          <w:rFonts w:hAnsi="等线"/>
        </w:rPr>
      </w:pPr>
      <w:r>
        <w:rPr>
          <w:rFonts w:hint="eastAsia" w:hAnsi="等线"/>
        </w:rPr>
        <w:t>1.严重不按本合同的约定提供法律服务，经甲方指出后拒不改正的；</w:t>
      </w:r>
    </w:p>
    <w:p w14:paraId="5A02F18E">
      <w:pPr>
        <w:snapToGrid w:val="0"/>
        <w:spacing w:line="560" w:lineRule="exact"/>
        <w:ind w:firstLine="646" w:firstLineChars="202"/>
        <w:rPr>
          <w:rFonts w:hAnsi="等线"/>
        </w:rPr>
      </w:pPr>
      <w:r>
        <w:rPr>
          <w:rFonts w:hint="eastAsia" w:hAnsi="等线"/>
        </w:rPr>
        <w:t>2.因工作延误、失职、失误导致甲方蒙受重大经济损失的；</w:t>
      </w:r>
    </w:p>
    <w:p w14:paraId="3DF9BBEA">
      <w:pPr>
        <w:snapToGrid w:val="0"/>
        <w:spacing w:line="560" w:lineRule="exact"/>
        <w:ind w:firstLine="646" w:firstLineChars="202"/>
        <w:rPr>
          <w:rFonts w:hAnsi="等线"/>
        </w:rPr>
      </w:pPr>
      <w:r>
        <w:rPr>
          <w:rFonts w:hint="eastAsia" w:hAnsi="等线"/>
        </w:rPr>
        <w:t>3.绩效考核不足70分的；</w:t>
      </w:r>
    </w:p>
    <w:p w14:paraId="30AAC5FE">
      <w:pPr>
        <w:snapToGrid w:val="0"/>
        <w:spacing w:line="560" w:lineRule="exact"/>
        <w:ind w:firstLine="646" w:firstLineChars="202"/>
        <w:rPr>
          <w:rFonts w:hAnsi="等线"/>
        </w:rPr>
      </w:pPr>
      <w:r>
        <w:rPr>
          <w:rFonts w:hint="eastAsia" w:hAnsi="等线"/>
        </w:rPr>
        <w:t>4.未经甲方同意擅自更换指派的主办律师或驻点人员的；</w:t>
      </w:r>
    </w:p>
    <w:p w14:paraId="227A6DC7">
      <w:pPr>
        <w:snapToGrid w:val="0"/>
        <w:spacing w:line="560" w:lineRule="exact"/>
        <w:ind w:firstLine="646" w:firstLineChars="202"/>
        <w:rPr>
          <w:rFonts w:hint="eastAsia" w:hAnsi="等线"/>
        </w:rPr>
      </w:pPr>
      <w:r>
        <w:rPr>
          <w:rFonts w:hint="eastAsia" w:hAnsi="等线"/>
        </w:rPr>
        <w:t>5.年度累计缺席甲方会议超过3次或者未依合同约定延迟出具法律意见或修改意见累计超过5次的</w:t>
      </w:r>
      <w:bookmarkStart w:id="2" w:name="_GoBack"/>
      <w:bookmarkEnd w:id="2"/>
      <w:r>
        <w:rPr>
          <w:rFonts w:hint="eastAsia" w:hAnsi="等线"/>
        </w:rPr>
        <w:t>。</w:t>
      </w:r>
      <w:r>
        <w:rPr>
          <w:rFonts w:hAnsi="等线"/>
        </w:rPr>
        <w:br w:type="textWrapping"/>
      </w:r>
      <w:r>
        <w:rPr>
          <w:rFonts w:hint="eastAsia" w:hAnsi="等线"/>
        </w:rPr>
        <w:t xml:space="preserve"> </w:t>
      </w:r>
      <w:r>
        <w:rPr>
          <w:rFonts w:hint="eastAsia" w:hAnsi="等线"/>
          <w:highlight w:val="none"/>
        </w:rPr>
        <w:t xml:space="preserve">   </w:t>
      </w:r>
      <w:r>
        <w:rPr>
          <w:rFonts w:hAnsi="等线"/>
          <w:highlight w:val="none"/>
        </w:rPr>
        <w:t>6. 因拖欠团队人员工资报酬引发劳资纠纷，导致甲方指派的法律服务工作停滞，或给甲方造成声誉及经济损失的；或因拖欠员工工资被有关行政部门责令改正而未改正的。</w:t>
      </w:r>
      <w:r>
        <w:rPr>
          <w:rFonts w:hint="eastAsia" w:hAnsi="等线"/>
          <w:highlight w:val="none"/>
        </w:rPr>
        <w:t xml:space="preserve"> </w:t>
      </w:r>
    </w:p>
    <w:p w14:paraId="4DD2303A">
      <w:pPr>
        <w:snapToGrid w:val="0"/>
        <w:spacing w:line="560" w:lineRule="exact"/>
        <w:ind w:firstLine="646" w:firstLineChars="202"/>
        <w:rPr>
          <w:rFonts w:ascii="等线" w:hAnsi="等线"/>
        </w:rPr>
      </w:pPr>
      <w:r>
        <w:rPr>
          <w:rFonts w:hint="eastAsia" w:ascii="等线" w:hAnsi="等线"/>
        </w:rPr>
        <w:t>（四）甲方有下列情形之一的，乙方可单方解除本合同：</w:t>
      </w:r>
    </w:p>
    <w:p w14:paraId="1390FF1C">
      <w:pPr>
        <w:snapToGrid w:val="0"/>
        <w:spacing w:line="560" w:lineRule="exact"/>
        <w:ind w:firstLine="646" w:firstLineChars="202"/>
        <w:rPr>
          <w:rFonts w:hAnsi="等线"/>
        </w:rPr>
      </w:pPr>
      <w:r>
        <w:rPr>
          <w:rFonts w:hint="eastAsia" w:hAnsi="等线"/>
        </w:rPr>
        <w:t xml:space="preserve">1.故意向乙方提供虚假情况、捏造事实，致使乙方律师不能提供有效法律服务的； </w:t>
      </w:r>
    </w:p>
    <w:p w14:paraId="3C978713">
      <w:pPr>
        <w:snapToGrid w:val="0"/>
        <w:spacing w:line="560" w:lineRule="exact"/>
        <w:ind w:firstLine="646" w:firstLineChars="202"/>
        <w:rPr>
          <w:rFonts w:hAnsi="等线"/>
        </w:rPr>
      </w:pPr>
      <w:r>
        <w:rPr>
          <w:rFonts w:hint="eastAsia" w:hAnsi="等线"/>
        </w:rPr>
        <w:t>2.委托事项严重违反法律或者违反律师执业规范的；</w:t>
      </w:r>
    </w:p>
    <w:p w14:paraId="1C25BCB2">
      <w:pPr>
        <w:snapToGrid w:val="0"/>
        <w:spacing w:line="560" w:lineRule="exact"/>
        <w:ind w:firstLine="646" w:firstLineChars="202"/>
        <w:rPr>
          <w:rFonts w:hAnsi="等线"/>
        </w:rPr>
      </w:pPr>
      <w:r>
        <w:rPr>
          <w:rFonts w:hint="eastAsia" w:hAnsi="等线"/>
        </w:rPr>
        <w:t>3.未依合同约定支付法律顾问费的。</w:t>
      </w:r>
    </w:p>
    <w:p w14:paraId="6EC4B581">
      <w:pPr>
        <w:snapToGrid w:val="0"/>
        <w:spacing w:line="560" w:lineRule="exact"/>
        <w:ind w:firstLine="640" w:firstLineChars="200"/>
        <w:rPr>
          <w:rFonts w:ascii="黑体" w:hAnsi="黑体" w:eastAsia="黑体" w:cs="华文中宋"/>
          <w:bCs/>
        </w:rPr>
      </w:pPr>
      <w:r>
        <w:rPr>
          <w:rFonts w:hint="eastAsia" w:ascii="黑体" w:hAnsi="黑体" w:eastAsia="黑体" w:cs="华文中宋"/>
          <w:bCs/>
        </w:rPr>
        <w:t>十一、违约责任</w:t>
      </w:r>
    </w:p>
    <w:p w14:paraId="0B740296">
      <w:pPr>
        <w:snapToGrid w:val="0"/>
        <w:spacing w:line="560" w:lineRule="exact"/>
        <w:ind w:firstLine="646" w:firstLineChars="202"/>
        <w:rPr>
          <w:rFonts w:hAnsi="等线"/>
        </w:rPr>
      </w:pPr>
      <w:r>
        <w:rPr>
          <w:rFonts w:hint="eastAsia" w:ascii="等线" w:hAnsi="等线"/>
        </w:rPr>
        <w:t>（</w:t>
      </w:r>
      <w:r>
        <w:rPr>
          <w:rFonts w:hint="eastAsia" w:hAnsi="等线"/>
        </w:rPr>
        <w:t>一）任何一方不履行本合同义务或履行本合同义务不符合约定，应承担继续履行、采取补救措施或者赔偿损失等违约责任。</w:t>
      </w:r>
    </w:p>
    <w:p w14:paraId="7C93FD8B">
      <w:pPr>
        <w:snapToGrid w:val="0"/>
        <w:spacing w:line="560" w:lineRule="exact"/>
        <w:ind w:firstLine="646" w:firstLineChars="202"/>
        <w:rPr>
          <w:rFonts w:hAnsi="等线"/>
        </w:rPr>
      </w:pPr>
      <w:r>
        <w:rPr>
          <w:rFonts w:hint="eastAsia" w:hAnsi="等线"/>
        </w:rPr>
        <w:t>（二）除本合同另有约定外，非经双方书面同意，任何一方在合同履行过程中，均不得单方擅自解除本合同，否则应赔偿因此给守约方造成的损失。</w:t>
      </w:r>
    </w:p>
    <w:p w14:paraId="5472C185">
      <w:pPr>
        <w:snapToGrid w:val="0"/>
        <w:spacing w:line="560" w:lineRule="exact"/>
        <w:ind w:firstLine="646" w:firstLineChars="202"/>
        <w:rPr>
          <w:rFonts w:hAnsi="等线"/>
        </w:rPr>
      </w:pPr>
      <w:r>
        <w:rPr>
          <w:rFonts w:hint="eastAsia" w:hAnsi="等线"/>
        </w:rPr>
        <w:t xml:space="preserve">（三）经甲方通知乙方参加会议后，乙方无正当理由缺席的，每缺席一次，应承担违约金3000元；乙方未依合同约定的时间出具法律意见或者修改意见的，每逾期一次，应承担违约金1000元； </w:t>
      </w:r>
    </w:p>
    <w:p w14:paraId="5176E741">
      <w:pPr>
        <w:snapToGrid w:val="0"/>
        <w:spacing w:line="560" w:lineRule="exact"/>
        <w:ind w:firstLine="646" w:firstLineChars="202"/>
        <w:rPr>
          <w:rFonts w:hAnsi="等线"/>
        </w:rPr>
      </w:pPr>
      <w:r>
        <w:rPr>
          <w:rFonts w:hint="eastAsia" w:hAnsi="等线"/>
        </w:rPr>
        <w:t>（四）乙方未依本合同约定积极主动为甲方开展法律培训的（但因甲方无法安排培训的除外），每缺一次，应承担违约金5000元。</w:t>
      </w:r>
    </w:p>
    <w:p w14:paraId="59927D95">
      <w:pPr>
        <w:snapToGrid w:val="0"/>
        <w:spacing w:line="560" w:lineRule="exact"/>
        <w:ind w:firstLine="646" w:firstLineChars="202"/>
        <w:rPr>
          <w:rFonts w:hAnsi="等线"/>
        </w:rPr>
      </w:pPr>
      <w:r>
        <w:rPr>
          <w:rFonts w:hint="eastAsia" w:hAnsi="等线"/>
        </w:rPr>
        <w:t xml:space="preserve">（五）乙方合伙人或主办律师未经甲方同意擅自更换的，每更换一次，向甲方承担违约金20000元。 </w:t>
      </w:r>
    </w:p>
    <w:p w14:paraId="63E89637">
      <w:pPr>
        <w:snapToGrid w:val="0"/>
        <w:spacing w:line="560" w:lineRule="exact"/>
        <w:ind w:firstLine="646" w:firstLineChars="202"/>
        <w:rPr>
          <w:rFonts w:hAnsi="等线"/>
        </w:rPr>
      </w:pPr>
      <w:r>
        <w:rPr>
          <w:rFonts w:hint="eastAsia" w:hAnsi="等线"/>
        </w:rPr>
        <w:t>（六）乙方应承担的违约金由甲方直接从当期应付法律顾问费（非绩效顾问费部分）中永久扣除。</w:t>
      </w:r>
    </w:p>
    <w:p w14:paraId="776F6710">
      <w:pPr>
        <w:snapToGrid w:val="0"/>
        <w:spacing w:line="560" w:lineRule="exact"/>
        <w:ind w:firstLine="646" w:firstLineChars="202"/>
        <w:rPr>
          <w:rFonts w:ascii="等线" w:hAnsi="等线"/>
        </w:rPr>
      </w:pPr>
      <w:r>
        <w:rPr>
          <w:rFonts w:hint="eastAsia" w:ascii="等线" w:hAnsi="等线"/>
        </w:rPr>
        <w:t>（七）甲方未按合同约定付款的，每逾期一天，乙方有权要求甲方按当期应付款的日万分之一比例向乙方承担违约金。</w:t>
      </w:r>
      <w:r>
        <w:rPr>
          <w:rFonts w:ascii="等线" w:hAnsi="等线"/>
        </w:rPr>
        <w:br w:type="textWrapping"/>
      </w:r>
      <w:r>
        <w:rPr>
          <w:rFonts w:hint="eastAsia" w:ascii="等线" w:hAnsi="等线"/>
        </w:rPr>
        <w:t xml:space="preserve">  （八）</w:t>
      </w:r>
      <w:r>
        <w:rPr>
          <w:rFonts w:ascii="等线" w:hAnsi="等线"/>
        </w:rPr>
        <w:t>乙方无正当理由拒绝或延误甲方指派的日常合同审查、法律意见出具或谈判协助任务</w:t>
      </w:r>
      <w:r>
        <w:rPr>
          <w:rFonts w:hint="eastAsia" w:ascii="等线" w:hAnsi="等线"/>
        </w:rPr>
        <w:t>，</w:t>
      </w:r>
      <w:r>
        <w:rPr>
          <w:rFonts w:ascii="等线" w:hAnsi="等线"/>
        </w:rPr>
        <w:t>经甲方书面通知后仍未在规定时限内</w:t>
      </w:r>
      <w:r>
        <w:rPr>
          <w:rFonts w:hint="eastAsia" w:ascii="等线" w:hAnsi="等线"/>
        </w:rPr>
        <w:t>整改</w:t>
      </w:r>
      <w:r>
        <w:rPr>
          <w:rFonts w:ascii="等线" w:hAnsi="等线"/>
        </w:rPr>
        <w:t>的，甲方有权单方委托第三方处理，由此产生的费用直接从当期服务费中扣除，并视作乙方根本性违约，甲方有权单方解除合同。</w:t>
      </w:r>
    </w:p>
    <w:p w14:paraId="2B300AB0">
      <w:pPr>
        <w:snapToGrid w:val="0"/>
        <w:spacing w:line="560" w:lineRule="exact"/>
        <w:ind w:firstLine="640" w:firstLineChars="200"/>
        <w:rPr>
          <w:rFonts w:ascii="黑体" w:hAnsi="黑体" w:eastAsia="黑体" w:cs="华文中宋"/>
          <w:bCs/>
        </w:rPr>
      </w:pPr>
      <w:r>
        <w:rPr>
          <w:rFonts w:hint="eastAsia" w:ascii="黑体" w:hAnsi="黑体" w:eastAsia="黑体" w:cs="华文中宋"/>
          <w:bCs/>
        </w:rPr>
        <w:t>十二、保密</w:t>
      </w:r>
    </w:p>
    <w:p w14:paraId="6D16CC7D">
      <w:pPr>
        <w:snapToGrid w:val="0"/>
        <w:spacing w:line="560" w:lineRule="exact"/>
        <w:ind w:firstLine="646" w:firstLineChars="202"/>
        <w:rPr>
          <w:rFonts w:ascii="等线" w:hAnsi="等线"/>
        </w:rPr>
      </w:pPr>
      <w:r>
        <w:rPr>
          <w:rFonts w:hint="eastAsia" w:ascii="等线" w:hAnsi="等线"/>
        </w:rPr>
        <w:t>甲乙双方保证对在讨论、签订、执行本协议过程中所获悉的属于对方的且无法自公开渠道获得的文件及资料（包括商业秘密、公司计划、运营活动、财务信息、技术信息、经营信息及其他商业秘密）予以保密。未经该资料和文件的提供方同意，另一方不得向任何第三方泄露该商业秘密的全部或部分内容。但法律、法规另有规定或双方另有约定的除外。</w:t>
      </w:r>
    </w:p>
    <w:p w14:paraId="1EAFCD5A">
      <w:pPr>
        <w:snapToGrid w:val="0"/>
        <w:spacing w:line="560" w:lineRule="exact"/>
        <w:ind w:firstLine="640" w:firstLineChars="200"/>
        <w:rPr>
          <w:rFonts w:ascii="黑体" w:hAnsi="黑体" w:eastAsia="黑体" w:cs="华文中宋"/>
          <w:bCs/>
        </w:rPr>
      </w:pPr>
      <w:r>
        <w:rPr>
          <w:rFonts w:hint="eastAsia" w:ascii="黑体" w:hAnsi="黑体" w:eastAsia="黑体" w:cs="华文中宋"/>
          <w:bCs/>
        </w:rPr>
        <w:t>十三、争议处理</w:t>
      </w:r>
    </w:p>
    <w:p w14:paraId="5965A593">
      <w:pPr>
        <w:snapToGrid w:val="0"/>
        <w:spacing w:line="560" w:lineRule="exact"/>
        <w:ind w:firstLine="646" w:firstLineChars="202"/>
        <w:rPr>
          <w:rFonts w:ascii="等线" w:hAnsi="等线"/>
        </w:rPr>
      </w:pPr>
      <w:r>
        <w:rPr>
          <w:rFonts w:hint="eastAsia" w:ascii="等线" w:hAnsi="等线"/>
        </w:rPr>
        <w:t>（一）本合同受中华人民共和国法律管辖；</w:t>
      </w:r>
    </w:p>
    <w:p w14:paraId="2B8DD4DE">
      <w:pPr>
        <w:snapToGrid w:val="0"/>
        <w:spacing w:line="560" w:lineRule="exact"/>
        <w:ind w:firstLine="646" w:firstLineChars="202"/>
        <w:rPr>
          <w:rFonts w:ascii="等线" w:hAnsi="等线"/>
        </w:rPr>
      </w:pPr>
      <w:r>
        <w:rPr>
          <w:rFonts w:hint="eastAsia" w:ascii="等线" w:hAnsi="等线"/>
        </w:rPr>
        <w:t>（二）本合同履行过程中如发生争议，双方应协商解决，协商不成时，均可向甲方所在地人民法院提起诉讼。</w:t>
      </w:r>
    </w:p>
    <w:p w14:paraId="7B2C01AA">
      <w:pPr>
        <w:snapToGrid w:val="0"/>
        <w:spacing w:line="560" w:lineRule="exact"/>
        <w:ind w:firstLine="640" w:firstLineChars="200"/>
        <w:rPr>
          <w:rFonts w:ascii="黑体" w:hAnsi="黑体" w:eastAsia="黑体" w:cs="华文中宋"/>
          <w:bCs/>
        </w:rPr>
      </w:pPr>
      <w:r>
        <w:rPr>
          <w:rFonts w:hint="eastAsia" w:ascii="黑体" w:hAnsi="黑体" w:eastAsia="黑体" w:cs="华文中宋"/>
          <w:bCs/>
        </w:rPr>
        <w:t>十四、合同解释</w:t>
      </w:r>
    </w:p>
    <w:p w14:paraId="6248DFBA">
      <w:pPr>
        <w:snapToGrid w:val="0"/>
        <w:spacing w:line="560" w:lineRule="exact"/>
        <w:ind w:firstLine="646" w:firstLineChars="202"/>
        <w:rPr>
          <w:rFonts w:ascii="等线" w:hAnsi="等线"/>
        </w:rPr>
      </w:pPr>
      <w:r>
        <w:rPr>
          <w:rFonts w:hint="eastAsia" w:ascii="等线" w:hAnsi="等线"/>
        </w:rPr>
        <w:t>本合同各条款约定不明时，由双方根据本合同的原则、目的、交易习惯及关联条款的内容，按通常理解作出解释。该解释除与法律抵触外，对双方均具有约束力。</w:t>
      </w:r>
    </w:p>
    <w:p w14:paraId="20BBBDE9">
      <w:pPr>
        <w:snapToGrid w:val="0"/>
        <w:spacing w:line="560" w:lineRule="exact"/>
        <w:ind w:firstLine="640" w:firstLineChars="200"/>
        <w:rPr>
          <w:rFonts w:ascii="黑体" w:hAnsi="黑体" w:eastAsia="黑体" w:cs="华文中宋"/>
          <w:bCs/>
        </w:rPr>
      </w:pPr>
      <w:r>
        <w:rPr>
          <w:rFonts w:hint="eastAsia" w:ascii="黑体" w:hAnsi="黑体" w:eastAsia="黑体" w:cs="华文中宋"/>
          <w:bCs/>
        </w:rPr>
        <w:t>十五、补充与附件</w:t>
      </w:r>
    </w:p>
    <w:p w14:paraId="5D71573A">
      <w:pPr>
        <w:snapToGrid w:val="0"/>
        <w:spacing w:line="560" w:lineRule="exact"/>
        <w:ind w:firstLine="646" w:firstLineChars="202"/>
        <w:rPr>
          <w:rFonts w:ascii="等线" w:hAnsi="等线"/>
        </w:rPr>
      </w:pPr>
      <w:r>
        <w:rPr>
          <w:rFonts w:hint="eastAsia" w:ascii="等线" w:hAnsi="等线"/>
        </w:rPr>
        <w:t>甲乙双方的招投标文件是本合同必不可少的组成部分，本合同未尽事宜，以招投标文件为准。其他未尽事宜，双方可另行达成书面补充协议。</w:t>
      </w:r>
    </w:p>
    <w:p w14:paraId="602C4620">
      <w:pPr>
        <w:snapToGrid w:val="0"/>
        <w:spacing w:line="560" w:lineRule="exact"/>
        <w:ind w:firstLine="640" w:firstLineChars="200"/>
        <w:rPr>
          <w:rFonts w:ascii="黑体" w:hAnsi="黑体" w:eastAsia="黑体" w:cs="华文中宋"/>
          <w:bCs/>
        </w:rPr>
      </w:pPr>
      <w:r>
        <w:rPr>
          <w:rFonts w:hint="eastAsia" w:ascii="黑体" w:hAnsi="黑体" w:eastAsia="黑体" w:cs="华文中宋"/>
          <w:bCs/>
        </w:rPr>
        <w:t>十六、其他</w:t>
      </w:r>
    </w:p>
    <w:p w14:paraId="1D8B35B5">
      <w:pPr>
        <w:snapToGrid w:val="0"/>
        <w:spacing w:line="560" w:lineRule="exact"/>
        <w:ind w:firstLine="646" w:firstLineChars="202"/>
        <w:rPr>
          <w:rFonts w:ascii="等线" w:hAnsi="等线"/>
        </w:rPr>
      </w:pPr>
      <w:r>
        <w:rPr>
          <w:rFonts w:hint="eastAsia" w:ascii="等线" w:hAnsi="等线"/>
        </w:rPr>
        <w:t>（一）本合同一式陆份，双方各执叁份，具有同等法律效力，自双方法定代表人或授权代表签字并加盖公章之日起生效。</w:t>
      </w:r>
    </w:p>
    <w:p w14:paraId="009832CE">
      <w:pPr>
        <w:snapToGrid w:val="0"/>
        <w:spacing w:line="560" w:lineRule="exact"/>
        <w:ind w:firstLine="646" w:firstLineChars="202"/>
        <w:rPr>
          <w:rFonts w:ascii="等线" w:hAnsi="等线"/>
        </w:rPr>
      </w:pPr>
      <w:r>
        <w:rPr>
          <w:rFonts w:hint="eastAsia" w:ascii="等线" w:hAnsi="等线"/>
        </w:rPr>
        <w:t>（二）本合同附件包括《服务人员一览表》《履约评价表》以及《安全生产管理协议》，与本合同具有同等法律效力。</w:t>
      </w:r>
    </w:p>
    <w:p w14:paraId="69E1B857">
      <w:pPr>
        <w:snapToGrid w:val="0"/>
        <w:spacing w:line="560" w:lineRule="exact"/>
        <w:ind w:firstLine="3206" w:firstLineChars="1002"/>
        <w:rPr>
          <w:rFonts w:ascii="等线" w:hAnsi="等线"/>
          <w:i/>
          <w:iCs/>
        </w:rPr>
      </w:pPr>
      <w:r>
        <w:rPr>
          <w:rFonts w:hint="eastAsia" w:hAnsi="等线"/>
          <w:i/>
          <w:iCs/>
        </w:rPr>
        <w:t>（以下无正文）</w:t>
      </w:r>
    </w:p>
    <w:p w14:paraId="1369C198">
      <w:pPr>
        <w:snapToGrid w:val="0"/>
        <w:spacing w:line="560" w:lineRule="exact"/>
        <w:ind w:firstLine="3206" w:firstLineChars="1002"/>
        <w:rPr>
          <w:rFonts w:ascii="等线" w:hAnsi="等线"/>
          <w:i/>
          <w:iCs/>
        </w:rPr>
      </w:pPr>
    </w:p>
    <w:p w14:paraId="5B3496F2">
      <w:pPr>
        <w:snapToGrid w:val="0"/>
        <w:spacing w:line="560" w:lineRule="exact"/>
        <w:ind w:firstLine="3206" w:firstLineChars="1002"/>
        <w:rPr>
          <w:rFonts w:ascii="等线" w:hAnsi="等线"/>
          <w:i/>
          <w:iCs/>
        </w:rPr>
      </w:pPr>
    </w:p>
    <w:p w14:paraId="0B8F9AA2">
      <w:pPr>
        <w:snapToGrid w:val="0"/>
        <w:spacing w:line="560" w:lineRule="exact"/>
        <w:ind w:firstLine="3206" w:firstLineChars="1002"/>
        <w:rPr>
          <w:rFonts w:ascii="等线" w:hAnsi="等线"/>
          <w:i/>
          <w:iCs/>
        </w:rPr>
      </w:pPr>
    </w:p>
    <w:p w14:paraId="1F2BEEBA">
      <w:pPr>
        <w:snapToGrid w:val="0"/>
        <w:spacing w:line="560" w:lineRule="exact"/>
        <w:ind w:firstLine="3206" w:firstLineChars="1002"/>
        <w:rPr>
          <w:rFonts w:ascii="等线" w:hAnsi="等线"/>
          <w:i/>
          <w:iCs/>
        </w:rPr>
      </w:pPr>
    </w:p>
    <w:p w14:paraId="7372200C">
      <w:pPr>
        <w:snapToGrid w:val="0"/>
        <w:spacing w:line="560" w:lineRule="exact"/>
        <w:ind w:firstLine="3206" w:firstLineChars="1002"/>
        <w:rPr>
          <w:rFonts w:ascii="等线" w:hAnsi="等线"/>
          <w:i/>
          <w:iCs/>
        </w:rPr>
      </w:pPr>
    </w:p>
    <w:p w14:paraId="7C445B53">
      <w:pPr>
        <w:snapToGrid w:val="0"/>
        <w:spacing w:line="560" w:lineRule="exact"/>
        <w:ind w:firstLine="3206" w:firstLineChars="1002"/>
        <w:rPr>
          <w:rFonts w:ascii="等线" w:hAnsi="等线"/>
          <w:i/>
          <w:iCs/>
        </w:rPr>
      </w:pPr>
    </w:p>
    <w:p w14:paraId="65707FCD">
      <w:pPr>
        <w:snapToGrid w:val="0"/>
        <w:spacing w:line="560" w:lineRule="exact"/>
        <w:ind w:firstLine="3206" w:firstLineChars="1002"/>
        <w:rPr>
          <w:rFonts w:ascii="等线" w:hAnsi="等线"/>
          <w:i/>
          <w:iCs/>
        </w:rPr>
      </w:pPr>
    </w:p>
    <w:p w14:paraId="27E3D708">
      <w:pPr>
        <w:snapToGrid w:val="0"/>
        <w:spacing w:line="560" w:lineRule="exact"/>
        <w:ind w:firstLine="3206" w:firstLineChars="1002"/>
        <w:rPr>
          <w:rFonts w:ascii="等线" w:hAnsi="等线"/>
          <w:i/>
          <w:iCs/>
        </w:rPr>
      </w:pPr>
    </w:p>
    <w:p w14:paraId="6ABD1589">
      <w:pPr>
        <w:snapToGrid w:val="0"/>
        <w:spacing w:line="560" w:lineRule="exact"/>
        <w:ind w:firstLine="3206" w:firstLineChars="1002"/>
        <w:rPr>
          <w:rFonts w:ascii="等线" w:hAnsi="等线"/>
          <w:i/>
          <w:iCs/>
        </w:rPr>
      </w:pPr>
    </w:p>
    <w:p w14:paraId="72F01B7B">
      <w:pPr>
        <w:snapToGrid w:val="0"/>
        <w:spacing w:line="560" w:lineRule="exact"/>
        <w:ind w:firstLine="3206" w:firstLineChars="1002"/>
        <w:rPr>
          <w:rFonts w:ascii="等线" w:hAnsi="等线"/>
          <w:i/>
          <w:iCs/>
        </w:rPr>
      </w:pPr>
    </w:p>
    <w:p w14:paraId="005B4169">
      <w:pPr>
        <w:snapToGrid w:val="0"/>
        <w:spacing w:line="560" w:lineRule="exact"/>
        <w:ind w:firstLine="3206" w:firstLineChars="1002"/>
        <w:rPr>
          <w:rFonts w:ascii="等线" w:hAnsi="等线"/>
          <w:i/>
          <w:iCs/>
        </w:rPr>
      </w:pPr>
    </w:p>
    <w:p w14:paraId="47E91935">
      <w:pPr>
        <w:snapToGrid w:val="0"/>
        <w:spacing w:line="560" w:lineRule="exact"/>
        <w:ind w:firstLine="3206" w:firstLineChars="1002"/>
        <w:rPr>
          <w:rFonts w:ascii="等线" w:hAnsi="等线"/>
          <w:i/>
          <w:iCs/>
        </w:rPr>
      </w:pPr>
    </w:p>
    <w:p w14:paraId="5478EBB5">
      <w:pPr>
        <w:snapToGrid w:val="0"/>
        <w:spacing w:line="560" w:lineRule="exact"/>
        <w:ind w:firstLine="3206" w:firstLineChars="1002"/>
        <w:rPr>
          <w:rFonts w:ascii="等线" w:hAnsi="等线"/>
          <w:i/>
          <w:iCs/>
        </w:rPr>
      </w:pPr>
    </w:p>
    <w:p w14:paraId="3DF764BB">
      <w:pPr>
        <w:snapToGrid w:val="0"/>
        <w:spacing w:line="560" w:lineRule="exact"/>
        <w:ind w:firstLine="3206" w:firstLineChars="1002"/>
        <w:rPr>
          <w:rFonts w:ascii="等线" w:hAnsi="等线"/>
          <w:i/>
          <w:iCs/>
        </w:rPr>
      </w:pPr>
    </w:p>
    <w:p w14:paraId="56E03BF0">
      <w:pPr>
        <w:snapToGrid w:val="0"/>
        <w:spacing w:line="560" w:lineRule="exact"/>
        <w:ind w:firstLine="3206" w:firstLineChars="1002"/>
        <w:rPr>
          <w:rFonts w:ascii="等线" w:hAnsi="等线"/>
          <w:i/>
          <w:iCs/>
        </w:rPr>
      </w:pPr>
    </w:p>
    <w:p w14:paraId="73685681"/>
    <w:p w14:paraId="0CB114B9">
      <w:pPr>
        <w:snapToGrid w:val="0"/>
        <w:spacing w:line="560" w:lineRule="exact"/>
        <w:rPr>
          <w:rFonts w:hAnsi="等线"/>
          <w:i/>
          <w:iCs/>
        </w:rPr>
      </w:pPr>
    </w:p>
    <w:p w14:paraId="179C9BE5">
      <w:pPr>
        <w:snapToGrid w:val="0"/>
        <w:spacing w:line="560" w:lineRule="exact"/>
        <w:rPr>
          <w:rFonts w:hAnsi="等线"/>
          <w:i/>
          <w:iCs/>
        </w:rPr>
      </w:pPr>
      <w:r>
        <w:rPr>
          <w:rFonts w:hint="eastAsia" w:hAnsi="等线"/>
          <w:i/>
          <w:iCs/>
        </w:rPr>
        <w:t>（本页无正文，系20</w:t>
      </w:r>
      <w:r>
        <w:rPr>
          <w:rFonts w:hAnsi="等线"/>
          <w:i/>
          <w:iCs/>
        </w:rPr>
        <w:t>2</w:t>
      </w:r>
      <w:r>
        <w:rPr>
          <w:rFonts w:hint="eastAsia" w:hAnsi="等线"/>
          <w:i/>
          <w:iCs/>
        </w:rPr>
        <w:t>6-2027年常年法律顾问服务合同签署页）</w:t>
      </w:r>
    </w:p>
    <w:p w14:paraId="6E1567D2">
      <w:pPr>
        <w:snapToGrid w:val="0"/>
        <w:spacing w:line="560" w:lineRule="exact"/>
        <w:ind w:firstLine="646" w:firstLineChars="202"/>
        <w:rPr>
          <w:rFonts w:ascii="等线" w:hAnsi="等线"/>
        </w:rPr>
      </w:pPr>
    </w:p>
    <w:p w14:paraId="463CE181">
      <w:pPr>
        <w:snapToGrid w:val="0"/>
        <w:spacing w:line="560" w:lineRule="exact"/>
        <w:rPr>
          <w:rFonts w:ascii="等线" w:hAnsi="等线"/>
        </w:rPr>
      </w:pPr>
    </w:p>
    <w:p w14:paraId="28A3FDFD">
      <w:pPr>
        <w:snapToGrid w:val="0"/>
        <w:spacing w:line="560" w:lineRule="exact"/>
        <w:rPr>
          <w:rFonts w:hAnsi="等线" w:cs="华文中宋"/>
          <w:bCs/>
        </w:rPr>
      </w:pPr>
      <w:r>
        <w:rPr>
          <w:rFonts w:hint="eastAsia" w:hAnsi="等线" w:cs="华文中宋"/>
          <w:bCs/>
        </w:rPr>
        <w:t xml:space="preserve">甲方（盖章）：深圳深港科技创新合作区发展有限公司                         </w:t>
      </w:r>
    </w:p>
    <w:p w14:paraId="36538A82">
      <w:pPr>
        <w:snapToGrid w:val="0"/>
        <w:spacing w:line="560" w:lineRule="exact"/>
        <w:rPr>
          <w:rFonts w:hAnsi="等线" w:cs="华文中宋"/>
          <w:bCs/>
        </w:rPr>
      </w:pPr>
      <w:r>
        <w:rPr>
          <w:rFonts w:hint="eastAsia" w:hAnsi="等线" w:cs="华文中宋"/>
          <w:bCs/>
        </w:rPr>
        <w:t xml:space="preserve">法定代表人或授权代表（签章）：                  </w:t>
      </w:r>
    </w:p>
    <w:p w14:paraId="3DF56E86">
      <w:pPr>
        <w:snapToGrid w:val="0"/>
        <w:spacing w:line="560" w:lineRule="exact"/>
        <w:rPr>
          <w:rFonts w:hAnsi="等线" w:cs="华文中宋"/>
          <w:bCs/>
        </w:rPr>
      </w:pPr>
      <w:r>
        <w:rPr>
          <w:rFonts w:hint="eastAsia" w:hAnsi="等线" w:cs="华文中宋"/>
          <w:bCs/>
        </w:rPr>
        <w:t>联系电话：</w:t>
      </w:r>
      <w:r>
        <w:rPr>
          <w:rFonts w:hAnsi="等线" w:cs="华文中宋"/>
          <w:bCs/>
        </w:rPr>
        <w:t xml:space="preserve">  </w:t>
      </w:r>
      <w:r>
        <w:rPr>
          <w:rFonts w:hint="eastAsia" w:hAnsi="等线" w:cs="华文中宋"/>
          <w:bCs/>
        </w:rPr>
        <w:t xml:space="preserve">                 </w:t>
      </w:r>
    </w:p>
    <w:p w14:paraId="0B9DE798">
      <w:pPr>
        <w:snapToGrid w:val="0"/>
        <w:spacing w:line="560" w:lineRule="exact"/>
        <w:rPr>
          <w:rFonts w:hAnsi="等线" w:cs="华文中宋"/>
          <w:bCs/>
        </w:rPr>
      </w:pPr>
      <w:r>
        <w:rPr>
          <w:rFonts w:hint="eastAsia" w:hAnsi="等线" w:cs="华文中宋"/>
          <w:bCs/>
        </w:rPr>
        <w:t xml:space="preserve">银行账号：/                           </w:t>
      </w:r>
    </w:p>
    <w:p w14:paraId="43CA6EB0">
      <w:pPr>
        <w:snapToGrid w:val="0"/>
        <w:spacing w:line="560" w:lineRule="exact"/>
        <w:rPr>
          <w:rFonts w:hAnsi="等线" w:cs="华文中宋"/>
          <w:bCs/>
        </w:rPr>
      </w:pPr>
      <w:r>
        <w:rPr>
          <w:rFonts w:hint="eastAsia" w:hAnsi="等线" w:cs="华文中宋"/>
          <w:bCs/>
        </w:rPr>
        <w:t xml:space="preserve">项目负责人（签章）：                  </w:t>
      </w:r>
    </w:p>
    <w:p w14:paraId="48051FD1">
      <w:pPr>
        <w:snapToGrid w:val="0"/>
        <w:spacing w:line="560" w:lineRule="exact"/>
        <w:rPr>
          <w:rFonts w:hAnsi="等线" w:cs="华文中宋"/>
          <w:bCs/>
        </w:rPr>
      </w:pPr>
      <w:r>
        <w:rPr>
          <w:rFonts w:hint="eastAsia" w:hAnsi="等线" w:cs="华文中宋"/>
          <w:bCs/>
        </w:rPr>
        <w:t xml:space="preserve">2026年  月  日                       </w:t>
      </w:r>
    </w:p>
    <w:p w14:paraId="07A27284">
      <w:pPr>
        <w:snapToGrid w:val="0"/>
        <w:spacing w:line="560" w:lineRule="exact"/>
        <w:rPr>
          <w:rFonts w:hAnsi="等线" w:cs="华文中宋"/>
          <w:bCs/>
        </w:rPr>
      </w:pPr>
    </w:p>
    <w:p w14:paraId="7E0FE068">
      <w:pPr>
        <w:snapToGrid w:val="0"/>
        <w:spacing w:line="560" w:lineRule="exact"/>
        <w:rPr>
          <w:rFonts w:hAnsi="等线" w:cs="华文中宋"/>
          <w:bCs/>
        </w:rPr>
      </w:pPr>
    </w:p>
    <w:p w14:paraId="4220E74C">
      <w:pPr>
        <w:snapToGrid w:val="0"/>
        <w:spacing w:line="560" w:lineRule="exact"/>
        <w:rPr>
          <w:rFonts w:hAnsi="等线" w:cs="华文中宋"/>
          <w:bCs/>
        </w:rPr>
      </w:pPr>
    </w:p>
    <w:p w14:paraId="03562FA5">
      <w:pPr>
        <w:snapToGrid w:val="0"/>
        <w:spacing w:line="560" w:lineRule="exact"/>
        <w:rPr>
          <w:rFonts w:hAnsi="等线" w:cs="华文中宋"/>
          <w:bCs/>
        </w:rPr>
      </w:pPr>
    </w:p>
    <w:p w14:paraId="1C6E8909">
      <w:pPr>
        <w:snapToGrid w:val="0"/>
        <w:spacing w:line="560" w:lineRule="exact"/>
        <w:rPr>
          <w:rFonts w:hAnsi="等线" w:cs="华文中宋"/>
          <w:bCs/>
        </w:rPr>
      </w:pPr>
      <w:r>
        <w:rPr>
          <w:rFonts w:hint="eastAsia" w:hAnsi="等线" w:cs="华文中宋"/>
          <w:bCs/>
        </w:rPr>
        <w:t xml:space="preserve">乙方（盖章）： </w:t>
      </w:r>
    </w:p>
    <w:p w14:paraId="578BEBAB">
      <w:pPr>
        <w:snapToGrid w:val="0"/>
        <w:spacing w:line="560" w:lineRule="exact"/>
        <w:rPr>
          <w:rFonts w:hAnsi="等线" w:cs="华文中宋"/>
          <w:bCs/>
        </w:rPr>
      </w:pPr>
      <w:r>
        <w:rPr>
          <w:rFonts w:hint="eastAsia" w:hAnsi="等线" w:cs="华文中宋"/>
          <w:bCs/>
        </w:rPr>
        <w:t>法定代表人或授权代表（签章）：</w:t>
      </w:r>
    </w:p>
    <w:p w14:paraId="2DDCF150">
      <w:pPr>
        <w:snapToGrid w:val="0"/>
        <w:spacing w:line="560" w:lineRule="exact"/>
        <w:rPr>
          <w:rFonts w:hAnsi="等线" w:cs="华文中宋"/>
          <w:bCs/>
        </w:rPr>
      </w:pPr>
      <w:r>
        <w:rPr>
          <w:rFonts w:hint="eastAsia" w:hAnsi="等线" w:cs="华文中宋"/>
          <w:bCs/>
        </w:rPr>
        <w:t>联系电话：</w:t>
      </w:r>
      <w:r>
        <w:rPr>
          <w:rFonts w:hAnsi="等线" w:cs="华文中宋"/>
          <w:bCs/>
        </w:rPr>
        <w:t xml:space="preserve"> </w:t>
      </w:r>
      <w:r>
        <w:rPr>
          <w:rFonts w:hint="eastAsia" w:hAnsi="等线" w:cs="华文中宋"/>
          <w:bCs/>
        </w:rPr>
        <w:t xml:space="preserve"> </w:t>
      </w:r>
    </w:p>
    <w:p w14:paraId="10225D03">
      <w:pPr>
        <w:snapToGrid w:val="0"/>
        <w:spacing w:line="560" w:lineRule="exact"/>
        <w:rPr>
          <w:rFonts w:hAnsi="等线" w:cs="华文中宋"/>
          <w:bCs/>
        </w:rPr>
      </w:pPr>
      <w:r>
        <w:rPr>
          <w:rFonts w:hint="eastAsia" w:hAnsi="等线" w:cs="华文中宋"/>
          <w:bCs/>
        </w:rPr>
        <w:t xml:space="preserve">银行账号： </w:t>
      </w:r>
    </w:p>
    <w:p w14:paraId="1156F27E">
      <w:pPr>
        <w:snapToGrid w:val="0"/>
        <w:spacing w:line="560" w:lineRule="exact"/>
        <w:rPr>
          <w:rFonts w:hAnsi="等线" w:cs="华文中宋"/>
          <w:bCs/>
        </w:rPr>
      </w:pPr>
      <w:r>
        <w:rPr>
          <w:rFonts w:hint="eastAsia" w:hAnsi="等线" w:cs="华文中宋"/>
          <w:bCs/>
        </w:rPr>
        <w:t>项目负责人（签章）：</w:t>
      </w:r>
    </w:p>
    <w:p w14:paraId="4FA17A4E">
      <w:pPr>
        <w:snapToGrid w:val="0"/>
        <w:spacing w:line="560" w:lineRule="exact"/>
        <w:rPr>
          <w:rFonts w:hAnsi="等线" w:cs="华文中宋"/>
          <w:bCs/>
        </w:rPr>
      </w:pPr>
      <w:r>
        <w:rPr>
          <w:rFonts w:hint="eastAsia" w:hAnsi="等线" w:cs="华文中宋"/>
          <w:bCs/>
        </w:rPr>
        <w:t>2026年  月  日</w:t>
      </w:r>
    </w:p>
    <w:p w14:paraId="00DDD476">
      <w:pPr>
        <w:snapToGrid w:val="0"/>
        <w:spacing w:line="560" w:lineRule="exact"/>
        <w:rPr>
          <w:rFonts w:ascii="等线" w:hAnsi="等线"/>
          <w:b/>
          <w:szCs w:val="21"/>
        </w:rPr>
      </w:pPr>
    </w:p>
    <w:p w14:paraId="592C6957">
      <w:pPr>
        <w:snapToGrid w:val="0"/>
        <w:spacing w:line="560" w:lineRule="exact"/>
        <w:rPr>
          <w:rFonts w:ascii="等线" w:hAnsi="等线"/>
          <w:b/>
          <w:szCs w:val="21"/>
        </w:rPr>
      </w:pPr>
    </w:p>
    <w:p w14:paraId="17D20A79">
      <w:pPr>
        <w:pStyle w:val="2"/>
        <w:numPr>
          <w:ilvl w:val="0"/>
          <w:numId w:val="0"/>
        </w:numPr>
        <w:rPr>
          <w:lang w:eastAsia="zh-CN"/>
        </w:rPr>
      </w:pPr>
    </w:p>
    <w:p w14:paraId="1E826F1A"/>
    <w:p w14:paraId="7A3FF617">
      <w:pPr>
        <w:pStyle w:val="2"/>
        <w:numPr>
          <w:ilvl w:val="0"/>
          <w:numId w:val="0"/>
        </w:numPr>
        <w:ind w:left="567"/>
        <w:rPr>
          <w:lang w:eastAsia="zh-CN"/>
        </w:rPr>
      </w:pPr>
    </w:p>
    <w:p w14:paraId="6FE8770E"/>
    <w:p w14:paraId="442C4FA5">
      <w:pPr>
        <w:snapToGrid w:val="0"/>
        <w:spacing w:line="560" w:lineRule="exact"/>
        <w:rPr>
          <w:rFonts w:ascii="等线" w:hAnsi="等线"/>
          <w:b/>
        </w:rPr>
      </w:pPr>
      <w:r>
        <w:rPr>
          <w:rFonts w:hint="eastAsia" w:ascii="等线" w:hAnsi="等线"/>
          <w:b/>
          <w:szCs w:val="21"/>
        </w:rPr>
        <w:t>附件一</w:t>
      </w:r>
      <w:r>
        <w:rPr>
          <w:rFonts w:ascii="等线" w:hAnsi="等线"/>
          <w:b/>
        </w:rPr>
        <w:t xml:space="preserve">        </w:t>
      </w:r>
    </w:p>
    <w:p w14:paraId="72F834A5">
      <w:pPr>
        <w:snapToGrid w:val="0"/>
        <w:spacing w:line="560" w:lineRule="exact"/>
        <w:ind w:firstLine="3373" w:firstLineChars="1200"/>
        <w:rPr>
          <w:rFonts w:ascii="等线" w:hAnsi="等线"/>
          <w:bCs/>
          <w:sz w:val="28"/>
          <w:szCs w:val="28"/>
        </w:rPr>
      </w:pPr>
      <w:r>
        <w:rPr>
          <w:rFonts w:hint="eastAsia" w:ascii="等线" w:hAnsi="等线" w:cs="宋体"/>
          <w:b/>
          <w:bCs/>
          <w:color w:val="000000"/>
          <w:sz w:val="28"/>
          <w:szCs w:val="28"/>
        </w:rPr>
        <w:t>服务人员一览表</w:t>
      </w:r>
    </w:p>
    <w:tbl>
      <w:tblPr>
        <w:tblStyle w:val="89"/>
        <w:tblW w:w="0" w:type="auto"/>
        <w:tblInd w:w="93" w:type="dxa"/>
        <w:tblLayout w:type="fixed"/>
        <w:tblCellMar>
          <w:top w:w="0" w:type="dxa"/>
          <w:left w:w="108" w:type="dxa"/>
          <w:bottom w:w="0" w:type="dxa"/>
          <w:right w:w="108" w:type="dxa"/>
        </w:tblCellMar>
      </w:tblPr>
      <w:tblGrid>
        <w:gridCol w:w="724"/>
        <w:gridCol w:w="1134"/>
        <w:gridCol w:w="1701"/>
        <w:gridCol w:w="1989"/>
        <w:gridCol w:w="2881"/>
      </w:tblGrid>
      <w:tr w14:paraId="6BDECC65">
        <w:tblPrEx>
          <w:tblCellMar>
            <w:top w:w="0" w:type="dxa"/>
            <w:left w:w="108" w:type="dxa"/>
            <w:bottom w:w="0" w:type="dxa"/>
            <w:right w:w="108" w:type="dxa"/>
          </w:tblCellMar>
        </w:tblPrEx>
        <w:trPr>
          <w:trHeight w:val="579" w:hRule="atLeast"/>
        </w:trPr>
        <w:tc>
          <w:tcPr>
            <w:tcW w:w="724" w:type="dxa"/>
            <w:tcBorders>
              <w:top w:val="single" w:color="auto" w:sz="4" w:space="0"/>
              <w:left w:val="single" w:color="auto" w:sz="4" w:space="0"/>
              <w:bottom w:val="single" w:color="auto" w:sz="4" w:space="0"/>
              <w:right w:val="single" w:color="auto" w:sz="4" w:space="0"/>
            </w:tcBorders>
            <w:vAlign w:val="center"/>
          </w:tcPr>
          <w:p w14:paraId="370897A0">
            <w:pPr>
              <w:spacing w:line="560" w:lineRule="exact"/>
              <w:jc w:val="center"/>
              <w:rPr>
                <w:rFonts w:ascii="等线" w:hAnsi="等线" w:cs="宋体"/>
                <w:b/>
                <w:bCs/>
                <w:color w:val="000000"/>
                <w:sz w:val="22"/>
                <w:szCs w:val="22"/>
              </w:rPr>
            </w:pPr>
            <w:r>
              <w:rPr>
                <w:rFonts w:hint="eastAsia" w:ascii="等线" w:hAnsi="等线" w:cs="宋体"/>
                <w:b/>
                <w:bCs/>
                <w:color w:val="000000"/>
                <w:sz w:val="22"/>
                <w:szCs w:val="22"/>
              </w:rPr>
              <w:t>序号</w:t>
            </w:r>
          </w:p>
        </w:tc>
        <w:tc>
          <w:tcPr>
            <w:tcW w:w="1134" w:type="dxa"/>
            <w:tcBorders>
              <w:top w:val="single" w:color="auto" w:sz="4" w:space="0"/>
              <w:left w:val="nil"/>
              <w:bottom w:val="single" w:color="auto" w:sz="4" w:space="0"/>
              <w:right w:val="single" w:color="auto" w:sz="4" w:space="0"/>
            </w:tcBorders>
            <w:vAlign w:val="center"/>
          </w:tcPr>
          <w:p w14:paraId="5FADAE5D">
            <w:pPr>
              <w:spacing w:line="560" w:lineRule="exact"/>
              <w:jc w:val="center"/>
              <w:rPr>
                <w:rFonts w:ascii="等线" w:hAnsi="等线" w:cs="宋体"/>
                <w:b/>
                <w:bCs/>
                <w:color w:val="000000"/>
                <w:sz w:val="22"/>
                <w:szCs w:val="22"/>
              </w:rPr>
            </w:pPr>
            <w:r>
              <w:rPr>
                <w:rFonts w:hint="eastAsia" w:ascii="等线" w:hAnsi="等线" w:cs="宋体"/>
                <w:b/>
                <w:bCs/>
                <w:color w:val="000000"/>
                <w:sz w:val="22"/>
                <w:szCs w:val="22"/>
              </w:rPr>
              <w:t>姓名</w:t>
            </w:r>
          </w:p>
        </w:tc>
        <w:tc>
          <w:tcPr>
            <w:tcW w:w="1701" w:type="dxa"/>
            <w:tcBorders>
              <w:top w:val="single" w:color="auto" w:sz="4" w:space="0"/>
              <w:left w:val="nil"/>
              <w:bottom w:val="single" w:color="auto" w:sz="4" w:space="0"/>
              <w:right w:val="single" w:color="auto" w:sz="4" w:space="0"/>
            </w:tcBorders>
            <w:vAlign w:val="center"/>
          </w:tcPr>
          <w:p w14:paraId="25070C70">
            <w:pPr>
              <w:spacing w:line="560" w:lineRule="exact"/>
              <w:jc w:val="center"/>
              <w:rPr>
                <w:rFonts w:ascii="等线" w:hAnsi="等线" w:cs="宋体"/>
                <w:b/>
                <w:bCs/>
                <w:color w:val="000000"/>
                <w:sz w:val="22"/>
                <w:szCs w:val="22"/>
              </w:rPr>
            </w:pPr>
            <w:r>
              <w:rPr>
                <w:rFonts w:hint="eastAsia" w:ascii="等线" w:hAnsi="等线" w:cs="宋体"/>
                <w:b/>
                <w:bCs/>
                <w:color w:val="000000"/>
                <w:sz w:val="22"/>
                <w:szCs w:val="22"/>
              </w:rPr>
              <w:t>项目分工</w:t>
            </w:r>
          </w:p>
        </w:tc>
        <w:tc>
          <w:tcPr>
            <w:tcW w:w="1989" w:type="dxa"/>
            <w:tcBorders>
              <w:top w:val="single" w:color="auto" w:sz="4" w:space="0"/>
              <w:left w:val="nil"/>
              <w:bottom w:val="single" w:color="auto" w:sz="4" w:space="0"/>
              <w:right w:val="single" w:color="auto" w:sz="4" w:space="0"/>
            </w:tcBorders>
            <w:vAlign w:val="center"/>
          </w:tcPr>
          <w:p w14:paraId="1A74F8AF">
            <w:pPr>
              <w:spacing w:line="560" w:lineRule="exact"/>
              <w:jc w:val="center"/>
              <w:rPr>
                <w:rFonts w:ascii="等线" w:hAnsi="等线" w:cs="宋体"/>
                <w:b/>
                <w:bCs/>
                <w:color w:val="000000"/>
                <w:sz w:val="22"/>
                <w:szCs w:val="22"/>
              </w:rPr>
            </w:pPr>
            <w:r>
              <w:rPr>
                <w:rFonts w:hint="eastAsia" w:ascii="等线" w:hAnsi="等线" w:cs="宋体"/>
                <w:b/>
                <w:bCs/>
                <w:color w:val="000000"/>
                <w:sz w:val="22"/>
                <w:szCs w:val="22"/>
              </w:rPr>
              <w:t>手机号码</w:t>
            </w:r>
          </w:p>
        </w:tc>
        <w:tc>
          <w:tcPr>
            <w:tcW w:w="2881" w:type="dxa"/>
            <w:tcBorders>
              <w:top w:val="single" w:color="auto" w:sz="4" w:space="0"/>
              <w:left w:val="nil"/>
              <w:bottom w:val="single" w:color="auto" w:sz="4" w:space="0"/>
              <w:right w:val="single" w:color="auto" w:sz="4" w:space="0"/>
            </w:tcBorders>
            <w:vAlign w:val="center"/>
          </w:tcPr>
          <w:p w14:paraId="14751CCE">
            <w:pPr>
              <w:spacing w:line="560" w:lineRule="exact"/>
              <w:jc w:val="center"/>
              <w:rPr>
                <w:rFonts w:ascii="等线" w:hAnsi="等线" w:cs="宋体"/>
                <w:b/>
                <w:bCs/>
                <w:color w:val="000000"/>
                <w:sz w:val="22"/>
                <w:szCs w:val="22"/>
              </w:rPr>
            </w:pPr>
            <w:r>
              <w:rPr>
                <w:rFonts w:hint="eastAsia" w:ascii="等线" w:hAnsi="等线" w:cs="宋体"/>
                <w:b/>
                <w:bCs/>
                <w:color w:val="000000"/>
                <w:sz w:val="22"/>
                <w:szCs w:val="22"/>
              </w:rPr>
              <w:t>电子邮箱</w:t>
            </w:r>
          </w:p>
        </w:tc>
      </w:tr>
      <w:tr w14:paraId="3F4649C8">
        <w:tblPrEx>
          <w:tblCellMar>
            <w:top w:w="0" w:type="dxa"/>
            <w:left w:w="108" w:type="dxa"/>
            <w:bottom w:w="0" w:type="dxa"/>
            <w:right w:w="108" w:type="dxa"/>
          </w:tblCellMar>
        </w:tblPrEx>
        <w:trPr>
          <w:trHeight w:val="639" w:hRule="atLeast"/>
        </w:trPr>
        <w:tc>
          <w:tcPr>
            <w:tcW w:w="724" w:type="dxa"/>
            <w:tcBorders>
              <w:top w:val="nil"/>
              <w:left w:val="single" w:color="auto" w:sz="4" w:space="0"/>
              <w:bottom w:val="single" w:color="auto" w:sz="4" w:space="0"/>
              <w:right w:val="single" w:color="auto" w:sz="4" w:space="0"/>
            </w:tcBorders>
            <w:vAlign w:val="center"/>
          </w:tcPr>
          <w:p w14:paraId="5D543C6B">
            <w:pPr>
              <w:jc w:val="center"/>
              <w:rPr>
                <w:rFonts w:ascii="Times New Roman" w:hAnsi="Times New Roman"/>
                <w:color w:val="000000"/>
                <w:sz w:val="22"/>
                <w:szCs w:val="22"/>
              </w:rPr>
            </w:pPr>
            <w:r>
              <w:rPr>
                <w:rFonts w:ascii="Times New Roman" w:hAnsi="Times New Roman"/>
                <w:color w:val="000000"/>
                <w:sz w:val="22"/>
                <w:szCs w:val="22"/>
              </w:rPr>
              <w:t>1</w:t>
            </w:r>
          </w:p>
        </w:tc>
        <w:tc>
          <w:tcPr>
            <w:tcW w:w="1134" w:type="dxa"/>
            <w:tcBorders>
              <w:top w:val="nil"/>
              <w:left w:val="nil"/>
              <w:bottom w:val="single" w:color="auto" w:sz="4" w:space="0"/>
              <w:right w:val="single" w:color="auto" w:sz="4" w:space="0"/>
            </w:tcBorders>
            <w:vAlign w:val="center"/>
          </w:tcPr>
          <w:p w14:paraId="039ECD49">
            <w:pPr>
              <w:jc w:val="center"/>
              <w:rPr>
                <w:rFonts w:ascii="Times New Roman" w:hAnsi="Times New Roman"/>
                <w:color w:val="000000"/>
                <w:sz w:val="22"/>
                <w:szCs w:val="22"/>
              </w:rPr>
            </w:pPr>
          </w:p>
        </w:tc>
        <w:tc>
          <w:tcPr>
            <w:tcW w:w="1701" w:type="dxa"/>
            <w:tcBorders>
              <w:top w:val="nil"/>
              <w:left w:val="nil"/>
              <w:bottom w:val="single" w:color="auto" w:sz="4" w:space="0"/>
              <w:right w:val="single" w:color="auto" w:sz="4" w:space="0"/>
            </w:tcBorders>
            <w:vAlign w:val="center"/>
          </w:tcPr>
          <w:p w14:paraId="7E361905">
            <w:pPr>
              <w:jc w:val="center"/>
              <w:rPr>
                <w:rFonts w:ascii="Times New Roman" w:hAnsi="Times New Roman"/>
                <w:bCs/>
                <w:color w:val="000000"/>
                <w:sz w:val="22"/>
                <w:szCs w:val="22"/>
              </w:rPr>
            </w:pPr>
          </w:p>
        </w:tc>
        <w:tc>
          <w:tcPr>
            <w:tcW w:w="1989" w:type="dxa"/>
            <w:tcBorders>
              <w:top w:val="nil"/>
              <w:left w:val="nil"/>
              <w:bottom w:val="single" w:color="auto" w:sz="4" w:space="0"/>
              <w:right w:val="single" w:color="auto" w:sz="4" w:space="0"/>
            </w:tcBorders>
            <w:vAlign w:val="center"/>
          </w:tcPr>
          <w:p w14:paraId="7C6ADB29">
            <w:pPr>
              <w:jc w:val="center"/>
              <w:rPr>
                <w:rFonts w:ascii="Times New Roman" w:hAnsi="Times New Roman"/>
                <w:color w:val="000000"/>
                <w:sz w:val="22"/>
                <w:szCs w:val="22"/>
              </w:rPr>
            </w:pPr>
          </w:p>
        </w:tc>
        <w:tc>
          <w:tcPr>
            <w:tcW w:w="2881" w:type="dxa"/>
            <w:tcBorders>
              <w:top w:val="nil"/>
              <w:left w:val="nil"/>
              <w:bottom w:val="single" w:color="auto" w:sz="4" w:space="0"/>
              <w:right w:val="single" w:color="auto" w:sz="4" w:space="0"/>
            </w:tcBorders>
            <w:vAlign w:val="center"/>
          </w:tcPr>
          <w:p w14:paraId="2A66A7F6">
            <w:pPr>
              <w:jc w:val="center"/>
              <w:rPr>
                <w:rFonts w:ascii="Times New Roman" w:hAnsi="Times New Roman"/>
                <w:color w:val="000000"/>
                <w:sz w:val="22"/>
                <w:szCs w:val="22"/>
              </w:rPr>
            </w:pPr>
          </w:p>
        </w:tc>
      </w:tr>
      <w:tr w14:paraId="0E99FD13">
        <w:tblPrEx>
          <w:tblCellMar>
            <w:top w:w="0" w:type="dxa"/>
            <w:left w:w="108" w:type="dxa"/>
            <w:bottom w:w="0" w:type="dxa"/>
            <w:right w:w="108" w:type="dxa"/>
          </w:tblCellMar>
        </w:tblPrEx>
        <w:trPr>
          <w:trHeight w:val="639" w:hRule="atLeast"/>
        </w:trPr>
        <w:tc>
          <w:tcPr>
            <w:tcW w:w="724" w:type="dxa"/>
            <w:tcBorders>
              <w:top w:val="nil"/>
              <w:left w:val="single" w:color="auto" w:sz="4" w:space="0"/>
              <w:bottom w:val="single" w:color="auto" w:sz="4" w:space="0"/>
              <w:right w:val="single" w:color="auto" w:sz="4" w:space="0"/>
            </w:tcBorders>
            <w:vAlign w:val="center"/>
          </w:tcPr>
          <w:p w14:paraId="06894717">
            <w:pPr>
              <w:jc w:val="center"/>
              <w:rPr>
                <w:rFonts w:ascii="Times New Roman" w:hAnsi="Times New Roman"/>
                <w:color w:val="000000"/>
                <w:sz w:val="22"/>
                <w:szCs w:val="22"/>
              </w:rPr>
            </w:pPr>
            <w:r>
              <w:rPr>
                <w:rFonts w:ascii="Times New Roman" w:hAnsi="Times New Roman"/>
                <w:color w:val="000000"/>
                <w:sz w:val="22"/>
                <w:szCs w:val="22"/>
              </w:rPr>
              <w:t>2</w:t>
            </w:r>
          </w:p>
        </w:tc>
        <w:tc>
          <w:tcPr>
            <w:tcW w:w="1134" w:type="dxa"/>
            <w:tcBorders>
              <w:top w:val="nil"/>
              <w:left w:val="nil"/>
              <w:bottom w:val="single" w:color="auto" w:sz="4" w:space="0"/>
              <w:right w:val="single" w:color="auto" w:sz="4" w:space="0"/>
            </w:tcBorders>
            <w:vAlign w:val="center"/>
          </w:tcPr>
          <w:p w14:paraId="5B78F121">
            <w:pPr>
              <w:jc w:val="center"/>
              <w:rPr>
                <w:rFonts w:ascii="Times New Roman" w:hAnsi="Times New Roman"/>
                <w:color w:val="000000"/>
                <w:sz w:val="22"/>
                <w:szCs w:val="22"/>
              </w:rPr>
            </w:pPr>
          </w:p>
        </w:tc>
        <w:tc>
          <w:tcPr>
            <w:tcW w:w="1701" w:type="dxa"/>
            <w:tcBorders>
              <w:top w:val="nil"/>
              <w:left w:val="nil"/>
              <w:bottom w:val="single" w:color="auto" w:sz="4" w:space="0"/>
              <w:right w:val="single" w:color="auto" w:sz="4" w:space="0"/>
            </w:tcBorders>
            <w:vAlign w:val="center"/>
          </w:tcPr>
          <w:p w14:paraId="49C76C88">
            <w:pPr>
              <w:jc w:val="center"/>
              <w:rPr>
                <w:rFonts w:ascii="Times New Roman" w:hAnsi="Times New Roman"/>
                <w:bCs/>
                <w:color w:val="000000"/>
                <w:sz w:val="22"/>
                <w:szCs w:val="22"/>
              </w:rPr>
            </w:pPr>
          </w:p>
        </w:tc>
        <w:tc>
          <w:tcPr>
            <w:tcW w:w="1989" w:type="dxa"/>
            <w:tcBorders>
              <w:top w:val="nil"/>
              <w:left w:val="nil"/>
              <w:bottom w:val="single" w:color="auto" w:sz="4" w:space="0"/>
              <w:right w:val="single" w:color="auto" w:sz="4" w:space="0"/>
            </w:tcBorders>
            <w:vAlign w:val="center"/>
          </w:tcPr>
          <w:p w14:paraId="029B8CAE">
            <w:pPr>
              <w:jc w:val="center"/>
              <w:rPr>
                <w:rFonts w:ascii="Times New Roman" w:hAnsi="Times New Roman"/>
                <w:color w:val="000000"/>
                <w:sz w:val="22"/>
                <w:szCs w:val="22"/>
              </w:rPr>
            </w:pPr>
          </w:p>
        </w:tc>
        <w:tc>
          <w:tcPr>
            <w:tcW w:w="2881" w:type="dxa"/>
            <w:tcBorders>
              <w:top w:val="nil"/>
              <w:left w:val="nil"/>
              <w:bottom w:val="single" w:color="auto" w:sz="4" w:space="0"/>
              <w:right w:val="single" w:color="auto" w:sz="4" w:space="0"/>
            </w:tcBorders>
            <w:vAlign w:val="center"/>
          </w:tcPr>
          <w:p w14:paraId="24709893">
            <w:pPr>
              <w:jc w:val="center"/>
              <w:rPr>
                <w:rFonts w:ascii="Times New Roman" w:hAnsi="Times New Roman"/>
                <w:color w:val="000000"/>
                <w:sz w:val="22"/>
                <w:szCs w:val="22"/>
              </w:rPr>
            </w:pPr>
          </w:p>
        </w:tc>
      </w:tr>
      <w:tr w14:paraId="5EBFE180">
        <w:tblPrEx>
          <w:tblCellMar>
            <w:top w:w="0" w:type="dxa"/>
            <w:left w:w="108" w:type="dxa"/>
            <w:bottom w:w="0" w:type="dxa"/>
            <w:right w:w="108" w:type="dxa"/>
          </w:tblCellMar>
        </w:tblPrEx>
        <w:trPr>
          <w:trHeight w:val="639" w:hRule="atLeast"/>
        </w:trPr>
        <w:tc>
          <w:tcPr>
            <w:tcW w:w="724" w:type="dxa"/>
            <w:tcBorders>
              <w:top w:val="nil"/>
              <w:left w:val="single" w:color="auto" w:sz="4" w:space="0"/>
              <w:bottom w:val="single" w:color="auto" w:sz="4" w:space="0"/>
              <w:right w:val="single" w:color="auto" w:sz="4" w:space="0"/>
            </w:tcBorders>
            <w:vAlign w:val="center"/>
          </w:tcPr>
          <w:p w14:paraId="448E78D3">
            <w:pPr>
              <w:jc w:val="center"/>
              <w:rPr>
                <w:rFonts w:ascii="Times New Roman" w:hAnsi="Times New Roman"/>
                <w:color w:val="000000"/>
                <w:sz w:val="22"/>
                <w:szCs w:val="22"/>
              </w:rPr>
            </w:pPr>
            <w:r>
              <w:rPr>
                <w:rFonts w:ascii="Times New Roman" w:hAnsi="Times New Roman"/>
                <w:color w:val="000000"/>
                <w:sz w:val="22"/>
                <w:szCs w:val="22"/>
              </w:rPr>
              <w:t>3</w:t>
            </w:r>
          </w:p>
        </w:tc>
        <w:tc>
          <w:tcPr>
            <w:tcW w:w="1134" w:type="dxa"/>
            <w:tcBorders>
              <w:top w:val="nil"/>
              <w:left w:val="nil"/>
              <w:bottom w:val="single" w:color="auto" w:sz="4" w:space="0"/>
              <w:right w:val="single" w:color="auto" w:sz="4" w:space="0"/>
            </w:tcBorders>
            <w:vAlign w:val="center"/>
          </w:tcPr>
          <w:p w14:paraId="28BE15F6">
            <w:pPr>
              <w:jc w:val="center"/>
              <w:rPr>
                <w:rFonts w:ascii="Times New Roman" w:hAnsi="Times New Roman"/>
                <w:color w:val="000000"/>
                <w:sz w:val="22"/>
                <w:szCs w:val="22"/>
              </w:rPr>
            </w:pPr>
          </w:p>
        </w:tc>
        <w:tc>
          <w:tcPr>
            <w:tcW w:w="1701" w:type="dxa"/>
            <w:tcBorders>
              <w:top w:val="nil"/>
              <w:left w:val="nil"/>
              <w:bottom w:val="single" w:color="auto" w:sz="4" w:space="0"/>
              <w:right w:val="single" w:color="auto" w:sz="4" w:space="0"/>
            </w:tcBorders>
            <w:vAlign w:val="center"/>
          </w:tcPr>
          <w:p w14:paraId="1F5D5A02">
            <w:pPr>
              <w:jc w:val="center"/>
              <w:rPr>
                <w:rFonts w:ascii="Times New Roman" w:hAnsi="Times New Roman"/>
                <w:bCs/>
                <w:color w:val="000000"/>
                <w:sz w:val="22"/>
                <w:szCs w:val="22"/>
              </w:rPr>
            </w:pPr>
          </w:p>
        </w:tc>
        <w:tc>
          <w:tcPr>
            <w:tcW w:w="1989" w:type="dxa"/>
            <w:tcBorders>
              <w:top w:val="nil"/>
              <w:left w:val="nil"/>
              <w:bottom w:val="single" w:color="auto" w:sz="4" w:space="0"/>
              <w:right w:val="single" w:color="auto" w:sz="4" w:space="0"/>
            </w:tcBorders>
            <w:vAlign w:val="center"/>
          </w:tcPr>
          <w:p w14:paraId="5B52B7D2">
            <w:pPr>
              <w:jc w:val="center"/>
              <w:rPr>
                <w:rFonts w:ascii="Times New Roman" w:hAnsi="Times New Roman"/>
                <w:color w:val="000000"/>
                <w:sz w:val="22"/>
                <w:szCs w:val="22"/>
              </w:rPr>
            </w:pPr>
          </w:p>
        </w:tc>
        <w:tc>
          <w:tcPr>
            <w:tcW w:w="2881" w:type="dxa"/>
            <w:tcBorders>
              <w:top w:val="nil"/>
              <w:left w:val="nil"/>
              <w:bottom w:val="single" w:color="auto" w:sz="4" w:space="0"/>
              <w:right w:val="single" w:color="auto" w:sz="4" w:space="0"/>
            </w:tcBorders>
            <w:vAlign w:val="center"/>
          </w:tcPr>
          <w:p w14:paraId="0F62DCDE">
            <w:pPr>
              <w:jc w:val="center"/>
              <w:rPr>
                <w:rFonts w:ascii="Times New Roman" w:hAnsi="Times New Roman"/>
                <w:color w:val="000000"/>
                <w:sz w:val="22"/>
                <w:szCs w:val="22"/>
              </w:rPr>
            </w:pPr>
          </w:p>
        </w:tc>
      </w:tr>
      <w:tr w14:paraId="45250666">
        <w:tblPrEx>
          <w:tblCellMar>
            <w:top w:w="0" w:type="dxa"/>
            <w:left w:w="108" w:type="dxa"/>
            <w:bottom w:w="0" w:type="dxa"/>
            <w:right w:w="108" w:type="dxa"/>
          </w:tblCellMar>
        </w:tblPrEx>
        <w:trPr>
          <w:trHeight w:val="570" w:hRule="atLeast"/>
        </w:trPr>
        <w:tc>
          <w:tcPr>
            <w:tcW w:w="724" w:type="dxa"/>
            <w:tcBorders>
              <w:top w:val="nil"/>
              <w:left w:val="single" w:color="auto" w:sz="4" w:space="0"/>
              <w:bottom w:val="single" w:color="auto" w:sz="4" w:space="0"/>
              <w:right w:val="single" w:color="auto" w:sz="4" w:space="0"/>
            </w:tcBorders>
            <w:vAlign w:val="center"/>
          </w:tcPr>
          <w:p w14:paraId="023AD5D4">
            <w:pPr>
              <w:jc w:val="center"/>
              <w:rPr>
                <w:rFonts w:ascii="Times New Roman" w:hAnsi="Times New Roman"/>
                <w:color w:val="000000"/>
                <w:sz w:val="22"/>
                <w:szCs w:val="22"/>
              </w:rPr>
            </w:pPr>
            <w:r>
              <w:rPr>
                <w:rFonts w:ascii="Times New Roman" w:hAnsi="Times New Roman"/>
                <w:color w:val="000000"/>
                <w:sz w:val="22"/>
                <w:szCs w:val="22"/>
              </w:rPr>
              <w:t>4</w:t>
            </w:r>
          </w:p>
        </w:tc>
        <w:tc>
          <w:tcPr>
            <w:tcW w:w="1134" w:type="dxa"/>
            <w:tcBorders>
              <w:top w:val="nil"/>
              <w:left w:val="nil"/>
              <w:bottom w:val="single" w:color="auto" w:sz="4" w:space="0"/>
              <w:right w:val="single" w:color="auto" w:sz="4" w:space="0"/>
            </w:tcBorders>
            <w:vAlign w:val="center"/>
          </w:tcPr>
          <w:p w14:paraId="2629CFD4">
            <w:pPr>
              <w:jc w:val="center"/>
              <w:rPr>
                <w:rFonts w:ascii="Times New Roman" w:hAnsi="Times New Roman"/>
                <w:color w:val="000000"/>
                <w:sz w:val="22"/>
                <w:szCs w:val="22"/>
              </w:rPr>
            </w:pPr>
          </w:p>
        </w:tc>
        <w:tc>
          <w:tcPr>
            <w:tcW w:w="1701" w:type="dxa"/>
            <w:tcBorders>
              <w:top w:val="nil"/>
              <w:left w:val="nil"/>
              <w:bottom w:val="single" w:color="auto" w:sz="4" w:space="0"/>
              <w:right w:val="single" w:color="auto" w:sz="4" w:space="0"/>
            </w:tcBorders>
            <w:vAlign w:val="center"/>
          </w:tcPr>
          <w:p w14:paraId="2D16B922">
            <w:pPr>
              <w:jc w:val="center"/>
              <w:rPr>
                <w:rFonts w:ascii="Times New Roman" w:hAnsi="Times New Roman"/>
                <w:color w:val="000000"/>
                <w:sz w:val="22"/>
                <w:szCs w:val="22"/>
              </w:rPr>
            </w:pPr>
          </w:p>
        </w:tc>
        <w:tc>
          <w:tcPr>
            <w:tcW w:w="1989" w:type="dxa"/>
            <w:tcBorders>
              <w:top w:val="nil"/>
              <w:left w:val="nil"/>
              <w:bottom w:val="single" w:color="auto" w:sz="4" w:space="0"/>
              <w:right w:val="single" w:color="auto" w:sz="4" w:space="0"/>
            </w:tcBorders>
            <w:vAlign w:val="center"/>
          </w:tcPr>
          <w:p w14:paraId="5BC911E9">
            <w:pPr>
              <w:jc w:val="center"/>
              <w:rPr>
                <w:rFonts w:ascii="Times New Roman" w:hAnsi="Times New Roman"/>
                <w:color w:val="000000"/>
                <w:sz w:val="22"/>
                <w:szCs w:val="22"/>
              </w:rPr>
            </w:pPr>
          </w:p>
        </w:tc>
        <w:tc>
          <w:tcPr>
            <w:tcW w:w="2881" w:type="dxa"/>
            <w:tcBorders>
              <w:top w:val="nil"/>
              <w:left w:val="nil"/>
              <w:bottom w:val="single" w:color="auto" w:sz="4" w:space="0"/>
              <w:right w:val="single" w:color="auto" w:sz="4" w:space="0"/>
            </w:tcBorders>
            <w:vAlign w:val="center"/>
          </w:tcPr>
          <w:p w14:paraId="4BC0F933">
            <w:pPr>
              <w:jc w:val="center"/>
              <w:rPr>
                <w:rFonts w:ascii="Times New Roman" w:hAnsi="Times New Roman"/>
                <w:color w:val="000000"/>
                <w:sz w:val="22"/>
                <w:szCs w:val="22"/>
              </w:rPr>
            </w:pPr>
          </w:p>
        </w:tc>
      </w:tr>
      <w:tr w14:paraId="6897D3A8">
        <w:tblPrEx>
          <w:tblCellMar>
            <w:top w:w="0" w:type="dxa"/>
            <w:left w:w="108" w:type="dxa"/>
            <w:bottom w:w="0" w:type="dxa"/>
            <w:right w:w="108" w:type="dxa"/>
          </w:tblCellMar>
        </w:tblPrEx>
        <w:trPr>
          <w:trHeight w:val="570" w:hRule="atLeast"/>
        </w:trPr>
        <w:tc>
          <w:tcPr>
            <w:tcW w:w="724" w:type="dxa"/>
            <w:tcBorders>
              <w:top w:val="nil"/>
              <w:left w:val="single" w:color="auto" w:sz="4" w:space="0"/>
              <w:bottom w:val="single" w:color="auto" w:sz="4" w:space="0"/>
              <w:right w:val="single" w:color="auto" w:sz="4" w:space="0"/>
            </w:tcBorders>
            <w:vAlign w:val="center"/>
          </w:tcPr>
          <w:p w14:paraId="38734DF9">
            <w:pPr>
              <w:jc w:val="center"/>
              <w:rPr>
                <w:rFonts w:ascii="Times New Roman" w:hAnsi="Times New Roman"/>
                <w:color w:val="000000"/>
                <w:sz w:val="22"/>
                <w:szCs w:val="22"/>
              </w:rPr>
            </w:pPr>
            <w:r>
              <w:rPr>
                <w:rFonts w:ascii="Times New Roman" w:hAnsi="Times New Roman"/>
                <w:color w:val="000000"/>
                <w:sz w:val="22"/>
                <w:szCs w:val="22"/>
              </w:rPr>
              <w:t>5</w:t>
            </w:r>
          </w:p>
        </w:tc>
        <w:tc>
          <w:tcPr>
            <w:tcW w:w="1134" w:type="dxa"/>
            <w:tcBorders>
              <w:top w:val="nil"/>
              <w:left w:val="nil"/>
              <w:bottom w:val="single" w:color="auto" w:sz="4" w:space="0"/>
              <w:right w:val="single" w:color="auto" w:sz="4" w:space="0"/>
            </w:tcBorders>
            <w:vAlign w:val="center"/>
          </w:tcPr>
          <w:p w14:paraId="3A8317E8">
            <w:pPr>
              <w:jc w:val="center"/>
              <w:rPr>
                <w:rFonts w:ascii="Times New Roman" w:hAnsi="Times New Roman"/>
                <w:color w:val="000000"/>
                <w:sz w:val="22"/>
                <w:szCs w:val="22"/>
              </w:rPr>
            </w:pPr>
          </w:p>
        </w:tc>
        <w:tc>
          <w:tcPr>
            <w:tcW w:w="1701" w:type="dxa"/>
            <w:tcBorders>
              <w:top w:val="nil"/>
              <w:left w:val="nil"/>
              <w:bottom w:val="single" w:color="auto" w:sz="4" w:space="0"/>
              <w:right w:val="single" w:color="auto" w:sz="4" w:space="0"/>
            </w:tcBorders>
            <w:vAlign w:val="center"/>
          </w:tcPr>
          <w:p w14:paraId="5238FFF0">
            <w:pPr>
              <w:jc w:val="center"/>
              <w:rPr>
                <w:rFonts w:ascii="Times New Roman" w:hAnsi="Times New Roman"/>
                <w:color w:val="000000"/>
                <w:sz w:val="22"/>
                <w:szCs w:val="22"/>
              </w:rPr>
            </w:pPr>
          </w:p>
        </w:tc>
        <w:tc>
          <w:tcPr>
            <w:tcW w:w="1989" w:type="dxa"/>
            <w:tcBorders>
              <w:top w:val="nil"/>
              <w:left w:val="nil"/>
              <w:bottom w:val="single" w:color="auto" w:sz="4" w:space="0"/>
              <w:right w:val="single" w:color="auto" w:sz="4" w:space="0"/>
            </w:tcBorders>
            <w:vAlign w:val="center"/>
          </w:tcPr>
          <w:p w14:paraId="6FBF802A">
            <w:pPr>
              <w:jc w:val="center"/>
              <w:rPr>
                <w:rFonts w:ascii="Times New Roman" w:hAnsi="Times New Roman"/>
                <w:color w:val="000000"/>
                <w:sz w:val="22"/>
                <w:szCs w:val="22"/>
              </w:rPr>
            </w:pPr>
          </w:p>
        </w:tc>
        <w:tc>
          <w:tcPr>
            <w:tcW w:w="2881" w:type="dxa"/>
            <w:tcBorders>
              <w:top w:val="nil"/>
              <w:left w:val="nil"/>
              <w:bottom w:val="single" w:color="auto" w:sz="4" w:space="0"/>
              <w:right w:val="single" w:color="auto" w:sz="4" w:space="0"/>
            </w:tcBorders>
            <w:vAlign w:val="center"/>
          </w:tcPr>
          <w:p w14:paraId="20A4AD44">
            <w:pPr>
              <w:jc w:val="center"/>
              <w:rPr>
                <w:rFonts w:ascii="Times New Roman" w:hAnsi="Times New Roman"/>
                <w:color w:val="000000"/>
                <w:sz w:val="22"/>
                <w:szCs w:val="22"/>
              </w:rPr>
            </w:pPr>
          </w:p>
        </w:tc>
      </w:tr>
      <w:tr w14:paraId="59911013">
        <w:tblPrEx>
          <w:tblCellMar>
            <w:top w:w="0" w:type="dxa"/>
            <w:left w:w="108" w:type="dxa"/>
            <w:bottom w:w="0" w:type="dxa"/>
            <w:right w:w="108" w:type="dxa"/>
          </w:tblCellMar>
        </w:tblPrEx>
        <w:trPr>
          <w:trHeight w:val="570" w:hRule="atLeast"/>
        </w:trPr>
        <w:tc>
          <w:tcPr>
            <w:tcW w:w="724" w:type="dxa"/>
            <w:tcBorders>
              <w:top w:val="nil"/>
              <w:left w:val="single" w:color="auto" w:sz="4" w:space="0"/>
              <w:bottom w:val="single" w:color="auto" w:sz="4" w:space="0"/>
              <w:right w:val="single" w:color="auto" w:sz="4" w:space="0"/>
            </w:tcBorders>
            <w:vAlign w:val="center"/>
          </w:tcPr>
          <w:p w14:paraId="239FB896">
            <w:pPr>
              <w:jc w:val="center"/>
              <w:rPr>
                <w:rFonts w:ascii="Times New Roman" w:hAnsi="Times New Roman"/>
                <w:color w:val="000000"/>
                <w:sz w:val="22"/>
                <w:szCs w:val="22"/>
              </w:rPr>
            </w:pPr>
            <w:r>
              <w:rPr>
                <w:rFonts w:ascii="Times New Roman" w:hAnsi="Times New Roman"/>
                <w:color w:val="000000"/>
                <w:sz w:val="22"/>
                <w:szCs w:val="22"/>
              </w:rPr>
              <w:t>6</w:t>
            </w:r>
          </w:p>
        </w:tc>
        <w:tc>
          <w:tcPr>
            <w:tcW w:w="1134" w:type="dxa"/>
            <w:tcBorders>
              <w:top w:val="nil"/>
              <w:left w:val="nil"/>
              <w:bottom w:val="single" w:color="auto" w:sz="4" w:space="0"/>
              <w:right w:val="single" w:color="auto" w:sz="4" w:space="0"/>
            </w:tcBorders>
            <w:vAlign w:val="center"/>
          </w:tcPr>
          <w:p w14:paraId="41792331">
            <w:pPr>
              <w:jc w:val="center"/>
              <w:rPr>
                <w:rFonts w:ascii="Times New Roman" w:hAnsi="Times New Roman"/>
                <w:color w:val="000000"/>
                <w:sz w:val="22"/>
                <w:szCs w:val="22"/>
              </w:rPr>
            </w:pPr>
          </w:p>
        </w:tc>
        <w:tc>
          <w:tcPr>
            <w:tcW w:w="1701" w:type="dxa"/>
            <w:tcBorders>
              <w:top w:val="nil"/>
              <w:left w:val="nil"/>
              <w:bottom w:val="single" w:color="auto" w:sz="4" w:space="0"/>
              <w:right w:val="single" w:color="auto" w:sz="4" w:space="0"/>
            </w:tcBorders>
            <w:vAlign w:val="center"/>
          </w:tcPr>
          <w:p w14:paraId="5F47DA54">
            <w:pPr>
              <w:jc w:val="center"/>
              <w:rPr>
                <w:rFonts w:ascii="Times New Roman" w:hAnsi="Times New Roman"/>
                <w:color w:val="000000"/>
                <w:sz w:val="22"/>
                <w:szCs w:val="22"/>
              </w:rPr>
            </w:pPr>
          </w:p>
        </w:tc>
        <w:tc>
          <w:tcPr>
            <w:tcW w:w="1989" w:type="dxa"/>
            <w:tcBorders>
              <w:top w:val="nil"/>
              <w:left w:val="nil"/>
              <w:bottom w:val="single" w:color="auto" w:sz="4" w:space="0"/>
              <w:right w:val="single" w:color="auto" w:sz="4" w:space="0"/>
            </w:tcBorders>
            <w:vAlign w:val="center"/>
          </w:tcPr>
          <w:p w14:paraId="628FA5F3">
            <w:pPr>
              <w:jc w:val="center"/>
              <w:rPr>
                <w:rFonts w:ascii="Times New Roman" w:hAnsi="Times New Roman"/>
                <w:color w:val="000000"/>
                <w:sz w:val="22"/>
                <w:szCs w:val="22"/>
              </w:rPr>
            </w:pPr>
          </w:p>
        </w:tc>
        <w:tc>
          <w:tcPr>
            <w:tcW w:w="2881" w:type="dxa"/>
            <w:tcBorders>
              <w:top w:val="nil"/>
              <w:left w:val="nil"/>
              <w:bottom w:val="single" w:color="auto" w:sz="4" w:space="0"/>
              <w:right w:val="single" w:color="auto" w:sz="4" w:space="0"/>
            </w:tcBorders>
            <w:vAlign w:val="center"/>
          </w:tcPr>
          <w:p w14:paraId="3BDE4886">
            <w:pPr>
              <w:jc w:val="center"/>
              <w:rPr>
                <w:rFonts w:ascii="Times New Roman" w:hAnsi="Times New Roman"/>
                <w:color w:val="000000"/>
                <w:sz w:val="22"/>
                <w:szCs w:val="22"/>
              </w:rPr>
            </w:pPr>
          </w:p>
        </w:tc>
      </w:tr>
      <w:tr w14:paraId="236ABDF4">
        <w:tblPrEx>
          <w:tblCellMar>
            <w:top w:w="0" w:type="dxa"/>
            <w:left w:w="108" w:type="dxa"/>
            <w:bottom w:w="0" w:type="dxa"/>
            <w:right w:w="108" w:type="dxa"/>
          </w:tblCellMar>
        </w:tblPrEx>
        <w:trPr>
          <w:trHeight w:val="570" w:hRule="atLeast"/>
        </w:trPr>
        <w:tc>
          <w:tcPr>
            <w:tcW w:w="724" w:type="dxa"/>
            <w:tcBorders>
              <w:top w:val="nil"/>
              <w:left w:val="single" w:color="auto" w:sz="4" w:space="0"/>
              <w:bottom w:val="single" w:color="auto" w:sz="4" w:space="0"/>
              <w:right w:val="single" w:color="auto" w:sz="4" w:space="0"/>
            </w:tcBorders>
            <w:vAlign w:val="center"/>
          </w:tcPr>
          <w:p w14:paraId="2D22891D">
            <w:pPr>
              <w:spacing w:line="560" w:lineRule="exact"/>
              <w:jc w:val="center"/>
              <w:rPr>
                <w:rFonts w:ascii="Times New Roman" w:hAnsi="Times New Roman"/>
                <w:color w:val="000000"/>
                <w:sz w:val="22"/>
                <w:szCs w:val="22"/>
              </w:rPr>
            </w:pPr>
            <w:r>
              <w:rPr>
                <w:rFonts w:ascii="Times New Roman" w:hAnsi="Times New Roman"/>
                <w:color w:val="000000"/>
                <w:sz w:val="22"/>
                <w:szCs w:val="22"/>
              </w:rPr>
              <w:t>7</w:t>
            </w:r>
          </w:p>
        </w:tc>
        <w:tc>
          <w:tcPr>
            <w:tcW w:w="1134" w:type="dxa"/>
            <w:tcBorders>
              <w:top w:val="nil"/>
              <w:left w:val="nil"/>
              <w:bottom w:val="single" w:color="auto" w:sz="4" w:space="0"/>
              <w:right w:val="single" w:color="auto" w:sz="4" w:space="0"/>
            </w:tcBorders>
            <w:vAlign w:val="center"/>
          </w:tcPr>
          <w:p w14:paraId="20F2D9B4">
            <w:pPr>
              <w:jc w:val="center"/>
              <w:rPr>
                <w:rFonts w:ascii="Times New Roman" w:hAnsi="Times New Roman"/>
                <w:color w:val="000000"/>
                <w:sz w:val="22"/>
                <w:szCs w:val="22"/>
              </w:rPr>
            </w:pPr>
          </w:p>
        </w:tc>
        <w:tc>
          <w:tcPr>
            <w:tcW w:w="1701" w:type="dxa"/>
            <w:tcBorders>
              <w:top w:val="nil"/>
              <w:left w:val="nil"/>
              <w:bottom w:val="single" w:color="auto" w:sz="4" w:space="0"/>
              <w:right w:val="single" w:color="auto" w:sz="4" w:space="0"/>
            </w:tcBorders>
            <w:vAlign w:val="center"/>
          </w:tcPr>
          <w:p w14:paraId="1F96A2C3">
            <w:pPr>
              <w:jc w:val="center"/>
              <w:rPr>
                <w:rFonts w:ascii="Times New Roman" w:hAnsi="Times New Roman"/>
                <w:color w:val="000000"/>
                <w:sz w:val="22"/>
                <w:szCs w:val="22"/>
              </w:rPr>
            </w:pPr>
          </w:p>
        </w:tc>
        <w:tc>
          <w:tcPr>
            <w:tcW w:w="1989" w:type="dxa"/>
            <w:tcBorders>
              <w:top w:val="nil"/>
              <w:left w:val="nil"/>
              <w:bottom w:val="single" w:color="auto" w:sz="4" w:space="0"/>
              <w:right w:val="single" w:color="auto" w:sz="4" w:space="0"/>
            </w:tcBorders>
            <w:vAlign w:val="center"/>
          </w:tcPr>
          <w:p w14:paraId="70EEDA8B">
            <w:pPr>
              <w:jc w:val="center"/>
              <w:rPr>
                <w:rFonts w:ascii="Times New Roman" w:hAnsi="Times New Roman"/>
                <w:color w:val="000000"/>
                <w:sz w:val="22"/>
                <w:szCs w:val="22"/>
              </w:rPr>
            </w:pPr>
          </w:p>
        </w:tc>
        <w:tc>
          <w:tcPr>
            <w:tcW w:w="2881" w:type="dxa"/>
            <w:tcBorders>
              <w:top w:val="nil"/>
              <w:left w:val="nil"/>
              <w:bottom w:val="single" w:color="auto" w:sz="4" w:space="0"/>
              <w:right w:val="single" w:color="auto" w:sz="4" w:space="0"/>
            </w:tcBorders>
            <w:vAlign w:val="center"/>
          </w:tcPr>
          <w:p w14:paraId="1643002F">
            <w:pPr>
              <w:jc w:val="center"/>
              <w:rPr>
                <w:rFonts w:ascii="Times New Roman" w:hAnsi="Times New Roman"/>
                <w:color w:val="000000"/>
                <w:sz w:val="22"/>
                <w:szCs w:val="22"/>
              </w:rPr>
            </w:pPr>
          </w:p>
        </w:tc>
      </w:tr>
      <w:tr w14:paraId="5EB012A6">
        <w:tblPrEx>
          <w:tblCellMar>
            <w:top w:w="0" w:type="dxa"/>
            <w:left w:w="108" w:type="dxa"/>
            <w:bottom w:w="0" w:type="dxa"/>
            <w:right w:w="108" w:type="dxa"/>
          </w:tblCellMar>
        </w:tblPrEx>
        <w:trPr>
          <w:trHeight w:val="570" w:hRule="atLeast"/>
        </w:trPr>
        <w:tc>
          <w:tcPr>
            <w:tcW w:w="724" w:type="dxa"/>
            <w:tcBorders>
              <w:top w:val="nil"/>
              <w:left w:val="single" w:color="auto" w:sz="4" w:space="0"/>
              <w:bottom w:val="single" w:color="auto" w:sz="4" w:space="0"/>
              <w:right w:val="single" w:color="auto" w:sz="4" w:space="0"/>
            </w:tcBorders>
            <w:vAlign w:val="center"/>
          </w:tcPr>
          <w:p w14:paraId="5105F9EE">
            <w:pPr>
              <w:spacing w:line="560" w:lineRule="exact"/>
              <w:jc w:val="center"/>
              <w:rPr>
                <w:rFonts w:ascii="Times New Roman" w:hAnsi="Times New Roman"/>
                <w:color w:val="000000"/>
                <w:sz w:val="22"/>
                <w:szCs w:val="22"/>
              </w:rPr>
            </w:pPr>
            <w:r>
              <w:rPr>
                <w:rFonts w:ascii="Times New Roman" w:hAnsi="Times New Roman"/>
                <w:color w:val="000000"/>
                <w:sz w:val="22"/>
                <w:szCs w:val="22"/>
              </w:rPr>
              <w:t>8</w:t>
            </w:r>
          </w:p>
        </w:tc>
        <w:tc>
          <w:tcPr>
            <w:tcW w:w="1134" w:type="dxa"/>
            <w:tcBorders>
              <w:top w:val="nil"/>
              <w:left w:val="nil"/>
              <w:bottom w:val="single" w:color="auto" w:sz="4" w:space="0"/>
              <w:right w:val="single" w:color="auto" w:sz="4" w:space="0"/>
            </w:tcBorders>
            <w:vAlign w:val="center"/>
          </w:tcPr>
          <w:p w14:paraId="6D51F374">
            <w:pPr>
              <w:jc w:val="center"/>
              <w:rPr>
                <w:rFonts w:ascii="Times New Roman" w:hAnsi="Times New Roman"/>
                <w:color w:val="000000"/>
                <w:sz w:val="22"/>
                <w:szCs w:val="22"/>
              </w:rPr>
            </w:pPr>
          </w:p>
        </w:tc>
        <w:tc>
          <w:tcPr>
            <w:tcW w:w="1701" w:type="dxa"/>
            <w:tcBorders>
              <w:top w:val="nil"/>
              <w:left w:val="nil"/>
              <w:bottom w:val="single" w:color="auto" w:sz="4" w:space="0"/>
              <w:right w:val="single" w:color="auto" w:sz="4" w:space="0"/>
            </w:tcBorders>
            <w:vAlign w:val="center"/>
          </w:tcPr>
          <w:p w14:paraId="7BF59ABB">
            <w:pPr>
              <w:jc w:val="center"/>
              <w:rPr>
                <w:rFonts w:ascii="Times New Roman" w:hAnsi="Times New Roman"/>
                <w:color w:val="000000"/>
                <w:sz w:val="22"/>
                <w:szCs w:val="22"/>
              </w:rPr>
            </w:pPr>
          </w:p>
        </w:tc>
        <w:tc>
          <w:tcPr>
            <w:tcW w:w="1989" w:type="dxa"/>
            <w:tcBorders>
              <w:top w:val="nil"/>
              <w:left w:val="nil"/>
              <w:bottom w:val="single" w:color="auto" w:sz="4" w:space="0"/>
              <w:right w:val="single" w:color="auto" w:sz="4" w:space="0"/>
            </w:tcBorders>
            <w:vAlign w:val="center"/>
          </w:tcPr>
          <w:p w14:paraId="183DDFDD">
            <w:pPr>
              <w:jc w:val="center"/>
              <w:rPr>
                <w:rFonts w:ascii="Times New Roman" w:hAnsi="Times New Roman"/>
                <w:color w:val="000000"/>
                <w:sz w:val="22"/>
                <w:szCs w:val="22"/>
              </w:rPr>
            </w:pPr>
          </w:p>
        </w:tc>
        <w:tc>
          <w:tcPr>
            <w:tcW w:w="2881" w:type="dxa"/>
            <w:tcBorders>
              <w:top w:val="nil"/>
              <w:left w:val="nil"/>
              <w:bottom w:val="single" w:color="auto" w:sz="4" w:space="0"/>
              <w:right w:val="single" w:color="auto" w:sz="4" w:space="0"/>
            </w:tcBorders>
            <w:vAlign w:val="center"/>
          </w:tcPr>
          <w:p w14:paraId="18C1D25E">
            <w:pPr>
              <w:jc w:val="center"/>
              <w:rPr>
                <w:rFonts w:ascii="Times New Roman" w:hAnsi="Times New Roman"/>
                <w:color w:val="000000"/>
                <w:sz w:val="22"/>
                <w:szCs w:val="22"/>
              </w:rPr>
            </w:pPr>
          </w:p>
        </w:tc>
      </w:tr>
    </w:tbl>
    <w:p w14:paraId="23C8547B">
      <w:pPr>
        <w:snapToGrid w:val="0"/>
        <w:spacing w:line="560" w:lineRule="exact"/>
        <w:rPr>
          <w:rFonts w:ascii="等线" w:hAnsi="等线"/>
          <w:b/>
          <w:szCs w:val="21"/>
        </w:rPr>
      </w:pPr>
    </w:p>
    <w:p w14:paraId="575DB4EB">
      <w:pPr>
        <w:spacing w:line="560" w:lineRule="exact"/>
        <w:rPr>
          <w:rFonts w:ascii="等线" w:hAnsi="等线"/>
        </w:rPr>
        <w:sectPr>
          <w:footerReference r:id="rId3" w:type="default"/>
          <w:footerReference r:id="rId4" w:type="even"/>
          <w:pgSz w:w="11906" w:h="16838"/>
          <w:pgMar w:top="2098" w:right="1474" w:bottom="1985" w:left="1588" w:header="851" w:footer="992" w:gutter="0"/>
          <w:cols w:space="720" w:num="1"/>
          <w:docGrid w:type="lines" w:linePitch="312" w:charSpace="0"/>
        </w:sectPr>
      </w:pPr>
    </w:p>
    <w:p w14:paraId="40F28B17">
      <w:pPr>
        <w:spacing w:line="560" w:lineRule="exact"/>
        <w:rPr>
          <w:rFonts w:ascii="等线" w:hAnsi="等线"/>
          <w:b/>
          <w:bCs/>
        </w:rPr>
      </w:pPr>
      <w:r>
        <w:rPr>
          <w:rFonts w:hint="eastAsia" w:ascii="等线" w:hAnsi="等线"/>
          <w:b/>
          <w:bCs/>
        </w:rPr>
        <w:t>附件二</w:t>
      </w:r>
    </w:p>
    <w:p w14:paraId="33CEC487">
      <w:pPr>
        <w:snapToGrid w:val="0"/>
        <w:spacing w:line="560" w:lineRule="exact"/>
        <w:jc w:val="center"/>
        <w:rPr>
          <w:rFonts w:ascii="等线" w:hAnsi="等线" w:cs="宋体"/>
          <w:b/>
          <w:bCs/>
          <w:color w:val="000000"/>
          <w:sz w:val="28"/>
          <w:szCs w:val="28"/>
        </w:rPr>
      </w:pPr>
      <w:r>
        <w:rPr>
          <w:rFonts w:hint="eastAsia" w:ascii="等线" w:hAnsi="等线" w:cs="宋体"/>
          <w:b/>
          <w:bCs/>
          <w:color w:val="000000"/>
          <w:sz w:val="28"/>
          <w:szCs w:val="28"/>
        </w:rPr>
        <w:t>履约评价表</w:t>
      </w:r>
    </w:p>
    <w:tbl>
      <w:tblPr>
        <w:tblStyle w:val="89"/>
        <w:tblW w:w="0" w:type="auto"/>
        <w:tblInd w:w="-289" w:type="dxa"/>
        <w:tblLayout w:type="fixed"/>
        <w:tblCellMar>
          <w:top w:w="0" w:type="dxa"/>
          <w:left w:w="108" w:type="dxa"/>
          <w:bottom w:w="0" w:type="dxa"/>
          <w:right w:w="108" w:type="dxa"/>
        </w:tblCellMar>
      </w:tblPr>
      <w:tblGrid>
        <w:gridCol w:w="710"/>
        <w:gridCol w:w="425"/>
        <w:gridCol w:w="1247"/>
        <w:gridCol w:w="2580"/>
        <w:gridCol w:w="255"/>
        <w:gridCol w:w="973"/>
        <w:gridCol w:w="1153"/>
        <w:gridCol w:w="851"/>
        <w:gridCol w:w="1021"/>
        <w:gridCol w:w="65"/>
      </w:tblGrid>
      <w:tr w14:paraId="5378677E">
        <w:tblPrEx>
          <w:tblCellMar>
            <w:top w:w="0" w:type="dxa"/>
            <w:left w:w="108" w:type="dxa"/>
            <w:bottom w:w="0" w:type="dxa"/>
            <w:right w:w="108" w:type="dxa"/>
          </w:tblCellMar>
        </w:tblPrEx>
        <w:trPr>
          <w:gridAfter w:val="1"/>
          <w:wAfter w:w="65" w:type="dxa"/>
          <w:trHeight w:val="300" w:hRule="atLeast"/>
        </w:trPr>
        <w:tc>
          <w:tcPr>
            <w:tcW w:w="2382" w:type="dxa"/>
            <w:gridSpan w:val="3"/>
            <w:tcBorders>
              <w:top w:val="single" w:color="auto" w:sz="4" w:space="0"/>
              <w:left w:val="single" w:color="auto" w:sz="4" w:space="0"/>
              <w:bottom w:val="single" w:color="auto" w:sz="4" w:space="0"/>
              <w:right w:val="single" w:color="auto" w:sz="4" w:space="0"/>
            </w:tcBorders>
            <w:vAlign w:val="center"/>
          </w:tcPr>
          <w:p w14:paraId="1E563A59">
            <w:pPr>
              <w:spacing w:line="560" w:lineRule="exact"/>
              <w:rPr>
                <w:sz w:val="22"/>
                <w:szCs w:val="22"/>
              </w:rPr>
            </w:pPr>
            <w:r>
              <w:rPr>
                <w:rFonts w:hint="eastAsia"/>
                <w:sz w:val="22"/>
                <w:szCs w:val="22"/>
              </w:rPr>
              <w:t>合同名称</w:t>
            </w:r>
          </w:p>
        </w:tc>
        <w:tc>
          <w:tcPr>
            <w:tcW w:w="2580" w:type="dxa"/>
            <w:tcBorders>
              <w:top w:val="single" w:color="auto" w:sz="4" w:space="0"/>
              <w:left w:val="nil"/>
              <w:bottom w:val="single" w:color="auto" w:sz="4" w:space="0"/>
              <w:right w:val="single" w:color="000000" w:sz="4" w:space="0"/>
            </w:tcBorders>
            <w:vAlign w:val="center"/>
          </w:tcPr>
          <w:p w14:paraId="6D0930DC">
            <w:pPr>
              <w:spacing w:line="560" w:lineRule="exact"/>
              <w:rPr>
                <w:sz w:val="22"/>
                <w:szCs w:val="22"/>
              </w:rPr>
            </w:pPr>
          </w:p>
        </w:tc>
        <w:tc>
          <w:tcPr>
            <w:tcW w:w="1228" w:type="dxa"/>
            <w:gridSpan w:val="2"/>
            <w:tcBorders>
              <w:top w:val="single" w:color="auto" w:sz="4" w:space="0"/>
              <w:left w:val="nil"/>
              <w:bottom w:val="single" w:color="auto" w:sz="4" w:space="0"/>
              <w:right w:val="single" w:color="auto" w:sz="4" w:space="0"/>
            </w:tcBorders>
            <w:vAlign w:val="center"/>
          </w:tcPr>
          <w:p w14:paraId="14A46189">
            <w:pPr>
              <w:spacing w:line="560" w:lineRule="exact"/>
              <w:rPr>
                <w:sz w:val="22"/>
                <w:szCs w:val="22"/>
              </w:rPr>
            </w:pPr>
            <w:r>
              <w:rPr>
                <w:rFonts w:hint="eastAsia"/>
                <w:sz w:val="22"/>
                <w:szCs w:val="22"/>
              </w:rPr>
              <w:t>合同编号</w:t>
            </w:r>
          </w:p>
        </w:tc>
        <w:tc>
          <w:tcPr>
            <w:tcW w:w="3025" w:type="dxa"/>
            <w:gridSpan w:val="3"/>
            <w:tcBorders>
              <w:top w:val="single" w:color="auto" w:sz="4" w:space="0"/>
              <w:left w:val="nil"/>
              <w:bottom w:val="single" w:color="auto" w:sz="4" w:space="0"/>
              <w:right w:val="single" w:color="000000" w:sz="4" w:space="0"/>
            </w:tcBorders>
            <w:vAlign w:val="center"/>
          </w:tcPr>
          <w:p w14:paraId="013E70C2">
            <w:pPr>
              <w:spacing w:line="560" w:lineRule="exact"/>
              <w:rPr>
                <w:sz w:val="22"/>
                <w:szCs w:val="22"/>
              </w:rPr>
            </w:pPr>
          </w:p>
        </w:tc>
      </w:tr>
      <w:tr w14:paraId="1DDBD5FA">
        <w:tblPrEx>
          <w:tblCellMar>
            <w:top w:w="0" w:type="dxa"/>
            <w:left w:w="108" w:type="dxa"/>
            <w:bottom w:w="0" w:type="dxa"/>
            <w:right w:w="108" w:type="dxa"/>
          </w:tblCellMar>
        </w:tblPrEx>
        <w:trPr>
          <w:gridAfter w:val="1"/>
          <w:wAfter w:w="65" w:type="dxa"/>
          <w:trHeight w:val="315" w:hRule="atLeast"/>
        </w:trPr>
        <w:tc>
          <w:tcPr>
            <w:tcW w:w="2382" w:type="dxa"/>
            <w:gridSpan w:val="3"/>
            <w:tcBorders>
              <w:top w:val="single" w:color="auto" w:sz="4" w:space="0"/>
              <w:left w:val="single" w:color="auto" w:sz="4" w:space="0"/>
              <w:bottom w:val="single" w:color="auto" w:sz="4" w:space="0"/>
              <w:right w:val="single" w:color="auto" w:sz="4" w:space="0"/>
            </w:tcBorders>
            <w:vAlign w:val="center"/>
          </w:tcPr>
          <w:p w14:paraId="4D271C46">
            <w:pPr>
              <w:spacing w:line="560" w:lineRule="exact"/>
              <w:rPr>
                <w:sz w:val="22"/>
                <w:szCs w:val="22"/>
              </w:rPr>
            </w:pPr>
            <w:r>
              <w:rPr>
                <w:rFonts w:hint="eastAsia"/>
                <w:sz w:val="22"/>
                <w:szCs w:val="22"/>
              </w:rPr>
              <w:t>法律服务机构名称</w:t>
            </w:r>
          </w:p>
        </w:tc>
        <w:tc>
          <w:tcPr>
            <w:tcW w:w="2580" w:type="dxa"/>
            <w:tcBorders>
              <w:top w:val="single" w:color="auto" w:sz="4" w:space="0"/>
              <w:left w:val="nil"/>
              <w:bottom w:val="single" w:color="auto" w:sz="4" w:space="0"/>
              <w:right w:val="single" w:color="auto" w:sz="4" w:space="0"/>
            </w:tcBorders>
            <w:vAlign w:val="center"/>
          </w:tcPr>
          <w:p w14:paraId="70748404">
            <w:pPr>
              <w:spacing w:line="560" w:lineRule="exact"/>
              <w:rPr>
                <w:sz w:val="22"/>
                <w:szCs w:val="22"/>
              </w:rPr>
            </w:pPr>
          </w:p>
        </w:tc>
        <w:tc>
          <w:tcPr>
            <w:tcW w:w="1228" w:type="dxa"/>
            <w:gridSpan w:val="2"/>
            <w:tcBorders>
              <w:top w:val="nil"/>
              <w:left w:val="nil"/>
              <w:bottom w:val="single" w:color="auto" w:sz="4" w:space="0"/>
              <w:right w:val="single" w:color="auto" w:sz="4" w:space="0"/>
            </w:tcBorders>
            <w:vAlign w:val="center"/>
          </w:tcPr>
          <w:p w14:paraId="40F97E72">
            <w:pPr>
              <w:spacing w:line="560" w:lineRule="exact"/>
              <w:rPr>
                <w:sz w:val="22"/>
                <w:szCs w:val="22"/>
              </w:rPr>
            </w:pPr>
            <w:r>
              <w:rPr>
                <w:rFonts w:hint="eastAsia"/>
                <w:sz w:val="22"/>
                <w:szCs w:val="22"/>
              </w:rPr>
              <w:t>合同总价</w:t>
            </w:r>
          </w:p>
        </w:tc>
        <w:tc>
          <w:tcPr>
            <w:tcW w:w="3025" w:type="dxa"/>
            <w:gridSpan w:val="3"/>
            <w:tcBorders>
              <w:top w:val="single" w:color="auto" w:sz="4" w:space="0"/>
              <w:left w:val="nil"/>
              <w:bottom w:val="single" w:color="auto" w:sz="4" w:space="0"/>
              <w:right w:val="single" w:color="auto" w:sz="4" w:space="0"/>
            </w:tcBorders>
            <w:vAlign w:val="center"/>
          </w:tcPr>
          <w:p w14:paraId="3E74B1F5">
            <w:pPr>
              <w:spacing w:line="560" w:lineRule="exact"/>
              <w:rPr>
                <w:sz w:val="22"/>
                <w:szCs w:val="22"/>
              </w:rPr>
            </w:pPr>
          </w:p>
        </w:tc>
      </w:tr>
      <w:tr w14:paraId="261DFE4D">
        <w:tblPrEx>
          <w:tblCellMar>
            <w:top w:w="0" w:type="dxa"/>
            <w:left w:w="108" w:type="dxa"/>
            <w:bottom w:w="0" w:type="dxa"/>
            <w:right w:w="108" w:type="dxa"/>
          </w:tblCellMar>
        </w:tblPrEx>
        <w:trPr>
          <w:gridAfter w:val="1"/>
          <w:wAfter w:w="65" w:type="dxa"/>
          <w:trHeight w:val="337" w:hRule="atLeast"/>
        </w:trPr>
        <w:tc>
          <w:tcPr>
            <w:tcW w:w="710" w:type="dxa"/>
            <w:vMerge w:val="restart"/>
            <w:tcBorders>
              <w:top w:val="nil"/>
              <w:left w:val="single" w:color="auto" w:sz="4" w:space="0"/>
              <w:right w:val="single" w:color="auto" w:sz="4" w:space="0"/>
            </w:tcBorders>
            <w:vAlign w:val="center"/>
          </w:tcPr>
          <w:p w14:paraId="15ACA6B9">
            <w:pPr>
              <w:spacing w:line="560" w:lineRule="exact"/>
              <w:rPr>
                <w:sz w:val="22"/>
                <w:szCs w:val="22"/>
              </w:rPr>
            </w:pPr>
            <w:r>
              <w:rPr>
                <w:rFonts w:hint="eastAsia"/>
                <w:sz w:val="22"/>
                <w:szCs w:val="22"/>
              </w:rPr>
              <w:t>关键评价</w:t>
            </w:r>
            <w:r>
              <w:rPr>
                <w:rFonts w:hint="eastAsia"/>
                <w:sz w:val="22"/>
                <w:szCs w:val="22"/>
              </w:rPr>
              <w:br w:type="textWrapping"/>
            </w:r>
          </w:p>
        </w:tc>
        <w:tc>
          <w:tcPr>
            <w:tcW w:w="6633" w:type="dxa"/>
            <w:gridSpan w:val="6"/>
            <w:tcBorders>
              <w:top w:val="nil"/>
              <w:left w:val="single" w:color="auto" w:sz="4" w:space="0"/>
              <w:bottom w:val="single" w:color="auto" w:sz="4" w:space="0"/>
              <w:right w:val="single" w:color="auto" w:sz="4" w:space="0"/>
            </w:tcBorders>
            <w:vAlign w:val="center"/>
          </w:tcPr>
          <w:p w14:paraId="1B84C4F3">
            <w:pPr>
              <w:spacing w:line="560" w:lineRule="exact"/>
              <w:rPr>
                <w:sz w:val="22"/>
                <w:szCs w:val="22"/>
              </w:rPr>
            </w:pPr>
            <w:r>
              <w:rPr>
                <w:rFonts w:hint="eastAsia"/>
                <w:sz w:val="22"/>
                <w:szCs w:val="22"/>
              </w:rPr>
              <w:t>如发生以下关键评价任何一项，评价分数为0分，视为不合格。</w:t>
            </w:r>
          </w:p>
        </w:tc>
        <w:tc>
          <w:tcPr>
            <w:tcW w:w="1872" w:type="dxa"/>
            <w:gridSpan w:val="2"/>
            <w:tcBorders>
              <w:top w:val="nil"/>
              <w:left w:val="single" w:color="auto" w:sz="4" w:space="0"/>
              <w:bottom w:val="single" w:color="auto" w:sz="4" w:space="0"/>
              <w:right w:val="single" w:color="auto" w:sz="4" w:space="0"/>
            </w:tcBorders>
          </w:tcPr>
          <w:p w14:paraId="4F846B87">
            <w:pPr>
              <w:spacing w:line="560" w:lineRule="exact"/>
              <w:rPr>
                <w:sz w:val="22"/>
                <w:szCs w:val="22"/>
              </w:rPr>
            </w:pPr>
          </w:p>
        </w:tc>
      </w:tr>
      <w:tr w14:paraId="5B95CEC9">
        <w:tblPrEx>
          <w:tblCellMar>
            <w:top w:w="0" w:type="dxa"/>
            <w:left w:w="108" w:type="dxa"/>
            <w:bottom w:w="0" w:type="dxa"/>
            <w:right w:w="108" w:type="dxa"/>
          </w:tblCellMar>
        </w:tblPrEx>
        <w:trPr>
          <w:gridAfter w:val="1"/>
          <w:wAfter w:w="65" w:type="dxa"/>
          <w:trHeight w:val="337" w:hRule="atLeast"/>
        </w:trPr>
        <w:tc>
          <w:tcPr>
            <w:tcW w:w="710" w:type="dxa"/>
            <w:vMerge w:val="continue"/>
            <w:tcBorders>
              <w:top w:val="nil"/>
              <w:left w:val="single" w:color="auto" w:sz="4" w:space="0"/>
              <w:right w:val="single" w:color="auto" w:sz="4" w:space="0"/>
            </w:tcBorders>
            <w:vAlign w:val="center"/>
          </w:tcPr>
          <w:p w14:paraId="67B184CC">
            <w:pPr>
              <w:spacing w:line="560" w:lineRule="exact"/>
              <w:rPr>
                <w:sz w:val="22"/>
                <w:szCs w:val="22"/>
              </w:rPr>
            </w:pPr>
          </w:p>
        </w:tc>
        <w:tc>
          <w:tcPr>
            <w:tcW w:w="425" w:type="dxa"/>
            <w:tcBorders>
              <w:top w:val="nil"/>
              <w:left w:val="single" w:color="auto" w:sz="4" w:space="0"/>
              <w:bottom w:val="single" w:color="auto" w:sz="4" w:space="0"/>
              <w:right w:val="single" w:color="auto" w:sz="4" w:space="0"/>
            </w:tcBorders>
            <w:vAlign w:val="center"/>
          </w:tcPr>
          <w:p w14:paraId="20406220">
            <w:pPr>
              <w:spacing w:line="560" w:lineRule="exact"/>
              <w:rPr>
                <w:sz w:val="22"/>
                <w:szCs w:val="22"/>
              </w:rPr>
            </w:pPr>
            <w:r>
              <w:rPr>
                <w:rFonts w:hint="eastAsia"/>
                <w:sz w:val="22"/>
                <w:szCs w:val="22"/>
              </w:rPr>
              <w:t>序号</w:t>
            </w:r>
          </w:p>
        </w:tc>
        <w:tc>
          <w:tcPr>
            <w:tcW w:w="4082" w:type="dxa"/>
            <w:gridSpan w:val="3"/>
            <w:tcBorders>
              <w:top w:val="single" w:color="auto" w:sz="4" w:space="0"/>
              <w:left w:val="nil"/>
              <w:bottom w:val="single" w:color="auto" w:sz="4" w:space="0"/>
              <w:right w:val="single" w:color="000000" w:sz="4" w:space="0"/>
            </w:tcBorders>
            <w:vAlign w:val="center"/>
          </w:tcPr>
          <w:p w14:paraId="61011B32">
            <w:pPr>
              <w:spacing w:line="560" w:lineRule="exact"/>
              <w:rPr>
                <w:sz w:val="22"/>
                <w:szCs w:val="22"/>
              </w:rPr>
            </w:pPr>
            <w:r>
              <w:rPr>
                <w:rFonts w:hint="eastAsia"/>
                <w:sz w:val="22"/>
                <w:szCs w:val="22"/>
              </w:rPr>
              <w:t>评价内容</w:t>
            </w:r>
          </w:p>
        </w:tc>
        <w:tc>
          <w:tcPr>
            <w:tcW w:w="2126" w:type="dxa"/>
            <w:gridSpan w:val="2"/>
            <w:tcBorders>
              <w:top w:val="single" w:color="auto" w:sz="4" w:space="0"/>
              <w:left w:val="nil"/>
              <w:bottom w:val="single" w:color="auto" w:sz="4" w:space="0"/>
              <w:right w:val="single" w:color="auto" w:sz="4" w:space="0"/>
            </w:tcBorders>
            <w:vAlign w:val="center"/>
          </w:tcPr>
          <w:p w14:paraId="027D4880">
            <w:pPr>
              <w:spacing w:line="560" w:lineRule="exact"/>
              <w:rPr>
                <w:sz w:val="22"/>
                <w:szCs w:val="22"/>
              </w:rPr>
            </w:pPr>
            <w:r>
              <w:rPr>
                <w:rFonts w:hint="eastAsia"/>
                <w:sz w:val="22"/>
                <w:szCs w:val="22"/>
              </w:rPr>
              <w:t>评价</w:t>
            </w:r>
          </w:p>
        </w:tc>
        <w:tc>
          <w:tcPr>
            <w:tcW w:w="1872" w:type="dxa"/>
            <w:gridSpan w:val="2"/>
            <w:tcBorders>
              <w:top w:val="single" w:color="auto" w:sz="4" w:space="0"/>
              <w:left w:val="nil"/>
              <w:bottom w:val="single" w:color="auto" w:sz="4" w:space="0"/>
              <w:right w:val="single" w:color="auto" w:sz="4" w:space="0"/>
            </w:tcBorders>
            <w:vAlign w:val="center"/>
          </w:tcPr>
          <w:p w14:paraId="1B53093B">
            <w:pPr>
              <w:spacing w:line="560" w:lineRule="exact"/>
              <w:rPr>
                <w:sz w:val="22"/>
                <w:szCs w:val="22"/>
              </w:rPr>
            </w:pPr>
          </w:p>
        </w:tc>
      </w:tr>
      <w:tr w14:paraId="22D9AB77">
        <w:tblPrEx>
          <w:tblCellMar>
            <w:top w:w="0" w:type="dxa"/>
            <w:left w:w="108" w:type="dxa"/>
            <w:bottom w:w="0" w:type="dxa"/>
            <w:right w:w="108" w:type="dxa"/>
          </w:tblCellMar>
        </w:tblPrEx>
        <w:trPr>
          <w:gridAfter w:val="1"/>
          <w:wAfter w:w="65" w:type="dxa"/>
          <w:trHeight w:val="360" w:hRule="atLeast"/>
        </w:trPr>
        <w:tc>
          <w:tcPr>
            <w:tcW w:w="710" w:type="dxa"/>
            <w:vMerge w:val="continue"/>
            <w:tcBorders>
              <w:left w:val="single" w:color="auto" w:sz="4" w:space="0"/>
              <w:right w:val="single" w:color="auto" w:sz="4" w:space="0"/>
            </w:tcBorders>
            <w:vAlign w:val="center"/>
          </w:tcPr>
          <w:p w14:paraId="1D2AE843">
            <w:pPr>
              <w:spacing w:line="560" w:lineRule="exact"/>
              <w:rPr>
                <w:sz w:val="22"/>
                <w:szCs w:val="22"/>
              </w:rPr>
            </w:pPr>
          </w:p>
        </w:tc>
        <w:tc>
          <w:tcPr>
            <w:tcW w:w="425" w:type="dxa"/>
            <w:tcBorders>
              <w:top w:val="nil"/>
              <w:left w:val="single" w:color="auto" w:sz="4" w:space="0"/>
              <w:bottom w:val="single" w:color="auto" w:sz="4" w:space="0"/>
              <w:right w:val="single" w:color="auto" w:sz="4" w:space="0"/>
            </w:tcBorders>
            <w:vAlign w:val="center"/>
          </w:tcPr>
          <w:p w14:paraId="121D13C1">
            <w:pPr>
              <w:spacing w:line="560" w:lineRule="exact"/>
              <w:rPr>
                <w:sz w:val="22"/>
                <w:szCs w:val="22"/>
              </w:rPr>
            </w:pPr>
            <w:r>
              <w:rPr>
                <w:rFonts w:hint="eastAsia"/>
                <w:sz w:val="22"/>
                <w:szCs w:val="22"/>
              </w:rPr>
              <w:t>1</w:t>
            </w:r>
          </w:p>
        </w:tc>
        <w:tc>
          <w:tcPr>
            <w:tcW w:w="4082" w:type="dxa"/>
            <w:gridSpan w:val="3"/>
            <w:tcBorders>
              <w:top w:val="single" w:color="auto" w:sz="4" w:space="0"/>
              <w:left w:val="nil"/>
              <w:bottom w:val="single" w:color="auto" w:sz="4" w:space="0"/>
              <w:right w:val="single" w:color="000000" w:sz="4" w:space="0"/>
            </w:tcBorders>
            <w:vAlign w:val="center"/>
          </w:tcPr>
          <w:p w14:paraId="008B9C8C">
            <w:pPr>
              <w:spacing w:line="560" w:lineRule="exact"/>
              <w:rPr>
                <w:sz w:val="22"/>
                <w:szCs w:val="22"/>
              </w:rPr>
            </w:pPr>
            <w:r>
              <w:rPr>
                <w:rFonts w:hint="eastAsia"/>
                <w:sz w:val="22"/>
                <w:szCs w:val="22"/>
              </w:rPr>
              <w:t>擅自变更或者终止服务合同的</w:t>
            </w:r>
          </w:p>
        </w:tc>
        <w:tc>
          <w:tcPr>
            <w:tcW w:w="2126" w:type="dxa"/>
            <w:gridSpan w:val="2"/>
            <w:tcBorders>
              <w:top w:val="single" w:color="auto" w:sz="4" w:space="0"/>
              <w:left w:val="nil"/>
              <w:bottom w:val="single" w:color="auto" w:sz="4" w:space="0"/>
              <w:right w:val="single" w:color="auto" w:sz="4" w:space="0"/>
            </w:tcBorders>
            <w:vAlign w:val="center"/>
          </w:tcPr>
          <w:p w14:paraId="07015AA3">
            <w:pPr>
              <w:spacing w:line="560" w:lineRule="exact"/>
              <w:rPr>
                <w:sz w:val="22"/>
                <w:szCs w:val="22"/>
              </w:rPr>
            </w:pPr>
            <w:r>
              <w:rPr>
                <w:rFonts w:hint="eastAsia"/>
                <w:sz w:val="22"/>
                <w:szCs w:val="22"/>
              </w:rPr>
              <w:t>□是  □否</w:t>
            </w:r>
          </w:p>
        </w:tc>
        <w:tc>
          <w:tcPr>
            <w:tcW w:w="1872" w:type="dxa"/>
            <w:gridSpan w:val="2"/>
            <w:tcBorders>
              <w:top w:val="single" w:color="auto" w:sz="4" w:space="0"/>
              <w:left w:val="nil"/>
              <w:bottom w:val="single" w:color="auto" w:sz="4" w:space="0"/>
              <w:right w:val="single" w:color="auto" w:sz="4" w:space="0"/>
            </w:tcBorders>
          </w:tcPr>
          <w:p w14:paraId="59FEE666">
            <w:pPr>
              <w:spacing w:line="560" w:lineRule="exact"/>
              <w:rPr>
                <w:sz w:val="22"/>
                <w:szCs w:val="22"/>
              </w:rPr>
            </w:pPr>
          </w:p>
        </w:tc>
      </w:tr>
      <w:tr w14:paraId="1E9B14DE">
        <w:tblPrEx>
          <w:tblCellMar>
            <w:top w:w="0" w:type="dxa"/>
            <w:left w:w="108" w:type="dxa"/>
            <w:bottom w:w="0" w:type="dxa"/>
            <w:right w:w="108" w:type="dxa"/>
          </w:tblCellMar>
        </w:tblPrEx>
        <w:trPr>
          <w:gridAfter w:val="1"/>
          <w:wAfter w:w="65" w:type="dxa"/>
          <w:trHeight w:val="360" w:hRule="atLeast"/>
        </w:trPr>
        <w:tc>
          <w:tcPr>
            <w:tcW w:w="710" w:type="dxa"/>
            <w:vMerge w:val="continue"/>
            <w:tcBorders>
              <w:left w:val="single" w:color="auto" w:sz="4" w:space="0"/>
              <w:right w:val="single" w:color="auto" w:sz="4" w:space="0"/>
            </w:tcBorders>
            <w:vAlign w:val="center"/>
          </w:tcPr>
          <w:p w14:paraId="1393AC48">
            <w:pPr>
              <w:spacing w:line="560" w:lineRule="exact"/>
              <w:rPr>
                <w:sz w:val="22"/>
                <w:szCs w:val="22"/>
              </w:rPr>
            </w:pPr>
          </w:p>
        </w:tc>
        <w:tc>
          <w:tcPr>
            <w:tcW w:w="425" w:type="dxa"/>
            <w:tcBorders>
              <w:top w:val="nil"/>
              <w:left w:val="single" w:color="auto" w:sz="4" w:space="0"/>
              <w:bottom w:val="single" w:color="auto" w:sz="4" w:space="0"/>
              <w:right w:val="single" w:color="auto" w:sz="4" w:space="0"/>
            </w:tcBorders>
            <w:vAlign w:val="center"/>
          </w:tcPr>
          <w:p w14:paraId="2344F48A">
            <w:pPr>
              <w:spacing w:line="560" w:lineRule="exact"/>
              <w:rPr>
                <w:sz w:val="22"/>
                <w:szCs w:val="22"/>
              </w:rPr>
            </w:pPr>
            <w:r>
              <w:rPr>
                <w:rFonts w:hint="eastAsia"/>
                <w:sz w:val="22"/>
                <w:szCs w:val="22"/>
              </w:rPr>
              <w:t>2</w:t>
            </w:r>
          </w:p>
        </w:tc>
        <w:tc>
          <w:tcPr>
            <w:tcW w:w="4082" w:type="dxa"/>
            <w:gridSpan w:val="3"/>
            <w:tcBorders>
              <w:top w:val="single" w:color="auto" w:sz="4" w:space="0"/>
              <w:left w:val="nil"/>
              <w:bottom w:val="single" w:color="auto" w:sz="4" w:space="0"/>
              <w:right w:val="single" w:color="000000" w:sz="4" w:space="0"/>
            </w:tcBorders>
            <w:vAlign w:val="center"/>
          </w:tcPr>
          <w:p w14:paraId="27661652">
            <w:pPr>
              <w:spacing w:line="560" w:lineRule="exact"/>
              <w:rPr>
                <w:sz w:val="22"/>
                <w:szCs w:val="22"/>
              </w:rPr>
            </w:pPr>
            <w:r>
              <w:rPr>
                <w:sz w:val="22"/>
                <w:szCs w:val="22"/>
              </w:rPr>
              <w:t>出现重大失误</w:t>
            </w:r>
            <w:r>
              <w:rPr>
                <w:rFonts w:hint="eastAsia"/>
                <w:sz w:val="22"/>
                <w:szCs w:val="22"/>
              </w:rPr>
              <w:t>或过失</w:t>
            </w:r>
            <w:r>
              <w:rPr>
                <w:sz w:val="22"/>
                <w:szCs w:val="22"/>
              </w:rPr>
              <w:t>，造成后续工作无法进展或重大经济损失</w:t>
            </w:r>
          </w:p>
        </w:tc>
        <w:tc>
          <w:tcPr>
            <w:tcW w:w="2126" w:type="dxa"/>
            <w:gridSpan w:val="2"/>
            <w:tcBorders>
              <w:top w:val="single" w:color="auto" w:sz="4" w:space="0"/>
              <w:left w:val="nil"/>
              <w:bottom w:val="single" w:color="auto" w:sz="4" w:space="0"/>
              <w:right w:val="single" w:color="auto" w:sz="4" w:space="0"/>
            </w:tcBorders>
            <w:vAlign w:val="center"/>
          </w:tcPr>
          <w:p w14:paraId="12730682">
            <w:pPr>
              <w:spacing w:line="560" w:lineRule="exact"/>
              <w:rPr>
                <w:sz w:val="22"/>
                <w:szCs w:val="22"/>
              </w:rPr>
            </w:pPr>
            <w:r>
              <w:rPr>
                <w:rFonts w:hint="eastAsia"/>
                <w:sz w:val="22"/>
                <w:szCs w:val="22"/>
              </w:rPr>
              <w:t>□是  □否</w:t>
            </w:r>
          </w:p>
        </w:tc>
        <w:tc>
          <w:tcPr>
            <w:tcW w:w="1872" w:type="dxa"/>
            <w:gridSpan w:val="2"/>
            <w:tcBorders>
              <w:top w:val="single" w:color="auto" w:sz="4" w:space="0"/>
              <w:left w:val="nil"/>
              <w:bottom w:val="single" w:color="auto" w:sz="4" w:space="0"/>
              <w:right w:val="single" w:color="auto" w:sz="4" w:space="0"/>
            </w:tcBorders>
          </w:tcPr>
          <w:p w14:paraId="61CD5DF9">
            <w:pPr>
              <w:spacing w:line="560" w:lineRule="exact"/>
              <w:rPr>
                <w:sz w:val="22"/>
                <w:szCs w:val="22"/>
              </w:rPr>
            </w:pPr>
          </w:p>
        </w:tc>
      </w:tr>
      <w:tr w14:paraId="696ECFDD">
        <w:tblPrEx>
          <w:tblCellMar>
            <w:top w:w="0" w:type="dxa"/>
            <w:left w:w="108" w:type="dxa"/>
            <w:bottom w:w="0" w:type="dxa"/>
            <w:right w:w="108" w:type="dxa"/>
          </w:tblCellMar>
        </w:tblPrEx>
        <w:trPr>
          <w:gridAfter w:val="1"/>
          <w:wAfter w:w="65" w:type="dxa"/>
          <w:trHeight w:val="360" w:hRule="atLeast"/>
        </w:trPr>
        <w:tc>
          <w:tcPr>
            <w:tcW w:w="710" w:type="dxa"/>
            <w:vMerge w:val="continue"/>
            <w:tcBorders>
              <w:left w:val="single" w:color="auto" w:sz="4" w:space="0"/>
              <w:right w:val="single" w:color="auto" w:sz="4" w:space="0"/>
            </w:tcBorders>
            <w:vAlign w:val="center"/>
          </w:tcPr>
          <w:p w14:paraId="3E7C4258">
            <w:pPr>
              <w:spacing w:line="560" w:lineRule="exact"/>
              <w:rPr>
                <w:sz w:val="22"/>
                <w:szCs w:val="22"/>
              </w:rPr>
            </w:pPr>
          </w:p>
        </w:tc>
        <w:tc>
          <w:tcPr>
            <w:tcW w:w="425" w:type="dxa"/>
            <w:tcBorders>
              <w:top w:val="nil"/>
              <w:left w:val="single" w:color="auto" w:sz="4" w:space="0"/>
              <w:bottom w:val="single" w:color="auto" w:sz="4" w:space="0"/>
              <w:right w:val="single" w:color="auto" w:sz="4" w:space="0"/>
            </w:tcBorders>
            <w:vAlign w:val="center"/>
          </w:tcPr>
          <w:p w14:paraId="4009FE90">
            <w:pPr>
              <w:spacing w:line="560" w:lineRule="exact"/>
              <w:rPr>
                <w:sz w:val="22"/>
                <w:szCs w:val="22"/>
              </w:rPr>
            </w:pPr>
            <w:r>
              <w:rPr>
                <w:rFonts w:hint="eastAsia"/>
                <w:sz w:val="22"/>
                <w:szCs w:val="22"/>
              </w:rPr>
              <w:t>3</w:t>
            </w:r>
          </w:p>
        </w:tc>
        <w:tc>
          <w:tcPr>
            <w:tcW w:w="4082" w:type="dxa"/>
            <w:gridSpan w:val="3"/>
            <w:tcBorders>
              <w:top w:val="single" w:color="auto" w:sz="4" w:space="0"/>
              <w:left w:val="nil"/>
              <w:bottom w:val="single" w:color="auto" w:sz="4" w:space="0"/>
              <w:right w:val="single" w:color="000000" w:sz="4" w:space="0"/>
            </w:tcBorders>
            <w:vAlign w:val="center"/>
          </w:tcPr>
          <w:p w14:paraId="5A77B6EC">
            <w:pPr>
              <w:spacing w:line="560" w:lineRule="exact"/>
              <w:rPr>
                <w:sz w:val="22"/>
                <w:szCs w:val="22"/>
              </w:rPr>
            </w:pPr>
            <w:r>
              <w:rPr>
                <w:rFonts w:hint="eastAsia"/>
                <w:sz w:val="22"/>
                <w:szCs w:val="22"/>
              </w:rPr>
              <w:t>进度缓慢，导致项目合同不能正常履行，给公司造成被动影响的</w:t>
            </w:r>
          </w:p>
        </w:tc>
        <w:tc>
          <w:tcPr>
            <w:tcW w:w="2126" w:type="dxa"/>
            <w:gridSpan w:val="2"/>
            <w:tcBorders>
              <w:top w:val="single" w:color="auto" w:sz="4" w:space="0"/>
              <w:left w:val="nil"/>
              <w:bottom w:val="single" w:color="auto" w:sz="4" w:space="0"/>
              <w:right w:val="single" w:color="auto" w:sz="4" w:space="0"/>
            </w:tcBorders>
            <w:vAlign w:val="center"/>
          </w:tcPr>
          <w:p w14:paraId="3DB1690E">
            <w:pPr>
              <w:spacing w:line="560" w:lineRule="exact"/>
              <w:rPr>
                <w:sz w:val="22"/>
                <w:szCs w:val="22"/>
              </w:rPr>
            </w:pPr>
            <w:r>
              <w:rPr>
                <w:rFonts w:hint="eastAsia"/>
                <w:sz w:val="22"/>
                <w:szCs w:val="22"/>
              </w:rPr>
              <w:t>□是  □否</w:t>
            </w:r>
          </w:p>
        </w:tc>
        <w:tc>
          <w:tcPr>
            <w:tcW w:w="1872" w:type="dxa"/>
            <w:gridSpan w:val="2"/>
            <w:tcBorders>
              <w:top w:val="single" w:color="auto" w:sz="4" w:space="0"/>
              <w:left w:val="nil"/>
              <w:bottom w:val="single" w:color="auto" w:sz="4" w:space="0"/>
              <w:right w:val="single" w:color="auto" w:sz="4" w:space="0"/>
            </w:tcBorders>
          </w:tcPr>
          <w:p w14:paraId="5A181873">
            <w:pPr>
              <w:spacing w:line="560" w:lineRule="exact"/>
              <w:rPr>
                <w:sz w:val="22"/>
                <w:szCs w:val="22"/>
              </w:rPr>
            </w:pPr>
          </w:p>
        </w:tc>
      </w:tr>
      <w:tr w14:paraId="263A0150">
        <w:tblPrEx>
          <w:tblCellMar>
            <w:top w:w="0" w:type="dxa"/>
            <w:left w:w="108" w:type="dxa"/>
            <w:bottom w:w="0" w:type="dxa"/>
            <w:right w:w="108" w:type="dxa"/>
          </w:tblCellMar>
        </w:tblPrEx>
        <w:trPr>
          <w:gridAfter w:val="1"/>
          <w:wAfter w:w="65" w:type="dxa"/>
          <w:trHeight w:val="360" w:hRule="atLeast"/>
        </w:trPr>
        <w:tc>
          <w:tcPr>
            <w:tcW w:w="710" w:type="dxa"/>
            <w:vMerge w:val="continue"/>
            <w:tcBorders>
              <w:left w:val="single" w:color="auto" w:sz="4" w:space="0"/>
              <w:right w:val="single" w:color="auto" w:sz="4" w:space="0"/>
            </w:tcBorders>
            <w:vAlign w:val="center"/>
          </w:tcPr>
          <w:p w14:paraId="5B293430">
            <w:pPr>
              <w:spacing w:line="560" w:lineRule="exact"/>
              <w:rPr>
                <w:sz w:val="22"/>
                <w:szCs w:val="22"/>
              </w:rPr>
            </w:pPr>
          </w:p>
        </w:tc>
        <w:tc>
          <w:tcPr>
            <w:tcW w:w="425" w:type="dxa"/>
            <w:tcBorders>
              <w:top w:val="nil"/>
              <w:left w:val="single" w:color="auto" w:sz="4" w:space="0"/>
              <w:bottom w:val="single" w:color="auto" w:sz="4" w:space="0"/>
              <w:right w:val="single" w:color="auto" w:sz="4" w:space="0"/>
            </w:tcBorders>
            <w:vAlign w:val="center"/>
          </w:tcPr>
          <w:p w14:paraId="56C40CA6">
            <w:pPr>
              <w:spacing w:line="560" w:lineRule="exact"/>
              <w:rPr>
                <w:sz w:val="22"/>
                <w:szCs w:val="22"/>
              </w:rPr>
            </w:pPr>
            <w:r>
              <w:rPr>
                <w:rFonts w:hint="eastAsia"/>
                <w:sz w:val="22"/>
                <w:szCs w:val="22"/>
              </w:rPr>
              <w:t>4</w:t>
            </w:r>
          </w:p>
        </w:tc>
        <w:tc>
          <w:tcPr>
            <w:tcW w:w="4082" w:type="dxa"/>
            <w:gridSpan w:val="3"/>
            <w:tcBorders>
              <w:top w:val="single" w:color="auto" w:sz="4" w:space="0"/>
              <w:left w:val="nil"/>
              <w:bottom w:val="single" w:color="auto" w:sz="4" w:space="0"/>
              <w:right w:val="single" w:color="000000" w:sz="4" w:space="0"/>
            </w:tcBorders>
            <w:vAlign w:val="center"/>
          </w:tcPr>
          <w:p w14:paraId="3A2615C5">
            <w:pPr>
              <w:spacing w:line="560" w:lineRule="exact"/>
              <w:rPr>
                <w:sz w:val="22"/>
                <w:szCs w:val="22"/>
              </w:rPr>
            </w:pPr>
            <w:r>
              <w:rPr>
                <w:rFonts w:hint="eastAsia"/>
                <w:sz w:val="22"/>
                <w:szCs w:val="22"/>
              </w:rPr>
              <w:t>提供虚假证明材料的</w:t>
            </w:r>
          </w:p>
        </w:tc>
        <w:tc>
          <w:tcPr>
            <w:tcW w:w="2126" w:type="dxa"/>
            <w:gridSpan w:val="2"/>
            <w:tcBorders>
              <w:top w:val="single" w:color="auto" w:sz="4" w:space="0"/>
              <w:left w:val="nil"/>
              <w:bottom w:val="single" w:color="auto" w:sz="4" w:space="0"/>
              <w:right w:val="single" w:color="auto" w:sz="4" w:space="0"/>
            </w:tcBorders>
            <w:vAlign w:val="center"/>
          </w:tcPr>
          <w:p w14:paraId="621DFBC2">
            <w:pPr>
              <w:spacing w:line="560" w:lineRule="exact"/>
              <w:rPr>
                <w:sz w:val="22"/>
                <w:szCs w:val="22"/>
              </w:rPr>
            </w:pPr>
            <w:r>
              <w:rPr>
                <w:rFonts w:hint="eastAsia"/>
                <w:sz w:val="22"/>
                <w:szCs w:val="22"/>
              </w:rPr>
              <w:t>□是  □否</w:t>
            </w:r>
          </w:p>
        </w:tc>
        <w:tc>
          <w:tcPr>
            <w:tcW w:w="1872" w:type="dxa"/>
            <w:gridSpan w:val="2"/>
            <w:tcBorders>
              <w:top w:val="single" w:color="auto" w:sz="4" w:space="0"/>
              <w:left w:val="nil"/>
              <w:bottom w:val="single" w:color="auto" w:sz="4" w:space="0"/>
              <w:right w:val="single" w:color="auto" w:sz="4" w:space="0"/>
            </w:tcBorders>
          </w:tcPr>
          <w:p w14:paraId="33502F79">
            <w:pPr>
              <w:spacing w:line="560" w:lineRule="exact"/>
              <w:rPr>
                <w:sz w:val="22"/>
                <w:szCs w:val="22"/>
              </w:rPr>
            </w:pPr>
          </w:p>
        </w:tc>
      </w:tr>
      <w:tr w14:paraId="48E91E5D">
        <w:tblPrEx>
          <w:tblCellMar>
            <w:top w:w="0" w:type="dxa"/>
            <w:left w:w="108" w:type="dxa"/>
            <w:bottom w:w="0" w:type="dxa"/>
            <w:right w:w="108" w:type="dxa"/>
          </w:tblCellMar>
        </w:tblPrEx>
        <w:trPr>
          <w:gridAfter w:val="1"/>
          <w:wAfter w:w="65" w:type="dxa"/>
          <w:trHeight w:val="360" w:hRule="atLeast"/>
        </w:trPr>
        <w:tc>
          <w:tcPr>
            <w:tcW w:w="710" w:type="dxa"/>
            <w:vMerge w:val="continue"/>
            <w:tcBorders>
              <w:left w:val="single" w:color="auto" w:sz="4" w:space="0"/>
              <w:right w:val="single" w:color="auto" w:sz="4" w:space="0"/>
            </w:tcBorders>
            <w:vAlign w:val="center"/>
          </w:tcPr>
          <w:p w14:paraId="1A511110">
            <w:pPr>
              <w:spacing w:line="560" w:lineRule="exact"/>
              <w:rPr>
                <w:sz w:val="22"/>
                <w:szCs w:val="22"/>
              </w:rPr>
            </w:pPr>
          </w:p>
        </w:tc>
        <w:tc>
          <w:tcPr>
            <w:tcW w:w="425" w:type="dxa"/>
            <w:tcBorders>
              <w:top w:val="nil"/>
              <w:left w:val="single" w:color="auto" w:sz="4" w:space="0"/>
              <w:bottom w:val="single" w:color="auto" w:sz="4" w:space="0"/>
              <w:right w:val="single" w:color="auto" w:sz="4" w:space="0"/>
            </w:tcBorders>
            <w:vAlign w:val="center"/>
          </w:tcPr>
          <w:p w14:paraId="330852BA">
            <w:pPr>
              <w:spacing w:line="560" w:lineRule="exact"/>
              <w:rPr>
                <w:sz w:val="22"/>
                <w:szCs w:val="22"/>
              </w:rPr>
            </w:pPr>
            <w:r>
              <w:rPr>
                <w:rFonts w:hint="eastAsia"/>
                <w:sz w:val="22"/>
                <w:szCs w:val="22"/>
              </w:rPr>
              <w:t>5</w:t>
            </w:r>
          </w:p>
        </w:tc>
        <w:tc>
          <w:tcPr>
            <w:tcW w:w="4082" w:type="dxa"/>
            <w:gridSpan w:val="3"/>
            <w:tcBorders>
              <w:top w:val="single" w:color="auto" w:sz="4" w:space="0"/>
              <w:left w:val="nil"/>
              <w:bottom w:val="single" w:color="auto" w:sz="4" w:space="0"/>
              <w:right w:val="single" w:color="000000" w:sz="4" w:space="0"/>
            </w:tcBorders>
            <w:vAlign w:val="center"/>
          </w:tcPr>
          <w:p w14:paraId="615A8116">
            <w:pPr>
              <w:spacing w:line="560" w:lineRule="exact"/>
              <w:rPr>
                <w:sz w:val="22"/>
                <w:szCs w:val="22"/>
              </w:rPr>
            </w:pPr>
            <w:r>
              <w:rPr>
                <w:rFonts w:hint="eastAsia"/>
                <w:sz w:val="22"/>
                <w:szCs w:val="22"/>
              </w:rPr>
              <w:t>服务所包含的专利、商标、版权等知识产权及其他权利的知识产权受第三方追索，并给公司造成重大损失的</w:t>
            </w:r>
          </w:p>
        </w:tc>
        <w:tc>
          <w:tcPr>
            <w:tcW w:w="2126" w:type="dxa"/>
            <w:gridSpan w:val="2"/>
            <w:tcBorders>
              <w:top w:val="single" w:color="auto" w:sz="4" w:space="0"/>
              <w:left w:val="nil"/>
              <w:bottom w:val="single" w:color="auto" w:sz="4" w:space="0"/>
              <w:right w:val="single" w:color="auto" w:sz="4" w:space="0"/>
            </w:tcBorders>
            <w:vAlign w:val="center"/>
          </w:tcPr>
          <w:p w14:paraId="681708D3">
            <w:pPr>
              <w:spacing w:line="560" w:lineRule="exact"/>
              <w:rPr>
                <w:sz w:val="22"/>
                <w:szCs w:val="22"/>
              </w:rPr>
            </w:pPr>
            <w:r>
              <w:rPr>
                <w:rFonts w:hint="eastAsia"/>
                <w:sz w:val="22"/>
                <w:szCs w:val="22"/>
              </w:rPr>
              <w:t>□是  □否</w:t>
            </w:r>
          </w:p>
        </w:tc>
        <w:tc>
          <w:tcPr>
            <w:tcW w:w="1872" w:type="dxa"/>
            <w:gridSpan w:val="2"/>
            <w:tcBorders>
              <w:top w:val="single" w:color="auto" w:sz="4" w:space="0"/>
              <w:left w:val="nil"/>
              <w:bottom w:val="single" w:color="auto" w:sz="4" w:space="0"/>
              <w:right w:val="single" w:color="auto" w:sz="4" w:space="0"/>
            </w:tcBorders>
          </w:tcPr>
          <w:p w14:paraId="56BA6CB4">
            <w:pPr>
              <w:spacing w:line="560" w:lineRule="exact"/>
              <w:rPr>
                <w:sz w:val="22"/>
                <w:szCs w:val="22"/>
              </w:rPr>
            </w:pPr>
          </w:p>
        </w:tc>
      </w:tr>
      <w:tr w14:paraId="32FC1435">
        <w:tblPrEx>
          <w:tblCellMar>
            <w:top w:w="0" w:type="dxa"/>
            <w:left w:w="108" w:type="dxa"/>
            <w:bottom w:w="0" w:type="dxa"/>
            <w:right w:w="108" w:type="dxa"/>
          </w:tblCellMar>
        </w:tblPrEx>
        <w:trPr>
          <w:gridAfter w:val="1"/>
          <w:wAfter w:w="65" w:type="dxa"/>
          <w:trHeight w:val="360" w:hRule="atLeast"/>
        </w:trPr>
        <w:tc>
          <w:tcPr>
            <w:tcW w:w="710" w:type="dxa"/>
            <w:vMerge w:val="continue"/>
            <w:tcBorders>
              <w:left w:val="single" w:color="auto" w:sz="4" w:space="0"/>
              <w:right w:val="single" w:color="auto" w:sz="4" w:space="0"/>
            </w:tcBorders>
            <w:vAlign w:val="center"/>
          </w:tcPr>
          <w:p w14:paraId="323EC1FC">
            <w:pPr>
              <w:spacing w:line="560" w:lineRule="exact"/>
              <w:rPr>
                <w:sz w:val="22"/>
                <w:szCs w:val="22"/>
              </w:rPr>
            </w:pPr>
          </w:p>
        </w:tc>
        <w:tc>
          <w:tcPr>
            <w:tcW w:w="425" w:type="dxa"/>
            <w:tcBorders>
              <w:top w:val="nil"/>
              <w:left w:val="single" w:color="auto" w:sz="4" w:space="0"/>
              <w:bottom w:val="single" w:color="auto" w:sz="4" w:space="0"/>
              <w:right w:val="single" w:color="auto" w:sz="4" w:space="0"/>
            </w:tcBorders>
            <w:vAlign w:val="center"/>
          </w:tcPr>
          <w:p w14:paraId="2CA49F1D">
            <w:pPr>
              <w:spacing w:line="560" w:lineRule="exact"/>
              <w:rPr>
                <w:sz w:val="22"/>
                <w:szCs w:val="22"/>
              </w:rPr>
            </w:pPr>
            <w:r>
              <w:rPr>
                <w:rFonts w:hint="eastAsia"/>
                <w:sz w:val="22"/>
                <w:szCs w:val="22"/>
              </w:rPr>
              <w:t>6</w:t>
            </w:r>
          </w:p>
        </w:tc>
        <w:tc>
          <w:tcPr>
            <w:tcW w:w="4082" w:type="dxa"/>
            <w:gridSpan w:val="3"/>
            <w:tcBorders>
              <w:top w:val="single" w:color="auto" w:sz="4" w:space="0"/>
              <w:left w:val="nil"/>
              <w:bottom w:val="single" w:color="auto" w:sz="4" w:space="0"/>
              <w:right w:val="single" w:color="000000" w:sz="4" w:space="0"/>
            </w:tcBorders>
            <w:vAlign w:val="center"/>
          </w:tcPr>
          <w:p w14:paraId="4278E8B6">
            <w:pPr>
              <w:spacing w:line="560" w:lineRule="exact"/>
              <w:rPr>
                <w:sz w:val="22"/>
                <w:szCs w:val="22"/>
              </w:rPr>
            </w:pPr>
            <w:r>
              <w:rPr>
                <w:rFonts w:hint="eastAsia"/>
                <w:sz w:val="22"/>
                <w:szCs w:val="22"/>
              </w:rPr>
              <w:t>发现向我司人员、社会中介机构等行贿或者提供其他不正当利益的</w:t>
            </w:r>
          </w:p>
        </w:tc>
        <w:tc>
          <w:tcPr>
            <w:tcW w:w="2126" w:type="dxa"/>
            <w:gridSpan w:val="2"/>
            <w:tcBorders>
              <w:top w:val="single" w:color="auto" w:sz="4" w:space="0"/>
              <w:left w:val="nil"/>
              <w:bottom w:val="single" w:color="auto" w:sz="4" w:space="0"/>
              <w:right w:val="single" w:color="auto" w:sz="4" w:space="0"/>
            </w:tcBorders>
            <w:vAlign w:val="center"/>
          </w:tcPr>
          <w:p w14:paraId="33846B67">
            <w:pPr>
              <w:spacing w:line="560" w:lineRule="exact"/>
              <w:rPr>
                <w:sz w:val="22"/>
                <w:szCs w:val="22"/>
              </w:rPr>
            </w:pPr>
            <w:r>
              <w:rPr>
                <w:rFonts w:hint="eastAsia"/>
                <w:sz w:val="22"/>
                <w:szCs w:val="22"/>
              </w:rPr>
              <w:t>□是  □否</w:t>
            </w:r>
          </w:p>
        </w:tc>
        <w:tc>
          <w:tcPr>
            <w:tcW w:w="1872" w:type="dxa"/>
            <w:gridSpan w:val="2"/>
            <w:tcBorders>
              <w:top w:val="single" w:color="auto" w:sz="4" w:space="0"/>
              <w:left w:val="nil"/>
              <w:bottom w:val="single" w:color="auto" w:sz="4" w:space="0"/>
              <w:right w:val="single" w:color="auto" w:sz="4" w:space="0"/>
            </w:tcBorders>
          </w:tcPr>
          <w:p w14:paraId="7A192DB9">
            <w:pPr>
              <w:spacing w:line="560" w:lineRule="exact"/>
              <w:rPr>
                <w:sz w:val="22"/>
                <w:szCs w:val="22"/>
              </w:rPr>
            </w:pPr>
          </w:p>
        </w:tc>
      </w:tr>
      <w:tr w14:paraId="2AD33956">
        <w:tblPrEx>
          <w:tblCellMar>
            <w:top w:w="0" w:type="dxa"/>
            <w:left w:w="108" w:type="dxa"/>
            <w:bottom w:w="0" w:type="dxa"/>
            <w:right w:w="108" w:type="dxa"/>
          </w:tblCellMar>
        </w:tblPrEx>
        <w:trPr>
          <w:trHeight w:val="445" w:hRule="atLeast"/>
        </w:trPr>
        <w:tc>
          <w:tcPr>
            <w:tcW w:w="710" w:type="dxa"/>
            <w:vMerge w:val="restart"/>
            <w:tcBorders>
              <w:top w:val="single" w:color="auto" w:sz="4" w:space="0"/>
              <w:left w:val="single" w:color="auto" w:sz="4" w:space="0"/>
              <w:right w:val="single" w:color="auto" w:sz="4" w:space="0"/>
            </w:tcBorders>
            <w:vAlign w:val="center"/>
          </w:tcPr>
          <w:p w14:paraId="0BA014CA">
            <w:pPr>
              <w:spacing w:line="560" w:lineRule="exact"/>
              <w:rPr>
                <w:sz w:val="22"/>
                <w:szCs w:val="22"/>
              </w:rPr>
            </w:pPr>
            <w:r>
              <w:rPr>
                <w:rFonts w:hint="eastAsia"/>
                <w:sz w:val="22"/>
                <w:szCs w:val="22"/>
              </w:rPr>
              <w:t>基本评价</w:t>
            </w:r>
          </w:p>
        </w:tc>
        <w:tc>
          <w:tcPr>
            <w:tcW w:w="6633" w:type="dxa"/>
            <w:gridSpan w:val="6"/>
            <w:tcBorders>
              <w:top w:val="single" w:color="auto" w:sz="4" w:space="0"/>
              <w:left w:val="single" w:color="auto" w:sz="4" w:space="0"/>
              <w:bottom w:val="single" w:color="auto" w:sz="4" w:space="0"/>
              <w:right w:val="single" w:color="auto" w:sz="4" w:space="0"/>
            </w:tcBorders>
            <w:vAlign w:val="center"/>
          </w:tcPr>
          <w:p w14:paraId="174A5391">
            <w:pPr>
              <w:spacing w:line="560" w:lineRule="exact"/>
              <w:rPr>
                <w:sz w:val="22"/>
                <w:szCs w:val="22"/>
              </w:rPr>
            </w:pPr>
            <w:r>
              <w:rPr>
                <w:rFonts w:hint="eastAsia"/>
                <w:sz w:val="22"/>
                <w:szCs w:val="22"/>
              </w:rPr>
              <w:t>标准分为100分</w:t>
            </w:r>
          </w:p>
        </w:tc>
        <w:tc>
          <w:tcPr>
            <w:tcW w:w="851" w:type="dxa"/>
            <w:tcBorders>
              <w:top w:val="single" w:color="auto" w:sz="4" w:space="0"/>
              <w:left w:val="single" w:color="auto" w:sz="4" w:space="0"/>
              <w:bottom w:val="single" w:color="auto" w:sz="4" w:space="0"/>
              <w:right w:val="single" w:color="auto" w:sz="4" w:space="0"/>
            </w:tcBorders>
            <w:vAlign w:val="center"/>
          </w:tcPr>
          <w:p w14:paraId="19748E69">
            <w:pPr>
              <w:spacing w:line="560" w:lineRule="exact"/>
              <w:rPr>
                <w:sz w:val="22"/>
                <w:szCs w:val="22"/>
              </w:rPr>
            </w:pPr>
            <w:r>
              <w:rPr>
                <w:rFonts w:hint="eastAsia"/>
                <w:sz w:val="22"/>
                <w:szCs w:val="22"/>
              </w:rPr>
              <w:t>评分</w:t>
            </w:r>
          </w:p>
        </w:tc>
        <w:tc>
          <w:tcPr>
            <w:tcW w:w="1086" w:type="dxa"/>
            <w:gridSpan w:val="2"/>
            <w:tcBorders>
              <w:top w:val="single" w:color="auto" w:sz="4" w:space="0"/>
              <w:left w:val="single" w:color="auto" w:sz="4" w:space="0"/>
              <w:bottom w:val="single" w:color="auto" w:sz="4" w:space="0"/>
              <w:right w:val="single" w:color="auto" w:sz="4" w:space="0"/>
            </w:tcBorders>
            <w:vAlign w:val="center"/>
          </w:tcPr>
          <w:p w14:paraId="2788167B">
            <w:pPr>
              <w:spacing w:line="560" w:lineRule="exact"/>
              <w:rPr>
                <w:sz w:val="22"/>
                <w:szCs w:val="22"/>
              </w:rPr>
            </w:pPr>
            <w:r>
              <w:rPr>
                <w:rFonts w:hint="eastAsia"/>
                <w:sz w:val="22"/>
                <w:szCs w:val="22"/>
              </w:rPr>
              <w:t>理由</w:t>
            </w:r>
          </w:p>
        </w:tc>
      </w:tr>
      <w:tr w14:paraId="2E416DEF">
        <w:tblPrEx>
          <w:tblCellMar>
            <w:top w:w="0" w:type="dxa"/>
            <w:left w:w="108" w:type="dxa"/>
            <w:bottom w:w="0" w:type="dxa"/>
            <w:right w:w="108" w:type="dxa"/>
          </w:tblCellMar>
        </w:tblPrEx>
        <w:trPr>
          <w:trHeight w:val="465" w:hRule="atLeast"/>
        </w:trPr>
        <w:tc>
          <w:tcPr>
            <w:tcW w:w="710" w:type="dxa"/>
            <w:vMerge w:val="continue"/>
            <w:tcBorders>
              <w:left w:val="single" w:color="auto" w:sz="4" w:space="0"/>
              <w:right w:val="single" w:color="auto" w:sz="4" w:space="0"/>
            </w:tcBorders>
            <w:vAlign w:val="center"/>
          </w:tcPr>
          <w:p w14:paraId="044B6B1E">
            <w:pPr>
              <w:spacing w:line="560" w:lineRule="exact"/>
              <w:rPr>
                <w:sz w:val="22"/>
                <w:szCs w:val="22"/>
              </w:rPr>
            </w:pPr>
          </w:p>
        </w:tc>
        <w:tc>
          <w:tcPr>
            <w:tcW w:w="425" w:type="dxa"/>
            <w:tcBorders>
              <w:top w:val="single" w:color="auto" w:sz="4" w:space="0"/>
              <w:left w:val="single" w:color="auto" w:sz="4" w:space="0"/>
              <w:bottom w:val="single" w:color="auto" w:sz="4" w:space="0"/>
              <w:right w:val="single" w:color="auto" w:sz="4" w:space="0"/>
            </w:tcBorders>
            <w:vAlign w:val="center"/>
          </w:tcPr>
          <w:p w14:paraId="5C590D54">
            <w:pPr>
              <w:spacing w:line="560" w:lineRule="exact"/>
              <w:rPr>
                <w:sz w:val="22"/>
                <w:szCs w:val="22"/>
              </w:rPr>
            </w:pPr>
            <w:r>
              <w:rPr>
                <w:rFonts w:hint="eastAsia"/>
                <w:sz w:val="22"/>
                <w:szCs w:val="22"/>
              </w:rPr>
              <w:t>序号</w:t>
            </w:r>
          </w:p>
        </w:tc>
        <w:tc>
          <w:tcPr>
            <w:tcW w:w="4082" w:type="dxa"/>
            <w:gridSpan w:val="3"/>
            <w:tcBorders>
              <w:top w:val="single" w:color="auto" w:sz="4" w:space="0"/>
              <w:left w:val="single" w:color="auto" w:sz="4" w:space="0"/>
              <w:bottom w:val="single" w:color="auto" w:sz="4" w:space="0"/>
              <w:right w:val="single" w:color="auto" w:sz="4" w:space="0"/>
            </w:tcBorders>
            <w:vAlign w:val="center"/>
          </w:tcPr>
          <w:p w14:paraId="5F612887">
            <w:pPr>
              <w:spacing w:line="560" w:lineRule="exact"/>
              <w:rPr>
                <w:sz w:val="22"/>
                <w:szCs w:val="22"/>
              </w:rPr>
            </w:pPr>
            <w:r>
              <w:rPr>
                <w:rFonts w:hint="eastAsia"/>
                <w:sz w:val="22"/>
                <w:szCs w:val="22"/>
              </w:rPr>
              <w:t>评价内容（合同条款序号、履约情况）</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2D5CBB28">
            <w:pPr>
              <w:spacing w:line="560" w:lineRule="exact"/>
              <w:ind w:firstLine="220" w:firstLineChars="100"/>
              <w:rPr>
                <w:sz w:val="22"/>
                <w:szCs w:val="22"/>
              </w:rPr>
            </w:pPr>
            <w:r>
              <w:rPr>
                <w:rFonts w:hint="eastAsia"/>
                <w:sz w:val="22"/>
                <w:szCs w:val="22"/>
              </w:rPr>
              <w:t>打分规则</w:t>
            </w:r>
          </w:p>
        </w:tc>
        <w:tc>
          <w:tcPr>
            <w:tcW w:w="851" w:type="dxa"/>
            <w:tcBorders>
              <w:left w:val="single" w:color="auto" w:sz="4" w:space="0"/>
              <w:bottom w:val="single" w:color="auto" w:sz="4" w:space="0"/>
              <w:right w:val="single" w:color="auto" w:sz="4" w:space="0"/>
            </w:tcBorders>
          </w:tcPr>
          <w:p w14:paraId="5984A786">
            <w:pPr>
              <w:spacing w:line="560" w:lineRule="exact"/>
              <w:ind w:firstLine="1100" w:firstLineChars="500"/>
              <w:rPr>
                <w:sz w:val="22"/>
                <w:szCs w:val="22"/>
              </w:rPr>
            </w:pPr>
          </w:p>
        </w:tc>
        <w:tc>
          <w:tcPr>
            <w:tcW w:w="1086" w:type="dxa"/>
            <w:gridSpan w:val="2"/>
            <w:tcBorders>
              <w:left w:val="single" w:color="auto" w:sz="4" w:space="0"/>
              <w:bottom w:val="single" w:color="auto" w:sz="4" w:space="0"/>
              <w:right w:val="single" w:color="auto" w:sz="4" w:space="0"/>
            </w:tcBorders>
          </w:tcPr>
          <w:p w14:paraId="511BB025">
            <w:pPr>
              <w:spacing w:line="560" w:lineRule="exact"/>
              <w:ind w:firstLine="1100" w:firstLineChars="500"/>
              <w:rPr>
                <w:sz w:val="22"/>
                <w:szCs w:val="22"/>
              </w:rPr>
            </w:pPr>
          </w:p>
        </w:tc>
      </w:tr>
      <w:tr w14:paraId="528739EF">
        <w:tblPrEx>
          <w:tblCellMar>
            <w:top w:w="0" w:type="dxa"/>
            <w:left w:w="108" w:type="dxa"/>
            <w:bottom w:w="0" w:type="dxa"/>
            <w:right w:w="108" w:type="dxa"/>
          </w:tblCellMar>
        </w:tblPrEx>
        <w:trPr>
          <w:trHeight w:val="450" w:hRule="atLeast"/>
        </w:trPr>
        <w:tc>
          <w:tcPr>
            <w:tcW w:w="710" w:type="dxa"/>
            <w:vMerge w:val="continue"/>
            <w:tcBorders>
              <w:left w:val="single" w:color="auto" w:sz="4" w:space="0"/>
              <w:right w:val="single" w:color="auto" w:sz="4" w:space="0"/>
            </w:tcBorders>
            <w:vAlign w:val="center"/>
          </w:tcPr>
          <w:p w14:paraId="1F233248">
            <w:pPr>
              <w:spacing w:line="560" w:lineRule="exact"/>
              <w:rPr>
                <w:sz w:val="22"/>
                <w:szCs w:val="22"/>
              </w:rPr>
            </w:pPr>
          </w:p>
        </w:tc>
        <w:tc>
          <w:tcPr>
            <w:tcW w:w="425" w:type="dxa"/>
            <w:tcBorders>
              <w:top w:val="single" w:color="auto" w:sz="4" w:space="0"/>
              <w:left w:val="single" w:color="auto" w:sz="4" w:space="0"/>
              <w:bottom w:val="single" w:color="auto" w:sz="4" w:space="0"/>
              <w:right w:val="single" w:color="auto" w:sz="4" w:space="0"/>
            </w:tcBorders>
            <w:vAlign w:val="center"/>
          </w:tcPr>
          <w:p w14:paraId="244CC06F">
            <w:pPr>
              <w:spacing w:line="560" w:lineRule="exact"/>
              <w:rPr>
                <w:sz w:val="22"/>
                <w:szCs w:val="22"/>
              </w:rPr>
            </w:pPr>
            <w:r>
              <w:rPr>
                <w:rFonts w:hint="eastAsia"/>
                <w:sz w:val="22"/>
                <w:szCs w:val="22"/>
              </w:rPr>
              <w:t>1</w:t>
            </w:r>
          </w:p>
        </w:tc>
        <w:tc>
          <w:tcPr>
            <w:tcW w:w="1247" w:type="dxa"/>
            <w:vMerge w:val="restart"/>
            <w:tcBorders>
              <w:top w:val="single" w:color="auto" w:sz="4" w:space="0"/>
              <w:left w:val="single" w:color="auto" w:sz="4" w:space="0"/>
              <w:right w:val="single" w:color="auto" w:sz="4" w:space="0"/>
            </w:tcBorders>
            <w:vAlign w:val="center"/>
          </w:tcPr>
          <w:p w14:paraId="2F7F38B8">
            <w:pPr>
              <w:spacing w:line="560" w:lineRule="exact"/>
              <w:rPr>
                <w:sz w:val="22"/>
                <w:szCs w:val="22"/>
              </w:rPr>
            </w:pPr>
            <w:r>
              <w:rPr>
                <w:rFonts w:hint="eastAsia"/>
                <w:sz w:val="22"/>
                <w:szCs w:val="22"/>
              </w:rPr>
              <w:t>工作能力</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3EAFAEE1">
            <w:pPr>
              <w:spacing w:line="560" w:lineRule="exact"/>
              <w:rPr>
                <w:sz w:val="22"/>
                <w:szCs w:val="22"/>
              </w:rPr>
            </w:pPr>
            <w:r>
              <w:rPr>
                <w:rFonts w:hint="eastAsia"/>
                <w:sz w:val="22"/>
                <w:szCs w:val="22"/>
              </w:rPr>
              <w:t>项目负责人专业能力强，能全盘掌控服务情况</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4D4C4E1">
            <w:pPr>
              <w:spacing w:line="560" w:lineRule="exact"/>
              <w:rPr>
                <w:sz w:val="22"/>
                <w:szCs w:val="22"/>
              </w:rPr>
            </w:pPr>
            <w:r>
              <w:rPr>
                <w:rFonts w:hint="eastAsia"/>
                <w:sz w:val="22"/>
                <w:szCs w:val="22"/>
              </w:rPr>
              <w:t>满分10分，主观评分</w:t>
            </w:r>
            <w:r>
              <w:rPr>
                <w:sz w:val="22"/>
                <w:szCs w:val="22"/>
              </w:rPr>
              <w:t xml:space="preserve"> </w:t>
            </w:r>
          </w:p>
        </w:tc>
        <w:tc>
          <w:tcPr>
            <w:tcW w:w="851" w:type="dxa"/>
            <w:tcBorders>
              <w:top w:val="single" w:color="auto" w:sz="4" w:space="0"/>
              <w:left w:val="single" w:color="auto" w:sz="4" w:space="0"/>
              <w:bottom w:val="single" w:color="auto" w:sz="4" w:space="0"/>
              <w:right w:val="single" w:color="auto" w:sz="4" w:space="0"/>
            </w:tcBorders>
          </w:tcPr>
          <w:p w14:paraId="2191CF18">
            <w:pPr>
              <w:spacing w:line="560" w:lineRule="exact"/>
              <w:rPr>
                <w:sz w:val="22"/>
                <w:szCs w:val="22"/>
              </w:rPr>
            </w:pPr>
          </w:p>
        </w:tc>
        <w:tc>
          <w:tcPr>
            <w:tcW w:w="1086" w:type="dxa"/>
            <w:gridSpan w:val="2"/>
            <w:tcBorders>
              <w:top w:val="single" w:color="auto" w:sz="4" w:space="0"/>
              <w:left w:val="single" w:color="auto" w:sz="4" w:space="0"/>
              <w:bottom w:val="single" w:color="auto" w:sz="4" w:space="0"/>
              <w:right w:val="single" w:color="auto" w:sz="4" w:space="0"/>
            </w:tcBorders>
          </w:tcPr>
          <w:p w14:paraId="71C2A029">
            <w:pPr>
              <w:spacing w:line="560" w:lineRule="exact"/>
              <w:rPr>
                <w:sz w:val="22"/>
                <w:szCs w:val="22"/>
              </w:rPr>
            </w:pPr>
          </w:p>
        </w:tc>
      </w:tr>
      <w:tr w14:paraId="6C28EB1D">
        <w:tblPrEx>
          <w:tblCellMar>
            <w:top w:w="0" w:type="dxa"/>
            <w:left w:w="108" w:type="dxa"/>
            <w:bottom w:w="0" w:type="dxa"/>
            <w:right w:w="108" w:type="dxa"/>
          </w:tblCellMar>
        </w:tblPrEx>
        <w:trPr>
          <w:trHeight w:val="465" w:hRule="atLeast"/>
        </w:trPr>
        <w:tc>
          <w:tcPr>
            <w:tcW w:w="710" w:type="dxa"/>
            <w:vMerge w:val="continue"/>
            <w:tcBorders>
              <w:left w:val="single" w:color="auto" w:sz="4" w:space="0"/>
              <w:right w:val="single" w:color="auto" w:sz="4" w:space="0"/>
            </w:tcBorders>
            <w:vAlign w:val="center"/>
          </w:tcPr>
          <w:p w14:paraId="28C6552D">
            <w:pPr>
              <w:spacing w:line="560" w:lineRule="exact"/>
              <w:jc w:val="center"/>
              <w:rPr>
                <w:rFonts w:cs="宋体"/>
                <w:b/>
                <w:sz w:val="22"/>
                <w:szCs w:val="22"/>
              </w:rPr>
            </w:pPr>
          </w:p>
        </w:tc>
        <w:tc>
          <w:tcPr>
            <w:tcW w:w="425" w:type="dxa"/>
            <w:tcBorders>
              <w:top w:val="single" w:color="auto" w:sz="4" w:space="0"/>
              <w:left w:val="single" w:color="auto" w:sz="4" w:space="0"/>
              <w:bottom w:val="single" w:color="auto" w:sz="4" w:space="0"/>
              <w:right w:val="single" w:color="auto" w:sz="4" w:space="0"/>
            </w:tcBorders>
            <w:vAlign w:val="center"/>
          </w:tcPr>
          <w:p w14:paraId="5BBE6089">
            <w:pPr>
              <w:spacing w:line="560" w:lineRule="exact"/>
              <w:jc w:val="center"/>
              <w:rPr>
                <w:rFonts w:cs="宋体"/>
                <w:bCs/>
                <w:sz w:val="22"/>
                <w:szCs w:val="22"/>
              </w:rPr>
            </w:pPr>
            <w:r>
              <w:rPr>
                <w:rFonts w:hint="eastAsia" w:cs="宋体"/>
                <w:bCs/>
                <w:sz w:val="22"/>
                <w:szCs w:val="22"/>
              </w:rPr>
              <w:t>2</w:t>
            </w:r>
          </w:p>
        </w:tc>
        <w:tc>
          <w:tcPr>
            <w:tcW w:w="1247" w:type="dxa"/>
            <w:vMerge w:val="continue"/>
            <w:tcBorders>
              <w:left w:val="single" w:color="auto" w:sz="4" w:space="0"/>
              <w:right w:val="single" w:color="auto" w:sz="4" w:space="0"/>
            </w:tcBorders>
            <w:vAlign w:val="center"/>
          </w:tcPr>
          <w:p w14:paraId="318A42A9">
            <w:pPr>
              <w:spacing w:line="560" w:lineRule="exact"/>
              <w:rPr>
                <w:sz w:val="22"/>
                <w:szCs w:val="22"/>
              </w:rPr>
            </w:pP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202C0D89">
            <w:pPr>
              <w:spacing w:line="560" w:lineRule="exact"/>
              <w:rPr>
                <w:rFonts w:cs="宋体"/>
                <w:bCs/>
                <w:sz w:val="22"/>
                <w:szCs w:val="22"/>
              </w:rPr>
            </w:pPr>
            <w:r>
              <w:rPr>
                <w:rFonts w:hint="eastAsia"/>
                <w:sz w:val="22"/>
                <w:szCs w:val="22"/>
              </w:rPr>
              <w:t>团队人员专业知识扎实丰富，业务能力满足项目要求</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551006D4">
            <w:pPr>
              <w:spacing w:line="560" w:lineRule="exact"/>
              <w:rPr>
                <w:rFonts w:cs="宋体"/>
                <w:bCs/>
                <w:sz w:val="22"/>
                <w:szCs w:val="22"/>
              </w:rPr>
            </w:pPr>
            <w:r>
              <w:rPr>
                <w:rFonts w:hint="eastAsia"/>
                <w:sz w:val="22"/>
                <w:szCs w:val="22"/>
              </w:rPr>
              <w:t>满分10分，主观评分</w:t>
            </w:r>
          </w:p>
        </w:tc>
        <w:tc>
          <w:tcPr>
            <w:tcW w:w="851" w:type="dxa"/>
            <w:tcBorders>
              <w:top w:val="single" w:color="auto" w:sz="4" w:space="0"/>
              <w:left w:val="single" w:color="auto" w:sz="4" w:space="0"/>
              <w:bottom w:val="single" w:color="auto" w:sz="4" w:space="0"/>
              <w:right w:val="single" w:color="auto" w:sz="4" w:space="0"/>
            </w:tcBorders>
          </w:tcPr>
          <w:p w14:paraId="62E2C67C">
            <w:pPr>
              <w:spacing w:line="560" w:lineRule="exact"/>
              <w:jc w:val="center"/>
              <w:rPr>
                <w:sz w:val="22"/>
                <w:szCs w:val="22"/>
              </w:rPr>
            </w:pPr>
          </w:p>
        </w:tc>
        <w:tc>
          <w:tcPr>
            <w:tcW w:w="1086" w:type="dxa"/>
            <w:gridSpan w:val="2"/>
            <w:tcBorders>
              <w:top w:val="single" w:color="auto" w:sz="4" w:space="0"/>
              <w:left w:val="single" w:color="auto" w:sz="4" w:space="0"/>
              <w:bottom w:val="single" w:color="auto" w:sz="4" w:space="0"/>
              <w:right w:val="single" w:color="auto" w:sz="4" w:space="0"/>
            </w:tcBorders>
          </w:tcPr>
          <w:p w14:paraId="30E56A39">
            <w:pPr>
              <w:spacing w:line="560" w:lineRule="exact"/>
              <w:jc w:val="center"/>
              <w:rPr>
                <w:sz w:val="22"/>
                <w:szCs w:val="22"/>
              </w:rPr>
            </w:pPr>
          </w:p>
        </w:tc>
      </w:tr>
      <w:tr w14:paraId="29375E71">
        <w:tblPrEx>
          <w:tblCellMar>
            <w:top w:w="0" w:type="dxa"/>
            <w:left w:w="108" w:type="dxa"/>
            <w:bottom w:w="0" w:type="dxa"/>
            <w:right w:w="108" w:type="dxa"/>
          </w:tblCellMar>
        </w:tblPrEx>
        <w:trPr>
          <w:trHeight w:val="465" w:hRule="atLeast"/>
        </w:trPr>
        <w:tc>
          <w:tcPr>
            <w:tcW w:w="710" w:type="dxa"/>
            <w:vMerge w:val="continue"/>
            <w:tcBorders>
              <w:left w:val="single" w:color="auto" w:sz="4" w:space="0"/>
              <w:right w:val="single" w:color="auto" w:sz="4" w:space="0"/>
            </w:tcBorders>
            <w:vAlign w:val="center"/>
          </w:tcPr>
          <w:p w14:paraId="78D0B2A4">
            <w:pPr>
              <w:spacing w:line="560" w:lineRule="exact"/>
              <w:jc w:val="center"/>
              <w:rPr>
                <w:rFonts w:cs="宋体"/>
                <w:b/>
                <w:sz w:val="22"/>
                <w:szCs w:val="22"/>
              </w:rPr>
            </w:pPr>
          </w:p>
        </w:tc>
        <w:tc>
          <w:tcPr>
            <w:tcW w:w="425" w:type="dxa"/>
            <w:tcBorders>
              <w:top w:val="single" w:color="auto" w:sz="4" w:space="0"/>
              <w:left w:val="single" w:color="auto" w:sz="4" w:space="0"/>
              <w:bottom w:val="single" w:color="auto" w:sz="4" w:space="0"/>
              <w:right w:val="single" w:color="auto" w:sz="4" w:space="0"/>
            </w:tcBorders>
            <w:vAlign w:val="center"/>
          </w:tcPr>
          <w:p w14:paraId="79622833">
            <w:pPr>
              <w:spacing w:line="560" w:lineRule="exact"/>
              <w:jc w:val="center"/>
              <w:rPr>
                <w:rFonts w:cs="宋体"/>
                <w:bCs/>
                <w:sz w:val="22"/>
                <w:szCs w:val="22"/>
              </w:rPr>
            </w:pPr>
            <w:r>
              <w:rPr>
                <w:rFonts w:hint="eastAsia" w:cs="宋体"/>
                <w:bCs/>
                <w:sz w:val="22"/>
                <w:szCs w:val="22"/>
              </w:rPr>
              <w:t>3</w:t>
            </w:r>
          </w:p>
        </w:tc>
        <w:tc>
          <w:tcPr>
            <w:tcW w:w="1247" w:type="dxa"/>
            <w:vMerge w:val="continue"/>
            <w:tcBorders>
              <w:left w:val="single" w:color="auto" w:sz="4" w:space="0"/>
              <w:bottom w:val="single" w:color="auto" w:sz="4" w:space="0"/>
              <w:right w:val="single" w:color="auto" w:sz="4" w:space="0"/>
            </w:tcBorders>
            <w:vAlign w:val="center"/>
          </w:tcPr>
          <w:p w14:paraId="45AD18A6">
            <w:pPr>
              <w:spacing w:line="560" w:lineRule="exact"/>
              <w:rPr>
                <w:sz w:val="22"/>
                <w:szCs w:val="22"/>
              </w:rPr>
            </w:pP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1C977658">
            <w:pPr>
              <w:spacing w:line="560" w:lineRule="exact"/>
              <w:rPr>
                <w:sz w:val="22"/>
                <w:szCs w:val="22"/>
              </w:rPr>
            </w:pPr>
            <w:r>
              <w:rPr>
                <w:rFonts w:hint="eastAsia"/>
                <w:sz w:val="22"/>
                <w:szCs w:val="22"/>
              </w:rPr>
              <w:t>团队人员履历、资质与投标文件一致</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9A3BFDE">
            <w:pPr>
              <w:spacing w:line="560" w:lineRule="exact"/>
              <w:rPr>
                <w:sz w:val="22"/>
                <w:szCs w:val="22"/>
              </w:rPr>
            </w:pPr>
            <w:r>
              <w:rPr>
                <w:rFonts w:hint="eastAsia"/>
                <w:sz w:val="22"/>
                <w:szCs w:val="22"/>
              </w:rPr>
              <w:t>满分10分，每有不一致处扣5分</w:t>
            </w:r>
          </w:p>
        </w:tc>
        <w:tc>
          <w:tcPr>
            <w:tcW w:w="851" w:type="dxa"/>
            <w:tcBorders>
              <w:top w:val="single" w:color="auto" w:sz="4" w:space="0"/>
              <w:left w:val="single" w:color="auto" w:sz="4" w:space="0"/>
              <w:bottom w:val="single" w:color="auto" w:sz="4" w:space="0"/>
              <w:right w:val="single" w:color="auto" w:sz="4" w:space="0"/>
            </w:tcBorders>
          </w:tcPr>
          <w:p w14:paraId="1A04A6CE">
            <w:pPr>
              <w:spacing w:line="560" w:lineRule="exact"/>
              <w:jc w:val="center"/>
              <w:rPr>
                <w:sz w:val="22"/>
                <w:szCs w:val="22"/>
              </w:rPr>
            </w:pPr>
          </w:p>
        </w:tc>
        <w:tc>
          <w:tcPr>
            <w:tcW w:w="1086" w:type="dxa"/>
            <w:gridSpan w:val="2"/>
            <w:tcBorders>
              <w:top w:val="single" w:color="auto" w:sz="4" w:space="0"/>
              <w:left w:val="single" w:color="auto" w:sz="4" w:space="0"/>
              <w:bottom w:val="single" w:color="auto" w:sz="4" w:space="0"/>
              <w:right w:val="single" w:color="auto" w:sz="4" w:space="0"/>
            </w:tcBorders>
          </w:tcPr>
          <w:p w14:paraId="3F7FE9C1">
            <w:pPr>
              <w:spacing w:line="560" w:lineRule="exact"/>
              <w:jc w:val="center"/>
              <w:rPr>
                <w:sz w:val="22"/>
                <w:szCs w:val="22"/>
              </w:rPr>
            </w:pPr>
          </w:p>
        </w:tc>
      </w:tr>
      <w:tr w14:paraId="60A369AE">
        <w:tblPrEx>
          <w:tblCellMar>
            <w:top w:w="0" w:type="dxa"/>
            <w:left w:w="108" w:type="dxa"/>
            <w:bottom w:w="0" w:type="dxa"/>
            <w:right w:w="108" w:type="dxa"/>
          </w:tblCellMar>
        </w:tblPrEx>
        <w:trPr>
          <w:trHeight w:val="764" w:hRule="atLeast"/>
        </w:trPr>
        <w:tc>
          <w:tcPr>
            <w:tcW w:w="710" w:type="dxa"/>
            <w:vMerge w:val="continue"/>
            <w:tcBorders>
              <w:left w:val="single" w:color="auto" w:sz="4" w:space="0"/>
              <w:bottom w:val="single" w:color="auto" w:sz="4" w:space="0"/>
              <w:right w:val="single" w:color="auto" w:sz="4" w:space="0"/>
            </w:tcBorders>
            <w:vAlign w:val="center"/>
          </w:tcPr>
          <w:p w14:paraId="4C2ED9E9">
            <w:pPr>
              <w:spacing w:line="560" w:lineRule="exact"/>
              <w:jc w:val="center"/>
              <w:rPr>
                <w:rFonts w:cs="宋体"/>
                <w:b/>
                <w:sz w:val="22"/>
                <w:szCs w:val="22"/>
              </w:rPr>
            </w:pPr>
          </w:p>
        </w:tc>
        <w:tc>
          <w:tcPr>
            <w:tcW w:w="425" w:type="dxa"/>
            <w:tcBorders>
              <w:top w:val="single" w:color="auto" w:sz="4" w:space="0"/>
              <w:left w:val="single" w:color="auto" w:sz="4" w:space="0"/>
              <w:bottom w:val="single" w:color="auto" w:sz="4" w:space="0"/>
              <w:right w:val="single" w:color="auto" w:sz="4" w:space="0"/>
            </w:tcBorders>
            <w:vAlign w:val="center"/>
          </w:tcPr>
          <w:p w14:paraId="3C6A96B6">
            <w:pPr>
              <w:spacing w:line="560" w:lineRule="exact"/>
              <w:jc w:val="center"/>
              <w:rPr>
                <w:rFonts w:cs="宋体"/>
                <w:bCs/>
                <w:sz w:val="22"/>
                <w:szCs w:val="22"/>
              </w:rPr>
            </w:pPr>
            <w:r>
              <w:rPr>
                <w:rFonts w:hint="eastAsia" w:cs="宋体"/>
                <w:bCs/>
                <w:sz w:val="22"/>
                <w:szCs w:val="22"/>
              </w:rPr>
              <w:t>4</w:t>
            </w:r>
          </w:p>
        </w:tc>
        <w:tc>
          <w:tcPr>
            <w:tcW w:w="1247" w:type="dxa"/>
            <w:vMerge w:val="restart"/>
            <w:tcBorders>
              <w:top w:val="single" w:color="auto" w:sz="4" w:space="0"/>
              <w:left w:val="single" w:color="auto" w:sz="4" w:space="0"/>
              <w:bottom w:val="single" w:color="auto" w:sz="4" w:space="0"/>
              <w:right w:val="single" w:color="auto" w:sz="4" w:space="0"/>
            </w:tcBorders>
            <w:vAlign w:val="center"/>
          </w:tcPr>
          <w:p w14:paraId="6024A081">
            <w:pPr>
              <w:spacing w:line="560" w:lineRule="exact"/>
              <w:rPr>
                <w:sz w:val="22"/>
                <w:szCs w:val="22"/>
              </w:rPr>
            </w:pPr>
            <w:r>
              <w:rPr>
                <w:rFonts w:hint="eastAsia"/>
                <w:sz w:val="22"/>
                <w:szCs w:val="22"/>
              </w:rPr>
              <w:t>配合程度</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782E4D47">
            <w:pPr>
              <w:spacing w:line="560" w:lineRule="exact"/>
              <w:rPr>
                <w:rFonts w:ascii="等线" w:hAnsi="等线" w:cs="宋体"/>
                <w:sz w:val="22"/>
                <w:szCs w:val="22"/>
              </w:rPr>
            </w:pPr>
            <w:r>
              <w:rPr>
                <w:rFonts w:hint="eastAsia"/>
                <w:sz w:val="22"/>
                <w:szCs w:val="22"/>
              </w:rPr>
              <w:t>相关专业律师配备齐全、符合合同要求及工作需要，主要人员稳定</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23578386">
            <w:pPr>
              <w:spacing w:line="560" w:lineRule="exact"/>
              <w:rPr>
                <w:rFonts w:cs="宋体"/>
                <w:bCs/>
                <w:sz w:val="22"/>
                <w:szCs w:val="22"/>
              </w:rPr>
            </w:pPr>
            <w:r>
              <w:rPr>
                <w:rFonts w:hint="eastAsia"/>
                <w:sz w:val="22"/>
                <w:szCs w:val="22"/>
              </w:rPr>
              <w:t>满分10分每擅自变动1人，扣1分，擅自变动主办律师的不得分</w:t>
            </w:r>
          </w:p>
        </w:tc>
        <w:tc>
          <w:tcPr>
            <w:tcW w:w="851" w:type="dxa"/>
            <w:tcBorders>
              <w:top w:val="single" w:color="auto" w:sz="4" w:space="0"/>
              <w:left w:val="single" w:color="auto" w:sz="4" w:space="0"/>
              <w:bottom w:val="single" w:color="auto" w:sz="4" w:space="0"/>
              <w:right w:val="single" w:color="auto" w:sz="4" w:space="0"/>
            </w:tcBorders>
          </w:tcPr>
          <w:p w14:paraId="6F5D605A">
            <w:pPr>
              <w:spacing w:line="560" w:lineRule="exact"/>
              <w:jc w:val="center"/>
              <w:rPr>
                <w:sz w:val="22"/>
                <w:szCs w:val="22"/>
              </w:rPr>
            </w:pPr>
          </w:p>
        </w:tc>
        <w:tc>
          <w:tcPr>
            <w:tcW w:w="1086" w:type="dxa"/>
            <w:gridSpan w:val="2"/>
            <w:tcBorders>
              <w:top w:val="single" w:color="auto" w:sz="4" w:space="0"/>
              <w:left w:val="single" w:color="auto" w:sz="4" w:space="0"/>
              <w:bottom w:val="single" w:color="auto" w:sz="4" w:space="0"/>
              <w:right w:val="single" w:color="auto" w:sz="4" w:space="0"/>
            </w:tcBorders>
          </w:tcPr>
          <w:p w14:paraId="6C465122">
            <w:pPr>
              <w:spacing w:line="560" w:lineRule="exact"/>
              <w:jc w:val="center"/>
              <w:rPr>
                <w:sz w:val="22"/>
                <w:szCs w:val="22"/>
              </w:rPr>
            </w:pPr>
          </w:p>
        </w:tc>
      </w:tr>
      <w:tr w14:paraId="31172283">
        <w:tblPrEx>
          <w:tblCellMar>
            <w:top w:w="0" w:type="dxa"/>
            <w:left w:w="108" w:type="dxa"/>
            <w:bottom w:w="0" w:type="dxa"/>
            <w:right w:w="108" w:type="dxa"/>
          </w:tblCellMar>
        </w:tblPrEx>
        <w:trPr>
          <w:trHeight w:val="763" w:hRule="atLeast"/>
        </w:trPr>
        <w:tc>
          <w:tcPr>
            <w:tcW w:w="710" w:type="dxa"/>
            <w:vMerge w:val="continue"/>
            <w:tcBorders>
              <w:top w:val="single" w:color="auto" w:sz="4" w:space="0"/>
              <w:left w:val="single" w:color="auto" w:sz="4" w:space="0"/>
              <w:right w:val="single" w:color="auto" w:sz="4" w:space="0"/>
            </w:tcBorders>
            <w:vAlign w:val="center"/>
          </w:tcPr>
          <w:p w14:paraId="781A1A70">
            <w:pPr>
              <w:spacing w:line="560" w:lineRule="exact"/>
              <w:jc w:val="center"/>
              <w:rPr>
                <w:rFonts w:cs="宋体"/>
                <w:b/>
                <w:sz w:val="22"/>
                <w:szCs w:val="22"/>
              </w:rPr>
            </w:pPr>
          </w:p>
        </w:tc>
        <w:tc>
          <w:tcPr>
            <w:tcW w:w="425" w:type="dxa"/>
            <w:tcBorders>
              <w:top w:val="single" w:color="auto" w:sz="4" w:space="0"/>
              <w:left w:val="single" w:color="auto" w:sz="4" w:space="0"/>
              <w:bottom w:val="single" w:color="auto" w:sz="4" w:space="0"/>
              <w:right w:val="single" w:color="auto" w:sz="4" w:space="0"/>
            </w:tcBorders>
            <w:vAlign w:val="center"/>
          </w:tcPr>
          <w:p w14:paraId="1C753FEA">
            <w:pPr>
              <w:spacing w:line="560" w:lineRule="exact"/>
              <w:jc w:val="center"/>
              <w:rPr>
                <w:rFonts w:cs="宋体"/>
                <w:bCs/>
                <w:sz w:val="22"/>
                <w:szCs w:val="22"/>
              </w:rPr>
            </w:pPr>
            <w:r>
              <w:rPr>
                <w:rFonts w:hint="eastAsia" w:cs="宋体"/>
                <w:bCs/>
                <w:sz w:val="22"/>
                <w:szCs w:val="22"/>
              </w:rPr>
              <w:t>5</w:t>
            </w:r>
          </w:p>
        </w:tc>
        <w:tc>
          <w:tcPr>
            <w:tcW w:w="1247" w:type="dxa"/>
            <w:vMerge w:val="continue"/>
            <w:tcBorders>
              <w:top w:val="single" w:color="auto" w:sz="4" w:space="0"/>
              <w:left w:val="single" w:color="auto" w:sz="4" w:space="0"/>
              <w:right w:val="single" w:color="auto" w:sz="4" w:space="0"/>
            </w:tcBorders>
            <w:vAlign w:val="center"/>
          </w:tcPr>
          <w:p w14:paraId="5921A5FC">
            <w:pPr>
              <w:spacing w:line="560" w:lineRule="exact"/>
              <w:rPr>
                <w:rFonts w:cs="宋体"/>
                <w:sz w:val="22"/>
                <w:szCs w:val="22"/>
              </w:rPr>
            </w:pP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7AE9944D">
            <w:pPr>
              <w:spacing w:line="560" w:lineRule="exact"/>
              <w:rPr>
                <w:rFonts w:ascii="等线" w:hAnsi="等线" w:cs="宋体"/>
                <w:sz w:val="22"/>
                <w:szCs w:val="22"/>
              </w:rPr>
            </w:pPr>
            <w:r>
              <w:rPr>
                <w:rFonts w:hint="eastAsia" w:ascii="等线" w:hAnsi="等线" w:cs="宋体"/>
                <w:sz w:val="22"/>
                <w:szCs w:val="22"/>
              </w:rPr>
              <w:t>及时参加甲方会议（除明确通知由项目负责人参加的，由主办律师参加）和为甲方提供法律培训</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6DEB536B">
            <w:pPr>
              <w:spacing w:line="560" w:lineRule="exact"/>
              <w:rPr>
                <w:sz w:val="22"/>
                <w:szCs w:val="22"/>
              </w:rPr>
            </w:pPr>
            <w:r>
              <w:rPr>
                <w:rFonts w:hint="eastAsia"/>
                <w:sz w:val="22"/>
                <w:szCs w:val="22"/>
              </w:rPr>
              <w:t>满分10分，未按甲方通知参加会议的（含迟到），每发生一次扣2分</w:t>
            </w:r>
          </w:p>
        </w:tc>
        <w:tc>
          <w:tcPr>
            <w:tcW w:w="851" w:type="dxa"/>
            <w:tcBorders>
              <w:left w:val="single" w:color="auto" w:sz="4" w:space="0"/>
              <w:bottom w:val="single" w:color="auto" w:sz="4" w:space="0"/>
              <w:right w:val="single" w:color="auto" w:sz="4" w:space="0"/>
            </w:tcBorders>
          </w:tcPr>
          <w:p w14:paraId="77EC1D0A">
            <w:pPr>
              <w:spacing w:line="560" w:lineRule="exact"/>
              <w:jc w:val="center"/>
              <w:rPr>
                <w:sz w:val="22"/>
                <w:szCs w:val="22"/>
              </w:rPr>
            </w:pPr>
          </w:p>
        </w:tc>
        <w:tc>
          <w:tcPr>
            <w:tcW w:w="1086" w:type="dxa"/>
            <w:gridSpan w:val="2"/>
            <w:tcBorders>
              <w:left w:val="single" w:color="auto" w:sz="4" w:space="0"/>
              <w:bottom w:val="single" w:color="auto" w:sz="4" w:space="0"/>
              <w:right w:val="single" w:color="auto" w:sz="4" w:space="0"/>
            </w:tcBorders>
          </w:tcPr>
          <w:p w14:paraId="3822FB80">
            <w:pPr>
              <w:spacing w:line="560" w:lineRule="exact"/>
              <w:jc w:val="center"/>
              <w:rPr>
                <w:sz w:val="22"/>
                <w:szCs w:val="22"/>
              </w:rPr>
            </w:pPr>
          </w:p>
        </w:tc>
      </w:tr>
      <w:tr w14:paraId="35B64E37">
        <w:tblPrEx>
          <w:tblCellMar>
            <w:top w:w="0" w:type="dxa"/>
            <w:left w:w="108" w:type="dxa"/>
            <w:bottom w:w="0" w:type="dxa"/>
            <w:right w:w="108" w:type="dxa"/>
          </w:tblCellMar>
        </w:tblPrEx>
        <w:trPr>
          <w:trHeight w:val="763" w:hRule="atLeast"/>
        </w:trPr>
        <w:tc>
          <w:tcPr>
            <w:tcW w:w="710" w:type="dxa"/>
            <w:vMerge w:val="continue"/>
            <w:tcBorders>
              <w:left w:val="single" w:color="auto" w:sz="4" w:space="0"/>
              <w:right w:val="single" w:color="auto" w:sz="4" w:space="0"/>
            </w:tcBorders>
            <w:vAlign w:val="center"/>
          </w:tcPr>
          <w:p w14:paraId="5F93BA3A">
            <w:pPr>
              <w:spacing w:line="560" w:lineRule="exact"/>
              <w:jc w:val="center"/>
              <w:rPr>
                <w:rFonts w:cs="宋体"/>
                <w:b/>
                <w:sz w:val="22"/>
                <w:szCs w:val="22"/>
              </w:rPr>
            </w:pPr>
          </w:p>
        </w:tc>
        <w:tc>
          <w:tcPr>
            <w:tcW w:w="425" w:type="dxa"/>
            <w:tcBorders>
              <w:top w:val="single" w:color="auto" w:sz="4" w:space="0"/>
              <w:left w:val="single" w:color="auto" w:sz="4" w:space="0"/>
              <w:bottom w:val="single" w:color="auto" w:sz="4" w:space="0"/>
              <w:right w:val="single" w:color="auto" w:sz="4" w:space="0"/>
            </w:tcBorders>
            <w:vAlign w:val="center"/>
          </w:tcPr>
          <w:p w14:paraId="415C3D94">
            <w:pPr>
              <w:spacing w:line="560" w:lineRule="exact"/>
              <w:jc w:val="center"/>
              <w:rPr>
                <w:rFonts w:cs="宋体"/>
                <w:bCs/>
                <w:sz w:val="22"/>
                <w:szCs w:val="22"/>
              </w:rPr>
            </w:pPr>
            <w:r>
              <w:rPr>
                <w:rFonts w:hint="eastAsia" w:cs="宋体"/>
                <w:bCs/>
                <w:sz w:val="22"/>
                <w:szCs w:val="22"/>
              </w:rPr>
              <w:t>6</w:t>
            </w:r>
          </w:p>
        </w:tc>
        <w:tc>
          <w:tcPr>
            <w:tcW w:w="1247" w:type="dxa"/>
            <w:vMerge w:val="continue"/>
            <w:tcBorders>
              <w:left w:val="single" w:color="auto" w:sz="4" w:space="0"/>
              <w:right w:val="single" w:color="auto" w:sz="4" w:space="0"/>
            </w:tcBorders>
            <w:vAlign w:val="center"/>
          </w:tcPr>
          <w:p w14:paraId="0AB32FEF">
            <w:pPr>
              <w:spacing w:line="560" w:lineRule="exact"/>
              <w:rPr>
                <w:rFonts w:cs="宋体"/>
                <w:sz w:val="22"/>
                <w:szCs w:val="22"/>
              </w:rPr>
            </w:pP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17429D26">
            <w:pPr>
              <w:spacing w:line="560" w:lineRule="exact"/>
              <w:rPr>
                <w:sz w:val="22"/>
                <w:szCs w:val="22"/>
              </w:rPr>
            </w:pPr>
            <w:r>
              <w:rPr>
                <w:rFonts w:hint="eastAsia" w:ascii="等线" w:hAnsi="等线" w:cs="宋体"/>
                <w:sz w:val="22"/>
                <w:szCs w:val="22"/>
              </w:rPr>
              <w:t>驻点人员满足合同要求，工作积极主动，能按甲方工作时间要求上下班</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1936C8E">
            <w:pPr>
              <w:spacing w:line="560" w:lineRule="exact"/>
              <w:rPr>
                <w:sz w:val="22"/>
                <w:szCs w:val="22"/>
              </w:rPr>
            </w:pPr>
            <w:r>
              <w:rPr>
                <w:rFonts w:hint="eastAsia"/>
                <w:sz w:val="22"/>
                <w:szCs w:val="22"/>
              </w:rPr>
              <w:t>满分10分，每有擅自离岗的，扣3分</w:t>
            </w:r>
          </w:p>
        </w:tc>
        <w:tc>
          <w:tcPr>
            <w:tcW w:w="851" w:type="dxa"/>
            <w:tcBorders>
              <w:top w:val="single" w:color="auto" w:sz="4" w:space="0"/>
              <w:left w:val="single" w:color="auto" w:sz="4" w:space="0"/>
              <w:bottom w:val="single" w:color="auto" w:sz="4" w:space="0"/>
              <w:right w:val="single" w:color="auto" w:sz="4" w:space="0"/>
            </w:tcBorders>
          </w:tcPr>
          <w:p w14:paraId="3FB874CE">
            <w:pPr>
              <w:spacing w:line="560" w:lineRule="exact"/>
              <w:jc w:val="center"/>
              <w:rPr>
                <w:sz w:val="22"/>
                <w:szCs w:val="22"/>
              </w:rPr>
            </w:pPr>
          </w:p>
        </w:tc>
        <w:tc>
          <w:tcPr>
            <w:tcW w:w="1086" w:type="dxa"/>
            <w:gridSpan w:val="2"/>
            <w:tcBorders>
              <w:top w:val="single" w:color="auto" w:sz="4" w:space="0"/>
              <w:left w:val="single" w:color="auto" w:sz="4" w:space="0"/>
              <w:bottom w:val="single" w:color="auto" w:sz="4" w:space="0"/>
              <w:right w:val="single" w:color="auto" w:sz="4" w:space="0"/>
            </w:tcBorders>
          </w:tcPr>
          <w:p w14:paraId="2265C7FF">
            <w:pPr>
              <w:spacing w:line="560" w:lineRule="exact"/>
              <w:jc w:val="center"/>
              <w:rPr>
                <w:sz w:val="22"/>
                <w:szCs w:val="22"/>
              </w:rPr>
            </w:pPr>
          </w:p>
        </w:tc>
      </w:tr>
      <w:tr w14:paraId="4E1859EF">
        <w:tblPrEx>
          <w:tblCellMar>
            <w:top w:w="0" w:type="dxa"/>
            <w:left w:w="108" w:type="dxa"/>
            <w:bottom w:w="0" w:type="dxa"/>
            <w:right w:w="108" w:type="dxa"/>
          </w:tblCellMar>
        </w:tblPrEx>
        <w:trPr>
          <w:trHeight w:val="465" w:hRule="atLeast"/>
        </w:trPr>
        <w:tc>
          <w:tcPr>
            <w:tcW w:w="710" w:type="dxa"/>
            <w:vMerge w:val="continue"/>
            <w:tcBorders>
              <w:left w:val="single" w:color="auto" w:sz="4" w:space="0"/>
              <w:right w:val="single" w:color="auto" w:sz="4" w:space="0"/>
            </w:tcBorders>
            <w:vAlign w:val="center"/>
          </w:tcPr>
          <w:p w14:paraId="2DE35FE2">
            <w:pPr>
              <w:spacing w:line="560" w:lineRule="exact"/>
              <w:jc w:val="center"/>
              <w:rPr>
                <w:rFonts w:cs="宋体"/>
                <w:b/>
                <w:sz w:val="22"/>
                <w:szCs w:val="22"/>
              </w:rPr>
            </w:pPr>
          </w:p>
        </w:tc>
        <w:tc>
          <w:tcPr>
            <w:tcW w:w="425" w:type="dxa"/>
            <w:tcBorders>
              <w:top w:val="single" w:color="auto" w:sz="4" w:space="0"/>
              <w:left w:val="single" w:color="auto" w:sz="4" w:space="0"/>
              <w:right w:val="single" w:color="auto" w:sz="4" w:space="0"/>
            </w:tcBorders>
            <w:vAlign w:val="center"/>
          </w:tcPr>
          <w:p w14:paraId="06E23B05">
            <w:pPr>
              <w:spacing w:line="560" w:lineRule="exact"/>
              <w:jc w:val="center"/>
              <w:rPr>
                <w:rFonts w:cs="宋体"/>
                <w:bCs/>
                <w:sz w:val="22"/>
                <w:szCs w:val="22"/>
              </w:rPr>
            </w:pPr>
            <w:r>
              <w:rPr>
                <w:rFonts w:hint="eastAsia" w:cs="宋体"/>
                <w:bCs/>
                <w:sz w:val="22"/>
                <w:szCs w:val="22"/>
              </w:rPr>
              <w:t>7</w:t>
            </w:r>
          </w:p>
        </w:tc>
        <w:tc>
          <w:tcPr>
            <w:tcW w:w="1247" w:type="dxa"/>
            <w:vMerge w:val="continue"/>
            <w:tcBorders>
              <w:left w:val="single" w:color="auto" w:sz="4" w:space="0"/>
              <w:right w:val="single" w:color="auto" w:sz="4" w:space="0"/>
            </w:tcBorders>
            <w:vAlign w:val="center"/>
          </w:tcPr>
          <w:p w14:paraId="2FFEE118">
            <w:pPr>
              <w:spacing w:line="560" w:lineRule="exact"/>
              <w:rPr>
                <w:rFonts w:cs="宋体"/>
                <w:bCs/>
                <w:sz w:val="22"/>
                <w:szCs w:val="22"/>
              </w:rPr>
            </w:pP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600E2AFC">
            <w:pPr>
              <w:spacing w:line="560" w:lineRule="exact"/>
              <w:rPr>
                <w:rFonts w:cs="宋体"/>
                <w:bCs/>
                <w:sz w:val="22"/>
                <w:szCs w:val="22"/>
              </w:rPr>
            </w:pPr>
            <w:r>
              <w:rPr>
                <w:rFonts w:hint="eastAsia"/>
                <w:sz w:val="22"/>
                <w:szCs w:val="22"/>
              </w:rPr>
              <w:t>成果文件提交时间符合合同约定，并在工作开展过程中积极同甲方保持沟通</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A93FA83">
            <w:pPr>
              <w:spacing w:line="560" w:lineRule="exact"/>
              <w:rPr>
                <w:sz w:val="22"/>
                <w:szCs w:val="22"/>
              </w:rPr>
            </w:pPr>
            <w:r>
              <w:rPr>
                <w:rFonts w:hint="eastAsia"/>
                <w:sz w:val="22"/>
                <w:szCs w:val="22"/>
              </w:rPr>
              <w:t>满分10分，未按约定时间提交成果的，每发生一次，扣2分</w:t>
            </w:r>
          </w:p>
        </w:tc>
        <w:tc>
          <w:tcPr>
            <w:tcW w:w="851" w:type="dxa"/>
            <w:tcBorders>
              <w:top w:val="single" w:color="auto" w:sz="4" w:space="0"/>
              <w:left w:val="single" w:color="auto" w:sz="4" w:space="0"/>
              <w:bottom w:val="single" w:color="auto" w:sz="4" w:space="0"/>
              <w:right w:val="single" w:color="auto" w:sz="4" w:space="0"/>
            </w:tcBorders>
          </w:tcPr>
          <w:p w14:paraId="39FE3BD2">
            <w:pPr>
              <w:spacing w:line="560" w:lineRule="exact"/>
              <w:jc w:val="center"/>
              <w:rPr>
                <w:sz w:val="22"/>
                <w:szCs w:val="22"/>
              </w:rPr>
            </w:pPr>
          </w:p>
        </w:tc>
        <w:tc>
          <w:tcPr>
            <w:tcW w:w="1086" w:type="dxa"/>
            <w:gridSpan w:val="2"/>
            <w:tcBorders>
              <w:top w:val="single" w:color="auto" w:sz="4" w:space="0"/>
              <w:left w:val="single" w:color="auto" w:sz="4" w:space="0"/>
              <w:bottom w:val="single" w:color="auto" w:sz="4" w:space="0"/>
              <w:right w:val="single" w:color="auto" w:sz="4" w:space="0"/>
            </w:tcBorders>
          </w:tcPr>
          <w:p w14:paraId="6949C506">
            <w:pPr>
              <w:spacing w:line="560" w:lineRule="exact"/>
              <w:jc w:val="center"/>
              <w:rPr>
                <w:sz w:val="22"/>
                <w:szCs w:val="22"/>
              </w:rPr>
            </w:pPr>
          </w:p>
        </w:tc>
      </w:tr>
      <w:tr w14:paraId="49424AC3">
        <w:tblPrEx>
          <w:tblCellMar>
            <w:top w:w="0" w:type="dxa"/>
            <w:left w:w="108" w:type="dxa"/>
            <w:bottom w:w="0" w:type="dxa"/>
            <w:right w:w="108" w:type="dxa"/>
          </w:tblCellMar>
        </w:tblPrEx>
        <w:trPr>
          <w:trHeight w:val="465" w:hRule="atLeast"/>
        </w:trPr>
        <w:tc>
          <w:tcPr>
            <w:tcW w:w="710" w:type="dxa"/>
            <w:vMerge w:val="continue"/>
            <w:tcBorders>
              <w:top w:val="single" w:color="auto" w:sz="4" w:space="0"/>
              <w:left w:val="single" w:color="auto" w:sz="4" w:space="0"/>
              <w:right w:val="single" w:color="auto" w:sz="4" w:space="0"/>
            </w:tcBorders>
            <w:vAlign w:val="center"/>
          </w:tcPr>
          <w:p w14:paraId="173F0F1A">
            <w:pPr>
              <w:spacing w:line="560" w:lineRule="exact"/>
              <w:jc w:val="center"/>
              <w:rPr>
                <w:rFonts w:cs="宋体"/>
                <w:b/>
                <w:sz w:val="22"/>
                <w:szCs w:val="22"/>
              </w:rPr>
            </w:pPr>
          </w:p>
        </w:tc>
        <w:tc>
          <w:tcPr>
            <w:tcW w:w="425" w:type="dxa"/>
            <w:tcBorders>
              <w:top w:val="single" w:color="auto" w:sz="4" w:space="0"/>
              <w:left w:val="single" w:color="auto" w:sz="4" w:space="0"/>
              <w:bottom w:val="single" w:color="auto" w:sz="4" w:space="0"/>
              <w:right w:val="single" w:color="auto" w:sz="4" w:space="0"/>
            </w:tcBorders>
            <w:vAlign w:val="center"/>
          </w:tcPr>
          <w:p w14:paraId="693313C9">
            <w:pPr>
              <w:spacing w:line="560" w:lineRule="exact"/>
              <w:jc w:val="center"/>
              <w:rPr>
                <w:rFonts w:cs="宋体"/>
                <w:bCs/>
                <w:sz w:val="22"/>
                <w:szCs w:val="22"/>
              </w:rPr>
            </w:pPr>
            <w:r>
              <w:rPr>
                <w:rFonts w:hint="eastAsia" w:cs="宋体"/>
                <w:bCs/>
                <w:sz w:val="22"/>
                <w:szCs w:val="22"/>
              </w:rPr>
              <w:t>8</w:t>
            </w:r>
          </w:p>
        </w:tc>
        <w:tc>
          <w:tcPr>
            <w:tcW w:w="1247" w:type="dxa"/>
            <w:tcBorders>
              <w:top w:val="single" w:color="auto" w:sz="4" w:space="0"/>
              <w:left w:val="single" w:color="auto" w:sz="4" w:space="0"/>
              <w:right w:val="single" w:color="auto" w:sz="4" w:space="0"/>
            </w:tcBorders>
            <w:vAlign w:val="center"/>
          </w:tcPr>
          <w:p w14:paraId="678B00D3">
            <w:pPr>
              <w:spacing w:line="560" w:lineRule="exact"/>
              <w:rPr>
                <w:rFonts w:ascii="等线" w:hAnsi="等线" w:cs="宋体"/>
                <w:sz w:val="22"/>
                <w:szCs w:val="22"/>
              </w:rPr>
            </w:pPr>
          </w:p>
          <w:p w14:paraId="5AAB93B0">
            <w:pPr>
              <w:spacing w:line="560" w:lineRule="exact"/>
              <w:rPr>
                <w:rFonts w:ascii="等线" w:hAnsi="等线" w:cs="宋体"/>
                <w:sz w:val="22"/>
                <w:szCs w:val="22"/>
              </w:rPr>
            </w:pPr>
          </w:p>
          <w:p w14:paraId="034DBC81">
            <w:pPr>
              <w:spacing w:line="560" w:lineRule="exact"/>
              <w:rPr>
                <w:rFonts w:ascii="等线" w:hAnsi="等线" w:cs="宋体"/>
                <w:sz w:val="22"/>
                <w:szCs w:val="22"/>
              </w:rPr>
            </w:pPr>
          </w:p>
          <w:p w14:paraId="5845541D">
            <w:pPr>
              <w:spacing w:line="560" w:lineRule="exact"/>
              <w:rPr>
                <w:rFonts w:ascii="等线" w:hAnsi="等线" w:cs="宋体"/>
                <w:sz w:val="22"/>
                <w:szCs w:val="22"/>
              </w:rPr>
            </w:pPr>
          </w:p>
          <w:p w14:paraId="76B8BFAA">
            <w:pPr>
              <w:spacing w:line="560" w:lineRule="exact"/>
              <w:rPr>
                <w:rFonts w:cs="宋体"/>
                <w:bCs/>
                <w:sz w:val="22"/>
                <w:szCs w:val="22"/>
              </w:rPr>
            </w:pPr>
            <w:r>
              <w:rPr>
                <w:rFonts w:hint="eastAsia" w:ascii="等线" w:hAnsi="等线" w:cs="宋体"/>
                <w:sz w:val="22"/>
                <w:szCs w:val="22"/>
              </w:rPr>
              <w:t>成果评价</w:t>
            </w: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289DD984">
            <w:pPr>
              <w:spacing w:line="560" w:lineRule="exact"/>
              <w:rPr>
                <w:rFonts w:cs="宋体"/>
                <w:bCs/>
                <w:sz w:val="22"/>
                <w:szCs w:val="22"/>
              </w:rPr>
            </w:pPr>
            <w:r>
              <w:rPr>
                <w:rFonts w:hint="eastAsia" w:ascii="等线" w:hAnsi="等线" w:cs="宋体"/>
                <w:sz w:val="22"/>
                <w:szCs w:val="22"/>
              </w:rPr>
              <w:t>合同修改准确到位，法律意见分析依据充分，能提供有效的风险防范措施和应对意见</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4AAE6110">
            <w:pPr>
              <w:spacing w:line="560" w:lineRule="exact"/>
              <w:rPr>
                <w:sz w:val="22"/>
                <w:szCs w:val="22"/>
              </w:rPr>
            </w:pPr>
            <w:r>
              <w:rPr>
                <w:rFonts w:hint="eastAsia"/>
                <w:sz w:val="22"/>
                <w:szCs w:val="22"/>
              </w:rPr>
              <w:t>满分20分，提交成果存在法律漏洞，用词明显错误的，每次扣1分；所发表法律意见（含口头）明显错误的，每次扣4分</w:t>
            </w:r>
          </w:p>
        </w:tc>
        <w:tc>
          <w:tcPr>
            <w:tcW w:w="851" w:type="dxa"/>
            <w:tcBorders>
              <w:top w:val="single" w:color="auto" w:sz="4" w:space="0"/>
              <w:left w:val="single" w:color="auto" w:sz="4" w:space="0"/>
              <w:right w:val="single" w:color="auto" w:sz="4" w:space="0"/>
            </w:tcBorders>
          </w:tcPr>
          <w:p w14:paraId="1ECE80ED">
            <w:pPr>
              <w:spacing w:line="560" w:lineRule="exact"/>
              <w:jc w:val="center"/>
              <w:rPr>
                <w:sz w:val="22"/>
                <w:szCs w:val="22"/>
              </w:rPr>
            </w:pPr>
          </w:p>
        </w:tc>
        <w:tc>
          <w:tcPr>
            <w:tcW w:w="1086" w:type="dxa"/>
            <w:gridSpan w:val="2"/>
            <w:tcBorders>
              <w:top w:val="single" w:color="auto" w:sz="4" w:space="0"/>
              <w:left w:val="single" w:color="auto" w:sz="4" w:space="0"/>
              <w:right w:val="single" w:color="auto" w:sz="4" w:space="0"/>
            </w:tcBorders>
          </w:tcPr>
          <w:p w14:paraId="7334BCF7">
            <w:pPr>
              <w:spacing w:line="560" w:lineRule="exact"/>
              <w:jc w:val="center"/>
              <w:rPr>
                <w:sz w:val="22"/>
                <w:szCs w:val="22"/>
              </w:rPr>
            </w:pPr>
          </w:p>
        </w:tc>
      </w:tr>
      <w:tr w14:paraId="3462DB45">
        <w:tblPrEx>
          <w:tblCellMar>
            <w:top w:w="0" w:type="dxa"/>
            <w:left w:w="108" w:type="dxa"/>
            <w:bottom w:w="0" w:type="dxa"/>
            <w:right w:w="108" w:type="dxa"/>
          </w:tblCellMar>
        </w:tblPrEx>
        <w:trPr>
          <w:trHeight w:val="465" w:hRule="atLeast"/>
        </w:trPr>
        <w:tc>
          <w:tcPr>
            <w:tcW w:w="710" w:type="dxa"/>
            <w:vMerge w:val="continue"/>
            <w:tcBorders>
              <w:left w:val="single" w:color="auto" w:sz="4" w:space="0"/>
              <w:right w:val="single" w:color="auto" w:sz="4" w:space="0"/>
            </w:tcBorders>
            <w:vAlign w:val="center"/>
          </w:tcPr>
          <w:p w14:paraId="0F3AFE93">
            <w:pPr>
              <w:spacing w:line="560" w:lineRule="exact"/>
              <w:jc w:val="center"/>
              <w:rPr>
                <w:rFonts w:cs="宋体"/>
                <w:b/>
                <w:sz w:val="22"/>
                <w:szCs w:val="22"/>
              </w:rPr>
            </w:pPr>
          </w:p>
        </w:tc>
        <w:tc>
          <w:tcPr>
            <w:tcW w:w="425" w:type="dxa"/>
            <w:tcBorders>
              <w:top w:val="single" w:color="auto" w:sz="4" w:space="0"/>
              <w:left w:val="single" w:color="auto" w:sz="4" w:space="0"/>
              <w:bottom w:val="single" w:color="auto" w:sz="4" w:space="0"/>
              <w:right w:val="single" w:color="auto" w:sz="4" w:space="0"/>
            </w:tcBorders>
            <w:vAlign w:val="center"/>
          </w:tcPr>
          <w:p w14:paraId="6544F7CF">
            <w:pPr>
              <w:spacing w:line="560" w:lineRule="exact"/>
              <w:jc w:val="center"/>
              <w:rPr>
                <w:rFonts w:cs="宋体"/>
                <w:bCs/>
                <w:sz w:val="22"/>
                <w:szCs w:val="22"/>
              </w:rPr>
            </w:pPr>
            <w:r>
              <w:rPr>
                <w:rFonts w:hint="eastAsia" w:cs="宋体"/>
                <w:bCs/>
                <w:sz w:val="22"/>
                <w:szCs w:val="22"/>
              </w:rPr>
              <w:t>9</w:t>
            </w:r>
          </w:p>
        </w:tc>
        <w:tc>
          <w:tcPr>
            <w:tcW w:w="1247" w:type="dxa"/>
            <w:tcBorders>
              <w:left w:val="single" w:color="auto" w:sz="4" w:space="0"/>
              <w:right w:val="single" w:color="auto" w:sz="4" w:space="0"/>
            </w:tcBorders>
            <w:vAlign w:val="center"/>
          </w:tcPr>
          <w:p w14:paraId="21E3B910">
            <w:pPr>
              <w:spacing w:line="560" w:lineRule="exact"/>
              <w:rPr>
                <w:rFonts w:cs="宋体"/>
                <w:bCs/>
                <w:sz w:val="22"/>
                <w:szCs w:val="22"/>
              </w:rPr>
            </w:pP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383F4DC4">
            <w:pPr>
              <w:spacing w:line="560" w:lineRule="exact"/>
              <w:rPr>
                <w:rFonts w:ascii="等线" w:hAnsi="等线" w:cs="宋体"/>
                <w:sz w:val="22"/>
                <w:szCs w:val="22"/>
              </w:rPr>
            </w:pPr>
            <w:r>
              <w:rPr>
                <w:rFonts w:hint="eastAsia" w:ascii="等线" w:hAnsi="等线" w:cs="宋体"/>
                <w:sz w:val="22"/>
                <w:szCs w:val="22"/>
              </w:rPr>
              <w:t>服务成果为公司提供了较好的合规、业绩等方面效益的</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6F971F75">
            <w:pPr>
              <w:spacing w:line="560" w:lineRule="exact"/>
              <w:rPr>
                <w:sz w:val="22"/>
                <w:szCs w:val="22"/>
              </w:rPr>
            </w:pPr>
            <w:r>
              <w:rPr>
                <w:rFonts w:hint="eastAsia"/>
                <w:sz w:val="22"/>
                <w:szCs w:val="22"/>
              </w:rPr>
              <w:t>满分5分，主观评分</w:t>
            </w:r>
          </w:p>
        </w:tc>
        <w:tc>
          <w:tcPr>
            <w:tcW w:w="851" w:type="dxa"/>
            <w:tcBorders>
              <w:top w:val="single" w:color="auto" w:sz="4" w:space="0"/>
              <w:left w:val="single" w:color="auto" w:sz="4" w:space="0"/>
              <w:right w:val="single" w:color="auto" w:sz="4" w:space="0"/>
            </w:tcBorders>
          </w:tcPr>
          <w:p w14:paraId="139EC1BE">
            <w:pPr>
              <w:spacing w:line="560" w:lineRule="exact"/>
              <w:jc w:val="center"/>
              <w:rPr>
                <w:sz w:val="22"/>
                <w:szCs w:val="22"/>
              </w:rPr>
            </w:pPr>
          </w:p>
        </w:tc>
        <w:tc>
          <w:tcPr>
            <w:tcW w:w="1086" w:type="dxa"/>
            <w:gridSpan w:val="2"/>
            <w:tcBorders>
              <w:top w:val="single" w:color="auto" w:sz="4" w:space="0"/>
              <w:left w:val="single" w:color="auto" w:sz="4" w:space="0"/>
              <w:right w:val="single" w:color="auto" w:sz="4" w:space="0"/>
            </w:tcBorders>
          </w:tcPr>
          <w:p w14:paraId="4C7B61C7">
            <w:pPr>
              <w:spacing w:line="560" w:lineRule="exact"/>
              <w:jc w:val="center"/>
              <w:rPr>
                <w:sz w:val="22"/>
                <w:szCs w:val="22"/>
              </w:rPr>
            </w:pPr>
          </w:p>
        </w:tc>
      </w:tr>
      <w:tr w14:paraId="6B3CA2B0">
        <w:tblPrEx>
          <w:tblCellMar>
            <w:top w:w="0" w:type="dxa"/>
            <w:left w:w="108" w:type="dxa"/>
            <w:bottom w:w="0" w:type="dxa"/>
            <w:right w:w="108" w:type="dxa"/>
          </w:tblCellMar>
        </w:tblPrEx>
        <w:trPr>
          <w:trHeight w:val="465" w:hRule="atLeast"/>
        </w:trPr>
        <w:tc>
          <w:tcPr>
            <w:tcW w:w="710" w:type="dxa"/>
            <w:vMerge w:val="continue"/>
            <w:tcBorders>
              <w:left w:val="single" w:color="auto" w:sz="4" w:space="0"/>
              <w:right w:val="single" w:color="auto" w:sz="4" w:space="0"/>
            </w:tcBorders>
            <w:vAlign w:val="center"/>
          </w:tcPr>
          <w:p w14:paraId="4F82C6F3">
            <w:pPr>
              <w:spacing w:line="560" w:lineRule="exact"/>
              <w:jc w:val="center"/>
              <w:rPr>
                <w:rFonts w:cs="宋体"/>
                <w:b/>
                <w:sz w:val="22"/>
                <w:szCs w:val="22"/>
              </w:rPr>
            </w:pPr>
          </w:p>
        </w:tc>
        <w:tc>
          <w:tcPr>
            <w:tcW w:w="425" w:type="dxa"/>
            <w:tcBorders>
              <w:top w:val="single" w:color="auto" w:sz="4" w:space="0"/>
              <w:left w:val="single" w:color="auto" w:sz="4" w:space="0"/>
              <w:right w:val="single" w:color="auto" w:sz="4" w:space="0"/>
            </w:tcBorders>
            <w:vAlign w:val="center"/>
          </w:tcPr>
          <w:p w14:paraId="67172CCB">
            <w:pPr>
              <w:spacing w:line="560" w:lineRule="exact"/>
              <w:jc w:val="center"/>
              <w:rPr>
                <w:rFonts w:cs="宋体"/>
                <w:bCs/>
                <w:sz w:val="22"/>
                <w:szCs w:val="22"/>
              </w:rPr>
            </w:pPr>
            <w:r>
              <w:rPr>
                <w:rFonts w:hint="eastAsia" w:cs="宋体"/>
                <w:bCs/>
                <w:sz w:val="22"/>
                <w:szCs w:val="22"/>
              </w:rPr>
              <w:t>10</w:t>
            </w:r>
          </w:p>
        </w:tc>
        <w:tc>
          <w:tcPr>
            <w:tcW w:w="1247" w:type="dxa"/>
            <w:tcBorders>
              <w:left w:val="single" w:color="auto" w:sz="4" w:space="0"/>
              <w:right w:val="single" w:color="auto" w:sz="4" w:space="0"/>
            </w:tcBorders>
            <w:vAlign w:val="center"/>
          </w:tcPr>
          <w:p w14:paraId="7F1E63C0">
            <w:pPr>
              <w:spacing w:line="560" w:lineRule="exact"/>
              <w:rPr>
                <w:rFonts w:cs="宋体"/>
                <w:bCs/>
                <w:sz w:val="22"/>
                <w:szCs w:val="22"/>
                <w:highlight w:val="yellow"/>
              </w:rPr>
            </w:pPr>
          </w:p>
        </w:tc>
        <w:tc>
          <w:tcPr>
            <w:tcW w:w="2835" w:type="dxa"/>
            <w:gridSpan w:val="2"/>
            <w:tcBorders>
              <w:top w:val="single" w:color="auto" w:sz="4" w:space="0"/>
              <w:left w:val="single" w:color="auto" w:sz="4" w:space="0"/>
              <w:bottom w:val="single" w:color="auto" w:sz="4" w:space="0"/>
              <w:right w:val="single" w:color="auto" w:sz="4" w:space="0"/>
            </w:tcBorders>
            <w:vAlign w:val="center"/>
          </w:tcPr>
          <w:p w14:paraId="4BE5AE31">
            <w:pPr>
              <w:spacing w:line="560" w:lineRule="exact"/>
              <w:rPr>
                <w:rFonts w:cs="宋体"/>
                <w:bCs/>
                <w:sz w:val="22"/>
                <w:szCs w:val="22"/>
              </w:rPr>
            </w:pPr>
            <w:r>
              <w:rPr>
                <w:rFonts w:hint="eastAsia" w:ascii="等线" w:hAnsi="等线" w:cs="宋体"/>
                <w:sz w:val="22"/>
                <w:szCs w:val="22"/>
              </w:rPr>
              <w:t>为甲方经营发展考虑，提出重大经营、政策、履约或法律风险，并提出相应的合理化建议</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455867F1">
            <w:pPr>
              <w:spacing w:line="560" w:lineRule="exact"/>
              <w:rPr>
                <w:sz w:val="22"/>
                <w:szCs w:val="22"/>
              </w:rPr>
            </w:pPr>
            <w:r>
              <w:rPr>
                <w:rFonts w:hint="eastAsia"/>
                <w:sz w:val="22"/>
                <w:szCs w:val="22"/>
              </w:rPr>
              <w:t>满分5分，主观评分</w:t>
            </w:r>
          </w:p>
        </w:tc>
        <w:tc>
          <w:tcPr>
            <w:tcW w:w="851" w:type="dxa"/>
            <w:tcBorders>
              <w:top w:val="single" w:color="auto" w:sz="4" w:space="0"/>
              <w:left w:val="single" w:color="auto" w:sz="4" w:space="0"/>
              <w:bottom w:val="single" w:color="auto" w:sz="4" w:space="0"/>
              <w:right w:val="single" w:color="auto" w:sz="4" w:space="0"/>
            </w:tcBorders>
          </w:tcPr>
          <w:p w14:paraId="6B984FBB">
            <w:pPr>
              <w:spacing w:line="560" w:lineRule="exact"/>
              <w:jc w:val="center"/>
              <w:rPr>
                <w:sz w:val="22"/>
                <w:szCs w:val="22"/>
              </w:rPr>
            </w:pPr>
          </w:p>
        </w:tc>
        <w:tc>
          <w:tcPr>
            <w:tcW w:w="1086" w:type="dxa"/>
            <w:gridSpan w:val="2"/>
            <w:tcBorders>
              <w:top w:val="single" w:color="auto" w:sz="4" w:space="0"/>
              <w:left w:val="single" w:color="auto" w:sz="4" w:space="0"/>
              <w:bottom w:val="single" w:color="auto" w:sz="4" w:space="0"/>
              <w:right w:val="single" w:color="auto" w:sz="4" w:space="0"/>
            </w:tcBorders>
          </w:tcPr>
          <w:p w14:paraId="4D37A834">
            <w:pPr>
              <w:spacing w:line="560" w:lineRule="exact"/>
              <w:jc w:val="center"/>
              <w:rPr>
                <w:sz w:val="22"/>
                <w:szCs w:val="22"/>
              </w:rPr>
            </w:pPr>
          </w:p>
        </w:tc>
      </w:tr>
      <w:tr w14:paraId="2FF42CAA">
        <w:tblPrEx>
          <w:tblCellMar>
            <w:top w:w="0" w:type="dxa"/>
            <w:left w:w="108" w:type="dxa"/>
            <w:bottom w:w="0" w:type="dxa"/>
            <w:right w:w="108" w:type="dxa"/>
          </w:tblCellMar>
        </w:tblPrEx>
        <w:trPr>
          <w:gridAfter w:val="1"/>
          <w:wAfter w:w="65" w:type="dxa"/>
          <w:trHeight w:val="305" w:hRule="atLeast"/>
        </w:trPr>
        <w:tc>
          <w:tcPr>
            <w:tcW w:w="710" w:type="dxa"/>
            <w:vMerge w:val="continue"/>
            <w:tcBorders>
              <w:left w:val="single" w:color="auto" w:sz="4" w:space="0"/>
              <w:bottom w:val="single" w:color="auto" w:sz="4" w:space="0"/>
              <w:right w:val="single" w:color="auto" w:sz="4" w:space="0"/>
            </w:tcBorders>
            <w:vAlign w:val="center"/>
          </w:tcPr>
          <w:p w14:paraId="103A24F0">
            <w:pPr>
              <w:spacing w:line="560" w:lineRule="exact"/>
              <w:jc w:val="center"/>
              <w:rPr>
                <w:rFonts w:cs="宋体"/>
                <w:b/>
                <w:sz w:val="22"/>
                <w:szCs w:val="22"/>
              </w:rPr>
            </w:pPr>
          </w:p>
        </w:tc>
        <w:tc>
          <w:tcPr>
            <w:tcW w:w="4507" w:type="dxa"/>
            <w:gridSpan w:val="4"/>
            <w:tcBorders>
              <w:top w:val="single" w:color="auto" w:sz="4" w:space="0"/>
              <w:left w:val="single" w:color="auto" w:sz="4" w:space="0"/>
              <w:right w:val="single" w:color="auto" w:sz="4" w:space="0"/>
            </w:tcBorders>
            <w:vAlign w:val="center"/>
          </w:tcPr>
          <w:p w14:paraId="21A7CD5A">
            <w:pPr>
              <w:spacing w:line="560" w:lineRule="exact"/>
              <w:ind w:firstLine="1540" w:firstLineChars="700"/>
              <w:rPr>
                <w:rFonts w:cs="宋体"/>
                <w:bCs/>
                <w:sz w:val="22"/>
                <w:szCs w:val="22"/>
              </w:rPr>
            </w:pPr>
            <w:r>
              <w:rPr>
                <w:rFonts w:hint="eastAsia" w:ascii="等线" w:hAnsi="等线" w:cs="宋体"/>
                <w:sz w:val="22"/>
                <w:szCs w:val="22"/>
              </w:rPr>
              <w:t>得分合计</w:t>
            </w:r>
          </w:p>
        </w:tc>
        <w:tc>
          <w:tcPr>
            <w:tcW w:w="2126" w:type="dxa"/>
            <w:gridSpan w:val="2"/>
            <w:tcBorders>
              <w:top w:val="single" w:color="auto" w:sz="4" w:space="0"/>
              <w:left w:val="single" w:color="auto" w:sz="4" w:space="0"/>
              <w:right w:val="single" w:color="auto" w:sz="4" w:space="0"/>
            </w:tcBorders>
            <w:vAlign w:val="center"/>
          </w:tcPr>
          <w:p w14:paraId="3D7DB815">
            <w:pPr>
              <w:spacing w:line="560" w:lineRule="exact"/>
              <w:jc w:val="center"/>
              <w:rPr>
                <w:rFonts w:cs="宋体"/>
                <w:bCs/>
                <w:sz w:val="22"/>
                <w:szCs w:val="22"/>
              </w:rPr>
            </w:pPr>
          </w:p>
        </w:tc>
        <w:tc>
          <w:tcPr>
            <w:tcW w:w="1872" w:type="dxa"/>
            <w:gridSpan w:val="2"/>
            <w:tcBorders>
              <w:top w:val="single" w:color="auto" w:sz="4" w:space="0"/>
              <w:left w:val="single" w:color="auto" w:sz="4" w:space="0"/>
              <w:right w:val="single" w:color="auto" w:sz="4" w:space="0"/>
            </w:tcBorders>
          </w:tcPr>
          <w:p w14:paraId="1B0BD4EC">
            <w:pPr>
              <w:spacing w:line="560" w:lineRule="exact"/>
              <w:jc w:val="center"/>
              <w:rPr>
                <w:rFonts w:cs="宋体"/>
                <w:bCs/>
                <w:sz w:val="22"/>
                <w:szCs w:val="22"/>
              </w:rPr>
            </w:pPr>
          </w:p>
        </w:tc>
      </w:tr>
      <w:tr w14:paraId="6789AC47">
        <w:tblPrEx>
          <w:tblCellMar>
            <w:top w:w="0" w:type="dxa"/>
            <w:left w:w="108" w:type="dxa"/>
            <w:bottom w:w="0" w:type="dxa"/>
            <w:right w:w="108" w:type="dxa"/>
          </w:tblCellMar>
        </w:tblPrEx>
        <w:trPr>
          <w:gridAfter w:val="1"/>
          <w:wAfter w:w="65" w:type="dxa"/>
          <w:trHeight w:val="441" w:hRule="atLeast"/>
        </w:trPr>
        <w:tc>
          <w:tcPr>
            <w:tcW w:w="1135" w:type="dxa"/>
            <w:gridSpan w:val="2"/>
            <w:tcBorders>
              <w:top w:val="single" w:color="auto" w:sz="4" w:space="0"/>
              <w:left w:val="single" w:color="auto" w:sz="4" w:space="0"/>
              <w:right w:val="single" w:color="auto" w:sz="4" w:space="0"/>
            </w:tcBorders>
            <w:vAlign w:val="center"/>
          </w:tcPr>
          <w:p w14:paraId="456241CF">
            <w:pPr>
              <w:spacing w:line="560" w:lineRule="exact"/>
              <w:rPr>
                <w:rFonts w:ascii="等线" w:hAnsi="等线" w:cs="宋体"/>
                <w:sz w:val="22"/>
                <w:szCs w:val="22"/>
              </w:rPr>
            </w:pPr>
            <w:r>
              <w:rPr>
                <w:rFonts w:hint="eastAsia" w:ascii="等线" w:hAnsi="等线" w:cs="宋体"/>
                <w:sz w:val="22"/>
                <w:szCs w:val="22"/>
              </w:rPr>
              <w:t>评价得分</w:t>
            </w:r>
          </w:p>
        </w:tc>
        <w:tc>
          <w:tcPr>
            <w:tcW w:w="8080" w:type="dxa"/>
            <w:gridSpan w:val="7"/>
            <w:tcBorders>
              <w:top w:val="single" w:color="auto" w:sz="4" w:space="0"/>
              <w:left w:val="single" w:color="auto" w:sz="4" w:space="0"/>
              <w:right w:val="single" w:color="auto" w:sz="4" w:space="0"/>
            </w:tcBorders>
            <w:vAlign w:val="center"/>
          </w:tcPr>
          <w:p w14:paraId="65838A0C">
            <w:pPr>
              <w:spacing w:line="560" w:lineRule="exact"/>
              <w:rPr>
                <w:rFonts w:ascii="等线" w:hAnsi="等线" w:cs="宋体"/>
                <w:sz w:val="22"/>
                <w:szCs w:val="22"/>
              </w:rPr>
            </w:pPr>
            <w:r>
              <w:rPr>
                <w:rFonts w:hint="eastAsia" w:ascii="等线" w:hAnsi="等线" w:cs="宋体"/>
                <w:sz w:val="22"/>
                <w:szCs w:val="22"/>
              </w:rPr>
              <w:t xml:space="preserve">口 </w:t>
            </w:r>
            <w:r>
              <w:rPr>
                <w:rFonts w:hint="eastAsia" w:ascii="等线" w:hAnsi="等线" w:cs="宋体"/>
                <w:sz w:val="22"/>
                <w:szCs w:val="22"/>
                <w:u w:val="single"/>
              </w:rPr>
              <w:t xml:space="preserve">    </w:t>
            </w:r>
            <w:r>
              <w:rPr>
                <w:rFonts w:hint="eastAsia" w:ascii="等线" w:hAnsi="等线" w:cs="宋体"/>
                <w:sz w:val="22"/>
                <w:szCs w:val="22"/>
              </w:rPr>
              <w:t>分（未发生关键评价任何一项）</w:t>
            </w:r>
          </w:p>
          <w:p w14:paraId="0253E520">
            <w:pPr>
              <w:spacing w:line="560" w:lineRule="exact"/>
              <w:rPr>
                <w:rFonts w:ascii="等线" w:hAnsi="等线" w:cs="宋体"/>
                <w:sz w:val="22"/>
                <w:szCs w:val="22"/>
              </w:rPr>
            </w:pPr>
            <w:r>
              <w:rPr>
                <w:rFonts w:hint="eastAsia" w:ascii="等线" w:hAnsi="等线" w:cs="宋体"/>
                <w:sz w:val="22"/>
                <w:szCs w:val="22"/>
              </w:rPr>
              <w:t>口0分（发生关键评价任何一项）</w:t>
            </w:r>
          </w:p>
        </w:tc>
      </w:tr>
      <w:tr w14:paraId="4A9C5957">
        <w:tblPrEx>
          <w:tblCellMar>
            <w:top w:w="0" w:type="dxa"/>
            <w:left w:w="108" w:type="dxa"/>
            <w:bottom w:w="0" w:type="dxa"/>
            <w:right w:w="108" w:type="dxa"/>
          </w:tblCellMar>
        </w:tblPrEx>
        <w:trPr>
          <w:gridAfter w:val="1"/>
          <w:wAfter w:w="65" w:type="dxa"/>
          <w:trHeight w:val="461" w:hRule="atLeast"/>
        </w:trPr>
        <w:tc>
          <w:tcPr>
            <w:tcW w:w="1135" w:type="dxa"/>
            <w:gridSpan w:val="2"/>
            <w:tcBorders>
              <w:top w:val="single" w:color="auto" w:sz="4" w:space="0"/>
              <w:left w:val="single" w:color="auto" w:sz="4" w:space="0"/>
              <w:bottom w:val="single" w:color="auto" w:sz="4" w:space="0"/>
              <w:right w:val="single" w:color="000000" w:sz="4" w:space="0"/>
            </w:tcBorders>
            <w:vAlign w:val="center"/>
          </w:tcPr>
          <w:p w14:paraId="27A30DB8">
            <w:pPr>
              <w:spacing w:line="560" w:lineRule="exact"/>
              <w:rPr>
                <w:rFonts w:ascii="等线" w:hAnsi="等线" w:cs="宋体"/>
                <w:sz w:val="22"/>
                <w:szCs w:val="22"/>
              </w:rPr>
            </w:pPr>
            <w:r>
              <w:rPr>
                <w:rFonts w:hint="eastAsia" w:ascii="等线" w:hAnsi="等线" w:cs="宋体"/>
                <w:sz w:val="22"/>
                <w:szCs w:val="22"/>
              </w:rPr>
              <w:t>评价等级</w:t>
            </w:r>
          </w:p>
        </w:tc>
        <w:tc>
          <w:tcPr>
            <w:tcW w:w="8080" w:type="dxa"/>
            <w:gridSpan w:val="7"/>
            <w:tcBorders>
              <w:top w:val="single" w:color="auto" w:sz="4" w:space="0"/>
              <w:left w:val="nil"/>
              <w:bottom w:val="single" w:color="auto" w:sz="4" w:space="0"/>
              <w:right w:val="single" w:color="000000" w:sz="4" w:space="0"/>
            </w:tcBorders>
            <w:vAlign w:val="center"/>
          </w:tcPr>
          <w:p w14:paraId="355201DE">
            <w:pPr>
              <w:spacing w:line="560" w:lineRule="exact"/>
              <w:rPr>
                <w:rFonts w:ascii="等线" w:hAnsi="等线" w:cs="宋体"/>
                <w:sz w:val="22"/>
                <w:szCs w:val="22"/>
              </w:rPr>
            </w:pPr>
            <w:r>
              <w:rPr>
                <w:rFonts w:hint="eastAsia" w:ascii="等线" w:hAnsi="等线" w:cs="宋体"/>
                <w:sz w:val="22"/>
                <w:szCs w:val="22"/>
              </w:rPr>
              <w:t>口优秀（90分-100分）</w:t>
            </w:r>
          </w:p>
          <w:p w14:paraId="261E7A11">
            <w:pPr>
              <w:spacing w:line="560" w:lineRule="exact"/>
              <w:rPr>
                <w:rFonts w:ascii="等线" w:hAnsi="等线" w:cs="宋体"/>
                <w:sz w:val="22"/>
                <w:szCs w:val="22"/>
              </w:rPr>
            </w:pPr>
            <w:r>
              <w:rPr>
                <w:rFonts w:hint="eastAsia" w:ascii="等线" w:hAnsi="等线" w:cs="宋体"/>
                <w:sz w:val="22"/>
                <w:szCs w:val="22"/>
              </w:rPr>
              <w:t>口良好（80分-89分）</w:t>
            </w:r>
          </w:p>
          <w:p w14:paraId="7A3D9E89">
            <w:pPr>
              <w:spacing w:line="560" w:lineRule="exact"/>
              <w:rPr>
                <w:rFonts w:ascii="等线" w:hAnsi="等线" w:cs="宋体"/>
                <w:sz w:val="22"/>
                <w:szCs w:val="22"/>
              </w:rPr>
            </w:pPr>
            <w:r>
              <w:rPr>
                <w:rFonts w:hint="eastAsia" w:ascii="等线" w:hAnsi="等线" w:cs="宋体"/>
                <w:sz w:val="22"/>
                <w:szCs w:val="22"/>
              </w:rPr>
              <w:t>口合格（70分-79分）</w:t>
            </w:r>
          </w:p>
          <w:p w14:paraId="28F7EF19">
            <w:pPr>
              <w:spacing w:line="560" w:lineRule="exact"/>
              <w:rPr>
                <w:rFonts w:ascii="等线" w:hAnsi="等线" w:cs="宋体"/>
                <w:sz w:val="22"/>
                <w:szCs w:val="22"/>
              </w:rPr>
            </w:pPr>
            <w:r>
              <w:rPr>
                <w:rFonts w:hint="eastAsia" w:ascii="等线" w:hAnsi="等线" w:cs="宋体"/>
                <w:sz w:val="22"/>
                <w:szCs w:val="22"/>
              </w:rPr>
              <w:t>口不合格（不足70分，应附举证说明材料）</w:t>
            </w:r>
          </w:p>
        </w:tc>
      </w:tr>
      <w:tr w14:paraId="21269ABB">
        <w:tblPrEx>
          <w:tblCellMar>
            <w:top w:w="0" w:type="dxa"/>
            <w:left w:w="108" w:type="dxa"/>
            <w:bottom w:w="0" w:type="dxa"/>
            <w:right w:w="108" w:type="dxa"/>
          </w:tblCellMar>
        </w:tblPrEx>
        <w:trPr>
          <w:gridAfter w:val="1"/>
          <w:wAfter w:w="65" w:type="dxa"/>
          <w:trHeight w:val="1178" w:hRule="atLeast"/>
        </w:trPr>
        <w:tc>
          <w:tcPr>
            <w:tcW w:w="9215" w:type="dxa"/>
            <w:gridSpan w:val="9"/>
            <w:tcBorders>
              <w:top w:val="single" w:color="auto" w:sz="4" w:space="0"/>
              <w:left w:val="single" w:color="auto" w:sz="4" w:space="0"/>
              <w:bottom w:val="single" w:color="auto" w:sz="4" w:space="0"/>
              <w:right w:val="single" w:color="auto" w:sz="4" w:space="0"/>
            </w:tcBorders>
            <w:vAlign w:val="center"/>
          </w:tcPr>
          <w:p w14:paraId="6B1C2E7A">
            <w:pPr>
              <w:spacing w:line="560" w:lineRule="exact"/>
              <w:rPr>
                <w:rFonts w:ascii="等线" w:hAnsi="等线" w:cs="宋体"/>
                <w:sz w:val="22"/>
                <w:szCs w:val="22"/>
              </w:rPr>
            </w:pPr>
            <w:r>
              <w:rPr>
                <w:rFonts w:hint="eastAsia" w:ascii="等线" w:hAnsi="等线" w:cs="宋体"/>
                <w:sz w:val="22"/>
                <w:szCs w:val="22"/>
              </w:rPr>
              <w:t>评价小组组长签名：</w:t>
            </w:r>
          </w:p>
          <w:p w14:paraId="332FF04A">
            <w:pPr>
              <w:spacing w:line="560" w:lineRule="exact"/>
              <w:rPr>
                <w:rFonts w:ascii="等线" w:hAnsi="等线" w:cs="宋体"/>
                <w:sz w:val="22"/>
                <w:szCs w:val="22"/>
              </w:rPr>
            </w:pPr>
            <w:r>
              <w:rPr>
                <w:rFonts w:hint="eastAsia" w:ascii="等线" w:hAnsi="等线" w:cs="宋体"/>
                <w:sz w:val="22"/>
                <w:szCs w:val="22"/>
              </w:rPr>
              <w:t>评价小组成员签名：</w:t>
            </w:r>
          </w:p>
          <w:p w14:paraId="512204FF">
            <w:pPr>
              <w:spacing w:line="560" w:lineRule="exact"/>
              <w:jc w:val="center"/>
              <w:rPr>
                <w:rFonts w:ascii="等线" w:hAnsi="等线" w:cs="宋体"/>
                <w:sz w:val="22"/>
                <w:szCs w:val="22"/>
              </w:rPr>
            </w:pPr>
            <w:r>
              <w:rPr>
                <w:rFonts w:hint="eastAsia" w:ascii="等线" w:hAnsi="等线" w:cs="宋体"/>
                <w:sz w:val="22"/>
                <w:szCs w:val="22"/>
              </w:rPr>
              <w:t xml:space="preserve"> </w:t>
            </w:r>
            <w:r>
              <w:rPr>
                <w:rFonts w:ascii="等线" w:hAnsi="等线" w:cs="宋体"/>
                <w:sz w:val="22"/>
                <w:szCs w:val="22"/>
              </w:rPr>
              <w:t xml:space="preserve">                            </w:t>
            </w:r>
            <w:r>
              <w:rPr>
                <w:rFonts w:hint="eastAsia" w:ascii="等线" w:hAnsi="等线" w:cs="宋体"/>
                <w:sz w:val="22"/>
                <w:szCs w:val="22"/>
              </w:rPr>
              <w:t>日期：      年   月   日</w:t>
            </w:r>
          </w:p>
        </w:tc>
      </w:tr>
      <w:tr w14:paraId="75977C30">
        <w:tblPrEx>
          <w:tblCellMar>
            <w:top w:w="0" w:type="dxa"/>
            <w:left w:w="108" w:type="dxa"/>
            <w:bottom w:w="0" w:type="dxa"/>
            <w:right w:w="108" w:type="dxa"/>
          </w:tblCellMar>
        </w:tblPrEx>
        <w:trPr>
          <w:gridAfter w:val="1"/>
          <w:wAfter w:w="65" w:type="dxa"/>
          <w:trHeight w:val="1117" w:hRule="atLeast"/>
        </w:trPr>
        <w:tc>
          <w:tcPr>
            <w:tcW w:w="9215" w:type="dxa"/>
            <w:gridSpan w:val="9"/>
            <w:tcBorders>
              <w:top w:val="single" w:color="auto" w:sz="4" w:space="0"/>
              <w:left w:val="single" w:color="auto" w:sz="4" w:space="0"/>
              <w:bottom w:val="single" w:color="auto" w:sz="4" w:space="0"/>
              <w:right w:val="single" w:color="auto" w:sz="4" w:space="0"/>
            </w:tcBorders>
            <w:vAlign w:val="center"/>
          </w:tcPr>
          <w:p w14:paraId="610AC795">
            <w:pPr>
              <w:spacing w:line="560" w:lineRule="exact"/>
              <w:rPr>
                <w:rFonts w:ascii="等线" w:hAnsi="等线" w:cs="宋体"/>
                <w:sz w:val="22"/>
                <w:szCs w:val="22"/>
              </w:rPr>
            </w:pPr>
            <w:r>
              <w:rPr>
                <w:rFonts w:hint="eastAsia" w:ascii="等线" w:hAnsi="等线" w:cs="宋体"/>
                <w:sz w:val="22"/>
                <w:szCs w:val="22"/>
              </w:rPr>
              <w:t>评价小组成员对上述评价结论、分数的不同意见（如有）：</w:t>
            </w:r>
            <w:r>
              <w:rPr>
                <w:rFonts w:hint="eastAsia" w:ascii="等线" w:hAnsi="等线" w:cs="宋体"/>
                <w:sz w:val="22"/>
                <w:szCs w:val="22"/>
              </w:rPr>
              <w:br w:type="textWrapping"/>
            </w:r>
            <w:r>
              <w:rPr>
                <w:rFonts w:hint="eastAsia" w:ascii="等线" w:hAnsi="等线" w:cs="宋体"/>
                <w:sz w:val="22"/>
                <w:szCs w:val="22"/>
              </w:rPr>
              <w:t xml:space="preserve">          签名：             日期：      年   月   日</w:t>
            </w:r>
          </w:p>
        </w:tc>
      </w:tr>
    </w:tbl>
    <w:p w14:paraId="50295061">
      <w:pPr>
        <w:spacing w:line="560" w:lineRule="exact"/>
        <w:jc w:val="left"/>
        <w:rPr>
          <w:rFonts w:ascii="黑体" w:hAnsi="黑体" w:eastAsia="黑体" w:cs="黑体"/>
          <w:color w:val="000000"/>
          <w:spacing w:val="-6"/>
          <w:szCs w:val="32"/>
        </w:rPr>
      </w:pPr>
      <w:r>
        <w:rPr>
          <w:rFonts w:hint="eastAsia" w:ascii="黑体" w:hAnsi="黑体" w:eastAsia="黑体" w:cs="黑体"/>
          <w:color w:val="000000"/>
          <w:spacing w:val="-6"/>
          <w:szCs w:val="32"/>
        </w:rPr>
        <w:t>附件三：</w:t>
      </w:r>
    </w:p>
    <w:p w14:paraId="45FF900A">
      <w:pPr>
        <w:spacing w:line="560" w:lineRule="exact"/>
        <w:ind w:firstLine="2772" w:firstLineChars="900"/>
        <w:jc w:val="left"/>
        <w:rPr>
          <w:rFonts w:ascii="黑体" w:hAnsi="黑体" w:eastAsia="黑体" w:cs="黑体"/>
          <w:color w:val="000000"/>
          <w:spacing w:val="-6"/>
          <w:szCs w:val="32"/>
        </w:rPr>
      </w:pPr>
      <w:r>
        <w:rPr>
          <w:rFonts w:hint="eastAsia" w:ascii="黑体" w:hAnsi="黑体" w:eastAsia="黑体" w:cs="黑体"/>
          <w:color w:val="000000"/>
          <w:spacing w:val="-6"/>
          <w:szCs w:val="32"/>
        </w:rPr>
        <w:t>安全生产管理协议</w:t>
      </w:r>
    </w:p>
    <w:p w14:paraId="286A166C">
      <w:pPr>
        <w:spacing w:line="560" w:lineRule="exact"/>
        <w:jc w:val="left"/>
        <w:rPr>
          <w:rFonts w:ascii="黑体" w:hAnsi="黑体" w:eastAsia="黑体" w:cs="黑体"/>
          <w:color w:val="000000"/>
          <w:spacing w:val="-6"/>
          <w:szCs w:val="32"/>
        </w:rPr>
      </w:pPr>
    </w:p>
    <w:p w14:paraId="7845B78E">
      <w:pPr>
        <w:spacing w:line="560" w:lineRule="exact"/>
        <w:jc w:val="left"/>
        <w:rPr>
          <w:rFonts w:ascii="黑体" w:hAnsi="黑体" w:eastAsia="黑体" w:cs="黑体"/>
          <w:color w:val="000000"/>
          <w:spacing w:val="-6"/>
          <w:szCs w:val="32"/>
        </w:rPr>
      </w:pPr>
      <w:r>
        <w:rPr>
          <w:rFonts w:hint="eastAsia" w:ascii="黑体" w:hAnsi="黑体" w:eastAsia="黑体" w:cs="黑体"/>
          <w:color w:val="000000"/>
          <w:spacing w:val="-6"/>
          <w:szCs w:val="32"/>
        </w:rPr>
        <w:t>甲方：深圳深港科技创新合作区发展有限公司</w:t>
      </w:r>
    </w:p>
    <w:p w14:paraId="259FC051">
      <w:pPr>
        <w:spacing w:line="560" w:lineRule="exact"/>
        <w:jc w:val="left"/>
        <w:rPr>
          <w:rFonts w:ascii="黑体" w:hAnsi="黑体" w:eastAsia="黑体" w:cs="黑体"/>
          <w:color w:val="000000"/>
          <w:spacing w:val="-6"/>
          <w:szCs w:val="32"/>
        </w:rPr>
      </w:pPr>
      <w:r>
        <w:rPr>
          <w:rFonts w:hint="eastAsia" w:ascii="黑体" w:hAnsi="黑体" w:eastAsia="黑体" w:cs="黑体"/>
          <w:color w:val="000000"/>
          <w:spacing w:val="-6"/>
          <w:szCs w:val="32"/>
        </w:rPr>
        <w:t>乙方：</w:t>
      </w:r>
    </w:p>
    <w:p w14:paraId="79443894">
      <w:pPr>
        <w:spacing w:line="560" w:lineRule="exact"/>
        <w:jc w:val="left"/>
        <w:rPr>
          <w:rFonts w:ascii="黑体" w:hAnsi="黑体" w:eastAsia="黑体" w:cs="黑体"/>
          <w:color w:val="000000"/>
          <w:spacing w:val="-6"/>
          <w:szCs w:val="32"/>
        </w:rPr>
      </w:pPr>
      <w:r>
        <w:rPr>
          <w:rFonts w:hint="eastAsia" w:ascii="黑体" w:hAnsi="黑体" w:eastAsia="黑体" w:cs="黑体"/>
          <w:color w:val="000000"/>
          <w:spacing w:val="-6"/>
          <w:szCs w:val="32"/>
        </w:rPr>
        <w:t>根据甲乙双方签订的《【】合同》（下称“主合同”），【乙方为履行主合同项下约定义务，需要进入甲方办公场所及项目（含甲方关联公司开发的项目，下同）施工场地】，甲乙双方特就乙方服务人员（不论是否实际为乙方员工）进入甲方办公场所及项目施工场地的安全管理事宜，达成如下协议：</w:t>
      </w:r>
    </w:p>
    <w:p w14:paraId="5290426E">
      <w:pPr>
        <w:spacing w:line="560" w:lineRule="exact"/>
        <w:jc w:val="left"/>
        <w:rPr>
          <w:rFonts w:ascii="黑体" w:hAnsi="黑体" w:eastAsia="黑体" w:cs="黑体"/>
          <w:color w:val="000000"/>
          <w:spacing w:val="-6"/>
          <w:szCs w:val="32"/>
        </w:rPr>
      </w:pPr>
      <w:r>
        <w:rPr>
          <w:rFonts w:ascii="黑体" w:hAnsi="黑体" w:eastAsia="黑体" w:cs="黑体"/>
          <w:color w:val="000000"/>
          <w:spacing w:val="-6"/>
          <w:szCs w:val="32"/>
        </w:rPr>
        <w:t>1.乙方应当严格遵守且促使其服务人员严格遵守国家、深圳市、行业和甲</w:t>
      </w:r>
      <w:r>
        <w:rPr>
          <w:rFonts w:hint="eastAsia" w:ascii="黑体" w:hAnsi="黑体" w:eastAsia="黑体" w:cs="黑体"/>
          <w:color w:val="000000"/>
          <w:spacing w:val="-6"/>
          <w:szCs w:val="32"/>
        </w:rPr>
        <w:t>方及现场相关单位的安全管理法律、规章、制度，服从甲方及现场相关单位的管理。</w:t>
      </w:r>
    </w:p>
    <w:p w14:paraId="63D0A1BA">
      <w:pPr>
        <w:spacing w:line="560" w:lineRule="exact"/>
        <w:jc w:val="left"/>
        <w:rPr>
          <w:rFonts w:ascii="黑体" w:hAnsi="黑体" w:eastAsia="黑体" w:cs="黑体"/>
          <w:color w:val="000000"/>
          <w:spacing w:val="-6"/>
          <w:szCs w:val="32"/>
        </w:rPr>
      </w:pPr>
      <w:r>
        <w:rPr>
          <w:rFonts w:ascii="黑体" w:hAnsi="黑体" w:eastAsia="黑体" w:cs="黑体"/>
          <w:color w:val="000000"/>
          <w:spacing w:val="-6"/>
          <w:szCs w:val="32"/>
        </w:rPr>
        <w:t>2.乙方服务人员应秉持专业态度，在甲方办公场所及项目施工场地等区域</w:t>
      </w:r>
      <w:r>
        <w:rPr>
          <w:rFonts w:hint="eastAsia" w:ascii="黑体" w:hAnsi="黑体" w:eastAsia="黑体" w:cs="黑体"/>
          <w:color w:val="000000"/>
          <w:spacing w:val="-6"/>
          <w:szCs w:val="32"/>
        </w:rPr>
        <w:t>审慎行动，杜绝与提供主合同项下服务无关的行为。</w:t>
      </w:r>
    </w:p>
    <w:p w14:paraId="0A457499">
      <w:pPr>
        <w:spacing w:line="560" w:lineRule="exact"/>
        <w:jc w:val="left"/>
        <w:rPr>
          <w:rFonts w:ascii="黑体" w:hAnsi="黑体" w:eastAsia="黑体" w:cs="黑体"/>
          <w:color w:val="000000"/>
          <w:spacing w:val="-6"/>
          <w:szCs w:val="32"/>
        </w:rPr>
      </w:pPr>
      <w:r>
        <w:rPr>
          <w:rFonts w:ascii="黑体" w:hAnsi="黑体" w:eastAsia="黑体" w:cs="黑体"/>
          <w:color w:val="000000"/>
          <w:spacing w:val="-6"/>
          <w:szCs w:val="32"/>
        </w:rPr>
        <w:t>3.乙方服务人员在提供服务过程中应严格听从现场人员指挥，正确佩戴和</w:t>
      </w:r>
      <w:r>
        <w:rPr>
          <w:rFonts w:hint="eastAsia" w:ascii="黑体" w:hAnsi="黑体" w:eastAsia="黑体" w:cs="黑体"/>
          <w:color w:val="000000"/>
          <w:spacing w:val="-6"/>
          <w:szCs w:val="32"/>
        </w:rPr>
        <w:t>使用劳动防护用品，不违规、盲目作业，不抱侥幸心理。</w:t>
      </w:r>
    </w:p>
    <w:p w14:paraId="23B3C664">
      <w:pPr>
        <w:spacing w:line="560" w:lineRule="exact"/>
        <w:jc w:val="left"/>
        <w:rPr>
          <w:rFonts w:ascii="黑体" w:hAnsi="黑体" w:eastAsia="黑体" w:cs="黑体"/>
          <w:color w:val="000000"/>
          <w:spacing w:val="-6"/>
          <w:szCs w:val="32"/>
        </w:rPr>
      </w:pPr>
      <w:r>
        <w:rPr>
          <w:rFonts w:ascii="黑体" w:hAnsi="黑体" w:eastAsia="黑体" w:cs="黑体"/>
          <w:color w:val="000000"/>
          <w:spacing w:val="-6"/>
          <w:szCs w:val="32"/>
        </w:rPr>
        <w:t>4.乙方服务人员在接受甲方及相关单位的安全交底和技术交底前绝不擅自</w:t>
      </w:r>
      <w:r>
        <w:rPr>
          <w:rFonts w:hint="eastAsia" w:ascii="黑体" w:hAnsi="黑体" w:eastAsia="黑体" w:cs="黑体"/>
          <w:color w:val="000000"/>
          <w:spacing w:val="-6"/>
          <w:szCs w:val="32"/>
        </w:rPr>
        <w:t>作业，严格执行安全交底和技术交底要求的各种安全措施。</w:t>
      </w:r>
    </w:p>
    <w:p w14:paraId="305875C5">
      <w:pPr>
        <w:spacing w:line="560" w:lineRule="exact"/>
        <w:jc w:val="left"/>
        <w:rPr>
          <w:rFonts w:ascii="黑体" w:hAnsi="黑体" w:eastAsia="黑体" w:cs="黑体"/>
          <w:color w:val="000000"/>
          <w:spacing w:val="-6"/>
          <w:szCs w:val="32"/>
        </w:rPr>
      </w:pPr>
      <w:r>
        <w:rPr>
          <w:rFonts w:ascii="黑体" w:hAnsi="黑体" w:eastAsia="黑体" w:cs="黑体"/>
          <w:color w:val="000000"/>
          <w:spacing w:val="-6"/>
          <w:szCs w:val="32"/>
        </w:rPr>
        <w:t>5.乙方在发现其服务人员的不安全行为时，应第一时间制止。发现事故隐</w:t>
      </w:r>
      <w:r>
        <w:rPr>
          <w:rFonts w:hint="eastAsia" w:ascii="黑体" w:hAnsi="黑体" w:eastAsia="黑体" w:cs="黑体"/>
          <w:color w:val="000000"/>
          <w:spacing w:val="-6"/>
          <w:szCs w:val="32"/>
        </w:rPr>
        <w:t>患或者其他不安全因素的，应立即向现场安全生产管理人员或者甲方现场负责人报告。</w:t>
      </w:r>
    </w:p>
    <w:p w14:paraId="3798AE2D">
      <w:pPr>
        <w:spacing w:line="560" w:lineRule="exact"/>
        <w:jc w:val="left"/>
        <w:rPr>
          <w:rFonts w:ascii="黑体" w:hAnsi="黑体" w:eastAsia="黑体" w:cs="黑体"/>
          <w:color w:val="000000"/>
          <w:spacing w:val="-6"/>
          <w:szCs w:val="32"/>
        </w:rPr>
      </w:pPr>
      <w:r>
        <w:rPr>
          <w:rFonts w:ascii="黑体" w:hAnsi="黑体" w:eastAsia="黑体" w:cs="黑体"/>
          <w:color w:val="000000"/>
          <w:spacing w:val="-6"/>
          <w:szCs w:val="32"/>
        </w:rPr>
        <w:t>6.在提供主合同项下服务期间，乙方应积极参加各种安全培训和安全学习、</w:t>
      </w:r>
      <w:r>
        <w:rPr>
          <w:rFonts w:hint="eastAsia" w:ascii="黑体" w:hAnsi="黑体" w:eastAsia="黑体" w:cs="黑体"/>
          <w:color w:val="000000"/>
          <w:spacing w:val="-6"/>
          <w:szCs w:val="32"/>
        </w:rPr>
        <w:t>安全活动、事故应急演练，掌握作业所需的安全生产知识，提高安全生产技能，增强事故预防和应急处理能力。</w:t>
      </w:r>
    </w:p>
    <w:p w14:paraId="10D0E1DD">
      <w:pPr>
        <w:spacing w:line="560" w:lineRule="exact"/>
        <w:jc w:val="left"/>
        <w:rPr>
          <w:rFonts w:hint="eastAsia" w:ascii="黑体" w:hAnsi="黑体" w:eastAsia="黑体" w:cs="黑体"/>
          <w:color w:val="000000"/>
          <w:spacing w:val="-6"/>
          <w:szCs w:val="32"/>
        </w:rPr>
      </w:pPr>
      <w:r>
        <w:rPr>
          <w:rFonts w:ascii="黑体" w:hAnsi="黑体" w:eastAsia="黑体" w:cs="黑体"/>
          <w:color w:val="000000"/>
          <w:spacing w:val="-6"/>
          <w:szCs w:val="32"/>
        </w:rPr>
        <w:t>7.乙方服务人员遵守消防管理的各项法律、规章、制度、规定，积极学习</w:t>
      </w:r>
      <w:r>
        <w:rPr>
          <w:rFonts w:hint="eastAsia" w:ascii="黑体" w:hAnsi="黑体" w:eastAsia="黑体" w:cs="黑体"/>
          <w:color w:val="000000"/>
          <w:spacing w:val="-6"/>
          <w:szCs w:val="32"/>
        </w:rPr>
        <w:t>灭火与火场逃生知识，熟悉各种灭火器材的使用方法和逃生线路。</w:t>
      </w:r>
    </w:p>
    <w:p w14:paraId="1384E2E6">
      <w:pPr>
        <w:spacing w:line="560" w:lineRule="exact"/>
        <w:jc w:val="left"/>
        <w:rPr>
          <w:rFonts w:ascii="黑体" w:hAnsi="黑体" w:eastAsia="黑体" w:cs="黑体"/>
          <w:color w:val="000000"/>
          <w:spacing w:val="-6"/>
          <w:szCs w:val="32"/>
        </w:rPr>
      </w:pPr>
      <w:r>
        <w:rPr>
          <w:rFonts w:ascii="黑体" w:hAnsi="黑体" w:eastAsia="黑体" w:cs="黑体"/>
          <w:color w:val="000000"/>
          <w:spacing w:val="-6"/>
          <w:szCs w:val="32"/>
        </w:rPr>
        <w:t>8.乙方及其服务人员的安全责任后果均由乙方负责，乙方对乙方服务人员</w:t>
      </w:r>
      <w:r>
        <w:rPr>
          <w:rFonts w:hint="eastAsia" w:ascii="黑体" w:hAnsi="黑体" w:eastAsia="黑体" w:cs="黑体"/>
          <w:color w:val="000000"/>
          <w:spacing w:val="-6"/>
          <w:szCs w:val="32"/>
        </w:rPr>
        <w:t>的行为负责并承担相应责任与后果。</w:t>
      </w:r>
    </w:p>
    <w:p w14:paraId="747EF878">
      <w:pPr>
        <w:spacing w:line="560" w:lineRule="exact"/>
        <w:jc w:val="left"/>
        <w:rPr>
          <w:rFonts w:ascii="黑体" w:hAnsi="黑体" w:eastAsia="黑体" w:cs="黑体"/>
          <w:color w:val="000000"/>
          <w:spacing w:val="-6"/>
          <w:szCs w:val="32"/>
        </w:rPr>
      </w:pPr>
      <w:r>
        <w:rPr>
          <w:rFonts w:ascii="黑体" w:hAnsi="黑体" w:eastAsia="黑体" w:cs="黑体"/>
          <w:color w:val="000000"/>
          <w:spacing w:val="-6"/>
          <w:szCs w:val="32"/>
        </w:rPr>
        <w:t>9.乙方未充分履行本协议约定引起安全事故，或造成事故损失扩大的，责</w:t>
      </w:r>
      <w:r>
        <w:rPr>
          <w:rFonts w:hint="eastAsia" w:ascii="黑体" w:hAnsi="黑体" w:eastAsia="黑体" w:cs="黑体"/>
          <w:color w:val="000000"/>
          <w:spacing w:val="-6"/>
          <w:szCs w:val="32"/>
        </w:rPr>
        <w:t>任由乙方予以承担；给甲方或第三方造成损失（含诉讼费、律师费及其他合理费用）的，乙方应承担赔偿责任。</w:t>
      </w:r>
    </w:p>
    <w:p w14:paraId="07751000">
      <w:pPr>
        <w:spacing w:line="560" w:lineRule="exact"/>
        <w:jc w:val="left"/>
        <w:rPr>
          <w:rFonts w:ascii="黑体" w:hAnsi="黑体" w:eastAsia="黑体" w:cs="黑体"/>
          <w:color w:val="000000"/>
          <w:spacing w:val="-6"/>
          <w:szCs w:val="32"/>
        </w:rPr>
      </w:pPr>
      <w:r>
        <w:rPr>
          <w:rFonts w:ascii="黑体" w:hAnsi="黑体" w:eastAsia="黑体" w:cs="黑体"/>
          <w:color w:val="000000"/>
          <w:spacing w:val="-6"/>
          <w:szCs w:val="32"/>
        </w:rPr>
        <w:t>10.本协议签署后，对于因本协议的履行产生的争议，争议发生之日起30</w:t>
      </w:r>
      <w:r>
        <w:rPr>
          <w:rFonts w:hint="eastAsia" w:ascii="黑体" w:hAnsi="黑体" w:eastAsia="黑体" w:cs="黑体"/>
          <w:color w:val="000000"/>
          <w:spacing w:val="-6"/>
          <w:szCs w:val="32"/>
        </w:rPr>
        <w:t>日内协商不成或一方拒绝协商的，任何一方均有权向甲方所在地人民法院提起诉讼解决。</w:t>
      </w:r>
    </w:p>
    <w:p w14:paraId="291E25B3">
      <w:pPr>
        <w:spacing w:line="560" w:lineRule="exact"/>
        <w:jc w:val="left"/>
        <w:rPr>
          <w:rFonts w:hint="eastAsia" w:ascii="黑体" w:hAnsi="黑体" w:eastAsia="黑体" w:cs="黑体"/>
          <w:color w:val="000000"/>
          <w:spacing w:val="-6"/>
          <w:szCs w:val="32"/>
        </w:rPr>
      </w:pPr>
      <w:r>
        <w:rPr>
          <w:rFonts w:ascii="黑体" w:hAnsi="黑体" w:eastAsia="黑体" w:cs="黑体"/>
          <w:color w:val="000000"/>
          <w:spacing w:val="-6"/>
          <w:szCs w:val="32"/>
        </w:rPr>
        <w:t>11.本协议一式两份，协议双方各持一份，自主合同生效之日起生效。</w:t>
      </w:r>
    </w:p>
    <w:sectPr>
      <w:pgSz w:w="11906" w:h="16838"/>
      <w:pgMar w:top="2098" w:right="1474" w:bottom="1985" w:left="1588" w:header="851" w:footer="1304" w:gutter="0"/>
      <w:pgNumType w:start="1"/>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2B4B1B7-7D10-48BD-84B9-C01C349649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46B8082-FC7F-4965-B2EB-4724A7494D0A}"/>
  </w:font>
  <w:font w:name="仿宋_GB2312">
    <w:panose1 w:val="02010609030101010101"/>
    <w:charset w:val="86"/>
    <w:family w:val="modern"/>
    <w:pitch w:val="default"/>
    <w:sig w:usb0="00000001" w:usb1="080E0000" w:usb2="00000000" w:usb3="00000000" w:csb0="00040000" w:csb1="00000000"/>
  </w:font>
  <w:font w:name="Arial Bold">
    <w:altName w:val="Arial"/>
    <w:panose1 w:val="020B0704020202020204"/>
    <w:charset w:val="00"/>
    <w:family w:val="auto"/>
    <w:pitch w:val="default"/>
    <w:sig w:usb0="00000000" w:usb1="00000000" w:usb2="00000001" w:usb3="00000000" w:csb0="400001BF" w:csb1="DFF7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Wingdings 2">
    <w:altName w:val="Wingdings"/>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Black">
    <w:panose1 w:val="020B0A04020102020204"/>
    <w:charset w:val="00"/>
    <w:family w:val="swiss"/>
    <w:pitch w:val="default"/>
    <w:sig w:usb0="A00002AF" w:usb1="400078FB" w:usb2="00000000" w:usb3="00000000" w:csb0="6000009F" w:csb1="DFD70000"/>
  </w:font>
  <w:font w:name="華康簡楷">
    <w:altName w:val="楷体_GB2312"/>
    <w:panose1 w:val="00000000000000000000"/>
    <w:charset w:val="88"/>
    <w:family w:val="script"/>
    <w:pitch w:val="default"/>
    <w:sig w:usb0="00000000" w:usb1="00000000" w:usb2="00000016" w:usb3="00000000" w:csb0="0016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Arial Unicode MS">
    <w:altName w:val="宋体"/>
    <w:panose1 w:val="020B0604020202020204"/>
    <w:charset w:val="86"/>
    <w:family w:val="swiss"/>
    <w:pitch w:val="default"/>
    <w:sig w:usb0="00000000" w:usb1="00000000" w:usb2="0000003F" w:usb3="00000000" w:csb0="603F01FF" w:csb1="FFFF0000"/>
  </w:font>
  <w:font w:name="华文细黑">
    <w:altName w:val="微软雅黑"/>
    <w:panose1 w:val="02010600040101010101"/>
    <w:charset w:val="86"/>
    <w:family w:val="auto"/>
    <w:pitch w:val="default"/>
    <w:sig w:usb0="00000000" w:usb1="00000000" w:usb2="00000010" w:usb3="00000000" w:csb0="0004009F" w:csb1="00000000"/>
  </w:font>
  <w:font w:name="方正小标宋简体">
    <w:panose1 w:val="02000000000000000000"/>
    <w:charset w:val="86"/>
    <w:family w:val="script"/>
    <w:pitch w:val="default"/>
    <w:sig w:usb0="00000001" w:usb1="080E0000" w:usb2="00000000" w:usb3="00000000" w:csb0="00040000" w:csb1="00000000"/>
    <w:embedRegular r:id="rId3" w:fontKey="{03386E19-C7FE-422F-A831-6E24750DE218}"/>
  </w:font>
  <w:font w:name="等线">
    <w:panose1 w:val="02010600030101010101"/>
    <w:charset w:val="86"/>
    <w:family w:val="auto"/>
    <w:pitch w:val="default"/>
    <w:sig w:usb0="A00002BF" w:usb1="38CF7CFA" w:usb2="00000016" w:usb3="00000000" w:csb0="0004000F" w:csb1="00000000"/>
    <w:embedRegular r:id="rId4" w:fontKey="{489A4914-EC56-49A5-B507-5AFBF36CFD42}"/>
  </w:font>
  <w:font w:name="华文中宋">
    <w:panose1 w:val="02010600040101010101"/>
    <w:charset w:val="86"/>
    <w:family w:val="auto"/>
    <w:pitch w:val="default"/>
    <w:sig w:usb0="00000287" w:usb1="080F0000" w:usb2="00000000" w:usb3="00000000" w:csb0="0004009F" w:csb1="DFD70000"/>
    <w:embedRegular r:id="rId5" w:fontKey="{6501587D-E7A4-4605-A190-DDC43243A77E}"/>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511B5">
    <w:pPr>
      <w:pStyle w:val="59"/>
      <w:jc w:val="center"/>
    </w:pPr>
    <w:r>
      <w:fldChar w:fldCharType="begin"/>
    </w:r>
    <w:r>
      <w:instrText xml:space="preserve">PAGE   \* MERGEFORMAT</w:instrText>
    </w:r>
    <w:r>
      <w:fldChar w:fldCharType="separate"/>
    </w:r>
    <w:r>
      <w:rPr>
        <w:lang w:val="zh-CN"/>
      </w:rPr>
      <w:t>2</w:t>
    </w:r>
    <w:r>
      <w:fldChar w:fldCharType="end"/>
    </w:r>
  </w:p>
  <w:p w14:paraId="7F153A98">
    <w:pPr>
      <w:pStyle w:val="5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A9204">
    <w:pPr>
      <w:pStyle w:val="59"/>
      <w:jc w:val="center"/>
    </w:pPr>
    <w:r>
      <w:fldChar w:fldCharType="begin"/>
    </w:r>
    <w:r>
      <w:instrText xml:space="preserve">PAGE   \* MERGEFORMAT</w:instrText>
    </w:r>
    <w:r>
      <w:fldChar w:fldCharType="separate"/>
    </w:r>
    <w:r>
      <w:rPr>
        <w:lang w:val="zh-CN"/>
      </w:rPr>
      <w:t>2</w:t>
    </w:r>
    <w:r>
      <w:fldChar w:fldCharType="end"/>
    </w:r>
  </w:p>
  <w:p w14:paraId="10705595">
    <w:pPr>
      <w:pStyle w:val="5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72"/>
      <w:lvlText w:val="%1."/>
      <w:lvlJc w:val="left"/>
      <w:pPr>
        <w:tabs>
          <w:tab w:val="left" w:pos="926"/>
        </w:tabs>
        <w:ind w:left="926" w:hanging="360"/>
      </w:pPr>
    </w:lvl>
  </w:abstractNum>
  <w:abstractNum w:abstractNumId="1">
    <w:nsid w:val="FFFFFF80"/>
    <w:multiLevelType w:val="singleLevel"/>
    <w:tmpl w:val="FFFFFF80"/>
    <w:lvl w:ilvl="0" w:tentative="0">
      <w:start w:val="1"/>
      <w:numFmt w:val="bullet"/>
      <w:pStyle w:val="18"/>
      <w:lvlText w:val=""/>
      <w:lvlJc w:val="left"/>
      <w:pPr>
        <w:tabs>
          <w:tab w:val="left" w:pos="1492"/>
        </w:tabs>
        <w:ind w:left="1492" w:hanging="360"/>
      </w:pPr>
      <w:rPr>
        <w:rFonts w:hint="default" w:ascii="Symbol" w:hAnsi="Symbol"/>
      </w:rPr>
    </w:lvl>
  </w:abstractNum>
  <w:abstractNum w:abstractNumId="2">
    <w:nsid w:val="022F0466"/>
    <w:multiLevelType w:val="multilevel"/>
    <w:tmpl w:val="022F0466"/>
    <w:lvl w:ilvl="0" w:tentative="0">
      <w:start w:val="1"/>
      <w:numFmt w:val="japaneseCounting"/>
      <w:lvlText w:val="第%1条"/>
      <w:lvlJc w:val="left"/>
      <w:pPr>
        <w:tabs>
          <w:tab w:val="left" w:pos="1647"/>
        </w:tabs>
        <w:ind w:left="1647" w:hanging="1080"/>
      </w:pPr>
      <w:rPr>
        <w:rFonts w:hint="default" w:ascii="黑体" w:hAnsi="黑体" w:eastAsia="黑体" w:cs="Times New Roman"/>
        <w:b w:val="0"/>
        <w:sz w:val="32"/>
        <w:lang w:val="en-US"/>
      </w:rPr>
    </w:lvl>
    <w:lvl w:ilvl="1" w:tentative="0">
      <w:start w:val="1"/>
      <w:numFmt w:val="japaneseCounting"/>
      <w:lvlText w:val="（%2）"/>
      <w:lvlJc w:val="left"/>
      <w:pPr>
        <w:ind w:left="1790" w:hanging="1080"/>
      </w:pPr>
      <w:rPr>
        <w:rFonts w:hint="default"/>
        <w:b w:val="0"/>
        <w:lang w:val="en-US"/>
      </w:rPr>
    </w:lvl>
    <w:lvl w:ilvl="2" w:tentative="0">
      <w:start w:val="1"/>
      <w:numFmt w:val="decimal"/>
      <w:pStyle w:val="6"/>
      <w:lvlText w:val="%3."/>
      <w:lvlJc w:val="left"/>
      <w:pPr>
        <w:tabs>
          <w:tab w:val="left" w:pos="2248"/>
        </w:tabs>
        <w:ind w:left="2248" w:hanging="420"/>
      </w:pPr>
      <w:rPr>
        <w:rFonts w:hint="default"/>
      </w:rPr>
    </w:lvl>
    <w:lvl w:ilvl="3" w:tentative="0">
      <w:start w:val="1"/>
      <w:numFmt w:val="decimal"/>
      <w:pStyle w:val="7"/>
      <w:lvlText w:val="%4、"/>
      <w:lvlJc w:val="left"/>
      <w:pPr>
        <w:ind w:left="2968" w:hanging="720"/>
      </w:pPr>
      <w:rPr>
        <w:rFonts w:hint="default"/>
      </w:rPr>
    </w:lvl>
    <w:lvl w:ilvl="4" w:tentative="0">
      <w:start w:val="1"/>
      <w:numFmt w:val="lowerLetter"/>
      <w:pStyle w:val="8"/>
      <w:lvlText w:val="%5)"/>
      <w:lvlJc w:val="left"/>
      <w:pPr>
        <w:tabs>
          <w:tab w:val="left" w:pos="3088"/>
        </w:tabs>
        <w:ind w:left="3088" w:hanging="420"/>
      </w:pPr>
      <w:rPr>
        <w:rFonts w:cs="Times New Roman"/>
      </w:rPr>
    </w:lvl>
    <w:lvl w:ilvl="5" w:tentative="0">
      <w:start w:val="1"/>
      <w:numFmt w:val="lowerRoman"/>
      <w:pStyle w:val="9"/>
      <w:lvlText w:val="%6."/>
      <w:lvlJc w:val="right"/>
      <w:pPr>
        <w:tabs>
          <w:tab w:val="left" w:pos="3508"/>
        </w:tabs>
        <w:ind w:left="3508" w:hanging="420"/>
      </w:pPr>
      <w:rPr>
        <w:rFonts w:cs="Times New Roman"/>
      </w:rPr>
    </w:lvl>
    <w:lvl w:ilvl="6" w:tentative="0">
      <w:start w:val="1"/>
      <w:numFmt w:val="decimal"/>
      <w:pStyle w:val="10"/>
      <w:lvlText w:val="%7."/>
      <w:lvlJc w:val="left"/>
      <w:pPr>
        <w:tabs>
          <w:tab w:val="left" w:pos="3928"/>
        </w:tabs>
        <w:ind w:left="3928" w:hanging="420"/>
      </w:pPr>
      <w:rPr>
        <w:rFonts w:cs="Times New Roman"/>
      </w:rPr>
    </w:lvl>
    <w:lvl w:ilvl="7" w:tentative="0">
      <w:start w:val="1"/>
      <w:numFmt w:val="lowerLetter"/>
      <w:pStyle w:val="11"/>
      <w:lvlText w:val="%8)"/>
      <w:lvlJc w:val="left"/>
      <w:pPr>
        <w:tabs>
          <w:tab w:val="left" w:pos="4348"/>
        </w:tabs>
        <w:ind w:left="4348" w:hanging="420"/>
      </w:pPr>
      <w:rPr>
        <w:rFonts w:cs="Times New Roman"/>
      </w:rPr>
    </w:lvl>
    <w:lvl w:ilvl="8" w:tentative="0">
      <w:start w:val="1"/>
      <w:numFmt w:val="lowerRoman"/>
      <w:pStyle w:val="12"/>
      <w:lvlText w:val="%9."/>
      <w:lvlJc w:val="right"/>
      <w:pPr>
        <w:tabs>
          <w:tab w:val="left" w:pos="4768"/>
        </w:tabs>
        <w:ind w:left="4768" w:hanging="420"/>
      </w:pPr>
      <w:rPr>
        <w:rFonts w:cs="Times New Roman"/>
      </w:rPr>
    </w:lvl>
  </w:abstractNum>
  <w:abstractNum w:abstractNumId="3">
    <w:nsid w:val="0B3E73A3"/>
    <w:multiLevelType w:val="multilevel"/>
    <w:tmpl w:val="0B3E73A3"/>
    <w:lvl w:ilvl="0" w:tentative="0">
      <w:start w:val="1"/>
      <w:numFmt w:val="decimal"/>
      <w:pStyle w:val="263"/>
      <w:lvlText w:val="%1"/>
      <w:lvlJc w:val="left"/>
      <w:pPr>
        <w:tabs>
          <w:tab w:val="left" w:pos="567"/>
        </w:tabs>
        <w:ind w:left="567" w:hanging="567"/>
      </w:pPr>
      <w:rPr>
        <w:rFonts w:hint="default" w:ascii="Arial" w:hAnsi="Arial" w:cs="Arial"/>
      </w:rPr>
    </w:lvl>
    <w:lvl w:ilvl="1" w:tentative="0">
      <w:start w:val="1"/>
      <w:numFmt w:val="decimal"/>
      <w:pStyle w:val="230"/>
      <w:lvlText w:val="%1.%2"/>
      <w:lvlJc w:val="left"/>
      <w:pPr>
        <w:tabs>
          <w:tab w:val="left" w:pos="567"/>
        </w:tabs>
        <w:ind w:left="567" w:hanging="567"/>
      </w:pPr>
      <w:rPr>
        <w:rFonts w:hint="default" w:ascii="Arial" w:hAnsi="Arial"/>
        <w:sz w:val="24"/>
        <w:szCs w:val="24"/>
      </w:rPr>
    </w:lvl>
    <w:lvl w:ilvl="2" w:tentative="0">
      <w:start w:val="1"/>
      <w:numFmt w:val="lowerLetter"/>
      <w:lvlText w:val="(%3)"/>
      <w:lvlJc w:val="left"/>
      <w:pPr>
        <w:tabs>
          <w:tab w:val="left" w:pos="567"/>
        </w:tabs>
        <w:ind w:left="567" w:hanging="567"/>
      </w:pPr>
      <w:rPr>
        <w:rFonts w:hint="default" w:ascii="Arial" w:hAnsi="Arial"/>
        <w:sz w:val="24"/>
        <w:szCs w:val="24"/>
      </w:rPr>
    </w:lvl>
    <w:lvl w:ilvl="3" w:tentative="0">
      <w:start w:val="1"/>
      <w:numFmt w:val="lowerRoman"/>
      <w:lvlText w:val="(%4)"/>
      <w:lvlJc w:val="left"/>
      <w:pPr>
        <w:tabs>
          <w:tab w:val="left" w:pos="1134"/>
        </w:tabs>
        <w:ind w:left="1134" w:hanging="567"/>
      </w:pPr>
      <w:rPr>
        <w:rFonts w:hint="default" w:ascii="Arial" w:hAnsi="Arial"/>
        <w:b w:val="0"/>
        <w:i w:val="0"/>
        <w:sz w:val="16"/>
      </w:rPr>
    </w:lvl>
    <w:lvl w:ilvl="4" w:tentative="0">
      <w:start w:val="1"/>
      <w:numFmt w:val="upperLetter"/>
      <w:lvlText w:val="(%5)"/>
      <w:lvlJc w:val="left"/>
      <w:pPr>
        <w:tabs>
          <w:tab w:val="left" w:pos="1701"/>
        </w:tabs>
        <w:ind w:left="1701" w:hanging="567"/>
      </w:pPr>
      <w:rPr>
        <w:rFonts w:hint="default" w:ascii="Arial" w:hAnsi="Arial"/>
        <w:sz w:val="16"/>
      </w:rPr>
    </w:lvl>
    <w:lvl w:ilvl="5" w:tentative="0">
      <w:start w:val="1"/>
      <w:numFmt w:val="none"/>
      <w:lvlText w:val=""/>
      <w:lvlJc w:val="left"/>
      <w:pPr>
        <w:tabs>
          <w:tab w:val="left" w:pos="2268"/>
        </w:tabs>
        <w:ind w:left="2268" w:hanging="2268"/>
      </w:pPr>
      <w:rPr>
        <w:rFonts w:hint="eastAsia"/>
      </w:rPr>
    </w:lvl>
    <w:lvl w:ilvl="6" w:tentative="0">
      <w:start w:val="1"/>
      <w:numFmt w:val="none"/>
      <w:lvlText w:val=""/>
      <w:lvlJc w:val="left"/>
      <w:pPr>
        <w:tabs>
          <w:tab w:val="left" w:pos="2268"/>
        </w:tabs>
        <w:ind w:left="2268" w:hanging="2268"/>
      </w:pPr>
      <w:rPr>
        <w:rFonts w:hint="eastAsia"/>
      </w:rPr>
    </w:lvl>
    <w:lvl w:ilvl="7" w:tentative="0">
      <w:start w:val="1"/>
      <w:numFmt w:val="none"/>
      <w:lvlText w:val=""/>
      <w:lvlJc w:val="left"/>
      <w:pPr>
        <w:tabs>
          <w:tab w:val="left" w:pos="2268"/>
        </w:tabs>
        <w:ind w:left="2268" w:hanging="2268"/>
      </w:pPr>
      <w:rPr>
        <w:rFonts w:hint="eastAsia"/>
      </w:rPr>
    </w:lvl>
    <w:lvl w:ilvl="8" w:tentative="0">
      <w:start w:val="1"/>
      <w:numFmt w:val="none"/>
      <w:lvlText w:val=""/>
      <w:lvlJc w:val="left"/>
      <w:pPr>
        <w:tabs>
          <w:tab w:val="left" w:pos="2268"/>
        </w:tabs>
        <w:ind w:left="2268" w:hanging="2268"/>
      </w:pPr>
      <w:rPr>
        <w:rFonts w:hint="eastAsia"/>
      </w:rPr>
    </w:lvl>
  </w:abstractNum>
  <w:abstractNum w:abstractNumId="4">
    <w:nsid w:val="0E0B72AE"/>
    <w:multiLevelType w:val="multilevel"/>
    <w:tmpl w:val="0E0B72AE"/>
    <w:lvl w:ilvl="0" w:tentative="0">
      <w:start w:val="1"/>
      <w:numFmt w:val="japaneseCounting"/>
      <w:pStyle w:val="40"/>
      <w:lvlText w:val="（%1）"/>
      <w:lvlJc w:val="left"/>
      <w:pPr>
        <w:ind w:left="3774" w:hanging="1080"/>
      </w:pPr>
      <w:rPr>
        <w:rFonts w:hint="default" w:cs="Times New Roman"/>
      </w:rPr>
    </w:lvl>
    <w:lvl w:ilvl="1" w:tentative="0">
      <w:start w:val="1"/>
      <w:numFmt w:val="lowerLetter"/>
      <w:lvlText w:val="%2)"/>
      <w:lvlJc w:val="left"/>
      <w:pPr>
        <w:tabs>
          <w:tab w:val="left" w:pos="1091"/>
        </w:tabs>
        <w:ind w:left="1091" w:hanging="420"/>
      </w:pPr>
    </w:lvl>
    <w:lvl w:ilvl="2" w:tentative="0">
      <w:start w:val="1"/>
      <w:numFmt w:val="lowerRoman"/>
      <w:lvlText w:val="%3."/>
      <w:lvlJc w:val="right"/>
      <w:pPr>
        <w:tabs>
          <w:tab w:val="left" w:pos="1511"/>
        </w:tabs>
        <w:ind w:left="1511" w:hanging="420"/>
      </w:pPr>
    </w:lvl>
    <w:lvl w:ilvl="3" w:tentative="0">
      <w:start w:val="1"/>
      <w:numFmt w:val="decimal"/>
      <w:lvlText w:val="%4."/>
      <w:lvlJc w:val="left"/>
      <w:pPr>
        <w:tabs>
          <w:tab w:val="left" w:pos="1931"/>
        </w:tabs>
        <w:ind w:left="1931" w:hanging="420"/>
      </w:pPr>
    </w:lvl>
    <w:lvl w:ilvl="4" w:tentative="0">
      <w:start w:val="1"/>
      <w:numFmt w:val="lowerLetter"/>
      <w:lvlText w:val="%5)"/>
      <w:lvlJc w:val="left"/>
      <w:pPr>
        <w:tabs>
          <w:tab w:val="left" w:pos="2351"/>
        </w:tabs>
        <w:ind w:left="2351" w:hanging="420"/>
      </w:pPr>
    </w:lvl>
    <w:lvl w:ilvl="5" w:tentative="0">
      <w:start w:val="1"/>
      <w:numFmt w:val="lowerRoman"/>
      <w:lvlText w:val="%6."/>
      <w:lvlJc w:val="right"/>
      <w:pPr>
        <w:tabs>
          <w:tab w:val="left" w:pos="2771"/>
        </w:tabs>
        <w:ind w:left="2771" w:hanging="420"/>
      </w:pPr>
    </w:lvl>
    <w:lvl w:ilvl="6" w:tentative="0">
      <w:start w:val="1"/>
      <w:numFmt w:val="decimal"/>
      <w:lvlText w:val="%7."/>
      <w:lvlJc w:val="left"/>
      <w:pPr>
        <w:tabs>
          <w:tab w:val="left" w:pos="3191"/>
        </w:tabs>
        <w:ind w:left="3191" w:hanging="420"/>
      </w:pPr>
    </w:lvl>
    <w:lvl w:ilvl="7" w:tentative="0">
      <w:start w:val="1"/>
      <w:numFmt w:val="lowerLetter"/>
      <w:lvlText w:val="%8)"/>
      <w:lvlJc w:val="left"/>
      <w:pPr>
        <w:tabs>
          <w:tab w:val="left" w:pos="3611"/>
        </w:tabs>
        <w:ind w:left="3611" w:hanging="420"/>
      </w:pPr>
    </w:lvl>
    <w:lvl w:ilvl="8" w:tentative="0">
      <w:start w:val="1"/>
      <w:numFmt w:val="lowerRoman"/>
      <w:lvlText w:val="%9."/>
      <w:lvlJc w:val="right"/>
      <w:pPr>
        <w:tabs>
          <w:tab w:val="left" w:pos="4031"/>
        </w:tabs>
        <w:ind w:left="4031" w:hanging="420"/>
      </w:pPr>
    </w:lvl>
  </w:abstractNum>
  <w:abstractNum w:abstractNumId="5">
    <w:nsid w:val="0F7F2434"/>
    <w:multiLevelType w:val="multilevel"/>
    <w:tmpl w:val="0F7F2434"/>
    <w:lvl w:ilvl="0" w:tentative="0">
      <w:start w:val="1"/>
      <w:numFmt w:val="japaneseCounting"/>
      <w:pStyle w:val="50"/>
      <w:lvlText w:val="（%1）"/>
      <w:lvlJc w:val="left"/>
      <w:pPr>
        <w:ind w:left="3065" w:hanging="1080"/>
      </w:pPr>
      <w:rPr>
        <w:rFonts w:hint="default" w:cs="Times New Roman"/>
      </w:rPr>
    </w:lvl>
    <w:lvl w:ilvl="1" w:tentative="0">
      <w:start w:val="1"/>
      <w:numFmt w:val="lowerLetter"/>
      <w:lvlText w:val="%2)"/>
      <w:lvlJc w:val="left"/>
      <w:pPr>
        <w:ind w:left="1440" w:hanging="420"/>
      </w:pPr>
      <w:rPr>
        <w:rFonts w:cs="Times New Roman"/>
      </w:rPr>
    </w:lvl>
    <w:lvl w:ilvl="2" w:tentative="0">
      <w:start w:val="1"/>
      <w:numFmt w:val="lowerRoman"/>
      <w:lvlText w:val="%3."/>
      <w:lvlJc w:val="right"/>
      <w:pPr>
        <w:ind w:left="1860" w:hanging="420"/>
      </w:pPr>
      <w:rPr>
        <w:rFonts w:cs="Times New Roman"/>
      </w:rPr>
    </w:lvl>
    <w:lvl w:ilvl="3" w:tentative="0">
      <w:start w:val="1"/>
      <w:numFmt w:val="decimal"/>
      <w:lvlText w:val="%4."/>
      <w:lvlJc w:val="left"/>
      <w:pPr>
        <w:ind w:left="2280" w:hanging="420"/>
      </w:pPr>
      <w:rPr>
        <w:rFonts w:cs="Times New Roman"/>
      </w:rPr>
    </w:lvl>
    <w:lvl w:ilvl="4" w:tentative="0">
      <w:start w:val="1"/>
      <w:numFmt w:val="lowerLetter"/>
      <w:lvlText w:val="%5)"/>
      <w:lvlJc w:val="left"/>
      <w:pPr>
        <w:ind w:left="2700" w:hanging="420"/>
      </w:pPr>
      <w:rPr>
        <w:rFonts w:cs="Times New Roman"/>
      </w:rPr>
    </w:lvl>
    <w:lvl w:ilvl="5" w:tentative="0">
      <w:start w:val="1"/>
      <w:numFmt w:val="lowerRoman"/>
      <w:lvlText w:val="%6."/>
      <w:lvlJc w:val="right"/>
      <w:pPr>
        <w:ind w:left="3120" w:hanging="420"/>
      </w:pPr>
      <w:rPr>
        <w:rFonts w:cs="Times New Roman"/>
      </w:rPr>
    </w:lvl>
    <w:lvl w:ilvl="6" w:tentative="0">
      <w:start w:val="1"/>
      <w:numFmt w:val="decimal"/>
      <w:lvlText w:val="%7."/>
      <w:lvlJc w:val="left"/>
      <w:pPr>
        <w:ind w:left="3540" w:hanging="420"/>
      </w:pPr>
      <w:rPr>
        <w:rFonts w:cs="Times New Roman"/>
      </w:rPr>
    </w:lvl>
    <w:lvl w:ilvl="7" w:tentative="0">
      <w:start w:val="1"/>
      <w:numFmt w:val="lowerLetter"/>
      <w:lvlText w:val="%8)"/>
      <w:lvlJc w:val="left"/>
      <w:pPr>
        <w:ind w:left="3960" w:hanging="420"/>
      </w:pPr>
      <w:rPr>
        <w:rFonts w:cs="Times New Roman"/>
      </w:rPr>
    </w:lvl>
    <w:lvl w:ilvl="8" w:tentative="0">
      <w:start w:val="1"/>
      <w:numFmt w:val="lowerRoman"/>
      <w:lvlText w:val="%9."/>
      <w:lvlJc w:val="right"/>
      <w:pPr>
        <w:ind w:left="4380" w:hanging="420"/>
      </w:pPr>
      <w:rPr>
        <w:rFonts w:cs="Times New Roman"/>
      </w:rPr>
    </w:lvl>
  </w:abstractNum>
  <w:abstractNum w:abstractNumId="6">
    <w:nsid w:val="0FF67D1E"/>
    <w:multiLevelType w:val="multilevel"/>
    <w:tmpl w:val="0FF67D1E"/>
    <w:lvl w:ilvl="0" w:tentative="0">
      <w:start w:val="1"/>
      <w:numFmt w:val="japaneseCounting"/>
      <w:pStyle w:val="21"/>
      <w:lvlText w:val="（%1）"/>
      <w:lvlJc w:val="left"/>
      <w:pPr>
        <w:ind w:left="1680" w:hanging="1080"/>
      </w:pPr>
      <w:rPr>
        <w:rFonts w:hint="default" w:cs="Times New Roman"/>
      </w:rPr>
    </w:lvl>
    <w:lvl w:ilvl="1" w:tentative="0">
      <w:start w:val="1"/>
      <w:numFmt w:val="lowerLetter"/>
      <w:lvlText w:val="%2)"/>
      <w:lvlJc w:val="left"/>
      <w:pPr>
        <w:ind w:left="1440" w:hanging="420"/>
      </w:pPr>
      <w:rPr>
        <w:rFonts w:cs="Times New Roman"/>
      </w:rPr>
    </w:lvl>
    <w:lvl w:ilvl="2" w:tentative="0">
      <w:start w:val="1"/>
      <w:numFmt w:val="lowerRoman"/>
      <w:lvlText w:val="%3."/>
      <w:lvlJc w:val="right"/>
      <w:pPr>
        <w:ind w:left="1860" w:hanging="420"/>
      </w:pPr>
      <w:rPr>
        <w:rFonts w:cs="Times New Roman"/>
      </w:rPr>
    </w:lvl>
    <w:lvl w:ilvl="3" w:tentative="0">
      <w:start w:val="1"/>
      <w:numFmt w:val="decimal"/>
      <w:lvlText w:val="%4."/>
      <w:lvlJc w:val="left"/>
      <w:pPr>
        <w:ind w:left="2280" w:hanging="420"/>
      </w:pPr>
      <w:rPr>
        <w:rFonts w:cs="Times New Roman"/>
      </w:rPr>
    </w:lvl>
    <w:lvl w:ilvl="4" w:tentative="0">
      <w:start w:val="1"/>
      <w:numFmt w:val="lowerLetter"/>
      <w:lvlText w:val="%5)"/>
      <w:lvlJc w:val="left"/>
      <w:pPr>
        <w:ind w:left="2700" w:hanging="420"/>
      </w:pPr>
      <w:rPr>
        <w:rFonts w:cs="Times New Roman"/>
      </w:rPr>
    </w:lvl>
    <w:lvl w:ilvl="5" w:tentative="0">
      <w:start w:val="1"/>
      <w:numFmt w:val="lowerRoman"/>
      <w:lvlText w:val="%6."/>
      <w:lvlJc w:val="right"/>
      <w:pPr>
        <w:ind w:left="3120" w:hanging="420"/>
      </w:pPr>
      <w:rPr>
        <w:rFonts w:cs="Times New Roman"/>
      </w:rPr>
    </w:lvl>
    <w:lvl w:ilvl="6" w:tentative="0">
      <w:start w:val="1"/>
      <w:numFmt w:val="decimal"/>
      <w:lvlText w:val="%7."/>
      <w:lvlJc w:val="left"/>
      <w:pPr>
        <w:ind w:left="3540" w:hanging="420"/>
      </w:pPr>
      <w:rPr>
        <w:rFonts w:cs="Times New Roman"/>
      </w:rPr>
    </w:lvl>
    <w:lvl w:ilvl="7" w:tentative="0">
      <w:start w:val="1"/>
      <w:numFmt w:val="lowerLetter"/>
      <w:lvlText w:val="%8)"/>
      <w:lvlJc w:val="left"/>
      <w:pPr>
        <w:ind w:left="3960" w:hanging="420"/>
      </w:pPr>
      <w:rPr>
        <w:rFonts w:cs="Times New Roman"/>
      </w:rPr>
    </w:lvl>
    <w:lvl w:ilvl="8" w:tentative="0">
      <w:start w:val="1"/>
      <w:numFmt w:val="lowerRoman"/>
      <w:lvlText w:val="%9."/>
      <w:lvlJc w:val="right"/>
      <w:pPr>
        <w:ind w:left="4380" w:hanging="420"/>
      </w:pPr>
      <w:rPr>
        <w:rFonts w:cs="Times New Roman"/>
      </w:rPr>
    </w:lvl>
  </w:abstractNum>
  <w:abstractNum w:abstractNumId="7">
    <w:nsid w:val="24840B28"/>
    <w:multiLevelType w:val="multilevel"/>
    <w:tmpl w:val="24840B28"/>
    <w:lvl w:ilvl="0" w:tentative="0">
      <w:start w:val="1"/>
      <w:numFmt w:val="bullet"/>
      <w:pStyle w:val="67"/>
      <w:lvlText w:val=""/>
      <w:lvlJc w:val="left"/>
      <w:pPr>
        <w:tabs>
          <w:tab w:val="left" w:pos="567"/>
        </w:tabs>
        <w:ind w:left="567" w:hanging="567"/>
      </w:pPr>
      <w:rPr>
        <w:rFonts w:hint="default" w:ascii="Wingdings 2" w:hAnsi="Wingdings 2"/>
      </w:rPr>
    </w:lvl>
    <w:lvl w:ilvl="1" w:tentative="0">
      <w:start w:val="1"/>
      <w:numFmt w:val="bullet"/>
      <w:lvlText w:val=""/>
      <w:lvlJc w:val="left"/>
      <w:pPr>
        <w:tabs>
          <w:tab w:val="left" w:pos="1134"/>
        </w:tabs>
        <w:ind w:left="1134" w:hanging="567"/>
      </w:pPr>
      <w:rPr>
        <w:rFonts w:hint="default" w:ascii="Symbol" w:hAnsi="Symbol"/>
      </w:rPr>
    </w:lvl>
    <w:lvl w:ilvl="2" w:tentative="0">
      <w:start w:val="1"/>
      <w:numFmt w:val="none"/>
      <w:lvlText w:val=""/>
      <w:lvlJc w:val="left"/>
      <w:pPr>
        <w:tabs>
          <w:tab w:val="left" w:pos="1701"/>
        </w:tabs>
        <w:ind w:left="1701" w:hanging="567"/>
      </w:pPr>
      <w:rPr>
        <w:rFonts w:hint="default"/>
      </w:rPr>
    </w:lvl>
    <w:lvl w:ilvl="3" w:tentative="0">
      <w:start w:val="1"/>
      <w:numFmt w:val="none"/>
      <w:lvlText w:val=""/>
      <w:lvlJc w:val="left"/>
      <w:pPr>
        <w:tabs>
          <w:tab w:val="left" w:pos="2268"/>
        </w:tabs>
        <w:ind w:left="2268" w:hanging="567"/>
      </w:pPr>
      <w:rPr>
        <w:rFonts w:hint="default"/>
      </w:rPr>
    </w:lvl>
    <w:lvl w:ilvl="4" w:tentative="0">
      <w:start w:val="1"/>
      <w:numFmt w:val="none"/>
      <w:lvlText w:val=""/>
      <w:lvlJc w:val="left"/>
      <w:pPr>
        <w:tabs>
          <w:tab w:val="left" w:pos="2835"/>
        </w:tabs>
        <w:ind w:left="2835" w:hanging="567"/>
      </w:pPr>
      <w:rPr>
        <w:rFonts w:hint="default"/>
      </w:rPr>
    </w:lvl>
    <w:lvl w:ilvl="5" w:tentative="0">
      <w:start w:val="1"/>
      <w:numFmt w:val="none"/>
      <w:lvlText w:val=""/>
      <w:lvlJc w:val="left"/>
      <w:pPr>
        <w:tabs>
          <w:tab w:val="left" w:pos="3402"/>
        </w:tabs>
        <w:ind w:left="3402" w:hanging="567"/>
      </w:pPr>
      <w:rPr>
        <w:rFonts w:hint="default"/>
      </w:rPr>
    </w:lvl>
    <w:lvl w:ilvl="6" w:tentative="0">
      <w:start w:val="1"/>
      <w:numFmt w:val="none"/>
      <w:lvlText w:val=""/>
      <w:lvlJc w:val="left"/>
      <w:pPr>
        <w:tabs>
          <w:tab w:val="left" w:pos="3402"/>
        </w:tabs>
        <w:ind w:left="3402" w:hanging="567"/>
      </w:pPr>
      <w:rPr>
        <w:rFonts w:hint="default"/>
      </w:rPr>
    </w:lvl>
    <w:lvl w:ilvl="7" w:tentative="0">
      <w:start w:val="1"/>
      <w:numFmt w:val="none"/>
      <w:lvlText w:val=""/>
      <w:lvlJc w:val="left"/>
      <w:pPr>
        <w:tabs>
          <w:tab w:val="left" w:pos="3969"/>
        </w:tabs>
        <w:ind w:left="3969" w:hanging="567"/>
      </w:pPr>
      <w:rPr>
        <w:rFonts w:hint="default"/>
      </w:rPr>
    </w:lvl>
    <w:lvl w:ilvl="8" w:tentative="0">
      <w:start w:val="1"/>
      <w:numFmt w:val="none"/>
      <w:lvlText w:val=""/>
      <w:lvlJc w:val="left"/>
      <w:pPr>
        <w:tabs>
          <w:tab w:val="left" w:pos="5103"/>
        </w:tabs>
        <w:ind w:left="5103" w:hanging="567"/>
      </w:pPr>
      <w:rPr>
        <w:rFonts w:hint="default"/>
      </w:rPr>
    </w:lvl>
  </w:abstractNum>
  <w:abstractNum w:abstractNumId="8">
    <w:nsid w:val="2CBE224C"/>
    <w:multiLevelType w:val="multilevel"/>
    <w:tmpl w:val="2CBE224C"/>
    <w:lvl w:ilvl="0" w:tentative="0">
      <w:start w:val="1"/>
      <w:numFmt w:val="japaneseCounting"/>
      <w:pStyle w:val="36"/>
      <w:lvlText w:val="（%1）"/>
      <w:lvlJc w:val="left"/>
      <w:pPr>
        <w:ind w:left="1364" w:hanging="1080"/>
      </w:pPr>
      <w:rPr>
        <w:rFonts w:hint="default"/>
        <w:b w:val="0"/>
        <w:lang w:val="en-US"/>
      </w:rPr>
    </w:lvl>
    <w:lvl w:ilvl="1" w:tentative="0">
      <w:start w:val="1"/>
      <w:numFmt w:val="lowerLetter"/>
      <w:lvlText w:val="%2)"/>
      <w:lvlJc w:val="left"/>
      <w:pPr>
        <w:ind w:left="414" w:hanging="420"/>
      </w:pPr>
    </w:lvl>
    <w:lvl w:ilvl="2" w:tentative="0">
      <w:start w:val="1"/>
      <w:numFmt w:val="lowerRoman"/>
      <w:lvlText w:val="%3."/>
      <w:lvlJc w:val="right"/>
      <w:pPr>
        <w:ind w:left="834" w:hanging="420"/>
      </w:pPr>
    </w:lvl>
    <w:lvl w:ilvl="3" w:tentative="0">
      <w:start w:val="1"/>
      <w:numFmt w:val="decimal"/>
      <w:lvlText w:val="%4."/>
      <w:lvlJc w:val="left"/>
      <w:pPr>
        <w:ind w:left="1254" w:hanging="420"/>
      </w:pPr>
    </w:lvl>
    <w:lvl w:ilvl="4" w:tentative="0">
      <w:start w:val="1"/>
      <w:numFmt w:val="lowerLetter"/>
      <w:lvlText w:val="%5)"/>
      <w:lvlJc w:val="left"/>
      <w:pPr>
        <w:ind w:left="1674" w:hanging="420"/>
      </w:pPr>
    </w:lvl>
    <w:lvl w:ilvl="5" w:tentative="0">
      <w:start w:val="1"/>
      <w:numFmt w:val="lowerRoman"/>
      <w:lvlText w:val="%6."/>
      <w:lvlJc w:val="right"/>
      <w:pPr>
        <w:ind w:left="2094" w:hanging="420"/>
      </w:pPr>
    </w:lvl>
    <w:lvl w:ilvl="6" w:tentative="0">
      <w:start w:val="1"/>
      <w:numFmt w:val="decimal"/>
      <w:lvlText w:val="%7."/>
      <w:lvlJc w:val="left"/>
      <w:pPr>
        <w:ind w:left="2514" w:hanging="420"/>
      </w:pPr>
    </w:lvl>
    <w:lvl w:ilvl="7" w:tentative="0">
      <w:start w:val="1"/>
      <w:numFmt w:val="lowerLetter"/>
      <w:lvlText w:val="%8)"/>
      <w:lvlJc w:val="left"/>
      <w:pPr>
        <w:ind w:left="2934" w:hanging="420"/>
      </w:pPr>
    </w:lvl>
    <w:lvl w:ilvl="8" w:tentative="0">
      <w:start w:val="1"/>
      <w:numFmt w:val="lowerRoman"/>
      <w:lvlText w:val="%9."/>
      <w:lvlJc w:val="right"/>
      <w:pPr>
        <w:ind w:left="3354" w:hanging="420"/>
      </w:pPr>
    </w:lvl>
  </w:abstractNum>
  <w:abstractNum w:abstractNumId="9">
    <w:nsid w:val="2F9A7347"/>
    <w:multiLevelType w:val="multilevel"/>
    <w:tmpl w:val="2F9A7347"/>
    <w:lvl w:ilvl="0" w:tentative="0">
      <w:start w:val="1"/>
      <w:numFmt w:val="decimal"/>
      <w:pStyle w:val="34"/>
      <w:lvlText w:val="%1"/>
      <w:lvlJc w:val="left"/>
      <w:pPr>
        <w:tabs>
          <w:tab w:val="left" w:pos="567"/>
        </w:tabs>
        <w:ind w:left="567" w:hanging="567"/>
      </w:pPr>
      <w:rPr>
        <w:rFonts w:hint="default"/>
      </w:rPr>
    </w:lvl>
    <w:lvl w:ilvl="1" w:tentative="0">
      <w:start w:val="1"/>
      <w:numFmt w:val="lowerLetter"/>
      <w:lvlText w:val="(%2)"/>
      <w:lvlJc w:val="left"/>
      <w:pPr>
        <w:tabs>
          <w:tab w:val="left" w:pos="1134"/>
        </w:tabs>
        <w:ind w:left="1134" w:hanging="567"/>
      </w:pPr>
      <w:rPr>
        <w:rFonts w:hint="default"/>
      </w:rPr>
    </w:lvl>
    <w:lvl w:ilvl="2" w:tentative="0">
      <w:start w:val="1"/>
      <w:numFmt w:val="none"/>
      <w:lvlText w:val="%3"/>
      <w:lvlJc w:val="left"/>
      <w:pPr>
        <w:tabs>
          <w:tab w:val="left" w:pos="1701"/>
        </w:tabs>
        <w:ind w:left="1701" w:hanging="567"/>
      </w:pPr>
      <w:rPr>
        <w:rFonts w:hint="default"/>
      </w:rPr>
    </w:lvl>
    <w:lvl w:ilvl="3" w:tentative="0">
      <w:start w:val="1"/>
      <w:numFmt w:val="none"/>
      <w:lvlText w:val=""/>
      <w:lvlJc w:val="left"/>
      <w:pPr>
        <w:tabs>
          <w:tab w:val="left" w:pos="2268"/>
        </w:tabs>
        <w:ind w:left="2268" w:hanging="567"/>
      </w:pPr>
      <w:rPr>
        <w:rFonts w:hint="default"/>
      </w:rPr>
    </w:lvl>
    <w:lvl w:ilvl="4" w:tentative="0">
      <w:start w:val="1"/>
      <w:numFmt w:val="none"/>
      <w:lvlText w:val=""/>
      <w:lvlJc w:val="left"/>
      <w:pPr>
        <w:tabs>
          <w:tab w:val="left" w:pos="2835"/>
        </w:tabs>
        <w:ind w:left="2835" w:hanging="567"/>
      </w:pPr>
      <w:rPr>
        <w:rFonts w:hint="default"/>
      </w:rPr>
    </w:lvl>
    <w:lvl w:ilvl="5" w:tentative="0">
      <w:start w:val="1"/>
      <w:numFmt w:val="none"/>
      <w:lvlText w:val=""/>
      <w:lvlJc w:val="left"/>
      <w:pPr>
        <w:tabs>
          <w:tab w:val="left" w:pos="3402"/>
        </w:tabs>
        <w:ind w:left="3402" w:hanging="567"/>
      </w:pPr>
      <w:rPr>
        <w:rFonts w:hint="default"/>
      </w:rPr>
    </w:lvl>
    <w:lvl w:ilvl="6" w:tentative="0">
      <w:start w:val="1"/>
      <w:numFmt w:val="none"/>
      <w:lvlText w:val="%7"/>
      <w:lvlJc w:val="left"/>
      <w:pPr>
        <w:tabs>
          <w:tab w:val="left" w:pos="3969"/>
        </w:tabs>
        <w:ind w:left="3969" w:hanging="567"/>
      </w:pPr>
      <w:rPr>
        <w:rFonts w:hint="default"/>
      </w:rPr>
    </w:lvl>
    <w:lvl w:ilvl="7" w:tentative="0">
      <w:start w:val="1"/>
      <w:numFmt w:val="none"/>
      <w:lvlText w:val="%8"/>
      <w:lvlJc w:val="left"/>
      <w:pPr>
        <w:tabs>
          <w:tab w:val="left" w:pos="4896"/>
        </w:tabs>
        <w:ind w:left="4896" w:hanging="567"/>
      </w:pPr>
      <w:rPr>
        <w:rFonts w:hint="default"/>
      </w:rPr>
    </w:lvl>
    <w:lvl w:ilvl="8" w:tentative="0">
      <w:start w:val="1"/>
      <w:numFmt w:val="none"/>
      <w:lvlText w:val="%9"/>
      <w:lvlJc w:val="left"/>
      <w:pPr>
        <w:tabs>
          <w:tab w:val="left" w:pos="4536"/>
        </w:tabs>
        <w:ind w:left="4536" w:hanging="567"/>
      </w:pPr>
      <w:rPr>
        <w:rFonts w:hint="default"/>
      </w:rPr>
    </w:lvl>
  </w:abstractNum>
  <w:abstractNum w:abstractNumId="10">
    <w:nsid w:val="43CD5447"/>
    <w:multiLevelType w:val="multilevel"/>
    <w:tmpl w:val="43CD5447"/>
    <w:lvl w:ilvl="0" w:tentative="0">
      <w:start w:val="1"/>
      <w:numFmt w:val="decimal"/>
      <w:pStyle w:val="2"/>
      <w:lvlText w:val="%1"/>
      <w:lvlJc w:val="left"/>
      <w:pPr>
        <w:tabs>
          <w:tab w:val="left" w:pos="567"/>
        </w:tabs>
        <w:ind w:left="567" w:hanging="567"/>
      </w:pPr>
      <w:rPr>
        <w:rFonts w:hint="default"/>
      </w:rPr>
    </w:lvl>
    <w:lvl w:ilvl="1" w:tentative="0">
      <w:start w:val="1"/>
      <w:numFmt w:val="decimal"/>
      <w:pStyle w:val="4"/>
      <w:lvlText w:val="%1.%2"/>
      <w:lvlJc w:val="left"/>
      <w:pPr>
        <w:tabs>
          <w:tab w:val="left" w:pos="567"/>
        </w:tabs>
        <w:ind w:left="567" w:hanging="567"/>
      </w:pPr>
      <w:rPr>
        <w:rFonts w:hint="default"/>
      </w:rPr>
    </w:lvl>
    <w:lvl w:ilvl="2" w:tentative="0">
      <w:start w:val="1"/>
      <w:numFmt w:val="lowerLetter"/>
      <w:lvlText w:val="(%3)"/>
      <w:lvlJc w:val="left"/>
      <w:pPr>
        <w:tabs>
          <w:tab w:val="left" w:pos="567"/>
        </w:tabs>
        <w:ind w:left="567" w:hanging="567"/>
      </w:pPr>
      <w:rPr>
        <w:rFonts w:hint="default"/>
      </w:rPr>
    </w:lvl>
    <w:lvl w:ilvl="3" w:tentative="0">
      <w:start w:val="1"/>
      <w:numFmt w:val="lowerRoman"/>
      <w:lvlText w:val="(%4)"/>
      <w:lvlJc w:val="left"/>
      <w:pPr>
        <w:tabs>
          <w:tab w:val="left" w:pos="567"/>
        </w:tabs>
        <w:ind w:left="1134" w:hanging="567"/>
      </w:pPr>
      <w:rPr>
        <w:rFonts w:hint="default"/>
      </w:rPr>
    </w:lvl>
    <w:lvl w:ilvl="4" w:tentative="0">
      <w:start w:val="1"/>
      <w:numFmt w:val="upperLetter"/>
      <w:lvlText w:val="(%5)"/>
      <w:lvlJc w:val="left"/>
      <w:pPr>
        <w:tabs>
          <w:tab w:val="left" w:pos="567"/>
        </w:tabs>
        <w:ind w:left="1701" w:hanging="567"/>
      </w:pPr>
      <w:rPr>
        <w:rFonts w:hint="default" w:ascii="Arial" w:hAnsi="Arial"/>
        <w:sz w:val="16"/>
        <w:szCs w:val="16"/>
      </w:rPr>
    </w:lvl>
    <w:lvl w:ilvl="5" w:tentative="0">
      <w:start w:val="1"/>
      <w:numFmt w:val="none"/>
      <w:lvlRestart w:val="3"/>
      <w:lvlText w:val=""/>
      <w:lvlJc w:val="left"/>
      <w:pPr>
        <w:tabs>
          <w:tab w:val="left" w:pos="0"/>
        </w:tabs>
        <w:ind w:left="0" w:firstLine="0"/>
      </w:pPr>
      <w:rPr>
        <w:rFonts w:hint="default"/>
      </w:rPr>
    </w:lvl>
    <w:lvl w:ilvl="6" w:tentative="0">
      <w:start w:val="1"/>
      <w:numFmt w:val="none"/>
      <w:lvlText w:val="%7"/>
      <w:lvlJc w:val="left"/>
      <w:pPr>
        <w:tabs>
          <w:tab w:val="left" w:pos="0"/>
        </w:tabs>
        <w:ind w:left="0" w:firstLine="0"/>
      </w:pPr>
      <w:rPr>
        <w:rFonts w:hint="default"/>
      </w:rPr>
    </w:lvl>
    <w:lvl w:ilvl="7" w:tentative="0">
      <w:start w:val="1"/>
      <w:numFmt w:val="none"/>
      <w:lvlText w:val=""/>
      <w:lvlJc w:val="left"/>
      <w:pPr>
        <w:tabs>
          <w:tab w:val="left" w:pos="0"/>
        </w:tabs>
        <w:ind w:left="0" w:firstLine="0"/>
      </w:pPr>
      <w:rPr>
        <w:rFonts w:hint="default"/>
      </w:rPr>
    </w:lvl>
    <w:lvl w:ilvl="8" w:tentative="0">
      <w:start w:val="1"/>
      <w:numFmt w:val="none"/>
      <w:lvlText w:val=""/>
      <w:lvlJc w:val="left"/>
      <w:pPr>
        <w:tabs>
          <w:tab w:val="left" w:pos="0"/>
        </w:tabs>
        <w:ind w:left="0" w:firstLine="0"/>
      </w:pPr>
      <w:rPr>
        <w:rFonts w:hint="default"/>
      </w:rPr>
    </w:lvl>
  </w:abstractNum>
  <w:abstractNum w:abstractNumId="11">
    <w:nsid w:val="482E533D"/>
    <w:multiLevelType w:val="multilevel"/>
    <w:tmpl w:val="482E533D"/>
    <w:lvl w:ilvl="0" w:tentative="0">
      <w:start w:val="1"/>
      <w:numFmt w:val="bullet"/>
      <w:pStyle w:val="256"/>
      <w:lvlText w:val=""/>
      <w:lvlJc w:val="left"/>
      <w:pPr>
        <w:tabs>
          <w:tab w:val="left" w:pos="1134"/>
        </w:tabs>
        <w:ind w:left="1134" w:hanging="567"/>
      </w:pPr>
      <w:rPr>
        <w:rFonts w:hint="default" w:ascii="Wingdings 2" w:hAnsi="Wingdings 2"/>
      </w:rPr>
    </w:lvl>
    <w:lvl w:ilvl="1" w:tentative="0">
      <w:start w:val="1"/>
      <w:numFmt w:val="bullet"/>
      <w:lvlText w:val=""/>
      <w:lvlJc w:val="left"/>
      <w:pPr>
        <w:tabs>
          <w:tab w:val="left" w:pos="1701"/>
        </w:tabs>
        <w:ind w:left="1701" w:hanging="567"/>
      </w:pPr>
      <w:rPr>
        <w:rFonts w:hint="default" w:ascii="Symbol" w:hAnsi="Symbol"/>
      </w:rPr>
    </w:lvl>
    <w:lvl w:ilvl="2" w:tentative="0">
      <w:start w:val="1"/>
      <w:numFmt w:val="none"/>
      <w:lvlText w:val=""/>
      <w:lvlJc w:val="left"/>
      <w:pPr>
        <w:tabs>
          <w:tab w:val="left" w:pos="2268"/>
        </w:tabs>
        <w:ind w:left="2268" w:hanging="567"/>
      </w:pPr>
      <w:rPr>
        <w:rFonts w:hint="eastAsia"/>
      </w:rPr>
    </w:lvl>
    <w:lvl w:ilvl="3" w:tentative="0">
      <w:start w:val="1"/>
      <w:numFmt w:val="none"/>
      <w:lvlText w:val=""/>
      <w:lvlJc w:val="left"/>
      <w:pPr>
        <w:tabs>
          <w:tab w:val="left" w:pos="2268"/>
        </w:tabs>
        <w:ind w:left="2268" w:hanging="567"/>
      </w:pPr>
      <w:rPr>
        <w:rFonts w:hint="eastAsia"/>
      </w:rPr>
    </w:lvl>
    <w:lvl w:ilvl="4" w:tentative="0">
      <w:start w:val="1"/>
      <w:numFmt w:val="none"/>
      <w:lvlText w:val=""/>
      <w:lvlJc w:val="left"/>
      <w:pPr>
        <w:tabs>
          <w:tab w:val="left" w:pos="2268"/>
        </w:tabs>
        <w:ind w:left="2268" w:hanging="567"/>
      </w:pPr>
      <w:rPr>
        <w:rFonts w:hint="eastAsia"/>
      </w:rPr>
    </w:lvl>
    <w:lvl w:ilvl="5" w:tentative="0">
      <w:start w:val="1"/>
      <w:numFmt w:val="none"/>
      <w:lvlText w:val=""/>
      <w:lvlJc w:val="left"/>
      <w:pPr>
        <w:tabs>
          <w:tab w:val="left" w:pos="2268"/>
        </w:tabs>
        <w:ind w:left="2268" w:hanging="567"/>
      </w:pPr>
      <w:rPr>
        <w:rFonts w:hint="eastAsia"/>
      </w:rPr>
    </w:lvl>
    <w:lvl w:ilvl="6" w:tentative="0">
      <w:start w:val="1"/>
      <w:numFmt w:val="none"/>
      <w:lvlText w:val=""/>
      <w:lvlJc w:val="left"/>
      <w:pPr>
        <w:tabs>
          <w:tab w:val="left" w:pos="2268"/>
        </w:tabs>
        <w:ind w:left="2268" w:hanging="567"/>
      </w:pPr>
      <w:rPr>
        <w:rFonts w:hint="eastAsia"/>
      </w:rPr>
    </w:lvl>
    <w:lvl w:ilvl="7" w:tentative="0">
      <w:start w:val="1"/>
      <w:numFmt w:val="none"/>
      <w:lvlText w:val=""/>
      <w:lvlJc w:val="left"/>
      <w:pPr>
        <w:tabs>
          <w:tab w:val="left" w:pos="2268"/>
        </w:tabs>
        <w:ind w:left="2268" w:hanging="567"/>
      </w:pPr>
      <w:rPr>
        <w:rFonts w:hint="eastAsia"/>
      </w:rPr>
    </w:lvl>
    <w:lvl w:ilvl="8" w:tentative="0">
      <w:start w:val="1"/>
      <w:numFmt w:val="none"/>
      <w:lvlText w:val=""/>
      <w:lvlJc w:val="left"/>
      <w:pPr>
        <w:tabs>
          <w:tab w:val="left" w:pos="2268"/>
        </w:tabs>
        <w:ind w:left="2268" w:hanging="567"/>
      </w:pPr>
      <w:rPr>
        <w:rFonts w:hint="eastAsia"/>
      </w:rPr>
    </w:lvl>
  </w:abstractNum>
  <w:abstractNum w:abstractNumId="12">
    <w:nsid w:val="73415A40"/>
    <w:multiLevelType w:val="multilevel"/>
    <w:tmpl w:val="73415A40"/>
    <w:lvl w:ilvl="0" w:tentative="0">
      <w:start w:val="1"/>
      <w:numFmt w:val="japaneseCounting"/>
      <w:pStyle w:val="25"/>
      <w:lvlText w:val="（%1）"/>
      <w:lvlJc w:val="left"/>
      <w:pPr>
        <w:ind w:left="1680" w:hanging="1080"/>
      </w:pPr>
      <w:rPr>
        <w:rFonts w:hint="default" w:cs="Times New Roman"/>
      </w:rPr>
    </w:lvl>
    <w:lvl w:ilvl="1" w:tentative="0">
      <w:start w:val="1"/>
      <w:numFmt w:val="lowerLetter"/>
      <w:lvlText w:val="%2)"/>
      <w:lvlJc w:val="left"/>
      <w:pPr>
        <w:ind w:left="1440" w:hanging="420"/>
      </w:pPr>
      <w:rPr>
        <w:rFonts w:cs="Times New Roman"/>
      </w:rPr>
    </w:lvl>
    <w:lvl w:ilvl="2" w:tentative="0">
      <w:start w:val="1"/>
      <w:numFmt w:val="lowerRoman"/>
      <w:lvlText w:val="%3."/>
      <w:lvlJc w:val="right"/>
      <w:pPr>
        <w:ind w:left="1860" w:hanging="420"/>
      </w:pPr>
      <w:rPr>
        <w:rFonts w:cs="Times New Roman"/>
      </w:rPr>
    </w:lvl>
    <w:lvl w:ilvl="3" w:tentative="0">
      <w:start w:val="1"/>
      <w:numFmt w:val="decimal"/>
      <w:lvlText w:val="%4."/>
      <w:lvlJc w:val="left"/>
      <w:pPr>
        <w:ind w:left="2280" w:hanging="420"/>
      </w:pPr>
      <w:rPr>
        <w:rFonts w:cs="Times New Roman"/>
      </w:rPr>
    </w:lvl>
    <w:lvl w:ilvl="4" w:tentative="0">
      <w:start w:val="1"/>
      <w:numFmt w:val="lowerLetter"/>
      <w:lvlText w:val="%5)"/>
      <w:lvlJc w:val="left"/>
      <w:pPr>
        <w:ind w:left="2700" w:hanging="420"/>
      </w:pPr>
      <w:rPr>
        <w:rFonts w:cs="Times New Roman"/>
      </w:rPr>
    </w:lvl>
    <w:lvl w:ilvl="5" w:tentative="0">
      <w:start w:val="1"/>
      <w:numFmt w:val="lowerRoman"/>
      <w:lvlText w:val="%6."/>
      <w:lvlJc w:val="right"/>
      <w:pPr>
        <w:ind w:left="3120" w:hanging="420"/>
      </w:pPr>
      <w:rPr>
        <w:rFonts w:cs="Times New Roman"/>
      </w:rPr>
    </w:lvl>
    <w:lvl w:ilvl="6" w:tentative="0">
      <w:start w:val="1"/>
      <w:numFmt w:val="decimal"/>
      <w:lvlText w:val="%7."/>
      <w:lvlJc w:val="left"/>
      <w:pPr>
        <w:ind w:left="3540" w:hanging="420"/>
      </w:pPr>
      <w:rPr>
        <w:rFonts w:cs="Times New Roman"/>
      </w:rPr>
    </w:lvl>
    <w:lvl w:ilvl="7" w:tentative="0">
      <w:start w:val="1"/>
      <w:numFmt w:val="lowerLetter"/>
      <w:lvlText w:val="%8)"/>
      <w:lvlJc w:val="left"/>
      <w:pPr>
        <w:ind w:left="3960" w:hanging="420"/>
      </w:pPr>
      <w:rPr>
        <w:rFonts w:cs="Times New Roman"/>
      </w:rPr>
    </w:lvl>
    <w:lvl w:ilvl="8" w:tentative="0">
      <w:start w:val="1"/>
      <w:numFmt w:val="lowerRoman"/>
      <w:lvlText w:val="%9."/>
      <w:lvlJc w:val="right"/>
      <w:pPr>
        <w:ind w:left="4380" w:hanging="420"/>
      </w:pPr>
      <w:rPr>
        <w:rFonts w:cs="Times New Roman"/>
      </w:rPr>
    </w:lvl>
  </w:abstractNum>
  <w:num w:numId="1">
    <w:abstractNumId w:val="10"/>
  </w:num>
  <w:num w:numId="2">
    <w:abstractNumId w:val="2"/>
  </w:num>
  <w:num w:numId="3">
    <w:abstractNumId w:val="1"/>
  </w:num>
  <w:num w:numId="4">
    <w:abstractNumId w:val="6"/>
  </w:num>
  <w:num w:numId="5">
    <w:abstractNumId w:val="12"/>
  </w:num>
  <w:num w:numId="6">
    <w:abstractNumId w:val="9"/>
  </w:num>
  <w:num w:numId="7">
    <w:abstractNumId w:val="8"/>
  </w:num>
  <w:num w:numId="8">
    <w:abstractNumId w:val="4"/>
  </w:num>
  <w:num w:numId="9">
    <w:abstractNumId w:val="5"/>
  </w:num>
  <w:num w:numId="10">
    <w:abstractNumId w:val="7"/>
  </w:num>
  <w:num w:numId="11">
    <w:abstractNumId w:val="3"/>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50F"/>
    <w:rsid w:val="00003A14"/>
    <w:rsid w:val="00011369"/>
    <w:rsid w:val="00012C6D"/>
    <w:rsid w:val="00020FE6"/>
    <w:rsid w:val="000236A3"/>
    <w:rsid w:val="00025E8B"/>
    <w:rsid w:val="000279A7"/>
    <w:rsid w:val="00027AAD"/>
    <w:rsid w:val="00030671"/>
    <w:rsid w:val="00035CF6"/>
    <w:rsid w:val="00040DC8"/>
    <w:rsid w:val="00043DDB"/>
    <w:rsid w:val="00045FBD"/>
    <w:rsid w:val="00052025"/>
    <w:rsid w:val="00053015"/>
    <w:rsid w:val="0005526B"/>
    <w:rsid w:val="00055524"/>
    <w:rsid w:val="000576EC"/>
    <w:rsid w:val="00057D70"/>
    <w:rsid w:val="00060955"/>
    <w:rsid w:val="00061AD2"/>
    <w:rsid w:val="00065A6C"/>
    <w:rsid w:val="00065A98"/>
    <w:rsid w:val="00066694"/>
    <w:rsid w:val="000677FD"/>
    <w:rsid w:val="00067F9F"/>
    <w:rsid w:val="00072B09"/>
    <w:rsid w:val="00074632"/>
    <w:rsid w:val="00080BF1"/>
    <w:rsid w:val="00080F64"/>
    <w:rsid w:val="0008133A"/>
    <w:rsid w:val="00082B26"/>
    <w:rsid w:val="00083B84"/>
    <w:rsid w:val="00084D84"/>
    <w:rsid w:val="00086200"/>
    <w:rsid w:val="00090CBF"/>
    <w:rsid w:val="0009314E"/>
    <w:rsid w:val="00096025"/>
    <w:rsid w:val="000A1AE5"/>
    <w:rsid w:val="000A2658"/>
    <w:rsid w:val="000A4A67"/>
    <w:rsid w:val="000B1353"/>
    <w:rsid w:val="000B22BD"/>
    <w:rsid w:val="000C1151"/>
    <w:rsid w:val="000C29C1"/>
    <w:rsid w:val="000C30D7"/>
    <w:rsid w:val="000C3C1F"/>
    <w:rsid w:val="000C4043"/>
    <w:rsid w:val="000C41B6"/>
    <w:rsid w:val="000C7B12"/>
    <w:rsid w:val="000D0EFE"/>
    <w:rsid w:val="000D1119"/>
    <w:rsid w:val="000D4157"/>
    <w:rsid w:val="000D62E8"/>
    <w:rsid w:val="000E38D3"/>
    <w:rsid w:val="000E7683"/>
    <w:rsid w:val="000E7FA1"/>
    <w:rsid w:val="000F3B42"/>
    <w:rsid w:val="000F5B97"/>
    <w:rsid w:val="000F6FF3"/>
    <w:rsid w:val="00100188"/>
    <w:rsid w:val="00102DD4"/>
    <w:rsid w:val="00106C3C"/>
    <w:rsid w:val="001079CE"/>
    <w:rsid w:val="00111030"/>
    <w:rsid w:val="00114015"/>
    <w:rsid w:val="001140FC"/>
    <w:rsid w:val="001159DC"/>
    <w:rsid w:val="001215E2"/>
    <w:rsid w:val="001265FA"/>
    <w:rsid w:val="00133917"/>
    <w:rsid w:val="001442F1"/>
    <w:rsid w:val="00150230"/>
    <w:rsid w:val="001510F5"/>
    <w:rsid w:val="00153098"/>
    <w:rsid w:val="00153B8A"/>
    <w:rsid w:val="00156D41"/>
    <w:rsid w:val="0016177C"/>
    <w:rsid w:val="0016203D"/>
    <w:rsid w:val="0016336B"/>
    <w:rsid w:val="001669D3"/>
    <w:rsid w:val="00166F38"/>
    <w:rsid w:val="00177832"/>
    <w:rsid w:val="00180B32"/>
    <w:rsid w:val="00182BC8"/>
    <w:rsid w:val="0018525F"/>
    <w:rsid w:val="00187F07"/>
    <w:rsid w:val="00193316"/>
    <w:rsid w:val="001946CA"/>
    <w:rsid w:val="00194A89"/>
    <w:rsid w:val="0019573B"/>
    <w:rsid w:val="00197696"/>
    <w:rsid w:val="00197EDE"/>
    <w:rsid w:val="001A0753"/>
    <w:rsid w:val="001A2B5A"/>
    <w:rsid w:val="001A3B8E"/>
    <w:rsid w:val="001A4D71"/>
    <w:rsid w:val="001A6134"/>
    <w:rsid w:val="001A6738"/>
    <w:rsid w:val="001A70B8"/>
    <w:rsid w:val="001B053C"/>
    <w:rsid w:val="001B4839"/>
    <w:rsid w:val="001B5504"/>
    <w:rsid w:val="001B5E12"/>
    <w:rsid w:val="001B600D"/>
    <w:rsid w:val="001B7F7C"/>
    <w:rsid w:val="001C0B5D"/>
    <w:rsid w:val="001C22A1"/>
    <w:rsid w:val="001D11CD"/>
    <w:rsid w:val="001D1A3F"/>
    <w:rsid w:val="001D2500"/>
    <w:rsid w:val="001D4C32"/>
    <w:rsid w:val="001D5007"/>
    <w:rsid w:val="001E085D"/>
    <w:rsid w:val="001E27EA"/>
    <w:rsid w:val="001E34EA"/>
    <w:rsid w:val="001E369F"/>
    <w:rsid w:val="001E55A7"/>
    <w:rsid w:val="001E6208"/>
    <w:rsid w:val="001F0C29"/>
    <w:rsid w:val="001F34FE"/>
    <w:rsid w:val="001F5A68"/>
    <w:rsid w:val="00200F6B"/>
    <w:rsid w:val="00202064"/>
    <w:rsid w:val="00206E4F"/>
    <w:rsid w:val="0021297D"/>
    <w:rsid w:val="00213EFB"/>
    <w:rsid w:val="00214E17"/>
    <w:rsid w:val="0021561E"/>
    <w:rsid w:val="00217B87"/>
    <w:rsid w:val="00223008"/>
    <w:rsid w:val="00223020"/>
    <w:rsid w:val="00224959"/>
    <w:rsid w:val="0023407F"/>
    <w:rsid w:val="00235EE6"/>
    <w:rsid w:val="002425A4"/>
    <w:rsid w:val="002453E0"/>
    <w:rsid w:val="0025181C"/>
    <w:rsid w:val="002519E4"/>
    <w:rsid w:val="00252356"/>
    <w:rsid w:val="00252DC5"/>
    <w:rsid w:val="00255FAA"/>
    <w:rsid w:val="002638FB"/>
    <w:rsid w:val="00265D98"/>
    <w:rsid w:val="00277927"/>
    <w:rsid w:val="00282290"/>
    <w:rsid w:val="00282578"/>
    <w:rsid w:val="00283619"/>
    <w:rsid w:val="002907CB"/>
    <w:rsid w:val="00292E8A"/>
    <w:rsid w:val="00295AE7"/>
    <w:rsid w:val="002978D8"/>
    <w:rsid w:val="002A0A7A"/>
    <w:rsid w:val="002A1D12"/>
    <w:rsid w:val="002A29B3"/>
    <w:rsid w:val="002A3869"/>
    <w:rsid w:val="002A4F66"/>
    <w:rsid w:val="002A77E3"/>
    <w:rsid w:val="002B03B7"/>
    <w:rsid w:val="002B0830"/>
    <w:rsid w:val="002B6069"/>
    <w:rsid w:val="002C010B"/>
    <w:rsid w:val="002C2159"/>
    <w:rsid w:val="002C3970"/>
    <w:rsid w:val="002C3E56"/>
    <w:rsid w:val="002C520A"/>
    <w:rsid w:val="002C5A7C"/>
    <w:rsid w:val="002C756E"/>
    <w:rsid w:val="002D65FF"/>
    <w:rsid w:val="002E207E"/>
    <w:rsid w:val="002E362C"/>
    <w:rsid w:val="002E3BC2"/>
    <w:rsid w:val="002E420D"/>
    <w:rsid w:val="002F0038"/>
    <w:rsid w:val="002F122A"/>
    <w:rsid w:val="002F251C"/>
    <w:rsid w:val="002F2FA5"/>
    <w:rsid w:val="002F40C4"/>
    <w:rsid w:val="002F4E7D"/>
    <w:rsid w:val="002F688E"/>
    <w:rsid w:val="00301559"/>
    <w:rsid w:val="003028D8"/>
    <w:rsid w:val="00304D61"/>
    <w:rsid w:val="00304DAD"/>
    <w:rsid w:val="00305D21"/>
    <w:rsid w:val="0030775D"/>
    <w:rsid w:val="0031206A"/>
    <w:rsid w:val="00315D45"/>
    <w:rsid w:val="00320670"/>
    <w:rsid w:val="00321F5C"/>
    <w:rsid w:val="00323E6D"/>
    <w:rsid w:val="003254F8"/>
    <w:rsid w:val="003259BF"/>
    <w:rsid w:val="00327B11"/>
    <w:rsid w:val="00333455"/>
    <w:rsid w:val="003431B0"/>
    <w:rsid w:val="00344471"/>
    <w:rsid w:val="00344EF9"/>
    <w:rsid w:val="00345BF0"/>
    <w:rsid w:val="00346F47"/>
    <w:rsid w:val="003525E5"/>
    <w:rsid w:val="00356DFA"/>
    <w:rsid w:val="003602E5"/>
    <w:rsid w:val="00361574"/>
    <w:rsid w:val="003620D3"/>
    <w:rsid w:val="00363B11"/>
    <w:rsid w:val="003642BD"/>
    <w:rsid w:val="0037271D"/>
    <w:rsid w:val="00372B09"/>
    <w:rsid w:val="003769C7"/>
    <w:rsid w:val="003836E3"/>
    <w:rsid w:val="00383C71"/>
    <w:rsid w:val="00384850"/>
    <w:rsid w:val="00385286"/>
    <w:rsid w:val="003869A6"/>
    <w:rsid w:val="00391393"/>
    <w:rsid w:val="00391FF3"/>
    <w:rsid w:val="003A3AEB"/>
    <w:rsid w:val="003A44C5"/>
    <w:rsid w:val="003B2F5F"/>
    <w:rsid w:val="003B3784"/>
    <w:rsid w:val="003B3AD9"/>
    <w:rsid w:val="003B3FBB"/>
    <w:rsid w:val="003B4EEA"/>
    <w:rsid w:val="003B592E"/>
    <w:rsid w:val="003B5FCA"/>
    <w:rsid w:val="003B7D8D"/>
    <w:rsid w:val="003C5B7B"/>
    <w:rsid w:val="003C6816"/>
    <w:rsid w:val="003C7094"/>
    <w:rsid w:val="003D6F14"/>
    <w:rsid w:val="003E2973"/>
    <w:rsid w:val="003E3CC3"/>
    <w:rsid w:val="003F30C8"/>
    <w:rsid w:val="003F3F52"/>
    <w:rsid w:val="003F4204"/>
    <w:rsid w:val="003F5347"/>
    <w:rsid w:val="003F6645"/>
    <w:rsid w:val="004014D4"/>
    <w:rsid w:val="00411CB5"/>
    <w:rsid w:val="00413C25"/>
    <w:rsid w:val="004173E8"/>
    <w:rsid w:val="00424AB8"/>
    <w:rsid w:val="00425B7B"/>
    <w:rsid w:val="004301C7"/>
    <w:rsid w:val="00433D16"/>
    <w:rsid w:val="00434D94"/>
    <w:rsid w:val="0043749B"/>
    <w:rsid w:val="00444C14"/>
    <w:rsid w:val="004467DD"/>
    <w:rsid w:val="0045014C"/>
    <w:rsid w:val="004526B5"/>
    <w:rsid w:val="00455988"/>
    <w:rsid w:val="0045670F"/>
    <w:rsid w:val="00460396"/>
    <w:rsid w:val="00460CB2"/>
    <w:rsid w:val="004624E3"/>
    <w:rsid w:val="004648FF"/>
    <w:rsid w:val="004650DC"/>
    <w:rsid w:val="00465D22"/>
    <w:rsid w:val="00466661"/>
    <w:rsid w:val="00470303"/>
    <w:rsid w:val="0047133E"/>
    <w:rsid w:val="00471A64"/>
    <w:rsid w:val="004734A9"/>
    <w:rsid w:val="00474D2C"/>
    <w:rsid w:val="00477965"/>
    <w:rsid w:val="0048129B"/>
    <w:rsid w:val="00483057"/>
    <w:rsid w:val="0048327D"/>
    <w:rsid w:val="004846D7"/>
    <w:rsid w:val="004879A7"/>
    <w:rsid w:val="0049404B"/>
    <w:rsid w:val="004A296A"/>
    <w:rsid w:val="004A355B"/>
    <w:rsid w:val="004B0BF7"/>
    <w:rsid w:val="004C3109"/>
    <w:rsid w:val="004C7177"/>
    <w:rsid w:val="004D07BD"/>
    <w:rsid w:val="004D2798"/>
    <w:rsid w:val="004D2FA1"/>
    <w:rsid w:val="004D7EFC"/>
    <w:rsid w:val="004E1799"/>
    <w:rsid w:val="004E1D24"/>
    <w:rsid w:val="004E532F"/>
    <w:rsid w:val="004E5AD1"/>
    <w:rsid w:val="004E5EB1"/>
    <w:rsid w:val="004F244C"/>
    <w:rsid w:val="0050044C"/>
    <w:rsid w:val="005011DB"/>
    <w:rsid w:val="005027D4"/>
    <w:rsid w:val="005030EA"/>
    <w:rsid w:val="00503808"/>
    <w:rsid w:val="00507B19"/>
    <w:rsid w:val="0051035D"/>
    <w:rsid w:val="00514D79"/>
    <w:rsid w:val="005169DC"/>
    <w:rsid w:val="00517035"/>
    <w:rsid w:val="005259D9"/>
    <w:rsid w:val="00530E8D"/>
    <w:rsid w:val="00532935"/>
    <w:rsid w:val="00533193"/>
    <w:rsid w:val="00535818"/>
    <w:rsid w:val="00537C96"/>
    <w:rsid w:val="00540003"/>
    <w:rsid w:val="005413AF"/>
    <w:rsid w:val="00541AC7"/>
    <w:rsid w:val="00541B26"/>
    <w:rsid w:val="00546C92"/>
    <w:rsid w:val="00546ED0"/>
    <w:rsid w:val="00547999"/>
    <w:rsid w:val="005508F2"/>
    <w:rsid w:val="0055195D"/>
    <w:rsid w:val="00551F44"/>
    <w:rsid w:val="00554FE8"/>
    <w:rsid w:val="0056093A"/>
    <w:rsid w:val="00562974"/>
    <w:rsid w:val="00567861"/>
    <w:rsid w:val="00573A74"/>
    <w:rsid w:val="00573DAC"/>
    <w:rsid w:val="005753C1"/>
    <w:rsid w:val="00576FB9"/>
    <w:rsid w:val="005777B8"/>
    <w:rsid w:val="0058389C"/>
    <w:rsid w:val="00583CB2"/>
    <w:rsid w:val="00585B76"/>
    <w:rsid w:val="00585F26"/>
    <w:rsid w:val="00590039"/>
    <w:rsid w:val="00591EA2"/>
    <w:rsid w:val="00594A11"/>
    <w:rsid w:val="00595E0B"/>
    <w:rsid w:val="00597C06"/>
    <w:rsid w:val="005A106A"/>
    <w:rsid w:val="005A1A88"/>
    <w:rsid w:val="005A4997"/>
    <w:rsid w:val="005B3368"/>
    <w:rsid w:val="005B6316"/>
    <w:rsid w:val="005B631B"/>
    <w:rsid w:val="005B661C"/>
    <w:rsid w:val="005C1703"/>
    <w:rsid w:val="005C77B1"/>
    <w:rsid w:val="005D0EB8"/>
    <w:rsid w:val="005D2BB2"/>
    <w:rsid w:val="005D559F"/>
    <w:rsid w:val="005D5624"/>
    <w:rsid w:val="005E25BB"/>
    <w:rsid w:val="005E2B23"/>
    <w:rsid w:val="005E5FD7"/>
    <w:rsid w:val="005E795F"/>
    <w:rsid w:val="005F38C2"/>
    <w:rsid w:val="005F3DA8"/>
    <w:rsid w:val="005F54D0"/>
    <w:rsid w:val="005F66DF"/>
    <w:rsid w:val="006004FD"/>
    <w:rsid w:val="006010B4"/>
    <w:rsid w:val="00601870"/>
    <w:rsid w:val="0060200F"/>
    <w:rsid w:val="006021D0"/>
    <w:rsid w:val="006052C7"/>
    <w:rsid w:val="00616A7C"/>
    <w:rsid w:val="00617BA5"/>
    <w:rsid w:val="006213FB"/>
    <w:rsid w:val="006215FC"/>
    <w:rsid w:val="00621927"/>
    <w:rsid w:val="00622BA8"/>
    <w:rsid w:val="00626058"/>
    <w:rsid w:val="00626AC6"/>
    <w:rsid w:val="00630609"/>
    <w:rsid w:val="006306F9"/>
    <w:rsid w:val="00632C32"/>
    <w:rsid w:val="006336B3"/>
    <w:rsid w:val="00634DAB"/>
    <w:rsid w:val="006367E0"/>
    <w:rsid w:val="00637C5F"/>
    <w:rsid w:val="006427C9"/>
    <w:rsid w:val="00644009"/>
    <w:rsid w:val="006444A1"/>
    <w:rsid w:val="00644F90"/>
    <w:rsid w:val="0065160F"/>
    <w:rsid w:val="00651647"/>
    <w:rsid w:val="00653D07"/>
    <w:rsid w:val="00654092"/>
    <w:rsid w:val="00655576"/>
    <w:rsid w:val="006617CC"/>
    <w:rsid w:val="00671211"/>
    <w:rsid w:val="00671903"/>
    <w:rsid w:val="00672009"/>
    <w:rsid w:val="00672B9C"/>
    <w:rsid w:val="00672C90"/>
    <w:rsid w:val="00674DE1"/>
    <w:rsid w:val="00675069"/>
    <w:rsid w:val="0068050D"/>
    <w:rsid w:val="006845BD"/>
    <w:rsid w:val="0068750F"/>
    <w:rsid w:val="006927A8"/>
    <w:rsid w:val="006938D3"/>
    <w:rsid w:val="00694BEC"/>
    <w:rsid w:val="00696757"/>
    <w:rsid w:val="006A0922"/>
    <w:rsid w:val="006A3A8B"/>
    <w:rsid w:val="006A5FA2"/>
    <w:rsid w:val="006B6EEB"/>
    <w:rsid w:val="006D13AC"/>
    <w:rsid w:val="006D2BF5"/>
    <w:rsid w:val="006E2BE6"/>
    <w:rsid w:val="006E32DD"/>
    <w:rsid w:val="006E3B68"/>
    <w:rsid w:val="006E5CC2"/>
    <w:rsid w:val="006E75D5"/>
    <w:rsid w:val="006F1CA6"/>
    <w:rsid w:val="006F5F53"/>
    <w:rsid w:val="006F6676"/>
    <w:rsid w:val="006F7E4A"/>
    <w:rsid w:val="00701C59"/>
    <w:rsid w:val="007055FF"/>
    <w:rsid w:val="00706176"/>
    <w:rsid w:val="00707008"/>
    <w:rsid w:val="00715A08"/>
    <w:rsid w:val="007177DC"/>
    <w:rsid w:val="00720C17"/>
    <w:rsid w:val="00720C5D"/>
    <w:rsid w:val="00721CC1"/>
    <w:rsid w:val="00723855"/>
    <w:rsid w:val="00723A82"/>
    <w:rsid w:val="0072429D"/>
    <w:rsid w:val="00725EEC"/>
    <w:rsid w:val="007265B4"/>
    <w:rsid w:val="00730E5B"/>
    <w:rsid w:val="00733150"/>
    <w:rsid w:val="00735F2C"/>
    <w:rsid w:val="007375DE"/>
    <w:rsid w:val="00742A4B"/>
    <w:rsid w:val="00745982"/>
    <w:rsid w:val="00747896"/>
    <w:rsid w:val="0075486A"/>
    <w:rsid w:val="00755AF3"/>
    <w:rsid w:val="007659B7"/>
    <w:rsid w:val="007663FC"/>
    <w:rsid w:val="0077029C"/>
    <w:rsid w:val="00771957"/>
    <w:rsid w:val="00771AD1"/>
    <w:rsid w:val="007729E5"/>
    <w:rsid w:val="00775027"/>
    <w:rsid w:val="00775506"/>
    <w:rsid w:val="007777A4"/>
    <w:rsid w:val="00777B21"/>
    <w:rsid w:val="00782166"/>
    <w:rsid w:val="00784406"/>
    <w:rsid w:val="00784767"/>
    <w:rsid w:val="00784836"/>
    <w:rsid w:val="0078555B"/>
    <w:rsid w:val="007915E4"/>
    <w:rsid w:val="007936CB"/>
    <w:rsid w:val="007954BB"/>
    <w:rsid w:val="007A32DA"/>
    <w:rsid w:val="007C28D0"/>
    <w:rsid w:val="007C5422"/>
    <w:rsid w:val="007D4C6C"/>
    <w:rsid w:val="007D502C"/>
    <w:rsid w:val="007E305C"/>
    <w:rsid w:val="007E3E37"/>
    <w:rsid w:val="007F0E23"/>
    <w:rsid w:val="007F4182"/>
    <w:rsid w:val="007F5314"/>
    <w:rsid w:val="007F5B3E"/>
    <w:rsid w:val="007F6827"/>
    <w:rsid w:val="007F72CE"/>
    <w:rsid w:val="008007B7"/>
    <w:rsid w:val="008015F9"/>
    <w:rsid w:val="00801BE4"/>
    <w:rsid w:val="008024D8"/>
    <w:rsid w:val="00806A43"/>
    <w:rsid w:val="00810F37"/>
    <w:rsid w:val="00813D2D"/>
    <w:rsid w:val="00815B11"/>
    <w:rsid w:val="00815B9D"/>
    <w:rsid w:val="00816711"/>
    <w:rsid w:val="00821BF4"/>
    <w:rsid w:val="008235F8"/>
    <w:rsid w:val="00824D15"/>
    <w:rsid w:val="00831C14"/>
    <w:rsid w:val="00833C3D"/>
    <w:rsid w:val="0084058D"/>
    <w:rsid w:val="008458BC"/>
    <w:rsid w:val="00850D68"/>
    <w:rsid w:val="008517C1"/>
    <w:rsid w:val="008538F4"/>
    <w:rsid w:val="00854CB4"/>
    <w:rsid w:val="00855108"/>
    <w:rsid w:val="00857309"/>
    <w:rsid w:val="0086267D"/>
    <w:rsid w:val="00862DC9"/>
    <w:rsid w:val="0086794F"/>
    <w:rsid w:val="00867A62"/>
    <w:rsid w:val="0087127E"/>
    <w:rsid w:val="008770AD"/>
    <w:rsid w:val="008803DB"/>
    <w:rsid w:val="00886817"/>
    <w:rsid w:val="00890DD9"/>
    <w:rsid w:val="00894A3C"/>
    <w:rsid w:val="00894AEE"/>
    <w:rsid w:val="008A1FD1"/>
    <w:rsid w:val="008A314D"/>
    <w:rsid w:val="008A34D7"/>
    <w:rsid w:val="008A4782"/>
    <w:rsid w:val="008A61A5"/>
    <w:rsid w:val="008A6775"/>
    <w:rsid w:val="008B3F6D"/>
    <w:rsid w:val="008B58C5"/>
    <w:rsid w:val="008B7962"/>
    <w:rsid w:val="008C28AB"/>
    <w:rsid w:val="008C40A0"/>
    <w:rsid w:val="008C654A"/>
    <w:rsid w:val="008C7496"/>
    <w:rsid w:val="008C7DB1"/>
    <w:rsid w:val="008C7EA1"/>
    <w:rsid w:val="008D6A87"/>
    <w:rsid w:val="008E2D18"/>
    <w:rsid w:val="008E43AA"/>
    <w:rsid w:val="008E54BE"/>
    <w:rsid w:val="008F192E"/>
    <w:rsid w:val="008F372C"/>
    <w:rsid w:val="008F5FF1"/>
    <w:rsid w:val="008F7896"/>
    <w:rsid w:val="008F79DA"/>
    <w:rsid w:val="00901922"/>
    <w:rsid w:val="00903315"/>
    <w:rsid w:val="00905CAB"/>
    <w:rsid w:val="00905FE6"/>
    <w:rsid w:val="00910489"/>
    <w:rsid w:val="00912FB7"/>
    <w:rsid w:val="00913093"/>
    <w:rsid w:val="00917DF4"/>
    <w:rsid w:val="0092182D"/>
    <w:rsid w:val="0092368A"/>
    <w:rsid w:val="00925859"/>
    <w:rsid w:val="00925F6A"/>
    <w:rsid w:val="00930BE4"/>
    <w:rsid w:val="00936455"/>
    <w:rsid w:val="00940576"/>
    <w:rsid w:val="009417A3"/>
    <w:rsid w:val="00944135"/>
    <w:rsid w:val="00945C54"/>
    <w:rsid w:val="009479BD"/>
    <w:rsid w:val="00947CCA"/>
    <w:rsid w:val="0095090F"/>
    <w:rsid w:val="009520F2"/>
    <w:rsid w:val="009545F7"/>
    <w:rsid w:val="009545F8"/>
    <w:rsid w:val="00954A09"/>
    <w:rsid w:val="009562E7"/>
    <w:rsid w:val="00960FCC"/>
    <w:rsid w:val="009610DD"/>
    <w:rsid w:val="00963482"/>
    <w:rsid w:val="009700C2"/>
    <w:rsid w:val="009715E4"/>
    <w:rsid w:val="00973C35"/>
    <w:rsid w:val="00976DBA"/>
    <w:rsid w:val="00977F81"/>
    <w:rsid w:val="00982D01"/>
    <w:rsid w:val="00983717"/>
    <w:rsid w:val="00986A37"/>
    <w:rsid w:val="00991D05"/>
    <w:rsid w:val="00992839"/>
    <w:rsid w:val="00996824"/>
    <w:rsid w:val="00997C44"/>
    <w:rsid w:val="009A00CF"/>
    <w:rsid w:val="009A064B"/>
    <w:rsid w:val="009A0CDD"/>
    <w:rsid w:val="009A1103"/>
    <w:rsid w:val="009A256F"/>
    <w:rsid w:val="009A265C"/>
    <w:rsid w:val="009A5EE2"/>
    <w:rsid w:val="009A69D8"/>
    <w:rsid w:val="009A7D77"/>
    <w:rsid w:val="009B1012"/>
    <w:rsid w:val="009B356B"/>
    <w:rsid w:val="009B3DA0"/>
    <w:rsid w:val="009B4D3B"/>
    <w:rsid w:val="009B6156"/>
    <w:rsid w:val="009B71C5"/>
    <w:rsid w:val="009C1D58"/>
    <w:rsid w:val="009C532E"/>
    <w:rsid w:val="009C5CB0"/>
    <w:rsid w:val="009D43C5"/>
    <w:rsid w:val="009D62BE"/>
    <w:rsid w:val="009D669B"/>
    <w:rsid w:val="009D7C0B"/>
    <w:rsid w:val="009E01FF"/>
    <w:rsid w:val="009E2AAB"/>
    <w:rsid w:val="009F35C6"/>
    <w:rsid w:val="009F7345"/>
    <w:rsid w:val="00A0185F"/>
    <w:rsid w:val="00A03628"/>
    <w:rsid w:val="00A065D2"/>
    <w:rsid w:val="00A068C4"/>
    <w:rsid w:val="00A07A85"/>
    <w:rsid w:val="00A13CE9"/>
    <w:rsid w:val="00A140B1"/>
    <w:rsid w:val="00A145DD"/>
    <w:rsid w:val="00A16AF3"/>
    <w:rsid w:val="00A215EE"/>
    <w:rsid w:val="00A2240D"/>
    <w:rsid w:val="00A24288"/>
    <w:rsid w:val="00A249B4"/>
    <w:rsid w:val="00A30AB2"/>
    <w:rsid w:val="00A31965"/>
    <w:rsid w:val="00A37FC1"/>
    <w:rsid w:val="00A410D3"/>
    <w:rsid w:val="00A41B70"/>
    <w:rsid w:val="00A4360D"/>
    <w:rsid w:val="00A44371"/>
    <w:rsid w:val="00A45031"/>
    <w:rsid w:val="00A45EC0"/>
    <w:rsid w:val="00A50F5C"/>
    <w:rsid w:val="00A53612"/>
    <w:rsid w:val="00A54C9C"/>
    <w:rsid w:val="00A55C1C"/>
    <w:rsid w:val="00A56B54"/>
    <w:rsid w:val="00A572B8"/>
    <w:rsid w:val="00A711C5"/>
    <w:rsid w:val="00A72764"/>
    <w:rsid w:val="00A737FB"/>
    <w:rsid w:val="00A7417D"/>
    <w:rsid w:val="00A8350B"/>
    <w:rsid w:val="00A85940"/>
    <w:rsid w:val="00A862A8"/>
    <w:rsid w:val="00A91F47"/>
    <w:rsid w:val="00A946B2"/>
    <w:rsid w:val="00AA2C5C"/>
    <w:rsid w:val="00AA69D3"/>
    <w:rsid w:val="00AB2290"/>
    <w:rsid w:val="00AB74D4"/>
    <w:rsid w:val="00AC26D4"/>
    <w:rsid w:val="00AC3335"/>
    <w:rsid w:val="00AD4644"/>
    <w:rsid w:val="00AD5E07"/>
    <w:rsid w:val="00AD78DC"/>
    <w:rsid w:val="00AE545C"/>
    <w:rsid w:val="00AE7C52"/>
    <w:rsid w:val="00AF0340"/>
    <w:rsid w:val="00AF4A94"/>
    <w:rsid w:val="00AF5E0C"/>
    <w:rsid w:val="00B100D8"/>
    <w:rsid w:val="00B11341"/>
    <w:rsid w:val="00B144AC"/>
    <w:rsid w:val="00B160A9"/>
    <w:rsid w:val="00B267B3"/>
    <w:rsid w:val="00B271E6"/>
    <w:rsid w:val="00B34AD6"/>
    <w:rsid w:val="00B34F3C"/>
    <w:rsid w:val="00B35985"/>
    <w:rsid w:val="00B37922"/>
    <w:rsid w:val="00B4613E"/>
    <w:rsid w:val="00B501F6"/>
    <w:rsid w:val="00B51FC0"/>
    <w:rsid w:val="00B52594"/>
    <w:rsid w:val="00B5318F"/>
    <w:rsid w:val="00B62CBE"/>
    <w:rsid w:val="00B6568A"/>
    <w:rsid w:val="00B666DF"/>
    <w:rsid w:val="00B66D2A"/>
    <w:rsid w:val="00B67AAD"/>
    <w:rsid w:val="00B72885"/>
    <w:rsid w:val="00B73228"/>
    <w:rsid w:val="00B81F93"/>
    <w:rsid w:val="00B836F5"/>
    <w:rsid w:val="00B84C54"/>
    <w:rsid w:val="00B857B1"/>
    <w:rsid w:val="00B86058"/>
    <w:rsid w:val="00B87907"/>
    <w:rsid w:val="00B9055B"/>
    <w:rsid w:val="00B9147C"/>
    <w:rsid w:val="00BA0C3A"/>
    <w:rsid w:val="00BA1120"/>
    <w:rsid w:val="00BA5E97"/>
    <w:rsid w:val="00BB4440"/>
    <w:rsid w:val="00BB7D35"/>
    <w:rsid w:val="00BC0CF7"/>
    <w:rsid w:val="00BC4701"/>
    <w:rsid w:val="00BD1A8B"/>
    <w:rsid w:val="00BD2C0B"/>
    <w:rsid w:val="00BD2C39"/>
    <w:rsid w:val="00BD7429"/>
    <w:rsid w:val="00BE03D3"/>
    <w:rsid w:val="00BE0913"/>
    <w:rsid w:val="00BF05AD"/>
    <w:rsid w:val="00BF16A3"/>
    <w:rsid w:val="00BF36D7"/>
    <w:rsid w:val="00BF55B8"/>
    <w:rsid w:val="00C0030A"/>
    <w:rsid w:val="00C01948"/>
    <w:rsid w:val="00C02AA2"/>
    <w:rsid w:val="00C06265"/>
    <w:rsid w:val="00C074FF"/>
    <w:rsid w:val="00C135E2"/>
    <w:rsid w:val="00C14D85"/>
    <w:rsid w:val="00C21B2C"/>
    <w:rsid w:val="00C22F53"/>
    <w:rsid w:val="00C26887"/>
    <w:rsid w:val="00C300C4"/>
    <w:rsid w:val="00C30AE9"/>
    <w:rsid w:val="00C3403A"/>
    <w:rsid w:val="00C35E3B"/>
    <w:rsid w:val="00C40001"/>
    <w:rsid w:val="00C4044C"/>
    <w:rsid w:val="00C431E2"/>
    <w:rsid w:val="00C45721"/>
    <w:rsid w:val="00C4729E"/>
    <w:rsid w:val="00C5495B"/>
    <w:rsid w:val="00C55824"/>
    <w:rsid w:val="00C55A80"/>
    <w:rsid w:val="00C56A60"/>
    <w:rsid w:val="00C60FF4"/>
    <w:rsid w:val="00C652A1"/>
    <w:rsid w:val="00C65936"/>
    <w:rsid w:val="00C677F3"/>
    <w:rsid w:val="00C70DED"/>
    <w:rsid w:val="00C83239"/>
    <w:rsid w:val="00C833F3"/>
    <w:rsid w:val="00C8679C"/>
    <w:rsid w:val="00C9209B"/>
    <w:rsid w:val="00C92329"/>
    <w:rsid w:val="00C94337"/>
    <w:rsid w:val="00C946CA"/>
    <w:rsid w:val="00C958D8"/>
    <w:rsid w:val="00C96B14"/>
    <w:rsid w:val="00C96C27"/>
    <w:rsid w:val="00C97A00"/>
    <w:rsid w:val="00CA08AC"/>
    <w:rsid w:val="00CA0A5F"/>
    <w:rsid w:val="00CA0CA1"/>
    <w:rsid w:val="00CA6E7D"/>
    <w:rsid w:val="00CB6429"/>
    <w:rsid w:val="00CC08F6"/>
    <w:rsid w:val="00CC2768"/>
    <w:rsid w:val="00CC2C20"/>
    <w:rsid w:val="00CD0468"/>
    <w:rsid w:val="00CD046E"/>
    <w:rsid w:val="00CD0927"/>
    <w:rsid w:val="00CD627E"/>
    <w:rsid w:val="00CD6F0F"/>
    <w:rsid w:val="00CD7982"/>
    <w:rsid w:val="00CE07B7"/>
    <w:rsid w:val="00CE32AA"/>
    <w:rsid w:val="00CE47C9"/>
    <w:rsid w:val="00CE590E"/>
    <w:rsid w:val="00CF46C9"/>
    <w:rsid w:val="00CF7829"/>
    <w:rsid w:val="00D10A66"/>
    <w:rsid w:val="00D132FD"/>
    <w:rsid w:val="00D13760"/>
    <w:rsid w:val="00D161E4"/>
    <w:rsid w:val="00D16520"/>
    <w:rsid w:val="00D20475"/>
    <w:rsid w:val="00D210F3"/>
    <w:rsid w:val="00D27EF1"/>
    <w:rsid w:val="00D33FF1"/>
    <w:rsid w:val="00D3415A"/>
    <w:rsid w:val="00D36860"/>
    <w:rsid w:val="00D4112E"/>
    <w:rsid w:val="00D4249D"/>
    <w:rsid w:val="00D428CE"/>
    <w:rsid w:val="00D43FF9"/>
    <w:rsid w:val="00D449BF"/>
    <w:rsid w:val="00D50768"/>
    <w:rsid w:val="00D53907"/>
    <w:rsid w:val="00D619DB"/>
    <w:rsid w:val="00D62740"/>
    <w:rsid w:val="00D62EA3"/>
    <w:rsid w:val="00D64B51"/>
    <w:rsid w:val="00D66C4C"/>
    <w:rsid w:val="00D70ACA"/>
    <w:rsid w:val="00D738EC"/>
    <w:rsid w:val="00D75DC4"/>
    <w:rsid w:val="00D7679C"/>
    <w:rsid w:val="00D777FF"/>
    <w:rsid w:val="00D81330"/>
    <w:rsid w:val="00D94908"/>
    <w:rsid w:val="00DA0120"/>
    <w:rsid w:val="00DA0910"/>
    <w:rsid w:val="00DA1BD3"/>
    <w:rsid w:val="00DA262B"/>
    <w:rsid w:val="00DA2B4F"/>
    <w:rsid w:val="00DA4465"/>
    <w:rsid w:val="00DA6B38"/>
    <w:rsid w:val="00DB292F"/>
    <w:rsid w:val="00DB348A"/>
    <w:rsid w:val="00DB407D"/>
    <w:rsid w:val="00DB5662"/>
    <w:rsid w:val="00DC28EE"/>
    <w:rsid w:val="00DC2AC7"/>
    <w:rsid w:val="00DC3C49"/>
    <w:rsid w:val="00DC48D9"/>
    <w:rsid w:val="00DC63E7"/>
    <w:rsid w:val="00DD0CA6"/>
    <w:rsid w:val="00DD7F30"/>
    <w:rsid w:val="00DE10EC"/>
    <w:rsid w:val="00DE1136"/>
    <w:rsid w:val="00DE11F1"/>
    <w:rsid w:val="00DE1306"/>
    <w:rsid w:val="00DE5CC2"/>
    <w:rsid w:val="00DF1970"/>
    <w:rsid w:val="00DF5A10"/>
    <w:rsid w:val="00DF65AB"/>
    <w:rsid w:val="00DF6FFA"/>
    <w:rsid w:val="00DF7BA9"/>
    <w:rsid w:val="00E00DA0"/>
    <w:rsid w:val="00E02F3B"/>
    <w:rsid w:val="00E057A9"/>
    <w:rsid w:val="00E07467"/>
    <w:rsid w:val="00E1238C"/>
    <w:rsid w:val="00E2078F"/>
    <w:rsid w:val="00E21561"/>
    <w:rsid w:val="00E231E2"/>
    <w:rsid w:val="00E24871"/>
    <w:rsid w:val="00E314A8"/>
    <w:rsid w:val="00E3473F"/>
    <w:rsid w:val="00E42F49"/>
    <w:rsid w:val="00E43093"/>
    <w:rsid w:val="00E46223"/>
    <w:rsid w:val="00E479EE"/>
    <w:rsid w:val="00E47FC0"/>
    <w:rsid w:val="00E50038"/>
    <w:rsid w:val="00E501A2"/>
    <w:rsid w:val="00E5331F"/>
    <w:rsid w:val="00E5653D"/>
    <w:rsid w:val="00E61B9D"/>
    <w:rsid w:val="00E61E27"/>
    <w:rsid w:val="00E64616"/>
    <w:rsid w:val="00E65C75"/>
    <w:rsid w:val="00E670C2"/>
    <w:rsid w:val="00E72B87"/>
    <w:rsid w:val="00E73F5D"/>
    <w:rsid w:val="00E83E75"/>
    <w:rsid w:val="00E84782"/>
    <w:rsid w:val="00E95F8C"/>
    <w:rsid w:val="00EA1600"/>
    <w:rsid w:val="00EA51DD"/>
    <w:rsid w:val="00EA5F76"/>
    <w:rsid w:val="00EA7EC3"/>
    <w:rsid w:val="00EB1DD0"/>
    <w:rsid w:val="00EB4D0D"/>
    <w:rsid w:val="00EB5D99"/>
    <w:rsid w:val="00EB5E42"/>
    <w:rsid w:val="00EC2735"/>
    <w:rsid w:val="00EC49AC"/>
    <w:rsid w:val="00EC6D8D"/>
    <w:rsid w:val="00EC7BCB"/>
    <w:rsid w:val="00EE0911"/>
    <w:rsid w:val="00EE3D07"/>
    <w:rsid w:val="00EE4F9B"/>
    <w:rsid w:val="00EE658F"/>
    <w:rsid w:val="00EE66B1"/>
    <w:rsid w:val="00EE6D7A"/>
    <w:rsid w:val="00EE710E"/>
    <w:rsid w:val="00EF05A3"/>
    <w:rsid w:val="00EF3405"/>
    <w:rsid w:val="00EF3651"/>
    <w:rsid w:val="00EF3859"/>
    <w:rsid w:val="00EF3CE7"/>
    <w:rsid w:val="00EF5D97"/>
    <w:rsid w:val="00EF7575"/>
    <w:rsid w:val="00F1026A"/>
    <w:rsid w:val="00F10A32"/>
    <w:rsid w:val="00F17484"/>
    <w:rsid w:val="00F20777"/>
    <w:rsid w:val="00F228C2"/>
    <w:rsid w:val="00F23331"/>
    <w:rsid w:val="00F236DB"/>
    <w:rsid w:val="00F241AF"/>
    <w:rsid w:val="00F26166"/>
    <w:rsid w:val="00F31477"/>
    <w:rsid w:val="00F32F27"/>
    <w:rsid w:val="00F32F61"/>
    <w:rsid w:val="00F338DC"/>
    <w:rsid w:val="00F346E2"/>
    <w:rsid w:val="00F42B1B"/>
    <w:rsid w:val="00F432F4"/>
    <w:rsid w:val="00F43792"/>
    <w:rsid w:val="00F46146"/>
    <w:rsid w:val="00F472E1"/>
    <w:rsid w:val="00F5106F"/>
    <w:rsid w:val="00F5146F"/>
    <w:rsid w:val="00F51B17"/>
    <w:rsid w:val="00F52035"/>
    <w:rsid w:val="00F57D13"/>
    <w:rsid w:val="00F606BA"/>
    <w:rsid w:val="00F668C8"/>
    <w:rsid w:val="00F6749F"/>
    <w:rsid w:val="00F718EB"/>
    <w:rsid w:val="00F729DE"/>
    <w:rsid w:val="00F74302"/>
    <w:rsid w:val="00F760DF"/>
    <w:rsid w:val="00F822F9"/>
    <w:rsid w:val="00F87AD1"/>
    <w:rsid w:val="00F91364"/>
    <w:rsid w:val="00F922F6"/>
    <w:rsid w:val="00F92AB0"/>
    <w:rsid w:val="00F93D33"/>
    <w:rsid w:val="00FA6445"/>
    <w:rsid w:val="00FB1FE1"/>
    <w:rsid w:val="00FB2935"/>
    <w:rsid w:val="00FB2ABA"/>
    <w:rsid w:val="00FB3188"/>
    <w:rsid w:val="00FB66F1"/>
    <w:rsid w:val="00FB6C98"/>
    <w:rsid w:val="00FC4642"/>
    <w:rsid w:val="00FC55D7"/>
    <w:rsid w:val="00FC6A6F"/>
    <w:rsid w:val="00FC7E0F"/>
    <w:rsid w:val="00FD0086"/>
    <w:rsid w:val="00FD133F"/>
    <w:rsid w:val="00FD2D27"/>
    <w:rsid w:val="00FD34C5"/>
    <w:rsid w:val="00FD58FC"/>
    <w:rsid w:val="00FD6DD0"/>
    <w:rsid w:val="00FD6F53"/>
    <w:rsid w:val="00FD740D"/>
    <w:rsid w:val="00FD7DE9"/>
    <w:rsid w:val="00FE2DE5"/>
    <w:rsid w:val="00FE6BCC"/>
    <w:rsid w:val="00FE72C5"/>
    <w:rsid w:val="00FF2375"/>
    <w:rsid w:val="00FF59D1"/>
    <w:rsid w:val="00FF5F04"/>
    <w:rsid w:val="00FF632E"/>
    <w:rsid w:val="0175154B"/>
    <w:rsid w:val="01C00985"/>
    <w:rsid w:val="027D2367"/>
    <w:rsid w:val="031745F5"/>
    <w:rsid w:val="03DE5B95"/>
    <w:rsid w:val="04BC7308"/>
    <w:rsid w:val="05D555BB"/>
    <w:rsid w:val="06381D12"/>
    <w:rsid w:val="06456294"/>
    <w:rsid w:val="065C2C03"/>
    <w:rsid w:val="06CF2A6E"/>
    <w:rsid w:val="080A7DBB"/>
    <w:rsid w:val="0CC306C1"/>
    <w:rsid w:val="0D0751A1"/>
    <w:rsid w:val="0DD53DBB"/>
    <w:rsid w:val="0E707B19"/>
    <w:rsid w:val="12E64BD9"/>
    <w:rsid w:val="12EA261F"/>
    <w:rsid w:val="134F4679"/>
    <w:rsid w:val="15886189"/>
    <w:rsid w:val="15891F92"/>
    <w:rsid w:val="189A5BE7"/>
    <w:rsid w:val="18BE26AE"/>
    <w:rsid w:val="18BE41DF"/>
    <w:rsid w:val="18C326DC"/>
    <w:rsid w:val="19F0524C"/>
    <w:rsid w:val="1D104589"/>
    <w:rsid w:val="1FBA05DF"/>
    <w:rsid w:val="20132BA4"/>
    <w:rsid w:val="266F5AED"/>
    <w:rsid w:val="2BB14E67"/>
    <w:rsid w:val="2CE474EB"/>
    <w:rsid w:val="2CF103CB"/>
    <w:rsid w:val="2CF62CDD"/>
    <w:rsid w:val="2D3C27DE"/>
    <w:rsid w:val="31B04F28"/>
    <w:rsid w:val="32496778"/>
    <w:rsid w:val="32A421DD"/>
    <w:rsid w:val="3349180A"/>
    <w:rsid w:val="33585AC4"/>
    <w:rsid w:val="341B310D"/>
    <w:rsid w:val="351A3B3C"/>
    <w:rsid w:val="36086811"/>
    <w:rsid w:val="380D6B55"/>
    <w:rsid w:val="3A296770"/>
    <w:rsid w:val="3B2B37B2"/>
    <w:rsid w:val="3C0B12AF"/>
    <w:rsid w:val="3D0F2D1A"/>
    <w:rsid w:val="3D876AC6"/>
    <w:rsid w:val="404910E4"/>
    <w:rsid w:val="414A3E08"/>
    <w:rsid w:val="42184876"/>
    <w:rsid w:val="431E732E"/>
    <w:rsid w:val="45576158"/>
    <w:rsid w:val="46B02E90"/>
    <w:rsid w:val="48C72D79"/>
    <w:rsid w:val="49CA75BA"/>
    <w:rsid w:val="4A2957EF"/>
    <w:rsid w:val="4B170C9E"/>
    <w:rsid w:val="4C6452FF"/>
    <w:rsid w:val="4C8155C2"/>
    <w:rsid w:val="4D0216D8"/>
    <w:rsid w:val="4F16094C"/>
    <w:rsid w:val="50E1453A"/>
    <w:rsid w:val="50E17EDA"/>
    <w:rsid w:val="510E483E"/>
    <w:rsid w:val="51BF62A9"/>
    <w:rsid w:val="523844C4"/>
    <w:rsid w:val="52961647"/>
    <w:rsid w:val="53D20521"/>
    <w:rsid w:val="54E9745E"/>
    <w:rsid w:val="55755469"/>
    <w:rsid w:val="57051D27"/>
    <w:rsid w:val="57317E29"/>
    <w:rsid w:val="57C30D62"/>
    <w:rsid w:val="584D1D8A"/>
    <w:rsid w:val="58C16DCE"/>
    <w:rsid w:val="5923676E"/>
    <w:rsid w:val="594C6901"/>
    <w:rsid w:val="59EE6A94"/>
    <w:rsid w:val="5A9A0614"/>
    <w:rsid w:val="5B0C21BB"/>
    <w:rsid w:val="5CD73B7C"/>
    <w:rsid w:val="5D7E5B1E"/>
    <w:rsid w:val="5F8E0462"/>
    <w:rsid w:val="600C084C"/>
    <w:rsid w:val="60D20F55"/>
    <w:rsid w:val="61346859"/>
    <w:rsid w:val="62FD229D"/>
    <w:rsid w:val="64A14404"/>
    <w:rsid w:val="651B5592"/>
    <w:rsid w:val="67531579"/>
    <w:rsid w:val="6B09721C"/>
    <w:rsid w:val="6CB13904"/>
    <w:rsid w:val="6D23689E"/>
    <w:rsid w:val="6D9C7941"/>
    <w:rsid w:val="6E695234"/>
    <w:rsid w:val="70982D47"/>
    <w:rsid w:val="70AC60C4"/>
    <w:rsid w:val="70F270AB"/>
    <w:rsid w:val="72873C53"/>
    <w:rsid w:val="75AD68A1"/>
    <w:rsid w:val="76E723D4"/>
    <w:rsid w:val="77234A33"/>
    <w:rsid w:val="78505A02"/>
    <w:rsid w:val="79976EBA"/>
    <w:rsid w:val="7AC72155"/>
    <w:rsid w:val="7B651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qFormat="1" w:unhideWhenUsed="0" w:uiPriority="0" w:name="index heading"/>
    <w:lsdException w:qFormat="1" w:unhideWhenUsed="0" w:uiPriority="35" w:semiHidden="0" w:name="caption"/>
    <w:lsdException w:qFormat="1" w:unhideWhenUsed="0" w:uiPriority="0" w:name="table of figures"/>
    <w:lsdException w:qFormat="1" w:unhideWhenUsed="0" w:uiPriority="0" w:name="envelope address"/>
    <w:lsdException w:qFormat="1" w:unhideWhenUsed="0" w:uiPriority="0" w:name="envelope return"/>
    <w:lsdException w:qFormat="1" w:unhideWhenUsed="0" w:uiPriority="0" w:semiHidden="0" w:name="footnote reference"/>
    <w:lsdException w:qFormat="1" w:unhideWhenUsed="0" w:uiPriority="0" w:semiHidden="0" w:name="annotation reference"/>
    <w:lsdException w:qFormat="1" w:unhideWhenUsed="0" w:uiPriority="0" w:name="line number"/>
    <w:lsdException w:qFormat="1" w:unhideWhenUsed="0" w:uiPriority="0" w:semiHidden="0" w:name="page number"/>
    <w:lsdException w:qFormat="1" w:unhideWhenUsed="0" w:uiPriority="0" w:name="endnote reference"/>
    <w:lsdException w:qFormat="1" w:unhideWhenUsed="0" w:uiPriority="0" w:semiHidden="0" w:name="endnote text"/>
    <w:lsdException w:qFormat="1" w:unhideWhenUsed="0" w:uiPriority="0" w:name="table of authorities"/>
    <w:lsdException w:qFormat="1" w:unhideWhenUsed="0" w:uiPriority="0" w:semiHidden="0" w:name="macro"/>
    <w:lsdException w:qFormat="1" w:unhideWhenUsed="0" w:uiPriority="0" w:name="toa heading"/>
    <w:lsdException w:qFormat="1" w:unhideWhenUsed="0" w:uiPriority="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semiHidden="0" w:name="Default Paragraph Font"/>
    <w:lsdException w:qFormat="1" w:unhideWhenUsed="0" w:uiPriority="0" w:semiHidden="0" w:name="Body Text"/>
    <w:lsdException w:qFormat="1" w:unhideWhenUsed="0" w:uiPriority="0" w:name="Body Text Indent"/>
    <w:lsdException w:qFormat="1" w:unhideWhenUsed="0" w:uiPriority="0" w:name="List Continue"/>
    <w:lsdException w:qFormat="1" w:unhideWhenUsed="0" w:uiPriority="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name="Salutation"/>
    <w:lsdException w:qFormat="1" w:uiPriority="0" w:semiHidden="0" w:name="Date"/>
    <w:lsdException w:qFormat="1" w:unhideWhenUsed="0" w:uiPriority="0" w:semiHidden="0" w:name="Body Text First Indent"/>
    <w:lsdException w:qFormat="1" w:unhideWhenUsed="0" w:uiPriority="0" w:name="Body Text First Indent 2"/>
    <w:lsdException w:qFormat="1" w:unhideWhenUsed="0" w:uiPriority="0" w:name="Note Heading"/>
    <w:lsdException w:qFormat="1" w:unhideWhenUsed="0" w:uiPriority="0" w:name="Body Text 2"/>
    <w:lsdException w:qFormat="1" w:unhideWhenUsed="0" w:uiPriority="0" w:semiHidden="0" w:name="Body Text 3"/>
    <w:lsdException w:qFormat="1" w:unhideWhenUsed="0" w:uiPriority="0" w:name="Body Text Indent 2"/>
    <w:lsdException w:qFormat="1" w:unhideWhenUsed="0" w:uiPriority="0" w:name="Body Text Indent 3"/>
    <w:lsdException w:qFormat="1" w:unhideWhenUsed="0" w:uiPriority="0" w:name="Block Text"/>
    <w:lsdException w:qFormat="1" w:uiPriority="99" w:semiHidden="0" w:name="Hyperlink"/>
    <w:lsdException w:qFormat="1" w:unhideWhenUsed="0"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qFormat="1" w:unhideWhenUsed="0" w:uiPriority="0" w:name="E-mail Signature"/>
    <w:lsdException w:qFormat="1" w:uiPriority="99" w:semiHidden="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semiHidden="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nhideWhenUsed="0" w:uiPriority="0" w:semiHidden="0" w:name="annotation subject"/>
    <w:lsdException w:qFormat="1" w:unhideWhenUsed="0" w:uiPriority="0" w:name="Table Simple 1"/>
    <w:lsdException w:qFormat="1" w:unhideWhenUsed="0" w:uiPriority="0" w:name="Table Simple 2"/>
    <w:lsdException w:qFormat="1" w:unhideWhenUsed="0" w:uiPriority="0" w:name="Table Simple 3"/>
    <w:lsdException w:qFormat="1" w:unhideWhenUsed="0" w:uiPriority="0" w:name="Table Classic 1"/>
    <w:lsdException w:qFormat="1" w:unhideWhenUsed="0" w:uiPriority="0" w:name="Table Classic 2"/>
    <w:lsdException w:qFormat="1" w:unhideWhenUsed="0" w:uiPriority="0" w:name="Table Classic 3"/>
    <w:lsdException w:qFormat="1" w:unhideWhenUsed="0" w:uiPriority="0" w:name="Table Classic 4"/>
    <w:lsdException w:qFormat="1" w:unhideWhenUsed="0" w:uiPriority="0" w:name="Table Colorful 1"/>
    <w:lsdException w:qFormat="1" w:unhideWhenUsed="0" w:uiPriority="0" w:name="Table Colorful 2"/>
    <w:lsdException w:qFormat="1" w:unhideWhenUsed="0" w:uiPriority="0" w:name="Table Colorful 3"/>
    <w:lsdException w:qFormat="1" w:unhideWhenUsed="0" w:uiPriority="0" w:name="Table Columns 1"/>
    <w:lsdException w:qFormat="1" w:unhideWhenUsed="0" w:uiPriority="0" w:name="Table Columns 2"/>
    <w:lsdException w:qFormat="1" w:unhideWhenUsed="0" w:uiPriority="0" w:name="Table Columns 3"/>
    <w:lsdException w:qFormat="1" w:unhideWhenUsed="0" w:uiPriority="0" w:name="Table Columns 4"/>
    <w:lsdException w:qFormat="1" w:unhideWhenUsed="0" w:uiPriority="0" w:name="Table Columns 5"/>
    <w:lsdException w:qFormat="1" w:unhideWhenUsed="0" w:uiPriority="0" w:name="Table Grid 1"/>
    <w:lsdException w:qFormat="1" w:unhideWhenUsed="0" w:uiPriority="0" w:name="Table Grid 2"/>
    <w:lsdException w:qFormat="1" w:unhideWhenUsed="0" w:uiPriority="0" w:name="Table Grid 3"/>
    <w:lsdException w:qFormat="1" w:unhideWhenUsed="0" w:uiPriority="0" w:name="Table Grid 4"/>
    <w:lsdException w:qFormat="1" w:unhideWhenUsed="0" w:uiPriority="0" w:name="Table Grid 5"/>
    <w:lsdException w:qFormat="1" w:unhideWhenUsed="0" w:uiPriority="0" w:name="Table Grid 6"/>
    <w:lsdException w:qFormat="1" w:unhideWhenUsed="0" w:uiPriority="0" w:name="Table Grid 7"/>
    <w:lsdException w:qFormat="1" w:unhideWhenUsed="0" w:uiPriority="0" w:name="Table Grid 8"/>
    <w:lsdException w:qFormat="1" w:unhideWhenUsed="0" w:uiPriority="0" w:name="Table List 1"/>
    <w:lsdException w:qFormat="1" w:unhideWhenUsed="0" w:uiPriority="0" w:name="Table List 2"/>
    <w:lsdException w:qFormat="1" w:unhideWhenUsed="0" w:uiPriority="0" w:name="Table List 3"/>
    <w:lsdException w:qFormat="1" w:unhideWhenUsed="0" w:uiPriority="0" w:name="Table List 4"/>
    <w:lsdException w:qFormat="1" w:unhideWhenUsed="0" w:uiPriority="0" w:name="Table List 5"/>
    <w:lsdException w:qFormat="1" w:unhideWhenUsed="0" w:uiPriority="0" w:name="Table List 6"/>
    <w:lsdException w:qFormat="1" w:unhideWhenUsed="0" w:uiPriority="0" w:name="Table List 7"/>
    <w:lsdException w:qFormat="1" w:unhideWhenUsed="0" w:uiPriority="0" w:name="Table List 8"/>
    <w:lsdException w:qFormat="1" w:unhideWhenUsed="0" w:uiPriority="0" w:name="Table 3D effects 1"/>
    <w:lsdException w:qFormat="1" w:unhideWhenUsed="0" w:uiPriority="0" w:name="Table 3D effects 2"/>
    <w:lsdException w:qFormat="1" w:unhideWhenUsed="0" w:uiPriority="0" w:name="Table 3D effects 3"/>
    <w:lsdException w:qFormat="1" w:unhideWhenUsed="0" w:uiPriority="0" w:name="Table Contemporary"/>
    <w:lsdException w:qFormat="1" w:unhideWhenUsed="0" w:uiPriority="0" w:name="Table Elegant"/>
    <w:lsdException w:qFormat="1" w:unhideWhenUsed="0" w:uiPriority="0" w:name="Table Professional"/>
    <w:lsdException w:qFormat="1" w:unhideWhenUsed="0" w:uiPriority="0" w:name="Table Subtle 1"/>
    <w:lsdException w:qFormat="1" w:unhideWhenUsed="0" w:uiPriority="0" w:name="Table Subtle 2"/>
    <w:lsdException w:qFormat="1" w:unhideWhenUsed="0" w:uiPriority="0" w:name="Table Web 1"/>
    <w:lsdException w:qFormat="1" w:unhideWhenUsed="0" w:uiPriority="0" w:name="Table Web 2"/>
    <w:lsdException w:qFormat="1" w:unhideWhenUsed="0" w:uiPriority="0" w:name="Table Web 3"/>
    <w:lsdException w:qFormat="1" w:unhideWhenUsed="0" w:uiPriority="0" w:semiHidden="0" w:name="Balloon Text"/>
    <w:lsdException w:qFormat="1" w:unhideWhenUsed="0" w:uiPriority="0" w:semiHidden="0" w:name="Table Grid"/>
    <w:lsdException w:qFormat="1" w:unhideWhenUsed="0"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宋体" w:eastAsia="仿宋_GB2312" w:cs="Times New Roman"/>
      <w:kern w:val="2"/>
      <w:sz w:val="32"/>
      <w:szCs w:val="24"/>
      <w:lang w:val="en-US" w:eastAsia="zh-CN" w:bidi="ar-SA"/>
    </w:rPr>
  </w:style>
  <w:style w:type="paragraph" w:styleId="2">
    <w:name w:val="heading 1"/>
    <w:basedOn w:val="1"/>
    <w:next w:val="1"/>
    <w:link w:val="152"/>
    <w:qFormat/>
    <w:uiPriority w:val="9"/>
    <w:pPr>
      <w:keepNext/>
      <w:widowControl/>
      <w:numPr>
        <w:ilvl w:val="0"/>
        <w:numId w:val="1"/>
      </w:numPr>
      <w:spacing w:after="240"/>
      <w:jc w:val="left"/>
      <w:outlineLvl w:val="0"/>
    </w:pPr>
    <w:rPr>
      <w:rFonts w:ascii="Arial Bold" w:hAnsi="Arial Bold" w:eastAsia="楷体_GB2312"/>
      <w:b/>
      <w:spacing w:val="-8"/>
      <w:kern w:val="28"/>
      <w:sz w:val="24"/>
      <w:szCs w:val="20"/>
      <w:lang w:eastAsia="en-US"/>
    </w:rPr>
  </w:style>
  <w:style w:type="paragraph" w:styleId="4">
    <w:name w:val="heading 2"/>
    <w:basedOn w:val="1"/>
    <w:next w:val="5"/>
    <w:link w:val="160"/>
    <w:qFormat/>
    <w:uiPriority w:val="0"/>
    <w:pPr>
      <w:keepNext/>
      <w:widowControl/>
      <w:numPr>
        <w:ilvl w:val="1"/>
        <w:numId w:val="1"/>
      </w:numPr>
      <w:spacing w:after="240"/>
      <w:jc w:val="left"/>
      <w:outlineLvl w:val="1"/>
    </w:pPr>
    <w:rPr>
      <w:rFonts w:ascii="Arial" w:hAnsi="Arial" w:eastAsia="楷体_GB2312"/>
      <w:spacing w:val="-8"/>
      <w:kern w:val="0"/>
      <w:sz w:val="24"/>
      <w:szCs w:val="20"/>
      <w:lang w:eastAsia="en-US"/>
    </w:rPr>
  </w:style>
  <w:style w:type="paragraph" w:styleId="6">
    <w:name w:val="heading 3"/>
    <w:basedOn w:val="1"/>
    <w:next w:val="1"/>
    <w:link w:val="157"/>
    <w:qFormat/>
    <w:uiPriority w:val="0"/>
    <w:pPr>
      <w:widowControl/>
      <w:numPr>
        <w:ilvl w:val="2"/>
        <w:numId w:val="2"/>
      </w:numPr>
      <w:tabs>
        <w:tab w:val="left" w:pos="567"/>
      </w:tabs>
      <w:spacing w:after="240"/>
      <w:jc w:val="left"/>
      <w:outlineLvl w:val="2"/>
    </w:pPr>
    <w:rPr>
      <w:rFonts w:ascii="Arial" w:hAnsi="Arial" w:eastAsia="楷体_GB2312"/>
      <w:spacing w:val="-8"/>
      <w:kern w:val="0"/>
      <w:sz w:val="24"/>
      <w:szCs w:val="20"/>
      <w:lang w:eastAsia="en-US"/>
    </w:rPr>
  </w:style>
  <w:style w:type="paragraph" w:styleId="7">
    <w:name w:val="heading 4"/>
    <w:basedOn w:val="5"/>
    <w:next w:val="1"/>
    <w:link w:val="232"/>
    <w:qFormat/>
    <w:uiPriority w:val="0"/>
    <w:pPr>
      <w:numPr>
        <w:ilvl w:val="3"/>
        <w:numId w:val="2"/>
      </w:numPr>
      <w:tabs>
        <w:tab w:val="left" w:pos="567"/>
      </w:tabs>
      <w:spacing w:after="240"/>
      <w:jc w:val="left"/>
      <w:outlineLvl w:val="3"/>
    </w:pPr>
    <w:rPr>
      <w:rFonts w:ascii="Arial" w:hAnsi="Arial" w:eastAsia="楷体_GB2312"/>
      <w:spacing w:val="-8"/>
      <w:sz w:val="24"/>
      <w:szCs w:val="20"/>
      <w:lang w:eastAsia="en-US"/>
    </w:rPr>
  </w:style>
  <w:style w:type="paragraph" w:styleId="8">
    <w:name w:val="heading 5"/>
    <w:basedOn w:val="5"/>
    <w:next w:val="1"/>
    <w:link w:val="177"/>
    <w:qFormat/>
    <w:uiPriority w:val="0"/>
    <w:pPr>
      <w:numPr>
        <w:ilvl w:val="4"/>
        <w:numId w:val="2"/>
      </w:numPr>
      <w:tabs>
        <w:tab w:val="left" w:pos="567"/>
      </w:tabs>
      <w:spacing w:after="240"/>
      <w:jc w:val="left"/>
      <w:outlineLvl w:val="4"/>
    </w:pPr>
    <w:rPr>
      <w:rFonts w:ascii="Arial" w:hAnsi="Arial" w:eastAsia="楷体_GB2312"/>
      <w:spacing w:val="-8"/>
      <w:sz w:val="24"/>
      <w:szCs w:val="20"/>
      <w:lang w:eastAsia="en-US"/>
    </w:rPr>
  </w:style>
  <w:style w:type="paragraph" w:styleId="9">
    <w:name w:val="heading 6"/>
    <w:basedOn w:val="5"/>
    <w:next w:val="5"/>
    <w:link w:val="242"/>
    <w:qFormat/>
    <w:uiPriority w:val="0"/>
    <w:pPr>
      <w:numPr>
        <w:ilvl w:val="5"/>
        <w:numId w:val="2"/>
      </w:numPr>
      <w:tabs>
        <w:tab w:val="left" w:pos="0"/>
      </w:tabs>
      <w:spacing w:after="240"/>
      <w:jc w:val="left"/>
      <w:outlineLvl w:val="5"/>
    </w:pPr>
    <w:rPr>
      <w:rFonts w:ascii="Arial" w:hAnsi="Arial" w:eastAsia="楷体_GB2312"/>
      <w:spacing w:val="-8"/>
      <w:sz w:val="24"/>
      <w:szCs w:val="20"/>
      <w:lang w:eastAsia="en-US"/>
    </w:rPr>
  </w:style>
  <w:style w:type="paragraph" w:styleId="10">
    <w:name w:val="heading 7"/>
    <w:basedOn w:val="5"/>
    <w:next w:val="5"/>
    <w:link w:val="186"/>
    <w:qFormat/>
    <w:uiPriority w:val="0"/>
    <w:pPr>
      <w:numPr>
        <w:ilvl w:val="6"/>
        <w:numId w:val="2"/>
      </w:numPr>
      <w:tabs>
        <w:tab w:val="left" w:pos="0"/>
      </w:tabs>
      <w:spacing w:after="240"/>
      <w:jc w:val="left"/>
      <w:outlineLvl w:val="6"/>
    </w:pPr>
    <w:rPr>
      <w:rFonts w:ascii="Arial" w:hAnsi="Arial" w:eastAsia="楷体_GB2312"/>
      <w:spacing w:val="-8"/>
      <w:sz w:val="24"/>
      <w:szCs w:val="20"/>
      <w:lang w:eastAsia="en-US"/>
    </w:rPr>
  </w:style>
  <w:style w:type="paragraph" w:styleId="11">
    <w:name w:val="heading 8"/>
    <w:basedOn w:val="5"/>
    <w:next w:val="5"/>
    <w:link w:val="175"/>
    <w:qFormat/>
    <w:uiPriority w:val="0"/>
    <w:pPr>
      <w:numPr>
        <w:ilvl w:val="7"/>
        <w:numId w:val="2"/>
      </w:numPr>
      <w:tabs>
        <w:tab w:val="left" w:pos="0"/>
      </w:tabs>
      <w:spacing w:after="240" w:line="240" w:lineRule="atLeast"/>
      <w:jc w:val="left"/>
      <w:outlineLvl w:val="7"/>
    </w:pPr>
    <w:rPr>
      <w:rFonts w:ascii="Arial" w:hAnsi="Arial" w:eastAsia="楷体_GB2312"/>
      <w:spacing w:val="-8"/>
      <w:sz w:val="24"/>
      <w:szCs w:val="20"/>
      <w:lang w:eastAsia="en-US"/>
    </w:rPr>
  </w:style>
  <w:style w:type="paragraph" w:styleId="12">
    <w:name w:val="heading 9"/>
    <w:basedOn w:val="5"/>
    <w:next w:val="5"/>
    <w:link w:val="161"/>
    <w:qFormat/>
    <w:uiPriority w:val="0"/>
    <w:pPr>
      <w:numPr>
        <w:ilvl w:val="8"/>
        <w:numId w:val="2"/>
      </w:numPr>
      <w:tabs>
        <w:tab w:val="left" w:pos="0"/>
      </w:tabs>
      <w:spacing w:after="240" w:line="240" w:lineRule="atLeast"/>
      <w:jc w:val="left"/>
      <w:outlineLvl w:val="8"/>
    </w:pPr>
    <w:rPr>
      <w:rFonts w:ascii="Arial" w:hAnsi="Arial" w:eastAsia="楷体_GB2312"/>
      <w:spacing w:val="-8"/>
      <w:sz w:val="24"/>
      <w:szCs w:val="20"/>
      <w:lang w:eastAsia="en-US"/>
    </w:rPr>
  </w:style>
  <w:style w:type="character" w:default="1" w:styleId="134">
    <w:name w:val="Default Paragraph Font"/>
    <w:unhideWhenUsed/>
    <w:qFormat/>
    <w:uiPriority w:val="1"/>
  </w:style>
  <w:style w:type="table" w:default="1" w:styleId="89">
    <w:name w:val="Normal Table"/>
    <w:semiHidden/>
    <w:unhideWhenUsed/>
    <w:qFormat/>
    <w:uiPriority w:val="99"/>
    <w:tblPr>
      <w:tblCellMar>
        <w:top w:w="0" w:type="dxa"/>
        <w:left w:w="108" w:type="dxa"/>
        <w:bottom w:w="0" w:type="dxa"/>
        <w:right w:w="108" w:type="dxa"/>
      </w:tblCellMar>
    </w:tblPr>
  </w:style>
  <w:style w:type="paragraph" w:styleId="3">
    <w:name w:val="macro"/>
    <w:link w:val="183"/>
    <w:qFormat/>
    <w:uiPriority w:val="0"/>
    <w:pPr>
      <w:tabs>
        <w:tab w:val="left" w:pos="480"/>
        <w:tab w:val="left" w:pos="960"/>
        <w:tab w:val="left" w:pos="1440"/>
        <w:tab w:val="left" w:pos="1920"/>
        <w:tab w:val="left" w:pos="2400"/>
        <w:tab w:val="left" w:pos="2880"/>
        <w:tab w:val="left" w:pos="3360"/>
        <w:tab w:val="left" w:pos="3840"/>
        <w:tab w:val="left" w:pos="4320"/>
      </w:tabs>
    </w:pPr>
    <w:rPr>
      <w:rFonts w:ascii="Courier New" w:hAnsi="Courier New" w:eastAsia="宋体" w:cs="Courier New"/>
      <w:color w:val="333333"/>
      <w:lang w:val="en-US" w:eastAsia="en-US" w:bidi="ar-SA"/>
    </w:rPr>
  </w:style>
  <w:style w:type="paragraph" w:styleId="5">
    <w:name w:val="Body Text"/>
    <w:basedOn w:val="1"/>
    <w:link w:val="165"/>
    <w:qFormat/>
    <w:uiPriority w:val="0"/>
    <w:pPr>
      <w:widowControl/>
      <w:jc w:val="center"/>
    </w:pPr>
    <w:rPr>
      <w:rFonts w:eastAsia="黑体"/>
      <w:kern w:val="0"/>
      <w:sz w:val="44"/>
    </w:rPr>
  </w:style>
  <w:style w:type="paragraph" w:styleId="13">
    <w:name w:val="List 3"/>
    <w:basedOn w:val="1"/>
    <w:qFormat/>
    <w:uiPriority w:val="0"/>
    <w:pPr>
      <w:widowControl/>
      <w:ind w:left="849" w:hanging="283"/>
      <w:jc w:val="left"/>
    </w:pPr>
    <w:rPr>
      <w:rFonts w:ascii="Arial" w:hAnsi="Arial" w:eastAsia="楷体_GB2312"/>
      <w:spacing w:val="-8"/>
      <w:kern w:val="0"/>
      <w:sz w:val="24"/>
      <w:szCs w:val="20"/>
      <w:lang w:eastAsia="en-US"/>
    </w:rPr>
  </w:style>
  <w:style w:type="paragraph" w:styleId="14">
    <w:name w:val="toc 7"/>
    <w:basedOn w:val="1"/>
    <w:next w:val="1"/>
    <w:semiHidden/>
    <w:qFormat/>
    <w:uiPriority w:val="0"/>
    <w:pPr>
      <w:widowControl/>
      <w:ind w:left="1440"/>
      <w:jc w:val="left"/>
    </w:pPr>
    <w:rPr>
      <w:rFonts w:ascii="Times New Roman" w:hAnsi="Times New Roman" w:eastAsia="楷体_GB2312"/>
      <w:spacing w:val="-8"/>
      <w:kern w:val="0"/>
      <w:sz w:val="20"/>
      <w:szCs w:val="20"/>
      <w:lang w:eastAsia="en-US"/>
    </w:rPr>
  </w:style>
  <w:style w:type="paragraph" w:styleId="15">
    <w:name w:val="List Number 2"/>
    <w:basedOn w:val="1"/>
    <w:semiHidden/>
    <w:qFormat/>
    <w:uiPriority w:val="0"/>
    <w:pPr>
      <w:widowControl/>
      <w:spacing w:after="240"/>
      <w:jc w:val="left"/>
    </w:pPr>
    <w:rPr>
      <w:rFonts w:ascii="Arial" w:hAnsi="Arial" w:eastAsia="楷体_GB2312"/>
      <w:spacing w:val="-8"/>
      <w:kern w:val="0"/>
      <w:sz w:val="24"/>
      <w:szCs w:val="20"/>
      <w:lang w:eastAsia="en-US"/>
    </w:rPr>
  </w:style>
  <w:style w:type="paragraph" w:styleId="16">
    <w:name w:val="table of authorities"/>
    <w:basedOn w:val="1"/>
    <w:next w:val="1"/>
    <w:semiHidden/>
    <w:qFormat/>
    <w:uiPriority w:val="0"/>
    <w:pPr>
      <w:widowControl/>
      <w:ind w:left="200" w:hanging="200"/>
      <w:jc w:val="left"/>
    </w:pPr>
    <w:rPr>
      <w:rFonts w:ascii="Arial" w:hAnsi="Arial" w:eastAsia="楷体_GB2312"/>
      <w:spacing w:val="-8"/>
      <w:kern w:val="0"/>
      <w:sz w:val="24"/>
      <w:szCs w:val="20"/>
      <w:lang w:eastAsia="en-US"/>
    </w:rPr>
  </w:style>
  <w:style w:type="paragraph" w:styleId="17">
    <w:name w:val="Note Heading"/>
    <w:basedOn w:val="1"/>
    <w:next w:val="1"/>
    <w:link w:val="200"/>
    <w:semiHidden/>
    <w:qFormat/>
    <w:uiPriority w:val="0"/>
    <w:pPr>
      <w:widowControl/>
      <w:jc w:val="left"/>
    </w:pPr>
    <w:rPr>
      <w:rFonts w:ascii="Arial" w:hAnsi="Arial" w:eastAsia="楷体_GB2312"/>
      <w:spacing w:val="-8"/>
      <w:kern w:val="0"/>
      <w:sz w:val="24"/>
      <w:szCs w:val="20"/>
      <w:lang w:eastAsia="en-US"/>
    </w:rPr>
  </w:style>
  <w:style w:type="paragraph" w:styleId="18">
    <w:name w:val="List Bullet 4"/>
    <w:basedOn w:val="1"/>
    <w:semiHidden/>
    <w:qFormat/>
    <w:uiPriority w:val="0"/>
    <w:pPr>
      <w:widowControl/>
      <w:numPr>
        <w:ilvl w:val="0"/>
        <w:numId w:val="3"/>
      </w:numPr>
      <w:tabs>
        <w:tab w:val="left" w:pos="1209"/>
      </w:tabs>
      <w:jc w:val="left"/>
    </w:pPr>
    <w:rPr>
      <w:rFonts w:ascii="Arial" w:hAnsi="Arial" w:eastAsia="楷体_GB2312"/>
      <w:spacing w:val="-8"/>
      <w:kern w:val="0"/>
      <w:sz w:val="24"/>
      <w:szCs w:val="20"/>
      <w:lang w:eastAsia="en-US"/>
    </w:rPr>
  </w:style>
  <w:style w:type="paragraph" w:styleId="19">
    <w:name w:val="index 8"/>
    <w:basedOn w:val="1"/>
    <w:next w:val="1"/>
    <w:semiHidden/>
    <w:qFormat/>
    <w:uiPriority w:val="0"/>
    <w:pPr>
      <w:widowControl/>
      <w:ind w:left="1600" w:hanging="200"/>
      <w:jc w:val="left"/>
    </w:pPr>
    <w:rPr>
      <w:rFonts w:ascii="Arial" w:hAnsi="Arial" w:eastAsia="楷体_GB2312"/>
      <w:spacing w:val="-8"/>
      <w:kern w:val="0"/>
      <w:sz w:val="24"/>
      <w:szCs w:val="20"/>
      <w:lang w:eastAsia="en-US"/>
    </w:rPr>
  </w:style>
  <w:style w:type="paragraph" w:styleId="20">
    <w:name w:val="E-mail Signature"/>
    <w:basedOn w:val="1"/>
    <w:link w:val="179"/>
    <w:semiHidden/>
    <w:qFormat/>
    <w:uiPriority w:val="0"/>
    <w:pPr>
      <w:widowControl/>
      <w:jc w:val="left"/>
    </w:pPr>
    <w:rPr>
      <w:rFonts w:ascii="Arial" w:hAnsi="Arial" w:eastAsia="楷体_GB2312"/>
      <w:spacing w:val="-8"/>
      <w:kern w:val="0"/>
      <w:sz w:val="24"/>
      <w:szCs w:val="20"/>
      <w:lang w:eastAsia="en-US"/>
    </w:rPr>
  </w:style>
  <w:style w:type="paragraph" w:styleId="21">
    <w:name w:val="List Number"/>
    <w:basedOn w:val="5"/>
    <w:qFormat/>
    <w:uiPriority w:val="0"/>
    <w:pPr>
      <w:numPr>
        <w:ilvl w:val="0"/>
        <w:numId w:val="4"/>
      </w:numPr>
      <w:tabs>
        <w:tab w:val="left" w:pos="567"/>
      </w:tabs>
      <w:spacing w:after="240"/>
      <w:jc w:val="left"/>
    </w:pPr>
    <w:rPr>
      <w:rFonts w:ascii="Arial" w:hAnsi="Arial" w:eastAsia="楷体_GB2312"/>
      <w:spacing w:val="-8"/>
      <w:sz w:val="24"/>
      <w:szCs w:val="20"/>
      <w:lang w:eastAsia="en-US"/>
    </w:rPr>
  </w:style>
  <w:style w:type="paragraph" w:styleId="22">
    <w:name w:val="Normal Indent"/>
    <w:basedOn w:val="1"/>
    <w:semiHidden/>
    <w:qFormat/>
    <w:uiPriority w:val="0"/>
    <w:pPr>
      <w:widowControl/>
      <w:ind w:left="720"/>
      <w:jc w:val="left"/>
    </w:pPr>
    <w:rPr>
      <w:rFonts w:ascii="Arial" w:hAnsi="Arial" w:eastAsia="楷体_GB2312"/>
      <w:spacing w:val="-8"/>
      <w:kern w:val="0"/>
      <w:sz w:val="24"/>
      <w:szCs w:val="20"/>
      <w:lang w:eastAsia="en-US"/>
    </w:rPr>
  </w:style>
  <w:style w:type="paragraph" w:styleId="23">
    <w:name w:val="caption"/>
    <w:basedOn w:val="1"/>
    <w:next w:val="1"/>
    <w:qFormat/>
    <w:uiPriority w:val="35"/>
    <w:pPr>
      <w:widowControl/>
      <w:spacing w:before="120" w:after="120"/>
      <w:jc w:val="left"/>
    </w:pPr>
    <w:rPr>
      <w:rFonts w:ascii="Arial" w:hAnsi="Arial" w:eastAsia="楷体_GB2312"/>
      <w:b/>
      <w:bCs/>
      <w:spacing w:val="-8"/>
      <w:kern w:val="0"/>
      <w:sz w:val="24"/>
      <w:szCs w:val="20"/>
      <w:lang w:eastAsia="en-US"/>
    </w:rPr>
  </w:style>
  <w:style w:type="paragraph" w:styleId="24">
    <w:name w:val="index 5"/>
    <w:basedOn w:val="1"/>
    <w:next w:val="1"/>
    <w:semiHidden/>
    <w:qFormat/>
    <w:uiPriority w:val="0"/>
    <w:pPr>
      <w:widowControl/>
      <w:ind w:left="1000" w:hanging="200"/>
      <w:jc w:val="left"/>
    </w:pPr>
    <w:rPr>
      <w:rFonts w:ascii="Arial" w:hAnsi="Arial" w:eastAsia="楷体_GB2312"/>
      <w:spacing w:val="-8"/>
      <w:kern w:val="0"/>
      <w:sz w:val="24"/>
      <w:szCs w:val="20"/>
      <w:lang w:eastAsia="en-US"/>
    </w:rPr>
  </w:style>
  <w:style w:type="paragraph" w:styleId="25">
    <w:name w:val="List Bullet"/>
    <w:basedOn w:val="5"/>
    <w:qFormat/>
    <w:uiPriority w:val="0"/>
    <w:pPr>
      <w:numPr>
        <w:ilvl w:val="0"/>
        <w:numId w:val="5"/>
      </w:numPr>
      <w:tabs>
        <w:tab w:val="left" w:pos="567"/>
      </w:tabs>
      <w:spacing w:after="240"/>
      <w:jc w:val="left"/>
    </w:pPr>
    <w:rPr>
      <w:rFonts w:ascii="Arial" w:hAnsi="Arial" w:eastAsia="楷体_GB2312"/>
      <w:spacing w:val="-8"/>
      <w:sz w:val="24"/>
      <w:szCs w:val="20"/>
      <w:lang w:eastAsia="en-US"/>
    </w:rPr>
  </w:style>
  <w:style w:type="paragraph" w:styleId="26">
    <w:name w:val="envelope address"/>
    <w:basedOn w:val="1"/>
    <w:semiHidden/>
    <w:qFormat/>
    <w:uiPriority w:val="0"/>
    <w:pPr>
      <w:framePr w:w="7920" w:h="1980" w:hRule="exact" w:hSpace="180" w:wrap="around" w:vAnchor="margin" w:hAnchor="page" w:xAlign="center" w:yAlign="bottom"/>
      <w:widowControl/>
      <w:ind w:left="2880"/>
      <w:jc w:val="left"/>
    </w:pPr>
    <w:rPr>
      <w:rFonts w:ascii="Arial" w:hAnsi="Arial" w:eastAsia="楷体_GB2312" w:cs="Arial"/>
      <w:spacing w:val="-8"/>
      <w:kern w:val="0"/>
      <w:sz w:val="24"/>
      <w:lang w:eastAsia="en-US"/>
    </w:rPr>
  </w:style>
  <w:style w:type="paragraph" w:styleId="27">
    <w:name w:val="Document Map"/>
    <w:basedOn w:val="1"/>
    <w:link w:val="235"/>
    <w:qFormat/>
    <w:uiPriority w:val="0"/>
    <w:pPr>
      <w:widowControl/>
      <w:shd w:val="clear" w:color="auto" w:fill="000080"/>
      <w:jc w:val="left"/>
    </w:pPr>
    <w:rPr>
      <w:rFonts w:ascii="Tahoma" w:hAnsi="Tahoma" w:eastAsia="楷体_GB2312" w:cs="Tahoma"/>
      <w:spacing w:val="-8"/>
      <w:kern w:val="0"/>
      <w:sz w:val="24"/>
      <w:szCs w:val="20"/>
      <w:lang w:eastAsia="en-US"/>
    </w:rPr>
  </w:style>
  <w:style w:type="paragraph" w:styleId="28">
    <w:name w:val="toa heading"/>
    <w:basedOn w:val="1"/>
    <w:next w:val="1"/>
    <w:semiHidden/>
    <w:qFormat/>
    <w:uiPriority w:val="0"/>
    <w:pPr>
      <w:widowControl/>
      <w:spacing w:before="120"/>
      <w:jc w:val="left"/>
    </w:pPr>
    <w:rPr>
      <w:rFonts w:ascii="Arial" w:hAnsi="Arial" w:eastAsia="楷体_GB2312" w:cs="Arial"/>
      <w:b/>
      <w:bCs/>
      <w:spacing w:val="-8"/>
      <w:kern w:val="0"/>
      <w:sz w:val="24"/>
      <w:lang w:eastAsia="en-US"/>
    </w:rPr>
  </w:style>
  <w:style w:type="paragraph" w:styleId="29">
    <w:name w:val="annotation text"/>
    <w:basedOn w:val="1"/>
    <w:link w:val="243"/>
    <w:unhideWhenUsed/>
    <w:qFormat/>
    <w:uiPriority w:val="0"/>
    <w:pPr>
      <w:jc w:val="left"/>
    </w:pPr>
  </w:style>
  <w:style w:type="paragraph" w:styleId="30">
    <w:name w:val="index 6"/>
    <w:basedOn w:val="1"/>
    <w:next w:val="1"/>
    <w:semiHidden/>
    <w:qFormat/>
    <w:uiPriority w:val="0"/>
    <w:pPr>
      <w:widowControl/>
      <w:ind w:left="1200" w:hanging="200"/>
      <w:jc w:val="left"/>
    </w:pPr>
    <w:rPr>
      <w:rFonts w:ascii="Arial" w:hAnsi="Arial" w:eastAsia="楷体_GB2312"/>
      <w:spacing w:val="-8"/>
      <w:kern w:val="0"/>
      <w:sz w:val="24"/>
      <w:szCs w:val="20"/>
      <w:lang w:eastAsia="en-US"/>
    </w:rPr>
  </w:style>
  <w:style w:type="paragraph" w:styleId="31">
    <w:name w:val="Salutation"/>
    <w:basedOn w:val="1"/>
    <w:next w:val="1"/>
    <w:link w:val="225"/>
    <w:semiHidden/>
    <w:qFormat/>
    <w:uiPriority w:val="0"/>
    <w:pPr>
      <w:widowControl/>
      <w:jc w:val="left"/>
    </w:pPr>
    <w:rPr>
      <w:rFonts w:ascii="Arial" w:hAnsi="Arial" w:eastAsia="楷体_GB2312"/>
      <w:spacing w:val="-8"/>
      <w:kern w:val="0"/>
      <w:sz w:val="24"/>
      <w:szCs w:val="20"/>
      <w:lang w:eastAsia="en-US"/>
    </w:rPr>
  </w:style>
  <w:style w:type="paragraph" w:styleId="32">
    <w:name w:val="Body Text 3"/>
    <w:basedOn w:val="1"/>
    <w:link w:val="201"/>
    <w:qFormat/>
    <w:uiPriority w:val="0"/>
    <w:pPr>
      <w:widowControl/>
      <w:spacing w:after="120"/>
      <w:jc w:val="left"/>
    </w:pPr>
    <w:rPr>
      <w:rFonts w:ascii="Arial" w:hAnsi="Arial" w:eastAsia="楷体_GB2312"/>
      <w:spacing w:val="-8"/>
      <w:kern w:val="0"/>
      <w:sz w:val="16"/>
      <w:szCs w:val="16"/>
      <w:lang w:eastAsia="en-US"/>
    </w:rPr>
  </w:style>
  <w:style w:type="paragraph" w:styleId="33">
    <w:name w:val="Closing"/>
    <w:basedOn w:val="1"/>
    <w:link w:val="224"/>
    <w:semiHidden/>
    <w:qFormat/>
    <w:uiPriority w:val="0"/>
    <w:pPr>
      <w:widowControl/>
      <w:ind w:left="4252"/>
      <w:jc w:val="left"/>
    </w:pPr>
    <w:rPr>
      <w:rFonts w:ascii="Arial" w:hAnsi="Arial" w:eastAsia="楷体_GB2312"/>
      <w:spacing w:val="-8"/>
      <w:kern w:val="0"/>
      <w:sz w:val="24"/>
      <w:szCs w:val="20"/>
      <w:lang w:eastAsia="en-US"/>
    </w:rPr>
  </w:style>
  <w:style w:type="paragraph" w:styleId="34">
    <w:name w:val="List Bullet 3"/>
    <w:basedOn w:val="1"/>
    <w:semiHidden/>
    <w:qFormat/>
    <w:uiPriority w:val="0"/>
    <w:pPr>
      <w:widowControl/>
      <w:numPr>
        <w:ilvl w:val="0"/>
        <w:numId w:val="6"/>
      </w:numPr>
      <w:tabs>
        <w:tab w:val="left" w:pos="926"/>
      </w:tabs>
      <w:jc w:val="left"/>
    </w:pPr>
    <w:rPr>
      <w:rFonts w:ascii="Arial" w:hAnsi="Arial" w:eastAsia="楷体_GB2312"/>
      <w:spacing w:val="-8"/>
      <w:kern w:val="0"/>
      <w:sz w:val="24"/>
      <w:szCs w:val="20"/>
      <w:lang w:eastAsia="en-US"/>
    </w:rPr>
  </w:style>
  <w:style w:type="paragraph" w:styleId="35">
    <w:name w:val="Body Text Indent"/>
    <w:basedOn w:val="1"/>
    <w:link w:val="233"/>
    <w:semiHidden/>
    <w:qFormat/>
    <w:uiPriority w:val="0"/>
    <w:pPr>
      <w:widowControl/>
      <w:spacing w:after="120"/>
      <w:ind w:left="283"/>
      <w:jc w:val="left"/>
    </w:pPr>
    <w:rPr>
      <w:rFonts w:ascii="Arial" w:hAnsi="Arial" w:eastAsia="楷体_GB2312"/>
      <w:spacing w:val="-8"/>
      <w:kern w:val="0"/>
      <w:sz w:val="24"/>
      <w:szCs w:val="20"/>
      <w:lang w:eastAsia="en-US"/>
    </w:rPr>
  </w:style>
  <w:style w:type="paragraph" w:styleId="36">
    <w:name w:val="List Number 3"/>
    <w:basedOn w:val="1"/>
    <w:semiHidden/>
    <w:qFormat/>
    <w:uiPriority w:val="0"/>
    <w:pPr>
      <w:widowControl/>
      <w:numPr>
        <w:ilvl w:val="0"/>
        <w:numId w:val="7"/>
      </w:numPr>
      <w:tabs>
        <w:tab w:val="left" w:pos="926"/>
      </w:tabs>
      <w:jc w:val="left"/>
    </w:pPr>
    <w:rPr>
      <w:rFonts w:ascii="Arial" w:hAnsi="Arial" w:eastAsia="楷体_GB2312"/>
      <w:spacing w:val="-8"/>
      <w:kern w:val="0"/>
      <w:sz w:val="24"/>
      <w:szCs w:val="20"/>
      <w:lang w:eastAsia="en-US"/>
    </w:rPr>
  </w:style>
  <w:style w:type="paragraph" w:styleId="37">
    <w:name w:val="List 2"/>
    <w:basedOn w:val="1"/>
    <w:qFormat/>
    <w:uiPriority w:val="0"/>
    <w:pPr>
      <w:widowControl/>
      <w:ind w:left="566" w:hanging="283"/>
      <w:jc w:val="left"/>
    </w:pPr>
    <w:rPr>
      <w:rFonts w:ascii="Arial" w:hAnsi="Arial" w:eastAsia="楷体_GB2312"/>
      <w:spacing w:val="-8"/>
      <w:kern w:val="0"/>
      <w:sz w:val="24"/>
      <w:szCs w:val="20"/>
      <w:lang w:eastAsia="en-US"/>
    </w:rPr>
  </w:style>
  <w:style w:type="paragraph" w:styleId="38">
    <w:name w:val="List Continue"/>
    <w:basedOn w:val="1"/>
    <w:semiHidden/>
    <w:qFormat/>
    <w:uiPriority w:val="0"/>
    <w:pPr>
      <w:widowControl/>
      <w:spacing w:after="120"/>
      <w:ind w:left="283"/>
      <w:jc w:val="left"/>
    </w:pPr>
    <w:rPr>
      <w:rFonts w:ascii="Arial" w:hAnsi="Arial" w:eastAsia="楷体_GB2312"/>
      <w:spacing w:val="-8"/>
      <w:kern w:val="0"/>
      <w:sz w:val="24"/>
      <w:szCs w:val="20"/>
      <w:lang w:eastAsia="en-US"/>
    </w:rPr>
  </w:style>
  <w:style w:type="paragraph" w:styleId="39">
    <w:name w:val="Block Text"/>
    <w:basedOn w:val="1"/>
    <w:next w:val="5"/>
    <w:semiHidden/>
    <w:qFormat/>
    <w:uiPriority w:val="0"/>
    <w:pPr>
      <w:widowControl/>
      <w:spacing w:after="120" w:line="240" w:lineRule="atLeast"/>
      <w:ind w:left="1134"/>
      <w:jc w:val="left"/>
    </w:pPr>
    <w:rPr>
      <w:rFonts w:ascii="Arial" w:hAnsi="Arial" w:eastAsia="楷体_GB2312"/>
      <w:spacing w:val="-8"/>
      <w:kern w:val="0"/>
      <w:sz w:val="24"/>
      <w:szCs w:val="20"/>
      <w:lang w:eastAsia="en-US"/>
    </w:rPr>
  </w:style>
  <w:style w:type="paragraph" w:styleId="40">
    <w:name w:val="List Bullet 2"/>
    <w:basedOn w:val="5"/>
    <w:semiHidden/>
    <w:qFormat/>
    <w:uiPriority w:val="0"/>
    <w:pPr>
      <w:numPr>
        <w:ilvl w:val="0"/>
        <w:numId w:val="8"/>
      </w:numPr>
      <w:tabs>
        <w:tab w:val="left" w:pos="567"/>
      </w:tabs>
      <w:spacing w:after="240"/>
      <w:jc w:val="left"/>
    </w:pPr>
    <w:rPr>
      <w:rFonts w:ascii="Arial" w:hAnsi="Arial" w:eastAsia="楷体_GB2312"/>
      <w:spacing w:val="-8"/>
      <w:sz w:val="24"/>
      <w:szCs w:val="20"/>
      <w:lang w:eastAsia="en-US"/>
    </w:rPr>
  </w:style>
  <w:style w:type="paragraph" w:styleId="41">
    <w:name w:val="HTML Address"/>
    <w:basedOn w:val="1"/>
    <w:link w:val="178"/>
    <w:semiHidden/>
    <w:qFormat/>
    <w:uiPriority w:val="0"/>
    <w:pPr>
      <w:widowControl/>
      <w:jc w:val="left"/>
    </w:pPr>
    <w:rPr>
      <w:rFonts w:ascii="Arial" w:hAnsi="Arial" w:eastAsia="楷体_GB2312"/>
      <w:i/>
      <w:iCs/>
      <w:spacing w:val="-8"/>
      <w:kern w:val="0"/>
      <w:sz w:val="24"/>
      <w:szCs w:val="20"/>
      <w:lang w:eastAsia="en-US"/>
    </w:rPr>
  </w:style>
  <w:style w:type="paragraph" w:styleId="42">
    <w:name w:val="index 4"/>
    <w:basedOn w:val="1"/>
    <w:next w:val="1"/>
    <w:semiHidden/>
    <w:qFormat/>
    <w:uiPriority w:val="0"/>
    <w:pPr>
      <w:widowControl/>
      <w:ind w:left="800" w:hanging="200"/>
      <w:jc w:val="left"/>
    </w:pPr>
    <w:rPr>
      <w:rFonts w:ascii="Arial" w:hAnsi="Arial" w:eastAsia="楷体_GB2312"/>
      <w:spacing w:val="-8"/>
      <w:kern w:val="0"/>
      <w:sz w:val="24"/>
      <w:szCs w:val="20"/>
      <w:lang w:eastAsia="en-US"/>
    </w:rPr>
  </w:style>
  <w:style w:type="paragraph" w:styleId="43">
    <w:name w:val="toc 5"/>
    <w:basedOn w:val="44"/>
    <w:next w:val="1"/>
    <w:qFormat/>
    <w:uiPriority w:val="0"/>
    <w:pPr>
      <w:ind w:left="960"/>
    </w:pPr>
  </w:style>
  <w:style w:type="paragraph" w:styleId="44">
    <w:name w:val="toc 4"/>
    <w:basedOn w:val="45"/>
    <w:next w:val="1"/>
    <w:qFormat/>
    <w:uiPriority w:val="0"/>
    <w:pPr>
      <w:ind w:left="720"/>
    </w:pPr>
  </w:style>
  <w:style w:type="paragraph" w:styleId="45">
    <w:name w:val="toc 3"/>
    <w:basedOn w:val="46"/>
    <w:next w:val="1"/>
    <w:qFormat/>
    <w:uiPriority w:val="39"/>
    <w:pPr>
      <w:spacing w:before="0"/>
      <w:ind w:left="480"/>
    </w:pPr>
    <w:rPr>
      <w:b w:val="0"/>
      <w:bCs w:val="0"/>
      <w:sz w:val="20"/>
      <w:szCs w:val="20"/>
    </w:rPr>
  </w:style>
  <w:style w:type="paragraph" w:styleId="46">
    <w:name w:val="toc 2"/>
    <w:basedOn w:val="47"/>
    <w:next w:val="1"/>
    <w:qFormat/>
    <w:uiPriority w:val="39"/>
    <w:pPr>
      <w:ind w:left="240"/>
    </w:pPr>
    <w:rPr>
      <w:i w:val="0"/>
      <w:iCs w:val="0"/>
      <w:sz w:val="22"/>
      <w:szCs w:val="22"/>
    </w:rPr>
  </w:style>
  <w:style w:type="paragraph" w:styleId="47">
    <w:name w:val="toc 1"/>
    <w:basedOn w:val="48"/>
    <w:next w:val="48"/>
    <w:qFormat/>
    <w:uiPriority w:val="39"/>
    <w:pPr>
      <w:spacing w:before="120" w:after="0" w:line="240" w:lineRule="auto"/>
      <w:jc w:val="left"/>
    </w:pPr>
    <w:rPr>
      <w:rFonts w:ascii="Times New Roman" w:hAnsi="Times New Roman"/>
      <w:b/>
      <w:bCs/>
      <w:i/>
      <w:iCs/>
      <w:color w:val="auto"/>
      <w:spacing w:val="-8"/>
      <w:sz w:val="24"/>
      <w:szCs w:val="24"/>
    </w:rPr>
  </w:style>
  <w:style w:type="paragraph" w:customStyle="1" w:styleId="48">
    <w:name w:val="K&amp;W Normal"/>
    <w:qFormat/>
    <w:uiPriority w:val="0"/>
    <w:pPr>
      <w:spacing w:after="280" w:line="240" w:lineRule="atLeast"/>
      <w:jc w:val="both"/>
    </w:pPr>
    <w:rPr>
      <w:rFonts w:ascii="Arial" w:hAnsi="Arial" w:eastAsia="楷体_GB2312" w:cs="Times New Roman"/>
      <w:color w:val="000000"/>
      <w:lang w:val="en-US" w:eastAsia="en-US" w:bidi="ar-SA"/>
    </w:rPr>
  </w:style>
  <w:style w:type="paragraph" w:styleId="49">
    <w:name w:val="Plain Text"/>
    <w:basedOn w:val="1"/>
    <w:link w:val="192"/>
    <w:unhideWhenUsed/>
    <w:qFormat/>
    <w:uiPriority w:val="0"/>
    <w:rPr>
      <w:rFonts w:ascii="宋体" w:hAnsi="Courier New" w:eastAsia="宋体"/>
      <w:sz w:val="21"/>
      <w:szCs w:val="21"/>
      <w:lang w:val="zh-CN"/>
    </w:rPr>
  </w:style>
  <w:style w:type="paragraph" w:styleId="50">
    <w:name w:val="List Bullet 5"/>
    <w:basedOn w:val="1"/>
    <w:semiHidden/>
    <w:qFormat/>
    <w:uiPriority w:val="0"/>
    <w:pPr>
      <w:widowControl/>
      <w:numPr>
        <w:ilvl w:val="0"/>
        <w:numId w:val="9"/>
      </w:numPr>
      <w:tabs>
        <w:tab w:val="left" w:pos="1492"/>
      </w:tabs>
      <w:jc w:val="left"/>
    </w:pPr>
    <w:rPr>
      <w:rFonts w:ascii="Arial" w:hAnsi="Arial" w:eastAsia="楷体_GB2312"/>
      <w:spacing w:val="-8"/>
      <w:kern w:val="0"/>
      <w:sz w:val="24"/>
      <w:szCs w:val="20"/>
      <w:lang w:eastAsia="en-US"/>
    </w:rPr>
  </w:style>
  <w:style w:type="paragraph" w:styleId="51">
    <w:name w:val="List Number 4"/>
    <w:basedOn w:val="1"/>
    <w:semiHidden/>
    <w:qFormat/>
    <w:uiPriority w:val="0"/>
    <w:pPr>
      <w:widowControl/>
      <w:tabs>
        <w:tab w:val="left" w:pos="567"/>
        <w:tab w:val="left" w:pos="1209"/>
      </w:tabs>
      <w:ind w:left="567" w:hanging="567"/>
      <w:jc w:val="left"/>
    </w:pPr>
    <w:rPr>
      <w:rFonts w:ascii="Arial" w:hAnsi="Arial" w:eastAsia="楷体_GB2312"/>
      <w:spacing w:val="-8"/>
      <w:kern w:val="0"/>
      <w:sz w:val="24"/>
      <w:szCs w:val="20"/>
      <w:lang w:eastAsia="en-US"/>
    </w:rPr>
  </w:style>
  <w:style w:type="paragraph" w:styleId="52">
    <w:name w:val="toc 8"/>
    <w:basedOn w:val="1"/>
    <w:next w:val="1"/>
    <w:semiHidden/>
    <w:qFormat/>
    <w:uiPriority w:val="0"/>
    <w:pPr>
      <w:widowControl/>
      <w:ind w:left="1680"/>
      <w:jc w:val="left"/>
    </w:pPr>
    <w:rPr>
      <w:rFonts w:ascii="Times New Roman" w:hAnsi="Times New Roman" w:eastAsia="楷体_GB2312"/>
      <w:spacing w:val="-8"/>
      <w:kern w:val="0"/>
      <w:sz w:val="20"/>
      <w:szCs w:val="20"/>
      <w:lang w:eastAsia="en-US"/>
    </w:rPr>
  </w:style>
  <w:style w:type="paragraph" w:styleId="53">
    <w:name w:val="index 3"/>
    <w:basedOn w:val="1"/>
    <w:next w:val="1"/>
    <w:semiHidden/>
    <w:qFormat/>
    <w:uiPriority w:val="0"/>
    <w:pPr>
      <w:widowControl/>
      <w:ind w:left="600" w:hanging="200"/>
      <w:jc w:val="left"/>
    </w:pPr>
    <w:rPr>
      <w:rFonts w:ascii="Arial" w:hAnsi="Arial" w:eastAsia="楷体_GB2312"/>
      <w:spacing w:val="-8"/>
      <w:kern w:val="0"/>
      <w:sz w:val="24"/>
      <w:szCs w:val="20"/>
      <w:lang w:eastAsia="en-US"/>
    </w:rPr>
  </w:style>
  <w:style w:type="paragraph" w:styleId="54">
    <w:name w:val="Date"/>
    <w:basedOn w:val="1"/>
    <w:next w:val="1"/>
    <w:link w:val="244"/>
    <w:unhideWhenUsed/>
    <w:qFormat/>
    <w:uiPriority w:val="0"/>
  </w:style>
  <w:style w:type="paragraph" w:styleId="55">
    <w:name w:val="Body Text Indent 2"/>
    <w:basedOn w:val="1"/>
    <w:link w:val="166"/>
    <w:semiHidden/>
    <w:qFormat/>
    <w:uiPriority w:val="0"/>
    <w:pPr>
      <w:widowControl/>
      <w:spacing w:after="120" w:line="480" w:lineRule="auto"/>
      <w:ind w:left="283"/>
      <w:jc w:val="left"/>
    </w:pPr>
    <w:rPr>
      <w:rFonts w:ascii="Arial" w:hAnsi="Arial" w:eastAsia="楷体_GB2312"/>
      <w:spacing w:val="-8"/>
      <w:kern w:val="0"/>
      <w:sz w:val="24"/>
      <w:szCs w:val="20"/>
      <w:lang w:eastAsia="en-US"/>
    </w:rPr>
  </w:style>
  <w:style w:type="paragraph" w:styleId="56">
    <w:name w:val="endnote text"/>
    <w:basedOn w:val="48"/>
    <w:link w:val="196"/>
    <w:qFormat/>
    <w:uiPriority w:val="0"/>
    <w:pPr>
      <w:spacing w:afterLines="50" w:line="240" w:lineRule="auto"/>
      <w:ind w:left="85" w:hanging="85"/>
      <w:jc w:val="left"/>
    </w:pPr>
    <w:rPr>
      <w:color w:val="auto"/>
      <w:sz w:val="18"/>
    </w:rPr>
  </w:style>
  <w:style w:type="paragraph" w:styleId="57">
    <w:name w:val="List Continue 5"/>
    <w:basedOn w:val="1"/>
    <w:qFormat/>
    <w:uiPriority w:val="0"/>
    <w:pPr>
      <w:widowControl/>
      <w:spacing w:after="120"/>
      <w:ind w:left="1415"/>
      <w:jc w:val="left"/>
    </w:pPr>
    <w:rPr>
      <w:rFonts w:ascii="Arial" w:hAnsi="Arial" w:eastAsia="楷体_GB2312"/>
      <w:spacing w:val="-8"/>
      <w:kern w:val="0"/>
      <w:sz w:val="24"/>
      <w:szCs w:val="20"/>
      <w:lang w:eastAsia="en-US"/>
    </w:rPr>
  </w:style>
  <w:style w:type="paragraph" w:styleId="58">
    <w:name w:val="Balloon Text"/>
    <w:basedOn w:val="1"/>
    <w:link w:val="158"/>
    <w:qFormat/>
    <w:uiPriority w:val="0"/>
    <w:rPr>
      <w:sz w:val="18"/>
      <w:szCs w:val="18"/>
    </w:rPr>
  </w:style>
  <w:style w:type="paragraph" w:styleId="59">
    <w:name w:val="footer"/>
    <w:basedOn w:val="1"/>
    <w:link w:val="220"/>
    <w:unhideWhenUsed/>
    <w:qFormat/>
    <w:uiPriority w:val="99"/>
    <w:pPr>
      <w:tabs>
        <w:tab w:val="center" w:pos="4153"/>
        <w:tab w:val="right" w:pos="8306"/>
      </w:tabs>
      <w:snapToGrid w:val="0"/>
      <w:jc w:val="left"/>
    </w:pPr>
    <w:rPr>
      <w:sz w:val="18"/>
      <w:szCs w:val="18"/>
    </w:rPr>
  </w:style>
  <w:style w:type="paragraph" w:styleId="60">
    <w:name w:val="envelope return"/>
    <w:basedOn w:val="1"/>
    <w:semiHidden/>
    <w:qFormat/>
    <w:uiPriority w:val="0"/>
    <w:pPr>
      <w:widowControl/>
      <w:jc w:val="left"/>
    </w:pPr>
    <w:rPr>
      <w:rFonts w:ascii="Arial" w:hAnsi="Arial" w:eastAsia="楷体_GB2312" w:cs="Arial"/>
      <w:spacing w:val="-8"/>
      <w:kern w:val="0"/>
      <w:sz w:val="24"/>
      <w:szCs w:val="20"/>
      <w:lang w:eastAsia="en-US"/>
    </w:rPr>
  </w:style>
  <w:style w:type="paragraph" w:styleId="61">
    <w:name w:val="header"/>
    <w:basedOn w:val="1"/>
    <w:link w:val="22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2">
    <w:name w:val="Signature"/>
    <w:basedOn w:val="1"/>
    <w:link w:val="153"/>
    <w:semiHidden/>
    <w:qFormat/>
    <w:uiPriority w:val="0"/>
    <w:pPr>
      <w:widowControl/>
      <w:ind w:left="4252"/>
      <w:jc w:val="left"/>
    </w:pPr>
    <w:rPr>
      <w:rFonts w:ascii="Arial" w:hAnsi="Arial" w:eastAsia="楷体_GB2312"/>
      <w:spacing w:val="-8"/>
      <w:kern w:val="0"/>
      <w:sz w:val="24"/>
      <w:szCs w:val="20"/>
      <w:lang w:eastAsia="en-US"/>
    </w:rPr>
  </w:style>
  <w:style w:type="paragraph" w:styleId="63">
    <w:name w:val="List Continue 4"/>
    <w:basedOn w:val="1"/>
    <w:qFormat/>
    <w:uiPriority w:val="0"/>
    <w:pPr>
      <w:widowControl/>
      <w:spacing w:after="120"/>
      <w:ind w:left="1132"/>
      <w:jc w:val="left"/>
    </w:pPr>
    <w:rPr>
      <w:rFonts w:ascii="Arial" w:hAnsi="Arial" w:eastAsia="楷体_GB2312"/>
      <w:spacing w:val="-8"/>
      <w:kern w:val="0"/>
      <w:sz w:val="24"/>
      <w:szCs w:val="20"/>
      <w:lang w:eastAsia="en-US"/>
    </w:rPr>
  </w:style>
  <w:style w:type="paragraph" w:styleId="64">
    <w:name w:val="index heading"/>
    <w:basedOn w:val="1"/>
    <w:next w:val="65"/>
    <w:semiHidden/>
    <w:qFormat/>
    <w:uiPriority w:val="0"/>
    <w:pPr>
      <w:widowControl/>
      <w:jc w:val="left"/>
    </w:pPr>
    <w:rPr>
      <w:rFonts w:ascii="Arial" w:hAnsi="Arial" w:eastAsia="楷体_GB2312" w:cs="Arial"/>
      <w:b/>
      <w:bCs/>
      <w:spacing w:val="-8"/>
      <w:kern w:val="0"/>
      <w:sz w:val="24"/>
      <w:szCs w:val="20"/>
      <w:lang w:eastAsia="en-US"/>
    </w:rPr>
  </w:style>
  <w:style w:type="paragraph" w:styleId="65">
    <w:name w:val="index 1"/>
    <w:basedOn w:val="1"/>
    <w:next w:val="1"/>
    <w:semiHidden/>
    <w:qFormat/>
    <w:uiPriority w:val="0"/>
    <w:pPr>
      <w:widowControl/>
      <w:ind w:left="200" w:hanging="200"/>
      <w:jc w:val="left"/>
    </w:pPr>
    <w:rPr>
      <w:rFonts w:ascii="Arial" w:hAnsi="Arial" w:eastAsia="楷体_GB2312"/>
      <w:spacing w:val="-8"/>
      <w:kern w:val="0"/>
      <w:sz w:val="24"/>
      <w:szCs w:val="20"/>
      <w:lang w:eastAsia="en-US"/>
    </w:rPr>
  </w:style>
  <w:style w:type="paragraph" w:styleId="66">
    <w:name w:val="Subtitle"/>
    <w:basedOn w:val="1"/>
    <w:link w:val="209"/>
    <w:qFormat/>
    <w:uiPriority w:val="0"/>
    <w:pPr>
      <w:widowControl/>
      <w:spacing w:after="60"/>
      <w:jc w:val="center"/>
      <w:outlineLvl w:val="1"/>
    </w:pPr>
    <w:rPr>
      <w:rFonts w:ascii="Arial" w:hAnsi="Arial" w:eastAsia="楷体_GB2312" w:cs="Arial"/>
      <w:spacing w:val="-8"/>
      <w:kern w:val="0"/>
      <w:sz w:val="24"/>
      <w:lang w:eastAsia="en-US"/>
    </w:rPr>
  </w:style>
  <w:style w:type="paragraph" w:styleId="67">
    <w:name w:val="List Number 5"/>
    <w:basedOn w:val="1"/>
    <w:semiHidden/>
    <w:qFormat/>
    <w:uiPriority w:val="0"/>
    <w:pPr>
      <w:widowControl/>
      <w:numPr>
        <w:ilvl w:val="0"/>
        <w:numId w:val="10"/>
      </w:numPr>
      <w:tabs>
        <w:tab w:val="left" w:pos="1012"/>
      </w:tabs>
      <w:jc w:val="left"/>
    </w:pPr>
    <w:rPr>
      <w:rFonts w:ascii="Arial" w:hAnsi="Arial" w:eastAsia="楷体_GB2312"/>
      <w:spacing w:val="-8"/>
      <w:kern w:val="0"/>
      <w:sz w:val="24"/>
      <w:szCs w:val="20"/>
      <w:lang w:eastAsia="en-US"/>
    </w:rPr>
  </w:style>
  <w:style w:type="paragraph" w:styleId="68">
    <w:name w:val="List"/>
    <w:basedOn w:val="1"/>
    <w:semiHidden/>
    <w:qFormat/>
    <w:uiPriority w:val="0"/>
    <w:pPr>
      <w:widowControl/>
      <w:ind w:left="283" w:hanging="283"/>
      <w:jc w:val="left"/>
    </w:pPr>
    <w:rPr>
      <w:rFonts w:ascii="Arial" w:hAnsi="Arial" w:eastAsia="楷体_GB2312"/>
      <w:spacing w:val="-8"/>
      <w:kern w:val="0"/>
      <w:sz w:val="24"/>
      <w:szCs w:val="20"/>
      <w:lang w:eastAsia="en-US"/>
    </w:rPr>
  </w:style>
  <w:style w:type="paragraph" w:styleId="69">
    <w:name w:val="footnote text"/>
    <w:basedOn w:val="48"/>
    <w:link w:val="170"/>
    <w:qFormat/>
    <w:uiPriority w:val="0"/>
    <w:pPr>
      <w:spacing w:afterLines="50" w:line="240" w:lineRule="auto"/>
      <w:ind w:left="85" w:hanging="85"/>
      <w:jc w:val="left"/>
    </w:pPr>
    <w:rPr>
      <w:color w:val="auto"/>
      <w:sz w:val="18"/>
      <w:szCs w:val="16"/>
    </w:rPr>
  </w:style>
  <w:style w:type="paragraph" w:styleId="70">
    <w:name w:val="toc 6"/>
    <w:basedOn w:val="1"/>
    <w:next w:val="1"/>
    <w:semiHidden/>
    <w:qFormat/>
    <w:uiPriority w:val="0"/>
    <w:pPr>
      <w:widowControl/>
      <w:ind w:left="1200"/>
      <w:jc w:val="left"/>
    </w:pPr>
    <w:rPr>
      <w:rFonts w:ascii="Times New Roman" w:hAnsi="Times New Roman" w:eastAsia="楷体_GB2312"/>
      <w:spacing w:val="-8"/>
      <w:kern w:val="0"/>
      <w:sz w:val="20"/>
      <w:szCs w:val="20"/>
      <w:lang w:eastAsia="en-US"/>
    </w:rPr>
  </w:style>
  <w:style w:type="paragraph" w:styleId="71">
    <w:name w:val="List 5"/>
    <w:basedOn w:val="1"/>
    <w:semiHidden/>
    <w:qFormat/>
    <w:uiPriority w:val="0"/>
    <w:pPr>
      <w:widowControl/>
      <w:ind w:left="1415" w:hanging="283"/>
      <w:jc w:val="left"/>
    </w:pPr>
    <w:rPr>
      <w:rFonts w:ascii="Arial" w:hAnsi="Arial" w:eastAsia="楷体_GB2312"/>
      <w:spacing w:val="-8"/>
      <w:kern w:val="0"/>
      <w:sz w:val="24"/>
      <w:szCs w:val="20"/>
      <w:lang w:eastAsia="en-US"/>
    </w:rPr>
  </w:style>
  <w:style w:type="paragraph" w:styleId="72">
    <w:name w:val="Body Text Indent 3"/>
    <w:basedOn w:val="1"/>
    <w:link w:val="221"/>
    <w:semiHidden/>
    <w:qFormat/>
    <w:uiPriority w:val="0"/>
    <w:pPr>
      <w:widowControl/>
      <w:spacing w:after="120"/>
      <w:ind w:left="283"/>
      <w:jc w:val="left"/>
    </w:pPr>
    <w:rPr>
      <w:rFonts w:ascii="Arial" w:hAnsi="Arial" w:eastAsia="楷体_GB2312"/>
      <w:spacing w:val="-8"/>
      <w:kern w:val="0"/>
      <w:sz w:val="16"/>
      <w:szCs w:val="16"/>
      <w:lang w:eastAsia="en-US"/>
    </w:rPr>
  </w:style>
  <w:style w:type="paragraph" w:styleId="73">
    <w:name w:val="index 7"/>
    <w:basedOn w:val="1"/>
    <w:next w:val="1"/>
    <w:semiHidden/>
    <w:qFormat/>
    <w:uiPriority w:val="0"/>
    <w:pPr>
      <w:widowControl/>
      <w:ind w:left="1400" w:hanging="200"/>
      <w:jc w:val="left"/>
    </w:pPr>
    <w:rPr>
      <w:rFonts w:ascii="Arial" w:hAnsi="Arial" w:eastAsia="楷体_GB2312"/>
      <w:spacing w:val="-8"/>
      <w:kern w:val="0"/>
      <w:sz w:val="24"/>
      <w:szCs w:val="20"/>
      <w:lang w:eastAsia="en-US"/>
    </w:rPr>
  </w:style>
  <w:style w:type="paragraph" w:styleId="74">
    <w:name w:val="index 9"/>
    <w:basedOn w:val="1"/>
    <w:next w:val="1"/>
    <w:semiHidden/>
    <w:qFormat/>
    <w:uiPriority w:val="0"/>
    <w:pPr>
      <w:widowControl/>
      <w:ind w:left="1800" w:hanging="200"/>
      <w:jc w:val="left"/>
    </w:pPr>
    <w:rPr>
      <w:rFonts w:ascii="Arial" w:hAnsi="Arial" w:eastAsia="楷体_GB2312"/>
      <w:spacing w:val="-8"/>
      <w:kern w:val="0"/>
      <w:sz w:val="24"/>
      <w:szCs w:val="20"/>
      <w:lang w:eastAsia="en-US"/>
    </w:rPr>
  </w:style>
  <w:style w:type="paragraph" w:styleId="75">
    <w:name w:val="table of figures"/>
    <w:basedOn w:val="1"/>
    <w:next w:val="1"/>
    <w:semiHidden/>
    <w:qFormat/>
    <w:uiPriority w:val="0"/>
    <w:pPr>
      <w:widowControl/>
      <w:ind w:left="400" w:hanging="400"/>
      <w:jc w:val="left"/>
    </w:pPr>
    <w:rPr>
      <w:rFonts w:ascii="Arial" w:hAnsi="Arial" w:eastAsia="楷体_GB2312"/>
      <w:spacing w:val="-8"/>
      <w:kern w:val="0"/>
      <w:sz w:val="24"/>
      <w:szCs w:val="20"/>
      <w:lang w:eastAsia="en-US"/>
    </w:rPr>
  </w:style>
  <w:style w:type="paragraph" w:styleId="76">
    <w:name w:val="toc 9"/>
    <w:basedOn w:val="1"/>
    <w:next w:val="1"/>
    <w:semiHidden/>
    <w:qFormat/>
    <w:uiPriority w:val="0"/>
    <w:pPr>
      <w:widowControl/>
      <w:ind w:left="1920"/>
      <w:jc w:val="left"/>
    </w:pPr>
    <w:rPr>
      <w:rFonts w:ascii="Times New Roman" w:hAnsi="Times New Roman" w:eastAsia="楷体_GB2312"/>
      <w:spacing w:val="-8"/>
      <w:kern w:val="0"/>
      <w:sz w:val="20"/>
      <w:szCs w:val="20"/>
      <w:lang w:eastAsia="en-US"/>
    </w:rPr>
  </w:style>
  <w:style w:type="paragraph" w:styleId="77">
    <w:name w:val="Body Text 2"/>
    <w:basedOn w:val="1"/>
    <w:link w:val="174"/>
    <w:semiHidden/>
    <w:qFormat/>
    <w:uiPriority w:val="0"/>
    <w:pPr>
      <w:widowControl/>
      <w:spacing w:after="120" w:line="480" w:lineRule="auto"/>
      <w:jc w:val="left"/>
    </w:pPr>
    <w:rPr>
      <w:rFonts w:ascii="Arial" w:hAnsi="Arial" w:eastAsia="楷体_GB2312"/>
      <w:spacing w:val="-8"/>
      <w:kern w:val="0"/>
      <w:sz w:val="24"/>
      <w:szCs w:val="20"/>
      <w:lang w:eastAsia="en-US"/>
    </w:rPr>
  </w:style>
  <w:style w:type="paragraph" w:styleId="78">
    <w:name w:val="List 4"/>
    <w:basedOn w:val="1"/>
    <w:semiHidden/>
    <w:qFormat/>
    <w:uiPriority w:val="0"/>
    <w:pPr>
      <w:widowControl/>
      <w:ind w:left="1132" w:hanging="283"/>
      <w:jc w:val="left"/>
    </w:pPr>
    <w:rPr>
      <w:rFonts w:ascii="Arial" w:hAnsi="Arial" w:eastAsia="楷体_GB2312"/>
      <w:spacing w:val="-8"/>
      <w:kern w:val="0"/>
      <w:sz w:val="24"/>
      <w:szCs w:val="20"/>
      <w:lang w:eastAsia="en-US"/>
    </w:rPr>
  </w:style>
  <w:style w:type="paragraph" w:styleId="79">
    <w:name w:val="List Continue 2"/>
    <w:basedOn w:val="1"/>
    <w:semiHidden/>
    <w:qFormat/>
    <w:uiPriority w:val="0"/>
    <w:pPr>
      <w:widowControl/>
      <w:spacing w:after="120"/>
      <w:ind w:left="566"/>
      <w:jc w:val="left"/>
    </w:pPr>
    <w:rPr>
      <w:rFonts w:ascii="Arial" w:hAnsi="Arial" w:eastAsia="楷体_GB2312"/>
      <w:spacing w:val="-8"/>
      <w:kern w:val="0"/>
      <w:sz w:val="24"/>
      <w:szCs w:val="20"/>
      <w:lang w:eastAsia="en-US"/>
    </w:rPr>
  </w:style>
  <w:style w:type="paragraph" w:styleId="80">
    <w:name w:val="Message Header"/>
    <w:basedOn w:val="1"/>
    <w:link w:val="238"/>
    <w:qFormat/>
    <w:uiPriority w:val="0"/>
    <w:pPr>
      <w:widowControl/>
      <w:pBdr>
        <w:top w:val="single" w:color="auto" w:sz="6" w:space="1"/>
        <w:left w:val="single" w:color="auto" w:sz="6" w:space="1"/>
        <w:bottom w:val="single" w:color="auto" w:sz="6" w:space="1"/>
        <w:right w:val="single" w:color="auto" w:sz="6" w:space="1"/>
      </w:pBdr>
      <w:shd w:val="pct20" w:color="auto" w:fill="auto"/>
      <w:ind w:left="1134" w:hanging="1134"/>
      <w:jc w:val="left"/>
    </w:pPr>
    <w:rPr>
      <w:rFonts w:ascii="Arial" w:hAnsi="Arial" w:eastAsia="楷体_GB2312" w:cs="Arial"/>
      <w:spacing w:val="-8"/>
      <w:kern w:val="0"/>
      <w:sz w:val="24"/>
      <w:lang w:eastAsia="en-US"/>
    </w:rPr>
  </w:style>
  <w:style w:type="paragraph" w:styleId="81">
    <w:name w:val="HTML Preformatted"/>
    <w:basedOn w:val="1"/>
    <w:link w:val="189"/>
    <w:qFormat/>
    <w:uiPriority w:val="0"/>
    <w:pPr>
      <w:widowControl/>
      <w:jc w:val="left"/>
    </w:pPr>
    <w:rPr>
      <w:rFonts w:ascii="Courier New" w:hAnsi="Courier New" w:eastAsia="楷体_GB2312" w:cs="Courier New"/>
      <w:spacing w:val="-8"/>
      <w:kern w:val="0"/>
      <w:sz w:val="24"/>
      <w:szCs w:val="20"/>
      <w:lang w:eastAsia="en-US"/>
    </w:rPr>
  </w:style>
  <w:style w:type="paragraph" w:styleId="82">
    <w:name w:val="Normal (Web)"/>
    <w:basedOn w:val="1"/>
    <w:unhideWhenUsed/>
    <w:qFormat/>
    <w:uiPriority w:val="99"/>
    <w:pPr>
      <w:jc w:val="left"/>
    </w:pPr>
    <w:rPr>
      <w:kern w:val="0"/>
      <w:sz w:val="24"/>
    </w:rPr>
  </w:style>
  <w:style w:type="paragraph" w:styleId="83">
    <w:name w:val="List Continue 3"/>
    <w:basedOn w:val="1"/>
    <w:qFormat/>
    <w:uiPriority w:val="0"/>
    <w:pPr>
      <w:widowControl/>
      <w:spacing w:after="120"/>
      <w:ind w:left="849"/>
      <w:jc w:val="left"/>
    </w:pPr>
    <w:rPr>
      <w:rFonts w:ascii="Arial" w:hAnsi="Arial" w:eastAsia="楷体_GB2312"/>
      <w:spacing w:val="-8"/>
      <w:kern w:val="0"/>
      <w:sz w:val="24"/>
      <w:szCs w:val="20"/>
      <w:lang w:eastAsia="en-US"/>
    </w:rPr>
  </w:style>
  <w:style w:type="paragraph" w:styleId="84">
    <w:name w:val="index 2"/>
    <w:basedOn w:val="1"/>
    <w:next w:val="1"/>
    <w:semiHidden/>
    <w:qFormat/>
    <w:uiPriority w:val="0"/>
    <w:pPr>
      <w:widowControl/>
      <w:ind w:left="400" w:hanging="200"/>
      <w:jc w:val="left"/>
    </w:pPr>
    <w:rPr>
      <w:rFonts w:ascii="Arial" w:hAnsi="Arial" w:eastAsia="楷体_GB2312"/>
      <w:spacing w:val="-8"/>
      <w:kern w:val="0"/>
      <w:sz w:val="24"/>
      <w:szCs w:val="20"/>
      <w:lang w:eastAsia="en-US"/>
    </w:rPr>
  </w:style>
  <w:style w:type="paragraph" w:styleId="85">
    <w:name w:val="Title"/>
    <w:basedOn w:val="1"/>
    <w:link w:val="215"/>
    <w:qFormat/>
    <w:uiPriority w:val="0"/>
    <w:pPr>
      <w:widowControl/>
      <w:spacing w:before="240" w:after="60"/>
      <w:jc w:val="center"/>
      <w:outlineLvl w:val="0"/>
    </w:pPr>
    <w:rPr>
      <w:rFonts w:ascii="Arial" w:hAnsi="Arial" w:eastAsia="楷体_GB2312" w:cs="Arial"/>
      <w:b/>
      <w:bCs/>
      <w:spacing w:val="-8"/>
      <w:kern w:val="28"/>
      <w:szCs w:val="32"/>
      <w:lang w:eastAsia="en-US"/>
    </w:rPr>
  </w:style>
  <w:style w:type="paragraph" w:styleId="86">
    <w:name w:val="annotation subject"/>
    <w:basedOn w:val="29"/>
    <w:next w:val="29"/>
    <w:link w:val="185"/>
    <w:qFormat/>
    <w:uiPriority w:val="0"/>
    <w:rPr>
      <w:b/>
      <w:bCs/>
    </w:rPr>
  </w:style>
  <w:style w:type="paragraph" w:styleId="87">
    <w:name w:val="Body Text First Indent"/>
    <w:basedOn w:val="5"/>
    <w:link w:val="231"/>
    <w:qFormat/>
    <w:uiPriority w:val="0"/>
    <w:pPr>
      <w:spacing w:after="120"/>
      <w:ind w:firstLine="210"/>
      <w:jc w:val="left"/>
    </w:pPr>
    <w:rPr>
      <w:rFonts w:ascii="Arial" w:hAnsi="Arial" w:eastAsia="楷体_GB2312"/>
      <w:spacing w:val="-8"/>
      <w:sz w:val="24"/>
      <w:szCs w:val="20"/>
      <w:lang w:eastAsia="en-US"/>
    </w:rPr>
  </w:style>
  <w:style w:type="paragraph" w:styleId="88">
    <w:name w:val="Body Text First Indent 2"/>
    <w:basedOn w:val="35"/>
    <w:link w:val="237"/>
    <w:semiHidden/>
    <w:qFormat/>
    <w:uiPriority w:val="0"/>
    <w:pPr>
      <w:ind w:firstLine="210"/>
    </w:pPr>
  </w:style>
  <w:style w:type="table" w:styleId="90">
    <w:name w:val="Table Grid"/>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Theme"/>
    <w:basedOn w:val="89"/>
    <w:semiHidden/>
    <w:qFormat/>
    <w:uiPriority w:val="0"/>
    <w:rPr>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2">
    <w:name w:val="Table Colorful 1"/>
    <w:basedOn w:val="89"/>
    <w:semiHidden/>
    <w:qFormat/>
    <w:uiPriority w:val="0"/>
    <w:rPr>
      <w:color w:val="FFFFFF"/>
      <w:lang w:eastAsia="ja-JP"/>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3">
    <w:name w:val="Table Colorful 2"/>
    <w:basedOn w:val="89"/>
    <w:semiHidden/>
    <w:qFormat/>
    <w:uiPriority w:val="0"/>
    <w:rPr>
      <w:lang w:eastAsia="ja-JP"/>
    </w:rPr>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4">
    <w:name w:val="Table Colorful 3"/>
    <w:basedOn w:val="89"/>
    <w:semiHidden/>
    <w:qFormat/>
    <w:uiPriority w:val="0"/>
    <w:rPr>
      <w:lang w:eastAsia="ja-JP"/>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5">
    <w:name w:val="Table Elegant"/>
    <w:basedOn w:val="89"/>
    <w:semiHidden/>
    <w:qFormat/>
    <w:uiPriority w:val="0"/>
    <w:rPr>
      <w:lang w:eastAsia="ja-JP"/>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96">
    <w:name w:val="Table Classic 1"/>
    <w:basedOn w:val="89"/>
    <w:semiHidden/>
    <w:qFormat/>
    <w:uiPriority w:val="0"/>
    <w:rPr>
      <w:lang w:eastAsia="ja-JP"/>
    </w:rPr>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7">
    <w:name w:val="Table Classic 2"/>
    <w:basedOn w:val="89"/>
    <w:semiHidden/>
    <w:qFormat/>
    <w:uiPriority w:val="0"/>
    <w:rPr>
      <w:lang w:eastAsia="ja-JP"/>
    </w:rPr>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8">
    <w:name w:val="Table Classic 3"/>
    <w:basedOn w:val="89"/>
    <w:semiHidden/>
    <w:qFormat/>
    <w:uiPriority w:val="0"/>
    <w:rPr>
      <w:color w:val="000080"/>
      <w:lang w:eastAsia="ja-JP"/>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99">
    <w:name w:val="Table Classic 4"/>
    <w:basedOn w:val="89"/>
    <w:semiHidden/>
    <w:qFormat/>
    <w:uiPriority w:val="0"/>
    <w:rPr>
      <w:lang w:eastAsia="ja-JP"/>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0">
    <w:name w:val="Table Simple 1"/>
    <w:basedOn w:val="89"/>
    <w:semiHidden/>
    <w:qFormat/>
    <w:uiPriority w:val="0"/>
    <w:rPr>
      <w:lang w:eastAsia="ja-JP"/>
    </w:r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01">
    <w:name w:val="Table Simple 2"/>
    <w:basedOn w:val="89"/>
    <w:semiHidden/>
    <w:qFormat/>
    <w:uiPriority w:val="0"/>
    <w:rPr>
      <w:lang w:eastAsia="ja-JP"/>
    </w:rPr>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2">
    <w:name w:val="Table Simple 3"/>
    <w:basedOn w:val="89"/>
    <w:semiHidden/>
    <w:qFormat/>
    <w:uiPriority w:val="0"/>
    <w:rPr>
      <w:lang w:eastAsia="ja-JP"/>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03">
    <w:name w:val="Table Subtle 1"/>
    <w:basedOn w:val="89"/>
    <w:semiHidden/>
    <w:qFormat/>
    <w:uiPriority w:val="0"/>
    <w:rPr>
      <w:lang w:eastAsia="ja-JP"/>
    </w:rPr>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4">
    <w:name w:val="Table Subtle 2"/>
    <w:basedOn w:val="89"/>
    <w:semiHidden/>
    <w:qFormat/>
    <w:uiPriority w:val="0"/>
    <w:rPr>
      <w:lang w:eastAsia="ja-JP"/>
    </w:rPr>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5">
    <w:name w:val="Table 3D effects 1"/>
    <w:basedOn w:val="89"/>
    <w:semiHidden/>
    <w:qFormat/>
    <w:uiPriority w:val="0"/>
    <w:rPr>
      <w:lang w:eastAsia="ja-JP"/>
    </w:rPr>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6">
    <w:name w:val="Table 3D effects 2"/>
    <w:basedOn w:val="89"/>
    <w:semiHidden/>
    <w:qFormat/>
    <w:uiPriority w:val="0"/>
    <w:rPr>
      <w:lang w:eastAsia="ja-JP"/>
    </w:r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7">
    <w:name w:val="Table 3D effects 3"/>
    <w:basedOn w:val="89"/>
    <w:semiHidden/>
    <w:qFormat/>
    <w:uiPriority w:val="0"/>
    <w:rPr>
      <w:lang w:eastAsia="ja-JP"/>
    </w:r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8">
    <w:name w:val="Table List 1"/>
    <w:basedOn w:val="89"/>
    <w:semiHidden/>
    <w:qFormat/>
    <w:uiPriority w:val="0"/>
    <w:rPr>
      <w:lang w:eastAsia="ja-JP"/>
    </w:r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9">
    <w:name w:val="Table List 2"/>
    <w:basedOn w:val="89"/>
    <w:semiHidden/>
    <w:qFormat/>
    <w:uiPriority w:val="0"/>
    <w:rPr>
      <w:lang w:eastAsia="ja-JP"/>
    </w:rPr>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0">
    <w:name w:val="Table List 3"/>
    <w:basedOn w:val="89"/>
    <w:semiHidden/>
    <w:qFormat/>
    <w:uiPriority w:val="0"/>
    <w:rPr>
      <w:lang w:eastAsia="ja-JP"/>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11">
    <w:name w:val="Table List 4"/>
    <w:basedOn w:val="89"/>
    <w:semiHidden/>
    <w:qFormat/>
    <w:uiPriority w:val="0"/>
    <w:rPr>
      <w:lang w:eastAsia="ja-JP"/>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12">
    <w:name w:val="Table List 5"/>
    <w:basedOn w:val="89"/>
    <w:semiHidden/>
    <w:qFormat/>
    <w:uiPriority w:val="0"/>
    <w:rPr>
      <w:lang w:eastAsia="ja-JP"/>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13">
    <w:name w:val="Table List 6"/>
    <w:basedOn w:val="89"/>
    <w:semiHidden/>
    <w:qFormat/>
    <w:uiPriority w:val="0"/>
    <w:rPr>
      <w:lang w:eastAsia="ja-JP"/>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4">
    <w:name w:val="Table List 7"/>
    <w:basedOn w:val="89"/>
    <w:semiHidden/>
    <w:qFormat/>
    <w:uiPriority w:val="0"/>
    <w:rPr>
      <w:lang w:eastAsia="ja-JP"/>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15">
    <w:name w:val="Table List 8"/>
    <w:basedOn w:val="89"/>
    <w:semiHidden/>
    <w:qFormat/>
    <w:uiPriority w:val="0"/>
    <w:rPr>
      <w:lang w:eastAsia="ja-JP"/>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16">
    <w:name w:val="Table Contemporary"/>
    <w:basedOn w:val="89"/>
    <w:semiHidden/>
    <w:qFormat/>
    <w:uiPriority w:val="0"/>
    <w:rPr>
      <w:lang w:eastAsia="ja-JP"/>
    </w:r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7">
    <w:name w:val="Table Columns 1"/>
    <w:basedOn w:val="89"/>
    <w:semiHidden/>
    <w:qFormat/>
    <w:uiPriority w:val="0"/>
    <w:rPr>
      <w:b/>
      <w:bCs/>
      <w:lang w:eastAsia="ja-JP"/>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8">
    <w:name w:val="Table Columns 2"/>
    <w:basedOn w:val="89"/>
    <w:semiHidden/>
    <w:qFormat/>
    <w:uiPriority w:val="0"/>
    <w:rPr>
      <w:b/>
      <w:bCs/>
      <w:lang w:eastAsia="ja-JP"/>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9">
    <w:name w:val="Table Columns 3"/>
    <w:basedOn w:val="89"/>
    <w:semiHidden/>
    <w:qFormat/>
    <w:uiPriority w:val="0"/>
    <w:rPr>
      <w:b/>
      <w:bCs/>
      <w:lang w:eastAsia="ja-JP"/>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20">
    <w:name w:val="Table Columns 4"/>
    <w:basedOn w:val="89"/>
    <w:semiHidden/>
    <w:qFormat/>
    <w:uiPriority w:val="0"/>
    <w:rPr>
      <w:lang w:eastAsia="ja-JP"/>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1">
    <w:name w:val="Table Columns 5"/>
    <w:basedOn w:val="89"/>
    <w:semiHidden/>
    <w:qFormat/>
    <w:uiPriority w:val="0"/>
    <w:rPr>
      <w:lang w:eastAsia="ja-JP"/>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2">
    <w:name w:val="Table Grid 1"/>
    <w:basedOn w:val="89"/>
    <w:semiHidden/>
    <w:qFormat/>
    <w:uiPriority w:val="0"/>
    <w:rPr>
      <w:lang w:eastAsia="ja-JP"/>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3">
    <w:name w:val="Table Grid 2"/>
    <w:basedOn w:val="89"/>
    <w:semiHidden/>
    <w:qFormat/>
    <w:uiPriority w:val="0"/>
    <w:rPr>
      <w:lang w:eastAsia="ja-JP"/>
    </w:r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4">
    <w:name w:val="Table Grid 3"/>
    <w:basedOn w:val="89"/>
    <w:semiHidden/>
    <w:qFormat/>
    <w:uiPriority w:val="0"/>
    <w:rPr>
      <w:lang w:eastAsia="ja-JP"/>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5">
    <w:name w:val="Table Grid 4"/>
    <w:basedOn w:val="89"/>
    <w:semiHidden/>
    <w:qFormat/>
    <w:uiPriority w:val="0"/>
    <w:rPr>
      <w:lang w:eastAsia="ja-JP"/>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6">
    <w:name w:val="Table Grid 5"/>
    <w:basedOn w:val="89"/>
    <w:semiHidden/>
    <w:qFormat/>
    <w:uiPriority w:val="0"/>
    <w:rPr>
      <w:lang w:eastAsia="ja-JP"/>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7">
    <w:name w:val="Table Grid 6"/>
    <w:basedOn w:val="89"/>
    <w:semiHidden/>
    <w:qFormat/>
    <w:uiPriority w:val="0"/>
    <w:rPr>
      <w:lang w:eastAsia="ja-JP"/>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8">
    <w:name w:val="Table Grid 7"/>
    <w:basedOn w:val="89"/>
    <w:semiHidden/>
    <w:qFormat/>
    <w:uiPriority w:val="0"/>
    <w:rPr>
      <w:b/>
      <w:bCs/>
      <w:lang w:eastAsia="ja-JP"/>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9">
    <w:name w:val="Table Grid 8"/>
    <w:basedOn w:val="89"/>
    <w:semiHidden/>
    <w:qFormat/>
    <w:uiPriority w:val="0"/>
    <w:rPr>
      <w:lang w:eastAsia="ja-JP"/>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30">
    <w:name w:val="Table Web 1"/>
    <w:basedOn w:val="89"/>
    <w:semiHidden/>
    <w:qFormat/>
    <w:uiPriority w:val="0"/>
    <w:rPr>
      <w:lang w:eastAsia="ja-JP"/>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1">
    <w:name w:val="Table Web 2"/>
    <w:basedOn w:val="89"/>
    <w:semiHidden/>
    <w:qFormat/>
    <w:uiPriority w:val="0"/>
    <w:rPr>
      <w:lang w:eastAsia="ja-JP"/>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2">
    <w:name w:val="Table Web 3"/>
    <w:basedOn w:val="89"/>
    <w:semiHidden/>
    <w:qFormat/>
    <w:uiPriority w:val="0"/>
    <w:rPr>
      <w:lang w:eastAsia="ja-JP"/>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3">
    <w:name w:val="Table Professional"/>
    <w:basedOn w:val="89"/>
    <w:semiHidden/>
    <w:qFormat/>
    <w:uiPriority w:val="0"/>
    <w:rPr>
      <w:lang w:eastAsia="ja-JP"/>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135">
    <w:name w:val="Strong"/>
    <w:qFormat/>
    <w:uiPriority w:val="22"/>
    <w:rPr>
      <w:rFonts w:ascii="Arial" w:hAnsi="Arial"/>
      <w:b/>
      <w:bCs/>
      <w:sz w:val="20"/>
    </w:rPr>
  </w:style>
  <w:style w:type="character" w:styleId="136">
    <w:name w:val="endnote reference"/>
    <w:semiHidden/>
    <w:qFormat/>
    <w:uiPriority w:val="0"/>
    <w:rPr>
      <w:vertAlign w:val="superscript"/>
    </w:rPr>
  </w:style>
  <w:style w:type="character" w:styleId="137">
    <w:name w:val="page number"/>
    <w:qFormat/>
    <w:uiPriority w:val="0"/>
    <w:rPr>
      <w:rFonts w:ascii="Arial" w:hAnsi="Arial"/>
      <w:color w:val="333333"/>
      <w:sz w:val="18"/>
    </w:rPr>
  </w:style>
  <w:style w:type="character" w:styleId="138">
    <w:name w:val="FollowedHyperlink"/>
    <w:semiHidden/>
    <w:qFormat/>
    <w:uiPriority w:val="0"/>
    <w:rPr>
      <w:color w:val="800080"/>
      <w:u w:val="single"/>
    </w:rPr>
  </w:style>
  <w:style w:type="character" w:styleId="139">
    <w:name w:val="Emphasis"/>
    <w:qFormat/>
    <w:uiPriority w:val="20"/>
    <w:rPr>
      <w:i/>
      <w:iCs/>
    </w:rPr>
  </w:style>
  <w:style w:type="character" w:styleId="140">
    <w:name w:val="line number"/>
    <w:basedOn w:val="134"/>
    <w:semiHidden/>
    <w:qFormat/>
    <w:uiPriority w:val="0"/>
  </w:style>
  <w:style w:type="character" w:styleId="141">
    <w:name w:val="HTML Definition"/>
    <w:semiHidden/>
    <w:qFormat/>
    <w:uiPriority w:val="0"/>
    <w:rPr>
      <w:i/>
      <w:iCs/>
    </w:rPr>
  </w:style>
  <w:style w:type="character" w:styleId="142">
    <w:name w:val="HTML Typewriter"/>
    <w:semiHidden/>
    <w:qFormat/>
    <w:uiPriority w:val="0"/>
    <w:rPr>
      <w:rFonts w:ascii="Courier New" w:hAnsi="Courier New" w:cs="Courier New"/>
      <w:sz w:val="20"/>
      <w:szCs w:val="20"/>
    </w:rPr>
  </w:style>
  <w:style w:type="character" w:styleId="143">
    <w:name w:val="HTML Acronym"/>
    <w:basedOn w:val="134"/>
    <w:semiHidden/>
    <w:qFormat/>
    <w:uiPriority w:val="0"/>
  </w:style>
  <w:style w:type="character" w:styleId="144">
    <w:name w:val="HTML Variable"/>
    <w:semiHidden/>
    <w:qFormat/>
    <w:uiPriority w:val="0"/>
    <w:rPr>
      <w:i/>
      <w:iCs/>
    </w:rPr>
  </w:style>
  <w:style w:type="character" w:styleId="145">
    <w:name w:val="Hyperlink"/>
    <w:unhideWhenUsed/>
    <w:qFormat/>
    <w:uiPriority w:val="99"/>
    <w:rPr>
      <w:color w:val="333333"/>
      <w:u w:val="none"/>
    </w:rPr>
  </w:style>
  <w:style w:type="character" w:styleId="146">
    <w:name w:val="HTML Code"/>
    <w:semiHidden/>
    <w:qFormat/>
    <w:uiPriority w:val="0"/>
    <w:rPr>
      <w:rFonts w:ascii="Courier New" w:hAnsi="Courier New" w:cs="Courier New"/>
      <w:sz w:val="20"/>
      <w:szCs w:val="20"/>
    </w:rPr>
  </w:style>
  <w:style w:type="character" w:styleId="147">
    <w:name w:val="annotation reference"/>
    <w:qFormat/>
    <w:uiPriority w:val="0"/>
    <w:rPr>
      <w:sz w:val="21"/>
      <w:szCs w:val="21"/>
    </w:rPr>
  </w:style>
  <w:style w:type="character" w:styleId="148">
    <w:name w:val="HTML Cite"/>
    <w:semiHidden/>
    <w:qFormat/>
    <w:uiPriority w:val="0"/>
    <w:rPr>
      <w:i/>
      <w:iCs/>
    </w:rPr>
  </w:style>
  <w:style w:type="character" w:styleId="149">
    <w:name w:val="footnote reference"/>
    <w:qFormat/>
    <w:uiPriority w:val="0"/>
    <w:rPr>
      <w:rFonts w:ascii="Arial" w:hAnsi="Arial"/>
      <w:vertAlign w:val="superscript"/>
    </w:rPr>
  </w:style>
  <w:style w:type="character" w:styleId="150">
    <w:name w:val="HTML Keyboard"/>
    <w:semiHidden/>
    <w:qFormat/>
    <w:uiPriority w:val="0"/>
    <w:rPr>
      <w:rFonts w:ascii="Courier New" w:hAnsi="Courier New" w:cs="Courier New"/>
      <w:sz w:val="20"/>
      <w:szCs w:val="20"/>
    </w:rPr>
  </w:style>
  <w:style w:type="character" w:styleId="151">
    <w:name w:val="HTML Sample"/>
    <w:semiHidden/>
    <w:qFormat/>
    <w:uiPriority w:val="0"/>
    <w:rPr>
      <w:rFonts w:ascii="Courier New" w:hAnsi="Courier New" w:cs="Courier New"/>
    </w:rPr>
  </w:style>
  <w:style w:type="character" w:customStyle="1" w:styleId="152">
    <w:name w:val="标题 1 字符"/>
    <w:link w:val="2"/>
    <w:qFormat/>
    <w:uiPriority w:val="9"/>
    <w:rPr>
      <w:rFonts w:ascii="Arial Bold" w:hAnsi="Arial Bold" w:eastAsia="楷体_GB2312"/>
      <w:b/>
      <w:spacing w:val="-8"/>
      <w:kern w:val="28"/>
      <w:sz w:val="24"/>
      <w:lang w:eastAsia="en-US"/>
    </w:rPr>
  </w:style>
  <w:style w:type="character" w:customStyle="1" w:styleId="153">
    <w:name w:val="签名 字符"/>
    <w:link w:val="62"/>
    <w:semiHidden/>
    <w:qFormat/>
    <w:uiPriority w:val="0"/>
    <w:rPr>
      <w:rFonts w:ascii="Arial" w:hAnsi="Arial" w:eastAsia="楷体_GB2312"/>
      <w:spacing w:val="-8"/>
      <w:sz w:val="24"/>
      <w:lang w:eastAsia="en-US"/>
    </w:rPr>
  </w:style>
  <w:style w:type="character" w:customStyle="1" w:styleId="154">
    <w:name w:val="K&amp;W heading 5 Char"/>
    <w:link w:val="155"/>
    <w:qFormat/>
    <w:uiPriority w:val="0"/>
    <w:rPr>
      <w:rFonts w:ascii="Arial" w:hAnsi="Arial" w:eastAsia="楷体_GB2312" w:cs="Times New Roman"/>
      <w:lang w:eastAsia="en-US"/>
    </w:rPr>
  </w:style>
  <w:style w:type="paragraph" w:customStyle="1" w:styleId="155">
    <w:name w:val="K&amp;W heading 5"/>
    <w:basedOn w:val="48"/>
    <w:link w:val="154"/>
    <w:qFormat/>
    <w:uiPriority w:val="0"/>
    <w:pPr>
      <w:tabs>
        <w:tab w:val="left" w:pos="567"/>
        <w:tab w:val="left" w:pos="1701"/>
      </w:tabs>
      <w:spacing w:line="280" w:lineRule="exact"/>
      <w:ind w:left="851" w:hanging="284"/>
      <w:outlineLvl w:val="4"/>
    </w:pPr>
    <w:rPr>
      <w:color w:val="auto"/>
    </w:rPr>
  </w:style>
  <w:style w:type="character" w:customStyle="1" w:styleId="156">
    <w:name w:val="sect2title3"/>
    <w:qFormat/>
    <w:uiPriority w:val="0"/>
    <w:rPr>
      <w:rFonts w:hint="eastAsia" w:ascii="微软雅黑" w:hAnsi="微软雅黑" w:eastAsia="微软雅黑"/>
      <w:b/>
      <w:bCs/>
      <w:sz w:val="24"/>
      <w:szCs w:val="24"/>
    </w:rPr>
  </w:style>
  <w:style w:type="character" w:customStyle="1" w:styleId="157">
    <w:name w:val="标题 3 字符"/>
    <w:link w:val="6"/>
    <w:qFormat/>
    <w:uiPriority w:val="0"/>
    <w:rPr>
      <w:rFonts w:ascii="Arial" w:hAnsi="Arial" w:eastAsia="楷体_GB2312"/>
      <w:spacing w:val="-8"/>
      <w:sz w:val="24"/>
      <w:lang w:eastAsia="en-US"/>
    </w:rPr>
  </w:style>
  <w:style w:type="character" w:customStyle="1" w:styleId="158">
    <w:name w:val="批注框文本 字符"/>
    <w:link w:val="58"/>
    <w:qFormat/>
    <w:uiPriority w:val="0"/>
    <w:rPr>
      <w:rFonts w:ascii="仿宋_GB2312" w:hAnsi="宋体" w:eastAsia="仿宋_GB2312"/>
      <w:kern w:val="2"/>
      <w:sz w:val="18"/>
      <w:szCs w:val="18"/>
    </w:rPr>
  </w:style>
  <w:style w:type="character" w:customStyle="1" w:styleId="159">
    <w:name w:val="FsHidden"/>
    <w:qFormat/>
    <w:uiPriority w:val="0"/>
    <w:rPr>
      <w:vanish/>
      <w:color w:val="FFFF00"/>
    </w:rPr>
  </w:style>
  <w:style w:type="character" w:customStyle="1" w:styleId="160">
    <w:name w:val="标题 2 字符"/>
    <w:link w:val="4"/>
    <w:qFormat/>
    <w:uiPriority w:val="0"/>
    <w:rPr>
      <w:rFonts w:ascii="Arial" w:hAnsi="Arial" w:eastAsia="楷体_GB2312"/>
      <w:spacing w:val="-8"/>
      <w:sz w:val="24"/>
      <w:lang w:eastAsia="en-US"/>
    </w:rPr>
  </w:style>
  <w:style w:type="character" w:customStyle="1" w:styleId="161">
    <w:name w:val="标题 9 字符"/>
    <w:link w:val="12"/>
    <w:qFormat/>
    <w:uiPriority w:val="0"/>
    <w:rPr>
      <w:rFonts w:ascii="Arial" w:hAnsi="Arial" w:eastAsia="楷体_GB2312"/>
      <w:spacing w:val="-8"/>
      <w:sz w:val="24"/>
      <w:lang w:eastAsia="en-US"/>
    </w:rPr>
  </w:style>
  <w:style w:type="character" w:customStyle="1" w:styleId="162">
    <w:name w:val="Comment Text Char"/>
    <w:basedOn w:val="134"/>
    <w:qFormat/>
    <w:uiPriority w:val="0"/>
  </w:style>
  <w:style w:type="character" w:customStyle="1" w:styleId="163">
    <w:name w:val="K&amp;W Body text Char"/>
    <w:link w:val="164"/>
    <w:qFormat/>
    <w:uiPriority w:val="0"/>
    <w:rPr>
      <w:rFonts w:ascii="Arial" w:hAnsi="Arial" w:eastAsia="楷体_GB2312"/>
      <w:lang w:eastAsia="en-US"/>
    </w:rPr>
  </w:style>
  <w:style w:type="paragraph" w:customStyle="1" w:styleId="164">
    <w:name w:val="K&amp;W Body text"/>
    <w:basedOn w:val="48"/>
    <w:link w:val="163"/>
    <w:qFormat/>
    <w:uiPriority w:val="0"/>
    <w:rPr>
      <w:color w:val="auto"/>
    </w:rPr>
  </w:style>
  <w:style w:type="character" w:customStyle="1" w:styleId="165">
    <w:name w:val="正文文本 字符"/>
    <w:link w:val="5"/>
    <w:qFormat/>
    <w:uiPriority w:val="0"/>
    <w:rPr>
      <w:rFonts w:ascii="仿宋_GB2312" w:hAnsi="宋体" w:eastAsia="黑体"/>
      <w:sz w:val="44"/>
      <w:szCs w:val="24"/>
    </w:rPr>
  </w:style>
  <w:style w:type="character" w:customStyle="1" w:styleId="166">
    <w:name w:val="正文文本缩进 2 字符"/>
    <w:link w:val="55"/>
    <w:semiHidden/>
    <w:qFormat/>
    <w:uiPriority w:val="0"/>
    <w:rPr>
      <w:rFonts w:ascii="Arial" w:hAnsi="Arial" w:eastAsia="楷体_GB2312"/>
      <w:spacing w:val="-8"/>
      <w:sz w:val="24"/>
      <w:lang w:eastAsia="en-US"/>
    </w:rPr>
  </w:style>
  <w:style w:type="character" w:customStyle="1" w:styleId="167">
    <w:name w:val="1级编号 Char"/>
    <w:link w:val="168"/>
    <w:qFormat/>
    <w:uiPriority w:val="0"/>
    <w:rPr>
      <w:rFonts w:eastAsia="黑体"/>
      <w:kern w:val="44"/>
      <w:sz w:val="24"/>
    </w:rPr>
  </w:style>
  <w:style w:type="paragraph" w:customStyle="1" w:styleId="168">
    <w:name w:val="1级编号"/>
    <w:basedOn w:val="2"/>
    <w:next w:val="169"/>
    <w:link w:val="167"/>
    <w:qFormat/>
    <w:uiPriority w:val="0"/>
    <w:pPr>
      <w:keepNext w:val="0"/>
      <w:widowControl w:val="0"/>
      <w:numPr>
        <w:numId w:val="0"/>
      </w:numPr>
      <w:adjustRightInd w:val="0"/>
      <w:spacing w:after="0" w:line="400" w:lineRule="atLeast"/>
      <w:ind w:firstLine="567"/>
      <w:jc w:val="both"/>
    </w:pPr>
    <w:rPr>
      <w:rFonts w:ascii="Times New Roman" w:hAnsi="Times New Roman" w:eastAsia="黑体"/>
      <w:b w:val="0"/>
      <w:spacing w:val="0"/>
      <w:kern w:val="44"/>
      <w:lang w:eastAsia="zh-CN"/>
    </w:rPr>
  </w:style>
  <w:style w:type="paragraph" w:customStyle="1" w:styleId="169">
    <w:name w:val="ISO正文"/>
    <w:basedOn w:val="1"/>
    <w:qFormat/>
    <w:uiPriority w:val="0"/>
    <w:pPr>
      <w:spacing w:line="400" w:lineRule="exact"/>
      <w:ind w:firstLine="425"/>
    </w:pPr>
    <w:rPr>
      <w:rFonts w:ascii="Times New Roman" w:hAnsi="Times New Roman" w:eastAsia="宋体"/>
      <w:sz w:val="21"/>
      <w:szCs w:val="20"/>
    </w:rPr>
  </w:style>
  <w:style w:type="character" w:customStyle="1" w:styleId="170">
    <w:name w:val="脚注文本 字符1"/>
    <w:link w:val="69"/>
    <w:qFormat/>
    <w:uiPriority w:val="0"/>
    <w:rPr>
      <w:rFonts w:ascii="Arial" w:hAnsi="Arial" w:eastAsia="楷体_GB2312"/>
      <w:sz w:val="18"/>
      <w:szCs w:val="16"/>
      <w:lang w:eastAsia="en-US"/>
    </w:rPr>
  </w:style>
  <w:style w:type="character" w:customStyle="1" w:styleId="171">
    <w:name w:val="引用 字符"/>
    <w:link w:val="172"/>
    <w:qFormat/>
    <w:uiPriority w:val="29"/>
    <w:rPr>
      <w:rFonts w:ascii="Arial" w:hAnsi="Arial" w:eastAsia="楷体_GB2312"/>
      <w:i/>
      <w:iCs/>
      <w:color w:val="000000"/>
      <w:spacing w:val="-8"/>
      <w:sz w:val="24"/>
      <w:lang w:eastAsia="en-US"/>
    </w:rPr>
  </w:style>
  <w:style w:type="paragraph" w:styleId="172">
    <w:name w:val="Quote"/>
    <w:basedOn w:val="1"/>
    <w:next w:val="1"/>
    <w:link w:val="171"/>
    <w:qFormat/>
    <w:uiPriority w:val="29"/>
    <w:pPr>
      <w:widowControl/>
      <w:jc w:val="left"/>
    </w:pPr>
    <w:rPr>
      <w:rFonts w:ascii="Arial" w:hAnsi="Arial" w:eastAsia="楷体_GB2312"/>
      <w:i/>
      <w:iCs/>
      <w:color w:val="000000"/>
      <w:spacing w:val="-8"/>
      <w:kern w:val="0"/>
      <w:sz w:val="24"/>
      <w:szCs w:val="20"/>
      <w:lang w:eastAsia="en-US"/>
    </w:rPr>
  </w:style>
  <w:style w:type="character" w:customStyle="1" w:styleId="173">
    <w:name w:val="引用文 (文字)1"/>
    <w:qFormat/>
    <w:uiPriority w:val="99"/>
    <w:rPr>
      <w:rFonts w:ascii="仿宋_GB2312" w:hAnsi="宋体" w:eastAsia="仿宋_GB2312"/>
      <w:i/>
      <w:iCs/>
      <w:color w:val="3F3F3F"/>
      <w:kern w:val="2"/>
      <w:sz w:val="32"/>
      <w:szCs w:val="24"/>
    </w:rPr>
  </w:style>
  <w:style w:type="character" w:customStyle="1" w:styleId="174">
    <w:name w:val="正文文本 2 字符"/>
    <w:link w:val="77"/>
    <w:semiHidden/>
    <w:qFormat/>
    <w:uiPriority w:val="0"/>
    <w:rPr>
      <w:rFonts w:ascii="Arial" w:hAnsi="Arial" w:eastAsia="楷体_GB2312"/>
      <w:spacing w:val="-8"/>
      <w:sz w:val="24"/>
      <w:lang w:eastAsia="en-US"/>
    </w:rPr>
  </w:style>
  <w:style w:type="character" w:customStyle="1" w:styleId="175">
    <w:name w:val="标题 8 字符"/>
    <w:link w:val="11"/>
    <w:qFormat/>
    <w:uiPriority w:val="0"/>
    <w:rPr>
      <w:rFonts w:ascii="Arial" w:hAnsi="Arial" w:eastAsia="楷体_GB2312"/>
      <w:spacing w:val="-8"/>
      <w:sz w:val="24"/>
      <w:lang w:eastAsia="en-US"/>
    </w:rPr>
  </w:style>
  <w:style w:type="character" w:customStyle="1" w:styleId="176">
    <w:name w:val="apple-style-span"/>
    <w:qFormat/>
    <w:uiPriority w:val="0"/>
  </w:style>
  <w:style w:type="character" w:customStyle="1" w:styleId="177">
    <w:name w:val="标题 5 字符"/>
    <w:link w:val="8"/>
    <w:qFormat/>
    <w:uiPriority w:val="0"/>
    <w:rPr>
      <w:rFonts w:ascii="Arial" w:hAnsi="Arial" w:eastAsia="楷体_GB2312"/>
      <w:spacing w:val="-8"/>
      <w:sz w:val="24"/>
      <w:lang w:eastAsia="en-US"/>
    </w:rPr>
  </w:style>
  <w:style w:type="character" w:customStyle="1" w:styleId="178">
    <w:name w:val="HTML 地址 字符"/>
    <w:link w:val="41"/>
    <w:semiHidden/>
    <w:qFormat/>
    <w:uiPriority w:val="0"/>
    <w:rPr>
      <w:rFonts w:ascii="Arial" w:hAnsi="Arial" w:eastAsia="楷体_GB2312"/>
      <w:i/>
      <w:iCs/>
      <w:spacing w:val="-8"/>
      <w:sz w:val="24"/>
      <w:lang w:eastAsia="en-US"/>
    </w:rPr>
  </w:style>
  <w:style w:type="character" w:customStyle="1" w:styleId="179">
    <w:name w:val="电子邮件签名 字符"/>
    <w:link w:val="20"/>
    <w:semiHidden/>
    <w:qFormat/>
    <w:uiPriority w:val="0"/>
    <w:rPr>
      <w:rFonts w:ascii="Arial" w:hAnsi="Arial" w:eastAsia="楷体_GB2312"/>
      <w:spacing w:val="-8"/>
      <w:sz w:val="24"/>
      <w:lang w:eastAsia="en-US"/>
    </w:rPr>
  </w:style>
  <w:style w:type="character" w:customStyle="1" w:styleId="180">
    <w:name w:val="脚注文字列 (文字)1"/>
    <w:semiHidden/>
    <w:qFormat/>
    <w:uiPriority w:val="0"/>
    <w:rPr>
      <w:rFonts w:ascii="仿宋_GB2312" w:hAnsi="宋体" w:eastAsia="仿宋_GB2312"/>
      <w:kern w:val="2"/>
      <w:sz w:val="32"/>
      <w:szCs w:val="24"/>
    </w:rPr>
  </w:style>
  <w:style w:type="character" w:customStyle="1" w:styleId="181">
    <w:name w:val="footnote mark"/>
    <w:qFormat/>
    <w:uiPriority w:val="0"/>
    <w:rPr>
      <w:rFonts w:ascii="Verdana" w:hAnsi="Verdana" w:eastAsia="Verdana" w:cs="Verdana"/>
      <w:color w:val="000000"/>
      <w:sz w:val="19"/>
      <w:vertAlign w:val="superscript"/>
    </w:rPr>
  </w:style>
  <w:style w:type="character" w:customStyle="1" w:styleId="182">
    <w:name w:val="Char Char2"/>
    <w:qFormat/>
    <w:locked/>
    <w:uiPriority w:val="0"/>
    <w:rPr>
      <w:rFonts w:ascii="黑体" w:hAnsi="Courier New" w:eastAsia="黑体"/>
    </w:rPr>
  </w:style>
  <w:style w:type="character" w:customStyle="1" w:styleId="183">
    <w:name w:val="宏文本 字符"/>
    <w:link w:val="3"/>
    <w:qFormat/>
    <w:uiPriority w:val="0"/>
    <w:rPr>
      <w:rFonts w:ascii="Courier New" w:hAnsi="Courier New" w:cs="Courier New"/>
      <w:color w:val="333333"/>
      <w:lang w:eastAsia="en-US"/>
    </w:rPr>
  </w:style>
  <w:style w:type="character" w:customStyle="1" w:styleId="184">
    <w:name w:val="Footer Char"/>
    <w:qFormat/>
    <w:uiPriority w:val="0"/>
    <w:rPr>
      <w:sz w:val="18"/>
    </w:rPr>
  </w:style>
  <w:style w:type="character" w:customStyle="1" w:styleId="185">
    <w:name w:val="批注主题 字符"/>
    <w:link w:val="86"/>
    <w:qFormat/>
    <w:uiPriority w:val="0"/>
    <w:rPr>
      <w:rFonts w:ascii="仿宋_GB2312" w:hAnsi="宋体" w:eastAsia="仿宋_GB2312"/>
      <w:b/>
      <w:bCs/>
      <w:kern w:val="2"/>
      <w:sz w:val="32"/>
      <w:szCs w:val="24"/>
    </w:rPr>
  </w:style>
  <w:style w:type="character" w:customStyle="1" w:styleId="186">
    <w:name w:val="标题 7 字符"/>
    <w:link w:val="10"/>
    <w:qFormat/>
    <w:uiPriority w:val="0"/>
    <w:rPr>
      <w:rFonts w:ascii="Arial" w:hAnsi="Arial" w:eastAsia="楷体_GB2312"/>
      <w:spacing w:val="-8"/>
      <w:sz w:val="24"/>
      <w:lang w:eastAsia="en-US"/>
    </w:rPr>
  </w:style>
  <w:style w:type="character" w:customStyle="1" w:styleId="187">
    <w:name w:val="Char Char4"/>
    <w:qFormat/>
    <w:locked/>
    <w:uiPriority w:val="0"/>
    <w:rPr>
      <w:rFonts w:ascii="Arial" w:hAnsi="Arial" w:eastAsia="黑体"/>
      <w:b/>
      <w:kern w:val="2"/>
      <w:sz w:val="32"/>
    </w:rPr>
  </w:style>
  <w:style w:type="character" w:customStyle="1" w:styleId="188">
    <w:name w:val="Heading 1 Char"/>
    <w:qFormat/>
    <w:uiPriority w:val="0"/>
    <w:rPr>
      <w:rFonts w:eastAsia="Times New Roman"/>
      <w:b/>
      <w:kern w:val="44"/>
      <w:sz w:val="44"/>
    </w:rPr>
  </w:style>
  <w:style w:type="character" w:customStyle="1" w:styleId="189">
    <w:name w:val="HTML 预设格式 字符"/>
    <w:link w:val="81"/>
    <w:qFormat/>
    <w:uiPriority w:val="0"/>
    <w:rPr>
      <w:rFonts w:ascii="Courier New" w:hAnsi="Courier New" w:eastAsia="楷体_GB2312" w:cs="Courier New"/>
      <w:spacing w:val="-8"/>
      <w:sz w:val="24"/>
      <w:lang w:eastAsia="en-US"/>
    </w:rPr>
  </w:style>
  <w:style w:type="character" w:customStyle="1" w:styleId="190">
    <w:name w:val="2级编号 Char"/>
    <w:link w:val="191"/>
    <w:qFormat/>
    <w:uiPriority w:val="0"/>
    <w:rPr>
      <w:rFonts w:eastAsia="黑体"/>
      <w:kern w:val="44"/>
    </w:rPr>
  </w:style>
  <w:style w:type="paragraph" w:customStyle="1" w:styleId="191">
    <w:name w:val="2级编号"/>
    <w:basedOn w:val="168"/>
    <w:next w:val="1"/>
    <w:link w:val="190"/>
    <w:qFormat/>
    <w:uiPriority w:val="0"/>
    <w:pPr>
      <w:tabs>
        <w:tab w:val="left" w:pos="539"/>
      </w:tabs>
    </w:pPr>
    <w:rPr>
      <w:sz w:val="20"/>
    </w:rPr>
  </w:style>
  <w:style w:type="character" w:customStyle="1" w:styleId="192">
    <w:name w:val="纯文本 字符"/>
    <w:link w:val="49"/>
    <w:qFormat/>
    <w:uiPriority w:val="0"/>
    <w:rPr>
      <w:rFonts w:ascii="宋体" w:hAnsi="Courier New"/>
      <w:kern w:val="2"/>
      <w:sz w:val="21"/>
      <w:szCs w:val="21"/>
      <w:lang w:val="zh-CN"/>
    </w:rPr>
  </w:style>
  <w:style w:type="character" w:customStyle="1" w:styleId="193">
    <w:name w:val="K&amp;W Body text Char Char"/>
    <w:qFormat/>
    <w:uiPriority w:val="0"/>
    <w:rPr>
      <w:rFonts w:ascii="Arial" w:hAnsi="Arial" w:eastAsia="楷体_GB2312"/>
      <w:lang w:val="en-US" w:eastAsia="en-US" w:bidi="ar-SA"/>
    </w:rPr>
  </w:style>
  <w:style w:type="character" w:customStyle="1" w:styleId="194">
    <w:name w:val="Char Char1"/>
    <w:qFormat/>
    <w:locked/>
    <w:uiPriority w:val="0"/>
    <w:rPr>
      <w:rFonts w:eastAsia="宋体"/>
      <w:kern w:val="2"/>
      <w:sz w:val="24"/>
    </w:rPr>
  </w:style>
  <w:style w:type="character" w:customStyle="1" w:styleId="195">
    <w:name w:val="title11"/>
    <w:qFormat/>
    <w:uiPriority w:val="0"/>
  </w:style>
  <w:style w:type="character" w:customStyle="1" w:styleId="196">
    <w:name w:val="尾注文本 字符"/>
    <w:link w:val="56"/>
    <w:qFormat/>
    <w:uiPriority w:val="0"/>
    <w:rPr>
      <w:rFonts w:ascii="Arial" w:hAnsi="Arial" w:eastAsia="楷体_GB2312"/>
      <w:sz w:val="18"/>
      <w:lang w:eastAsia="en-US"/>
    </w:rPr>
  </w:style>
  <w:style w:type="character" w:customStyle="1" w:styleId="197">
    <w:name w:val="K&amp;W heading 3 Char"/>
    <w:link w:val="198"/>
    <w:qFormat/>
    <w:uiPriority w:val="0"/>
    <w:rPr>
      <w:rFonts w:ascii="Arial" w:hAnsi="Arial" w:eastAsia="楷体_GB2312" w:cs="Times New Roman"/>
      <w:lang w:eastAsia="en-US"/>
    </w:rPr>
  </w:style>
  <w:style w:type="paragraph" w:customStyle="1" w:styleId="198">
    <w:name w:val="K&amp;W heading 3"/>
    <w:basedOn w:val="48"/>
    <w:link w:val="197"/>
    <w:qFormat/>
    <w:uiPriority w:val="0"/>
    <w:pPr>
      <w:tabs>
        <w:tab w:val="left" w:pos="567"/>
      </w:tabs>
      <w:spacing w:line="280" w:lineRule="exact"/>
      <w:ind w:left="851" w:hanging="284"/>
      <w:outlineLvl w:val="2"/>
    </w:pPr>
    <w:rPr>
      <w:color w:val="auto"/>
    </w:rPr>
  </w:style>
  <w:style w:type="character" w:customStyle="1" w:styleId="199">
    <w:name w:val="Header Char"/>
    <w:qFormat/>
    <w:uiPriority w:val="0"/>
    <w:rPr>
      <w:sz w:val="18"/>
    </w:rPr>
  </w:style>
  <w:style w:type="character" w:customStyle="1" w:styleId="200">
    <w:name w:val="注释标题 字符"/>
    <w:link w:val="17"/>
    <w:semiHidden/>
    <w:qFormat/>
    <w:uiPriority w:val="0"/>
    <w:rPr>
      <w:rFonts w:ascii="Arial" w:hAnsi="Arial" w:eastAsia="楷体_GB2312"/>
      <w:spacing w:val="-8"/>
      <w:sz w:val="24"/>
      <w:lang w:eastAsia="en-US"/>
    </w:rPr>
  </w:style>
  <w:style w:type="character" w:customStyle="1" w:styleId="201">
    <w:name w:val="正文文本 3 字符"/>
    <w:link w:val="32"/>
    <w:qFormat/>
    <w:uiPriority w:val="0"/>
    <w:rPr>
      <w:rFonts w:ascii="Arial" w:hAnsi="Arial" w:eastAsia="楷体_GB2312"/>
      <w:spacing w:val="-8"/>
      <w:sz w:val="16"/>
      <w:szCs w:val="16"/>
      <w:lang w:eastAsia="en-US"/>
    </w:rPr>
  </w:style>
  <w:style w:type="character" w:customStyle="1" w:styleId="202">
    <w:name w:val="引用 字符1"/>
    <w:qFormat/>
    <w:uiPriority w:val="29"/>
    <w:rPr>
      <w:rFonts w:ascii="仿宋_GB2312" w:hAnsi="宋体" w:eastAsia="仿宋_GB2312"/>
      <w:i/>
      <w:iCs/>
      <w:color w:val="404040"/>
      <w:kern w:val="2"/>
      <w:sz w:val="32"/>
      <w:szCs w:val="24"/>
    </w:rPr>
  </w:style>
  <w:style w:type="character" w:customStyle="1" w:styleId="203">
    <w:name w:val="footnote description Char"/>
    <w:link w:val="204"/>
    <w:qFormat/>
    <w:uiPriority w:val="0"/>
    <w:rPr>
      <w:rFonts w:ascii="宋体" w:hAnsi="宋体" w:cs="宋体"/>
      <w:color w:val="000000"/>
      <w:kern w:val="2"/>
      <w:sz w:val="13"/>
      <w:szCs w:val="22"/>
    </w:rPr>
  </w:style>
  <w:style w:type="paragraph" w:customStyle="1" w:styleId="204">
    <w:name w:val="footnote description"/>
    <w:next w:val="1"/>
    <w:link w:val="203"/>
    <w:qFormat/>
    <w:uiPriority w:val="0"/>
    <w:pPr>
      <w:spacing w:line="268" w:lineRule="auto"/>
      <w:ind w:left="965"/>
    </w:pPr>
    <w:rPr>
      <w:rFonts w:ascii="宋体" w:hAnsi="宋体" w:eastAsia="宋体" w:cs="宋体"/>
      <w:color w:val="000000"/>
      <w:kern w:val="2"/>
      <w:sz w:val="13"/>
      <w:szCs w:val="22"/>
      <w:lang w:val="en-US" w:eastAsia="zh-CN" w:bidi="ar-SA"/>
    </w:rPr>
  </w:style>
  <w:style w:type="character" w:customStyle="1" w:styleId="205">
    <w:name w:val="列表段落 字符"/>
    <w:link w:val="206"/>
    <w:qFormat/>
    <w:uiPriority w:val="0"/>
    <w:rPr>
      <w:rFonts w:ascii="仿宋_GB2312" w:hAnsi="宋体" w:eastAsia="仿宋_GB2312"/>
      <w:kern w:val="2"/>
      <w:sz w:val="32"/>
      <w:szCs w:val="24"/>
    </w:rPr>
  </w:style>
  <w:style w:type="paragraph" w:styleId="206">
    <w:name w:val="List Paragraph"/>
    <w:basedOn w:val="1"/>
    <w:link w:val="205"/>
    <w:qFormat/>
    <w:uiPriority w:val="34"/>
    <w:pPr>
      <w:ind w:firstLine="420" w:firstLineChars="200"/>
    </w:pPr>
  </w:style>
  <w:style w:type="character" w:customStyle="1" w:styleId="207">
    <w:name w:val="K&amp;W Sch 5 Char"/>
    <w:link w:val="208"/>
    <w:qFormat/>
    <w:uiPriority w:val="0"/>
    <w:rPr>
      <w:rFonts w:ascii="Arial" w:hAnsi="Arial" w:eastAsia="楷体_GB2312"/>
      <w:sz w:val="24"/>
      <w:lang w:eastAsia="en-US"/>
    </w:rPr>
  </w:style>
  <w:style w:type="paragraph" w:customStyle="1" w:styleId="208">
    <w:name w:val="K&amp;W Sch 5"/>
    <w:basedOn w:val="155"/>
    <w:link w:val="207"/>
    <w:qFormat/>
    <w:uiPriority w:val="0"/>
    <w:pPr>
      <w:tabs>
        <w:tab w:val="left" w:pos="2268"/>
        <w:tab w:val="left" w:pos="2835"/>
      </w:tabs>
      <w:spacing w:after="360" w:line="320" w:lineRule="exact"/>
      <w:ind w:left="2268" w:hanging="567"/>
    </w:pPr>
    <w:rPr>
      <w:sz w:val="24"/>
    </w:rPr>
  </w:style>
  <w:style w:type="character" w:customStyle="1" w:styleId="209">
    <w:name w:val="副标题 字符"/>
    <w:link w:val="66"/>
    <w:qFormat/>
    <w:uiPriority w:val="0"/>
    <w:rPr>
      <w:rFonts w:ascii="Arial" w:hAnsi="Arial" w:eastAsia="楷体_GB2312" w:cs="Arial"/>
      <w:spacing w:val="-8"/>
      <w:sz w:val="24"/>
      <w:szCs w:val="24"/>
      <w:lang w:eastAsia="en-US"/>
    </w:rPr>
  </w:style>
  <w:style w:type="character" w:customStyle="1" w:styleId="210">
    <w:name w:val="da"/>
    <w:basedOn w:val="134"/>
    <w:qFormat/>
    <w:uiPriority w:val="0"/>
  </w:style>
  <w:style w:type="character" w:customStyle="1" w:styleId="211">
    <w:name w:val="Char Char3"/>
    <w:qFormat/>
    <w:locked/>
    <w:uiPriority w:val="0"/>
    <w:rPr>
      <w:rFonts w:eastAsia="宋体"/>
      <w:sz w:val="24"/>
    </w:rPr>
  </w:style>
  <w:style w:type="character" w:customStyle="1" w:styleId="212">
    <w:name w:val="Balloon Text Char"/>
    <w:qFormat/>
    <w:uiPriority w:val="0"/>
    <w:rPr>
      <w:rFonts w:ascii="Tahoma" w:hAnsi="Tahoma"/>
      <w:sz w:val="16"/>
    </w:rPr>
  </w:style>
  <w:style w:type="character" w:customStyle="1" w:styleId="213">
    <w:name w:val="Comment Subject Char"/>
    <w:qFormat/>
    <w:uiPriority w:val="0"/>
    <w:rPr>
      <w:b/>
    </w:rPr>
  </w:style>
  <w:style w:type="character" w:customStyle="1" w:styleId="214">
    <w:name w:val="Part reference"/>
    <w:qFormat/>
    <w:uiPriority w:val="0"/>
    <w:rPr>
      <w:b/>
      <w:sz w:val="16"/>
    </w:rPr>
  </w:style>
  <w:style w:type="character" w:customStyle="1" w:styleId="215">
    <w:name w:val="标题 字符"/>
    <w:link w:val="85"/>
    <w:qFormat/>
    <w:uiPriority w:val="0"/>
    <w:rPr>
      <w:rFonts w:ascii="Arial" w:hAnsi="Arial" w:eastAsia="楷体_GB2312" w:cs="Arial"/>
      <w:b/>
      <w:bCs/>
      <w:spacing w:val="-8"/>
      <w:kern w:val="28"/>
      <w:sz w:val="32"/>
      <w:szCs w:val="32"/>
      <w:lang w:eastAsia="en-US"/>
    </w:rPr>
  </w:style>
  <w:style w:type="character" w:customStyle="1" w:styleId="216">
    <w:name w:val="明显引用 字符1"/>
    <w:qFormat/>
    <w:uiPriority w:val="30"/>
    <w:rPr>
      <w:rFonts w:ascii="仿宋_GB2312" w:hAnsi="宋体" w:eastAsia="仿宋_GB2312"/>
      <w:i/>
      <w:iCs/>
      <w:color w:val="5B9BD5"/>
      <w:kern w:val="2"/>
      <w:sz w:val="32"/>
      <w:szCs w:val="24"/>
    </w:rPr>
  </w:style>
  <w:style w:type="character" w:customStyle="1" w:styleId="217">
    <w:name w:val="Deed_TOC Char"/>
    <w:link w:val="218"/>
    <w:qFormat/>
    <w:uiPriority w:val="0"/>
    <w:rPr>
      <w:rFonts w:ascii="Arial Bold" w:hAnsi="Arial Bold" w:eastAsia="楷体_GB2312"/>
      <w:b/>
      <w:spacing w:val="-8"/>
      <w:sz w:val="28"/>
      <w:lang w:eastAsia="en-US"/>
    </w:rPr>
  </w:style>
  <w:style w:type="paragraph" w:customStyle="1" w:styleId="218">
    <w:name w:val="Deed_TOC"/>
    <w:basedOn w:val="1"/>
    <w:link w:val="217"/>
    <w:qFormat/>
    <w:uiPriority w:val="0"/>
    <w:pPr>
      <w:widowControl/>
      <w:tabs>
        <w:tab w:val="left" w:pos="1134"/>
        <w:tab w:val="right" w:pos="7655"/>
      </w:tabs>
      <w:spacing w:before="240" w:after="240" w:line="260" w:lineRule="atLeast"/>
      <w:ind w:firstLine="567"/>
      <w:jc w:val="center"/>
    </w:pPr>
    <w:rPr>
      <w:rFonts w:ascii="Arial Bold" w:hAnsi="Arial Bold" w:eastAsia="楷体_GB2312"/>
      <w:b/>
      <w:spacing w:val="-8"/>
      <w:kern w:val="0"/>
      <w:sz w:val="28"/>
      <w:szCs w:val="20"/>
      <w:lang w:eastAsia="en-US"/>
    </w:rPr>
  </w:style>
  <w:style w:type="character" w:customStyle="1" w:styleId="219">
    <w:name w:val="Char Char"/>
    <w:qFormat/>
    <w:locked/>
    <w:uiPriority w:val="0"/>
    <w:rPr>
      <w:rFonts w:ascii="宋体" w:eastAsia="宋体"/>
      <w:kern w:val="2"/>
      <w:sz w:val="18"/>
    </w:rPr>
  </w:style>
  <w:style w:type="character" w:customStyle="1" w:styleId="220">
    <w:name w:val="页脚 字符"/>
    <w:link w:val="59"/>
    <w:qFormat/>
    <w:uiPriority w:val="99"/>
    <w:rPr>
      <w:rFonts w:ascii="仿宋_GB2312" w:hAnsi="宋体" w:eastAsia="仿宋_GB2312"/>
      <w:kern w:val="2"/>
      <w:sz w:val="18"/>
      <w:szCs w:val="18"/>
    </w:rPr>
  </w:style>
  <w:style w:type="character" w:customStyle="1" w:styleId="221">
    <w:name w:val="正文文本缩进 3 字符"/>
    <w:link w:val="72"/>
    <w:semiHidden/>
    <w:qFormat/>
    <w:uiPriority w:val="0"/>
    <w:rPr>
      <w:rFonts w:ascii="Arial" w:hAnsi="Arial" w:eastAsia="楷体_GB2312"/>
      <w:spacing w:val="-8"/>
      <w:sz w:val="16"/>
      <w:szCs w:val="16"/>
      <w:lang w:eastAsia="en-US"/>
    </w:rPr>
  </w:style>
  <w:style w:type="character" w:customStyle="1" w:styleId="222">
    <w:name w:val="K&amp;W heading 4 Char"/>
    <w:link w:val="223"/>
    <w:qFormat/>
    <w:uiPriority w:val="0"/>
    <w:rPr>
      <w:rFonts w:ascii="Arial" w:hAnsi="Arial" w:eastAsia="楷体_GB2312" w:cs="Times New Roman"/>
      <w:lang w:eastAsia="en-US"/>
    </w:rPr>
  </w:style>
  <w:style w:type="paragraph" w:customStyle="1" w:styleId="223">
    <w:name w:val="K&amp;W heading 4"/>
    <w:basedOn w:val="48"/>
    <w:link w:val="222"/>
    <w:qFormat/>
    <w:uiPriority w:val="0"/>
    <w:pPr>
      <w:tabs>
        <w:tab w:val="left" w:pos="567"/>
        <w:tab w:val="left" w:pos="1134"/>
      </w:tabs>
      <w:spacing w:line="280" w:lineRule="exact"/>
      <w:ind w:left="851" w:hanging="284"/>
      <w:outlineLvl w:val="3"/>
    </w:pPr>
    <w:rPr>
      <w:color w:val="auto"/>
    </w:rPr>
  </w:style>
  <w:style w:type="character" w:customStyle="1" w:styleId="224">
    <w:name w:val="结束语 字符"/>
    <w:link w:val="33"/>
    <w:semiHidden/>
    <w:qFormat/>
    <w:uiPriority w:val="0"/>
    <w:rPr>
      <w:rFonts w:ascii="Arial" w:hAnsi="Arial" w:eastAsia="楷体_GB2312"/>
      <w:spacing w:val="-8"/>
      <w:sz w:val="24"/>
      <w:lang w:eastAsia="en-US"/>
    </w:rPr>
  </w:style>
  <w:style w:type="character" w:customStyle="1" w:styleId="225">
    <w:name w:val="称呼 字符"/>
    <w:link w:val="31"/>
    <w:semiHidden/>
    <w:qFormat/>
    <w:uiPriority w:val="0"/>
    <w:rPr>
      <w:rFonts w:ascii="Arial" w:hAnsi="Arial" w:eastAsia="楷体_GB2312"/>
      <w:spacing w:val="-8"/>
      <w:sz w:val="24"/>
      <w:lang w:eastAsia="en-US"/>
    </w:rPr>
  </w:style>
  <w:style w:type="character" w:customStyle="1" w:styleId="226">
    <w:name w:val="K&amp;W"/>
    <w:semiHidden/>
    <w:qFormat/>
    <w:uiPriority w:val="0"/>
    <w:rPr>
      <w:rFonts w:ascii="Arial" w:hAnsi="Arial" w:cs="Arial"/>
      <w:color w:val="004473"/>
      <w:sz w:val="18"/>
      <w:szCs w:val="18"/>
    </w:rPr>
  </w:style>
  <w:style w:type="character" w:customStyle="1" w:styleId="227">
    <w:name w:val="zi_04"/>
    <w:basedOn w:val="134"/>
    <w:qFormat/>
    <w:uiPriority w:val="0"/>
  </w:style>
  <w:style w:type="character" w:customStyle="1" w:styleId="228">
    <w:name w:val="页眉 字符"/>
    <w:link w:val="61"/>
    <w:qFormat/>
    <w:uiPriority w:val="0"/>
    <w:rPr>
      <w:rFonts w:ascii="仿宋_GB2312" w:hAnsi="宋体" w:eastAsia="仿宋_GB2312"/>
      <w:kern w:val="2"/>
      <w:sz w:val="18"/>
      <w:szCs w:val="24"/>
    </w:rPr>
  </w:style>
  <w:style w:type="character" w:customStyle="1" w:styleId="229">
    <w:name w:val="K&amp;W heading 2 Char"/>
    <w:link w:val="230"/>
    <w:qFormat/>
    <w:uiPriority w:val="0"/>
    <w:rPr>
      <w:rFonts w:ascii="Arial" w:hAnsi="Arial" w:eastAsia="楷体_GB2312"/>
      <w:lang w:eastAsia="en-US"/>
    </w:rPr>
  </w:style>
  <w:style w:type="paragraph" w:customStyle="1" w:styleId="230">
    <w:name w:val="K&amp;W heading 2"/>
    <w:basedOn w:val="48"/>
    <w:next w:val="164"/>
    <w:link w:val="229"/>
    <w:qFormat/>
    <w:uiPriority w:val="0"/>
    <w:pPr>
      <w:keepNext/>
      <w:widowControl w:val="0"/>
      <w:numPr>
        <w:ilvl w:val="1"/>
        <w:numId w:val="11"/>
      </w:numPr>
      <w:spacing w:line="280" w:lineRule="exact"/>
      <w:outlineLvl w:val="1"/>
    </w:pPr>
    <w:rPr>
      <w:color w:val="auto"/>
    </w:rPr>
  </w:style>
  <w:style w:type="character" w:customStyle="1" w:styleId="231">
    <w:name w:val="正文文本首行缩进 字符"/>
    <w:link w:val="87"/>
    <w:qFormat/>
    <w:uiPriority w:val="0"/>
    <w:rPr>
      <w:rFonts w:ascii="Arial" w:hAnsi="Arial" w:eastAsia="楷体_GB2312"/>
      <w:spacing w:val="-8"/>
      <w:sz w:val="24"/>
      <w:szCs w:val="24"/>
      <w:lang w:eastAsia="en-US"/>
    </w:rPr>
  </w:style>
  <w:style w:type="character" w:customStyle="1" w:styleId="232">
    <w:name w:val="标题 4 字符"/>
    <w:link w:val="7"/>
    <w:qFormat/>
    <w:uiPriority w:val="0"/>
    <w:rPr>
      <w:rFonts w:ascii="Arial" w:hAnsi="Arial" w:eastAsia="楷体_GB2312"/>
      <w:spacing w:val="-8"/>
      <w:sz w:val="24"/>
      <w:lang w:eastAsia="en-US"/>
    </w:rPr>
  </w:style>
  <w:style w:type="character" w:customStyle="1" w:styleId="233">
    <w:name w:val="正文文本缩进 字符"/>
    <w:link w:val="35"/>
    <w:semiHidden/>
    <w:qFormat/>
    <w:uiPriority w:val="0"/>
    <w:rPr>
      <w:rFonts w:ascii="Arial" w:hAnsi="Arial" w:eastAsia="楷体_GB2312"/>
      <w:spacing w:val="-8"/>
      <w:sz w:val="24"/>
      <w:lang w:eastAsia="en-US"/>
    </w:rPr>
  </w:style>
  <w:style w:type="character" w:customStyle="1" w:styleId="234">
    <w:name w:val="NormalCharacter"/>
    <w:qFormat/>
    <w:uiPriority w:val="0"/>
  </w:style>
  <w:style w:type="character" w:customStyle="1" w:styleId="235">
    <w:name w:val="文档结构图 字符"/>
    <w:link w:val="27"/>
    <w:qFormat/>
    <w:uiPriority w:val="0"/>
    <w:rPr>
      <w:rFonts w:ascii="Tahoma" w:hAnsi="Tahoma" w:eastAsia="楷体_GB2312" w:cs="Tahoma"/>
      <w:spacing w:val="-8"/>
      <w:sz w:val="24"/>
      <w:shd w:val="clear" w:color="auto" w:fill="000080"/>
      <w:lang w:eastAsia="en-US"/>
    </w:rPr>
  </w:style>
  <w:style w:type="character" w:customStyle="1" w:styleId="236">
    <w:name w:val="脚注文本 字符"/>
    <w:qFormat/>
    <w:uiPriority w:val="99"/>
    <w:rPr>
      <w:rFonts w:ascii="Arial" w:hAnsi="Arial" w:eastAsia="楷体_GB2312"/>
      <w:sz w:val="18"/>
      <w:szCs w:val="16"/>
      <w:lang w:eastAsia="en-US"/>
    </w:rPr>
  </w:style>
  <w:style w:type="character" w:customStyle="1" w:styleId="237">
    <w:name w:val="正文文本首行缩进 2 字符"/>
    <w:link w:val="88"/>
    <w:semiHidden/>
    <w:qFormat/>
    <w:uiPriority w:val="0"/>
    <w:rPr>
      <w:rFonts w:ascii="Arial" w:hAnsi="Arial" w:eastAsia="楷体_GB2312"/>
      <w:spacing w:val="-8"/>
      <w:sz w:val="24"/>
      <w:lang w:eastAsia="en-US"/>
    </w:rPr>
  </w:style>
  <w:style w:type="character" w:customStyle="1" w:styleId="238">
    <w:name w:val="信息标题 字符"/>
    <w:link w:val="80"/>
    <w:qFormat/>
    <w:uiPriority w:val="0"/>
    <w:rPr>
      <w:rFonts w:ascii="Arial" w:hAnsi="Arial" w:eastAsia="楷体_GB2312" w:cs="Arial"/>
      <w:spacing w:val="-8"/>
      <w:sz w:val="24"/>
      <w:szCs w:val="24"/>
      <w:shd w:val="pct20" w:color="auto" w:fill="auto"/>
      <w:lang w:eastAsia="en-US"/>
    </w:rPr>
  </w:style>
  <w:style w:type="character" w:customStyle="1" w:styleId="239">
    <w:name w:val="引用文 2 (文字)1"/>
    <w:qFormat/>
    <w:uiPriority w:val="99"/>
    <w:rPr>
      <w:rFonts w:ascii="仿宋_GB2312" w:hAnsi="宋体" w:eastAsia="仿宋_GB2312"/>
      <w:i/>
      <w:iCs/>
      <w:color w:val="5B9BD5"/>
      <w:kern w:val="2"/>
      <w:sz w:val="32"/>
      <w:szCs w:val="24"/>
    </w:rPr>
  </w:style>
  <w:style w:type="character" w:customStyle="1" w:styleId="240">
    <w:name w:val="Plain Text Char"/>
    <w:qFormat/>
    <w:uiPriority w:val="0"/>
    <w:rPr>
      <w:rFonts w:ascii="宋体" w:hAnsi="Courier New"/>
      <w:kern w:val="2"/>
      <w:sz w:val="21"/>
    </w:rPr>
  </w:style>
  <w:style w:type="character" w:customStyle="1" w:styleId="241">
    <w:name w:val="Body Text Indent Char"/>
    <w:qFormat/>
    <w:uiPriority w:val="0"/>
    <w:rPr>
      <w:rFonts w:ascii="楷体_GB2312" w:eastAsia="楷体_GB2312"/>
      <w:kern w:val="2"/>
      <w:sz w:val="30"/>
    </w:rPr>
  </w:style>
  <w:style w:type="character" w:customStyle="1" w:styleId="242">
    <w:name w:val="标题 6 字符"/>
    <w:link w:val="9"/>
    <w:qFormat/>
    <w:uiPriority w:val="0"/>
    <w:rPr>
      <w:rFonts w:ascii="Arial" w:hAnsi="Arial" w:eastAsia="楷体_GB2312"/>
      <w:spacing w:val="-8"/>
      <w:sz w:val="24"/>
      <w:lang w:eastAsia="en-US"/>
    </w:rPr>
  </w:style>
  <w:style w:type="character" w:customStyle="1" w:styleId="243">
    <w:name w:val="批注文字 字符"/>
    <w:link w:val="29"/>
    <w:qFormat/>
    <w:uiPriority w:val="0"/>
    <w:rPr>
      <w:rFonts w:ascii="仿宋_GB2312" w:hAnsi="宋体" w:eastAsia="仿宋_GB2312"/>
      <w:kern w:val="2"/>
      <w:sz w:val="32"/>
      <w:szCs w:val="24"/>
    </w:rPr>
  </w:style>
  <w:style w:type="character" w:customStyle="1" w:styleId="244">
    <w:name w:val="日期 字符"/>
    <w:link w:val="54"/>
    <w:qFormat/>
    <w:uiPriority w:val="0"/>
    <w:rPr>
      <w:rFonts w:ascii="仿宋_GB2312" w:hAnsi="宋体" w:eastAsia="仿宋_GB2312"/>
      <w:kern w:val="2"/>
      <w:sz w:val="32"/>
      <w:szCs w:val="24"/>
    </w:rPr>
  </w:style>
  <w:style w:type="character" w:customStyle="1" w:styleId="245">
    <w:name w:val="明显引用 字符"/>
    <w:link w:val="246"/>
    <w:qFormat/>
    <w:uiPriority w:val="30"/>
    <w:rPr>
      <w:rFonts w:ascii="Arial" w:hAnsi="Arial" w:eastAsia="楷体_GB2312"/>
      <w:b/>
      <w:bCs/>
      <w:i/>
      <w:iCs/>
      <w:color w:val="4F81BD"/>
      <w:spacing w:val="-8"/>
      <w:sz w:val="24"/>
      <w:lang w:eastAsia="en-US"/>
    </w:rPr>
  </w:style>
  <w:style w:type="paragraph" w:styleId="246">
    <w:name w:val="Intense Quote"/>
    <w:basedOn w:val="1"/>
    <w:next w:val="1"/>
    <w:link w:val="245"/>
    <w:qFormat/>
    <w:uiPriority w:val="30"/>
    <w:pPr>
      <w:widowControl/>
      <w:pBdr>
        <w:bottom w:val="single" w:color="4F81BD" w:sz="4" w:space="4"/>
      </w:pBdr>
      <w:spacing w:before="200" w:after="280"/>
      <w:ind w:left="936" w:right="936"/>
      <w:jc w:val="left"/>
    </w:pPr>
    <w:rPr>
      <w:rFonts w:ascii="Arial" w:hAnsi="Arial" w:eastAsia="楷体_GB2312"/>
      <w:b/>
      <w:bCs/>
      <w:i/>
      <w:iCs/>
      <w:color w:val="4F81BD"/>
      <w:spacing w:val="-8"/>
      <w:kern w:val="0"/>
      <w:sz w:val="24"/>
      <w:szCs w:val="20"/>
      <w:lang w:eastAsia="en-US"/>
    </w:rPr>
  </w:style>
  <w:style w:type="character" w:customStyle="1" w:styleId="247">
    <w:name w:val="apple-converted-space"/>
    <w:qFormat/>
    <w:uiPriority w:val="0"/>
    <w:rPr>
      <w:rFonts w:cs="Times New Roman"/>
    </w:rPr>
  </w:style>
  <w:style w:type="paragraph" w:customStyle="1" w:styleId="248">
    <w:name w:val="中文文本"/>
    <w:basedOn w:val="1"/>
    <w:qFormat/>
    <w:uiPriority w:val="0"/>
    <w:pPr>
      <w:tabs>
        <w:tab w:val="left" w:pos="0"/>
      </w:tabs>
      <w:adjustRightInd w:val="0"/>
      <w:spacing w:before="120" w:after="120"/>
      <w:ind w:left="480" w:hanging="480"/>
    </w:pPr>
    <w:rPr>
      <w:rFonts w:ascii="Times New Roman" w:hAnsi="Times New Roman" w:eastAsia="宋体"/>
      <w:kern w:val="0"/>
      <w:sz w:val="24"/>
      <w:szCs w:val="20"/>
    </w:rPr>
  </w:style>
  <w:style w:type="paragraph" w:customStyle="1" w:styleId="249">
    <w:name w:val="Body Text No Indent"/>
    <w:basedOn w:val="5"/>
    <w:qFormat/>
    <w:uiPriority w:val="0"/>
    <w:pPr>
      <w:spacing w:after="240"/>
      <w:jc w:val="left"/>
    </w:pPr>
    <w:rPr>
      <w:rFonts w:ascii="Arial" w:hAnsi="Arial" w:eastAsia="楷体_GB2312"/>
      <w:spacing w:val="-8"/>
      <w:sz w:val="24"/>
      <w:szCs w:val="20"/>
      <w:lang w:eastAsia="en-US"/>
    </w:rPr>
  </w:style>
  <w:style w:type="paragraph" w:styleId="250">
    <w:name w:val="No Spacing"/>
    <w:qFormat/>
    <w:uiPriority w:val="1"/>
    <w:rPr>
      <w:rFonts w:ascii="Arial" w:hAnsi="Arial" w:eastAsia="楷体_GB2312" w:cs="Times New Roman"/>
      <w:spacing w:val="-8"/>
      <w:sz w:val="24"/>
      <w:lang w:val="en-US" w:eastAsia="en-US" w:bidi="ar-SA"/>
    </w:rPr>
  </w:style>
  <w:style w:type="paragraph" w:customStyle="1" w:styleId="251">
    <w:name w:val="Deed_SubHeading"/>
    <w:basedOn w:val="1"/>
    <w:qFormat/>
    <w:uiPriority w:val="0"/>
    <w:pPr>
      <w:widowControl/>
      <w:spacing w:before="120" w:line="440" w:lineRule="exact"/>
      <w:jc w:val="left"/>
    </w:pPr>
    <w:rPr>
      <w:rFonts w:ascii="Arial" w:hAnsi="Arial" w:eastAsia="楷体_GB2312"/>
      <w:b/>
      <w:spacing w:val="-8"/>
      <w:kern w:val="0"/>
      <w:sz w:val="36"/>
      <w:szCs w:val="20"/>
      <w:lang w:eastAsia="en-US"/>
    </w:rPr>
  </w:style>
  <w:style w:type="paragraph" w:customStyle="1" w:styleId="25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eastAsia="宋体" w:cs="宋体"/>
      <w:color w:val="FF0000"/>
      <w:kern w:val="0"/>
      <w:sz w:val="18"/>
      <w:szCs w:val="18"/>
    </w:rPr>
  </w:style>
  <w:style w:type="paragraph" w:customStyle="1" w:styleId="253">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25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eastAsia="宋体"/>
      <w:b/>
      <w:kern w:val="0"/>
      <w:sz w:val="18"/>
      <w:szCs w:val="20"/>
    </w:rPr>
  </w:style>
  <w:style w:type="paragraph" w:customStyle="1" w:styleId="255">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256">
    <w:name w:val="K&amp;W List Bullet"/>
    <w:basedOn w:val="48"/>
    <w:qFormat/>
    <w:uiPriority w:val="0"/>
    <w:pPr>
      <w:numPr>
        <w:ilvl w:val="0"/>
        <w:numId w:val="12"/>
      </w:numPr>
      <w:spacing w:after="240"/>
    </w:pPr>
  </w:style>
  <w:style w:type="paragraph" w:customStyle="1" w:styleId="257">
    <w:name w:val="font7"/>
    <w:basedOn w:val="1"/>
    <w:qFormat/>
    <w:uiPriority w:val="0"/>
    <w:pPr>
      <w:widowControl/>
      <w:spacing w:before="100" w:beforeAutospacing="1" w:after="100" w:afterAutospacing="1"/>
      <w:jc w:val="left"/>
    </w:pPr>
    <w:rPr>
      <w:rFonts w:ascii="Times New Roman" w:hAnsi="Times New Roman" w:eastAsia="宋体"/>
      <w:kern w:val="0"/>
      <w:sz w:val="20"/>
      <w:szCs w:val="20"/>
    </w:rPr>
  </w:style>
  <w:style w:type="paragraph" w:customStyle="1" w:styleId="258">
    <w:name w:val="Deed_Background"/>
    <w:basedOn w:val="5"/>
    <w:qFormat/>
    <w:uiPriority w:val="0"/>
    <w:pPr>
      <w:tabs>
        <w:tab w:val="left" w:pos="360"/>
        <w:tab w:val="left" w:pos="567"/>
      </w:tabs>
      <w:spacing w:after="240"/>
      <w:jc w:val="left"/>
    </w:pPr>
    <w:rPr>
      <w:rFonts w:ascii="Arial" w:hAnsi="Arial" w:eastAsia="楷体_GB2312"/>
      <w:spacing w:val="-8"/>
      <w:sz w:val="24"/>
      <w:szCs w:val="20"/>
      <w:lang w:eastAsia="en-US"/>
    </w:rPr>
  </w:style>
  <w:style w:type="paragraph" w:customStyle="1" w:styleId="259">
    <w:name w:val="xl66"/>
    <w:basedOn w:val="1"/>
    <w:qFormat/>
    <w:uiPriority w:val="0"/>
    <w:pPr>
      <w:widowControl/>
      <w:pBdr>
        <w:top w:val="single" w:color="auto" w:sz="4" w:space="0"/>
        <w:left w:val="single" w:color="auto" w:sz="4" w:space="0"/>
        <w:bottom w:val="single" w:color="auto" w:sz="4" w:space="0"/>
        <w:right w:val="single" w:color="auto" w:sz="4" w:space="0"/>
      </w:pBdr>
      <w:shd w:val="clear" w:color="auto" w:fill="969696"/>
      <w:spacing w:before="100" w:beforeAutospacing="1" w:after="100" w:afterAutospacing="1"/>
      <w:jc w:val="left"/>
      <w:textAlignment w:val="center"/>
    </w:pPr>
    <w:rPr>
      <w:rFonts w:ascii="宋体" w:eastAsia="宋体" w:cs="宋体"/>
      <w:kern w:val="0"/>
      <w:sz w:val="24"/>
    </w:rPr>
  </w:style>
  <w:style w:type="paragraph" w:customStyle="1" w:styleId="260">
    <w:name w:val="kwbodytext"/>
    <w:basedOn w:val="1"/>
    <w:qFormat/>
    <w:uiPriority w:val="0"/>
    <w:pPr>
      <w:widowControl/>
      <w:spacing w:before="100" w:beforeAutospacing="1" w:after="100" w:afterAutospacing="1"/>
      <w:jc w:val="left"/>
    </w:pPr>
    <w:rPr>
      <w:rFonts w:ascii="宋体" w:eastAsia="宋体" w:cs="宋体"/>
      <w:kern w:val="0"/>
      <w:sz w:val="24"/>
    </w:rPr>
  </w:style>
  <w:style w:type="paragraph" w:customStyle="1" w:styleId="261">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eastAsia="宋体"/>
      <w:kern w:val="0"/>
      <w:sz w:val="18"/>
      <w:szCs w:val="20"/>
    </w:rPr>
  </w:style>
  <w:style w:type="paragraph" w:customStyle="1" w:styleId="262">
    <w:name w:val="K&amp;W Heading"/>
    <w:basedOn w:val="263"/>
    <w:next w:val="164"/>
    <w:qFormat/>
    <w:uiPriority w:val="0"/>
    <w:pPr>
      <w:numPr>
        <w:ilvl w:val="0"/>
        <w:numId w:val="0"/>
      </w:numPr>
      <w:tabs>
        <w:tab w:val="left" w:pos="567"/>
      </w:tabs>
    </w:pPr>
  </w:style>
  <w:style w:type="paragraph" w:customStyle="1" w:styleId="263">
    <w:name w:val="K&amp;W heading 1"/>
    <w:basedOn w:val="48"/>
    <w:next w:val="164"/>
    <w:qFormat/>
    <w:uiPriority w:val="0"/>
    <w:pPr>
      <w:keepNext/>
      <w:widowControl w:val="0"/>
      <w:numPr>
        <w:ilvl w:val="0"/>
        <w:numId w:val="11"/>
      </w:numPr>
      <w:spacing w:line="280" w:lineRule="exact"/>
      <w:outlineLvl w:val="0"/>
    </w:pPr>
    <w:rPr>
      <w:b/>
      <w:color w:val="auto"/>
      <w:sz w:val="24"/>
    </w:rPr>
  </w:style>
  <w:style w:type="paragraph" w:customStyle="1" w:styleId="264">
    <w:name w:val="xl6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Times New Roman" w:hAnsi="Times New Roman" w:eastAsia="宋体"/>
      <w:kern w:val="0"/>
      <w:sz w:val="18"/>
      <w:szCs w:val="20"/>
    </w:rPr>
  </w:style>
  <w:style w:type="paragraph" w:customStyle="1" w:styleId="265">
    <w:name w:val="List Paragraph1"/>
    <w:basedOn w:val="1"/>
    <w:qFormat/>
    <w:uiPriority w:val="0"/>
    <w:pPr>
      <w:ind w:left="720"/>
    </w:pPr>
    <w:rPr>
      <w:rFonts w:ascii="Times New Roman" w:hAnsi="Times New Roman" w:eastAsia="宋体"/>
      <w:sz w:val="21"/>
      <w:szCs w:val="20"/>
    </w:rPr>
  </w:style>
  <w:style w:type="paragraph" w:customStyle="1" w:styleId="266">
    <w:name w:val="xl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26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eastAsia="宋体"/>
      <w:kern w:val="0"/>
      <w:sz w:val="18"/>
      <w:szCs w:val="20"/>
    </w:rPr>
  </w:style>
  <w:style w:type="paragraph" w:customStyle="1" w:styleId="268">
    <w:name w:val="K&amp;W Heading 9"/>
    <w:basedOn w:val="263"/>
    <w:next w:val="164"/>
    <w:qFormat/>
    <w:uiPriority w:val="0"/>
    <w:pPr>
      <w:keepNext w:val="0"/>
      <w:numPr>
        <w:ilvl w:val="0"/>
        <w:numId w:val="0"/>
      </w:numPr>
      <w:spacing w:after="440" w:line="240" w:lineRule="auto"/>
      <w:ind w:left="567" w:hanging="567"/>
      <w:outlineLvl w:val="8"/>
    </w:pPr>
    <w:rPr>
      <w:sz w:val="36"/>
    </w:rPr>
  </w:style>
  <w:style w:type="paragraph" w:customStyle="1" w:styleId="269">
    <w:name w:val="Deed_Part"/>
    <w:basedOn w:val="1"/>
    <w:next w:val="5"/>
    <w:qFormat/>
    <w:uiPriority w:val="0"/>
    <w:pPr>
      <w:widowControl/>
      <w:ind w:left="-1134"/>
      <w:jc w:val="left"/>
    </w:pPr>
    <w:rPr>
      <w:rFonts w:ascii="Arial" w:hAnsi="Arial" w:eastAsia="楷体_GB2312"/>
      <w:spacing w:val="-8"/>
      <w:kern w:val="0"/>
      <w:sz w:val="24"/>
      <w:szCs w:val="20"/>
      <w:lang w:eastAsia="en-US"/>
    </w:rPr>
  </w:style>
  <w:style w:type="paragraph" w:customStyle="1" w:styleId="270">
    <w:name w:val="Char"/>
    <w:basedOn w:val="1"/>
    <w:qFormat/>
    <w:uiPriority w:val="0"/>
    <w:pPr>
      <w:widowControl/>
      <w:spacing w:after="160" w:line="240" w:lineRule="exact"/>
      <w:jc w:val="left"/>
    </w:pPr>
    <w:rPr>
      <w:rFonts w:ascii="Times New Roman" w:hAnsi="Times New Roman" w:eastAsia="Times New Roman"/>
      <w:kern w:val="0"/>
      <w:sz w:val="20"/>
      <w:szCs w:val="20"/>
      <w:lang w:eastAsia="ja-JP"/>
    </w:rPr>
  </w:style>
  <w:style w:type="paragraph" w:customStyle="1" w:styleId="271">
    <w:name w:val="列出段落1"/>
    <w:basedOn w:val="1"/>
    <w:qFormat/>
    <w:uiPriority w:val="0"/>
    <w:pPr>
      <w:ind w:firstLine="420" w:firstLineChars="200"/>
    </w:pPr>
    <w:rPr>
      <w:rFonts w:ascii="Calibri" w:hAnsi="Calibri" w:eastAsia="宋体"/>
      <w:sz w:val="21"/>
      <w:szCs w:val="22"/>
    </w:rPr>
  </w:style>
  <w:style w:type="paragraph" w:customStyle="1" w:styleId="272">
    <w:name w:val="K&amp;W List Number"/>
    <w:basedOn w:val="48"/>
    <w:qFormat/>
    <w:uiPriority w:val="0"/>
    <w:pPr>
      <w:numPr>
        <w:ilvl w:val="0"/>
        <w:numId w:val="13"/>
      </w:numPr>
      <w:tabs>
        <w:tab w:val="left" w:pos="1134"/>
      </w:tabs>
      <w:spacing w:after="240"/>
    </w:pPr>
  </w:style>
  <w:style w:type="paragraph" w:customStyle="1" w:styleId="273">
    <w:name w:val="K&amp;W heading 7"/>
    <w:basedOn w:val="263"/>
    <w:next w:val="164"/>
    <w:qFormat/>
    <w:uiPriority w:val="0"/>
    <w:pPr>
      <w:keepNext w:val="0"/>
      <w:widowControl/>
      <w:numPr>
        <w:numId w:val="0"/>
      </w:numPr>
      <w:spacing w:after="360" w:line="320" w:lineRule="exact"/>
      <w:ind w:left="1134" w:hanging="567"/>
      <w:outlineLvl w:val="6"/>
    </w:pPr>
    <w:rPr>
      <w:sz w:val="28"/>
      <w:lang w:eastAsia="zh-CN"/>
    </w:rPr>
  </w:style>
  <w:style w:type="paragraph" w:customStyle="1" w:styleId="27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275">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276">
    <w:name w:val="Deed_Title"/>
    <w:basedOn w:val="1"/>
    <w:qFormat/>
    <w:uiPriority w:val="0"/>
    <w:pPr>
      <w:widowControl/>
      <w:spacing w:before="260"/>
      <w:jc w:val="left"/>
    </w:pPr>
    <w:rPr>
      <w:rFonts w:ascii="Arial" w:hAnsi="Arial" w:eastAsia="楷体_GB2312"/>
      <w:b/>
      <w:spacing w:val="-8"/>
      <w:kern w:val="0"/>
      <w:sz w:val="24"/>
      <w:szCs w:val="20"/>
      <w:lang w:eastAsia="en-US"/>
    </w:rPr>
  </w:style>
  <w:style w:type="paragraph" w:customStyle="1" w:styleId="277">
    <w:name w:val="font8"/>
    <w:basedOn w:val="1"/>
    <w:qFormat/>
    <w:uiPriority w:val="0"/>
    <w:pPr>
      <w:widowControl/>
      <w:spacing w:before="100" w:beforeAutospacing="1" w:after="100" w:afterAutospacing="1"/>
      <w:jc w:val="left"/>
    </w:pPr>
    <w:rPr>
      <w:rFonts w:ascii="Times New Roman" w:hAnsi="Times New Roman" w:eastAsia="宋体"/>
      <w:kern w:val="0"/>
      <w:sz w:val="18"/>
      <w:szCs w:val="20"/>
    </w:rPr>
  </w:style>
  <w:style w:type="paragraph" w:customStyle="1" w:styleId="278">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279">
    <w:name w:val="font0"/>
    <w:basedOn w:val="1"/>
    <w:qFormat/>
    <w:uiPriority w:val="0"/>
    <w:pPr>
      <w:widowControl/>
      <w:spacing w:before="100" w:beforeAutospacing="1" w:after="100" w:afterAutospacing="1"/>
      <w:jc w:val="left"/>
    </w:pPr>
    <w:rPr>
      <w:rFonts w:ascii="宋体" w:eastAsia="宋体"/>
      <w:kern w:val="0"/>
      <w:sz w:val="24"/>
      <w:szCs w:val="20"/>
    </w:rPr>
  </w:style>
  <w:style w:type="paragraph" w:customStyle="1" w:styleId="280">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eastAsia="宋体"/>
      <w:kern w:val="0"/>
      <w:sz w:val="20"/>
      <w:szCs w:val="20"/>
    </w:rPr>
  </w:style>
  <w:style w:type="paragraph" w:customStyle="1" w:styleId="281">
    <w:name w:val="Prec_heading"/>
    <w:basedOn w:val="1"/>
    <w:next w:val="1"/>
    <w:qFormat/>
    <w:uiPriority w:val="0"/>
    <w:pPr>
      <w:widowControl/>
      <w:pBdr>
        <w:top w:val="single" w:color="auto" w:sz="6" w:space="9"/>
      </w:pBdr>
      <w:spacing w:before="480" w:after="120" w:line="240" w:lineRule="atLeast"/>
      <w:ind w:left="-1134" w:firstLine="1134"/>
      <w:jc w:val="left"/>
    </w:pPr>
    <w:rPr>
      <w:rFonts w:ascii="Arial" w:hAnsi="Arial" w:eastAsia="楷体_GB2312"/>
      <w:b/>
      <w:color w:val="195988"/>
      <w:kern w:val="0"/>
      <w:sz w:val="28"/>
      <w:szCs w:val="20"/>
      <w:lang w:eastAsia="en-US"/>
    </w:rPr>
  </w:style>
  <w:style w:type="paragraph" w:customStyle="1" w:styleId="282">
    <w:name w:val="K&amp;W Heading 1 No Number"/>
    <w:basedOn w:val="263"/>
    <w:next w:val="48"/>
    <w:qFormat/>
    <w:uiPriority w:val="0"/>
    <w:pPr>
      <w:keepNext w:val="0"/>
      <w:widowControl/>
      <w:numPr>
        <w:ilvl w:val="0"/>
        <w:numId w:val="0"/>
      </w:numPr>
      <w:spacing w:after="440" w:line="240" w:lineRule="auto"/>
    </w:pPr>
    <w:rPr>
      <w:sz w:val="36"/>
    </w:rPr>
  </w:style>
  <w:style w:type="paragraph" w:customStyle="1" w:styleId="283">
    <w:name w:val="Style Body Text + Arial Black Before:  12 pt"/>
    <w:basedOn w:val="5"/>
    <w:qFormat/>
    <w:uiPriority w:val="0"/>
    <w:pPr>
      <w:spacing w:before="240" w:after="240"/>
      <w:ind w:left="567"/>
      <w:jc w:val="left"/>
    </w:pPr>
    <w:rPr>
      <w:rFonts w:ascii="Arial Black" w:hAnsi="Arial Black" w:eastAsia="楷体_GB2312"/>
      <w:spacing w:val="-8"/>
      <w:sz w:val="24"/>
      <w:szCs w:val="20"/>
      <w:lang w:eastAsia="en-US"/>
    </w:rPr>
  </w:style>
  <w:style w:type="paragraph" w:customStyle="1" w:styleId="284">
    <w:name w:val="font10"/>
    <w:basedOn w:val="1"/>
    <w:qFormat/>
    <w:uiPriority w:val="0"/>
    <w:pPr>
      <w:widowControl/>
      <w:spacing w:before="100" w:beforeAutospacing="1" w:after="100" w:afterAutospacing="1"/>
      <w:jc w:val="left"/>
    </w:pPr>
    <w:rPr>
      <w:rFonts w:ascii="宋体" w:eastAsia="宋体"/>
      <w:color w:val="000000"/>
      <w:kern w:val="0"/>
      <w:sz w:val="18"/>
      <w:szCs w:val="20"/>
    </w:rPr>
  </w:style>
  <w:style w:type="paragraph" w:customStyle="1" w:styleId="285">
    <w:name w:val="style"/>
    <w:basedOn w:val="1"/>
    <w:qFormat/>
    <w:uiPriority w:val="0"/>
    <w:pPr>
      <w:tabs>
        <w:tab w:val="left" w:pos="709"/>
      </w:tabs>
    </w:pPr>
    <w:rPr>
      <w:rFonts w:ascii="Times New Roman" w:hAnsi="Times New Roman" w:eastAsia="華康簡楷"/>
      <w:sz w:val="24"/>
      <w:szCs w:val="20"/>
      <w:lang w:eastAsia="zh-TW"/>
    </w:rPr>
  </w:style>
  <w:style w:type="paragraph" w:customStyle="1" w:styleId="286">
    <w:name w:val="Deed_Attachment"/>
    <w:basedOn w:val="1"/>
    <w:next w:val="5"/>
    <w:qFormat/>
    <w:uiPriority w:val="0"/>
    <w:pPr>
      <w:widowControl/>
      <w:tabs>
        <w:tab w:val="left" w:pos="360"/>
        <w:tab w:val="left" w:pos="567"/>
      </w:tabs>
      <w:spacing w:line="260" w:lineRule="atLeast"/>
      <w:jc w:val="left"/>
    </w:pPr>
    <w:rPr>
      <w:rFonts w:ascii="Arial Bold" w:hAnsi="Arial Bold" w:eastAsia="楷体_GB2312"/>
      <w:b/>
      <w:color w:val="195988"/>
      <w:spacing w:val="-8"/>
      <w:kern w:val="0"/>
      <w:sz w:val="28"/>
      <w:szCs w:val="20"/>
      <w:lang w:eastAsia="en-US"/>
    </w:rPr>
  </w:style>
  <w:style w:type="paragraph" w:customStyle="1" w:styleId="287">
    <w:name w:val="K&amp;W Subheading"/>
    <w:basedOn w:val="230"/>
    <w:next w:val="164"/>
    <w:qFormat/>
    <w:uiPriority w:val="0"/>
    <w:pPr>
      <w:numPr>
        <w:ilvl w:val="0"/>
        <w:numId w:val="0"/>
      </w:numPr>
    </w:pPr>
    <w:rPr>
      <w:kern w:val="28"/>
    </w:rPr>
  </w:style>
  <w:style w:type="paragraph" w:customStyle="1" w:styleId="288">
    <w:name w:val="(a)"/>
    <w:basedOn w:val="5"/>
    <w:qFormat/>
    <w:uiPriority w:val="0"/>
    <w:pPr>
      <w:spacing w:after="240"/>
      <w:ind w:left="720" w:hanging="720"/>
      <w:jc w:val="both"/>
    </w:pPr>
    <w:rPr>
      <w:rFonts w:ascii="Times New Roman" w:hAnsi="Times New Roman" w:eastAsia="宋体"/>
      <w:bCs/>
      <w:sz w:val="24"/>
      <w:lang w:eastAsia="en-US"/>
    </w:rPr>
  </w:style>
  <w:style w:type="paragraph" w:customStyle="1" w:styleId="289">
    <w:name w:val="Deed_Heading"/>
    <w:basedOn w:val="1"/>
    <w:qFormat/>
    <w:uiPriority w:val="0"/>
    <w:pPr>
      <w:widowControl/>
      <w:pBdr>
        <w:top w:val="single" w:color="auto" w:sz="12" w:space="7"/>
      </w:pBdr>
      <w:spacing w:line="440" w:lineRule="exact"/>
      <w:jc w:val="left"/>
    </w:pPr>
    <w:rPr>
      <w:rFonts w:ascii="Arial Black" w:hAnsi="Arial Black" w:eastAsia="楷体_GB2312"/>
      <w:b/>
      <w:spacing w:val="-8"/>
      <w:kern w:val="0"/>
      <w:sz w:val="44"/>
      <w:szCs w:val="20"/>
      <w:lang w:eastAsia="en-US"/>
    </w:rPr>
  </w:style>
  <w:style w:type="paragraph" w:customStyle="1" w:styleId="290">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eastAsia="宋体"/>
      <w:kern w:val="0"/>
      <w:sz w:val="18"/>
      <w:szCs w:val="20"/>
    </w:rPr>
  </w:style>
  <w:style w:type="paragraph" w:customStyle="1" w:styleId="291">
    <w:name w:val="3级编号"/>
    <w:basedOn w:val="191"/>
    <w:next w:val="1"/>
    <w:qFormat/>
    <w:uiPriority w:val="0"/>
    <w:pPr>
      <w:tabs>
        <w:tab w:val="left" w:pos="720"/>
        <w:tab w:val="clear" w:pos="539"/>
      </w:tabs>
      <w:outlineLvl w:val="2"/>
    </w:pPr>
    <w:rPr>
      <w:rFonts w:eastAsia="宋体"/>
    </w:rPr>
  </w:style>
  <w:style w:type="paragraph" w:customStyle="1" w:styleId="292">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293">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9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eastAsia="宋体"/>
      <w:b/>
      <w:kern w:val="0"/>
      <w:sz w:val="18"/>
      <w:szCs w:val="20"/>
    </w:rPr>
  </w:style>
  <w:style w:type="paragraph" w:customStyle="1" w:styleId="295">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kern w:val="0"/>
      <w:sz w:val="20"/>
      <w:szCs w:val="20"/>
    </w:rPr>
  </w:style>
  <w:style w:type="paragraph" w:customStyle="1" w:styleId="296">
    <w:name w:val="Instruction - OptionalEnd"/>
    <w:basedOn w:val="1"/>
    <w:qFormat/>
    <w:uiPriority w:val="0"/>
    <w:pPr>
      <w:widowControl/>
      <w:spacing w:before="60" w:after="60" w:line="200" w:lineRule="atLeast"/>
      <w:jc w:val="left"/>
    </w:pPr>
    <w:rPr>
      <w:rFonts w:ascii="Arial" w:hAnsi="Arial" w:eastAsia="楷体_GB2312"/>
      <w:spacing w:val="-8"/>
      <w:kern w:val="0"/>
      <w:sz w:val="16"/>
      <w:szCs w:val="20"/>
      <w:lang w:eastAsia="en-US"/>
    </w:rPr>
  </w:style>
  <w:style w:type="paragraph" w:customStyle="1" w:styleId="297">
    <w:name w:val="Prec List Bullet 2"/>
    <w:basedOn w:val="298"/>
    <w:qFormat/>
    <w:uiPriority w:val="0"/>
    <w:pPr>
      <w:tabs>
        <w:tab w:val="left" w:pos="360"/>
        <w:tab w:val="left" w:pos="567"/>
      </w:tabs>
    </w:pPr>
  </w:style>
  <w:style w:type="paragraph" w:customStyle="1" w:styleId="298">
    <w:name w:val="Prec List Bullet"/>
    <w:basedOn w:val="25"/>
    <w:qFormat/>
    <w:uiPriority w:val="0"/>
    <w:pPr>
      <w:numPr>
        <w:ilvl w:val="0"/>
        <w:numId w:val="0"/>
      </w:numPr>
      <w:tabs>
        <w:tab w:val="left" w:pos="360"/>
      </w:tabs>
      <w:spacing w:before="60" w:after="60"/>
    </w:pPr>
    <w:rPr>
      <w:sz w:val="16"/>
    </w:rPr>
  </w:style>
  <w:style w:type="paragraph" w:customStyle="1" w:styleId="299">
    <w:name w:val="修订1"/>
    <w:semiHidden/>
    <w:qFormat/>
    <w:uiPriority w:val="99"/>
    <w:rPr>
      <w:rFonts w:ascii="Arial" w:hAnsi="Arial" w:eastAsia="楷体_GB2312" w:cs="Times New Roman"/>
      <w:spacing w:val="-8"/>
      <w:sz w:val="24"/>
      <w:lang w:val="en-US" w:eastAsia="en-US" w:bidi="ar-SA"/>
    </w:rPr>
  </w:style>
  <w:style w:type="paragraph" w:customStyle="1" w:styleId="300">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eastAsia="宋体"/>
      <w:kern w:val="0"/>
      <w:sz w:val="18"/>
      <w:szCs w:val="20"/>
    </w:rPr>
  </w:style>
  <w:style w:type="paragraph" w:customStyle="1" w:styleId="301">
    <w:name w:val="font9"/>
    <w:basedOn w:val="1"/>
    <w:qFormat/>
    <w:uiPriority w:val="0"/>
    <w:pPr>
      <w:widowControl/>
      <w:spacing w:before="100" w:beforeAutospacing="1" w:after="100" w:afterAutospacing="1"/>
      <w:jc w:val="left"/>
    </w:pPr>
    <w:rPr>
      <w:rFonts w:ascii="宋体" w:eastAsia="宋体"/>
      <w:b/>
      <w:color w:val="000000"/>
      <w:kern w:val="0"/>
      <w:sz w:val="18"/>
      <w:szCs w:val="20"/>
    </w:rPr>
  </w:style>
  <w:style w:type="paragraph" w:customStyle="1" w:styleId="30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eastAsia="宋体"/>
      <w:b/>
      <w:kern w:val="0"/>
      <w:sz w:val="18"/>
      <w:szCs w:val="20"/>
    </w:rPr>
  </w:style>
  <w:style w:type="paragraph" w:customStyle="1" w:styleId="303">
    <w:name w:val="Normal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30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宋体"/>
      <w:kern w:val="0"/>
      <w:sz w:val="18"/>
      <w:szCs w:val="20"/>
    </w:rPr>
  </w:style>
  <w:style w:type="paragraph" w:customStyle="1" w:styleId="306">
    <w:name w:val="Style Deed_Parties + Bold"/>
    <w:basedOn w:val="307"/>
    <w:qFormat/>
    <w:uiPriority w:val="0"/>
    <w:pPr>
      <w:tabs>
        <w:tab w:val="left" w:pos="360"/>
      </w:tabs>
      <w:ind w:left="540" w:hanging="540"/>
    </w:pPr>
  </w:style>
  <w:style w:type="paragraph" w:customStyle="1" w:styleId="307">
    <w:name w:val="Deed_Parties"/>
    <w:basedOn w:val="5"/>
    <w:qFormat/>
    <w:uiPriority w:val="0"/>
    <w:pPr>
      <w:tabs>
        <w:tab w:val="left" w:pos="360"/>
      </w:tabs>
      <w:spacing w:after="120"/>
      <w:jc w:val="left"/>
    </w:pPr>
    <w:rPr>
      <w:rFonts w:ascii="Arial" w:hAnsi="Arial" w:eastAsia="楷体_GB2312"/>
      <w:spacing w:val="-8"/>
      <w:sz w:val="24"/>
      <w:szCs w:val="20"/>
      <w:lang w:eastAsia="en-US"/>
    </w:rPr>
  </w:style>
  <w:style w:type="paragraph" w:customStyle="1" w:styleId="30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309">
    <w:name w:val="xl6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eastAsia="宋体"/>
      <w:kern w:val="0"/>
      <w:sz w:val="18"/>
      <w:szCs w:val="20"/>
    </w:rPr>
  </w:style>
  <w:style w:type="paragraph" w:customStyle="1" w:styleId="310">
    <w:name w:val="xl53"/>
    <w:basedOn w:val="1"/>
    <w:qFormat/>
    <w:uiPriority w:val="0"/>
    <w:pPr>
      <w:widowControl/>
      <w:spacing w:before="100" w:beforeAutospacing="1" w:after="100" w:afterAutospacing="1"/>
      <w:jc w:val="left"/>
      <w:textAlignment w:val="center"/>
    </w:pPr>
    <w:rPr>
      <w:rFonts w:ascii="宋体" w:eastAsia="宋体"/>
      <w:kern w:val="0"/>
      <w:sz w:val="20"/>
      <w:szCs w:val="20"/>
    </w:rPr>
  </w:style>
  <w:style w:type="paragraph" w:customStyle="1" w:styleId="311">
    <w:name w:val="font6"/>
    <w:basedOn w:val="1"/>
    <w:qFormat/>
    <w:uiPriority w:val="0"/>
    <w:pPr>
      <w:widowControl/>
      <w:spacing w:before="100" w:beforeAutospacing="1" w:after="100" w:afterAutospacing="1"/>
      <w:jc w:val="left"/>
    </w:pPr>
    <w:rPr>
      <w:rFonts w:ascii="Times New Roman" w:hAnsi="Times New Roman" w:eastAsia="宋体"/>
      <w:kern w:val="0"/>
      <w:sz w:val="18"/>
      <w:szCs w:val="20"/>
    </w:rPr>
  </w:style>
  <w:style w:type="paragraph" w:customStyle="1" w:styleId="312">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eastAsia="宋体"/>
      <w:b/>
      <w:kern w:val="0"/>
      <w:sz w:val="18"/>
      <w:szCs w:val="20"/>
    </w:rPr>
  </w:style>
  <w:style w:type="paragraph" w:customStyle="1" w:styleId="313">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eastAsia="宋体"/>
      <w:kern w:val="0"/>
      <w:sz w:val="20"/>
      <w:szCs w:val="20"/>
    </w:rPr>
  </w:style>
  <w:style w:type="paragraph" w:customStyle="1" w:styleId="314">
    <w:name w:val="K&amp;W Sch 1"/>
    <w:basedOn w:val="263"/>
    <w:next w:val="164"/>
    <w:qFormat/>
    <w:uiPriority w:val="0"/>
    <w:pPr>
      <w:keepNext w:val="0"/>
      <w:numPr>
        <w:ilvl w:val="0"/>
        <w:numId w:val="0"/>
      </w:numPr>
      <w:tabs>
        <w:tab w:val="left" w:pos="1134"/>
      </w:tabs>
      <w:spacing w:after="360" w:line="320" w:lineRule="exact"/>
      <w:ind w:left="1134" w:hanging="567"/>
    </w:pPr>
    <w:rPr>
      <w:sz w:val="28"/>
    </w:rPr>
  </w:style>
  <w:style w:type="paragraph" w:customStyle="1" w:styleId="315">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eastAsia="宋体"/>
      <w:kern w:val="0"/>
      <w:sz w:val="18"/>
      <w:szCs w:val="20"/>
    </w:rPr>
  </w:style>
  <w:style w:type="paragraph" w:customStyle="1" w:styleId="31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eastAsia="宋体"/>
      <w:b/>
      <w:kern w:val="0"/>
      <w:sz w:val="18"/>
      <w:szCs w:val="20"/>
    </w:rPr>
  </w:style>
  <w:style w:type="paragraph" w:customStyle="1" w:styleId="317">
    <w:name w:val="书目1"/>
    <w:basedOn w:val="1"/>
    <w:next w:val="1"/>
    <w:unhideWhenUsed/>
    <w:qFormat/>
    <w:uiPriority w:val="37"/>
    <w:pPr>
      <w:widowControl/>
      <w:jc w:val="left"/>
    </w:pPr>
    <w:rPr>
      <w:rFonts w:ascii="Arial" w:hAnsi="Arial" w:eastAsia="楷体_GB2312"/>
      <w:spacing w:val="-8"/>
      <w:kern w:val="0"/>
      <w:sz w:val="24"/>
      <w:szCs w:val="20"/>
      <w:lang w:eastAsia="en-US"/>
    </w:rPr>
  </w:style>
  <w:style w:type="paragraph" w:customStyle="1" w:styleId="318">
    <w:name w:val="Style Style Deed_Parties + Bold + Bold"/>
    <w:basedOn w:val="306"/>
    <w:qFormat/>
    <w:uiPriority w:val="0"/>
    <w:pPr>
      <w:ind w:left="539" w:hanging="539"/>
    </w:pPr>
    <w:rPr>
      <w:b/>
    </w:rPr>
  </w:style>
  <w:style w:type="paragraph" w:customStyle="1" w:styleId="319">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320">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20"/>
      <w:szCs w:val="20"/>
    </w:rPr>
  </w:style>
  <w:style w:type="paragraph" w:customStyle="1" w:styleId="321">
    <w:name w:val="TOC 标题1"/>
    <w:basedOn w:val="2"/>
    <w:next w:val="1"/>
    <w:qFormat/>
    <w:uiPriority w:val="39"/>
    <w:pPr>
      <w:keepLines/>
      <w:numPr>
        <w:numId w:val="0"/>
      </w:numPr>
      <w:spacing w:before="340" w:after="330" w:line="578" w:lineRule="auto"/>
      <w:outlineLvl w:val="9"/>
    </w:pPr>
    <w:rPr>
      <w:rFonts w:ascii="Arial" w:hAnsi="Arial"/>
      <w:bCs/>
      <w:kern w:val="44"/>
      <w:sz w:val="44"/>
      <w:szCs w:val="44"/>
    </w:rPr>
  </w:style>
  <w:style w:type="paragraph" w:customStyle="1" w:styleId="322">
    <w:name w:val="Comment Subject1"/>
    <w:basedOn w:val="29"/>
    <w:next w:val="29"/>
    <w:qFormat/>
    <w:uiPriority w:val="0"/>
    <w:pPr>
      <w:widowControl/>
      <w:spacing w:line="360" w:lineRule="auto"/>
      <w:jc w:val="both"/>
    </w:pPr>
    <w:rPr>
      <w:rFonts w:ascii="Times New Roman" w:hAnsi="Times New Roman" w:eastAsia="宋体"/>
      <w:b/>
      <w:spacing w:val="-8"/>
      <w:kern w:val="0"/>
      <w:sz w:val="24"/>
      <w:szCs w:val="20"/>
    </w:rPr>
  </w:style>
  <w:style w:type="paragraph" w:customStyle="1" w:styleId="323">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eastAsia="宋体"/>
      <w:kern w:val="0"/>
      <w:sz w:val="18"/>
      <w:szCs w:val="20"/>
    </w:rPr>
  </w:style>
  <w:style w:type="paragraph" w:customStyle="1" w:styleId="324">
    <w:name w:val="K&amp;W Sch 3"/>
    <w:basedOn w:val="198"/>
    <w:qFormat/>
    <w:uiPriority w:val="0"/>
    <w:pPr>
      <w:tabs>
        <w:tab w:val="left" w:pos="1701"/>
        <w:tab w:val="left" w:pos="2268"/>
      </w:tabs>
      <w:spacing w:after="360" w:line="320" w:lineRule="exact"/>
      <w:ind w:left="2268" w:hanging="567"/>
    </w:pPr>
    <w:rPr>
      <w:sz w:val="24"/>
    </w:rPr>
  </w:style>
  <w:style w:type="paragraph" w:customStyle="1" w:styleId="325">
    <w:name w:val="Prec__title"/>
    <w:basedOn w:val="1"/>
    <w:qFormat/>
    <w:uiPriority w:val="0"/>
    <w:pPr>
      <w:widowControl/>
      <w:spacing w:line="240" w:lineRule="atLeast"/>
      <w:ind w:right="2552"/>
      <w:jc w:val="left"/>
    </w:pPr>
    <w:rPr>
      <w:rFonts w:ascii="Arial" w:hAnsi="Arial" w:eastAsia="楷体_GB2312"/>
      <w:b/>
      <w:color w:val="195988"/>
      <w:kern w:val="0"/>
      <w:sz w:val="36"/>
      <w:szCs w:val="20"/>
      <w:lang w:eastAsia="en-US"/>
    </w:rPr>
  </w:style>
  <w:style w:type="paragraph" w:customStyle="1" w:styleId="326">
    <w:name w:val="Char Char Char Char"/>
    <w:basedOn w:val="1"/>
    <w:qFormat/>
    <w:uiPriority w:val="0"/>
    <w:rPr>
      <w:rFonts w:ascii="Times New Roman" w:hAnsi="Times New Roman" w:eastAsia="宋体"/>
      <w:sz w:val="21"/>
    </w:rPr>
  </w:style>
  <w:style w:type="paragraph" w:customStyle="1" w:styleId="327">
    <w:name w:val="正文2"/>
    <w:basedOn w:val="1"/>
    <w:qFormat/>
    <w:uiPriority w:val="0"/>
    <w:rPr>
      <w:rFonts w:ascii="Arial" w:hAnsi="Arial" w:eastAsia="PMingLiU" w:cs="Arial"/>
      <w:sz w:val="19"/>
      <w:szCs w:val="20"/>
      <w:lang w:eastAsia="ja-JP"/>
    </w:rPr>
  </w:style>
  <w:style w:type="paragraph" w:customStyle="1" w:styleId="328">
    <w:name w:val="Style Bold Left:  1.9 cm"/>
    <w:basedOn w:val="1"/>
    <w:qFormat/>
    <w:uiPriority w:val="0"/>
    <w:pPr>
      <w:widowControl/>
      <w:pBdr>
        <w:bottom w:val="single" w:color="000000" w:sz="6" w:space="1"/>
      </w:pBdr>
      <w:spacing w:after="120"/>
      <w:jc w:val="left"/>
    </w:pPr>
    <w:rPr>
      <w:rFonts w:ascii="Arial" w:hAnsi="Arial" w:eastAsia="楷体_GB2312"/>
      <w:b/>
      <w:spacing w:val="-8"/>
      <w:kern w:val="0"/>
      <w:sz w:val="24"/>
      <w:szCs w:val="20"/>
      <w:lang w:eastAsia="en-US"/>
    </w:rPr>
  </w:style>
  <w:style w:type="paragraph" w:customStyle="1" w:styleId="329">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330">
    <w:name w:val="K&amp;W Sch 4"/>
    <w:basedOn w:val="223"/>
    <w:qFormat/>
    <w:uiPriority w:val="0"/>
    <w:pPr>
      <w:tabs>
        <w:tab w:val="left" w:pos="2268"/>
      </w:tabs>
      <w:spacing w:after="360" w:line="320" w:lineRule="exact"/>
      <w:ind w:left="2268" w:hanging="567"/>
    </w:pPr>
    <w:rPr>
      <w:sz w:val="24"/>
    </w:rPr>
  </w:style>
  <w:style w:type="paragraph" w:customStyle="1" w:styleId="331">
    <w:name w:val="List Bullet Small"/>
    <w:basedOn w:val="25"/>
    <w:qFormat/>
    <w:uiPriority w:val="0"/>
    <w:pPr>
      <w:numPr>
        <w:ilvl w:val="0"/>
        <w:numId w:val="0"/>
      </w:numPr>
      <w:spacing w:after="0"/>
    </w:pPr>
    <w:rPr>
      <w:sz w:val="16"/>
    </w:rPr>
  </w:style>
  <w:style w:type="paragraph" w:customStyle="1" w:styleId="332">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33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eastAsia="宋体"/>
      <w:kern w:val="0"/>
      <w:sz w:val="20"/>
      <w:szCs w:val="20"/>
    </w:rPr>
  </w:style>
  <w:style w:type="paragraph" w:customStyle="1" w:styleId="33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335">
    <w:name w:val="字元 字元 Char Char Char Char"/>
    <w:basedOn w:val="1"/>
    <w:qFormat/>
    <w:uiPriority w:val="0"/>
    <w:pPr>
      <w:widowControl/>
      <w:spacing w:after="160" w:line="240" w:lineRule="exact"/>
      <w:jc w:val="left"/>
    </w:pPr>
    <w:rPr>
      <w:rFonts w:ascii="Verdana" w:hAnsi="Verdana" w:eastAsia="Times New Roman"/>
      <w:kern w:val="0"/>
      <w:sz w:val="20"/>
      <w:szCs w:val="20"/>
      <w:lang w:eastAsia="en-US"/>
    </w:rPr>
  </w:style>
  <w:style w:type="paragraph" w:customStyle="1" w:styleId="336">
    <w:name w:val="Memo_heading"/>
    <w:basedOn w:val="1"/>
    <w:next w:val="1"/>
    <w:qFormat/>
    <w:uiPriority w:val="0"/>
    <w:pPr>
      <w:widowControl/>
      <w:spacing w:line="280" w:lineRule="atLeast"/>
      <w:jc w:val="left"/>
    </w:pPr>
    <w:rPr>
      <w:rFonts w:ascii="Arial Black" w:hAnsi="Arial Black" w:eastAsia="楷体_GB2312"/>
      <w:kern w:val="0"/>
      <w:sz w:val="28"/>
      <w:szCs w:val="28"/>
      <w:lang w:eastAsia="en-US"/>
    </w:rPr>
  </w:style>
  <w:style w:type="paragraph" w:customStyle="1" w:styleId="337">
    <w:name w:val="Instruction - Information"/>
    <w:basedOn w:val="1"/>
    <w:qFormat/>
    <w:uiPriority w:val="0"/>
    <w:pPr>
      <w:widowControl/>
      <w:spacing w:before="60" w:after="60" w:line="200" w:lineRule="atLeast"/>
      <w:jc w:val="left"/>
    </w:pPr>
    <w:rPr>
      <w:rFonts w:ascii="Arial" w:hAnsi="Arial" w:eastAsia="楷体_GB2312"/>
      <w:spacing w:val="-8"/>
      <w:kern w:val="0"/>
      <w:sz w:val="16"/>
      <w:szCs w:val="20"/>
      <w:lang w:eastAsia="en-US"/>
    </w:rPr>
  </w:style>
  <w:style w:type="paragraph" w:customStyle="1" w:styleId="338">
    <w:name w:val="Instruction - Optional"/>
    <w:basedOn w:val="1"/>
    <w:qFormat/>
    <w:uiPriority w:val="0"/>
    <w:pPr>
      <w:widowControl/>
      <w:spacing w:before="60" w:after="60" w:line="200" w:lineRule="atLeast"/>
      <w:jc w:val="left"/>
    </w:pPr>
    <w:rPr>
      <w:rFonts w:ascii="Arial" w:hAnsi="Arial" w:eastAsia="楷体_GB2312"/>
      <w:spacing w:val="-8"/>
      <w:kern w:val="0"/>
      <w:sz w:val="16"/>
      <w:szCs w:val="20"/>
      <w:lang w:eastAsia="en-US"/>
    </w:rPr>
  </w:style>
  <w:style w:type="paragraph" w:customStyle="1" w:styleId="339">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kern w:val="0"/>
      <w:sz w:val="18"/>
      <w:szCs w:val="20"/>
    </w:rPr>
  </w:style>
  <w:style w:type="paragraph" w:customStyle="1" w:styleId="340">
    <w:name w:val="K&amp;W Heading 6"/>
    <w:basedOn w:val="263"/>
    <w:next w:val="164"/>
    <w:qFormat/>
    <w:uiPriority w:val="0"/>
    <w:pPr>
      <w:keepNext w:val="0"/>
      <w:widowControl/>
      <w:numPr>
        <w:ilvl w:val="0"/>
        <w:numId w:val="0"/>
      </w:numPr>
      <w:spacing w:after="440" w:line="240" w:lineRule="auto"/>
      <w:ind w:left="567" w:hanging="567"/>
      <w:outlineLvl w:val="5"/>
    </w:pPr>
    <w:rPr>
      <w:sz w:val="36"/>
      <w:lang w:eastAsia="zh-CN"/>
    </w:rPr>
  </w:style>
  <w:style w:type="paragraph" w:customStyle="1" w:styleId="341">
    <w:name w:val="Prec_BodyText"/>
    <w:basedOn w:val="1"/>
    <w:qFormat/>
    <w:uiPriority w:val="0"/>
    <w:pPr>
      <w:widowControl/>
      <w:spacing w:after="240" w:line="240" w:lineRule="atLeast"/>
      <w:jc w:val="left"/>
    </w:pPr>
    <w:rPr>
      <w:rFonts w:ascii="Arial" w:hAnsi="Arial" w:eastAsia="楷体_GB2312"/>
      <w:color w:val="195988"/>
      <w:kern w:val="0"/>
      <w:sz w:val="24"/>
      <w:szCs w:val="20"/>
      <w:lang w:eastAsia="en-US"/>
    </w:rPr>
  </w:style>
  <w:style w:type="paragraph" w:customStyle="1" w:styleId="342">
    <w:name w:val="Body"/>
    <w:basedOn w:val="1"/>
    <w:semiHidden/>
    <w:qFormat/>
    <w:uiPriority w:val="0"/>
    <w:pPr>
      <w:widowControl/>
      <w:spacing w:after="240"/>
      <w:jc w:val="left"/>
    </w:pPr>
    <w:rPr>
      <w:rFonts w:ascii="Arial" w:hAnsi="Arial" w:eastAsia="楷体_GB2312"/>
      <w:spacing w:val="-8"/>
      <w:kern w:val="0"/>
      <w:sz w:val="24"/>
      <w:szCs w:val="20"/>
      <w:lang w:eastAsia="en-US"/>
    </w:rPr>
  </w:style>
  <w:style w:type="paragraph" w:customStyle="1" w:styleId="343">
    <w:name w:val="正文 A"/>
    <w:qFormat/>
    <w:uiPriority w:val="0"/>
    <w:pPr>
      <w:widowControl w:val="0"/>
      <w:jc w:val="both"/>
    </w:pPr>
    <w:rPr>
      <w:rFonts w:hint="eastAsia" w:ascii="Arial Unicode MS" w:hAnsi="Arial Unicode MS" w:eastAsia="Arial Unicode MS" w:cs="Arial Unicode MS"/>
      <w:color w:val="000000"/>
      <w:kern w:val="2"/>
      <w:sz w:val="32"/>
      <w:szCs w:val="32"/>
      <w:lang w:val="en-US" w:eastAsia="zh-CN" w:bidi="ar-SA"/>
    </w:rPr>
  </w:style>
  <w:style w:type="paragraph" w:customStyle="1" w:styleId="344">
    <w:name w:val="Balloon Text1"/>
    <w:basedOn w:val="1"/>
    <w:qFormat/>
    <w:uiPriority w:val="0"/>
    <w:pPr>
      <w:widowControl/>
    </w:pPr>
    <w:rPr>
      <w:rFonts w:ascii="Tahoma" w:hAnsi="Tahoma" w:eastAsia="宋体"/>
      <w:kern w:val="0"/>
      <w:sz w:val="16"/>
      <w:szCs w:val="20"/>
    </w:rPr>
  </w:style>
  <w:style w:type="paragraph" w:customStyle="1" w:styleId="345">
    <w:name w:val="Char Char1 Char Char Char Char Char Char Char Char Char Char Char Char Char Char Char Char Char Char Char Char Char Char Char Char Char Char Char Char Char Char Char Char Char Char Char Char Char Char"/>
    <w:basedOn w:val="1"/>
    <w:qFormat/>
    <w:uiPriority w:val="0"/>
    <w:pPr>
      <w:widowControl/>
      <w:spacing w:after="160" w:line="240" w:lineRule="exact"/>
    </w:pPr>
    <w:rPr>
      <w:rFonts w:ascii="Verdana" w:hAnsi="Verdana" w:eastAsia="Times New Roman"/>
      <w:kern w:val="0"/>
      <w:sz w:val="22"/>
      <w:szCs w:val="20"/>
      <w:lang w:eastAsia="en-US"/>
    </w:rPr>
  </w:style>
  <w:style w:type="paragraph" w:customStyle="1" w:styleId="346">
    <w:name w:val="列表段落1"/>
    <w:basedOn w:val="1"/>
    <w:qFormat/>
    <w:uiPriority w:val="0"/>
    <w:pPr>
      <w:ind w:firstLine="420" w:firstLineChars="200"/>
    </w:pPr>
    <w:rPr>
      <w:rFonts w:ascii="Calibri" w:hAnsi="Calibri" w:eastAsia="宋体"/>
      <w:sz w:val="21"/>
      <w:szCs w:val="22"/>
    </w:rPr>
  </w:style>
  <w:style w:type="paragraph" w:customStyle="1" w:styleId="347">
    <w:name w:val="xl65"/>
    <w:basedOn w:val="1"/>
    <w:qFormat/>
    <w:uiPriority w:val="0"/>
    <w:pPr>
      <w:widowControl/>
      <w:pBdr>
        <w:bottom w:val="single" w:color="auto" w:sz="4" w:space="0"/>
      </w:pBdr>
      <w:spacing w:before="100" w:beforeAutospacing="1" w:after="100" w:afterAutospacing="1"/>
      <w:jc w:val="center"/>
    </w:pPr>
    <w:rPr>
      <w:rFonts w:ascii="宋体" w:eastAsia="宋体"/>
      <w:kern w:val="0"/>
      <w:szCs w:val="20"/>
    </w:rPr>
  </w:style>
  <w:style w:type="paragraph" w:customStyle="1" w:styleId="348">
    <w:name w:val="font5"/>
    <w:basedOn w:val="1"/>
    <w:qFormat/>
    <w:uiPriority w:val="0"/>
    <w:pPr>
      <w:widowControl/>
      <w:spacing w:before="100" w:beforeAutospacing="1" w:after="100" w:afterAutospacing="1"/>
      <w:jc w:val="left"/>
    </w:pPr>
    <w:rPr>
      <w:rFonts w:ascii="宋体" w:eastAsia="宋体"/>
      <w:kern w:val="0"/>
      <w:sz w:val="18"/>
      <w:szCs w:val="20"/>
    </w:rPr>
  </w:style>
  <w:style w:type="paragraph" w:customStyle="1" w:styleId="349">
    <w:name w:val="Table"/>
    <w:basedOn w:val="1"/>
    <w:qFormat/>
    <w:uiPriority w:val="0"/>
    <w:pPr>
      <w:widowControl/>
      <w:spacing w:before="120" w:after="120" w:line="240" w:lineRule="atLeast"/>
      <w:jc w:val="left"/>
    </w:pPr>
    <w:rPr>
      <w:rFonts w:ascii="Arial" w:hAnsi="Arial" w:eastAsia="楷体_GB2312"/>
      <w:spacing w:val="-8"/>
      <w:kern w:val="0"/>
      <w:sz w:val="24"/>
      <w:szCs w:val="20"/>
      <w:lang w:eastAsia="en-US"/>
    </w:rPr>
  </w:style>
  <w:style w:type="paragraph" w:customStyle="1" w:styleId="350">
    <w:name w:val="K&amp;W Heading 8"/>
    <w:basedOn w:val="263"/>
    <w:next w:val="164"/>
    <w:qFormat/>
    <w:uiPriority w:val="0"/>
    <w:pPr>
      <w:keepNext w:val="0"/>
      <w:numPr>
        <w:ilvl w:val="0"/>
        <w:numId w:val="0"/>
      </w:numPr>
      <w:spacing w:after="440" w:line="240" w:lineRule="auto"/>
      <w:ind w:left="567" w:hanging="567"/>
      <w:outlineLvl w:val="7"/>
    </w:pPr>
    <w:rPr>
      <w:sz w:val="36"/>
    </w:rPr>
  </w:style>
  <w:style w:type="paragraph" w:customStyle="1" w:styleId="35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5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353">
    <w:name w:val="xl6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eastAsia="宋体"/>
      <w:kern w:val="0"/>
      <w:sz w:val="18"/>
      <w:szCs w:val="20"/>
    </w:rPr>
  </w:style>
  <w:style w:type="paragraph" w:customStyle="1" w:styleId="354">
    <w:name w:val="xl6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kern w:val="0"/>
      <w:sz w:val="18"/>
      <w:szCs w:val="20"/>
    </w:rPr>
  </w:style>
  <w:style w:type="paragraph" w:customStyle="1" w:styleId="355">
    <w:name w:val="报告正文 Char"/>
    <w:basedOn w:val="1"/>
    <w:qFormat/>
    <w:uiPriority w:val="0"/>
    <w:pPr>
      <w:adjustRightInd w:val="0"/>
      <w:snapToGrid w:val="0"/>
      <w:spacing w:line="312" w:lineRule="auto"/>
      <w:ind w:left="2600"/>
    </w:pPr>
    <w:rPr>
      <w:rFonts w:ascii="华文细黑" w:hAnsi="Times New Roman" w:eastAsia="华文细黑" w:cs="宋体"/>
      <w:sz w:val="20"/>
      <w:szCs w:val="20"/>
    </w:rPr>
  </w:style>
  <w:style w:type="paragraph" w:customStyle="1" w:styleId="356">
    <w:name w:val="Comment"/>
    <w:basedOn w:val="1"/>
    <w:qFormat/>
    <w:uiPriority w:val="0"/>
    <w:pPr>
      <w:shd w:val="pct5" w:color="auto" w:fill="auto"/>
      <w:spacing w:after="240"/>
    </w:pPr>
    <w:rPr>
      <w:rFonts w:ascii="楷体_GB2312" w:hAnsi="Arial" w:eastAsia="楷体_GB2312"/>
      <w:sz w:val="17"/>
      <w:szCs w:val="20"/>
    </w:rPr>
  </w:style>
  <w:style w:type="paragraph" w:customStyle="1" w:styleId="357">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358">
    <w:name w:val="Char Char Char Char Char Char Char"/>
    <w:basedOn w:val="1"/>
    <w:qFormat/>
    <w:uiPriority w:val="0"/>
    <w:pPr>
      <w:widowControl/>
      <w:spacing w:after="160" w:line="240" w:lineRule="exact"/>
      <w:jc w:val="left"/>
    </w:pPr>
    <w:rPr>
      <w:rFonts w:ascii="Verdana" w:hAnsi="Verdana" w:eastAsia="宋体"/>
      <w:kern w:val="0"/>
      <w:sz w:val="20"/>
      <w:szCs w:val="20"/>
      <w:lang w:eastAsia="en-US"/>
    </w:rPr>
  </w:style>
  <w:style w:type="paragraph" w:customStyle="1" w:styleId="359">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360">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eastAsia="宋体"/>
      <w:kern w:val="0"/>
      <w:sz w:val="20"/>
      <w:szCs w:val="20"/>
    </w:rPr>
  </w:style>
  <w:style w:type="paragraph" w:customStyle="1" w:styleId="361">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kern w:val="0"/>
      <w:sz w:val="18"/>
      <w:szCs w:val="20"/>
    </w:rPr>
  </w:style>
  <w:style w:type="paragraph" w:customStyle="1" w:styleId="362">
    <w:name w:val="リスト段落1"/>
    <w:basedOn w:val="1"/>
    <w:qFormat/>
    <w:uiPriority w:val="0"/>
    <w:pPr>
      <w:widowControl/>
      <w:ind w:left="720"/>
      <w:jc w:val="left"/>
    </w:pPr>
    <w:rPr>
      <w:rFonts w:ascii="Arial" w:hAnsi="Arial" w:eastAsia="楷体_GB2312"/>
      <w:spacing w:val="-8"/>
      <w:kern w:val="0"/>
      <w:sz w:val="24"/>
      <w:szCs w:val="20"/>
      <w:lang w:eastAsia="en-US"/>
    </w:rPr>
  </w:style>
  <w:style w:type="paragraph" w:customStyle="1" w:styleId="363">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eastAsia="宋体"/>
      <w:kern w:val="0"/>
      <w:sz w:val="20"/>
      <w:szCs w:val="20"/>
    </w:rPr>
  </w:style>
  <w:style w:type="paragraph" w:customStyle="1" w:styleId="364">
    <w:name w:val="K&amp;W Sch 2"/>
    <w:basedOn w:val="230"/>
    <w:next w:val="164"/>
    <w:qFormat/>
    <w:uiPriority w:val="0"/>
    <w:pPr>
      <w:keepNext w:val="0"/>
      <w:numPr>
        <w:ilvl w:val="0"/>
        <w:numId w:val="0"/>
      </w:numPr>
      <w:tabs>
        <w:tab w:val="left" w:pos="1701"/>
      </w:tabs>
      <w:spacing w:after="360" w:line="320" w:lineRule="exact"/>
      <w:ind w:left="1701" w:hanging="567"/>
    </w:pPr>
    <w:rPr>
      <w:b/>
      <w:sz w:val="24"/>
    </w:rPr>
  </w:style>
  <w:style w:type="paragraph" w:customStyle="1" w:styleId="365">
    <w:name w:val="Instruction - Caution"/>
    <w:basedOn w:val="5"/>
    <w:qFormat/>
    <w:uiPriority w:val="0"/>
    <w:pPr>
      <w:spacing w:before="60" w:after="60" w:line="200" w:lineRule="atLeast"/>
      <w:jc w:val="left"/>
    </w:pPr>
    <w:rPr>
      <w:rFonts w:ascii="Arial" w:hAnsi="Arial" w:eastAsia="宋体"/>
      <w:spacing w:val="-8"/>
      <w:sz w:val="16"/>
      <w:szCs w:val="20"/>
      <w:lang w:eastAsia="en-US"/>
    </w:rPr>
  </w:style>
  <w:style w:type="paragraph" w:customStyle="1" w:styleId="366">
    <w:name w:val="5级编号"/>
    <w:basedOn w:val="2"/>
    <w:next w:val="1"/>
    <w:qFormat/>
    <w:uiPriority w:val="0"/>
    <w:pPr>
      <w:keepNext w:val="0"/>
      <w:widowControl w:val="0"/>
      <w:numPr>
        <w:numId w:val="0"/>
      </w:numPr>
      <w:tabs>
        <w:tab w:val="left" w:pos="900"/>
      </w:tabs>
      <w:spacing w:after="0" w:line="400" w:lineRule="exact"/>
      <w:ind w:firstLine="567"/>
      <w:jc w:val="both"/>
      <w:outlineLvl w:val="4"/>
    </w:pPr>
    <w:rPr>
      <w:rFonts w:ascii="Times New Roman" w:hAnsi="Times New Roman" w:eastAsia="宋体"/>
      <w:b w:val="0"/>
      <w:snapToGrid w:val="0"/>
      <w:spacing w:val="0"/>
      <w:kern w:val="44"/>
      <w:sz w:val="21"/>
      <w:lang w:eastAsia="zh-CN"/>
    </w:rPr>
  </w:style>
  <w:style w:type="paragraph" w:customStyle="1" w:styleId="367">
    <w:name w:val="Char1"/>
    <w:basedOn w:val="1"/>
    <w:qFormat/>
    <w:uiPriority w:val="0"/>
    <w:pPr>
      <w:widowControl/>
      <w:spacing w:after="160" w:line="240" w:lineRule="exact"/>
      <w:jc w:val="left"/>
    </w:pPr>
    <w:rPr>
      <w:rFonts w:ascii="Times New Roman" w:hAnsi="Times New Roman" w:eastAsia="Times New Roman"/>
      <w:kern w:val="0"/>
      <w:sz w:val="20"/>
      <w:szCs w:val="20"/>
    </w:rPr>
  </w:style>
  <w:style w:type="paragraph" w:customStyle="1" w:styleId="368">
    <w:name w:val="K&amp;W Heading 1 Signing"/>
    <w:basedOn w:val="263"/>
    <w:next w:val="48"/>
    <w:qFormat/>
    <w:uiPriority w:val="0"/>
    <w:pPr>
      <w:keepNext w:val="0"/>
      <w:numPr>
        <w:ilvl w:val="0"/>
        <w:numId w:val="0"/>
      </w:numPr>
      <w:spacing w:after="440" w:line="240" w:lineRule="auto"/>
    </w:pPr>
    <w:rPr>
      <w:sz w:val="36"/>
    </w:rPr>
  </w:style>
  <w:style w:type="table" w:customStyle="1" w:styleId="369">
    <w:name w:val="K&amp;W Table"/>
    <w:basedOn w:val="90"/>
    <w:qFormat/>
    <w:uiPriority w:val="0"/>
    <w:pPr>
      <w:widowControl/>
      <w:spacing w:before="60" w:after="60"/>
      <w:contextualSpacing/>
      <w:jc w:val="left"/>
    </w:pPr>
    <w:rPr>
      <w:rFonts w:ascii="Arial" w:hAnsi="Arial" w:eastAsia="楷体_GB2312"/>
      <w:lang w:eastAsia="ja-JP"/>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ascii="黑体" w:hAnsi="黑体"/>
        <w:b/>
        <w:sz w:val="20"/>
      </w:rPr>
      <w:tcPr>
        <w:shd w:val="clear" w:color="auto" w:fill="E0E0E0"/>
      </w:tcPr>
    </w:tblStylePr>
  </w:style>
  <w:style w:type="table" w:customStyle="1" w:styleId="370">
    <w:name w:val="TableGrid"/>
    <w:qFormat/>
    <w:uiPriority w:val="0"/>
    <w:rPr>
      <w:kern w:val="2"/>
      <w:sz w:val="21"/>
      <w:szCs w:val="22"/>
    </w:rPr>
    <w:tblPr>
      <w:tblCellMar>
        <w:top w:w="0" w:type="dxa"/>
        <w:left w:w="0" w:type="dxa"/>
        <w:bottom w:w="0" w:type="dxa"/>
        <w:right w:w="0" w:type="dxa"/>
      </w:tblCellMar>
    </w:tblPr>
  </w:style>
  <w:style w:type="table" w:customStyle="1" w:styleId="371">
    <w:name w:val="网格型1"/>
    <w:basedOn w:val="89"/>
    <w:qFormat/>
    <w:uiPriority w:val="59"/>
    <w:rPr>
      <w:kern w:val="2"/>
      <w:sz w:val="21"/>
      <w:szCs w:val="22"/>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2">
    <w:name w:val="K&amp;W Table 2"/>
    <w:basedOn w:val="90"/>
    <w:qFormat/>
    <w:uiPriority w:val="0"/>
    <w:pPr>
      <w:widowControl/>
      <w:jc w:val="left"/>
    </w:pPr>
    <w:rPr>
      <w:rFonts w:ascii="Arial" w:hAnsi="Arial"/>
      <w:sz w:val="16"/>
      <w:lang w:eastAsia="ja-JP"/>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ascii="黑体" w:hAnsi="黑体"/>
        <w:b/>
        <w:sz w:val="20"/>
      </w:rPr>
      <w:tblPr/>
      <w:trPr>
        <w:tblHeader/>
      </w:trPr>
      <w:tcPr>
        <w:tcBorders>
          <w:top w:val="single" w:color="auto" w:sz="8" w:space="0"/>
          <w:left w:val="single" w:color="auto" w:sz="8" w:space="0"/>
          <w:bottom w:val="single" w:color="auto" w:sz="8" w:space="0"/>
          <w:right w:val="single" w:color="auto" w:sz="8" w:space="0"/>
          <w:insideH w:val="single" w:sz="6" w:space="0"/>
          <w:insideV w:val="single" w:sz="6" w:space="0"/>
          <w:tl2br w:val="nil"/>
          <w:tr2bl w:val="nil"/>
        </w:tcBorders>
        <w:shd w:val="clear" w:color="auto" w:fill="8FA9C8"/>
      </w:tcPr>
    </w:tblStylePr>
  </w:style>
  <w:style w:type="table" w:customStyle="1" w:styleId="373">
    <w:name w:val="样式1"/>
    <w:basedOn w:val="90"/>
    <w:qFormat/>
    <w:uiPriority w:val="0"/>
    <w:rPr>
      <w:lang w:eastAsia="ja-JP"/>
    </w:rPr>
  </w:style>
  <w:style w:type="table" w:customStyle="1" w:styleId="374">
    <w:name w:val="网格型3"/>
    <w:basedOn w:val="8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75">
    <w:name w:val="Revision"/>
    <w:hidden/>
    <w:unhideWhenUsed/>
    <w:qFormat/>
    <w:uiPriority w:val="99"/>
    <w:rPr>
      <w:rFonts w:ascii="仿宋_GB2312" w:hAnsi="宋体" w:eastAsia="仿宋_GB2312" w:cs="Times New Roman"/>
      <w:kern w:val="2"/>
      <w:sz w:val="32"/>
      <w:szCs w:val="24"/>
      <w:lang w:val="en-US" w:eastAsia="zh-CN" w:bidi="ar-SA"/>
    </w:rPr>
  </w:style>
  <w:style w:type="character" w:customStyle="1" w:styleId="376">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21</Pages>
  <Words>7324</Words>
  <Characters>7468</Characters>
  <Lines>58</Lines>
  <Paragraphs>16</Paragraphs>
  <TotalTime>935</TotalTime>
  <ScaleCrop>false</ScaleCrop>
  <LinksUpToDate>false</LinksUpToDate>
  <CharactersWithSpaces>7800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2026-07-01T09:47:00Z</dcterms:created>
  <dc:creator>lenovo</dc:creator>
  <cp:lastModifiedBy>11</cp:lastModifiedBy>
  <cp:lastPrinted>2019-12-30T03:28:00Z</cp:lastPrinted>
  <dcterms:modified xsi:type="dcterms:W3CDTF">2026-07-02T03:20:59Z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3506D0330D974BDFA6E5C3D534CF785C_13</vt:lpwstr>
  </property>
  <property fmtid="{D5CDD505-2E9C-101B-9397-08002B2CF9AE}" pid="4" name="KSOTemplateDocerSaveRecord">
    <vt:lpwstr>eyJoZGlkIjoiYWY3NmVmZGYzM2E3YzJmNDFkZmY3Zjg4NWMwNzU5Y2EiLCJ1c2VySWQiOiI1NTg3MzEwMzgifQ==</vt:lpwstr>
  </property>
</Properties>
</file>