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right"/>
        <w:rPr>
          <w:rFonts w:ascii="宋体" w:hAnsi="宋体" w:eastAsia="宋体"/>
          <w:sz w:val="44"/>
          <w:szCs w:val="44"/>
        </w:rPr>
      </w:pPr>
      <w:r>
        <w:rPr>
          <w:rFonts w:ascii="黑体" w:eastAsia="黑体"/>
          <w:sz w:val="28"/>
          <w:szCs w:val="28"/>
        </w:rPr>
        <w:drawing>
          <wp:inline distT="0" distB="0" distL="114300" distR="114300">
            <wp:extent cx="2380615" cy="733425"/>
            <wp:effectExtent l="0" t="0" r="635" b="9525"/>
            <wp:docPr id="1" name="图片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01"/>
                    <pic:cNvPicPr>
                      <a:picLocks noChangeAspect="1"/>
                    </pic:cNvPicPr>
                  </pic:nvPicPr>
                  <pic:blipFill>
                    <a:blip r:embed="rId6"/>
                    <a:stretch>
                      <a:fillRect/>
                    </a:stretch>
                  </pic:blipFill>
                  <pic:spPr>
                    <a:xfrm>
                      <a:off x="0" y="0"/>
                      <a:ext cx="2380615" cy="733425"/>
                    </a:xfrm>
                    <a:prstGeom prst="rect">
                      <a:avLst/>
                    </a:prstGeom>
                    <a:noFill/>
                    <a:ln>
                      <a:noFill/>
                    </a:ln>
                  </pic:spPr>
                </pic:pic>
              </a:graphicData>
            </a:graphic>
          </wp:inline>
        </w:drawing>
      </w:r>
    </w:p>
    <w:p>
      <w:pPr>
        <w:wordWrap w:val="0"/>
        <w:jc w:val="right"/>
        <w:rPr>
          <w:rFonts w:ascii="黑体" w:hAnsi="宋体" w:eastAsia="黑体"/>
          <w:sz w:val="28"/>
          <w:szCs w:val="28"/>
        </w:rPr>
      </w:pPr>
      <w:r>
        <w:rPr>
          <w:rFonts w:hint="eastAsia" w:ascii="黑体" w:hAnsi="宋体" w:eastAsia="黑体"/>
          <w:sz w:val="28"/>
          <w:szCs w:val="28"/>
        </w:rPr>
        <w:t>合同编号：</w:t>
      </w:r>
      <w:r>
        <w:rPr>
          <w:rFonts w:hint="eastAsia" w:ascii="黑体" w:hAnsi="宋体" w:eastAsia="黑体"/>
          <w:sz w:val="28"/>
          <w:szCs w:val="28"/>
          <w:u w:val="single"/>
        </w:rPr>
        <w:t xml:space="preserve"> </w:t>
      </w:r>
      <w:r>
        <w:rPr>
          <w:rFonts w:ascii="黑体" w:hAnsi="宋体" w:eastAsia="黑体"/>
          <w:sz w:val="28"/>
          <w:szCs w:val="28"/>
          <w:u w:val="single"/>
        </w:rPr>
        <w:t xml:space="preserve">           </w:t>
      </w:r>
    </w:p>
    <w:p>
      <w:pPr>
        <w:wordWrap w:val="0"/>
        <w:jc w:val="right"/>
        <w:rPr>
          <w:rFonts w:ascii="黑体" w:hAnsi="宋体" w:eastAsia="黑体"/>
          <w:sz w:val="28"/>
          <w:szCs w:val="28"/>
        </w:rPr>
      </w:pPr>
      <w:r>
        <w:rPr>
          <w:rFonts w:hint="eastAsia" w:ascii="黑体" w:hAnsi="宋体" w:eastAsia="黑体"/>
          <w:sz w:val="28"/>
          <w:szCs w:val="28"/>
        </w:rPr>
        <w:t>乙方合同编号：</w:t>
      </w:r>
      <w:r>
        <w:rPr>
          <w:rFonts w:hint="eastAsia" w:ascii="黑体" w:hAnsi="宋体" w:eastAsia="黑体"/>
          <w:sz w:val="28"/>
          <w:szCs w:val="28"/>
          <w:u w:val="single"/>
        </w:rPr>
        <w:t xml:space="preserve">            </w:t>
      </w:r>
    </w:p>
    <w:p>
      <w:pPr>
        <w:jc w:val="center"/>
        <w:rPr>
          <w:rFonts w:ascii="宋体" w:hAnsi="宋体" w:eastAsia="宋体"/>
          <w:sz w:val="44"/>
          <w:szCs w:val="44"/>
        </w:rPr>
      </w:pPr>
    </w:p>
    <w:p>
      <w:pPr>
        <w:jc w:val="center"/>
        <w:rPr>
          <w:rFonts w:ascii="宋体" w:hAnsi="宋体" w:eastAsia="宋体"/>
          <w:sz w:val="44"/>
          <w:szCs w:val="44"/>
        </w:rPr>
      </w:pPr>
    </w:p>
    <w:p>
      <w:pPr>
        <w:pStyle w:val="13"/>
        <w:spacing w:line="240" w:lineRule="auto"/>
        <w:jc w:val="center"/>
        <w:rPr>
          <w:rFonts w:ascii="华文中宋" w:hAnsi="华文中宋" w:eastAsia="华文中宋"/>
          <w:bCs/>
          <w:sz w:val="72"/>
          <w:szCs w:val="72"/>
        </w:rPr>
      </w:pPr>
      <w:r>
        <w:rPr>
          <w:rFonts w:hint="eastAsia" w:ascii="华文中宋" w:hAnsi="华文中宋" w:eastAsia="华文中宋"/>
          <w:bCs/>
          <w:sz w:val="72"/>
          <w:szCs w:val="72"/>
        </w:rPr>
        <w:t>涉税鉴证业务约定书</w:t>
      </w:r>
    </w:p>
    <w:p>
      <w:pPr>
        <w:jc w:val="center"/>
        <w:rPr>
          <w:rFonts w:ascii="宋体" w:hAnsi="宋体" w:eastAsia="宋体"/>
          <w:sz w:val="44"/>
          <w:szCs w:val="44"/>
        </w:rPr>
      </w:pPr>
    </w:p>
    <w:p>
      <w:pPr>
        <w:jc w:val="center"/>
        <w:rPr>
          <w:rFonts w:ascii="宋体" w:hAnsi="宋体" w:eastAsia="宋体"/>
          <w:sz w:val="44"/>
          <w:szCs w:val="44"/>
        </w:rPr>
      </w:pPr>
    </w:p>
    <w:p>
      <w:pPr>
        <w:jc w:val="center"/>
        <w:rPr>
          <w:rFonts w:ascii="宋体" w:hAnsi="宋体" w:eastAsia="宋体"/>
          <w:sz w:val="44"/>
          <w:szCs w:val="44"/>
        </w:rPr>
      </w:pPr>
    </w:p>
    <w:p>
      <w:pPr>
        <w:jc w:val="center"/>
        <w:rPr>
          <w:rFonts w:ascii="宋体" w:hAnsi="宋体" w:eastAsia="宋体"/>
          <w:sz w:val="44"/>
          <w:szCs w:val="44"/>
        </w:rPr>
      </w:pPr>
    </w:p>
    <w:p>
      <w:pPr>
        <w:jc w:val="center"/>
        <w:rPr>
          <w:rFonts w:ascii="宋体" w:hAnsi="宋体" w:eastAsia="宋体"/>
          <w:sz w:val="44"/>
          <w:szCs w:val="44"/>
        </w:rPr>
      </w:pPr>
    </w:p>
    <w:p>
      <w:pPr>
        <w:ind w:left="2125" w:leftChars="187" w:right="800" w:rightChars="250" w:hanging="1527" w:hangingChars="509"/>
        <w:rPr>
          <w:rFonts w:ascii="宋体" w:hAnsi="宋体" w:eastAsia="宋体"/>
          <w:sz w:val="30"/>
          <w:szCs w:val="30"/>
          <w:u w:val="single"/>
        </w:rPr>
      </w:pPr>
      <w:r>
        <w:rPr>
          <w:rFonts w:ascii="宋体" w:hAnsi="宋体" w:eastAsia="宋体"/>
          <w:sz w:val="30"/>
          <w:szCs w:val="30"/>
        </w:rPr>
        <w:t>项目名称：</w:t>
      </w:r>
      <w:r>
        <w:rPr>
          <w:rFonts w:ascii="宋体" w:hAnsi="宋体" w:eastAsia="宋体"/>
          <w:sz w:val="30"/>
          <w:szCs w:val="30"/>
          <w:u w:val="single"/>
        </w:rPr>
        <w:t>税</w:t>
      </w:r>
      <w:r>
        <w:rPr>
          <w:rFonts w:hint="eastAsia" w:ascii="宋体" w:hAnsi="宋体" w:eastAsia="宋体"/>
          <w:sz w:val="30"/>
          <w:szCs w:val="30"/>
          <w:u w:val="single"/>
        </w:rPr>
        <w:t>审</w:t>
      </w:r>
      <w:r>
        <w:rPr>
          <w:rFonts w:ascii="宋体" w:hAnsi="宋体" w:eastAsia="宋体"/>
          <w:sz w:val="30"/>
          <w:szCs w:val="30"/>
          <w:u w:val="single"/>
        </w:rPr>
        <w:t>服务</w:t>
      </w:r>
      <w:r>
        <w:rPr>
          <w:rFonts w:hint="eastAsia" w:ascii="宋体" w:hAnsi="宋体" w:eastAsia="宋体"/>
          <w:sz w:val="30"/>
          <w:szCs w:val="30"/>
          <w:u w:val="single"/>
        </w:rPr>
        <w:t xml:space="preserve">                          </w:t>
      </w:r>
    </w:p>
    <w:p>
      <w:pPr>
        <w:ind w:left="598" w:leftChars="187" w:right="800" w:rightChars="250"/>
        <w:rPr>
          <w:rFonts w:ascii="宋体" w:hAnsi="宋体" w:eastAsia="宋体"/>
          <w:sz w:val="30"/>
          <w:szCs w:val="30"/>
        </w:rPr>
      </w:pPr>
      <w:r>
        <w:rPr>
          <w:rFonts w:hint="eastAsia" w:ascii="宋体" w:hAnsi="宋体" w:eastAsia="宋体"/>
          <w:sz w:val="30"/>
          <w:szCs w:val="30"/>
        </w:rPr>
        <w:t>甲    方：</w:t>
      </w:r>
      <w:r>
        <w:rPr>
          <w:rFonts w:hint="eastAsia" w:ascii="宋体" w:hAnsi="宋体" w:eastAsia="宋体"/>
          <w:sz w:val="30"/>
          <w:szCs w:val="30"/>
          <w:u w:val="single"/>
        </w:rPr>
        <w:t xml:space="preserve">                                  </w:t>
      </w:r>
    </w:p>
    <w:p>
      <w:pPr>
        <w:ind w:left="598" w:leftChars="187" w:right="800" w:rightChars="250"/>
        <w:rPr>
          <w:rFonts w:ascii="宋体" w:hAnsi="宋体" w:eastAsia="宋体"/>
          <w:sz w:val="30"/>
          <w:szCs w:val="30"/>
        </w:rPr>
      </w:pPr>
      <w:r>
        <w:rPr>
          <w:rFonts w:hint="eastAsia" w:ascii="宋体" w:hAnsi="宋体" w:eastAsia="宋体"/>
          <w:sz w:val="30"/>
          <w:szCs w:val="30"/>
        </w:rPr>
        <w:t>乙    方：</w:t>
      </w:r>
      <w:r>
        <w:rPr>
          <w:rFonts w:hint="eastAsia" w:ascii="宋体" w:hAnsi="宋体" w:eastAsia="宋体"/>
          <w:sz w:val="30"/>
          <w:szCs w:val="30"/>
          <w:u w:val="single"/>
        </w:rPr>
        <w:t xml:space="preserve">                                  </w:t>
      </w:r>
    </w:p>
    <w:p>
      <w:pPr>
        <w:widowControl/>
        <w:jc w:val="left"/>
        <w:rPr>
          <w:rFonts w:ascii="宋体" w:hAnsi="宋体" w:eastAsia="宋体"/>
          <w:sz w:val="30"/>
          <w:szCs w:val="30"/>
        </w:rPr>
      </w:pPr>
    </w:p>
    <w:p>
      <w:pPr>
        <w:widowControl/>
        <w:jc w:val="left"/>
        <w:rPr>
          <w:rFonts w:ascii="宋体" w:hAnsi="宋体" w:eastAsia="宋体"/>
          <w:sz w:val="30"/>
          <w:szCs w:val="30"/>
        </w:rPr>
      </w:pPr>
    </w:p>
    <w:p>
      <w:pPr>
        <w:widowControl/>
        <w:jc w:val="center"/>
        <w:rPr>
          <w:rFonts w:ascii="宋体" w:hAnsi="宋体" w:eastAsia="宋体"/>
          <w:sz w:val="30"/>
          <w:szCs w:val="30"/>
        </w:rPr>
      </w:pPr>
      <w:r>
        <w:rPr>
          <w:rFonts w:hint="eastAsia" w:ascii="宋体" w:hAnsi="宋体" w:eastAsia="宋体"/>
          <w:sz w:val="30"/>
          <w:szCs w:val="30"/>
        </w:rPr>
        <w:t>2026年    月</w:t>
      </w:r>
    </w:p>
    <w:p>
      <w:pPr>
        <w:widowControl/>
        <w:jc w:val="left"/>
        <w:rPr>
          <w:rFonts w:ascii="黑体" w:eastAsia="黑体"/>
          <w:b/>
          <w:bCs/>
          <w:color w:val="000000"/>
          <w:sz w:val="36"/>
          <w:szCs w:val="36"/>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snapToGrid w:val="0"/>
        <w:spacing w:line="360" w:lineRule="auto"/>
        <w:jc w:val="center"/>
        <w:rPr>
          <w:rFonts w:ascii="宋体" w:hAnsi="宋体" w:eastAsia="宋体"/>
          <w:b/>
          <w:bCs/>
          <w:szCs w:val="32"/>
        </w:rPr>
      </w:pPr>
      <w:r>
        <w:rPr>
          <w:rFonts w:hint="eastAsia" w:ascii="宋体" w:hAnsi="宋体" w:eastAsia="宋体"/>
          <w:b/>
          <w:bCs/>
          <w:szCs w:val="32"/>
        </w:rPr>
        <w:t>涉税鉴证业务委托协议</w:t>
      </w:r>
    </w:p>
    <w:p>
      <w:pPr>
        <w:keepLines/>
        <w:widowControl/>
        <w:wordWrap w:val="0"/>
        <w:spacing w:after="120" w:line="360" w:lineRule="auto"/>
        <w:ind w:firstLine="480"/>
        <w:jc w:val="right"/>
        <w:textAlignment w:val="bottom"/>
        <w:rPr>
          <w:rFonts w:ascii="宋体" w:hAnsi="宋体"/>
          <w:color w:val="000000"/>
          <w:sz w:val="24"/>
        </w:rPr>
      </w:pPr>
      <w:r>
        <w:rPr>
          <w:rFonts w:hint="eastAsia" w:ascii="宋体" w:hAnsi="宋体"/>
          <w:color w:val="000000"/>
          <w:sz w:val="24"/>
        </w:rPr>
        <w:t>编号：</w:t>
      </w:r>
      <w:r>
        <w:rPr>
          <w:color w:val="000000"/>
          <w:sz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283210</wp:posOffset>
                </wp:positionV>
                <wp:extent cx="5547360" cy="0"/>
                <wp:effectExtent l="0" t="0" r="3429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V="1">
                          <a:off x="0" y="0"/>
                          <a:ext cx="5547360" cy="0"/>
                        </a:xfrm>
                        <a:prstGeom prst="line">
                          <a:avLst/>
                        </a:prstGeom>
                        <a:noFill/>
                        <a:ln w="19050">
                          <a:solidFill>
                            <a:srgbClr val="0000FF"/>
                          </a:solidFill>
                          <a:round/>
                        </a:ln>
                      </wps:spPr>
                      <wps:bodyPr/>
                    </wps:wsp>
                  </a:graphicData>
                </a:graphic>
              </wp:anchor>
            </w:drawing>
          </mc:Choice>
          <mc:Fallback>
            <w:pict>
              <v:line id="_x0000_s1026" o:spid="_x0000_s1026" o:spt="20" style="position:absolute;left:0pt;flip:y;margin-left:0pt;margin-top:22.3pt;height:0pt;width:436.8pt;z-index:251659264;mso-width-relative:page;mso-height-relative:page;" filled="f" stroked="t" coordsize="21600,21600" o:gfxdata="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ujA&#10;ptUAAAAGAQAADwAAAAAAAAABACAAAAAiAAAAZHJzL2Rvd25yZXYueG1sUEsBAhQAFAAAAAgAh07i&#10;QCMT0MvsAQAAtQMAAA4AAAAAAAAAAQAgAAAAJAEAAGRycy9lMm9Eb2MueG1sUEsFBgAAAAAGAAYA&#10;WQEAAIIFAAAAAA==&#10;">
                <v:fill on="f" focussize="0,0"/>
                <v:stroke weight="1.5pt" color="#0000FF" joinstyle="round"/>
                <v:imagedata o:title=""/>
                <o:lock v:ext="edit" aspectratio="f"/>
              </v:line>
            </w:pict>
          </mc:Fallback>
        </mc:AlternateContent>
      </w:r>
      <w:r>
        <w:rPr>
          <w:rFonts w:hint="eastAsia" w:ascii="宋体" w:hAnsi="宋体"/>
          <w:color w:val="000000"/>
          <w:sz w:val="24"/>
        </w:rPr>
        <w:t xml:space="preserve">           </w:t>
      </w:r>
    </w:p>
    <w:p>
      <w:pPr>
        <w:pStyle w:val="5"/>
        <w:widowControl/>
        <w:shd w:val="clear" w:color="auto" w:fill="FFFFFF"/>
        <w:adjustRightInd w:val="0"/>
        <w:snapToGrid w:val="0"/>
        <w:spacing w:before="0" w:beforeAutospacing="0" w:after="0" w:afterAutospacing="0" w:line="360" w:lineRule="auto"/>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甲方（委托方）：深圳深港科技创新合作区发展有限公司</w:t>
      </w:r>
    </w:p>
    <w:p>
      <w:pPr>
        <w:pStyle w:val="5"/>
        <w:widowControl/>
        <w:shd w:val="clear" w:color="auto" w:fill="FFFFFF"/>
        <w:adjustRightInd w:val="0"/>
        <w:snapToGrid w:val="0"/>
        <w:spacing w:before="0" w:beforeAutospacing="0" w:after="0" w:afterAutospacing="0" w:line="360" w:lineRule="auto"/>
        <w:rPr>
          <w:rFonts w:ascii="宋体" w:hAnsi="宋体" w:eastAsia="宋体" w:cs="宋体"/>
          <w:sz w:val="28"/>
          <w:szCs w:val="28"/>
        </w:rPr>
      </w:pPr>
      <w:r>
        <w:rPr>
          <w:rFonts w:hint="eastAsia" w:ascii="宋体" w:hAnsi="宋体" w:eastAsia="宋体" w:cs="宋体"/>
          <w:sz w:val="28"/>
          <w:szCs w:val="28"/>
          <w:shd w:val="clear" w:color="auto" w:fill="FFFFFF"/>
        </w:rPr>
        <w:t>甲方统一社会信用代码：91440300MA5FCY075K</w:t>
      </w:r>
    </w:p>
    <w:p>
      <w:pPr>
        <w:pStyle w:val="5"/>
        <w:widowControl/>
        <w:shd w:val="clear" w:color="auto" w:fill="FFFFFF"/>
        <w:adjustRightInd w:val="0"/>
        <w:snapToGrid w:val="0"/>
        <w:spacing w:before="0" w:beforeAutospacing="0" w:after="0" w:afterAutospacing="0" w:line="360" w:lineRule="auto"/>
        <w:rPr>
          <w:rFonts w:ascii="宋体" w:hAnsi="宋体" w:eastAsia="宋体" w:cs="宋体"/>
          <w:sz w:val="28"/>
          <w:szCs w:val="28"/>
        </w:rPr>
      </w:pPr>
      <w:r>
        <w:rPr>
          <w:rFonts w:hint="eastAsia" w:ascii="宋体" w:hAnsi="宋体" w:eastAsia="宋体" w:cs="宋体"/>
          <w:sz w:val="28"/>
          <w:szCs w:val="28"/>
          <w:shd w:val="clear" w:color="auto" w:fill="FFFFFF"/>
        </w:rPr>
        <w:t xml:space="preserve">乙方（受托方）： </w:t>
      </w:r>
    </w:p>
    <w:p>
      <w:pPr>
        <w:pStyle w:val="5"/>
        <w:widowControl/>
        <w:shd w:val="clear" w:color="auto" w:fill="FFFFFF"/>
        <w:adjustRightInd w:val="0"/>
        <w:snapToGrid w:val="0"/>
        <w:spacing w:before="0" w:beforeAutospacing="0" w:after="0" w:afterAutospacing="0" w:line="360" w:lineRule="auto"/>
        <w:rPr>
          <w:rFonts w:ascii="宋体" w:hAnsi="宋体" w:eastAsia="宋体" w:cs="宋体"/>
          <w:sz w:val="28"/>
          <w:szCs w:val="28"/>
        </w:rPr>
      </w:pPr>
      <w:r>
        <w:rPr>
          <w:rFonts w:hint="eastAsia" w:ascii="宋体" w:hAnsi="宋体" w:eastAsia="宋体" w:cs="宋体"/>
          <w:sz w:val="28"/>
          <w:szCs w:val="28"/>
          <w:shd w:val="clear" w:color="auto" w:fill="FFFFFF"/>
        </w:rPr>
        <w:t xml:space="preserve">乙方统一社会信用代码： </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根据《中华人民共和国</w:t>
      </w:r>
      <w:r>
        <w:rPr>
          <w:rFonts w:ascii="宋体" w:hAnsi="宋体" w:eastAsia="宋体" w:cs="宋体"/>
          <w:sz w:val="28"/>
          <w:szCs w:val="28"/>
          <w:shd w:val="clear" w:color="auto" w:fill="FFFFFF"/>
        </w:rPr>
        <w:t>民</w:t>
      </w:r>
      <w:r>
        <w:rPr>
          <w:rFonts w:hint="eastAsia" w:ascii="宋体" w:hAnsi="宋体" w:eastAsia="宋体" w:cs="宋体"/>
          <w:sz w:val="28"/>
          <w:szCs w:val="28"/>
          <w:shd w:val="clear" w:color="auto" w:fill="FFFFFF"/>
        </w:rPr>
        <w:t>法</w:t>
      </w:r>
      <w:r>
        <w:rPr>
          <w:rFonts w:ascii="宋体" w:hAnsi="宋体" w:eastAsia="宋体" w:cs="宋体"/>
          <w:sz w:val="28"/>
          <w:szCs w:val="28"/>
          <w:shd w:val="clear" w:color="auto" w:fill="FFFFFF"/>
        </w:rPr>
        <w:t>典</w:t>
      </w:r>
      <w:r>
        <w:rPr>
          <w:rFonts w:hint="eastAsia" w:ascii="宋体" w:hAnsi="宋体" w:eastAsia="宋体" w:cs="宋体"/>
          <w:sz w:val="28"/>
          <w:szCs w:val="28"/>
          <w:shd w:val="clear" w:color="auto" w:fill="FFFFFF"/>
        </w:rPr>
        <w:t>》和相关法律、法规、规章的规定，甲乙双方遵循自愿、公平、诚实信用的原则，就甲方委托乙方提供鉴证业务相关事宜达成一致，签订本协议。</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一、服务范围</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（一）委托目的</w:t>
      </w:r>
    </w:p>
    <w:p>
      <w:pPr>
        <w:pStyle w:val="5"/>
        <w:widowControl/>
        <w:shd w:val="clear" w:color="auto" w:fill="FFFFFF"/>
        <w:adjustRightInd w:val="0"/>
        <w:snapToGrid w:val="0"/>
        <w:spacing w:line="360" w:lineRule="auto"/>
        <w:ind w:firstLine="561" w:firstLineChars="200"/>
        <w:rPr>
          <w:rFonts w:hint="eastAsia" w:ascii="宋体" w:hAnsi="宋体" w:eastAsia="宋体" w:cs="宋体"/>
          <w:b/>
          <w:bCs/>
          <w:sz w:val="28"/>
          <w:szCs w:val="28"/>
          <w:shd w:val="clear" w:color="auto" w:fill="FFFFFF"/>
        </w:rPr>
      </w:pPr>
      <w:r>
        <w:rPr>
          <w:rFonts w:hint="eastAsia" w:ascii="宋体" w:hAnsi="宋体" w:eastAsia="宋体" w:cs="宋体"/>
          <w:b/>
          <w:bCs/>
          <w:sz w:val="28"/>
          <w:szCs w:val="28"/>
          <w:shd w:val="clear" w:color="auto" w:fill="FFFFFF"/>
        </w:rPr>
        <w:t>针对</w:t>
      </w:r>
      <w:r>
        <w:rPr>
          <w:rFonts w:hint="default" w:ascii="宋体" w:hAnsi="宋体" w:eastAsia="宋体" w:cs="宋体"/>
          <w:b/>
          <w:bCs/>
          <w:sz w:val="28"/>
          <w:szCs w:val="28"/>
          <w:u w:val="single"/>
          <w:shd w:val="clear" w:color="auto" w:fill="FFFFFF"/>
          <w:woUserID w:val="1"/>
        </w:rPr>
        <w:t xml:space="preserve">            </w:t>
      </w:r>
      <w:r>
        <w:rPr>
          <w:rFonts w:hint="default" w:ascii="宋体" w:hAnsi="宋体" w:eastAsia="宋体" w:cs="宋体"/>
          <w:b/>
          <w:bCs/>
          <w:sz w:val="28"/>
          <w:szCs w:val="28"/>
          <w:shd w:val="clear" w:color="auto" w:fill="FFFFFF"/>
          <w:woUserID w:val="1"/>
        </w:rPr>
        <w:t>公司</w:t>
      </w:r>
      <w:r>
        <w:rPr>
          <w:rFonts w:hint="eastAsia" w:ascii="宋体" w:hAnsi="宋体" w:eastAsia="宋体" w:cs="宋体"/>
          <w:b/>
          <w:bCs/>
          <w:sz w:val="28"/>
          <w:szCs w:val="28"/>
          <w:shd w:val="clear" w:color="auto" w:fill="FFFFFF"/>
        </w:rPr>
        <w:t>的2026年度企业所得税汇算清缴申报进行合法性鉴证，并分别出具鉴证报告。</w:t>
      </w:r>
    </w:p>
    <w:p>
      <w:pPr>
        <w:pStyle w:val="5"/>
        <w:widowControl/>
        <w:shd w:val="clear" w:color="auto" w:fill="FFFFFF"/>
        <w:adjustRightInd w:val="0"/>
        <w:snapToGrid w:val="0"/>
        <w:spacing w:before="0" w:beforeAutospacing="0" w:after="0" w:afterAutospacing="0" w:line="360" w:lineRule="auto"/>
        <w:ind w:firstLine="561" w:firstLineChars="200"/>
        <w:jc w:val="both"/>
        <w:rPr>
          <w:rFonts w:ascii="宋体" w:hAnsi="宋体" w:eastAsia="宋体" w:cs="宋体"/>
          <w:b/>
          <w:bCs/>
          <w:sz w:val="28"/>
          <w:szCs w:val="28"/>
        </w:rPr>
      </w:pPr>
      <w:r>
        <w:rPr>
          <w:rFonts w:hint="eastAsia" w:ascii="宋体" w:hAnsi="宋体" w:eastAsia="宋体" w:cs="宋体"/>
          <w:b/>
          <w:bCs/>
          <w:sz w:val="28"/>
          <w:szCs w:val="28"/>
          <w:shd w:val="clear" w:color="auto" w:fill="FFFFFF"/>
        </w:rPr>
        <w:t>（二）服务建议与成果</w:t>
      </w:r>
    </w:p>
    <w:p>
      <w:pPr>
        <w:pStyle w:val="5"/>
        <w:widowControl/>
        <w:shd w:val="clear" w:color="auto" w:fill="FFFFFF"/>
        <w:adjustRightInd w:val="0"/>
        <w:snapToGrid w:val="0"/>
        <w:spacing w:before="0" w:beforeAutospacing="0" w:after="0" w:afterAutospacing="0" w:line="360" w:lineRule="auto"/>
        <w:ind w:firstLine="561" w:firstLineChars="200"/>
        <w:jc w:val="both"/>
        <w:rPr>
          <w:rFonts w:ascii="宋体" w:hAnsi="宋体" w:eastAsia="宋体" w:cs="宋体"/>
          <w:b/>
          <w:bCs/>
          <w:sz w:val="28"/>
          <w:szCs w:val="28"/>
          <w:shd w:val="clear" w:color="auto" w:fill="FFFFFF"/>
        </w:rPr>
      </w:pPr>
      <w:r>
        <w:rPr>
          <w:rFonts w:hint="eastAsia" w:ascii="宋体" w:hAnsi="宋体" w:eastAsia="宋体" w:cs="宋体"/>
          <w:b/>
          <w:bCs/>
          <w:sz w:val="28"/>
          <w:szCs w:val="28"/>
          <w:shd w:val="clear" w:color="auto" w:fill="FFFFFF"/>
        </w:rPr>
        <w:t>对</w:t>
      </w:r>
      <w:bookmarkStart w:id="2" w:name="_GoBack"/>
      <w:r>
        <w:rPr>
          <w:rFonts w:hint="default" w:ascii="宋体" w:hAnsi="宋体" w:eastAsia="宋体" w:cs="宋体"/>
          <w:b/>
          <w:bCs/>
          <w:sz w:val="28"/>
          <w:szCs w:val="28"/>
          <w:u w:val="single"/>
          <w:shd w:val="clear" w:color="auto" w:fill="FFFFFF"/>
          <w:woUserID w:val="1"/>
        </w:rPr>
        <w:t xml:space="preserve">        </w:t>
      </w:r>
      <w:bookmarkEnd w:id="2"/>
      <w:r>
        <w:rPr>
          <w:rFonts w:hint="eastAsia" w:ascii="宋体" w:hAnsi="宋体" w:eastAsia="宋体" w:cs="宋体"/>
          <w:b/>
          <w:bCs/>
          <w:sz w:val="28"/>
          <w:szCs w:val="28"/>
          <w:shd w:val="clear" w:color="auto" w:fill="FFFFFF"/>
        </w:rPr>
        <w:t>公司2026年度企业所得税汇算清缴分别出具鉴证业务报告，一份正本，两份副本。</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（三）服务期限</w:t>
      </w:r>
    </w:p>
    <w:p>
      <w:pPr>
        <w:snapToGrid w:val="0"/>
        <w:spacing w:line="360" w:lineRule="auto"/>
        <w:ind w:firstLine="560" w:firstLineChars="200"/>
        <w:jc w:val="left"/>
        <w:rPr>
          <w:rFonts w:ascii="宋体" w:hAnsi="宋体" w:eastAsia="宋体"/>
          <w:sz w:val="28"/>
          <w:szCs w:val="28"/>
        </w:rPr>
      </w:pPr>
      <w:r>
        <w:rPr>
          <w:rFonts w:hint="eastAsia" w:ascii="宋体" w:hAnsi="宋体" w:eastAsia="宋体"/>
          <w:sz w:val="28"/>
          <w:szCs w:val="28"/>
        </w:rPr>
        <w:t>本项目服务期限自合同签订之日起至合同项下全部义务完成止，暂定自2026年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日起至2027年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日止，服务期限</w:t>
      </w:r>
      <w:r>
        <w:rPr>
          <w:rFonts w:hint="eastAsia" w:ascii="宋体" w:hAnsi="宋体" w:eastAsia="宋体"/>
          <w:sz w:val="28"/>
          <w:szCs w:val="28"/>
          <w:u w:val="single"/>
        </w:rPr>
        <w:t>365</w:t>
      </w:r>
      <w:r>
        <w:rPr>
          <w:rFonts w:hint="eastAsia" w:ascii="宋体" w:hAnsi="宋体" w:eastAsia="宋体"/>
          <w:sz w:val="28"/>
          <w:szCs w:val="28"/>
        </w:rPr>
        <w:t>天。</w:t>
      </w:r>
    </w:p>
    <w:p>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合同服务期限剩余1个自然月时，甲方对乙方进行履约评价，</w:t>
      </w:r>
      <w:bookmarkStart w:id="0" w:name="_Hlk67066980"/>
      <w:r>
        <w:rPr>
          <w:rFonts w:hint="eastAsia" w:ascii="宋体" w:hAnsi="宋体" w:eastAsia="宋体"/>
          <w:sz w:val="28"/>
          <w:szCs w:val="28"/>
        </w:rPr>
        <w:t>履约评价等级分为优秀、良好、合格和不合格四个等级。</w:t>
      </w:r>
      <w:bookmarkEnd w:id="0"/>
    </w:p>
    <w:tbl>
      <w:tblPr>
        <w:tblStyle w:val="6"/>
        <w:tblW w:w="490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85" w:type="dxa"/>
          <w:left w:w="108" w:type="dxa"/>
          <w:bottom w:w="85" w:type="dxa"/>
          <w:right w:w="108" w:type="dxa"/>
        </w:tblCellMar>
      </w:tblPr>
      <w:tblGrid>
        <w:gridCol w:w="1851"/>
        <w:gridCol w:w="1628"/>
        <w:gridCol w:w="1630"/>
        <w:gridCol w:w="1630"/>
        <w:gridCol w:w="162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85" w:type="dxa"/>
            <w:left w:w="108" w:type="dxa"/>
            <w:bottom w:w="85" w:type="dxa"/>
            <w:right w:w="108" w:type="dxa"/>
          </w:tblCellMar>
        </w:tblPrEx>
        <w:trPr>
          <w:trHeight w:val="178" w:hRule="atLeast"/>
          <w:jc w:val="center"/>
        </w:trPr>
        <w:tc>
          <w:tcPr>
            <w:tcW w:w="1106" w:type="pct"/>
            <w:vAlign w:val="center"/>
          </w:tcPr>
          <w:p>
            <w:pPr>
              <w:spacing w:line="360" w:lineRule="auto"/>
              <w:jc w:val="center"/>
              <w:rPr>
                <w:rFonts w:ascii="宋体" w:hAnsi="宋体" w:eastAsia="宋体"/>
                <w:sz w:val="24"/>
              </w:rPr>
            </w:pPr>
            <w:bookmarkStart w:id="1" w:name="_Hlk67066956"/>
            <w:r>
              <w:rPr>
                <w:rFonts w:hint="eastAsia" w:ascii="宋体" w:hAnsi="宋体" w:eastAsia="宋体"/>
                <w:sz w:val="24"/>
              </w:rPr>
              <w:t>履约评价得分</w:t>
            </w:r>
          </w:p>
        </w:tc>
        <w:tc>
          <w:tcPr>
            <w:tcW w:w="973" w:type="pct"/>
            <w:vAlign w:val="center"/>
          </w:tcPr>
          <w:p>
            <w:pPr>
              <w:spacing w:line="360" w:lineRule="auto"/>
              <w:jc w:val="center"/>
              <w:rPr>
                <w:rFonts w:ascii="宋体" w:hAnsi="宋体" w:eastAsia="宋体"/>
                <w:sz w:val="24"/>
              </w:rPr>
            </w:pPr>
            <w:r>
              <w:rPr>
                <w:rFonts w:hint="eastAsia" w:ascii="宋体" w:hAnsi="宋体" w:eastAsia="宋体"/>
                <w:sz w:val="24"/>
              </w:rPr>
              <w:t>≥90,≤100</w:t>
            </w:r>
          </w:p>
        </w:tc>
        <w:tc>
          <w:tcPr>
            <w:tcW w:w="974" w:type="pct"/>
            <w:vAlign w:val="center"/>
          </w:tcPr>
          <w:p>
            <w:pPr>
              <w:spacing w:line="360" w:lineRule="auto"/>
              <w:jc w:val="center"/>
              <w:rPr>
                <w:rFonts w:ascii="宋体" w:hAnsi="宋体" w:eastAsia="宋体"/>
                <w:sz w:val="24"/>
              </w:rPr>
            </w:pPr>
            <w:r>
              <w:rPr>
                <w:rFonts w:hint="eastAsia" w:ascii="宋体" w:hAnsi="宋体" w:eastAsia="宋体"/>
                <w:sz w:val="24"/>
              </w:rPr>
              <w:t>≥80,＜90</w:t>
            </w:r>
          </w:p>
        </w:tc>
        <w:tc>
          <w:tcPr>
            <w:tcW w:w="974" w:type="pct"/>
            <w:vAlign w:val="center"/>
          </w:tcPr>
          <w:p>
            <w:pPr>
              <w:spacing w:line="360" w:lineRule="auto"/>
              <w:jc w:val="center"/>
              <w:rPr>
                <w:rFonts w:ascii="宋体" w:hAnsi="宋体" w:eastAsia="宋体"/>
                <w:sz w:val="24"/>
              </w:rPr>
            </w:pPr>
            <w:r>
              <w:rPr>
                <w:rFonts w:hint="eastAsia" w:ascii="宋体" w:hAnsi="宋体" w:eastAsia="宋体"/>
                <w:sz w:val="24"/>
              </w:rPr>
              <w:t>≥60,＜80</w:t>
            </w:r>
          </w:p>
        </w:tc>
        <w:tc>
          <w:tcPr>
            <w:tcW w:w="974" w:type="pct"/>
            <w:vAlign w:val="center"/>
          </w:tcPr>
          <w:p>
            <w:pPr>
              <w:spacing w:line="360" w:lineRule="auto"/>
              <w:jc w:val="center"/>
              <w:rPr>
                <w:rFonts w:ascii="宋体" w:hAnsi="宋体" w:eastAsia="宋体"/>
                <w:sz w:val="24"/>
              </w:rPr>
            </w:pPr>
            <w:r>
              <w:rPr>
                <w:rFonts w:hint="eastAsia" w:ascii="宋体" w:hAnsi="宋体" w:eastAsia="宋体"/>
                <w:sz w:val="24"/>
              </w:rPr>
              <w:t>≥0,＜60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85" w:type="dxa"/>
            <w:left w:w="108" w:type="dxa"/>
            <w:bottom w:w="85" w:type="dxa"/>
            <w:right w:w="108" w:type="dxa"/>
          </w:tblCellMar>
        </w:tblPrEx>
        <w:trPr>
          <w:trHeight w:val="142" w:hRule="atLeast"/>
          <w:jc w:val="center"/>
        </w:trPr>
        <w:tc>
          <w:tcPr>
            <w:tcW w:w="1106" w:type="pct"/>
            <w:vAlign w:val="center"/>
          </w:tcPr>
          <w:p>
            <w:pPr>
              <w:spacing w:line="360" w:lineRule="auto"/>
              <w:jc w:val="center"/>
              <w:rPr>
                <w:rFonts w:ascii="宋体" w:hAnsi="宋体" w:eastAsia="宋体"/>
                <w:sz w:val="24"/>
              </w:rPr>
            </w:pPr>
            <w:r>
              <w:rPr>
                <w:rFonts w:hint="eastAsia" w:ascii="宋体" w:hAnsi="宋体" w:eastAsia="宋体"/>
                <w:sz w:val="24"/>
              </w:rPr>
              <w:t>分级</w:t>
            </w:r>
          </w:p>
        </w:tc>
        <w:tc>
          <w:tcPr>
            <w:tcW w:w="973" w:type="pct"/>
            <w:vAlign w:val="center"/>
          </w:tcPr>
          <w:p>
            <w:pPr>
              <w:spacing w:line="360" w:lineRule="auto"/>
              <w:jc w:val="center"/>
              <w:rPr>
                <w:rFonts w:ascii="宋体" w:hAnsi="宋体" w:eastAsia="宋体"/>
                <w:sz w:val="24"/>
              </w:rPr>
            </w:pPr>
            <w:r>
              <w:rPr>
                <w:rFonts w:hint="eastAsia" w:ascii="宋体" w:hAnsi="宋体" w:eastAsia="宋体"/>
                <w:sz w:val="24"/>
              </w:rPr>
              <w:t>优秀</w:t>
            </w:r>
          </w:p>
        </w:tc>
        <w:tc>
          <w:tcPr>
            <w:tcW w:w="974" w:type="pct"/>
            <w:vAlign w:val="center"/>
          </w:tcPr>
          <w:p>
            <w:pPr>
              <w:spacing w:line="360" w:lineRule="auto"/>
              <w:jc w:val="center"/>
              <w:rPr>
                <w:rFonts w:ascii="宋体" w:hAnsi="宋体" w:eastAsia="宋体"/>
                <w:sz w:val="24"/>
              </w:rPr>
            </w:pPr>
            <w:r>
              <w:rPr>
                <w:rFonts w:hint="eastAsia" w:ascii="宋体" w:hAnsi="宋体" w:eastAsia="宋体"/>
                <w:sz w:val="24"/>
              </w:rPr>
              <w:t>良好</w:t>
            </w:r>
          </w:p>
        </w:tc>
        <w:tc>
          <w:tcPr>
            <w:tcW w:w="974" w:type="pct"/>
            <w:vAlign w:val="center"/>
          </w:tcPr>
          <w:p>
            <w:pPr>
              <w:spacing w:line="360" w:lineRule="auto"/>
              <w:jc w:val="center"/>
              <w:rPr>
                <w:rFonts w:ascii="宋体" w:hAnsi="宋体" w:eastAsia="宋体"/>
                <w:sz w:val="24"/>
              </w:rPr>
            </w:pPr>
            <w:r>
              <w:rPr>
                <w:rFonts w:hint="eastAsia" w:ascii="宋体" w:hAnsi="宋体" w:eastAsia="宋体"/>
                <w:sz w:val="24"/>
              </w:rPr>
              <w:t>合格</w:t>
            </w:r>
          </w:p>
        </w:tc>
        <w:tc>
          <w:tcPr>
            <w:tcW w:w="974" w:type="pct"/>
            <w:vAlign w:val="center"/>
          </w:tcPr>
          <w:p>
            <w:pPr>
              <w:spacing w:line="360" w:lineRule="auto"/>
              <w:jc w:val="center"/>
              <w:rPr>
                <w:rFonts w:ascii="宋体" w:hAnsi="宋体" w:eastAsia="宋体"/>
                <w:sz w:val="24"/>
              </w:rPr>
            </w:pPr>
            <w:r>
              <w:rPr>
                <w:rFonts w:hint="eastAsia" w:ascii="宋体" w:hAnsi="宋体" w:eastAsia="宋体"/>
                <w:sz w:val="24"/>
              </w:rPr>
              <w:t>不合格</w:t>
            </w:r>
          </w:p>
        </w:tc>
      </w:tr>
      <w:bookmarkEnd w:id="1"/>
    </w:tbl>
    <w:p>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乙方履约评价结果为优秀的，乙方可向甲方申请按照本合同服务内容与金额续签1年合同。续签合同履约评价结果仍为优秀的，乙方可向甲方申请按照本合同服务内容与金额再续签1年合同。最多续签2次。</w:t>
      </w:r>
      <w:r>
        <w:rPr>
          <w:rFonts w:ascii="宋体" w:hAnsi="宋体" w:eastAsia="宋体"/>
          <w:sz w:val="28"/>
          <w:szCs w:val="28"/>
        </w:rPr>
        <w:t>乙方履约评价结果为“不合格”的，甲方有权单方解除本合同，并不再支付合同剩余费用，乙方已出具的报告甲方有权不予认可。</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二、甲方责任与义务</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（一）根据国家现行会计、税收等法律法规的有关规定，甲方有责任保证向乙方提供所需会计资料及纳税资料的真实性、合法性和完整性，并承担因资料不真实、不合法、不完整而造成不良后果的相应责任。</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（二）为乙方委派人员的工作提供必要的条件及合作，不得授意乙方人员实施违反国家法律、法规的行为。确保乙方不受限制的接触任何与本次工作有关的记录、文件和所需的其他信息。</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（三）正确使用业务报告，乙方为甲方提供的业务报告，除本约定书约定的情形外，未经乙方许可，甲方不得提供第三方。由于使用不当所造成的后果，与乙方无关。</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（四）按本约定书的约定及时支付委托业务费用以及其他相关费用。</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三、乙方责任与义务</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（一）乙方及时委派专业服务人员为甲方提供约定服务。</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（二）乙方应严格按照现行税收相关法律、法规和政策规定，及税务师执业规范有关规定履行服务程序，并保持服务意见的客观性、准确性和完整性。</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（三）乙方有责任就业务服务成果向甲方解释，并在业务报告中说明。</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（四）乙方对履行约定服务过程中所获得的相关信息负有保密义务，该保密义务不受本协议约定服务期限的限制而持续有效。</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（五）</w:t>
      </w:r>
      <w:r>
        <w:rPr>
          <w:rFonts w:ascii="宋体" w:hAnsi="宋体" w:eastAsia="宋体" w:cs="宋体"/>
          <w:sz w:val="28"/>
          <w:szCs w:val="28"/>
          <w:shd w:val="clear" w:color="auto" w:fill="FFFFFF"/>
        </w:rPr>
        <w:t>乙方应指派具有丰富税务服务经验的专业人员组成服务团队，团队成员须具备相应的执业资质。未经甲方书面同意，乙方不得擅自更换项目负责人及主要经办人员。</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四、违约责任</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甲乙双方按照《中华人民共和国</w:t>
      </w:r>
      <w:r>
        <w:rPr>
          <w:rFonts w:ascii="宋体" w:hAnsi="宋体" w:eastAsia="宋体" w:cs="宋体"/>
          <w:sz w:val="28"/>
          <w:szCs w:val="28"/>
          <w:shd w:val="clear" w:color="auto" w:fill="FFFFFF"/>
        </w:rPr>
        <w:t>民</w:t>
      </w:r>
      <w:r>
        <w:rPr>
          <w:rFonts w:hint="eastAsia" w:ascii="宋体" w:hAnsi="宋体" w:eastAsia="宋体" w:cs="宋体"/>
          <w:sz w:val="28"/>
          <w:szCs w:val="28"/>
          <w:shd w:val="clear" w:color="auto" w:fill="FFFFFF"/>
        </w:rPr>
        <w:t>法</w:t>
      </w:r>
      <w:r>
        <w:rPr>
          <w:rFonts w:ascii="宋体" w:hAnsi="宋体" w:eastAsia="宋体" w:cs="宋体"/>
          <w:sz w:val="28"/>
          <w:szCs w:val="28"/>
          <w:shd w:val="clear" w:color="auto" w:fill="FFFFFF"/>
        </w:rPr>
        <w:t>典</w:t>
      </w:r>
      <w:r>
        <w:rPr>
          <w:rFonts w:hint="eastAsia" w:ascii="宋体" w:hAnsi="宋体" w:eastAsia="宋体" w:cs="宋体"/>
          <w:sz w:val="28"/>
          <w:szCs w:val="28"/>
          <w:shd w:val="clear" w:color="auto" w:fill="FFFFFF"/>
        </w:rPr>
        <w:t>》的规定承担违约责任。</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五、免责事由</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如本约定书任何一方因受不可抗力事件影响而未能履行其在本约定书项下的全部或部分义务，该义务的履行在不可抗力事件妨碍其履行期间根据程度应予中止或终止。</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由不可抗力不能履行约定书或造成他人损害的，部分或全部免除民事责任。</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六、违约责任兑现方式</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ascii="宋体" w:hAnsi="宋体" w:eastAsia="宋体" w:cs="宋体"/>
          <w:sz w:val="28"/>
          <w:szCs w:val="28"/>
          <w:shd w:val="clear" w:color="auto" w:fill="FFFFFF"/>
        </w:rPr>
        <w:t>因乙方原因导致所出具的报告存在错误或疏漏，造成甲方经济损失或第三方索赔的，乙方应在【15】日内向甲方支付签约合同价【5%】的违约金，并赔偿甲方的全部实际经济损失（包括但不限于补缴税款、滞纳金、罚款、律师费、诉讼费等）。任何情况下，乙方应支付的违约金不足以弥补甲方实际损失的，甲方有权要求乙方补足差额。</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七、费用及支付</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（一）按照税务师行业收费的有关规定，以乙方各级别工作人员在本次工作中所耗用的时间为基础计算的。乙方完成本次委托业务费用人民币（大写）       （￥</w:t>
      </w:r>
      <w:r>
        <w:rPr>
          <w:rFonts w:hint="eastAsia" w:ascii="宋体" w:hAnsi="宋体" w:eastAsia="宋体" w:cs="宋体"/>
          <w:sz w:val="28"/>
          <w:szCs w:val="28"/>
          <w:u w:val="single"/>
          <w:shd w:val="clear" w:color="auto" w:fill="FFFFFF"/>
        </w:rPr>
        <w:t xml:space="preserve">       </w:t>
      </w:r>
      <w:r>
        <w:rPr>
          <w:rFonts w:hint="eastAsia" w:ascii="宋体" w:hAnsi="宋体" w:eastAsia="宋体" w:cs="宋体"/>
          <w:sz w:val="28"/>
          <w:szCs w:val="28"/>
          <w:shd w:val="clear" w:color="auto" w:fill="FFFFFF"/>
        </w:rPr>
        <w:t>），不含税价为￥</w:t>
      </w:r>
      <w:r>
        <w:rPr>
          <w:rFonts w:hint="eastAsia" w:ascii="宋体" w:hAnsi="宋体" w:eastAsia="宋体" w:cs="宋体"/>
          <w:sz w:val="28"/>
          <w:szCs w:val="28"/>
          <w:u w:val="single"/>
          <w:shd w:val="clear" w:color="auto" w:fill="FFFFFF"/>
        </w:rPr>
        <w:t xml:space="preserve">       </w:t>
      </w:r>
      <w:r>
        <w:rPr>
          <w:rFonts w:hint="eastAsia" w:ascii="宋体" w:hAnsi="宋体" w:eastAsia="宋体" w:cs="宋体"/>
          <w:sz w:val="28"/>
          <w:szCs w:val="28"/>
          <w:shd w:val="clear" w:color="auto" w:fill="FFFFFF"/>
        </w:rPr>
        <w:t>元。</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w:t>
      </w:r>
      <w:r>
        <w:rPr>
          <w:rFonts w:ascii="宋体" w:hAnsi="宋体" w:eastAsia="宋体" w:cs="宋体"/>
          <w:sz w:val="28"/>
          <w:szCs w:val="28"/>
          <w:shd w:val="clear" w:color="auto" w:fill="FFFFFF"/>
        </w:rPr>
        <w:t>上述费用在乙方提交业务报告并经甲方书面确认后，甲方向乙方一次性全额支付。甲方在收到乙方开具的合法有效的增值税专用发票后【20】个工作日内支付款项至乙方指定账户。乙方未能及时提供发票的，甲方付款期限顺延。</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（三）由于无法预见的原因，导致乙方从事本委托事项完成的实际时间较本约定书签订时预计的时间有明显的增加或减少时，甲乙双方应通过协商，相应调整本约定书第七款第1项所述业务费用总额。</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（四）由于无法预见的原因，导致乙方人员抵达甲方工作现场后，本约定书项目不再进行，甲方不得要求退还预付的业务费用；如上述情况发生于乙方人员完成现场工作之后，甲方应另行向乙方支付人民币</w:t>
      </w:r>
      <w:r>
        <w:rPr>
          <w:rFonts w:hint="eastAsia" w:ascii="宋体" w:hAnsi="宋体" w:eastAsia="宋体" w:cs="宋体"/>
          <w:sz w:val="28"/>
          <w:szCs w:val="28"/>
          <w:u w:val="single"/>
          <w:shd w:val="clear" w:color="auto" w:fill="FFFFFF"/>
        </w:rPr>
        <w:t>/</w:t>
      </w:r>
      <w:r>
        <w:rPr>
          <w:rFonts w:hint="eastAsia" w:ascii="宋体" w:hAnsi="宋体" w:eastAsia="宋体" w:cs="宋体"/>
          <w:sz w:val="28"/>
          <w:szCs w:val="28"/>
          <w:shd w:val="clear" w:color="auto" w:fill="FFFFFF"/>
        </w:rPr>
        <w:t>元的补偿费，该补偿费应于甲方收到乙方的收款通知之日起</w:t>
      </w:r>
      <w:r>
        <w:rPr>
          <w:rFonts w:hint="eastAsia" w:ascii="宋体" w:hAnsi="宋体" w:eastAsia="宋体" w:cs="宋体"/>
          <w:sz w:val="28"/>
          <w:szCs w:val="28"/>
          <w:u w:val="single"/>
          <w:shd w:val="clear" w:color="auto" w:fill="FFFFFF"/>
        </w:rPr>
        <w:t>/</w:t>
      </w:r>
      <w:r>
        <w:rPr>
          <w:rFonts w:hint="eastAsia" w:ascii="宋体" w:hAnsi="宋体" w:eastAsia="宋体" w:cs="宋体"/>
          <w:sz w:val="28"/>
          <w:szCs w:val="28"/>
          <w:shd w:val="clear" w:color="auto" w:fill="FFFFFF"/>
        </w:rPr>
        <w:t>日内支付。</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（五）由于无法预见的原因，发生的与本次委托事项有关的其他费用（包括交通、食宿费等），由双方协商解决。</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八、业务报告的出具和使用</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（一）乙方应当按照国家发布的相关执业准则所规定的格式和类型，出具真实、合法的业务报告。</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（二）乙方向甲方出具业务报告一式三份。</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（三）甲方不得修改或删节乙方出具的业务报告；不得修改或删除重要的数据、重要的附件和所作的重要说明。</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九、约定事项的变更、终止</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如果出现不可预见的情形，影响涉税服务工作如期完成，或者需要提前出具业务报告时，甲乙双方均可要求变更约定事项，但应提前通知对方，并由双方协商解决。</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（一）本约定书签订后，双方应当按约履行，不得无故终止。如遇法定情形或特殊原因确需终止的,提出终止的一方应提前通知另一方。</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（二）在终止业务约定的情况下，乙方有权就本约定书终止之日前对约定事项所做的工作收取合理的费用。</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十、资料保留及所有权</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乙方对执行业务过程中形成的工作底稿拥有所有权，乙方可自主决定允许甲方获取业务工作底稿部分内容，或摘录部分工作底稿。但披露这些信息不得损害乙方执行业务的有效性。</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十一、适用法律和争议解决</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本约定书的所有方面均应适用中华人民共和国的法律进行解释并受其约束。与本约定书有关的任何纠纷或争议，双方选择按以下第_</w:t>
      </w:r>
      <w:r>
        <w:rPr>
          <w:rFonts w:hint="eastAsia" w:ascii="宋体" w:hAnsi="宋体" w:eastAsia="宋体" w:cs="宋体"/>
          <w:sz w:val="28"/>
          <w:szCs w:val="28"/>
          <w:u w:val="single"/>
          <w:shd w:val="clear" w:color="auto" w:fill="FFFFFF"/>
        </w:rPr>
        <w:t>（</w:t>
      </w:r>
      <w:r>
        <w:rPr>
          <w:rFonts w:ascii="宋体" w:hAnsi="宋体" w:eastAsia="宋体" w:cs="宋体"/>
          <w:sz w:val="28"/>
          <w:szCs w:val="28"/>
          <w:u w:val="single"/>
          <w:shd w:val="clear" w:color="auto" w:fill="FFFFFF"/>
        </w:rPr>
        <w:t>二</w:t>
      </w:r>
      <w:r>
        <w:rPr>
          <w:rFonts w:hint="eastAsia" w:ascii="宋体" w:hAnsi="宋体" w:eastAsia="宋体" w:cs="宋体"/>
          <w:sz w:val="28"/>
          <w:szCs w:val="28"/>
          <w:u w:val="single"/>
          <w:shd w:val="clear" w:color="auto" w:fill="FFFFFF"/>
        </w:rPr>
        <w:t>）</w:t>
      </w:r>
      <w:r>
        <w:rPr>
          <w:rFonts w:hint="eastAsia" w:ascii="宋体" w:hAnsi="宋体" w:eastAsia="宋体" w:cs="宋体"/>
          <w:sz w:val="28"/>
          <w:szCs w:val="28"/>
          <w:shd w:val="clear" w:color="auto" w:fill="FFFFFF"/>
        </w:rPr>
        <w:t>种解决方式：</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（一）提交深圳市仲裁委员会进行仲裁；</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（二）向甲方所在地人民法院提起诉讼。</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十二、本约定书的法律效力</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（一）本约定书经双方代表人签字或盖章并加盖单位公章之日起生效，并在双方履行完成约定事项后终止。</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（二）本约定书一式</w:t>
      </w:r>
      <w:r>
        <w:rPr>
          <w:rFonts w:hint="eastAsia" w:ascii="宋体" w:hAnsi="宋体" w:eastAsia="宋体" w:cs="宋体"/>
          <w:b/>
          <w:bCs/>
          <w:sz w:val="28"/>
          <w:szCs w:val="28"/>
          <w:u w:val="single"/>
          <w:shd w:val="clear" w:color="auto" w:fill="FFFFFF"/>
        </w:rPr>
        <w:t xml:space="preserve">   </w:t>
      </w:r>
      <w:r>
        <w:rPr>
          <w:rFonts w:hint="eastAsia" w:ascii="宋体" w:hAnsi="宋体" w:eastAsia="宋体" w:cs="宋体"/>
          <w:sz w:val="28"/>
          <w:szCs w:val="28"/>
          <w:shd w:val="clear" w:color="auto" w:fill="FFFFFF"/>
        </w:rPr>
        <w:t>份，甲</w:t>
      </w:r>
      <w:r>
        <w:rPr>
          <w:rFonts w:ascii="宋体" w:hAnsi="宋体" w:eastAsia="宋体" w:cs="宋体"/>
          <w:sz w:val="28"/>
          <w:szCs w:val="28"/>
          <w:shd w:val="clear" w:color="auto" w:fill="FFFFFF"/>
        </w:rPr>
        <w:t>方执</w:t>
      </w:r>
      <w:r>
        <w:rPr>
          <w:rFonts w:hint="eastAsia" w:ascii="宋体" w:hAnsi="宋体" w:eastAsia="宋体" w:cs="宋体"/>
          <w:b/>
          <w:bCs/>
          <w:sz w:val="28"/>
          <w:szCs w:val="28"/>
          <w:u w:val="single"/>
          <w:shd w:val="clear" w:color="auto" w:fill="FFFFFF"/>
        </w:rPr>
        <w:t xml:space="preserve">   </w:t>
      </w:r>
      <w:r>
        <w:rPr>
          <w:rFonts w:ascii="宋体" w:hAnsi="宋体" w:eastAsia="宋体" w:cs="宋体"/>
          <w:sz w:val="28"/>
          <w:szCs w:val="28"/>
          <w:shd w:val="clear" w:color="auto" w:fill="FFFFFF"/>
        </w:rPr>
        <w:t>份，</w:t>
      </w:r>
      <w:r>
        <w:rPr>
          <w:rFonts w:hint="eastAsia" w:ascii="宋体" w:hAnsi="宋体" w:eastAsia="宋体" w:cs="宋体"/>
          <w:sz w:val="28"/>
          <w:szCs w:val="28"/>
          <w:shd w:val="clear" w:color="auto" w:fill="FFFFFF"/>
        </w:rPr>
        <w:t>乙方执</w:t>
      </w:r>
      <w:r>
        <w:rPr>
          <w:rFonts w:hint="eastAsia" w:ascii="宋体" w:hAnsi="宋体" w:eastAsia="宋体" w:cs="宋体"/>
          <w:b/>
          <w:bCs/>
          <w:sz w:val="28"/>
          <w:szCs w:val="28"/>
          <w:u w:val="single"/>
          <w:shd w:val="clear" w:color="auto" w:fill="FFFFFF"/>
        </w:rPr>
        <w:t xml:space="preserve">   </w:t>
      </w:r>
      <w:r>
        <w:rPr>
          <w:rFonts w:hint="eastAsia" w:ascii="宋体" w:hAnsi="宋体" w:eastAsia="宋体" w:cs="宋体"/>
          <w:sz w:val="28"/>
          <w:szCs w:val="28"/>
          <w:shd w:val="clear" w:color="auto" w:fill="FFFFFF"/>
        </w:rPr>
        <w:t>份，具有同等法律效力。</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十三、其他事项的约定</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本约定书未尽事宜，经双方协商另行签订补充协议，本约定书的附件及任何补充协议与本约定书具有同等法律效力。</w:t>
      </w:r>
    </w:p>
    <w:p>
      <w:pPr>
        <w:pStyle w:val="5"/>
        <w:widowControl/>
        <w:shd w:val="clear" w:color="auto" w:fill="FFFFFF"/>
        <w:adjustRightInd w:val="0"/>
        <w:snapToGrid w:val="0"/>
        <w:spacing w:before="0" w:beforeAutospacing="0" w:after="0" w:afterAutospacing="0" w:line="360" w:lineRule="auto"/>
        <w:jc w:val="both"/>
        <w:rPr>
          <w:rFonts w:ascii="宋体" w:hAnsi="宋体" w:eastAsia="宋体" w:cs="宋体"/>
          <w:sz w:val="28"/>
          <w:szCs w:val="28"/>
        </w:rPr>
      </w:pPr>
      <w:r>
        <w:rPr>
          <w:rFonts w:hint="eastAsia" w:ascii="宋体" w:hAnsi="宋体" w:eastAsia="宋体" w:cs="宋体"/>
          <w:sz w:val="28"/>
          <w:szCs w:val="28"/>
        </w:rPr>
        <w:t>（以下无正文）</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 xml:space="preserve">甲方:（盖章）      </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法人（授权）代表签字：</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地址：</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日期：</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 xml:space="preserve">乙方:（盖章）      </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 xml:space="preserve">法人（授权）代表签字： </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 xml:space="preserve">地址： </w:t>
      </w:r>
    </w:p>
    <w:p>
      <w:pPr>
        <w:pStyle w:val="5"/>
        <w:widowControl/>
        <w:shd w:val="clear" w:color="auto" w:fill="FFFFFF"/>
        <w:adjustRightInd w:val="0"/>
        <w:snapToGrid w:val="0"/>
        <w:spacing w:before="0" w:beforeAutospacing="0" w:after="0" w:afterAutospacing="0" w:line="360" w:lineRule="auto"/>
        <w:ind w:firstLine="560" w:firstLineChars="200"/>
        <w:jc w:val="both"/>
        <w:rPr>
          <w:rFonts w:ascii="宋体" w:hAnsi="宋体" w:eastAsia="宋体" w:cs="宋体"/>
          <w:sz w:val="28"/>
          <w:szCs w:val="28"/>
        </w:rPr>
      </w:pPr>
      <w:r>
        <w:rPr>
          <w:rFonts w:hint="eastAsia" w:ascii="宋体" w:hAnsi="宋体" w:eastAsia="宋体" w:cs="宋体"/>
          <w:sz w:val="28"/>
          <w:szCs w:val="28"/>
          <w:shd w:val="clear" w:color="auto" w:fill="FFFFFF"/>
        </w:rPr>
        <w:t xml:space="preserve">日期： </w:t>
      </w:r>
    </w:p>
    <w:p>
      <w:pPr>
        <w:adjustRightInd w:val="0"/>
        <w:snapToGrid w:val="0"/>
        <w:spacing w:line="360" w:lineRule="auto"/>
        <w:ind w:firstLine="560" w:firstLineChars="200"/>
        <w:rPr>
          <w:rFonts w:ascii="宋体" w:hAnsi="宋体" w:eastAsia="宋体"/>
          <w:color w:val="000000"/>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10" w:usb3="00000000" w:csb0="00040000" w:csb1="00000000"/>
  </w:font>
  <w:font w:name="华文中宋">
    <w:altName w:val="汉仪书宋二KW"/>
    <w:panose1 w:val="02010600040101010101"/>
    <w:charset w:val="86"/>
    <w:family w:val="auto"/>
    <w:pitch w:val="default"/>
    <w:sig w:usb0="00000000" w:usb1="00000000" w:usb2="00000010" w:usb3="00000000" w:csb0="0004009F" w:csb1="00000000"/>
  </w:font>
  <w:font w:name="汉仪仿宋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6</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56"/>
    <w:rsid w:val="000125A5"/>
    <w:rsid w:val="000137F9"/>
    <w:rsid w:val="000154BA"/>
    <w:rsid w:val="00017771"/>
    <w:rsid w:val="000223CA"/>
    <w:rsid w:val="000476CE"/>
    <w:rsid w:val="0006506E"/>
    <w:rsid w:val="000918DA"/>
    <w:rsid w:val="000A60BB"/>
    <w:rsid w:val="000B2F0D"/>
    <w:rsid w:val="000C7C92"/>
    <w:rsid w:val="000D2D16"/>
    <w:rsid w:val="000D2D39"/>
    <w:rsid w:val="00100CA8"/>
    <w:rsid w:val="001230B1"/>
    <w:rsid w:val="00124461"/>
    <w:rsid w:val="00146056"/>
    <w:rsid w:val="001615A4"/>
    <w:rsid w:val="00162ABF"/>
    <w:rsid w:val="00164A62"/>
    <w:rsid w:val="0016500F"/>
    <w:rsid w:val="001A6E13"/>
    <w:rsid w:val="001A7DC3"/>
    <w:rsid w:val="001B407B"/>
    <w:rsid w:val="001B4C50"/>
    <w:rsid w:val="001B4D25"/>
    <w:rsid w:val="001C0F59"/>
    <w:rsid w:val="001D00BC"/>
    <w:rsid w:val="001E4860"/>
    <w:rsid w:val="001F1865"/>
    <w:rsid w:val="00200870"/>
    <w:rsid w:val="0022598B"/>
    <w:rsid w:val="002267CE"/>
    <w:rsid w:val="00251B3B"/>
    <w:rsid w:val="002838CE"/>
    <w:rsid w:val="00284F9B"/>
    <w:rsid w:val="002858AB"/>
    <w:rsid w:val="002A023F"/>
    <w:rsid w:val="002A10B7"/>
    <w:rsid w:val="002A43EF"/>
    <w:rsid w:val="002A763D"/>
    <w:rsid w:val="002B10C4"/>
    <w:rsid w:val="002B359A"/>
    <w:rsid w:val="002D5658"/>
    <w:rsid w:val="002E5EA0"/>
    <w:rsid w:val="00312D97"/>
    <w:rsid w:val="0031540A"/>
    <w:rsid w:val="00321EAC"/>
    <w:rsid w:val="00322973"/>
    <w:rsid w:val="00340788"/>
    <w:rsid w:val="00343043"/>
    <w:rsid w:val="00343CFA"/>
    <w:rsid w:val="00355115"/>
    <w:rsid w:val="003859E0"/>
    <w:rsid w:val="00385ACB"/>
    <w:rsid w:val="003A1EB8"/>
    <w:rsid w:val="003A27FF"/>
    <w:rsid w:val="003A4453"/>
    <w:rsid w:val="003A7A18"/>
    <w:rsid w:val="003E7B00"/>
    <w:rsid w:val="004019FA"/>
    <w:rsid w:val="004432FE"/>
    <w:rsid w:val="004446D4"/>
    <w:rsid w:val="00444C7B"/>
    <w:rsid w:val="00446D43"/>
    <w:rsid w:val="004477A3"/>
    <w:rsid w:val="0045360A"/>
    <w:rsid w:val="00463C1E"/>
    <w:rsid w:val="00482883"/>
    <w:rsid w:val="0048583B"/>
    <w:rsid w:val="004950F6"/>
    <w:rsid w:val="004A552A"/>
    <w:rsid w:val="004A5694"/>
    <w:rsid w:val="004C359A"/>
    <w:rsid w:val="004E34FC"/>
    <w:rsid w:val="004E3FF0"/>
    <w:rsid w:val="004E486A"/>
    <w:rsid w:val="004E7D66"/>
    <w:rsid w:val="004F25C7"/>
    <w:rsid w:val="004F4DCA"/>
    <w:rsid w:val="00500E07"/>
    <w:rsid w:val="00511645"/>
    <w:rsid w:val="00514EDC"/>
    <w:rsid w:val="00521DBA"/>
    <w:rsid w:val="00522AEC"/>
    <w:rsid w:val="00525F5D"/>
    <w:rsid w:val="00550A74"/>
    <w:rsid w:val="005527C7"/>
    <w:rsid w:val="00552B47"/>
    <w:rsid w:val="005542EB"/>
    <w:rsid w:val="005606FF"/>
    <w:rsid w:val="005711AE"/>
    <w:rsid w:val="00585AE7"/>
    <w:rsid w:val="00590B83"/>
    <w:rsid w:val="005A3C49"/>
    <w:rsid w:val="005A46FB"/>
    <w:rsid w:val="005A768F"/>
    <w:rsid w:val="005B131B"/>
    <w:rsid w:val="005C7FE4"/>
    <w:rsid w:val="005F2184"/>
    <w:rsid w:val="00605ACD"/>
    <w:rsid w:val="0061252A"/>
    <w:rsid w:val="006201D8"/>
    <w:rsid w:val="00656A62"/>
    <w:rsid w:val="00664B30"/>
    <w:rsid w:val="00675ABA"/>
    <w:rsid w:val="006C50F3"/>
    <w:rsid w:val="006D26DF"/>
    <w:rsid w:val="006D6A8E"/>
    <w:rsid w:val="006E0A96"/>
    <w:rsid w:val="006F2B05"/>
    <w:rsid w:val="00702D12"/>
    <w:rsid w:val="0070493E"/>
    <w:rsid w:val="00704F02"/>
    <w:rsid w:val="00712C64"/>
    <w:rsid w:val="00713534"/>
    <w:rsid w:val="007156CF"/>
    <w:rsid w:val="007209D0"/>
    <w:rsid w:val="0073062D"/>
    <w:rsid w:val="00734549"/>
    <w:rsid w:val="0073689B"/>
    <w:rsid w:val="00741D8C"/>
    <w:rsid w:val="00741EC3"/>
    <w:rsid w:val="007A15A0"/>
    <w:rsid w:val="007A36D0"/>
    <w:rsid w:val="007B2D1A"/>
    <w:rsid w:val="007B37B5"/>
    <w:rsid w:val="007C4ABB"/>
    <w:rsid w:val="007D1974"/>
    <w:rsid w:val="007D64E1"/>
    <w:rsid w:val="007D78E0"/>
    <w:rsid w:val="007E15CA"/>
    <w:rsid w:val="007E292B"/>
    <w:rsid w:val="007F7215"/>
    <w:rsid w:val="008068D5"/>
    <w:rsid w:val="00825F4D"/>
    <w:rsid w:val="00831F4D"/>
    <w:rsid w:val="00847BE8"/>
    <w:rsid w:val="008527E3"/>
    <w:rsid w:val="008637B1"/>
    <w:rsid w:val="00871070"/>
    <w:rsid w:val="008728B0"/>
    <w:rsid w:val="008800CA"/>
    <w:rsid w:val="00884E4F"/>
    <w:rsid w:val="008862CA"/>
    <w:rsid w:val="00887198"/>
    <w:rsid w:val="0089052F"/>
    <w:rsid w:val="008967EF"/>
    <w:rsid w:val="008A4A86"/>
    <w:rsid w:val="008D2414"/>
    <w:rsid w:val="008F7354"/>
    <w:rsid w:val="0090135C"/>
    <w:rsid w:val="00907367"/>
    <w:rsid w:val="0092373D"/>
    <w:rsid w:val="00931631"/>
    <w:rsid w:val="00933F1F"/>
    <w:rsid w:val="00943E6D"/>
    <w:rsid w:val="0095517E"/>
    <w:rsid w:val="00957DE2"/>
    <w:rsid w:val="009654A3"/>
    <w:rsid w:val="00983263"/>
    <w:rsid w:val="00987F0F"/>
    <w:rsid w:val="009922D0"/>
    <w:rsid w:val="00997BA5"/>
    <w:rsid w:val="009B4D02"/>
    <w:rsid w:val="009C11D7"/>
    <w:rsid w:val="009C4157"/>
    <w:rsid w:val="009D0D04"/>
    <w:rsid w:val="009D5283"/>
    <w:rsid w:val="009E16EB"/>
    <w:rsid w:val="009F0ACD"/>
    <w:rsid w:val="009F12F1"/>
    <w:rsid w:val="009F255B"/>
    <w:rsid w:val="00A0171D"/>
    <w:rsid w:val="00A10755"/>
    <w:rsid w:val="00A155E7"/>
    <w:rsid w:val="00A31B1C"/>
    <w:rsid w:val="00A37787"/>
    <w:rsid w:val="00A814C7"/>
    <w:rsid w:val="00A820D8"/>
    <w:rsid w:val="00A8748C"/>
    <w:rsid w:val="00AA1135"/>
    <w:rsid w:val="00AA7F6D"/>
    <w:rsid w:val="00AB2889"/>
    <w:rsid w:val="00AB3F6B"/>
    <w:rsid w:val="00AC0261"/>
    <w:rsid w:val="00AC30DD"/>
    <w:rsid w:val="00AD03D2"/>
    <w:rsid w:val="00AE466F"/>
    <w:rsid w:val="00B048AA"/>
    <w:rsid w:val="00B14E26"/>
    <w:rsid w:val="00B1505D"/>
    <w:rsid w:val="00B32494"/>
    <w:rsid w:val="00B37D45"/>
    <w:rsid w:val="00B51DBB"/>
    <w:rsid w:val="00B540B2"/>
    <w:rsid w:val="00B61C4D"/>
    <w:rsid w:val="00BB38B4"/>
    <w:rsid w:val="00BC2664"/>
    <w:rsid w:val="00BD661C"/>
    <w:rsid w:val="00BF1905"/>
    <w:rsid w:val="00C021E1"/>
    <w:rsid w:val="00C03CEF"/>
    <w:rsid w:val="00C06BF5"/>
    <w:rsid w:val="00C111AC"/>
    <w:rsid w:val="00C14910"/>
    <w:rsid w:val="00C16407"/>
    <w:rsid w:val="00C202CC"/>
    <w:rsid w:val="00C55DE4"/>
    <w:rsid w:val="00C75D56"/>
    <w:rsid w:val="00C80961"/>
    <w:rsid w:val="00C87048"/>
    <w:rsid w:val="00CA246A"/>
    <w:rsid w:val="00CB1E5E"/>
    <w:rsid w:val="00CB224E"/>
    <w:rsid w:val="00CB766C"/>
    <w:rsid w:val="00CD5B47"/>
    <w:rsid w:val="00CE346E"/>
    <w:rsid w:val="00CF37B5"/>
    <w:rsid w:val="00CF7204"/>
    <w:rsid w:val="00D017FC"/>
    <w:rsid w:val="00D10D9D"/>
    <w:rsid w:val="00D118E1"/>
    <w:rsid w:val="00D205BF"/>
    <w:rsid w:val="00D20A37"/>
    <w:rsid w:val="00D34DD7"/>
    <w:rsid w:val="00D4686A"/>
    <w:rsid w:val="00D46BE5"/>
    <w:rsid w:val="00D7233A"/>
    <w:rsid w:val="00D80D39"/>
    <w:rsid w:val="00DA2E47"/>
    <w:rsid w:val="00DB26DE"/>
    <w:rsid w:val="00DB2800"/>
    <w:rsid w:val="00DD0545"/>
    <w:rsid w:val="00DD4FA7"/>
    <w:rsid w:val="00DD7FA4"/>
    <w:rsid w:val="00E12094"/>
    <w:rsid w:val="00E16FD9"/>
    <w:rsid w:val="00E2282E"/>
    <w:rsid w:val="00E231ED"/>
    <w:rsid w:val="00E2382D"/>
    <w:rsid w:val="00E26C52"/>
    <w:rsid w:val="00E3220B"/>
    <w:rsid w:val="00E35988"/>
    <w:rsid w:val="00E45242"/>
    <w:rsid w:val="00E60ED8"/>
    <w:rsid w:val="00E664B8"/>
    <w:rsid w:val="00E72A25"/>
    <w:rsid w:val="00E72F26"/>
    <w:rsid w:val="00E901FF"/>
    <w:rsid w:val="00EA337C"/>
    <w:rsid w:val="00EB7169"/>
    <w:rsid w:val="00ED4945"/>
    <w:rsid w:val="00EF2F44"/>
    <w:rsid w:val="00F05B88"/>
    <w:rsid w:val="00F10214"/>
    <w:rsid w:val="00F12059"/>
    <w:rsid w:val="00F26D59"/>
    <w:rsid w:val="00F321B0"/>
    <w:rsid w:val="00F379B2"/>
    <w:rsid w:val="00F424D1"/>
    <w:rsid w:val="00F75DD8"/>
    <w:rsid w:val="00F86254"/>
    <w:rsid w:val="00F95DD5"/>
    <w:rsid w:val="00FA559C"/>
    <w:rsid w:val="00FD1F55"/>
    <w:rsid w:val="00FF0A34"/>
    <w:rsid w:val="00FF5DA9"/>
    <w:rsid w:val="064F79D2"/>
    <w:rsid w:val="1C08663D"/>
    <w:rsid w:val="2A1262DA"/>
    <w:rsid w:val="39685FD9"/>
    <w:rsid w:val="41587223"/>
    <w:rsid w:val="43865EF5"/>
    <w:rsid w:val="503A5393"/>
    <w:rsid w:val="5CC826A5"/>
    <w:rsid w:val="69922464"/>
    <w:rsid w:val="6F67889D"/>
    <w:rsid w:val="76711313"/>
    <w:rsid w:val="7A6F1DAE"/>
    <w:rsid w:val="7B2F0207"/>
    <w:rsid w:val="7BCB76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uiPriority w:val="0"/>
    <w:pPr>
      <w:ind w:left="100" w:leftChars="2500"/>
    </w:pPr>
  </w:style>
  <w:style w:type="paragraph" w:styleId="3">
    <w:name w:val="footer"/>
    <w:basedOn w:val="1"/>
    <w:link w:val="10"/>
    <w:uiPriority w:val="99"/>
    <w:pPr>
      <w:tabs>
        <w:tab w:val="center" w:pos="4153"/>
        <w:tab w:val="right" w:pos="8306"/>
      </w:tabs>
      <w:snapToGrid w:val="0"/>
      <w:jc w:val="left"/>
    </w:pPr>
    <w:rPr>
      <w:rFonts w:eastAsia="宋体"/>
      <w:sz w:val="18"/>
      <w:szCs w:val="18"/>
    </w:rPr>
  </w:style>
  <w:style w:type="paragraph" w:styleId="4">
    <w:name w:val="header"/>
    <w:basedOn w:val="1"/>
    <w:link w:val="11"/>
    <w:uiPriority w:val="99"/>
    <w:pPr>
      <w:pBdr>
        <w:bottom w:val="single" w:color="auto" w:sz="6" w:space="1"/>
      </w:pBdr>
      <w:tabs>
        <w:tab w:val="center" w:pos="4153"/>
        <w:tab w:val="right" w:pos="8306"/>
      </w:tabs>
      <w:snapToGrid w:val="0"/>
      <w:jc w:val="center"/>
    </w:pPr>
    <w:rPr>
      <w:rFonts w:eastAsia="宋体"/>
      <w:sz w:val="18"/>
      <w:szCs w:val="18"/>
    </w:rPr>
  </w:style>
  <w:style w:type="paragraph" w:styleId="5">
    <w:name w:val="Normal (Web)"/>
    <w:basedOn w:val="1"/>
    <w:uiPriority w:val="0"/>
    <w:pPr>
      <w:spacing w:before="100" w:beforeAutospacing="1" w:after="100" w:afterAutospacing="1"/>
      <w:jc w:val="left"/>
    </w:pPr>
    <w:rPr>
      <w:kern w:val="0"/>
      <w:sz w:val="24"/>
    </w:rPr>
  </w:style>
  <w:style w:type="character" w:styleId="8">
    <w:name w:val="Strong"/>
    <w:qFormat/>
    <w:uiPriority w:val="0"/>
    <w:rPr>
      <w:b/>
    </w:rPr>
  </w:style>
  <w:style w:type="character" w:customStyle="1" w:styleId="9">
    <w:name w:val="日期 字符"/>
    <w:link w:val="2"/>
    <w:uiPriority w:val="0"/>
    <w:rPr>
      <w:rFonts w:eastAsia="仿宋_GB2312"/>
      <w:kern w:val="2"/>
      <w:sz w:val="32"/>
      <w:szCs w:val="24"/>
    </w:rPr>
  </w:style>
  <w:style w:type="character" w:customStyle="1" w:styleId="10">
    <w:name w:val="页脚 字符1"/>
    <w:link w:val="3"/>
    <w:locked/>
    <w:uiPriority w:val="99"/>
    <w:rPr>
      <w:rFonts w:cs="Times New Roman"/>
      <w:kern w:val="2"/>
      <w:sz w:val="18"/>
      <w:szCs w:val="18"/>
    </w:rPr>
  </w:style>
  <w:style w:type="character" w:customStyle="1" w:styleId="11">
    <w:name w:val="页眉 字符"/>
    <w:link w:val="4"/>
    <w:locked/>
    <w:uiPriority w:val="99"/>
    <w:rPr>
      <w:rFonts w:cs="Times New Roman"/>
      <w:kern w:val="2"/>
      <w:sz w:val="18"/>
      <w:szCs w:val="18"/>
    </w:rPr>
  </w:style>
  <w:style w:type="character" w:customStyle="1" w:styleId="12">
    <w:name w:val="页脚 字符"/>
    <w:uiPriority w:val="99"/>
  </w:style>
  <w:style w:type="paragraph" w:customStyle="1" w:styleId="13">
    <w:name w:val="Normal_0"/>
    <w:qFormat/>
    <w:uiPriority w:val="0"/>
    <w:pPr>
      <w:widowControl w:val="0"/>
      <w:spacing w:line="560" w:lineRule="exact"/>
      <w:jc w:val="both"/>
    </w:pPr>
    <w:rPr>
      <w:rFonts w:ascii="Times New Roman" w:hAnsi="Times New Roman" w:eastAsia="宋体" w:cs="Times New Roman"/>
      <w:kern w:val="2"/>
      <w:sz w:val="24"/>
      <w:szCs w:val="22"/>
      <w:lang w:val="en-US" w:eastAsia="zh-CN" w:bidi="ar-SA"/>
    </w:rPr>
  </w:style>
  <w:style w:type="paragraph" w:customStyle="1" w:styleId="14">
    <w:name w:val="修订1"/>
    <w:hidden/>
    <w:unhideWhenUsed/>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Lenovo (Beijing) Limited</Company>
  <Pages>7</Pages>
  <Words>1494</Words>
  <Characters>1509</Characters>
  <Lines>94</Lines>
  <Paragraphs>96</Paragraphs>
  <TotalTime>23</TotalTime>
  <ScaleCrop>false</ScaleCrop>
  <LinksUpToDate>false</LinksUpToDate>
  <CharactersWithSpaces>2907</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2020-01-13T19:25:00Z</dcterms:created>
  <dc:creator>Lenovo User</dc:creator>
  <cp:lastModifiedBy>王路</cp:lastModifiedBy>
  <cp:lastPrinted>2015-02-01T01:03:00Z</cp:lastPrinted>
  <dcterms:modified xsi:type="dcterms:W3CDTF">2026-07-23T11:03:31Z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eyJoZGlkIjoiY2ZiYjgwMTgxOWJjMjQ3NTE0ZTg1YWMwY2RmYzdhYzkiLCJ1c2VySWQiOiIzNzkyNjMyOTIifQ==</vt:lpwstr>
  </property>
  <property fmtid="{D5CDD505-2E9C-101B-9397-08002B2CF9AE}" pid="3" name="KSOProductBuildVer">
    <vt:lpwstr>2052-0.0.0.0</vt:lpwstr>
  </property>
  <property fmtid="{D5CDD505-2E9C-101B-9397-08002B2CF9AE}" pid="4" name="ICV">
    <vt:lpwstr>B62D072F3307414885F9EEF953ED3B19_13</vt:lpwstr>
  </property>
</Properties>
</file>