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367DD">
      <w:pPr>
        <w:jc w:val="center"/>
        <w:rPr>
          <w:rFonts w:ascii="微软雅黑" w:hAnsi="微软雅黑" w:eastAsia="微软雅黑" w:cs="微软雅黑"/>
          <w:b/>
          <w:sz w:val="52"/>
          <w:szCs w:val="52"/>
        </w:rPr>
      </w:pPr>
    </w:p>
    <w:p w14:paraId="5BAA6D65">
      <w:pPr>
        <w:jc w:val="center"/>
        <w:rPr>
          <w:rFonts w:hint="eastAsia" w:ascii="微软雅黑" w:hAnsi="微软雅黑" w:eastAsia="微软雅黑" w:cs="微软雅黑"/>
          <w:b/>
          <w:sz w:val="52"/>
          <w:szCs w:val="52"/>
          <w:lang w:val="en-US" w:eastAsia="zh-CN"/>
        </w:rPr>
      </w:pPr>
      <w:r>
        <w:rPr>
          <w:rFonts w:hint="eastAsia" w:ascii="微软雅黑" w:hAnsi="微软雅黑" w:eastAsia="微软雅黑" w:cs="微软雅黑"/>
          <w:b/>
          <w:sz w:val="52"/>
          <w:szCs w:val="52"/>
          <w:lang w:val="en-US" w:eastAsia="zh-CN"/>
        </w:rPr>
        <w:t>河套合作区全周期服务平台物料设计及</w:t>
      </w:r>
    </w:p>
    <w:p w14:paraId="3316E934">
      <w:pPr>
        <w:jc w:val="center"/>
        <w:rPr>
          <w:rFonts w:hint="eastAsia" w:ascii="微软雅黑" w:hAnsi="微软雅黑" w:eastAsia="微软雅黑" w:cs="微软雅黑"/>
          <w:b/>
          <w:sz w:val="52"/>
          <w:szCs w:val="52"/>
          <w:lang w:val="en-US" w:eastAsia="zh-CN"/>
        </w:rPr>
      </w:pPr>
      <w:r>
        <w:rPr>
          <w:rFonts w:hint="eastAsia" w:ascii="微软雅黑" w:hAnsi="微软雅黑" w:eastAsia="微软雅黑" w:cs="微软雅黑"/>
          <w:b/>
          <w:sz w:val="52"/>
          <w:szCs w:val="52"/>
          <w:lang w:val="en-US" w:eastAsia="zh-CN"/>
        </w:rPr>
        <w:t>制作服务</w:t>
      </w:r>
    </w:p>
    <w:p w14:paraId="20C55E8F">
      <w:pPr>
        <w:pStyle w:val="2"/>
        <w:rPr>
          <w:rFonts w:hint="eastAsia" w:ascii="微软雅黑" w:hAnsi="微软雅黑" w:eastAsia="微软雅黑" w:cs="微软雅黑"/>
          <w:b/>
          <w:sz w:val="52"/>
          <w:szCs w:val="52"/>
          <w:lang w:val="en-US" w:eastAsia="zh-CN"/>
        </w:rPr>
      </w:pPr>
    </w:p>
    <w:p w14:paraId="498519BB">
      <w:pPr>
        <w:rPr>
          <w:rFonts w:hint="default"/>
          <w:lang w:val="en-US"/>
        </w:rPr>
      </w:pPr>
    </w:p>
    <w:p w14:paraId="27E934DB">
      <w:pPr>
        <w:pStyle w:val="5"/>
      </w:pPr>
    </w:p>
    <w:p w14:paraId="6961BEDB">
      <w:pPr>
        <w:spacing w:line="360" w:lineRule="auto"/>
        <w:jc w:val="center"/>
        <w:rPr>
          <w:sz w:val="52"/>
          <w:szCs w:val="52"/>
        </w:rPr>
      </w:pPr>
      <w:r>
        <w:rPr>
          <w:rFonts w:hint="eastAsia" w:ascii="微软雅黑" w:hAnsi="微软雅黑" w:eastAsia="微软雅黑" w:cs="微软雅黑"/>
          <w:b/>
          <w:sz w:val="52"/>
          <w:szCs w:val="52"/>
        </w:rPr>
        <w:t>技术规范书</w:t>
      </w:r>
    </w:p>
    <w:p w14:paraId="0EF5BACD">
      <w:pPr>
        <w:spacing w:line="560" w:lineRule="exact"/>
        <w:ind w:left="3197" w:leftChars="718" w:hanging="1689" w:hangingChars="528"/>
        <w:rPr>
          <w:rFonts w:ascii="仿宋_GB2312" w:hAnsi="宋体" w:eastAsia="仿宋_GB2312" w:cs="Courier New"/>
          <w:sz w:val="32"/>
        </w:rPr>
      </w:pPr>
    </w:p>
    <w:p w14:paraId="2853EE32">
      <w:pPr>
        <w:spacing w:line="560" w:lineRule="exact"/>
        <w:ind w:left="3197" w:leftChars="718" w:hanging="1689" w:hangingChars="528"/>
        <w:rPr>
          <w:rFonts w:ascii="仿宋_GB2312" w:hAnsi="宋体" w:eastAsia="仿宋_GB2312" w:cs="Courier New"/>
          <w:sz w:val="32"/>
        </w:rPr>
      </w:pPr>
    </w:p>
    <w:p w14:paraId="3E1744EB">
      <w:pPr>
        <w:pStyle w:val="5"/>
        <w:rPr>
          <w:rFonts w:ascii="仿宋_GB2312" w:hAnsi="宋体" w:eastAsia="仿宋_GB2312" w:cs="Courier New"/>
          <w:sz w:val="32"/>
        </w:rPr>
      </w:pPr>
    </w:p>
    <w:p w14:paraId="7059D8F9">
      <w:pPr>
        <w:spacing w:line="360" w:lineRule="auto"/>
        <w:ind w:left="2019" w:leftChars="600" w:hanging="759" w:hangingChars="237"/>
        <w:jc w:val="left"/>
        <w:rPr>
          <w:rFonts w:hint="eastAsia" w:ascii="华文中宋" w:hAnsi="华文中宋" w:eastAsia="华文中宋" w:cs="华文中宋"/>
          <w:b/>
          <w:bCs/>
          <w:sz w:val="32"/>
        </w:rPr>
      </w:pPr>
    </w:p>
    <w:p w14:paraId="33E4EBE6">
      <w:pPr>
        <w:spacing w:line="360" w:lineRule="auto"/>
        <w:ind w:left="2019" w:leftChars="600" w:hanging="759" w:hangingChars="237"/>
        <w:jc w:val="left"/>
        <w:rPr>
          <w:rFonts w:hint="eastAsia" w:ascii="华文中宋" w:hAnsi="华文中宋" w:eastAsia="华文中宋" w:cs="华文中宋"/>
          <w:b/>
          <w:bCs/>
          <w:sz w:val="32"/>
        </w:rPr>
      </w:pPr>
    </w:p>
    <w:p w14:paraId="74C6A9F6">
      <w:pPr>
        <w:spacing w:line="360" w:lineRule="auto"/>
        <w:ind w:left="2019" w:leftChars="600" w:hanging="759" w:hangingChars="237"/>
        <w:jc w:val="left"/>
        <w:rPr>
          <w:rFonts w:hint="eastAsia" w:ascii="华文中宋" w:hAnsi="华文中宋" w:eastAsia="华文中宋" w:cs="华文中宋"/>
          <w:b/>
          <w:bCs/>
          <w:sz w:val="32"/>
        </w:rPr>
      </w:pPr>
    </w:p>
    <w:p w14:paraId="27F0D043">
      <w:pPr>
        <w:spacing w:line="360" w:lineRule="auto"/>
        <w:ind w:left="2019" w:leftChars="600" w:hanging="759" w:hangingChars="237"/>
        <w:jc w:val="left"/>
        <w:rPr>
          <w:rFonts w:hint="eastAsia" w:ascii="华文中宋" w:hAnsi="华文中宋" w:eastAsia="华文中宋" w:cs="华文中宋"/>
          <w:b/>
          <w:bCs/>
          <w:sz w:val="32"/>
        </w:rPr>
      </w:pPr>
    </w:p>
    <w:p w14:paraId="6379A0A1">
      <w:pPr>
        <w:spacing w:line="360" w:lineRule="auto"/>
        <w:ind w:left="2019" w:leftChars="600" w:hanging="759" w:hangingChars="237"/>
        <w:jc w:val="left"/>
        <w:rPr>
          <w:rFonts w:ascii="华文中宋" w:hAnsi="华文中宋" w:eastAsia="华文中宋" w:cs="华文中宋"/>
          <w:b/>
          <w:bCs/>
          <w:sz w:val="32"/>
        </w:rPr>
      </w:pPr>
      <w:r>
        <w:rPr>
          <w:rFonts w:hint="eastAsia" w:ascii="华文中宋" w:hAnsi="华文中宋" w:eastAsia="华文中宋" w:cs="华文中宋"/>
          <w:b/>
          <w:bCs/>
          <w:sz w:val="32"/>
        </w:rPr>
        <w:t>项目名称：</w:t>
      </w:r>
      <w:r>
        <w:rPr>
          <w:rFonts w:hint="eastAsia" w:ascii="华文中宋" w:hAnsi="华文中宋" w:eastAsia="华文中宋" w:cs="华文中宋"/>
          <w:b/>
          <w:bCs/>
          <w:sz w:val="32"/>
          <w:u w:val="single"/>
          <w:lang w:val="en-US" w:eastAsia="zh-CN"/>
        </w:rPr>
        <w:t>河套合作区全周期服务平台物料设计及制作服务</w:t>
      </w:r>
    </w:p>
    <w:p w14:paraId="5ED446FD">
      <w:pPr>
        <w:tabs>
          <w:tab w:val="left" w:pos="2940"/>
        </w:tabs>
        <w:spacing w:line="360" w:lineRule="auto"/>
        <w:ind w:left="2019" w:leftChars="600" w:hanging="759" w:hangingChars="237"/>
        <w:jc w:val="left"/>
        <w:rPr>
          <w:rFonts w:ascii="华文中宋" w:hAnsi="华文中宋" w:eastAsia="华文中宋" w:cs="华文中宋"/>
          <w:b/>
          <w:bCs/>
          <w:sz w:val="32"/>
        </w:rPr>
      </w:pPr>
      <w:r>
        <w:rPr>
          <w:rFonts w:hint="eastAsia" w:ascii="华文中宋" w:hAnsi="华文中宋" w:eastAsia="华文中宋" w:cs="华文中宋"/>
          <w:b/>
          <w:bCs/>
          <w:sz w:val="32"/>
        </w:rPr>
        <w:t>招 标 人：</w:t>
      </w:r>
      <w:r>
        <w:rPr>
          <w:rFonts w:hint="eastAsia" w:ascii="华文中宋" w:hAnsi="华文中宋" w:eastAsia="华文中宋" w:cs="华文中宋"/>
          <w:b/>
          <w:bCs/>
          <w:sz w:val="32"/>
          <w:u w:val="single"/>
        </w:rPr>
        <w:t>深圳深港科技创新合作区发展有限公司</w:t>
      </w:r>
    </w:p>
    <w:p w14:paraId="37F390AA">
      <w:pPr>
        <w:ind w:left="1543" w:leftChars="304" w:hanging="905" w:hangingChars="431"/>
      </w:pPr>
    </w:p>
    <w:p w14:paraId="4899EA48">
      <w:pPr>
        <w:pStyle w:val="2"/>
        <w:spacing w:line="560" w:lineRule="exact"/>
        <w:ind w:left="2017" w:leftChars="304" w:hanging="1379" w:hangingChars="431"/>
        <w:jc w:val="center"/>
        <w:rPr>
          <w:rFonts w:ascii="仿宋" w:hAnsi="仿宋" w:eastAsia="仿宋" w:cs="仿宋"/>
          <w:b w:val="0"/>
          <w:bCs w:val="0"/>
          <w:kern w:val="2"/>
          <w:sz w:val="32"/>
          <w:szCs w:val="20"/>
        </w:rPr>
      </w:pPr>
      <w:r>
        <w:rPr>
          <w:rFonts w:hint="eastAsia" w:ascii="仿宋" w:hAnsi="仿宋" w:eastAsia="仿宋" w:cs="仿宋"/>
          <w:b w:val="0"/>
          <w:bCs w:val="0"/>
          <w:kern w:val="2"/>
          <w:sz w:val="32"/>
          <w:szCs w:val="20"/>
        </w:rPr>
        <w:t>2026年</w:t>
      </w:r>
      <w:r>
        <w:rPr>
          <w:rFonts w:hint="eastAsia" w:ascii="仿宋" w:hAnsi="仿宋" w:eastAsia="仿宋" w:cs="仿宋"/>
          <w:b w:val="0"/>
          <w:bCs w:val="0"/>
          <w:kern w:val="2"/>
          <w:sz w:val="32"/>
          <w:szCs w:val="20"/>
          <w:lang w:val="en-US" w:eastAsia="zh-CN"/>
        </w:rPr>
        <w:t>8</w:t>
      </w:r>
      <w:r>
        <w:rPr>
          <w:rFonts w:hint="eastAsia" w:ascii="仿宋" w:hAnsi="仿宋" w:eastAsia="仿宋" w:cs="仿宋"/>
          <w:b w:val="0"/>
          <w:bCs w:val="0"/>
          <w:kern w:val="2"/>
          <w:sz w:val="32"/>
          <w:szCs w:val="20"/>
        </w:rPr>
        <w:t>月</w:t>
      </w:r>
    </w:p>
    <w:p w14:paraId="4E77DD0D">
      <w:pPr>
        <w:spacing w:line="560" w:lineRule="exact"/>
        <w:ind w:left="3031" w:leftChars="718" w:hanging="1523" w:hangingChars="476"/>
        <w:rPr>
          <w:rFonts w:ascii="仿宋_GB2312" w:hAnsi="宋体" w:eastAsia="仿宋_GB2312" w:cs="Courier New"/>
          <w:sz w:val="32"/>
        </w:rPr>
      </w:pPr>
    </w:p>
    <w:p w14:paraId="71624184">
      <w:pPr>
        <w:numPr>
          <w:ilvl w:val="0"/>
          <w:numId w:val="0"/>
        </w:numPr>
        <w:spacing w:before="159" w:beforeLines="50" w:after="63" w:afterLines="20" w:line="560" w:lineRule="exact"/>
        <w:rPr>
          <w:rFonts w:hint="eastAsia" w:ascii="黑体" w:hAnsi="黑体" w:eastAsia="黑体"/>
          <w:sz w:val="32"/>
        </w:rPr>
        <w:sectPr>
          <w:footerReference r:id="rId3" w:type="default"/>
          <w:pgSz w:w="11906" w:h="16838"/>
          <w:pgMar w:top="1240" w:right="1049" w:bottom="1440" w:left="981" w:header="851" w:footer="992" w:gutter="0"/>
          <w:cols w:space="0" w:num="1"/>
          <w:rtlGutter w:val="0"/>
          <w:docGrid w:type="lines" w:linePitch="318" w:charSpace="0"/>
        </w:sectPr>
      </w:pPr>
    </w:p>
    <w:p w14:paraId="1D12FADB">
      <w:pPr>
        <w:keepNext w:val="0"/>
        <w:keepLines w:val="0"/>
        <w:pageBreakBefore w:val="0"/>
        <w:widowControl w:val="0"/>
        <w:kinsoku/>
        <w:wordWrap/>
        <w:overflowPunct/>
        <w:topLinePunct w:val="0"/>
        <w:autoSpaceDE/>
        <w:autoSpaceDN/>
        <w:bidi w:val="0"/>
        <w:adjustRightInd/>
        <w:snapToGrid/>
        <w:spacing w:before="159" w:beforeLines="50" w:after="63" w:afterLines="20" w:line="560" w:lineRule="exact"/>
        <w:ind w:firstLine="640" w:firstLineChars="200"/>
        <w:textAlignment w:val="auto"/>
        <w:rPr>
          <w:rFonts w:hint="eastAsia" w:ascii="黑体" w:hAnsi="黑体" w:eastAsia="黑体"/>
          <w:sz w:val="32"/>
          <w:lang w:eastAsia="zh-Hans"/>
        </w:rPr>
      </w:pPr>
      <w:r>
        <w:rPr>
          <w:rFonts w:hint="eastAsia" w:ascii="黑体" w:hAnsi="黑体" w:eastAsia="黑体"/>
          <w:sz w:val="32"/>
          <w:lang w:val="en-US" w:eastAsia="zh-CN"/>
        </w:rPr>
        <w:t>一、</w:t>
      </w:r>
      <w:r>
        <w:rPr>
          <w:rFonts w:hint="eastAsia" w:ascii="黑体" w:hAnsi="黑体" w:eastAsia="黑体"/>
          <w:sz w:val="32"/>
          <w:lang w:eastAsia="zh-Hans"/>
        </w:rPr>
        <w:t>项目基本情况</w:t>
      </w:r>
    </w:p>
    <w:p w14:paraId="430A2A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河套深港科技创新合作区是粤港澳大湾区以科技创新为主题的特色平台</w:t>
      </w:r>
      <w:r>
        <w:rPr>
          <w:rFonts w:hint="eastAsia" w:ascii="宋体" w:hAnsi="宋体" w:cs="宋体"/>
          <w:sz w:val="28"/>
          <w:szCs w:val="28"/>
          <w:highlight w:val="none"/>
          <w:lang w:val="en-US" w:eastAsia="zh-CN"/>
        </w:rPr>
        <w:t>，是</w:t>
      </w:r>
      <w:r>
        <w:rPr>
          <w:rFonts w:hint="eastAsia" w:ascii="宋体" w:hAnsi="宋体" w:eastAsia="宋体" w:cs="宋体"/>
          <w:sz w:val="28"/>
          <w:szCs w:val="28"/>
          <w:highlight w:val="none"/>
          <w:lang w:val="en-US" w:eastAsia="zh-CN"/>
        </w:rPr>
        <w:t>国家“十四五”规划的粤港澳重大合作平台。2023年8月，国务院印发《河套深港科技创新合作区深圳园区发展规划》，要求高质量、高标准、高水平推进河套深港科技创新合作区深圳园区建设，积极主动与香港园区协同发展、优势互补，打造粤港澳大湾区国际科技创新中心重要极点，努力成为粤港澳大湾区高质量发展的重要引擎。2024年11月20日，香港特区政府正式公布《河套深港科技创新合作区香港园区发展纲要》，明确了香港园区重点发展方向、策略和目标，河套合作区“一区两园”实现战略协同。河套合作区地处香港特别行政区北部与深圳市中南部跨境接壤地带，是香港北部都会区与广深港科技创新走廊的天然交汇点，面积约3.89平方公里。</w:t>
      </w:r>
    </w:p>
    <w:p w14:paraId="3654C6DF">
      <w:pPr>
        <w:keepNext w:val="0"/>
        <w:keepLines w:val="0"/>
        <w:pageBreakBefore w:val="0"/>
        <w:widowControl w:val="0"/>
        <w:kinsoku/>
        <w:wordWrap/>
        <w:overflowPunct/>
        <w:topLinePunct w:val="0"/>
        <w:autoSpaceDE/>
        <w:autoSpaceDN/>
        <w:bidi w:val="0"/>
        <w:adjustRightInd/>
        <w:snapToGrid/>
        <w:spacing w:before="159" w:beforeLines="50" w:after="63" w:afterLines="20" w:line="560" w:lineRule="exact"/>
        <w:ind w:firstLine="640" w:firstLineChars="200"/>
        <w:textAlignment w:val="auto"/>
        <w:rPr>
          <w:rFonts w:ascii="黑体" w:hAnsi="黑体" w:eastAsia="黑体"/>
          <w:sz w:val="32"/>
          <w:lang w:eastAsia="zh-Hans"/>
        </w:rPr>
      </w:pPr>
      <w:r>
        <w:rPr>
          <w:rFonts w:hint="eastAsia" w:ascii="黑体" w:hAnsi="黑体" w:eastAsia="黑体"/>
          <w:sz w:val="32"/>
          <w:lang w:eastAsia="zh-Hans"/>
        </w:rPr>
        <w:t>二、采购说明及服务内容</w:t>
      </w:r>
    </w:p>
    <w:p w14:paraId="45895460">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562" w:firstLineChars="200"/>
        <w:textAlignment w:val="auto"/>
        <w:rPr>
          <w:rFonts w:ascii="楷体_GB2312" w:hAnsi="仿宋" w:eastAsia="楷体_GB2312" w:cs="仿宋"/>
          <w:b/>
          <w:bCs/>
          <w:sz w:val="28"/>
          <w:szCs w:val="28"/>
        </w:rPr>
      </w:pPr>
      <w:r>
        <w:rPr>
          <w:rFonts w:hint="eastAsia" w:ascii="楷体_GB2312" w:hAnsi="仿宋" w:eastAsia="楷体_GB2312" w:cs="仿宋"/>
          <w:b/>
          <w:bCs/>
          <w:sz w:val="28"/>
          <w:szCs w:val="28"/>
        </w:rPr>
        <w:t>（一）采购说明</w:t>
      </w:r>
    </w:p>
    <w:p w14:paraId="50A2E6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为保障河套深圳园区全周期服务平台运营工作落地，支撑入驻服务、产业服务、暖心服务、跨境服务等平台项下各类官方物料的标准化输出与及时交付，根据《河套深圳园区科创空间运营管理服务项目合同》第三条第14项“平台设计、制作费”预算安排，现通过公开招标方式选定专业设计及制作服务单位，提供全周期服务平台相关物料的创意设计、排版优化、制作及配送服务。</w:t>
      </w:r>
    </w:p>
    <w:p w14:paraId="2626FD08">
      <w:pPr>
        <w:numPr>
          <w:ilvl w:val="0"/>
          <w:numId w:val="2"/>
        </w:numPr>
        <w:spacing w:line="560" w:lineRule="exact"/>
        <w:ind w:firstLine="562" w:firstLineChars="200"/>
        <w:rPr>
          <w:rFonts w:hint="eastAsia" w:ascii="楷体_GB2312" w:hAnsi="仿宋" w:eastAsia="楷体_GB2312" w:cs="仿宋"/>
          <w:b/>
          <w:bCs/>
          <w:sz w:val="28"/>
          <w:szCs w:val="28"/>
        </w:rPr>
      </w:pPr>
      <w:r>
        <w:rPr>
          <w:rFonts w:hint="eastAsia" w:ascii="楷体_GB2312" w:hAnsi="仿宋" w:eastAsia="楷体_GB2312" w:cs="仿宋"/>
          <w:b/>
          <w:bCs/>
          <w:sz w:val="28"/>
          <w:szCs w:val="28"/>
          <w:lang w:val="en-US" w:eastAsia="zh-CN"/>
        </w:rPr>
        <w:t>招采范围及</w:t>
      </w:r>
      <w:r>
        <w:rPr>
          <w:rFonts w:hint="eastAsia" w:ascii="楷体_GB2312" w:hAnsi="仿宋" w:eastAsia="楷体_GB2312" w:cs="仿宋"/>
          <w:b/>
          <w:bCs/>
          <w:sz w:val="28"/>
          <w:szCs w:val="28"/>
        </w:rPr>
        <w:t>服务内容</w:t>
      </w:r>
    </w:p>
    <w:p w14:paraId="778B0358">
      <w:pPr>
        <w:spacing w:line="240" w:lineRule="auto"/>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为河套深圳园区提供覆盖全周期的物料设计与制作一体化服务，服务范围涵盖平台项下所有正式对外及对内使用的设计制作类物料，包括但不限于平台日常运营所需的各类手册、办事指引、服务清单、政策汇编、宣传折页、公示物料、活动配套物料等，具体根据以下服务内容执行：</w:t>
      </w:r>
    </w:p>
    <w:p w14:paraId="34B934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2" w:firstLineChars="200"/>
        <w:textAlignment w:val="auto"/>
        <w:rPr>
          <w:rFonts w:hint="default"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1.物料设计服务</w:t>
      </w:r>
    </w:p>
    <w:p w14:paraId="3C9E2F81">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rPr>
      </w:pPr>
      <w:r>
        <w:rPr>
          <w:rFonts w:hint="eastAsia" w:ascii="宋体" w:hAnsi="宋体" w:eastAsia="宋体" w:cs="宋体"/>
          <w:b/>
          <w:bCs/>
          <w:color w:val="1F2329"/>
          <w:kern w:val="0"/>
          <w:sz w:val="28"/>
          <w:szCs w:val="18"/>
          <w:highlight w:val="none"/>
        </w:rPr>
        <w:t>图文排版及手册/折页设计</w:t>
      </w:r>
    </w:p>
    <w:p w14:paraId="5E154D94">
      <w:pPr>
        <w:spacing w:line="240" w:lineRule="auto"/>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乙方依据甲方提供的文稿、素材，针对各类服务手册、办事指引、服务清单、宣传折页开展图文排版、图片处理、版式规范、全文校对工作，所有设计严格遵循园区品牌视觉规范。全新成册物料需提供不少于3套差异化风格稿，每套包含封面及内页效果图；定稿后按印刷标准制作3份实体打样，经甲方确认后方可批量印刷。</w:t>
      </w:r>
    </w:p>
    <w:p w14:paraId="3E713370">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创意视觉设计</w:t>
      </w:r>
    </w:p>
    <w:p w14:paraId="634546D7">
      <w:pPr>
        <w:spacing w:line="240" w:lineRule="auto"/>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结合园区运营节点、政策宣发、企业服务、主题活动等场景，完成物料封面主视觉、宣传海报、流程信息图表、数据可视化、公示展板等创意设计，整体风格专业统一，匹配全周期服务平台国际化科创官方定位。</w:t>
      </w:r>
    </w:p>
    <w:p w14:paraId="4FD302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2" w:firstLineChars="200"/>
        <w:textAlignment w:val="auto"/>
        <w:rPr>
          <w:rFonts w:hint="default"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2.文字内容翻译及修订服务</w:t>
      </w:r>
    </w:p>
    <w:p w14:paraId="2451F5D4">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内容修订服务</w:t>
      </w:r>
    </w:p>
    <w:p w14:paraId="2A78C16E">
      <w:pPr>
        <w:spacing w:line="240" w:lineRule="auto"/>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乙方为已定稿物料提供长期更新修订服务，包含文字增补、信息更新、图文微调等。不改动整体框架与视觉风格的基础上可提供3次简易修订，若单款物料年度修订页数超过总页数30%，超出部分按约定单价结算。</w:t>
      </w:r>
    </w:p>
    <w:p w14:paraId="0EBDE426">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文字内容翻译</w:t>
      </w:r>
    </w:p>
    <w:p w14:paraId="0A447E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面向外籍科研人员、跨境对外发布的手册、指引、公示物料，乙方配套专业中英双语翻译。翻译需由具备专业经验的机构完成，规避中式直译问题，确保英文表达贴合境外人员阅读习惯，译后同步完成双语排版与二次校对。</w:t>
      </w:r>
    </w:p>
    <w:p w14:paraId="6EA52E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2" w:firstLineChars="200"/>
        <w:textAlignment w:val="auto"/>
        <w:rPr>
          <w:rFonts w:hint="default"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3.物料制作服务</w:t>
      </w:r>
    </w:p>
    <w:p w14:paraId="44A9D960">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前置打样核验</w:t>
      </w:r>
    </w:p>
    <w:p w14:paraId="1365579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所有物料批量投产前均需提供实体打样，成册物料提供3份完整小样，打样成本包含在制作单价内，未经甲方书面确认小样不得开工生产。</w:t>
      </w:r>
    </w:p>
    <w:p w14:paraId="7D41E4B0">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批量印刷生产</w:t>
      </w:r>
    </w:p>
    <w:p w14:paraId="5A6D077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乙方严格按照甲方书面确认定稿、约定纸张规格、装订方式、烫银、UV、压痕、覆膜等工艺标准完成全流程制作，严禁私自更改材质、尺寸、色彩与工艺，成品效果须与确认小样保持统一，杜绝偏色、脏污、错漏、装订松散等缺陷。</w:t>
      </w:r>
    </w:p>
    <w:p w14:paraId="0C458033">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分批次下单规则</w:t>
      </w:r>
    </w:p>
    <w:p w14:paraId="498D555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甲方根据需求分批次下达印刷订单，所有标准物料无强制最低起订门槛，乙方不得拒绝承接任意数量订单；本项目清单内所有标准物料执行统一固定含税单价，无论单次下单数量多少，乙方不得单方面加收任何附加费用。</w:t>
      </w:r>
    </w:p>
    <w:p w14:paraId="730013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2" w:firstLineChars="200"/>
        <w:textAlignment w:val="auto"/>
        <w:rPr>
          <w:rFonts w:hint="default"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3.成果交付及验收服务</w:t>
      </w:r>
    </w:p>
    <w:p w14:paraId="39802231">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源文件交付</w:t>
      </w:r>
    </w:p>
    <w:p w14:paraId="54CADFF2">
      <w:pPr>
        <w:spacing w:line="240" w:lineRule="auto"/>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每批次设计完成后，乙方交付AI、CDR、PSD、分层可编辑PDF等全套源文件，同步提供印刷高清PDF、线上传播图片、电子阅览版文件。全部设计成果完整知识产权归甲方所有，乙方未经甲方书面许可不得商用、外借设计素材。</w:t>
      </w:r>
    </w:p>
    <w:p w14:paraId="35E5AE93">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成品配送交付</w:t>
      </w:r>
    </w:p>
    <w:p w14:paraId="016828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成品打包、运输、装卸全部费用包含在制作单价内，统一配送至甲方指定深圳点位，运输破损、丢失由乙方无条件补发，配送前同步与甲方确认收货时间并配合清点。</w:t>
      </w:r>
    </w:p>
    <w:p w14:paraId="2ACFD671">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全流程品控及售后整改</w:t>
      </w:r>
    </w:p>
    <w:p w14:paraId="15FC46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乙方实行生产前核对、生产巡检、出货全检三级品控；甲方收货后3个工作日内完成验收，若存在质量瑕疵、数量不符、与小样不一致等问题，乙方须3个工作日内无偿重做补发，全部损耗与工期损失由乙方承担。</w:t>
      </w:r>
    </w:p>
    <w:p w14:paraId="7B996167">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562" w:firstLineChars="200"/>
        <w:textAlignment w:val="auto"/>
        <w:rPr>
          <w:rFonts w:hint="eastAsia" w:ascii="宋体" w:hAnsi="宋体" w:eastAsia="宋体" w:cs="宋体"/>
          <w:b/>
          <w:bCs/>
          <w:color w:val="1F2329"/>
          <w:kern w:val="0"/>
          <w:sz w:val="28"/>
          <w:szCs w:val="18"/>
          <w:highlight w:val="none"/>
          <w:lang w:val="en-US" w:eastAsia="zh-CN"/>
        </w:rPr>
      </w:pPr>
      <w:r>
        <w:rPr>
          <w:rFonts w:hint="eastAsia" w:ascii="宋体" w:hAnsi="宋体" w:eastAsia="宋体" w:cs="宋体"/>
          <w:b/>
          <w:bCs/>
          <w:color w:val="1F2329"/>
          <w:kern w:val="0"/>
          <w:sz w:val="28"/>
          <w:szCs w:val="18"/>
          <w:highlight w:val="none"/>
          <w:lang w:val="en-US" w:eastAsia="zh-CN"/>
        </w:rPr>
        <w:t>非标物料管理</w:t>
      </w:r>
    </w:p>
    <w:p w14:paraId="78610D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异形、特殊材质、特种工艺等清单外非标物料，乙方须提前提交材质样、工艺效果图及报价明细，经甲方询价确认后方可制作，相关打样、生产、配送规则同标准物料，费用计入年度总额，年度结算不得超过2万元。</w:t>
      </w:r>
    </w:p>
    <w:p w14:paraId="7C45F6FF">
      <w:pPr>
        <w:spacing w:before="159" w:beforeLines="50" w:after="63" w:afterLines="20" w:line="560" w:lineRule="exact"/>
        <w:ind w:firstLine="640" w:firstLineChars="200"/>
        <w:rPr>
          <w:rFonts w:hint="eastAsia" w:ascii="黑体" w:hAnsi="黑体" w:eastAsia="黑体" w:cs="Times New Roman"/>
          <w:sz w:val="32"/>
        </w:rPr>
      </w:pPr>
      <w:r>
        <w:rPr>
          <w:rFonts w:hint="eastAsia" w:ascii="黑体" w:hAnsi="黑体" w:eastAsia="黑体" w:cs="Times New Roman"/>
          <w:sz w:val="32"/>
        </w:rPr>
        <w:t>三、服务期限</w:t>
      </w:r>
    </w:p>
    <w:p w14:paraId="04D1E3E0">
      <w:pPr>
        <w:pStyle w:val="36"/>
        <w:spacing w:line="560" w:lineRule="exact"/>
        <w:ind w:firstLine="560" w:firstLineChars="200"/>
        <w:jc w:val="both"/>
        <w:rPr>
          <w:rFonts w:hint="eastAsia" w:ascii="宋体" w:hAnsi="宋体" w:eastAsia="宋体" w:cs="宋体"/>
          <w:color w:val="auto"/>
          <w:kern w:val="2"/>
          <w:sz w:val="28"/>
          <w:szCs w:val="28"/>
          <w:lang w:val="en-US" w:eastAsia="zh-CN" w:bidi="ar-SA"/>
        </w:rPr>
      </w:pPr>
      <w:r>
        <w:rPr>
          <w:rFonts w:hint="eastAsia" w:cs="宋体"/>
          <w:color w:val="auto"/>
          <w:kern w:val="2"/>
          <w:sz w:val="28"/>
          <w:szCs w:val="28"/>
          <w:lang w:val="en-US" w:eastAsia="zh-CN" w:bidi="ar-SA"/>
        </w:rPr>
        <w:t>1.</w:t>
      </w:r>
      <w:r>
        <w:rPr>
          <w:rFonts w:hint="eastAsia" w:ascii="宋体" w:hAnsi="宋体" w:eastAsia="宋体" w:cs="宋体"/>
          <w:color w:val="auto"/>
          <w:kern w:val="2"/>
          <w:sz w:val="28"/>
          <w:szCs w:val="28"/>
          <w:lang w:val="en-US" w:eastAsia="zh-CN" w:bidi="ar-SA"/>
        </w:rPr>
        <w:t>服务期限自合同签订之日起至2027年4月30日止，与《河套深圳园区科创空间运营管理服务项目合同》服务周期保持一致。</w:t>
      </w:r>
    </w:p>
    <w:p w14:paraId="39BBB13E">
      <w:pPr>
        <w:pStyle w:val="36"/>
        <w:spacing w:line="560" w:lineRule="exact"/>
        <w:ind w:firstLine="560" w:firstLineChars="200"/>
        <w:jc w:val="both"/>
        <w:rPr>
          <w:rFonts w:hint="eastAsia" w:ascii="宋体" w:hAnsi="宋体" w:eastAsia="宋体" w:cs="宋体"/>
          <w:color w:val="auto"/>
          <w:kern w:val="2"/>
          <w:sz w:val="28"/>
          <w:szCs w:val="28"/>
          <w:lang w:val="en-US" w:eastAsia="zh-CN" w:bidi="ar-SA"/>
        </w:rPr>
      </w:pPr>
      <w:r>
        <w:rPr>
          <w:rFonts w:hint="eastAsia" w:cs="宋体"/>
          <w:color w:val="auto"/>
          <w:kern w:val="2"/>
          <w:sz w:val="28"/>
          <w:szCs w:val="28"/>
          <w:lang w:val="en-US" w:eastAsia="zh-CN" w:bidi="ar-SA"/>
        </w:rPr>
        <w:t>2.</w:t>
      </w:r>
      <w:r>
        <w:rPr>
          <w:rFonts w:hint="eastAsia" w:ascii="宋体" w:hAnsi="宋体" w:eastAsia="宋体" w:cs="宋体"/>
          <w:color w:val="auto"/>
          <w:kern w:val="2"/>
          <w:sz w:val="28"/>
          <w:szCs w:val="28"/>
          <w:lang w:val="en-US" w:eastAsia="zh-CN" w:bidi="ar-SA"/>
        </w:rPr>
        <w:t>履约期满，甲方对乙方服务成果综合评价</w:t>
      </w:r>
      <w:r>
        <w:rPr>
          <w:rFonts w:hint="eastAsia" w:cs="宋体"/>
          <w:color w:val="auto"/>
          <w:kern w:val="2"/>
          <w:sz w:val="28"/>
          <w:szCs w:val="28"/>
          <w:lang w:val="en-US" w:eastAsia="zh-CN" w:bidi="ar-SA"/>
        </w:rPr>
        <w:t>为良好及以上</w:t>
      </w:r>
      <w:r>
        <w:rPr>
          <w:rFonts w:hint="eastAsia" w:ascii="宋体" w:hAnsi="宋体" w:eastAsia="宋体" w:cs="宋体"/>
          <w:color w:val="auto"/>
          <w:kern w:val="2"/>
          <w:sz w:val="28"/>
          <w:szCs w:val="28"/>
          <w:lang w:val="en-US" w:eastAsia="zh-CN" w:bidi="ar-SA"/>
        </w:rPr>
        <w:t>的，甲方可选择将本合同服务期限</w:t>
      </w:r>
      <w:r>
        <w:rPr>
          <w:rFonts w:hint="eastAsia" w:cs="宋体"/>
          <w:color w:val="auto"/>
          <w:kern w:val="2"/>
          <w:sz w:val="28"/>
          <w:szCs w:val="28"/>
          <w:lang w:val="en-US" w:eastAsia="zh-CN" w:bidi="ar-SA"/>
        </w:rPr>
        <w:t>续签</w:t>
      </w:r>
      <w:r>
        <w:rPr>
          <w:rFonts w:hint="eastAsia" w:ascii="宋体" w:hAnsi="宋体" w:eastAsia="宋体" w:cs="宋体"/>
          <w:color w:val="auto"/>
          <w:kern w:val="2"/>
          <w:sz w:val="28"/>
          <w:szCs w:val="28"/>
          <w:lang w:val="en-US" w:eastAsia="zh-CN" w:bidi="ar-SA"/>
        </w:rPr>
        <w:t>1年，</w:t>
      </w:r>
      <w:r>
        <w:rPr>
          <w:rFonts w:hint="eastAsia" w:cs="宋体"/>
          <w:color w:val="auto"/>
          <w:kern w:val="2"/>
          <w:sz w:val="28"/>
          <w:szCs w:val="28"/>
          <w:lang w:val="en-US" w:eastAsia="zh-CN" w:bidi="ar-SA"/>
        </w:rPr>
        <w:t>续签后的</w:t>
      </w:r>
      <w:r>
        <w:rPr>
          <w:rFonts w:hint="eastAsia" w:ascii="宋体" w:hAnsi="宋体" w:eastAsia="宋体" w:cs="宋体"/>
          <w:color w:val="auto"/>
          <w:kern w:val="2"/>
          <w:sz w:val="28"/>
          <w:szCs w:val="28"/>
          <w:lang w:val="en-US" w:eastAsia="zh-CN" w:bidi="ar-SA"/>
        </w:rPr>
        <w:t>服务单价、工作要求、权利义务均沿用本合同现有约定。若甲方不予</w:t>
      </w:r>
      <w:r>
        <w:rPr>
          <w:rFonts w:hint="eastAsia" w:cs="宋体"/>
          <w:color w:val="auto"/>
          <w:kern w:val="2"/>
          <w:sz w:val="28"/>
          <w:szCs w:val="28"/>
          <w:lang w:val="en-US" w:eastAsia="zh-CN" w:bidi="ar-SA"/>
        </w:rPr>
        <w:t>续签</w:t>
      </w:r>
      <w:r>
        <w:rPr>
          <w:rFonts w:hint="eastAsia" w:ascii="宋体" w:hAnsi="宋体" w:eastAsia="宋体" w:cs="宋体"/>
          <w:color w:val="auto"/>
          <w:kern w:val="2"/>
          <w:sz w:val="28"/>
          <w:szCs w:val="28"/>
          <w:lang w:val="en-US" w:eastAsia="zh-CN" w:bidi="ar-SA"/>
        </w:rPr>
        <w:t>，则本合同到期自动终止，乙方不得提出异议。</w:t>
      </w:r>
    </w:p>
    <w:p w14:paraId="3F4DB406">
      <w:pPr>
        <w:spacing w:before="159" w:beforeLines="50" w:after="63" w:afterLines="20" w:line="560" w:lineRule="exact"/>
        <w:ind w:firstLine="640" w:firstLineChars="200"/>
        <w:rPr>
          <w:rFonts w:hint="default" w:ascii="黑体" w:hAnsi="黑体" w:eastAsia="黑体"/>
          <w:sz w:val="32"/>
          <w:lang w:val="en-US" w:eastAsia="zh-CN"/>
        </w:rPr>
      </w:pPr>
      <w:r>
        <w:rPr>
          <w:rFonts w:hint="eastAsia" w:ascii="黑体" w:hAnsi="黑体" w:eastAsia="黑体"/>
          <w:sz w:val="32"/>
        </w:rPr>
        <w:t>四、</w:t>
      </w:r>
      <w:r>
        <w:rPr>
          <w:rFonts w:hint="eastAsia" w:ascii="黑体" w:hAnsi="黑体" w:eastAsia="黑体"/>
          <w:sz w:val="32"/>
          <w:lang w:val="en-US" w:eastAsia="zh-CN"/>
        </w:rPr>
        <w:t>合同内容</w:t>
      </w:r>
    </w:p>
    <w:p w14:paraId="4B6E6E49">
      <w:pPr>
        <w:spacing w:line="560" w:lineRule="exact"/>
        <w:ind w:firstLine="562"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一</w:t>
      </w:r>
      <w:r>
        <w:rPr>
          <w:rFonts w:hint="eastAsia" w:ascii="宋体" w:hAnsi="宋体" w:eastAsia="宋体" w:cs="宋体"/>
          <w:b/>
          <w:bCs/>
          <w:sz w:val="28"/>
          <w:szCs w:val="28"/>
          <w:lang w:eastAsia="zh-CN"/>
        </w:rPr>
        <w:t>）</w:t>
      </w:r>
      <w:r>
        <w:rPr>
          <w:rFonts w:hint="eastAsia" w:ascii="宋体" w:hAnsi="宋体" w:cs="宋体"/>
          <w:b/>
          <w:bCs/>
          <w:sz w:val="28"/>
          <w:szCs w:val="28"/>
          <w:lang w:val="en-US" w:eastAsia="zh-CN"/>
        </w:rPr>
        <w:t>预算费用</w:t>
      </w:r>
    </w:p>
    <w:p w14:paraId="34C6059E">
      <w:pPr>
        <w:pStyle w:val="36"/>
        <w:spacing w:line="560" w:lineRule="exact"/>
        <w:ind w:firstLine="560" w:firstLineChars="200"/>
        <w:jc w:val="both"/>
        <w:rPr>
          <w:rFonts w:hint="eastAsia" w:cs="宋体"/>
          <w:color w:val="auto"/>
          <w:kern w:val="2"/>
          <w:sz w:val="28"/>
          <w:szCs w:val="28"/>
          <w:lang w:val="en-US" w:eastAsia="zh-CN" w:bidi="ar-SA"/>
        </w:rPr>
      </w:pPr>
      <w:r>
        <w:rPr>
          <w:rFonts w:hint="eastAsia" w:cs="宋体"/>
          <w:color w:val="auto"/>
          <w:kern w:val="2"/>
          <w:sz w:val="28"/>
          <w:szCs w:val="28"/>
          <w:lang w:val="en-US" w:eastAsia="zh-CN" w:bidi="ar-SA"/>
        </w:rPr>
        <w:t>本项目采用固定单价+按每季度实际发生数量据实结算。</w:t>
      </w:r>
      <w:bookmarkStart w:id="0" w:name="OLE_LINK14"/>
      <w:bookmarkStart w:id="1" w:name="OLE_LINK8"/>
      <w:r>
        <w:rPr>
          <w:rFonts w:hint="eastAsia" w:cs="宋体"/>
          <w:color w:val="auto"/>
          <w:kern w:val="2"/>
          <w:sz w:val="28"/>
          <w:szCs w:val="28"/>
          <w:lang w:val="en-US" w:eastAsia="zh-CN" w:bidi="ar-SA"/>
        </w:rPr>
        <w:t>预算总价为39万元（含暂列金2万元）包括设计输出、报价纸张、制作、装订、常规工艺，乙方将货物运至交货地点，并负责运至指定位置所需的一切费用，包括但不限于包装费、运输费、保险费、装卸费、因质量问题引起的维修和更换费用、检验后的二次搬运入库费用、打样费、成品保护工艺费、保险、保管费、验收费、检验费、利润、税金等与甲方为实现合同目的全部相关费用。合同履行过程中，如国家财税政策变化调整增值税税率的，调整税率实施后的计价及所支付的价款应按调整后的税率计算增值税，并按原依据合同基准日税率计算的相应增值税的差额调整合同价格。</w:t>
      </w:r>
    </w:p>
    <w:p w14:paraId="1D925876">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w:t>
      </w:r>
      <w:bookmarkStart w:id="2" w:name="OLE_LINK1"/>
      <w:r>
        <w:rPr>
          <w:rFonts w:hint="eastAsia" w:ascii="宋体" w:hAnsi="宋体" w:eastAsia="宋体" w:cs="宋体"/>
          <w:b/>
          <w:bCs/>
          <w:sz w:val="28"/>
          <w:szCs w:val="28"/>
        </w:rPr>
        <w:t>合同价款调整</w:t>
      </w:r>
    </w:p>
    <w:p w14:paraId="5CAB7CAB">
      <w:pPr>
        <w:spacing w:line="240" w:lineRule="auto"/>
        <w:ind w:firstLine="560" w:firstLineChars="200"/>
        <w:rPr>
          <w:rFonts w:hint="eastAsia" w:ascii="宋体" w:hAnsi="宋体" w:eastAsia="宋体" w:cs="宋体"/>
          <w:bCs w:val="0"/>
          <w:sz w:val="28"/>
          <w:szCs w:val="28"/>
          <w:lang w:val="en-US" w:eastAsia="zh-CN"/>
        </w:rPr>
      </w:pPr>
      <w:r>
        <w:rPr>
          <w:rFonts w:hint="eastAsia" w:ascii="宋体" w:hAnsi="宋体" w:eastAsia="宋体" w:cs="宋体"/>
          <w:bCs w:val="0"/>
          <w:sz w:val="28"/>
          <w:szCs w:val="28"/>
        </w:rPr>
        <w:t>（1）</w:t>
      </w:r>
      <w:r>
        <w:rPr>
          <w:rFonts w:hint="eastAsia" w:ascii="宋体" w:hAnsi="宋体" w:eastAsia="宋体" w:cs="宋体"/>
          <w:bCs w:val="0"/>
          <w:sz w:val="28"/>
          <w:szCs w:val="28"/>
          <w:lang w:val="en-US" w:eastAsia="zh-CN"/>
        </w:rPr>
        <w:t>制作费按甲方最终审定的合格成品实际数量据实结算，所有报价均为含税固定单价，服务期内单价不随印量、市场价格波动调整，常规品类不分印量区间，按单份成品计价；清单外非标物料，由乙方根据市场价格提出适当的价格，经甲方确认后执行（需三方询价）。</w:t>
      </w:r>
    </w:p>
    <w:p w14:paraId="10BF607C">
      <w:pPr>
        <w:spacing w:line="240" w:lineRule="auto"/>
        <w:ind w:firstLine="560" w:firstLineChars="200"/>
        <w:rPr>
          <w:rFonts w:hint="eastAsia" w:ascii="宋体" w:hAnsi="宋体" w:eastAsia="宋体" w:cs="宋体"/>
          <w:bCs w:val="0"/>
          <w:sz w:val="28"/>
          <w:szCs w:val="28"/>
        </w:rPr>
      </w:pPr>
      <w:r>
        <w:rPr>
          <w:rFonts w:hint="eastAsia" w:ascii="宋体" w:hAnsi="宋体" w:eastAsia="宋体" w:cs="宋体"/>
          <w:bCs w:val="0"/>
          <w:sz w:val="28"/>
          <w:szCs w:val="28"/>
          <w:lang w:val="en-US" w:eastAsia="zh-CN"/>
        </w:rPr>
        <w:t>（2）</w:t>
      </w:r>
      <w:r>
        <w:rPr>
          <w:rFonts w:hint="eastAsia" w:ascii="宋体" w:hAnsi="宋体" w:eastAsia="宋体" w:cs="宋体"/>
          <w:bCs w:val="0"/>
          <w:sz w:val="28"/>
          <w:szCs w:val="28"/>
        </w:rPr>
        <w:t>合同中已有适用于的价格，按合同已有的价格执行。</w:t>
      </w:r>
    </w:p>
    <w:p w14:paraId="5D714439">
      <w:pPr>
        <w:spacing w:line="240" w:lineRule="auto"/>
        <w:ind w:firstLine="560" w:firstLineChars="200"/>
        <w:rPr>
          <w:rFonts w:hint="eastAsia" w:ascii="宋体" w:hAnsi="宋体" w:eastAsia="宋体" w:cs="宋体"/>
          <w:bCs w:val="0"/>
          <w:sz w:val="28"/>
          <w:szCs w:val="28"/>
        </w:rPr>
      </w:pPr>
      <w:r>
        <w:rPr>
          <w:rFonts w:hint="eastAsia" w:ascii="宋体" w:hAnsi="宋体" w:eastAsia="宋体" w:cs="宋体"/>
          <w:bCs w:val="0"/>
          <w:sz w:val="28"/>
          <w:szCs w:val="28"/>
        </w:rPr>
        <w:t>（</w:t>
      </w:r>
      <w:r>
        <w:rPr>
          <w:rFonts w:hint="eastAsia" w:ascii="宋体" w:hAnsi="宋体" w:cs="宋体"/>
          <w:bCs w:val="0"/>
          <w:sz w:val="28"/>
          <w:szCs w:val="28"/>
          <w:lang w:val="en-US" w:eastAsia="zh-CN"/>
        </w:rPr>
        <w:t>3</w:t>
      </w:r>
      <w:r>
        <w:rPr>
          <w:rFonts w:hint="eastAsia" w:ascii="宋体" w:hAnsi="宋体" w:eastAsia="宋体" w:cs="宋体"/>
          <w:bCs w:val="0"/>
          <w:sz w:val="28"/>
          <w:szCs w:val="28"/>
        </w:rPr>
        <w:t>）合同中只有类似于变更的价格，可以参照类似价格执行（需三方询价）。</w:t>
      </w:r>
    </w:p>
    <w:p w14:paraId="34500AD7">
      <w:pPr>
        <w:spacing w:line="240" w:lineRule="auto"/>
        <w:ind w:firstLine="560" w:firstLineChars="200"/>
        <w:rPr>
          <w:rFonts w:hint="eastAsia" w:ascii="宋体" w:hAnsi="宋体" w:eastAsia="宋体" w:cs="宋体"/>
          <w:bCs w:val="0"/>
          <w:sz w:val="28"/>
          <w:szCs w:val="28"/>
        </w:rPr>
      </w:pPr>
      <w:r>
        <w:rPr>
          <w:rFonts w:hint="eastAsia" w:ascii="宋体" w:hAnsi="宋体" w:eastAsia="宋体" w:cs="宋体"/>
          <w:bCs w:val="0"/>
          <w:sz w:val="28"/>
          <w:szCs w:val="28"/>
        </w:rPr>
        <w:t>（</w:t>
      </w:r>
      <w:r>
        <w:rPr>
          <w:rFonts w:hint="eastAsia" w:ascii="宋体" w:hAnsi="宋体" w:cs="宋体"/>
          <w:bCs w:val="0"/>
          <w:sz w:val="28"/>
          <w:szCs w:val="28"/>
          <w:lang w:val="en-US" w:eastAsia="zh-CN"/>
        </w:rPr>
        <w:t>4</w:t>
      </w:r>
      <w:r>
        <w:rPr>
          <w:rFonts w:hint="eastAsia" w:ascii="宋体" w:hAnsi="宋体" w:eastAsia="宋体" w:cs="宋体"/>
          <w:bCs w:val="0"/>
          <w:sz w:val="28"/>
          <w:szCs w:val="28"/>
        </w:rPr>
        <w:t>）合同中没有适用或类似于变更的价格，由乙方根据市场价格提出适当的价格，经甲方确认后执行（需三方询价）。</w:t>
      </w:r>
      <w:bookmarkEnd w:id="0"/>
      <w:bookmarkEnd w:id="1"/>
      <w:bookmarkEnd w:id="2"/>
    </w:p>
    <w:p w14:paraId="4D12261C">
      <w:pPr>
        <w:spacing w:before="159" w:beforeLines="50" w:after="63" w:afterLines="20" w:line="560" w:lineRule="exact"/>
        <w:ind w:firstLine="640" w:firstLineChars="200"/>
        <w:rPr>
          <w:rFonts w:hint="default" w:ascii="黑体" w:hAnsi="黑体" w:eastAsia="黑体"/>
          <w:sz w:val="32"/>
          <w:lang w:val="en-US" w:eastAsia="zh-CN"/>
        </w:rPr>
      </w:pPr>
      <w:r>
        <w:rPr>
          <w:rFonts w:hint="eastAsia" w:ascii="黑体" w:hAnsi="黑体" w:eastAsia="黑体"/>
          <w:sz w:val="32"/>
        </w:rPr>
        <w:t>五、付款方式</w:t>
      </w:r>
      <w:r>
        <w:rPr>
          <w:rFonts w:hint="eastAsia" w:ascii="黑体" w:hAnsi="黑体" w:eastAsia="黑体"/>
          <w:sz w:val="32"/>
          <w:lang w:val="en-US" w:eastAsia="zh-CN"/>
        </w:rPr>
        <w:t>及履约评价</w:t>
      </w:r>
    </w:p>
    <w:p w14:paraId="1A63269F">
      <w:pPr>
        <w:spacing w:line="560" w:lineRule="exact"/>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付款方式</w:t>
      </w:r>
    </w:p>
    <w:p w14:paraId="024C2D74">
      <w:pPr>
        <w:spacing w:line="240" w:lineRule="auto"/>
        <w:ind w:firstLine="560" w:firstLineChars="200"/>
        <w:rPr>
          <w:rFonts w:hint="eastAsia" w:ascii="宋体" w:hAnsi="宋体" w:eastAsia="宋体" w:cs="宋体"/>
          <w:bCs w:val="0"/>
          <w:sz w:val="28"/>
          <w:szCs w:val="28"/>
        </w:rPr>
      </w:pPr>
      <w:r>
        <w:rPr>
          <w:rFonts w:hint="eastAsia" w:ascii="宋体" w:hAnsi="宋体" w:eastAsia="宋体" w:cs="宋体"/>
          <w:bCs w:val="0"/>
          <w:sz w:val="28"/>
          <w:szCs w:val="28"/>
          <w:lang w:val="en-US" w:eastAsia="zh-CN"/>
        </w:rPr>
        <w:t>1.</w:t>
      </w:r>
      <w:r>
        <w:rPr>
          <w:rFonts w:hint="eastAsia" w:ascii="宋体" w:hAnsi="宋体" w:eastAsia="宋体" w:cs="宋体"/>
          <w:bCs w:val="0"/>
          <w:sz w:val="28"/>
          <w:szCs w:val="28"/>
        </w:rPr>
        <w:t>本项目采用固定单价、据实季度结算模式。设计服务、物料制作服务费用分开列明核算，统一纳入季度结算清单。</w:t>
      </w:r>
    </w:p>
    <w:p w14:paraId="534C9009">
      <w:pPr>
        <w:spacing w:line="240" w:lineRule="auto"/>
        <w:ind w:firstLine="560" w:firstLineChars="200"/>
        <w:rPr>
          <w:rFonts w:hint="eastAsia" w:ascii="宋体" w:hAnsi="宋体" w:eastAsia="宋体" w:cs="宋体"/>
          <w:bCs w:val="0"/>
          <w:sz w:val="28"/>
          <w:szCs w:val="28"/>
        </w:rPr>
      </w:pPr>
      <w:r>
        <w:rPr>
          <w:rFonts w:hint="eastAsia" w:ascii="宋体" w:hAnsi="宋体" w:eastAsia="宋体" w:cs="宋体"/>
          <w:bCs w:val="0"/>
          <w:sz w:val="28"/>
          <w:szCs w:val="28"/>
          <w:lang w:val="en-US" w:eastAsia="zh-CN"/>
        </w:rPr>
        <w:t>2.</w:t>
      </w:r>
      <w:r>
        <w:rPr>
          <w:rFonts w:hint="eastAsia" w:ascii="宋体" w:hAnsi="宋体" w:eastAsia="宋体" w:cs="宋体"/>
          <w:bCs w:val="0"/>
          <w:sz w:val="28"/>
          <w:szCs w:val="28"/>
        </w:rPr>
        <w:t>每季度结束后10个工作日内，乙方提交该季度已验收合格</w:t>
      </w:r>
      <w:r>
        <w:rPr>
          <w:rFonts w:hint="eastAsia" w:ascii="宋体" w:hAnsi="宋体" w:eastAsia="宋体" w:cs="宋体"/>
          <w:bCs w:val="0"/>
          <w:sz w:val="28"/>
          <w:szCs w:val="28"/>
          <w:lang w:val="en-US" w:eastAsia="zh-CN"/>
        </w:rPr>
        <w:t>的设计服务与</w:t>
      </w:r>
      <w:r>
        <w:rPr>
          <w:rFonts w:hint="eastAsia" w:ascii="宋体" w:hAnsi="宋体" w:eastAsia="宋体" w:cs="宋体"/>
          <w:bCs w:val="0"/>
          <w:sz w:val="28"/>
          <w:szCs w:val="28"/>
        </w:rPr>
        <w:t>物料</w:t>
      </w:r>
      <w:r>
        <w:rPr>
          <w:rFonts w:hint="eastAsia" w:ascii="宋体" w:hAnsi="宋体" w:eastAsia="宋体" w:cs="宋体"/>
          <w:bCs w:val="0"/>
          <w:sz w:val="28"/>
          <w:szCs w:val="28"/>
          <w:lang w:val="en-US" w:eastAsia="zh-CN"/>
        </w:rPr>
        <w:t>制作</w:t>
      </w:r>
      <w:r>
        <w:rPr>
          <w:rFonts w:hint="eastAsia" w:ascii="宋体" w:hAnsi="宋体" w:eastAsia="宋体" w:cs="宋体"/>
          <w:bCs w:val="0"/>
          <w:sz w:val="28"/>
          <w:szCs w:val="28"/>
        </w:rPr>
        <w:t>的费用结算清单、对应等额正规发票及验收凭证，向甲方申请付款。</w:t>
      </w:r>
    </w:p>
    <w:p w14:paraId="27960152">
      <w:pPr>
        <w:spacing w:line="240" w:lineRule="auto"/>
        <w:ind w:firstLine="560" w:firstLineChars="200"/>
        <w:rPr>
          <w:rFonts w:hint="eastAsia" w:ascii="宋体" w:hAnsi="宋体" w:eastAsia="宋体" w:cs="宋体"/>
          <w:bCs w:val="0"/>
          <w:sz w:val="28"/>
          <w:szCs w:val="28"/>
        </w:rPr>
      </w:pPr>
      <w:r>
        <w:rPr>
          <w:rFonts w:hint="eastAsia" w:ascii="宋体" w:hAnsi="宋体" w:eastAsia="宋体" w:cs="宋体"/>
          <w:bCs w:val="0"/>
          <w:sz w:val="28"/>
          <w:szCs w:val="28"/>
          <w:lang w:val="en-US" w:eastAsia="zh-CN"/>
        </w:rPr>
        <w:t>3.</w:t>
      </w:r>
      <w:r>
        <w:rPr>
          <w:rFonts w:hint="eastAsia" w:ascii="宋体" w:hAnsi="宋体" w:eastAsia="宋体" w:cs="宋体"/>
          <w:bCs w:val="0"/>
          <w:sz w:val="28"/>
          <w:szCs w:val="28"/>
        </w:rPr>
        <w:t>甲方收到完整结算资料后1</w:t>
      </w:r>
      <w:r>
        <w:rPr>
          <w:rFonts w:hint="eastAsia" w:ascii="宋体" w:hAnsi="宋体" w:eastAsia="宋体" w:cs="宋体"/>
          <w:bCs w:val="0"/>
          <w:sz w:val="28"/>
          <w:szCs w:val="28"/>
          <w:lang w:val="en-US" w:eastAsia="zh-CN"/>
        </w:rPr>
        <w:t>5</w:t>
      </w:r>
      <w:r>
        <w:rPr>
          <w:rFonts w:hint="eastAsia" w:ascii="宋体" w:hAnsi="宋体" w:eastAsia="宋体" w:cs="宋体"/>
          <w:bCs w:val="0"/>
          <w:sz w:val="28"/>
          <w:szCs w:val="28"/>
        </w:rPr>
        <w:t>个工作日内完成审核，审核无误后按内部流程支付对应款项。每笔付款前乙方需提供符合甲方财务要求的等额增值税专用发票，发票提供逾期的，付款时间相应顺延。若乙方提交资料缺失、验收手续不全、成果存在未整改质量问题，甲方有权顺延付款，直至乙方补齐全部合规材料并完成整改。</w:t>
      </w:r>
    </w:p>
    <w:p w14:paraId="4D4F0ABD">
      <w:pPr>
        <w:spacing w:line="560" w:lineRule="exact"/>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（二）履约评价</w:t>
      </w:r>
    </w:p>
    <w:p w14:paraId="5272EFFF">
      <w:pPr>
        <w:spacing w:line="240" w:lineRule="auto"/>
        <w:ind w:firstLine="560" w:firstLineChars="200"/>
        <w:rPr>
          <w:rFonts w:hint="eastAsia" w:ascii="宋体" w:hAnsi="宋体" w:eastAsia="宋体" w:cs="宋体"/>
          <w:kern w:val="2"/>
          <w:sz w:val="28"/>
          <w:szCs w:val="28"/>
        </w:rPr>
      </w:pPr>
      <w:r>
        <w:rPr>
          <w:rFonts w:hint="eastAsia" w:ascii="宋体" w:hAnsi="宋体" w:eastAsia="宋体" w:cs="宋体"/>
          <w:bCs w:val="0"/>
          <w:sz w:val="28"/>
          <w:szCs w:val="28"/>
          <w:lang w:val="en-US" w:eastAsia="zh-CN"/>
        </w:rPr>
        <w:t>1.</w:t>
      </w:r>
      <w:r>
        <w:rPr>
          <w:rFonts w:hint="eastAsia" w:ascii="宋体" w:hAnsi="宋体" w:eastAsia="宋体" w:cs="宋体"/>
          <w:kern w:val="2"/>
          <w:sz w:val="28"/>
          <w:szCs w:val="28"/>
          <w:lang w:val="en-US" w:eastAsia="zh-CN"/>
        </w:rPr>
        <w:t>针对乙方设计输出、物料制作、交付时效、配合响应、服务态度等全维度开展履约综合评价，考核满分100分。</w:t>
      </w:r>
      <w:r>
        <w:rPr>
          <w:rFonts w:hint="eastAsia" w:ascii="宋体" w:hAnsi="宋体" w:eastAsia="宋体" w:cs="宋体"/>
          <w:kern w:val="2"/>
          <w:sz w:val="28"/>
          <w:szCs w:val="28"/>
        </w:rPr>
        <w:t>履约评价等级分为优秀、良好、合格和不合格四个等级。</w:t>
      </w:r>
    </w:p>
    <w:tbl>
      <w:tblPr>
        <w:tblStyle w:val="14"/>
        <w:tblW w:w="46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2058"/>
        <w:gridCol w:w="1519"/>
        <w:gridCol w:w="1545"/>
        <w:gridCol w:w="1418"/>
        <w:gridCol w:w="1491"/>
        <w:gridCol w:w="1363"/>
      </w:tblGrid>
      <w:tr w14:paraId="78AD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8" w:hRule="atLeast"/>
          <w:jc w:val="center"/>
        </w:trPr>
        <w:tc>
          <w:tcPr>
            <w:tcW w:w="1095" w:type="pct"/>
            <w:vAlign w:val="center"/>
          </w:tcPr>
          <w:p w14:paraId="562C2370">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履约评价得分</w:t>
            </w:r>
          </w:p>
        </w:tc>
        <w:tc>
          <w:tcPr>
            <w:tcW w:w="808" w:type="pct"/>
            <w:vAlign w:val="center"/>
          </w:tcPr>
          <w:p w14:paraId="4EBD3BC2">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90-100分</w:t>
            </w:r>
          </w:p>
        </w:tc>
        <w:tc>
          <w:tcPr>
            <w:tcW w:w="822" w:type="pct"/>
            <w:vAlign w:val="center"/>
          </w:tcPr>
          <w:p w14:paraId="1035FC21">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80-89分</w:t>
            </w:r>
          </w:p>
        </w:tc>
        <w:tc>
          <w:tcPr>
            <w:tcW w:w="754" w:type="pct"/>
            <w:vAlign w:val="center"/>
          </w:tcPr>
          <w:p w14:paraId="2A9AE4A0">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70-79分</w:t>
            </w:r>
          </w:p>
        </w:tc>
        <w:tc>
          <w:tcPr>
            <w:tcW w:w="793" w:type="pct"/>
            <w:vAlign w:val="center"/>
          </w:tcPr>
          <w:p w14:paraId="1C79BA68">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lang w:val="en-US" w:eastAsia="zh-CN"/>
              </w:rPr>
              <w:t>6</w:t>
            </w:r>
            <w:r>
              <w:rPr>
                <w:rFonts w:hint="eastAsia" w:ascii="宋体" w:hAnsi="宋体" w:eastAsia="宋体" w:cs="宋体"/>
                <w:snapToGrid w:val="0"/>
                <w:kern w:val="0"/>
                <w:sz w:val="28"/>
                <w:szCs w:val="28"/>
              </w:rPr>
              <w:t>0-</w:t>
            </w:r>
            <w:r>
              <w:rPr>
                <w:rFonts w:hint="eastAsia" w:ascii="宋体" w:hAnsi="宋体" w:eastAsia="宋体" w:cs="宋体"/>
                <w:snapToGrid w:val="0"/>
                <w:kern w:val="0"/>
                <w:sz w:val="28"/>
                <w:szCs w:val="28"/>
                <w:lang w:val="en-US" w:eastAsia="zh-CN"/>
              </w:rPr>
              <w:t>6</w:t>
            </w:r>
            <w:r>
              <w:rPr>
                <w:rFonts w:hint="eastAsia" w:ascii="宋体" w:hAnsi="宋体" w:eastAsia="宋体" w:cs="宋体"/>
                <w:snapToGrid w:val="0"/>
                <w:kern w:val="0"/>
                <w:sz w:val="28"/>
                <w:szCs w:val="28"/>
              </w:rPr>
              <w:t>9分</w:t>
            </w:r>
          </w:p>
        </w:tc>
        <w:tc>
          <w:tcPr>
            <w:tcW w:w="725" w:type="pct"/>
            <w:vAlign w:val="center"/>
          </w:tcPr>
          <w:p w14:paraId="02360916">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0-</w:t>
            </w:r>
            <w:r>
              <w:rPr>
                <w:rFonts w:hint="eastAsia" w:ascii="宋体" w:hAnsi="宋体" w:cs="宋体"/>
                <w:snapToGrid w:val="0"/>
                <w:kern w:val="0"/>
                <w:sz w:val="28"/>
                <w:szCs w:val="28"/>
                <w:lang w:val="en-US" w:eastAsia="zh-CN"/>
              </w:rPr>
              <w:t>59</w:t>
            </w:r>
            <w:r>
              <w:rPr>
                <w:rFonts w:hint="eastAsia" w:ascii="宋体" w:hAnsi="宋体" w:eastAsia="宋体" w:cs="宋体"/>
                <w:snapToGrid w:val="0"/>
                <w:kern w:val="0"/>
                <w:sz w:val="28"/>
                <w:szCs w:val="28"/>
              </w:rPr>
              <w:t>分</w:t>
            </w:r>
          </w:p>
        </w:tc>
      </w:tr>
      <w:tr w14:paraId="459A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 w:hRule="atLeast"/>
          <w:jc w:val="center"/>
        </w:trPr>
        <w:tc>
          <w:tcPr>
            <w:tcW w:w="1095" w:type="pct"/>
            <w:vAlign w:val="center"/>
          </w:tcPr>
          <w:p w14:paraId="4D39879D">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分级</w:t>
            </w:r>
          </w:p>
        </w:tc>
        <w:tc>
          <w:tcPr>
            <w:tcW w:w="808" w:type="pct"/>
            <w:vAlign w:val="center"/>
          </w:tcPr>
          <w:p w14:paraId="526A783F">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优秀</w:t>
            </w:r>
          </w:p>
        </w:tc>
        <w:tc>
          <w:tcPr>
            <w:tcW w:w="822" w:type="pct"/>
            <w:vAlign w:val="center"/>
          </w:tcPr>
          <w:p w14:paraId="2A651DDE">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良好</w:t>
            </w:r>
          </w:p>
        </w:tc>
        <w:tc>
          <w:tcPr>
            <w:tcW w:w="754" w:type="pct"/>
            <w:vAlign w:val="center"/>
          </w:tcPr>
          <w:p w14:paraId="393E8ABC">
            <w:pPr>
              <w:pStyle w:val="22"/>
              <w:jc w:val="center"/>
              <w:rPr>
                <w:rFonts w:hint="eastAsia" w:ascii="宋体" w:hAnsi="宋体" w:eastAsia="宋体" w:cs="宋体"/>
                <w:snapToGrid w:val="0"/>
                <w:kern w:val="0"/>
                <w:sz w:val="28"/>
                <w:szCs w:val="28"/>
                <w:lang w:eastAsia="zh-CN"/>
              </w:rPr>
            </w:pPr>
            <w:r>
              <w:rPr>
                <w:rFonts w:hint="eastAsia" w:ascii="宋体" w:hAnsi="宋体" w:eastAsia="宋体" w:cs="宋体"/>
                <w:snapToGrid w:val="0"/>
                <w:kern w:val="0"/>
                <w:sz w:val="28"/>
                <w:szCs w:val="28"/>
                <w:lang w:val="en-US" w:eastAsia="zh-CN"/>
              </w:rPr>
              <w:t>一般</w:t>
            </w:r>
          </w:p>
        </w:tc>
        <w:tc>
          <w:tcPr>
            <w:tcW w:w="793" w:type="pct"/>
            <w:vAlign w:val="center"/>
          </w:tcPr>
          <w:p w14:paraId="46DCC3A6">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合格</w:t>
            </w:r>
          </w:p>
        </w:tc>
        <w:tc>
          <w:tcPr>
            <w:tcW w:w="725" w:type="pct"/>
            <w:vAlign w:val="center"/>
          </w:tcPr>
          <w:p w14:paraId="627DC36B">
            <w:pPr>
              <w:pStyle w:val="22"/>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不合格</w:t>
            </w:r>
          </w:p>
        </w:tc>
      </w:tr>
    </w:tbl>
    <w:p w14:paraId="023EDC6C">
      <w:pPr>
        <w:spacing w:line="240" w:lineRule="auto"/>
        <w:ind w:firstLine="560" w:firstLineChars="200"/>
        <w:rPr>
          <w:rFonts w:hint="eastAsia" w:ascii="宋体" w:hAnsi="宋体" w:eastAsia="宋体" w:cs="宋体"/>
          <w:bCs w:val="0"/>
          <w:sz w:val="28"/>
          <w:szCs w:val="28"/>
          <w:lang w:val="en-US" w:eastAsia="zh-CN"/>
        </w:rPr>
      </w:pPr>
      <w:r>
        <w:rPr>
          <w:rFonts w:hint="eastAsia" w:ascii="宋体" w:hAnsi="宋体" w:eastAsia="宋体" w:cs="宋体"/>
          <w:bCs w:val="0"/>
          <w:sz w:val="28"/>
          <w:szCs w:val="28"/>
          <w:lang w:val="en-US" w:eastAsia="zh-CN"/>
        </w:rPr>
        <w:t>2.甲方对乙方进行季度履约评价考核。根据履约评价考核结果，相应调整该季度结算价格：</w:t>
      </w:r>
    </w:p>
    <w:p w14:paraId="47FF85F9">
      <w:pPr>
        <w:spacing w:line="240" w:lineRule="auto"/>
        <w:ind w:firstLine="560" w:firstLineChars="200"/>
        <w:rPr>
          <w:rFonts w:hint="eastAsia" w:ascii="宋体" w:hAnsi="宋体" w:eastAsia="宋体" w:cs="宋体"/>
          <w:bCs w:val="0"/>
          <w:sz w:val="28"/>
          <w:szCs w:val="28"/>
          <w:lang w:eastAsia="zh-CN"/>
        </w:rPr>
      </w:pPr>
      <w:r>
        <w:rPr>
          <w:rFonts w:hint="eastAsia" w:ascii="宋体" w:hAnsi="宋体" w:eastAsia="宋体" w:cs="宋体"/>
          <w:bCs w:val="0"/>
          <w:sz w:val="28"/>
          <w:szCs w:val="28"/>
          <w:lang w:val="en-US" w:eastAsia="zh-CN"/>
        </w:rPr>
        <w:t>（1）评价等级为不合格的</w:t>
      </w:r>
      <w:r>
        <w:rPr>
          <w:rFonts w:hint="eastAsia" w:ascii="宋体" w:hAnsi="宋体" w:eastAsia="宋体" w:cs="宋体"/>
          <w:bCs w:val="0"/>
          <w:sz w:val="28"/>
          <w:szCs w:val="28"/>
          <w:lang w:eastAsia="zh-CN"/>
        </w:rPr>
        <w:t>，扣除该</w:t>
      </w:r>
      <w:r>
        <w:rPr>
          <w:rFonts w:hint="eastAsia" w:ascii="宋体" w:hAnsi="宋体" w:eastAsia="宋体" w:cs="宋体"/>
          <w:bCs w:val="0"/>
          <w:sz w:val="28"/>
          <w:szCs w:val="28"/>
          <w:lang w:val="en-US" w:eastAsia="zh-CN"/>
        </w:rPr>
        <w:t>批次货款</w:t>
      </w:r>
      <w:r>
        <w:rPr>
          <w:rFonts w:hint="eastAsia" w:ascii="宋体" w:hAnsi="宋体" w:eastAsia="宋体" w:cs="宋体"/>
          <w:bCs w:val="0"/>
          <w:sz w:val="28"/>
          <w:szCs w:val="28"/>
          <w:lang w:eastAsia="zh-CN"/>
        </w:rPr>
        <w:t>结算含税总价10%；</w:t>
      </w:r>
    </w:p>
    <w:p w14:paraId="1A06F206">
      <w:pPr>
        <w:spacing w:line="240" w:lineRule="auto"/>
        <w:ind w:firstLine="560" w:firstLineChars="200"/>
        <w:rPr>
          <w:rFonts w:hint="eastAsia" w:ascii="宋体" w:hAnsi="宋体" w:eastAsia="宋体" w:cs="宋体"/>
          <w:bCs w:val="0"/>
          <w:sz w:val="28"/>
          <w:szCs w:val="28"/>
          <w:lang w:eastAsia="zh-CN"/>
        </w:rPr>
      </w:pPr>
      <w:r>
        <w:rPr>
          <w:rFonts w:hint="eastAsia" w:ascii="宋体" w:hAnsi="宋体" w:eastAsia="宋体" w:cs="宋体"/>
          <w:bCs w:val="0"/>
          <w:sz w:val="28"/>
          <w:szCs w:val="28"/>
        </w:rPr>
        <w:t>（</w:t>
      </w:r>
      <w:r>
        <w:rPr>
          <w:rFonts w:hint="eastAsia" w:ascii="宋体" w:hAnsi="宋体" w:eastAsia="宋体" w:cs="宋体"/>
          <w:bCs w:val="0"/>
          <w:sz w:val="28"/>
          <w:szCs w:val="28"/>
          <w:lang w:val="en-US" w:eastAsia="zh-CN"/>
        </w:rPr>
        <w:t>2</w:t>
      </w:r>
      <w:r>
        <w:rPr>
          <w:rFonts w:hint="eastAsia" w:ascii="宋体" w:hAnsi="宋体" w:eastAsia="宋体" w:cs="宋体"/>
          <w:bCs w:val="0"/>
          <w:sz w:val="28"/>
          <w:szCs w:val="28"/>
        </w:rPr>
        <w:t>）</w:t>
      </w:r>
      <w:r>
        <w:rPr>
          <w:rFonts w:hint="eastAsia" w:ascii="宋体" w:hAnsi="宋体" w:eastAsia="宋体" w:cs="宋体"/>
          <w:bCs w:val="0"/>
          <w:sz w:val="28"/>
          <w:szCs w:val="28"/>
          <w:lang w:eastAsia="zh-CN"/>
        </w:rPr>
        <w:t>评价等级为合格的，扣除该</w:t>
      </w:r>
      <w:r>
        <w:rPr>
          <w:rFonts w:hint="eastAsia" w:ascii="宋体" w:hAnsi="宋体" w:eastAsia="宋体" w:cs="宋体"/>
          <w:bCs w:val="0"/>
          <w:sz w:val="28"/>
          <w:szCs w:val="28"/>
          <w:lang w:val="en-US" w:eastAsia="zh-CN"/>
        </w:rPr>
        <w:t>批次货款</w:t>
      </w:r>
      <w:r>
        <w:rPr>
          <w:rFonts w:hint="eastAsia" w:ascii="宋体" w:hAnsi="宋体" w:eastAsia="宋体" w:cs="宋体"/>
          <w:bCs w:val="0"/>
          <w:sz w:val="28"/>
          <w:szCs w:val="28"/>
          <w:lang w:eastAsia="zh-CN"/>
        </w:rPr>
        <w:t>结算含税总价5%；</w:t>
      </w:r>
    </w:p>
    <w:p w14:paraId="78480606">
      <w:pPr>
        <w:spacing w:line="240" w:lineRule="auto"/>
        <w:ind w:firstLine="560" w:firstLineChars="200"/>
        <w:rPr>
          <w:rFonts w:hint="eastAsia" w:ascii="宋体" w:hAnsi="宋体" w:eastAsia="宋体" w:cs="宋体"/>
          <w:bCs w:val="0"/>
          <w:sz w:val="28"/>
          <w:szCs w:val="28"/>
          <w:lang w:eastAsia="zh-CN"/>
        </w:rPr>
      </w:pPr>
      <w:r>
        <w:rPr>
          <w:rFonts w:hint="eastAsia" w:ascii="宋体" w:hAnsi="宋体" w:eastAsia="宋体" w:cs="宋体"/>
          <w:bCs w:val="0"/>
          <w:sz w:val="28"/>
          <w:szCs w:val="28"/>
        </w:rPr>
        <w:t>（</w:t>
      </w:r>
      <w:r>
        <w:rPr>
          <w:rFonts w:hint="eastAsia" w:ascii="宋体" w:hAnsi="宋体" w:eastAsia="宋体" w:cs="宋体"/>
          <w:bCs w:val="0"/>
          <w:sz w:val="28"/>
          <w:szCs w:val="28"/>
          <w:lang w:val="en-US" w:eastAsia="zh-CN"/>
        </w:rPr>
        <w:t>3</w:t>
      </w:r>
      <w:r>
        <w:rPr>
          <w:rFonts w:hint="eastAsia" w:ascii="宋体" w:hAnsi="宋体" w:eastAsia="宋体" w:cs="宋体"/>
          <w:bCs w:val="0"/>
          <w:sz w:val="28"/>
          <w:szCs w:val="28"/>
        </w:rPr>
        <w:t>）</w:t>
      </w:r>
      <w:r>
        <w:rPr>
          <w:rFonts w:hint="eastAsia" w:ascii="宋体" w:hAnsi="宋体" w:eastAsia="宋体" w:cs="宋体"/>
          <w:bCs w:val="0"/>
          <w:sz w:val="28"/>
          <w:szCs w:val="28"/>
          <w:lang w:eastAsia="zh-CN"/>
        </w:rPr>
        <w:t>评价等级为良好及以上，不扣款。</w:t>
      </w:r>
    </w:p>
    <w:p w14:paraId="3BEC2156">
      <w:pPr>
        <w:spacing w:before="0" w:beforeLines="0" w:after="0" w:afterLines="0" w:line="240" w:lineRule="auto"/>
        <w:ind w:firstLine="640" w:firstLineChars="200"/>
        <w:rPr>
          <w:rFonts w:hint="eastAsia" w:ascii="黑体" w:hAnsi="黑体" w:eastAsia="黑体" w:cs="Times New Roman"/>
          <w:sz w:val="32"/>
          <w:lang w:val="en-US" w:eastAsia="zh-CN"/>
        </w:rPr>
      </w:pPr>
      <w:r>
        <w:rPr>
          <w:rFonts w:hint="eastAsia" w:ascii="黑体" w:hAnsi="黑体" w:eastAsia="黑体" w:cs="Times New Roman"/>
          <w:sz w:val="32"/>
          <w:lang w:val="en-US" w:eastAsia="zh-CN"/>
        </w:rPr>
        <w:t>六、团队配置要求</w:t>
      </w:r>
    </w:p>
    <w:p w14:paraId="1409AE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1.乙方需配置专属项目对接团队，至少包含项目负责人1名、资深设计师2名、对接专员1名，保障服务响应效率。</w:t>
      </w:r>
    </w:p>
    <w:p w14:paraId="10A242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2.项目负责人须具备3年以上政务/产业园区类物料设计及制作服务经验，熟悉官方物料的设计规范与交付要求。</w:t>
      </w:r>
    </w:p>
    <w:p w14:paraId="6FF77A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color w:val="auto"/>
          <w:sz w:val="28"/>
          <w:szCs w:val="28"/>
          <w:highlight w:val="none"/>
          <w:lang w:val="en-US" w:eastAsia="zh-CN"/>
        </w:rPr>
        <w:t>3.团队成员应为乙方自有员工或与乙方签订劳动合同的人员，提供近3个月社保证明，服务</w:t>
      </w:r>
      <w:r>
        <w:rPr>
          <w:rFonts w:hint="eastAsia" w:ascii="宋体" w:hAnsi="宋体" w:eastAsia="宋体" w:cs="宋体"/>
          <w:sz w:val="28"/>
          <w:szCs w:val="28"/>
          <w:highlight w:val="none"/>
          <w:lang w:val="en-US" w:eastAsia="zh-CN"/>
        </w:rPr>
        <w:t>期内团队人员保持稳定，如需更换核心人员，需提前10个工作日书面通知甲方，并提供同等资质人员备选，经甲方同意后方可更换。</w:t>
      </w:r>
    </w:p>
    <w:p w14:paraId="107889C4">
      <w:pPr>
        <w:spacing w:before="0" w:beforeLines="0" w:after="0" w:afterLines="0" w:line="240" w:lineRule="auto"/>
        <w:ind w:firstLine="640" w:firstLineChars="200"/>
        <w:rPr>
          <w:rFonts w:hint="eastAsia" w:ascii="黑体" w:hAnsi="黑体" w:eastAsia="黑体"/>
          <w:sz w:val="32"/>
        </w:rPr>
      </w:pPr>
      <w:r>
        <w:rPr>
          <w:rFonts w:hint="eastAsia" w:ascii="黑体" w:hAnsi="黑体" w:eastAsia="黑体"/>
          <w:sz w:val="32"/>
          <w:lang w:val="en-US" w:eastAsia="zh-CN"/>
        </w:rPr>
        <w:t>七</w:t>
      </w:r>
      <w:r>
        <w:rPr>
          <w:rFonts w:hint="eastAsia" w:ascii="黑体" w:hAnsi="黑体" w:eastAsia="黑体"/>
          <w:sz w:val="32"/>
        </w:rPr>
        <w:t>、服务要求</w:t>
      </w:r>
    </w:p>
    <w:p w14:paraId="1639F3B8">
      <w:pPr>
        <w:numPr>
          <w:ilvl w:val="0"/>
          <w:numId w:val="0"/>
        </w:numPr>
        <w:spacing w:line="560" w:lineRule="exact"/>
        <w:ind w:left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（一）版权要求</w:t>
      </w:r>
    </w:p>
    <w:p w14:paraId="5C8C19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1.乙方全部设计素材均具备合法商用授权，原创插画、图表独立创作，无版权侵权风险，甲方可随时核验版权证明。乙方执行自检、负责人复核、终稿全查三级校对，杜绝错字、数据错误、图文错位等问题。</w:t>
      </w:r>
    </w:p>
    <w:p w14:paraId="21D2A7D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2.乙方承诺所有设计使用的图片、字体、插画等素材均拥有合法授权，不存在任何知识产权纠纷；如因版权问题产生纠纷，由乙方承担全部法律责任与经济损失。</w:t>
      </w:r>
    </w:p>
    <w:p w14:paraId="6FE35449">
      <w:pPr>
        <w:numPr>
          <w:ilvl w:val="0"/>
          <w:numId w:val="0"/>
        </w:numPr>
        <w:spacing w:line="560" w:lineRule="exact"/>
        <w:ind w:left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（二）交付周期要求</w:t>
      </w:r>
    </w:p>
    <w:p w14:paraId="1631F1A9">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958"/>
        </w:tabs>
        <w:kinsoku/>
        <w:wordWrap/>
        <w:overflowPunct/>
        <w:topLinePunct w:val="0"/>
        <w:autoSpaceDE/>
        <w:autoSpaceDN/>
        <w:bidi w:val="0"/>
        <w:spacing w:line="560" w:lineRule="exact"/>
        <w:ind w:firstLine="560" w:firstLineChars="200"/>
        <w:jc w:val="both"/>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1.常规物料设计：甲方提供完整素材后，3个工作日内提交初稿；</w:t>
      </w:r>
    </w:p>
    <w:p w14:paraId="59779024">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958"/>
        </w:tabs>
        <w:kinsoku/>
        <w:wordWrap/>
        <w:overflowPunct/>
        <w:topLinePunct w:val="0"/>
        <w:autoSpaceDE/>
        <w:autoSpaceDN/>
        <w:bidi w:val="0"/>
        <w:spacing w:line="560" w:lineRule="exact"/>
        <w:ind w:firstLine="560" w:firstLineChars="200"/>
        <w:jc w:val="both"/>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2.印刷制作：甲方确认定稿及打样后，5个工作日内完成批量制作并配送到位；</w:t>
      </w:r>
    </w:p>
    <w:p w14:paraId="3FE31DE5">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tabs>
          <w:tab w:val="left" w:pos="958"/>
        </w:tabs>
        <w:kinsoku/>
        <w:wordWrap/>
        <w:overflowPunct/>
        <w:topLinePunct w:val="0"/>
        <w:autoSpaceDE/>
        <w:autoSpaceDN/>
        <w:bidi w:val="0"/>
        <w:spacing w:line="560" w:lineRule="exact"/>
        <w:ind w:firstLine="560" w:firstLineChars="200"/>
        <w:jc w:val="both"/>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3.紧急物料：甲方提出加急需求后，双方协商加急工期，乙方优先保障交付。</w:t>
      </w:r>
    </w:p>
    <w:p w14:paraId="7F2BDF0B">
      <w:pPr>
        <w:numPr>
          <w:ilvl w:val="0"/>
          <w:numId w:val="0"/>
        </w:numPr>
        <w:spacing w:line="560" w:lineRule="exact"/>
        <w:ind w:left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（三）质量要求</w:t>
      </w:r>
    </w:p>
    <w:p w14:paraId="1FCE0E8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1.乙方严格按照甲方提供的内容、尺寸、材料和数量等要求制作；</w:t>
      </w:r>
    </w:p>
    <w:p w14:paraId="4012F3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2.画面清晰，平整，不褪色、不变色，不露白，无皱褶、波浪、污迹；</w:t>
      </w:r>
    </w:p>
    <w:p w14:paraId="21F4E6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3.排版正确，不出现错印、漏印、缺页、版面不清晰整洁、字迹不清、退色、皱褶、污迹、装订及色彩不当等，成品质量按现行国家标准GB/T 7705-2008《平版装潢印刷品》执行。</w:t>
      </w:r>
    </w:p>
    <w:p w14:paraId="5CEDF2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印刷制作服务应满足本技术规范书及国家和地方规定的标准和规范进行生产。若在设计和生产中应用的某项标准或规范在本技术规范书中没有规定，则乙方应详细说明其采用的标准和规范，并提供给甲方。只有当其采用的标准和规范是国际公认的、惯用的，且等于或优于本技术要求书的要求时，此标准或规范才能为甲方所接受。</w:t>
      </w:r>
    </w:p>
    <w:p w14:paraId="6B782A90">
      <w:pPr>
        <w:spacing w:line="560" w:lineRule="exact"/>
        <w:ind w:firstLine="562" w:firstLineChars="200"/>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四</w:t>
      </w:r>
      <w:r>
        <w:rPr>
          <w:rFonts w:hint="eastAsia" w:ascii="宋体" w:hAnsi="宋体" w:cs="宋体"/>
          <w:b/>
          <w:bCs/>
          <w:sz w:val="28"/>
          <w:szCs w:val="28"/>
          <w:lang w:eastAsia="zh-CN"/>
        </w:rPr>
        <w:t>）</w:t>
      </w:r>
      <w:r>
        <w:rPr>
          <w:rFonts w:hint="eastAsia" w:ascii="宋体" w:hAnsi="宋体" w:eastAsia="宋体" w:cs="宋体"/>
          <w:b/>
          <w:bCs/>
          <w:sz w:val="28"/>
          <w:szCs w:val="28"/>
        </w:rPr>
        <w:t>验收要求</w:t>
      </w:r>
    </w:p>
    <w:p w14:paraId="55974B4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乙方完成单批次设计或制作交付后，同步提交对应交付成果、验收单供甲方核验。设计成果以甲方书面签字确认为验收合格依据；印刷成品送达指定地点后，甲方需完成数量、材质、工艺、图文内容全项查验，存在错印、瑕疵、数量短缺等问题的，甲方提出整改退换要求，乙方须3个工作日内无偿完成重做配送；季度结算时，乙方需归集当期全部验收确认单据作为结算配套凭证，无有效验收单据的对应批次费用甲方不予核算支付。</w:t>
      </w:r>
    </w:p>
    <w:p w14:paraId="5F3A64B4">
      <w:pPr>
        <w:spacing w:line="560" w:lineRule="exact"/>
        <w:ind w:firstLine="562" w:firstLineChars="200"/>
        <w:rPr>
          <w:rFonts w:hint="default" w:ascii="宋体" w:hAnsi="宋体" w:eastAsia="宋体" w:cs="宋体"/>
          <w:sz w:val="28"/>
          <w:szCs w:val="28"/>
          <w:highlight w:val="none"/>
          <w:u w:val="none"/>
          <w:lang w:val="en-US" w:eastAsia="zh-CN"/>
        </w:rPr>
      </w:pPr>
      <w:r>
        <w:rPr>
          <w:rFonts w:hint="eastAsia" w:ascii="宋体" w:hAnsi="宋体" w:cs="宋体"/>
          <w:b/>
          <w:bCs/>
          <w:sz w:val="28"/>
          <w:szCs w:val="28"/>
          <w:lang w:val="en-US" w:eastAsia="zh-CN"/>
        </w:rPr>
        <w:t>（五）其他要求</w:t>
      </w:r>
      <w:bookmarkStart w:id="3" w:name="_GoBack"/>
      <w:bookmarkEnd w:id="3"/>
    </w:p>
    <w:p w14:paraId="1EBFED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color w:val="auto"/>
          <w:sz w:val="28"/>
          <w:szCs w:val="28"/>
          <w:highlight w:val="none"/>
          <w:u w:val="none"/>
          <w:lang w:val="en-US" w:eastAsia="zh-CN"/>
        </w:rPr>
      </w:pPr>
      <w:r>
        <w:rPr>
          <w:rFonts w:hint="eastAsia" w:ascii="宋体" w:hAnsi="宋体" w:cs="宋体"/>
          <w:color w:val="auto"/>
          <w:sz w:val="28"/>
          <w:szCs w:val="28"/>
          <w:highlight w:val="none"/>
          <w:u w:val="none"/>
          <w:lang w:val="en-US" w:eastAsia="zh-CN"/>
        </w:rPr>
        <w:t>1</w:t>
      </w:r>
      <w:r>
        <w:rPr>
          <w:rFonts w:hint="eastAsia" w:ascii="宋体" w:hAnsi="宋体" w:eastAsia="宋体" w:cs="宋体"/>
          <w:color w:val="auto"/>
          <w:sz w:val="28"/>
          <w:szCs w:val="28"/>
          <w:highlight w:val="none"/>
          <w:u w:val="none"/>
          <w:lang w:val="en-US" w:eastAsia="zh-CN"/>
        </w:rPr>
        <w:t>.紧急物料设计保障</w:t>
      </w:r>
    </w:p>
    <w:p w14:paraId="66BFA0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乙方设立应急设计响应机制，月度常规加急需求平均不超过1次；工作日收到紧急公示、会议物料、临时宣传需求，须在4小时内出具初稿；非工作时段紧急需求，须在12小时内专人对接出稿，加急设计同步优先打样、优先排产，常规加急不收取额外加急费。</w:t>
      </w:r>
    </w:p>
    <w:p w14:paraId="609A93DA">
      <w:pPr>
        <w:ind w:firstLine="560" w:firstLineChars="200"/>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2.品牌规范要求</w:t>
      </w:r>
    </w:p>
    <w:p w14:paraId="2297FB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所有设计物料需严格遵循河套深港科技创新合作区及全周期服务平台的视觉品牌规范，保持风格统一、形象专业，符合官方物料的正式性要求。</w:t>
      </w:r>
    </w:p>
    <w:p w14:paraId="34F68C51">
      <w:pPr>
        <w:ind w:firstLine="560" w:firstLineChars="200"/>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3.视觉要求</w:t>
      </w:r>
    </w:p>
    <w:p w14:paraId="6A012B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所有对外宣传物料色彩、质感兼顾深圳、香港两地商务高端审美，杜绝高反光亮光纸面、浓烈廉价商业化配色；色彩柔和温润，实拍图文还原准确，适配跨境政企、外籍科研人员阅读观感。</w:t>
      </w:r>
    </w:p>
    <w:p w14:paraId="62146A92">
      <w:pPr>
        <w:ind w:firstLine="560" w:firstLineChars="200"/>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4.保密要求</w:t>
      </w:r>
    </w:p>
    <w:p w14:paraId="4A1E08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乙方对服务过程中接触的园区内部文件、企业信息、政策资料等内容负有保密义务，未经甲方同意不得向任何第三方泄露。</w:t>
      </w:r>
    </w:p>
    <w:p w14:paraId="2017E508">
      <w:pPr>
        <w:spacing w:before="159" w:beforeLines="50" w:after="63" w:afterLines="20" w:line="560" w:lineRule="exact"/>
        <w:ind w:firstLine="640" w:firstLineChars="200"/>
        <w:rPr>
          <w:rFonts w:hint="eastAsia" w:ascii="黑体" w:hAnsi="黑体" w:eastAsia="黑体"/>
          <w:sz w:val="32"/>
        </w:rPr>
      </w:pPr>
      <w:r>
        <w:rPr>
          <w:rFonts w:hint="eastAsia" w:ascii="黑体" w:hAnsi="黑体" w:eastAsia="黑体"/>
          <w:sz w:val="32"/>
          <w:lang w:val="en-US" w:eastAsia="zh-CN"/>
        </w:rPr>
        <w:t>八</w:t>
      </w:r>
      <w:r>
        <w:rPr>
          <w:rFonts w:hint="eastAsia" w:ascii="黑体" w:hAnsi="黑体" w:eastAsia="黑体"/>
          <w:sz w:val="32"/>
        </w:rPr>
        <w:t>、违约责任</w:t>
      </w:r>
    </w:p>
    <w:p w14:paraId="0755C9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乙方逾期交付设计成果及物料的，每逾期一日按合同总价款的3‰向甲方支付违约金。逾期达5日，甲方有权解除合同，并要求乙方按照合同总价款的20%支付违约金。由此给甲方造成损失的，乙方还应当赔偿损失。</w:t>
      </w:r>
    </w:p>
    <w:p w14:paraId="5A3EA15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2.乙方交付的产品不符合约定的，甲方有权拒收或退货并解除合同，并要求乙方按照合同总价款的20%支付违约金。由此给甲方造成损失的，乙方还应当赔偿损失。</w:t>
      </w:r>
    </w:p>
    <w:p w14:paraId="5577A22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3.合同期内双方均不得擅自中止或解除本合同（因不可抗力因素导致的除外），如需解除本合同，需双方协商解决；双方确需中止或解除本合同的，须提前一个月书面通知对方。</w:t>
      </w:r>
    </w:p>
    <w:p w14:paraId="0C41A035"/>
    <w:p w14:paraId="77C84B45"/>
    <w:sectPr>
      <w:pgSz w:w="11906" w:h="16838"/>
      <w:pgMar w:top="1240" w:right="1049" w:bottom="1440" w:left="981"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7E6F98-87FC-480E-B87B-E5F00404EA49}"/>
  </w:font>
  <w:font w:name="Courier New">
    <w:panose1 w:val="02070309020205020404"/>
    <w:charset w:val="01"/>
    <w:family w:val="modern"/>
    <w:pitch w:val="default"/>
    <w:sig w:usb0="E0002EFF" w:usb1="C0007843" w:usb2="00000009" w:usb3="00000000" w:csb0="400001FF" w:csb1="FFFF0000"/>
    <w:embedRegular r:id="rId2" w:fontKey="{CEC6B050-9709-4011-B648-ACA1427AEA1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49BDD5D7-A89A-4A79-845C-F182BF28F1CE}"/>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embedRegular r:id="rId4" w:fontKey="{12706FEF-9703-400B-AE62-9D5407077A73}"/>
  </w:font>
  <w:font w:name="华文中宋">
    <w:panose1 w:val="02010600040101010101"/>
    <w:charset w:val="86"/>
    <w:family w:val="auto"/>
    <w:pitch w:val="default"/>
    <w:sig w:usb0="00000287" w:usb1="080F0000" w:usb2="00000000" w:usb3="00000000" w:csb0="0004009F" w:csb1="DFD70000"/>
    <w:embedRegular r:id="rId5" w:fontKey="{F4BC138F-DF27-4CB1-ADF0-A02364646E50}"/>
  </w:font>
  <w:font w:name="仿宋">
    <w:panose1 w:val="02010609060101010101"/>
    <w:charset w:val="86"/>
    <w:family w:val="modern"/>
    <w:pitch w:val="default"/>
    <w:sig w:usb0="800002BF" w:usb1="38CF7CFA" w:usb2="00000016" w:usb3="00000000" w:csb0="00040001" w:csb1="00000000"/>
    <w:embedRegular r:id="rId6" w:fontKey="{C33E1FD1-171E-40E9-ABCE-670CA65DEBE0}"/>
  </w:font>
  <w:font w:name="楷体_GB2312">
    <w:panose1 w:val="02010609030101010101"/>
    <w:charset w:val="86"/>
    <w:family w:val="modern"/>
    <w:pitch w:val="default"/>
    <w:sig w:usb0="00000001" w:usb1="080E0000" w:usb2="00000000" w:usb3="00000000" w:csb0="00040000" w:csb1="00000000"/>
    <w:embedRegular r:id="rId7" w:fontKey="{E8C0E411-0BD1-4CD5-9AAD-469420FCCED4}"/>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367E">
    <w:pPr>
      <w:pStyle w:val="8"/>
      <w:rPr>
        <w:rFonts w:ascii="宋体" w:hAnsi="宋体"/>
        <w:sz w:val="28"/>
        <w:szCs w:val="28"/>
      </w:rPr>
    </w:pPr>
    <w:r>
      <w:rPr>
        <w:rFonts w:hint="eastAsia" w:ascii="宋体" w:hAnsi="宋体"/>
        <w:sz w:val="28"/>
        <w:szCs w:val="28"/>
      </w:rPr>
      <w:t>—</w:t>
    </w:r>
    <w:r>
      <w:rPr>
        <w:rFonts w:ascii="宋体" w:hAnsi="宋体"/>
        <w:sz w:val="28"/>
        <w:szCs w:val="28"/>
      </w:rPr>
      <w:t xml:space="preserve"> </w:t>
    </w:r>
    <w:sdt>
      <w:sdtPr>
        <w:rPr>
          <w:rFonts w:ascii="宋体" w:hAnsi="宋体"/>
          <w:sz w:val="28"/>
          <w:szCs w:val="28"/>
        </w:rPr>
        <w:id w:val="1727103831"/>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sz w:val="28"/>
            <w:szCs w:val="28"/>
          </w:rPr>
          <w:t xml:space="preserve"> </w:t>
        </w:r>
      </w:sdtContent>
    </w:sdt>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31AD35"/>
    <w:multiLevelType w:val="singleLevel"/>
    <w:tmpl w:val="D231AD35"/>
    <w:lvl w:ilvl="0" w:tentative="0">
      <w:start w:val="2"/>
      <w:numFmt w:val="chineseCounting"/>
      <w:suff w:val="nothing"/>
      <w:lvlText w:val="（%1）"/>
      <w:lvlJc w:val="left"/>
      <w:rPr>
        <w:rFonts w:hint="eastAsia"/>
      </w:rPr>
    </w:lvl>
  </w:abstractNum>
  <w:abstractNum w:abstractNumId="1">
    <w:nsid w:val="09552349"/>
    <w:multiLevelType w:val="multilevel"/>
    <w:tmpl w:val="09552349"/>
    <w:lvl w:ilvl="0" w:tentative="0">
      <w:start w:val="1"/>
      <w:numFmt w:val="chineseCountingThousand"/>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3A3815E"/>
    <w:multiLevelType w:val="singleLevel"/>
    <w:tmpl w:val="23A3815E"/>
    <w:lvl w:ilvl="0" w:tentative="0">
      <w:start w:val="1"/>
      <w:numFmt w:val="decimal"/>
      <w:suff w:val="nothing"/>
      <w:lvlText w:val="(%1)"/>
      <w:lvlJc w:val="left"/>
      <w:pPr>
        <w:ind w:left="425" w:hanging="425"/>
      </w:pPr>
      <w:rPr>
        <w:rFonts w:hint="default"/>
      </w:rPr>
    </w:lvl>
  </w:abstractNum>
  <w:abstractNum w:abstractNumId="3">
    <w:nsid w:val="285E6B06"/>
    <w:multiLevelType w:val="singleLevel"/>
    <w:tmpl w:val="285E6B06"/>
    <w:lvl w:ilvl="0" w:tentative="0">
      <w:start w:val="1"/>
      <w:numFmt w:val="decimal"/>
      <w:suff w:val="nothing"/>
      <w:lvlText w:val="(%1)"/>
      <w:lvlJc w:val="left"/>
      <w:pPr>
        <w:ind w:left="425" w:hanging="425"/>
      </w:pPr>
      <w:rPr>
        <w:rFonts w:hint="default"/>
      </w:rPr>
    </w:lvl>
  </w:abstractNum>
  <w:abstractNum w:abstractNumId="4">
    <w:nsid w:val="74416885"/>
    <w:multiLevelType w:val="singleLevel"/>
    <w:tmpl w:val="74416885"/>
    <w:lvl w:ilvl="0" w:tentative="0">
      <w:start w:val="1"/>
      <w:numFmt w:val="decimal"/>
      <w:suff w:val="nothing"/>
      <w:lvlText w:val="(%1)"/>
      <w:lvlJc w:val="left"/>
      <w:pPr>
        <w:ind w:left="425" w:hanging="425"/>
      </w:pPr>
      <w:rPr>
        <w:rFonts w:hint="default"/>
      </w:rPr>
    </w:lvl>
  </w:abstractNum>
  <w:abstractNum w:abstractNumId="5">
    <w:nsid w:val="7A7E963C"/>
    <w:multiLevelType w:val="singleLevel"/>
    <w:tmpl w:val="7A7E963C"/>
    <w:lvl w:ilvl="0" w:tentative="0">
      <w:start w:val="1"/>
      <w:numFmt w:val="decimal"/>
      <w:suff w:val="nothing"/>
      <w:lvlText w:val="(%1)"/>
      <w:lvlJc w:val="left"/>
      <w:pPr>
        <w:ind w:left="425" w:hanging="425"/>
      </w:pPr>
      <w:rPr>
        <w:rFont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F41FE8"/>
    <w:rsid w:val="00007698"/>
    <w:rsid w:val="000B54D3"/>
    <w:rsid w:val="00112B85"/>
    <w:rsid w:val="00126F77"/>
    <w:rsid w:val="002816D2"/>
    <w:rsid w:val="00296602"/>
    <w:rsid w:val="00330CD3"/>
    <w:rsid w:val="00393DB5"/>
    <w:rsid w:val="00395CBC"/>
    <w:rsid w:val="003B54CF"/>
    <w:rsid w:val="004076F5"/>
    <w:rsid w:val="00494FFB"/>
    <w:rsid w:val="0058580A"/>
    <w:rsid w:val="006410FE"/>
    <w:rsid w:val="00660A98"/>
    <w:rsid w:val="006A1FAE"/>
    <w:rsid w:val="006B5A42"/>
    <w:rsid w:val="0078201C"/>
    <w:rsid w:val="00796E15"/>
    <w:rsid w:val="007B2671"/>
    <w:rsid w:val="007C4EAE"/>
    <w:rsid w:val="00825482"/>
    <w:rsid w:val="009B1002"/>
    <w:rsid w:val="009C48A3"/>
    <w:rsid w:val="009C4AF2"/>
    <w:rsid w:val="009E64C7"/>
    <w:rsid w:val="00A3449F"/>
    <w:rsid w:val="00A51DD6"/>
    <w:rsid w:val="00A940A0"/>
    <w:rsid w:val="00C82070"/>
    <w:rsid w:val="00CA3620"/>
    <w:rsid w:val="00DD7EAA"/>
    <w:rsid w:val="00DE30AE"/>
    <w:rsid w:val="00DF1E97"/>
    <w:rsid w:val="00E35D9E"/>
    <w:rsid w:val="00E6361A"/>
    <w:rsid w:val="00F84375"/>
    <w:rsid w:val="01017684"/>
    <w:rsid w:val="012670EA"/>
    <w:rsid w:val="01DD59FB"/>
    <w:rsid w:val="023575E5"/>
    <w:rsid w:val="027F4D04"/>
    <w:rsid w:val="02866093"/>
    <w:rsid w:val="028E3199"/>
    <w:rsid w:val="02E42DB9"/>
    <w:rsid w:val="03451AAA"/>
    <w:rsid w:val="037D1B09"/>
    <w:rsid w:val="0397197B"/>
    <w:rsid w:val="03DA77B6"/>
    <w:rsid w:val="0414147C"/>
    <w:rsid w:val="04385405"/>
    <w:rsid w:val="04B844FD"/>
    <w:rsid w:val="05184F9C"/>
    <w:rsid w:val="069B0266"/>
    <w:rsid w:val="06D373CC"/>
    <w:rsid w:val="06DA075B"/>
    <w:rsid w:val="06DC6BB1"/>
    <w:rsid w:val="07043A2A"/>
    <w:rsid w:val="0730481F"/>
    <w:rsid w:val="076C4031"/>
    <w:rsid w:val="07F60B29"/>
    <w:rsid w:val="08055CAB"/>
    <w:rsid w:val="08716E9D"/>
    <w:rsid w:val="09581E0B"/>
    <w:rsid w:val="0966277A"/>
    <w:rsid w:val="09B07E99"/>
    <w:rsid w:val="09BE6112"/>
    <w:rsid w:val="09EC5B7E"/>
    <w:rsid w:val="0A6749FB"/>
    <w:rsid w:val="0A786C09"/>
    <w:rsid w:val="0A9F23AE"/>
    <w:rsid w:val="0AF85654"/>
    <w:rsid w:val="0B116715"/>
    <w:rsid w:val="0B81260D"/>
    <w:rsid w:val="0B9C06D5"/>
    <w:rsid w:val="0BBA01B8"/>
    <w:rsid w:val="0BC1013B"/>
    <w:rsid w:val="0C14470F"/>
    <w:rsid w:val="0C1741FF"/>
    <w:rsid w:val="0C364685"/>
    <w:rsid w:val="0C5E17B9"/>
    <w:rsid w:val="0C654F6B"/>
    <w:rsid w:val="0C937D2A"/>
    <w:rsid w:val="0CAD04A5"/>
    <w:rsid w:val="0CBD6B55"/>
    <w:rsid w:val="0CE13C67"/>
    <w:rsid w:val="0CEC743A"/>
    <w:rsid w:val="0CFB58CF"/>
    <w:rsid w:val="0D0504FC"/>
    <w:rsid w:val="0D9029FA"/>
    <w:rsid w:val="0DB6446C"/>
    <w:rsid w:val="0DBC505E"/>
    <w:rsid w:val="0DC91529"/>
    <w:rsid w:val="0E3177FA"/>
    <w:rsid w:val="0E702BFB"/>
    <w:rsid w:val="0E9C09EC"/>
    <w:rsid w:val="0EF25AB2"/>
    <w:rsid w:val="0EF600FC"/>
    <w:rsid w:val="0F543075"/>
    <w:rsid w:val="0F72102A"/>
    <w:rsid w:val="0F87344A"/>
    <w:rsid w:val="0FFE17A0"/>
    <w:rsid w:val="10234F21"/>
    <w:rsid w:val="1030763E"/>
    <w:rsid w:val="10480E2B"/>
    <w:rsid w:val="105B0B5E"/>
    <w:rsid w:val="106A0DA2"/>
    <w:rsid w:val="10A51DDA"/>
    <w:rsid w:val="10B4026F"/>
    <w:rsid w:val="11515ABE"/>
    <w:rsid w:val="116F4196"/>
    <w:rsid w:val="11957E4A"/>
    <w:rsid w:val="11965BC6"/>
    <w:rsid w:val="11EE6659"/>
    <w:rsid w:val="127001C5"/>
    <w:rsid w:val="12761537"/>
    <w:rsid w:val="129C0FBA"/>
    <w:rsid w:val="12D76496"/>
    <w:rsid w:val="12EF558E"/>
    <w:rsid w:val="13313DF9"/>
    <w:rsid w:val="134D2675"/>
    <w:rsid w:val="134E6759"/>
    <w:rsid w:val="13857CA0"/>
    <w:rsid w:val="13A20852"/>
    <w:rsid w:val="13E169A0"/>
    <w:rsid w:val="14327E28"/>
    <w:rsid w:val="145F04F1"/>
    <w:rsid w:val="14E86739"/>
    <w:rsid w:val="15347BD0"/>
    <w:rsid w:val="15422F22"/>
    <w:rsid w:val="154D0C92"/>
    <w:rsid w:val="15761F97"/>
    <w:rsid w:val="15CA22E2"/>
    <w:rsid w:val="15D908D7"/>
    <w:rsid w:val="165F0C7D"/>
    <w:rsid w:val="167D26BA"/>
    <w:rsid w:val="16895CFA"/>
    <w:rsid w:val="16DF591A"/>
    <w:rsid w:val="16F77107"/>
    <w:rsid w:val="16F931E8"/>
    <w:rsid w:val="17487963"/>
    <w:rsid w:val="18145165"/>
    <w:rsid w:val="18B43502"/>
    <w:rsid w:val="18F13E8A"/>
    <w:rsid w:val="1A0A7151"/>
    <w:rsid w:val="1A330456"/>
    <w:rsid w:val="1A5C0DD3"/>
    <w:rsid w:val="1A8011C2"/>
    <w:rsid w:val="1ABE6C88"/>
    <w:rsid w:val="1AE9320B"/>
    <w:rsid w:val="1B28788F"/>
    <w:rsid w:val="1B3426D8"/>
    <w:rsid w:val="1B974A15"/>
    <w:rsid w:val="1C2376BB"/>
    <w:rsid w:val="1C4526C3"/>
    <w:rsid w:val="1C783862"/>
    <w:rsid w:val="1CC01D49"/>
    <w:rsid w:val="1CC91154"/>
    <w:rsid w:val="1E222CBC"/>
    <w:rsid w:val="1E357DB1"/>
    <w:rsid w:val="1E5135A1"/>
    <w:rsid w:val="1E59610C"/>
    <w:rsid w:val="1E6908EA"/>
    <w:rsid w:val="1E700A2E"/>
    <w:rsid w:val="1E776F29"/>
    <w:rsid w:val="1E9F255E"/>
    <w:rsid w:val="1EA353B5"/>
    <w:rsid w:val="1ECB5101"/>
    <w:rsid w:val="1EFB2B33"/>
    <w:rsid w:val="1F170346"/>
    <w:rsid w:val="1F7312F5"/>
    <w:rsid w:val="1FF02946"/>
    <w:rsid w:val="20B802FC"/>
    <w:rsid w:val="20BD4F1E"/>
    <w:rsid w:val="21254871"/>
    <w:rsid w:val="21570ECE"/>
    <w:rsid w:val="21A70722"/>
    <w:rsid w:val="222D6C1A"/>
    <w:rsid w:val="223236E9"/>
    <w:rsid w:val="22617B2B"/>
    <w:rsid w:val="22B83BEE"/>
    <w:rsid w:val="22E04EF3"/>
    <w:rsid w:val="22E91FFA"/>
    <w:rsid w:val="23007343"/>
    <w:rsid w:val="23FB7198"/>
    <w:rsid w:val="24417C14"/>
    <w:rsid w:val="24680393"/>
    <w:rsid w:val="2478646F"/>
    <w:rsid w:val="248B7E85"/>
    <w:rsid w:val="24987D05"/>
    <w:rsid w:val="24D82326"/>
    <w:rsid w:val="24FA5755"/>
    <w:rsid w:val="254A4736"/>
    <w:rsid w:val="255D0A7D"/>
    <w:rsid w:val="256E67E6"/>
    <w:rsid w:val="2610789E"/>
    <w:rsid w:val="261B31E1"/>
    <w:rsid w:val="265F7CB7"/>
    <w:rsid w:val="269A360B"/>
    <w:rsid w:val="26A1085F"/>
    <w:rsid w:val="26C1503C"/>
    <w:rsid w:val="273E668C"/>
    <w:rsid w:val="27D43A93"/>
    <w:rsid w:val="27EC2D61"/>
    <w:rsid w:val="282E6701"/>
    <w:rsid w:val="2879255A"/>
    <w:rsid w:val="28966C37"/>
    <w:rsid w:val="294E0E09"/>
    <w:rsid w:val="2A016B5D"/>
    <w:rsid w:val="2A5E32CD"/>
    <w:rsid w:val="2AAD7DB1"/>
    <w:rsid w:val="2B0E61D4"/>
    <w:rsid w:val="2B230073"/>
    <w:rsid w:val="2B4871D0"/>
    <w:rsid w:val="2BBD04C8"/>
    <w:rsid w:val="2BC74EA2"/>
    <w:rsid w:val="2BC76C50"/>
    <w:rsid w:val="2C09269D"/>
    <w:rsid w:val="2CA13945"/>
    <w:rsid w:val="2CDF32C4"/>
    <w:rsid w:val="2D793068"/>
    <w:rsid w:val="2D7C5E72"/>
    <w:rsid w:val="2D945258"/>
    <w:rsid w:val="2DD87894"/>
    <w:rsid w:val="2E187C37"/>
    <w:rsid w:val="2EBA2A9C"/>
    <w:rsid w:val="2EF0319E"/>
    <w:rsid w:val="2F3960B7"/>
    <w:rsid w:val="2F3E1BE9"/>
    <w:rsid w:val="2F7E3ACA"/>
    <w:rsid w:val="2FDC6A42"/>
    <w:rsid w:val="301B756B"/>
    <w:rsid w:val="30281C88"/>
    <w:rsid w:val="3029057D"/>
    <w:rsid w:val="305B0CB4"/>
    <w:rsid w:val="30883690"/>
    <w:rsid w:val="30F5600E"/>
    <w:rsid w:val="311566B0"/>
    <w:rsid w:val="315958CD"/>
    <w:rsid w:val="317433D6"/>
    <w:rsid w:val="31C61758"/>
    <w:rsid w:val="31CA749A"/>
    <w:rsid w:val="31D65E3F"/>
    <w:rsid w:val="326E42CA"/>
    <w:rsid w:val="32D81743"/>
    <w:rsid w:val="335C6818"/>
    <w:rsid w:val="338418CB"/>
    <w:rsid w:val="33B57CD6"/>
    <w:rsid w:val="33F22CD8"/>
    <w:rsid w:val="341669C7"/>
    <w:rsid w:val="346314E0"/>
    <w:rsid w:val="3498562E"/>
    <w:rsid w:val="34FA3E66"/>
    <w:rsid w:val="35964281"/>
    <w:rsid w:val="35986E4F"/>
    <w:rsid w:val="35E844FC"/>
    <w:rsid w:val="362353CB"/>
    <w:rsid w:val="364315C9"/>
    <w:rsid w:val="36B14785"/>
    <w:rsid w:val="378105FB"/>
    <w:rsid w:val="37A147F9"/>
    <w:rsid w:val="382235C6"/>
    <w:rsid w:val="385D31DA"/>
    <w:rsid w:val="38683569"/>
    <w:rsid w:val="38704912"/>
    <w:rsid w:val="38C033A5"/>
    <w:rsid w:val="38C509BB"/>
    <w:rsid w:val="38FC2A84"/>
    <w:rsid w:val="391A2AB5"/>
    <w:rsid w:val="39405540"/>
    <w:rsid w:val="396957EB"/>
    <w:rsid w:val="399F120C"/>
    <w:rsid w:val="39BF4FF5"/>
    <w:rsid w:val="3B96663F"/>
    <w:rsid w:val="3BB96F01"/>
    <w:rsid w:val="3BF70E8C"/>
    <w:rsid w:val="3C44609B"/>
    <w:rsid w:val="3CA60EB7"/>
    <w:rsid w:val="3CB21257"/>
    <w:rsid w:val="3CCD6091"/>
    <w:rsid w:val="3D197DCE"/>
    <w:rsid w:val="3D567E34"/>
    <w:rsid w:val="3D834072"/>
    <w:rsid w:val="3D8E75CE"/>
    <w:rsid w:val="3DAE63F9"/>
    <w:rsid w:val="3E135D25"/>
    <w:rsid w:val="3E18279F"/>
    <w:rsid w:val="3E524A9F"/>
    <w:rsid w:val="3E774506"/>
    <w:rsid w:val="3E8310FD"/>
    <w:rsid w:val="3E895FE7"/>
    <w:rsid w:val="3EA352FB"/>
    <w:rsid w:val="3EA77D30"/>
    <w:rsid w:val="3EDF5FC6"/>
    <w:rsid w:val="3FF658FE"/>
    <w:rsid w:val="3FFA0F4B"/>
    <w:rsid w:val="400A726E"/>
    <w:rsid w:val="40271248"/>
    <w:rsid w:val="402E5098"/>
    <w:rsid w:val="405D342D"/>
    <w:rsid w:val="41465248"/>
    <w:rsid w:val="41F320F5"/>
    <w:rsid w:val="42B21FB1"/>
    <w:rsid w:val="42EA799C"/>
    <w:rsid w:val="43E901E7"/>
    <w:rsid w:val="44511355"/>
    <w:rsid w:val="450E7246"/>
    <w:rsid w:val="451F54E5"/>
    <w:rsid w:val="45343151"/>
    <w:rsid w:val="453A628D"/>
    <w:rsid w:val="4550160D"/>
    <w:rsid w:val="457566E1"/>
    <w:rsid w:val="45831FC8"/>
    <w:rsid w:val="458D2861"/>
    <w:rsid w:val="45940A89"/>
    <w:rsid w:val="45A812A4"/>
    <w:rsid w:val="45AA6F6F"/>
    <w:rsid w:val="45DB181E"/>
    <w:rsid w:val="46205483"/>
    <w:rsid w:val="46340F2E"/>
    <w:rsid w:val="46780E1B"/>
    <w:rsid w:val="46B75DE7"/>
    <w:rsid w:val="46C40504"/>
    <w:rsid w:val="470B1C8F"/>
    <w:rsid w:val="47863A0C"/>
    <w:rsid w:val="47DF5B6B"/>
    <w:rsid w:val="47E00A2F"/>
    <w:rsid w:val="47E64083"/>
    <w:rsid w:val="482C6963"/>
    <w:rsid w:val="48343468"/>
    <w:rsid w:val="4847319B"/>
    <w:rsid w:val="489E37C5"/>
    <w:rsid w:val="48D10CB7"/>
    <w:rsid w:val="49942954"/>
    <w:rsid w:val="499958DB"/>
    <w:rsid w:val="49A62143"/>
    <w:rsid w:val="49B22896"/>
    <w:rsid w:val="4A0155CC"/>
    <w:rsid w:val="4A0B1FA6"/>
    <w:rsid w:val="4A275032"/>
    <w:rsid w:val="4AE01685"/>
    <w:rsid w:val="4B18454E"/>
    <w:rsid w:val="4B661B8A"/>
    <w:rsid w:val="4BC92119"/>
    <w:rsid w:val="4C827C94"/>
    <w:rsid w:val="4D0A4797"/>
    <w:rsid w:val="4D0B0C3B"/>
    <w:rsid w:val="4D9C7DA0"/>
    <w:rsid w:val="4DBB063D"/>
    <w:rsid w:val="4DD70B1D"/>
    <w:rsid w:val="4DE66FB2"/>
    <w:rsid w:val="4E4361B3"/>
    <w:rsid w:val="4EC05A55"/>
    <w:rsid w:val="4F076678"/>
    <w:rsid w:val="4F563CC4"/>
    <w:rsid w:val="4F8477C6"/>
    <w:rsid w:val="50120532"/>
    <w:rsid w:val="50137E07"/>
    <w:rsid w:val="501A2F43"/>
    <w:rsid w:val="506643DA"/>
    <w:rsid w:val="50795EBC"/>
    <w:rsid w:val="50872362"/>
    <w:rsid w:val="50A41292"/>
    <w:rsid w:val="50A94099"/>
    <w:rsid w:val="50C77FFF"/>
    <w:rsid w:val="50CA4969"/>
    <w:rsid w:val="514C1822"/>
    <w:rsid w:val="517A013D"/>
    <w:rsid w:val="51A90A23"/>
    <w:rsid w:val="523A53E8"/>
    <w:rsid w:val="528C45CC"/>
    <w:rsid w:val="52E77F2A"/>
    <w:rsid w:val="5302392B"/>
    <w:rsid w:val="53803A05"/>
    <w:rsid w:val="53F67C74"/>
    <w:rsid w:val="543A1B2D"/>
    <w:rsid w:val="54484523"/>
    <w:rsid w:val="549C03CB"/>
    <w:rsid w:val="54EF2BF0"/>
    <w:rsid w:val="552162A2"/>
    <w:rsid w:val="553063F1"/>
    <w:rsid w:val="553B5E36"/>
    <w:rsid w:val="553C57C6"/>
    <w:rsid w:val="554A42CB"/>
    <w:rsid w:val="55B160F8"/>
    <w:rsid w:val="55E0078B"/>
    <w:rsid w:val="56026953"/>
    <w:rsid w:val="571F34FB"/>
    <w:rsid w:val="57A06424"/>
    <w:rsid w:val="57BE68AA"/>
    <w:rsid w:val="57D8481E"/>
    <w:rsid w:val="5876321E"/>
    <w:rsid w:val="58801DB1"/>
    <w:rsid w:val="5954396A"/>
    <w:rsid w:val="596F60AE"/>
    <w:rsid w:val="5999137D"/>
    <w:rsid w:val="5A0F163F"/>
    <w:rsid w:val="5A75098D"/>
    <w:rsid w:val="5AA1498D"/>
    <w:rsid w:val="5AF56A87"/>
    <w:rsid w:val="5B3E042E"/>
    <w:rsid w:val="5B560221"/>
    <w:rsid w:val="5BAF223B"/>
    <w:rsid w:val="5BC038DF"/>
    <w:rsid w:val="5BD13050"/>
    <w:rsid w:val="5C881840"/>
    <w:rsid w:val="5CA504C3"/>
    <w:rsid w:val="5CB14C2F"/>
    <w:rsid w:val="5CE24DE9"/>
    <w:rsid w:val="5D331782"/>
    <w:rsid w:val="5D8939A4"/>
    <w:rsid w:val="5DB06C95"/>
    <w:rsid w:val="5E341674"/>
    <w:rsid w:val="5E7A79CF"/>
    <w:rsid w:val="5EA93E10"/>
    <w:rsid w:val="5EF17565"/>
    <w:rsid w:val="5EF84D97"/>
    <w:rsid w:val="5F506981"/>
    <w:rsid w:val="5F5A15AE"/>
    <w:rsid w:val="5F610B6B"/>
    <w:rsid w:val="5F9157D8"/>
    <w:rsid w:val="5FB011CE"/>
    <w:rsid w:val="5FB962D5"/>
    <w:rsid w:val="600D03CE"/>
    <w:rsid w:val="60940AF0"/>
    <w:rsid w:val="60F33A68"/>
    <w:rsid w:val="6138147B"/>
    <w:rsid w:val="613E2F72"/>
    <w:rsid w:val="617A1A94"/>
    <w:rsid w:val="619171B3"/>
    <w:rsid w:val="619D39D4"/>
    <w:rsid w:val="61B77C78"/>
    <w:rsid w:val="623A1223"/>
    <w:rsid w:val="627E3805"/>
    <w:rsid w:val="62913539"/>
    <w:rsid w:val="62D464DC"/>
    <w:rsid w:val="6324615B"/>
    <w:rsid w:val="64047D7C"/>
    <w:rsid w:val="64234664"/>
    <w:rsid w:val="64243F39"/>
    <w:rsid w:val="64A13976"/>
    <w:rsid w:val="65200BA4"/>
    <w:rsid w:val="65387C9C"/>
    <w:rsid w:val="657607C4"/>
    <w:rsid w:val="65CB4FB4"/>
    <w:rsid w:val="65E120E1"/>
    <w:rsid w:val="662319DD"/>
    <w:rsid w:val="66A27938"/>
    <w:rsid w:val="66A9017B"/>
    <w:rsid w:val="66E77BCB"/>
    <w:rsid w:val="671E7365"/>
    <w:rsid w:val="677C6AF0"/>
    <w:rsid w:val="67800FD6"/>
    <w:rsid w:val="67B6134C"/>
    <w:rsid w:val="67D85766"/>
    <w:rsid w:val="687A05CB"/>
    <w:rsid w:val="689615A8"/>
    <w:rsid w:val="68A51AEC"/>
    <w:rsid w:val="6991136F"/>
    <w:rsid w:val="69A51678"/>
    <w:rsid w:val="69D361E5"/>
    <w:rsid w:val="69F36887"/>
    <w:rsid w:val="6A1B3F93"/>
    <w:rsid w:val="6B483023"/>
    <w:rsid w:val="6BB43DF4"/>
    <w:rsid w:val="6BD754C0"/>
    <w:rsid w:val="6C1F1BB5"/>
    <w:rsid w:val="6C936F1B"/>
    <w:rsid w:val="6CBC38C8"/>
    <w:rsid w:val="6D035033"/>
    <w:rsid w:val="6D154D66"/>
    <w:rsid w:val="6DAA3701"/>
    <w:rsid w:val="6E0252EB"/>
    <w:rsid w:val="6E095A12"/>
    <w:rsid w:val="6E6813FF"/>
    <w:rsid w:val="6ED36C87"/>
    <w:rsid w:val="6F307C36"/>
    <w:rsid w:val="6F3E05A4"/>
    <w:rsid w:val="700D7F77"/>
    <w:rsid w:val="703D260A"/>
    <w:rsid w:val="70811737"/>
    <w:rsid w:val="70A82C64"/>
    <w:rsid w:val="70E25AC9"/>
    <w:rsid w:val="716F0EE9"/>
    <w:rsid w:val="719C63DF"/>
    <w:rsid w:val="72300C36"/>
    <w:rsid w:val="728A58AF"/>
    <w:rsid w:val="72976C64"/>
    <w:rsid w:val="72C40DC1"/>
    <w:rsid w:val="72D1172F"/>
    <w:rsid w:val="72E70F53"/>
    <w:rsid w:val="72F773E8"/>
    <w:rsid w:val="73614861"/>
    <w:rsid w:val="73E84F83"/>
    <w:rsid w:val="73F41FE8"/>
    <w:rsid w:val="74934E8C"/>
    <w:rsid w:val="74BC2C75"/>
    <w:rsid w:val="74D76746"/>
    <w:rsid w:val="75022074"/>
    <w:rsid w:val="751122B7"/>
    <w:rsid w:val="75224ABA"/>
    <w:rsid w:val="75475CD9"/>
    <w:rsid w:val="757765BE"/>
    <w:rsid w:val="7583593C"/>
    <w:rsid w:val="75F75F79"/>
    <w:rsid w:val="75FA2D4B"/>
    <w:rsid w:val="75FB0F9D"/>
    <w:rsid w:val="762D0A31"/>
    <w:rsid w:val="764346F2"/>
    <w:rsid w:val="766A6707"/>
    <w:rsid w:val="76770854"/>
    <w:rsid w:val="76BD44A5"/>
    <w:rsid w:val="76FF686B"/>
    <w:rsid w:val="771407CF"/>
    <w:rsid w:val="777803CC"/>
    <w:rsid w:val="77BE04D4"/>
    <w:rsid w:val="77BE5C84"/>
    <w:rsid w:val="77FC2DAB"/>
    <w:rsid w:val="789E0306"/>
    <w:rsid w:val="78BC253A"/>
    <w:rsid w:val="79030169"/>
    <w:rsid w:val="79224A93"/>
    <w:rsid w:val="7A9B68AB"/>
    <w:rsid w:val="7A9F445D"/>
    <w:rsid w:val="7AF16E13"/>
    <w:rsid w:val="7AFFCC5E"/>
    <w:rsid w:val="7B7FBDBD"/>
    <w:rsid w:val="7BAC2D3A"/>
    <w:rsid w:val="7BD227A0"/>
    <w:rsid w:val="7BDD5993"/>
    <w:rsid w:val="7C324FED"/>
    <w:rsid w:val="7C4B3B3B"/>
    <w:rsid w:val="7C8E41ED"/>
    <w:rsid w:val="7C8F68E3"/>
    <w:rsid w:val="7C9C5BDD"/>
    <w:rsid w:val="7D060228"/>
    <w:rsid w:val="7D893333"/>
    <w:rsid w:val="7E0B68D2"/>
    <w:rsid w:val="7E156974"/>
    <w:rsid w:val="7F3B68AE"/>
    <w:rsid w:val="7FD30895"/>
    <w:rsid w:val="7FEE5EEE"/>
    <w:rsid w:val="DDFFD4B2"/>
    <w:rsid w:val="FFFB9A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outlineLvl w:val="1"/>
    </w:pPr>
    <w:rPr>
      <w:rFonts w:ascii="Cambria" w:hAnsi="Cambria"/>
      <w:b/>
      <w:bCs/>
      <w:sz w:val="28"/>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Body Text"/>
    <w:basedOn w:val="1"/>
    <w:qFormat/>
    <w:uiPriority w:val="0"/>
    <w:rPr>
      <w:sz w:val="18"/>
      <w:szCs w:val="20"/>
    </w:rPr>
  </w:style>
  <w:style w:type="paragraph" w:styleId="6">
    <w:name w:val="annotation text"/>
    <w:basedOn w:val="1"/>
    <w:link w:val="29"/>
    <w:qFormat/>
    <w:uiPriority w:val="0"/>
    <w:pPr>
      <w:jc w:val="left"/>
    </w:pPr>
  </w:style>
  <w:style w:type="paragraph" w:styleId="7">
    <w:name w:val="Body Text Indent"/>
    <w:basedOn w:val="1"/>
    <w:qFormat/>
    <w:uiPriority w:val="0"/>
    <w:pPr>
      <w:spacing w:after="120"/>
      <w:ind w:left="420" w:leftChars="200"/>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2"/>
    <w:basedOn w:val="1"/>
    <w:unhideWhenUsed/>
    <w:qFormat/>
    <w:uiPriority w:val="0"/>
    <w:pPr>
      <w:spacing w:after="120" w:line="480" w:lineRule="auto"/>
    </w:pPr>
  </w:style>
  <w:style w:type="paragraph" w:styleId="11">
    <w:name w:val="Normal (Web)"/>
    <w:basedOn w:val="1"/>
    <w:qFormat/>
    <w:uiPriority w:val="0"/>
    <w:pPr>
      <w:spacing w:beforeAutospacing="1" w:afterAutospacing="1"/>
      <w:jc w:val="left"/>
    </w:pPr>
    <w:rPr>
      <w:kern w:val="0"/>
      <w:sz w:val="24"/>
    </w:rPr>
  </w:style>
  <w:style w:type="paragraph" w:styleId="12">
    <w:name w:val="annotation subject"/>
    <w:basedOn w:val="6"/>
    <w:next w:val="6"/>
    <w:link w:val="30"/>
    <w:qFormat/>
    <w:uiPriority w:val="0"/>
    <w:rPr>
      <w:b/>
      <w:bCs/>
    </w:rPr>
  </w:style>
  <w:style w:type="paragraph" w:styleId="13">
    <w:name w:val="Body Text First Indent 2"/>
    <w:basedOn w:val="7"/>
    <w:qFormat/>
    <w:uiPriority w:val="0"/>
    <w:pPr>
      <w:widowControl/>
      <w:spacing w:after="0" w:line="559" w:lineRule="exact"/>
      <w:ind w:firstLine="420" w:firstLineChars="200"/>
      <w:jc w:val="left"/>
    </w:pPr>
    <w:rPr>
      <w:rFonts w:ascii="仿宋_GB2312" w:hAnsi="等线" w:eastAsia="仿宋_GB2312"/>
      <w:sz w:val="32"/>
      <w:szCs w:val="20"/>
    </w:rPr>
  </w:style>
  <w:style w:type="table" w:styleId="15">
    <w:name w:val="Table Grid"/>
    <w:basedOn w:val="14"/>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styleId="19">
    <w:name w:val="List Paragraph"/>
    <w:basedOn w:val="1"/>
    <w:link w:val="28"/>
    <w:qFormat/>
    <w:uiPriority w:val="34"/>
    <w:pPr>
      <w:ind w:firstLine="420" w:firstLineChars="200"/>
    </w:pPr>
    <w:rPr>
      <w:rFonts w:ascii="Times New Roman" w:hAnsi="Times New Roman"/>
      <w:szCs w:val="22"/>
    </w:rPr>
  </w:style>
  <w:style w:type="paragraph" w:customStyle="1" w:styleId="20">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样式1"/>
    <w:basedOn w:val="1"/>
    <w:qFormat/>
    <w:uiPriority w:val="0"/>
    <w:pPr>
      <w:widowControl/>
      <w:adjustRightInd w:val="0"/>
      <w:snapToGrid w:val="0"/>
    </w:pPr>
    <w:rPr>
      <w:rFonts w:ascii="微软雅黑" w:hAnsi="微软雅黑"/>
      <w:bCs/>
      <w:color w:val="000000"/>
      <w:kern w:val="24"/>
      <w:szCs w:val="40"/>
    </w:rPr>
  </w:style>
  <w:style w:type="paragraph" w:customStyle="1" w:styleId="23">
    <w:name w:val="02节科筑"/>
    <w:basedOn w:val="3"/>
    <w:qFormat/>
    <w:uiPriority w:val="0"/>
    <w:pPr>
      <w:numPr>
        <w:ilvl w:val="0"/>
        <w:numId w:val="1"/>
      </w:numPr>
      <w:adjustRightInd w:val="0"/>
      <w:spacing w:beforeLines="50" w:afterLines="50" w:line="360" w:lineRule="exact"/>
    </w:pPr>
    <w:rPr>
      <w:rFonts w:ascii="黑体" w:hAnsi="Arial"/>
      <w:b w:val="0"/>
      <w:sz w:val="21"/>
      <w:szCs w:val="30"/>
    </w:rPr>
  </w:style>
  <w:style w:type="character" w:customStyle="1" w:styleId="24">
    <w:name w:val="font21"/>
    <w:basedOn w:val="16"/>
    <w:qFormat/>
    <w:uiPriority w:val="0"/>
    <w:rPr>
      <w:rFonts w:hint="eastAsia" w:ascii="微软雅黑" w:hAnsi="微软雅黑" w:eastAsia="微软雅黑" w:cs="微软雅黑"/>
      <w:b/>
      <w:bCs/>
      <w:color w:val="000000"/>
      <w:sz w:val="36"/>
      <w:szCs w:val="36"/>
      <w:u w:val="none"/>
    </w:rPr>
  </w:style>
  <w:style w:type="character" w:customStyle="1" w:styleId="25">
    <w:name w:val="font122"/>
    <w:basedOn w:val="16"/>
    <w:qFormat/>
    <w:uiPriority w:val="0"/>
    <w:rPr>
      <w:rFonts w:hint="eastAsia" w:ascii="微软雅黑" w:hAnsi="微软雅黑" w:eastAsia="微软雅黑" w:cs="微软雅黑"/>
      <w:b/>
      <w:bCs/>
      <w:color w:val="FF0000"/>
      <w:sz w:val="36"/>
      <w:szCs w:val="36"/>
      <w:u w:val="none"/>
    </w:rPr>
  </w:style>
  <w:style w:type="character" w:customStyle="1" w:styleId="26">
    <w:name w:val="font131"/>
    <w:basedOn w:val="16"/>
    <w:qFormat/>
    <w:uiPriority w:val="0"/>
    <w:rPr>
      <w:rFonts w:hint="eastAsia" w:ascii="微软雅黑" w:hAnsi="微软雅黑" w:eastAsia="微软雅黑" w:cs="微软雅黑"/>
      <w:b/>
      <w:bCs/>
      <w:color w:val="000000"/>
      <w:sz w:val="36"/>
      <w:szCs w:val="36"/>
      <w:u w:val="single"/>
    </w:rPr>
  </w:style>
  <w:style w:type="paragraph" w:customStyle="1" w:styleId="27">
    <w:name w:val="修订1"/>
    <w:hidden/>
    <w:unhideWhenUsed/>
    <w:qFormat/>
    <w:uiPriority w:val="99"/>
    <w:rPr>
      <w:rFonts w:ascii="Calibri" w:hAnsi="Calibri" w:eastAsia="宋体" w:cs="Times New Roman"/>
      <w:kern w:val="2"/>
      <w:sz w:val="21"/>
      <w:szCs w:val="24"/>
      <w:lang w:val="en-US" w:eastAsia="zh-CN" w:bidi="ar-SA"/>
    </w:rPr>
  </w:style>
  <w:style w:type="character" w:customStyle="1" w:styleId="28">
    <w:name w:val="列表段落 字符"/>
    <w:link w:val="19"/>
    <w:qFormat/>
    <w:locked/>
    <w:uiPriority w:val="0"/>
    <w:rPr>
      <w:kern w:val="2"/>
      <w:sz w:val="21"/>
      <w:szCs w:val="22"/>
    </w:rPr>
  </w:style>
  <w:style w:type="character" w:customStyle="1" w:styleId="29">
    <w:name w:val="批注文字 字符"/>
    <w:basedOn w:val="16"/>
    <w:link w:val="6"/>
    <w:qFormat/>
    <w:uiPriority w:val="0"/>
    <w:rPr>
      <w:rFonts w:ascii="Calibri" w:hAnsi="Calibri"/>
      <w:kern w:val="2"/>
      <w:sz w:val="21"/>
      <w:szCs w:val="24"/>
    </w:rPr>
  </w:style>
  <w:style w:type="character" w:customStyle="1" w:styleId="30">
    <w:name w:val="批注主题 字符"/>
    <w:basedOn w:val="29"/>
    <w:link w:val="12"/>
    <w:qFormat/>
    <w:uiPriority w:val="0"/>
    <w:rPr>
      <w:rFonts w:ascii="Calibri" w:hAnsi="Calibri"/>
      <w:b/>
      <w:bCs/>
      <w:kern w:val="2"/>
      <w:sz w:val="21"/>
      <w:szCs w:val="24"/>
    </w:rPr>
  </w:style>
  <w:style w:type="paragraph" w:customStyle="1" w:styleId="31">
    <w:name w:val="Revision"/>
    <w:hidden/>
    <w:unhideWhenUsed/>
    <w:qFormat/>
    <w:uiPriority w:val="99"/>
    <w:rPr>
      <w:rFonts w:ascii="Calibri" w:hAnsi="Calibri" w:eastAsia="宋体" w:cs="Times New Roman"/>
      <w:kern w:val="2"/>
      <w:sz w:val="21"/>
      <w:szCs w:val="24"/>
      <w:lang w:val="en-US" w:eastAsia="zh-CN" w:bidi="ar-SA"/>
    </w:rPr>
  </w:style>
  <w:style w:type="paragraph" w:customStyle="1" w:styleId="32">
    <w:name w:val="Table Text"/>
    <w:basedOn w:val="1"/>
    <w:semiHidden/>
    <w:qFormat/>
    <w:uiPriority w:val="0"/>
    <w:rPr>
      <w:rFonts w:ascii="Arial" w:hAnsi="Arial" w:eastAsia="Arial" w:cs="Arial"/>
      <w:sz w:val="21"/>
      <w:szCs w:val="21"/>
      <w:lang w:val="en-US" w:eastAsia="en-US" w:bidi="ar-SA"/>
    </w:rPr>
  </w:style>
  <w:style w:type="table" w:customStyle="1" w:styleId="33">
    <w:name w:val="Table Normal"/>
    <w:semiHidden/>
    <w:unhideWhenUsed/>
    <w:qFormat/>
    <w:uiPriority w:val="0"/>
    <w:tblPr>
      <w:tblCellMar>
        <w:top w:w="0" w:type="dxa"/>
        <w:left w:w="0" w:type="dxa"/>
        <w:bottom w:w="0" w:type="dxa"/>
        <w:right w:w="0" w:type="dxa"/>
      </w:tblCellMar>
    </w:tblPr>
  </w:style>
  <w:style w:type="character" w:customStyle="1" w:styleId="34">
    <w:name w:val="font61"/>
    <w:basedOn w:val="16"/>
    <w:qFormat/>
    <w:uiPriority w:val="0"/>
    <w:rPr>
      <w:rFonts w:hint="eastAsia" w:ascii="仿宋_GB2312" w:eastAsia="仿宋_GB2312" w:cs="仿宋_GB2312"/>
      <w:color w:val="000000"/>
      <w:sz w:val="24"/>
      <w:szCs w:val="24"/>
      <w:u w:val="none"/>
    </w:rPr>
  </w:style>
  <w:style w:type="character" w:customStyle="1" w:styleId="35">
    <w:name w:val="font71"/>
    <w:basedOn w:val="16"/>
    <w:qFormat/>
    <w:uiPriority w:val="0"/>
    <w:rPr>
      <w:rFonts w:hint="eastAsia" w:ascii="仿宋_GB2312" w:eastAsia="仿宋_GB2312" w:cs="仿宋_GB2312"/>
      <w:color w:val="FF0000"/>
      <w:sz w:val="24"/>
      <w:szCs w:val="24"/>
      <w:u w:val="none"/>
    </w:rPr>
  </w:style>
  <w:style w:type="paragraph" w:customStyle="1" w:styleId="36">
    <w:name w:val="正文文本1"/>
    <w:basedOn w:val="1"/>
    <w:qFormat/>
    <w:uiPriority w:val="0"/>
    <w:pPr>
      <w:spacing w:line="480" w:lineRule="auto"/>
    </w:pPr>
    <w:rPr>
      <w:rFonts w:ascii="宋体" w:hAnsi="宋体" w:eastAsia="宋体" w:cs="宋体"/>
      <w:color w:val="auto"/>
      <w:kern w:val="2"/>
      <w:sz w:val="20"/>
      <w:szCs w:val="20"/>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2581</Words>
  <Characters>2619</Characters>
  <Lines>480</Lines>
  <Paragraphs>489</Paragraphs>
  <TotalTime>2</TotalTime>
  <ScaleCrop>false</ScaleCrop>
  <LinksUpToDate>false</LinksUpToDate>
  <CharactersWithSpaces>2621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2025-03-07T09:46:00Z</dcterms:created>
  <dc:creator>YOUNGER</dc:creator>
  <cp:lastModifiedBy>茜茜</cp:lastModifiedBy>
  <cp:lastPrinted>2025-04-09T17:08:00Z</cp:lastPrinted>
  <dcterms:modified xsi:type="dcterms:W3CDTF">2026-08-18T07:18:42Z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1944264EA18248D89A682118DFEE9A9C_13</vt:lpwstr>
  </property>
  <property fmtid="{D5CDD505-2E9C-101B-9397-08002B2CF9AE}" pid="4" name="KSOTemplateDocerSaveRecord">
    <vt:lpwstr>eyJoZGlkIjoiZmUyZDg3MDQzZDZhMDQyM2ZlOTQ2MGE3NTU2MmQ2MjgiLCJ1c2VySWQiOiIzMjQ4NDI5NjcifQ==</vt:lpwstr>
  </property>
</Properties>
</file>