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77C38">
      <w:pPr>
        <w:ind w:firstLine="0" w:firstLineChars="0"/>
        <w:rPr>
          <w:rFonts w:ascii="宋体" w:hAnsi="宋体" w:eastAsia="宋体"/>
          <w:b/>
          <w:bCs/>
          <w:sz w:val="72"/>
          <w:szCs w:val="72"/>
        </w:rPr>
      </w:pPr>
    </w:p>
    <w:p w14:paraId="51F557AB">
      <w:pPr>
        <w:spacing w:line="720" w:lineRule="auto"/>
        <w:ind w:firstLine="0" w:firstLineChars="0"/>
        <w:jc w:val="center"/>
        <w:rPr>
          <w:rFonts w:ascii="宋体" w:hAnsi="宋体" w:eastAsia="宋体"/>
          <w:b/>
          <w:bCs/>
          <w:sz w:val="72"/>
          <w:szCs w:val="72"/>
        </w:rPr>
      </w:pPr>
      <w:r>
        <w:rPr>
          <w:rFonts w:hint="eastAsia" w:ascii="宋体" w:hAnsi="宋体" w:eastAsia="宋体"/>
          <w:b/>
          <w:bCs/>
          <w:sz w:val="72"/>
          <w:szCs w:val="72"/>
        </w:rPr>
        <w:t>服务采购</w:t>
      </w:r>
    </w:p>
    <w:p w14:paraId="4C31278B">
      <w:pPr>
        <w:spacing w:line="720" w:lineRule="auto"/>
        <w:ind w:firstLine="0" w:firstLineChars="0"/>
        <w:jc w:val="center"/>
        <w:rPr>
          <w:rFonts w:ascii="宋体" w:hAnsi="宋体" w:eastAsia="宋体"/>
          <w:b/>
          <w:bCs/>
          <w:sz w:val="72"/>
          <w:szCs w:val="72"/>
        </w:rPr>
      </w:pPr>
      <w:r>
        <w:rPr>
          <w:rFonts w:hint="eastAsia" w:ascii="宋体" w:hAnsi="宋体" w:eastAsia="宋体"/>
          <w:b/>
          <w:bCs/>
          <w:sz w:val="72"/>
          <w:szCs w:val="72"/>
        </w:rPr>
        <w:t>技术规范书</w:t>
      </w:r>
      <w:r>
        <w:rPr>
          <w:rFonts w:ascii="宋体" w:hAnsi="宋体" w:eastAsia="宋体"/>
          <w:sz w:val="72"/>
          <w:szCs w:val="72"/>
        </w:rPr>
        <w:cr/>
      </w:r>
    </w:p>
    <w:p w14:paraId="14C6D2F8">
      <w:pPr>
        <w:ind w:left="640" w:firstLine="0" w:firstLineChars="0"/>
        <w:rPr>
          <w:b/>
          <w:bCs/>
          <w:u w:val="single"/>
        </w:rPr>
      </w:pPr>
      <w:r>
        <w:cr/>
      </w:r>
      <w:r>
        <w:rPr>
          <w:b/>
          <w:bCs/>
        </w:rPr>
        <w:t>项目名称：</w:t>
      </w:r>
      <w:r>
        <w:rPr>
          <w:b/>
          <w:bCs/>
          <w:u w:val="single"/>
        </w:rPr>
        <w:t>深圳深港科技创新合作区发展有限公司</w:t>
      </w:r>
    </w:p>
    <w:p w14:paraId="2A9834E9">
      <w:pPr>
        <w:ind w:left="640" w:firstLine="1629" w:firstLineChars="507"/>
      </w:pPr>
      <w:r>
        <w:rPr>
          <w:rFonts w:hint="eastAsia"/>
          <w:b/>
          <w:bCs/>
          <w:u w:val="single"/>
        </w:rPr>
        <w:t>2026-2027年常年法律顾问服务</w:t>
      </w:r>
      <w:r>
        <w:rPr>
          <w:b/>
          <w:bCs/>
          <w:u w:val="single"/>
        </w:rPr>
        <w:cr/>
      </w:r>
      <w:r>
        <w:rPr>
          <w:b/>
          <w:bCs/>
        </w:rPr>
        <w:t>招 标 人：</w:t>
      </w:r>
      <w:r>
        <w:rPr>
          <w:b/>
          <w:bCs/>
          <w:u w:val="single"/>
        </w:rPr>
        <w:t>深圳深港科技创新合作区发展有限公司</w:t>
      </w:r>
      <w:r>
        <w:rPr>
          <w:b/>
          <w:bCs/>
          <w:u w:val="single"/>
        </w:rPr>
        <w:cr/>
      </w:r>
      <w:r>
        <w:cr/>
      </w:r>
      <w:r>
        <w:cr/>
      </w:r>
      <w:r>
        <w:cr/>
      </w:r>
      <w:r>
        <w:cr/>
      </w:r>
    </w:p>
    <w:p w14:paraId="2C3286B1">
      <w:pPr>
        <w:ind w:left="640" w:firstLine="1622" w:firstLineChars="507"/>
        <w:rPr>
          <w:b/>
          <w:bCs/>
        </w:rPr>
      </w:pPr>
      <w:r>
        <w:cr/>
      </w:r>
      <w:r>
        <w:cr/>
      </w:r>
      <w:r>
        <w:t xml:space="preserve">                 </w:t>
      </w:r>
      <w:r>
        <w:rPr>
          <w:b/>
          <w:bCs/>
        </w:rPr>
        <w:t>二零二</w:t>
      </w:r>
      <w:r>
        <w:rPr>
          <w:rFonts w:hint="eastAsia"/>
          <w:b/>
          <w:bCs/>
        </w:rPr>
        <w:t>六</w:t>
      </w:r>
      <w:r>
        <w:rPr>
          <w:b/>
          <w:bCs/>
        </w:rPr>
        <w:t>年</w:t>
      </w:r>
      <w:r>
        <w:rPr>
          <w:rFonts w:hint="eastAsia"/>
          <w:b/>
          <w:bCs/>
        </w:rPr>
        <w:t>六</w:t>
      </w:r>
      <w:r>
        <w:rPr>
          <w:b/>
          <w:bCs/>
        </w:rPr>
        <w:t>月</w:t>
      </w:r>
      <w:r>
        <w:rPr>
          <w:b/>
          <w:bCs/>
        </w:rPr>
        <w:cr/>
      </w:r>
    </w:p>
    <w:p w14:paraId="2966090C">
      <w:pPr>
        <w:ind w:left="640" w:firstLine="1622" w:firstLineChars="507"/>
      </w:pPr>
    </w:p>
    <w:p w14:paraId="4A75D58B">
      <w:pPr>
        <w:ind w:firstLine="640"/>
        <w:jc w:val="both"/>
        <w:rPr>
          <w:rFonts w:ascii="黑体" w:hAnsi="黑体" w:eastAsia="黑体"/>
        </w:rPr>
      </w:pPr>
      <w:r>
        <w:rPr>
          <w:rFonts w:ascii="黑体" w:hAnsi="黑体" w:eastAsia="黑体"/>
        </w:rPr>
        <w:t>一、项目概况</w:t>
      </w:r>
    </w:p>
    <w:p w14:paraId="258E1A94">
      <w:pPr>
        <w:ind w:firstLine="640"/>
        <w:jc w:val="both"/>
      </w:pPr>
      <w:r>
        <w:rPr>
          <w:rFonts w:hint="eastAsia"/>
        </w:rPr>
        <w:t>招标人</w:t>
      </w:r>
      <w:r>
        <w:t>专司河套深港科技创新合作区深圳园区建设运营。伴随</w:t>
      </w:r>
      <w:r>
        <w:rPr>
          <w:rFonts w:hint="eastAsia"/>
        </w:rPr>
        <w:t>工程建设项目</w:t>
      </w:r>
      <w:r>
        <w:t>的推进、</w:t>
      </w:r>
      <w:r>
        <w:rPr>
          <w:rFonts w:hint="eastAsia"/>
        </w:rPr>
        <w:t>物业租售、运营管理以及</w:t>
      </w:r>
      <w:r>
        <w:t>基金投资</w:t>
      </w:r>
      <w:r>
        <w:rPr>
          <w:rFonts w:hint="eastAsia"/>
        </w:rPr>
        <w:t>等</w:t>
      </w:r>
      <w:r>
        <w:t>业务的</w:t>
      </w:r>
      <w:r>
        <w:rPr>
          <w:rFonts w:hint="eastAsia"/>
        </w:rPr>
        <w:t>丰富化</w:t>
      </w:r>
      <w:r>
        <w:t>，</w:t>
      </w:r>
      <w:r>
        <w:rPr>
          <w:rFonts w:hint="eastAsia"/>
        </w:rPr>
        <w:t>公司</w:t>
      </w:r>
      <w:r>
        <w:t>面临</w:t>
      </w:r>
      <w:r>
        <w:rPr>
          <w:rFonts w:hint="eastAsia"/>
        </w:rPr>
        <w:t>相关领域合法、合规</w:t>
      </w:r>
      <w:r>
        <w:t>风险，需外部专业法律机构作为第三方顾问，为公司提供专业意见，协助</w:t>
      </w:r>
      <w:r>
        <w:rPr>
          <w:rFonts w:hint="eastAsia"/>
        </w:rPr>
        <w:t>规避相应风险。</w:t>
      </w:r>
    </w:p>
    <w:p w14:paraId="579E5484">
      <w:pPr>
        <w:ind w:firstLine="640"/>
        <w:jc w:val="both"/>
        <w:rPr>
          <w:rFonts w:ascii="黑体" w:hAnsi="黑体" w:eastAsia="黑体"/>
        </w:rPr>
      </w:pPr>
      <w:r>
        <w:rPr>
          <w:rFonts w:ascii="黑体" w:hAnsi="黑体" w:eastAsia="黑体"/>
        </w:rPr>
        <w:t>二、</w:t>
      </w:r>
      <w:r>
        <w:rPr>
          <w:rFonts w:hint="eastAsia" w:ascii="黑体" w:hAnsi="黑体" w:eastAsia="黑体"/>
        </w:rPr>
        <w:t>服务内容</w:t>
      </w:r>
    </w:p>
    <w:p w14:paraId="701D20FE">
      <w:pPr>
        <w:ind w:firstLine="640"/>
        <w:jc w:val="both"/>
      </w:pPr>
      <w:r>
        <w:rPr>
          <w:b/>
          <w:bCs/>
        </w:rPr>
        <w:t>（一）服务</w:t>
      </w:r>
      <w:r>
        <w:rPr>
          <w:rFonts w:hint="eastAsia"/>
          <w:b/>
          <w:bCs/>
        </w:rPr>
        <w:t>范围</w:t>
      </w:r>
    </w:p>
    <w:p w14:paraId="2887B6B2">
      <w:pPr>
        <w:ind w:firstLine="640"/>
        <w:jc w:val="both"/>
      </w:pPr>
      <w:r>
        <w:rPr>
          <w:rFonts w:hint="eastAsia"/>
        </w:rPr>
        <w:t>对公司经营管理中涉及的法律问题提供法律咨询意见与法规案例解读，为公司遇到的业务困难提供合规路径，根据公司需求出具法律意见书；协助公司草拟、修改、审查合同、对外函件及其他法律事务文书，对公司合同范本进行法律审核，并按公司要求出具法律审查意见；代表公司就纠纷事项进行非诉讼交涉；根据要求列席公司重大会议，为公司重大决策行为提供法律咨询意见；协助公司建立健全合规体系，参与内部规范性文件审核、修订工作；视需要参加与供应商、客户等主体的洽商、谈判、斡旋等；提供每年不少于3次的专题法律培训；提供每周1日的律师驻场服务。</w:t>
      </w:r>
    </w:p>
    <w:p w14:paraId="79789F68">
      <w:pPr>
        <w:pStyle w:val="23"/>
        <w:numPr>
          <w:ilvl w:val="0"/>
          <w:numId w:val="1"/>
        </w:numPr>
        <w:ind w:firstLineChars="0"/>
        <w:jc w:val="both"/>
      </w:pPr>
      <w:r>
        <w:rPr>
          <w:b/>
          <w:bCs/>
        </w:rPr>
        <w:t>服务</w:t>
      </w:r>
      <w:r>
        <w:rPr>
          <w:rFonts w:hint="eastAsia"/>
          <w:b/>
          <w:bCs/>
        </w:rPr>
        <w:t>领域</w:t>
      </w:r>
    </w:p>
    <w:p w14:paraId="23884355">
      <w:pPr>
        <w:ind w:firstLine="640"/>
        <w:jc w:val="both"/>
      </w:pPr>
      <w:r>
        <w:rPr>
          <w:rFonts w:hint="eastAsia"/>
        </w:rPr>
        <w:t>1.核心业务法律服务</w:t>
      </w:r>
    </w:p>
    <w:p w14:paraId="3D8BD2BF">
      <w:pPr>
        <w:ind w:firstLine="640"/>
        <w:jc w:val="both"/>
      </w:pPr>
      <w:r>
        <w:rPr>
          <w:rFonts w:hint="eastAsia"/>
        </w:rPr>
        <w:t>（1）公司本部及下属子公司的日常法律服务：包括但不限于公司法人治理、制度建设、合规体系建设、招投标管理、产权管理、劳动关系、法律合规培训等。</w:t>
      </w:r>
    </w:p>
    <w:p w14:paraId="3820AC13">
      <w:pPr>
        <w:ind w:firstLine="640"/>
        <w:jc w:val="both"/>
      </w:pPr>
      <w:r>
        <w:rPr>
          <w:rFonts w:hint="eastAsia"/>
        </w:rPr>
        <w:t>（2）工程建设法律服务：包括协同创新区等工程建设项目相关法律服务。</w:t>
      </w:r>
    </w:p>
    <w:p w14:paraId="587621B4">
      <w:pPr>
        <w:ind w:firstLine="640"/>
        <w:jc w:val="both"/>
      </w:pPr>
      <w:r>
        <w:rPr>
          <w:rFonts w:hint="eastAsia"/>
        </w:rPr>
        <w:t>（3）区运营法律服务：包括河套科创中心、河套壹号等园区运营事项。</w:t>
      </w:r>
    </w:p>
    <w:p w14:paraId="46F7D733">
      <w:pPr>
        <w:ind w:firstLine="640"/>
        <w:jc w:val="both"/>
      </w:pPr>
      <w:r>
        <w:rPr>
          <w:rFonts w:hint="eastAsia"/>
        </w:rPr>
        <w:t>（4）基金投资与科创服务：涉及基金设立、股权投资、投资孵化日常法律事务及科创服务谋划与执行的法律支撑。</w:t>
      </w:r>
    </w:p>
    <w:p w14:paraId="093C2735">
      <w:pPr>
        <w:spacing w:line="360" w:lineRule="auto"/>
        <w:ind w:firstLine="640"/>
        <w:rPr>
          <w:rFonts w:ascii="宋体" w:hAnsi="宋体" w:eastAsia="宋体" w:cs="Arial Unicode MS"/>
          <w:color w:val="0000FF"/>
          <w:sz w:val="28"/>
          <w:szCs w:val="20"/>
          <w:u w:val="single"/>
        </w:rPr>
      </w:pPr>
      <w:r>
        <w:rPr>
          <w:rFonts w:ascii="宋体" w:hAnsi="宋体" w:eastAsia="宋体" w:cs="Arial Unicode MS"/>
          <w:color w:val="0000FF"/>
          <w:sz w:val="28"/>
          <w:szCs w:val="20"/>
          <w:u w:val="single"/>
        </w:rPr>
        <w:t>以上法律服务内容不包括相关诉讼、仲裁事宜，以及经招标人书面单独立项确认的项目专项法律服务（专项服务仅限于尽</w:t>
      </w:r>
      <w:bookmarkStart w:id="0" w:name="_GoBack"/>
      <w:bookmarkEnd w:id="0"/>
      <w:r>
        <w:rPr>
          <w:rFonts w:ascii="宋体" w:hAnsi="宋体" w:eastAsia="宋体" w:cs="Arial Unicode MS"/>
          <w:color w:val="0000FF"/>
          <w:sz w:val="28"/>
          <w:szCs w:val="20"/>
          <w:u w:val="single"/>
        </w:rPr>
        <w:t>调项目，或代为办理公司收并购、重大重组程序的独立项目）。</w:t>
      </w:r>
    </w:p>
    <w:p w14:paraId="5E4D878B">
      <w:pPr>
        <w:ind w:firstLine="640" w:firstLineChars="0"/>
        <w:jc w:val="both"/>
        <w:rPr>
          <w:sz w:val="28"/>
          <w:szCs w:val="21"/>
        </w:rPr>
      </w:pPr>
      <w:r>
        <w:rPr>
          <w:rFonts w:ascii="宋体" w:hAnsi="宋体" w:eastAsia="宋体" w:cs="Arial Unicode MS"/>
          <w:color w:val="0000FF"/>
          <w:sz w:val="28"/>
          <w:szCs w:val="20"/>
          <w:u w:val="single"/>
        </w:rPr>
        <w:t>特别明确：无论涉及招标人及下属企业何种核心业务（含工程建设、园区运营、基金投资等），所有类型的合同、协议及法律文书的草拟、修改与法律审查工作及意见出具，包括非诉争议处理、对外谈判协助与法律风险处置等，均原则上无条件属于本常年法律顾问服务范围；中标人不得以项目重大、金额较高、案情复杂或服务周期较长为由拒绝审查或要求按专项另行收费。某项服务是否属于‘项目专项法律服务’，最终解释权与认定权归招标人所有。</w:t>
      </w:r>
    </w:p>
    <w:p w14:paraId="6B0C879C">
      <w:pPr>
        <w:pStyle w:val="23"/>
        <w:numPr>
          <w:ilvl w:val="0"/>
          <w:numId w:val="1"/>
        </w:numPr>
        <w:ind w:firstLineChars="0"/>
        <w:jc w:val="both"/>
      </w:pPr>
      <w:r>
        <w:rPr>
          <w:b/>
          <w:bCs/>
        </w:rPr>
        <w:t>常规服务要求</w:t>
      </w:r>
    </w:p>
    <w:p w14:paraId="5ABB492E">
      <w:pPr>
        <w:adjustRightInd w:val="0"/>
        <w:snapToGrid w:val="0"/>
        <w:ind w:firstLine="640"/>
        <w:rPr>
          <w:rFonts w:ascii="仿宋_GB2312" w:hAnsi="仿宋_GB2312" w:cs="仿宋_GB2312"/>
        </w:rPr>
      </w:pPr>
      <w:r>
        <w:rPr>
          <w:rFonts w:hint="eastAsia" w:ascii="仿宋_GB2312" w:hAnsi="仿宋_GB2312" w:cs="仿宋_GB2312"/>
        </w:rPr>
        <w:t>1.每周1日律师驻场法律服务（甲方因紧急需要增加驻场天数的，应提前2个工作日通知乙方，每月累计额外驻场不超过4天）；</w:t>
      </w:r>
    </w:p>
    <w:p w14:paraId="5DF35DEC">
      <w:pPr>
        <w:adjustRightInd w:val="0"/>
        <w:snapToGrid w:val="0"/>
        <w:ind w:firstLine="640"/>
        <w:rPr>
          <w:rFonts w:ascii="仿宋_GB2312" w:hAnsi="仿宋_GB2312" w:cs="仿宋_GB2312"/>
        </w:rPr>
      </w:pPr>
      <w:r>
        <w:rPr>
          <w:rFonts w:hint="eastAsia" w:ascii="仿宋_GB2312" w:hAnsi="仿宋_GB2312" w:cs="仿宋_GB2312"/>
        </w:rPr>
        <w:t>2.驻点人员不能胜任工作的，甲方有权要求更换；</w:t>
      </w:r>
    </w:p>
    <w:p w14:paraId="5C671C5F">
      <w:pPr>
        <w:adjustRightInd w:val="0"/>
        <w:snapToGrid w:val="0"/>
        <w:ind w:firstLine="640"/>
        <w:rPr>
          <w:rFonts w:ascii="仿宋_GB2312" w:hAnsi="仿宋_GB2312" w:cs="仿宋_GB2312"/>
        </w:rPr>
      </w:pPr>
      <w:r>
        <w:rPr>
          <w:rFonts w:hint="eastAsia" w:ascii="仿宋_GB2312" w:hAnsi="仿宋_GB2312" w:cs="仿宋_GB2312"/>
        </w:rPr>
        <w:t>3.驻点人员原则上应为一至两名固定的服务人员，确有需要时，乙方可以安排附件一名单内具有相应专业能力的律师临时替换服务人员驻场。</w:t>
      </w:r>
    </w:p>
    <w:p w14:paraId="7AB84917">
      <w:pPr>
        <w:ind w:firstLine="640"/>
        <w:jc w:val="both"/>
        <w:rPr>
          <w:rFonts w:ascii="仿宋_GB2312" w:hAnsi="仿宋_GB2312" w:cs="仿宋_GB2312"/>
        </w:rPr>
      </w:pPr>
      <w:r>
        <w:rPr>
          <w:rFonts w:hint="eastAsia" w:ascii="仿宋_GB2312" w:hAnsi="仿宋_GB2312" w:cs="仿宋_GB2312"/>
        </w:rPr>
        <w:t>2.全年不少于3场专题法律培训服务。</w:t>
      </w:r>
    </w:p>
    <w:p w14:paraId="0AD8FCBB">
      <w:pPr>
        <w:ind w:firstLine="640"/>
        <w:jc w:val="both"/>
      </w:pPr>
      <w:r>
        <w:rPr>
          <w:rFonts w:hint="eastAsia" w:ascii="仿宋_GB2312" w:hAnsi="仿宋_GB2312" w:cs="仿宋_GB2312"/>
        </w:rPr>
        <w:t>3.其他与招标人有关的日常法律服务。</w:t>
      </w:r>
    </w:p>
    <w:p w14:paraId="416451B3">
      <w:pPr>
        <w:pStyle w:val="23"/>
        <w:numPr>
          <w:ilvl w:val="0"/>
          <w:numId w:val="1"/>
        </w:numPr>
        <w:ind w:firstLineChars="0"/>
        <w:jc w:val="both"/>
        <w:rPr>
          <w:b/>
          <w:bCs/>
        </w:rPr>
      </w:pPr>
      <w:r>
        <w:rPr>
          <w:rFonts w:hint="eastAsia"/>
          <w:b/>
          <w:bCs/>
        </w:rPr>
        <w:t>服务响应要求</w:t>
      </w:r>
    </w:p>
    <w:p w14:paraId="409F099B">
      <w:pPr>
        <w:ind w:firstLine="640"/>
        <w:jc w:val="both"/>
        <w:rPr>
          <w:rFonts w:ascii="仿宋_GB2312" w:hAnsi="仿宋_GB2312" w:cs="仿宋_GB2312"/>
        </w:rPr>
      </w:pPr>
      <w:r>
        <w:rPr>
          <w:rFonts w:hint="eastAsia" w:ascii="仿宋_GB2312" w:hAnsi="仿宋_GB2312" w:cs="仿宋_GB2312"/>
        </w:rPr>
        <w:t>1.普通文件或普通合同自收到招标人发送的文件之日起24小时内起草、修订或审核完毕，并出具书面法律意见。</w:t>
      </w:r>
    </w:p>
    <w:p w14:paraId="30406763">
      <w:pPr>
        <w:ind w:firstLine="640"/>
        <w:jc w:val="both"/>
        <w:rPr>
          <w:rFonts w:ascii="仿宋_GB2312" w:hAnsi="仿宋_GB2312" w:cs="仿宋_GB2312"/>
        </w:rPr>
      </w:pPr>
      <w:r>
        <w:rPr>
          <w:rFonts w:hint="eastAsia" w:ascii="仿宋_GB2312" w:hAnsi="仿宋_GB2312" w:cs="仿宋_GB2312"/>
        </w:rPr>
        <w:t>2.重要文件或重大合同自收到招标人发送的文件之日起48小时内起草、修订或审核完毕，并出具书面法律意见。</w:t>
      </w:r>
    </w:p>
    <w:p w14:paraId="31CAFFE8">
      <w:pPr>
        <w:ind w:firstLine="640"/>
        <w:jc w:val="both"/>
        <w:rPr>
          <w:rFonts w:ascii="仿宋_GB2312" w:hAnsi="仿宋_GB2312" w:cs="仿宋_GB2312"/>
        </w:rPr>
      </w:pPr>
      <w:r>
        <w:rPr>
          <w:rFonts w:hint="eastAsia" w:ascii="仿宋_GB2312" w:hAnsi="仿宋_GB2312" w:cs="仿宋_GB2312"/>
        </w:rPr>
        <w:t>3.如文件或合同特别复杂，在上述约定时间内确实无法完成经招标人同意可适当延长，但最多不超过5日，同时中标人应作出书面解释。</w:t>
      </w:r>
    </w:p>
    <w:p w14:paraId="53C830EF">
      <w:pPr>
        <w:ind w:firstLine="640"/>
        <w:jc w:val="both"/>
        <w:rPr>
          <w:rFonts w:ascii="仿宋_GB2312" w:hAnsi="仿宋_GB2312" w:cs="仿宋_GB2312"/>
        </w:rPr>
      </w:pPr>
      <w:r>
        <w:rPr>
          <w:rFonts w:hint="eastAsia" w:ascii="仿宋_GB2312" w:hAnsi="仿宋_GB2312" w:cs="仿宋_GB2312"/>
        </w:rPr>
        <w:t>4.准时参加招标人通知参加的各类会议（重大会议需中标人团队负责人参加，其他会议需主要律师参加），按时提交有关报告，跟踪法律事务，及时揭示法律风险。</w:t>
      </w:r>
    </w:p>
    <w:p w14:paraId="420A2FDE">
      <w:pPr>
        <w:ind w:firstLine="640"/>
        <w:jc w:val="both"/>
        <w:rPr>
          <w:rFonts w:ascii="仿宋_GB2312" w:hAnsi="仿宋_GB2312" w:cs="仿宋_GB2312"/>
        </w:rPr>
      </w:pPr>
      <w:r>
        <w:rPr>
          <w:rFonts w:hint="eastAsia" w:ascii="仿宋_GB2312" w:hAnsi="仿宋_GB2312" w:cs="仿宋_GB2312"/>
        </w:rPr>
        <w:t>5.如招标人与第三人发生纠纷，中标人应在收到招标人通知后24小时内提出初步解决方案，并及时跟进解决。</w:t>
      </w:r>
    </w:p>
    <w:p w14:paraId="1BDB38D5">
      <w:pPr>
        <w:ind w:firstLine="640"/>
        <w:jc w:val="both"/>
        <w:rPr>
          <w:rFonts w:ascii="仿宋_GB2312" w:hAnsi="仿宋_GB2312" w:cs="仿宋_GB2312"/>
        </w:rPr>
      </w:pPr>
      <w:r>
        <w:rPr>
          <w:rFonts w:hint="eastAsia" w:ascii="仿宋_GB2312" w:hAnsi="仿宋_GB2312" w:cs="仿宋_GB2312"/>
        </w:rPr>
        <w:t>6.如招标人发生突发情况或事件需中标人解决的，中标人应在接到招标人通知后2小时内提供初步意见。如招标人要求，应在4小时内赶到现场，提出初步解决方案，并及时跟进解决。</w:t>
      </w:r>
    </w:p>
    <w:p w14:paraId="44200D68">
      <w:pPr>
        <w:ind w:firstLine="640"/>
        <w:jc w:val="both"/>
        <w:rPr>
          <w:rFonts w:ascii="楷体_GB2312" w:eastAsia="楷体_GB2312"/>
        </w:rPr>
      </w:pPr>
      <w:r>
        <w:rPr>
          <w:rFonts w:hint="eastAsia" w:ascii="楷体_GB2312" w:eastAsia="楷体_GB2312"/>
        </w:rPr>
        <w:t>（五）交付成果</w:t>
      </w:r>
    </w:p>
    <w:p w14:paraId="1CAF3A4E">
      <w:pPr>
        <w:ind w:firstLine="640"/>
        <w:jc w:val="both"/>
        <w:rPr>
          <w:rFonts w:ascii="仿宋_GB2312" w:hAnsi="仿宋_GB2312" w:cs="仿宋_GB2312"/>
        </w:rPr>
      </w:pPr>
      <w:r>
        <w:rPr>
          <w:rFonts w:hint="eastAsia" w:ascii="仿宋_GB2312" w:hAnsi="仿宋_GB2312" w:cs="仿宋_GB2312"/>
        </w:rPr>
        <w:t>1.根据公司实际需求所出具律师函；</w:t>
      </w:r>
    </w:p>
    <w:p w14:paraId="095C8EEB">
      <w:pPr>
        <w:ind w:firstLine="640"/>
        <w:jc w:val="both"/>
        <w:rPr>
          <w:rFonts w:ascii="仿宋_GB2312" w:hAnsi="仿宋_GB2312" w:cs="仿宋_GB2312"/>
        </w:rPr>
      </w:pPr>
      <w:r>
        <w:rPr>
          <w:rFonts w:hint="eastAsia" w:ascii="仿宋_GB2312" w:hAnsi="仿宋_GB2312" w:cs="仿宋_GB2312"/>
        </w:rPr>
        <w:t>2.各类业务模块合同范本；</w:t>
      </w:r>
    </w:p>
    <w:p w14:paraId="3EE372E9">
      <w:pPr>
        <w:ind w:firstLine="640"/>
        <w:jc w:val="both"/>
        <w:rPr>
          <w:rFonts w:ascii="仿宋_GB2312" w:hAnsi="仿宋_GB2312" w:cs="仿宋_GB2312"/>
        </w:rPr>
      </w:pPr>
      <w:r>
        <w:rPr>
          <w:rFonts w:hint="eastAsia" w:ascii="仿宋_GB2312" w:hAnsi="仿宋_GB2312" w:cs="仿宋_GB2312"/>
        </w:rPr>
        <w:t>3.法律意见书、备忘录；</w:t>
      </w:r>
    </w:p>
    <w:p w14:paraId="36BC2E8F">
      <w:pPr>
        <w:ind w:firstLine="640"/>
        <w:jc w:val="both"/>
        <w:rPr>
          <w:rFonts w:ascii="仿宋_GB2312" w:hAnsi="仿宋_GB2312" w:cs="仿宋_GB2312"/>
        </w:rPr>
      </w:pPr>
      <w:r>
        <w:rPr>
          <w:rFonts w:hint="eastAsia" w:ascii="仿宋_GB2312" w:hAnsi="仿宋_GB2312" w:cs="仿宋_GB2312"/>
        </w:rPr>
        <w:t>4.法律法规专题讲座和培训；</w:t>
      </w:r>
    </w:p>
    <w:p w14:paraId="6C52FC96">
      <w:pPr>
        <w:ind w:firstLine="640"/>
        <w:jc w:val="both"/>
        <w:rPr>
          <w:rFonts w:ascii="仿宋_GB2312" w:hAnsi="仿宋_GB2312" w:cs="仿宋_GB2312"/>
        </w:rPr>
      </w:pPr>
      <w:r>
        <w:rPr>
          <w:rFonts w:hint="eastAsia" w:ascii="仿宋_GB2312" w:hAnsi="仿宋_GB2312" w:cs="仿宋_GB2312"/>
        </w:rPr>
        <w:t>5.</w:t>
      </w:r>
      <w:r>
        <w:rPr>
          <w:rFonts w:ascii="仿宋_GB2312" w:hAnsi="仿宋_GB2312" w:cs="仿宋_GB2312"/>
        </w:rPr>
        <w:t>每季度服务情况总结及年度服务情况报告</w:t>
      </w:r>
      <w:r>
        <w:rPr>
          <w:rFonts w:hint="eastAsia" w:ascii="仿宋_GB2312" w:hAnsi="仿宋_GB2312" w:cs="仿宋_GB2312"/>
        </w:rPr>
        <w:t>。</w:t>
      </w:r>
    </w:p>
    <w:p w14:paraId="46B10220">
      <w:pPr>
        <w:ind w:firstLine="640"/>
        <w:jc w:val="both"/>
        <w:rPr>
          <w:rFonts w:ascii="楷体_GB2312" w:eastAsia="楷体_GB2312"/>
        </w:rPr>
      </w:pPr>
      <w:r>
        <w:rPr>
          <w:rFonts w:hint="eastAsia" w:ascii="楷体_GB2312" w:eastAsia="楷体_GB2312"/>
        </w:rPr>
        <w:t>三、服务期限</w:t>
      </w:r>
    </w:p>
    <w:p w14:paraId="0FAB5461">
      <w:pPr>
        <w:ind w:firstLine="640"/>
        <w:jc w:val="both"/>
      </w:pPr>
      <w:r>
        <w:rPr>
          <w:rFonts w:hint="eastAsia" w:ascii="仿宋_GB2312" w:hAnsi="仿宋_GB2312" w:cs="仿宋_GB2312"/>
        </w:rPr>
        <w:t>本项目服务期暂定为1年（具体自合同签订之日起算）。在服务年度期满前，由招标人对中标人进行年度履约考核。考核结果为“良好”及以上的，招标人可结合实际需求决定是否续签下一年度合同；考核不合格的，招标人有权不再续签。</w:t>
      </w:r>
    </w:p>
    <w:p w14:paraId="3AD0BD0B">
      <w:pPr>
        <w:ind w:firstLine="640"/>
        <w:jc w:val="both"/>
        <w:rPr>
          <w:rFonts w:ascii="楷体_GB2312" w:eastAsia="楷体_GB2312"/>
        </w:rPr>
      </w:pPr>
      <w:r>
        <w:rPr>
          <w:rFonts w:hint="eastAsia" w:ascii="楷体_GB2312" w:eastAsia="楷体_GB2312"/>
        </w:rPr>
        <w:t>四、团队要求</w:t>
      </w:r>
    </w:p>
    <w:p w14:paraId="74F1247D">
      <w:pPr>
        <w:ind w:firstLine="640"/>
        <w:jc w:val="both"/>
        <w:rPr>
          <w:rFonts w:ascii="仿宋_GB2312" w:hAnsi="仿宋_GB2312" w:cs="仿宋_GB2312"/>
        </w:rPr>
      </w:pPr>
      <w:r>
        <w:rPr>
          <w:rFonts w:hint="eastAsia" w:ascii="仿宋_GB2312" w:hAnsi="仿宋_GB2312" w:cs="仿宋_GB2312"/>
        </w:rPr>
        <w:t xml:space="preserve">中标人应指派至少 </w:t>
      </w:r>
      <w:r>
        <w:rPr>
          <w:rFonts w:hint="eastAsia" w:ascii="仿宋_GB2312" w:hAnsi="仿宋_GB2312" w:cs="仿宋_GB2312"/>
          <w:b/>
          <w:bCs/>
        </w:rPr>
        <w:t>1名合伙人及4名（含4名）以上</w:t>
      </w:r>
      <w:r>
        <w:rPr>
          <w:rFonts w:hint="eastAsia" w:ascii="仿宋_GB2312" w:hAnsi="仿宋_GB2312" w:cs="仿宋_GB2312"/>
        </w:rPr>
        <w:t xml:space="preserve"> 的专职律师组成核心服务团队（不包括律师助理，并需指定1名主办律师）。</w:t>
      </w:r>
    </w:p>
    <w:p w14:paraId="6211B2EA">
      <w:pPr>
        <w:ind w:firstLine="640"/>
        <w:jc w:val="both"/>
        <w:rPr>
          <w:rFonts w:ascii="仿宋_GB2312" w:hAnsi="仿宋_GB2312" w:cs="仿宋_GB2312"/>
        </w:rPr>
      </w:pPr>
      <w:r>
        <w:rPr>
          <w:rFonts w:hint="eastAsia" w:ascii="仿宋_GB2312" w:hAnsi="仿宋_GB2312" w:cs="仿宋_GB2312"/>
        </w:rPr>
        <w:t xml:space="preserve">团队成员（尤其是合伙人与主办律师）必须具有丰富的 </w:t>
      </w:r>
      <w:r>
        <w:rPr>
          <w:rFonts w:hint="eastAsia" w:ascii="仿宋_GB2312" w:hAnsi="仿宋_GB2312" w:cs="仿宋_GB2312"/>
          <w:b/>
          <w:bCs/>
        </w:rPr>
        <w:t>工程建设、园区运营、基金投资、国企合规</w:t>
      </w:r>
      <w:r>
        <w:rPr>
          <w:rFonts w:hint="eastAsia" w:ascii="仿宋_GB2312" w:hAnsi="仿宋_GB2312" w:cs="仿宋_GB2312"/>
        </w:rPr>
        <w:t xml:space="preserve"> 等领域的法律服务经验。未经招标人同意，不得擅自更换团队核心成员。</w:t>
      </w:r>
    </w:p>
    <w:p w14:paraId="5C099D3D">
      <w:pPr>
        <w:ind w:firstLine="640"/>
        <w:jc w:val="both"/>
        <w:rPr>
          <w:rFonts w:ascii="黑体" w:hAnsi="黑体" w:eastAsia="黑体"/>
        </w:rPr>
      </w:pPr>
      <w:r>
        <w:rPr>
          <w:rFonts w:hint="eastAsia" w:ascii="黑体" w:hAnsi="黑体" w:eastAsia="黑体"/>
        </w:rPr>
        <w:t>五、</w:t>
      </w:r>
      <w:r>
        <w:rPr>
          <w:rFonts w:ascii="黑体" w:hAnsi="黑体" w:eastAsia="黑体"/>
        </w:rPr>
        <w:t>付款方式</w:t>
      </w:r>
    </w:p>
    <w:p w14:paraId="77E20C04">
      <w:pPr>
        <w:ind w:firstLine="640"/>
        <w:jc w:val="both"/>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（一）首期顾问费：本合同签订之日起20</w:t>
      </w:r>
      <w:r>
        <w:rPr>
          <w:rFonts w:ascii="仿宋_GB2312"/>
          <w:color w:val="000000" w:themeColor="text1"/>
          <w14:textFill>
            <w14:solidFill>
              <w14:schemeClr w14:val="tx1"/>
            </w14:solidFill>
          </w14:textFill>
        </w:rPr>
        <w:t>个工作日内，招标人向中标人支付总法律顾问费的</w:t>
      </w:r>
      <w:r>
        <w:rPr>
          <w:rFonts w:hint="eastAsia" w:ascii="仿宋_GB2312"/>
          <w:color w:val="000000" w:themeColor="text1"/>
          <w14:textFill>
            <w14:solidFill>
              <w14:schemeClr w14:val="tx1"/>
            </w14:solidFill>
          </w14:textFill>
        </w:rPr>
        <w:t>3</w:t>
      </w:r>
      <w:r>
        <w:rPr>
          <w:rFonts w:ascii="仿宋_GB2312"/>
          <w:color w:val="000000" w:themeColor="text1"/>
          <w14:textFill>
            <w14:solidFill>
              <w14:schemeClr w14:val="tx1"/>
            </w14:solidFill>
          </w14:textFill>
        </w:rPr>
        <w:t>0%；</w:t>
      </w:r>
    </w:p>
    <w:p w14:paraId="35F3F402">
      <w:pPr>
        <w:ind w:firstLine="640"/>
        <w:jc w:val="both"/>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（二）二期顾问费：中标人在合同签订后满12</w:t>
      </w:r>
      <w:r>
        <w:rPr>
          <w:rFonts w:ascii="仿宋_GB2312"/>
          <w:color w:val="000000" w:themeColor="text1"/>
          <w14:textFill>
            <w14:solidFill>
              <w14:schemeClr w14:val="tx1"/>
            </w14:solidFill>
          </w14:textFill>
        </w:rPr>
        <w:t>个月后，</w:t>
      </w:r>
      <w:r>
        <w:rPr>
          <w:rFonts w:hint="eastAsia" w:ascii="仿宋_GB2312"/>
          <w:color w:val="000000" w:themeColor="text1"/>
          <w14:textFill>
            <w14:solidFill>
              <w14:schemeClr w14:val="tx1"/>
            </w14:solidFill>
          </w14:textFill>
        </w:rPr>
        <w:t>支付总法律顾问费的50%，</w:t>
      </w:r>
      <w:r>
        <w:rPr>
          <w:rFonts w:ascii="仿宋_GB2312"/>
          <w:color w:val="000000" w:themeColor="text1"/>
          <w14:textFill>
            <w14:solidFill>
              <w14:schemeClr w14:val="tx1"/>
            </w14:solidFill>
          </w14:textFill>
        </w:rPr>
        <w:t>并根据考核结果支付最高不超过总法律顾问费</w:t>
      </w:r>
      <w:r>
        <w:rPr>
          <w:rFonts w:hint="eastAsia" w:ascii="仿宋_GB2312"/>
          <w:color w:val="000000" w:themeColor="text1"/>
          <w14:textFill>
            <w14:solidFill>
              <w14:schemeClr w14:val="tx1"/>
            </w14:solidFill>
          </w14:textFill>
        </w:rPr>
        <w:t>2</w:t>
      </w:r>
      <w:r>
        <w:rPr>
          <w:rFonts w:ascii="仿宋_GB2312"/>
          <w:color w:val="000000" w:themeColor="text1"/>
          <w14:textFill>
            <w14:solidFill>
              <w14:schemeClr w14:val="tx1"/>
            </w14:solidFill>
          </w14:textFill>
        </w:rPr>
        <w:t>0%的绩效顾问费。中标人支付前，中标人应提供真实有效的增值税专用发票。招标人在收到前述发票后的20个工作日内予以支付。</w:t>
      </w:r>
    </w:p>
    <w:p w14:paraId="6AE4C29F">
      <w:pPr>
        <w:ind w:firstLine="640"/>
        <w:jc w:val="both"/>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具体支付安排见下表</w:t>
      </w:r>
      <w:r>
        <w:rPr>
          <w:rFonts w:ascii="仿宋_GB2312"/>
          <w:color w:val="000000" w:themeColor="text1"/>
          <w14:textFill>
            <w14:solidFill>
              <w14:schemeClr w14:val="tx1"/>
            </w14:solidFill>
          </w14:textFill>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2244"/>
        <w:gridCol w:w="1843"/>
      </w:tblGrid>
      <w:tr w14:paraId="66A4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vAlign w:val="center"/>
          </w:tcPr>
          <w:p w14:paraId="650B3C0E">
            <w:pPr>
              <w:ind w:firstLine="640"/>
              <w:jc w:val="center"/>
              <w:rPr>
                <w:rFonts w:ascii="仿宋_GB2312"/>
                <w:color w:val="000000" w:themeColor="text1"/>
                <w14:textFill>
                  <w14:solidFill>
                    <w14:schemeClr w14:val="tx1"/>
                  </w14:solidFill>
                </w14:textFill>
              </w:rPr>
            </w:pPr>
          </w:p>
        </w:tc>
        <w:tc>
          <w:tcPr>
            <w:tcW w:w="2244" w:type="dxa"/>
            <w:vAlign w:val="center"/>
          </w:tcPr>
          <w:p w14:paraId="7B0BCD4F">
            <w:pPr>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首期顾问费</w:t>
            </w:r>
          </w:p>
        </w:tc>
        <w:tc>
          <w:tcPr>
            <w:tcW w:w="1843" w:type="dxa"/>
            <w:vAlign w:val="center"/>
          </w:tcPr>
          <w:p w14:paraId="0ED042F1">
            <w:pPr>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二期顾问费</w:t>
            </w:r>
          </w:p>
        </w:tc>
      </w:tr>
      <w:tr w14:paraId="250C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vAlign w:val="center"/>
          </w:tcPr>
          <w:p w14:paraId="5D2A04E6">
            <w:pPr>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占比</w:t>
            </w:r>
          </w:p>
        </w:tc>
        <w:tc>
          <w:tcPr>
            <w:tcW w:w="2244" w:type="dxa"/>
            <w:vAlign w:val="center"/>
          </w:tcPr>
          <w:p w14:paraId="300AE3D1">
            <w:pPr>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30%</w:t>
            </w:r>
          </w:p>
        </w:tc>
        <w:tc>
          <w:tcPr>
            <w:tcW w:w="1843" w:type="dxa"/>
            <w:vAlign w:val="center"/>
          </w:tcPr>
          <w:p w14:paraId="2CD290DC">
            <w:pPr>
              <w:ind w:firstLine="0" w:firstLineChars="0"/>
              <w:jc w:val="center"/>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50%+20%</w:t>
            </w:r>
          </w:p>
        </w:tc>
      </w:tr>
    </w:tbl>
    <w:p w14:paraId="59E030E5">
      <w:pPr>
        <w:ind w:firstLine="640"/>
        <w:jc w:val="both"/>
        <w:rPr>
          <w:rFonts w:ascii="仿宋_GB2312"/>
          <w:color w:val="000000" w:themeColor="text1"/>
          <w14:textFill>
            <w14:solidFill>
              <w14:schemeClr w14:val="tx1"/>
            </w14:solidFill>
          </w14:textFill>
        </w:rPr>
      </w:pPr>
      <w:r>
        <w:rPr>
          <w:rFonts w:hint="eastAsia" w:ascii="仿宋_GB2312"/>
          <w:color w:val="000000" w:themeColor="text1"/>
          <w14:textFill>
            <w14:solidFill>
              <w14:schemeClr w14:val="tx1"/>
            </w14:solidFill>
          </w14:textFill>
        </w:rPr>
        <w:t>备注：“2</w:t>
      </w:r>
      <w:r>
        <w:rPr>
          <w:rFonts w:ascii="仿宋_GB2312"/>
          <w:color w:val="000000" w:themeColor="text1"/>
          <w14:textFill>
            <w14:solidFill>
              <w14:schemeClr w14:val="tx1"/>
            </w14:solidFill>
          </w14:textFill>
        </w:rPr>
        <w:t>0%”系当期绩效顾问费最高值，实际支付数额应视绩效考核结果而定。</w:t>
      </w:r>
    </w:p>
    <w:p w14:paraId="08C0A8F9">
      <w:pPr>
        <w:snapToGrid w:val="0"/>
        <w:ind w:firstLine="640"/>
        <w:rPr>
          <w:rFonts w:hAnsi="等线" w:cs="华文中宋"/>
        </w:rPr>
      </w:pPr>
      <w:r>
        <w:rPr>
          <w:rFonts w:hint="eastAsia" w:hAnsi="等线" w:cs="华文中宋"/>
        </w:rPr>
        <w:t>（三）绩效考核与续期</w:t>
      </w:r>
    </w:p>
    <w:p w14:paraId="621EFB86">
      <w:pPr>
        <w:snapToGrid w:val="0"/>
        <w:ind w:firstLine="640"/>
        <w:rPr>
          <w:rFonts w:hAnsi="等线" w:cs="华文中宋"/>
        </w:rPr>
      </w:pPr>
      <w:r>
        <w:rPr>
          <w:rFonts w:hint="eastAsia" w:hAnsi="等线" w:cs="华文中宋"/>
        </w:rPr>
        <w:t>考核方式：</w:t>
      </w:r>
      <w:r>
        <w:rPr>
          <w:rFonts w:hAnsi="等线" w:cs="华文中宋"/>
        </w:rPr>
        <w:t>由乙方在</w:t>
      </w:r>
      <w:r>
        <w:rPr>
          <w:rFonts w:hAnsi="等线" w:cs="华文中宋"/>
          <w:b/>
          <w:bCs/>
        </w:rPr>
        <w:t>服务期限剩余1个自然月时（即第11个月）向甲方提交年度</w:t>
      </w:r>
      <w:r>
        <w:rPr>
          <w:rFonts w:hAnsi="等线" w:cs="华文中宋"/>
        </w:rPr>
        <w:t>工作报告。在收到中标人提交的工作报告后的15个工作日内，招标人应对照本合同约定的考核内容完成考核评价并将结果告知中标人。</w:t>
      </w:r>
    </w:p>
    <w:p w14:paraId="59A41DD1">
      <w:pPr>
        <w:snapToGrid w:val="0"/>
        <w:ind w:firstLine="640"/>
        <w:rPr>
          <w:rFonts w:hAnsi="等线" w:cs="华文中宋"/>
        </w:rPr>
      </w:pPr>
      <w:r>
        <w:rPr>
          <w:rFonts w:hint="eastAsia" w:hAnsi="等线" w:cs="华文中宋"/>
        </w:rPr>
        <w:t>中标人服务考核评价按</w:t>
      </w:r>
      <w:r>
        <w:rPr>
          <w:rFonts w:hint="eastAsia" w:hAnsi="等线" w:cs="华文中宋"/>
          <w:b/>
          <w:bCs/>
        </w:rPr>
        <w:t>附件二</w:t>
      </w:r>
      <w:r>
        <w:rPr>
          <w:rFonts w:hint="eastAsia" w:hAnsi="等线" w:cs="华文中宋"/>
        </w:rPr>
        <w:t>执行。</w:t>
      </w:r>
    </w:p>
    <w:p w14:paraId="0818C87A">
      <w:pPr>
        <w:snapToGrid w:val="0"/>
        <w:ind w:firstLine="646" w:firstLineChars="202"/>
        <w:rPr>
          <w:rFonts w:hAnsi="等线"/>
        </w:rPr>
      </w:pPr>
      <w:r>
        <w:rPr>
          <w:rFonts w:hint="eastAsia" w:hAnsi="等线"/>
        </w:rPr>
        <w:t>3.绩效顾问费支付：每期绩效顾问费按下表支付，被扣减的绩效顾问费为永久扣除，不再以任何形式补发。</w:t>
      </w:r>
    </w:p>
    <w:tbl>
      <w:tblPr>
        <w:tblStyle w:val="10"/>
        <w:tblpPr w:leftFromText="180" w:rightFromText="180" w:vertAnchor="text" w:horzAnchor="margin" w:tblpXSpec="center" w:tblpY="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3259"/>
        <w:gridCol w:w="2429"/>
      </w:tblGrid>
      <w:tr w14:paraId="56F8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39CF92DD">
            <w:pPr>
              <w:ind w:firstLine="0" w:firstLineChars="0"/>
              <w:jc w:val="both"/>
              <w:rPr>
                <w:rFonts w:hAnsi="等线" w:cs="宋体"/>
              </w:rPr>
            </w:pPr>
            <w:r>
              <w:rPr>
                <w:rFonts w:hint="eastAsia" w:hAnsi="等线" w:cs="宋体"/>
              </w:rPr>
              <w:t>序号</w:t>
            </w:r>
          </w:p>
        </w:tc>
        <w:tc>
          <w:tcPr>
            <w:tcW w:w="3259" w:type="dxa"/>
            <w:vAlign w:val="center"/>
          </w:tcPr>
          <w:p w14:paraId="6B41F802">
            <w:pPr>
              <w:ind w:firstLine="0" w:firstLineChars="0"/>
              <w:jc w:val="both"/>
              <w:rPr>
                <w:rFonts w:hAnsi="等线" w:cs="宋体"/>
              </w:rPr>
            </w:pPr>
            <w:r>
              <w:rPr>
                <w:rFonts w:hint="eastAsia" w:hAnsi="等线" w:cs="宋体"/>
              </w:rPr>
              <w:t>服务考核结果</w:t>
            </w:r>
          </w:p>
        </w:tc>
        <w:tc>
          <w:tcPr>
            <w:tcW w:w="2429" w:type="dxa"/>
            <w:vAlign w:val="center"/>
          </w:tcPr>
          <w:p w14:paraId="5CD448C1">
            <w:pPr>
              <w:ind w:firstLine="0" w:firstLineChars="0"/>
              <w:jc w:val="both"/>
              <w:rPr>
                <w:rFonts w:hAnsi="等线" w:cs="宋体"/>
              </w:rPr>
            </w:pPr>
            <w:r>
              <w:rPr>
                <w:rFonts w:hint="eastAsia" w:hAnsi="等线" w:cs="宋体"/>
              </w:rPr>
              <w:t>绩效顾问费百分比</w:t>
            </w:r>
          </w:p>
        </w:tc>
      </w:tr>
      <w:tr w14:paraId="004E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0344DABA">
            <w:pPr>
              <w:ind w:firstLine="0" w:firstLineChars="0"/>
              <w:jc w:val="center"/>
              <w:rPr>
                <w:rFonts w:hAnsi="等线" w:cs="宋体"/>
              </w:rPr>
            </w:pPr>
            <w:r>
              <w:rPr>
                <w:rFonts w:hint="eastAsia" w:hAnsi="等线" w:cs="宋体"/>
              </w:rPr>
              <w:t>1</w:t>
            </w:r>
          </w:p>
        </w:tc>
        <w:tc>
          <w:tcPr>
            <w:tcW w:w="3259" w:type="dxa"/>
            <w:vAlign w:val="center"/>
          </w:tcPr>
          <w:p w14:paraId="0387C1E7">
            <w:pPr>
              <w:ind w:firstLine="0" w:firstLineChars="0"/>
              <w:jc w:val="center"/>
              <w:rPr>
                <w:rFonts w:hAnsi="等线" w:cs="宋体"/>
              </w:rPr>
            </w:pPr>
            <w:r>
              <w:rPr>
                <w:rFonts w:hint="eastAsia" w:hAnsi="等线" w:cs="宋体"/>
              </w:rPr>
              <w:t>优秀</w:t>
            </w:r>
          </w:p>
        </w:tc>
        <w:tc>
          <w:tcPr>
            <w:tcW w:w="2429" w:type="dxa"/>
            <w:vAlign w:val="center"/>
          </w:tcPr>
          <w:p w14:paraId="0A267478">
            <w:pPr>
              <w:ind w:firstLine="0" w:firstLineChars="0"/>
              <w:jc w:val="center"/>
              <w:rPr>
                <w:rFonts w:hAnsi="等线" w:cs="宋体"/>
              </w:rPr>
            </w:pPr>
            <w:r>
              <w:rPr>
                <w:rFonts w:hint="eastAsia" w:hAnsi="等线" w:cs="宋体"/>
              </w:rPr>
              <w:t>20%</w:t>
            </w:r>
          </w:p>
        </w:tc>
      </w:tr>
      <w:tr w14:paraId="263B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6B9668A1">
            <w:pPr>
              <w:ind w:firstLine="0" w:firstLineChars="0"/>
              <w:jc w:val="center"/>
              <w:rPr>
                <w:rFonts w:hAnsi="等线" w:cs="宋体"/>
              </w:rPr>
            </w:pPr>
            <w:r>
              <w:rPr>
                <w:rFonts w:hint="eastAsia" w:hAnsi="等线" w:cs="宋体"/>
              </w:rPr>
              <w:t>2</w:t>
            </w:r>
          </w:p>
        </w:tc>
        <w:tc>
          <w:tcPr>
            <w:tcW w:w="3259" w:type="dxa"/>
            <w:vAlign w:val="center"/>
          </w:tcPr>
          <w:p w14:paraId="0438DB33">
            <w:pPr>
              <w:ind w:firstLine="0" w:firstLineChars="0"/>
              <w:jc w:val="center"/>
              <w:rPr>
                <w:rFonts w:hAnsi="等线" w:cs="宋体"/>
              </w:rPr>
            </w:pPr>
            <w:r>
              <w:rPr>
                <w:rFonts w:hint="eastAsia" w:hAnsi="等线" w:cs="宋体"/>
              </w:rPr>
              <w:t>良好</w:t>
            </w:r>
          </w:p>
        </w:tc>
        <w:tc>
          <w:tcPr>
            <w:tcW w:w="2429" w:type="dxa"/>
            <w:vAlign w:val="center"/>
          </w:tcPr>
          <w:p w14:paraId="143DE9B4">
            <w:pPr>
              <w:ind w:firstLine="0" w:firstLineChars="0"/>
              <w:jc w:val="center"/>
              <w:rPr>
                <w:rFonts w:hAnsi="等线" w:cs="宋体"/>
              </w:rPr>
            </w:pPr>
            <w:r>
              <w:rPr>
                <w:rFonts w:hint="eastAsia" w:hAnsi="等线" w:cs="宋体"/>
              </w:rPr>
              <w:t>15%</w:t>
            </w:r>
          </w:p>
        </w:tc>
      </w:tr>
      <w:tr w14:paraId="025E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41" w:type="dxa"/>
            <w:vAlign w:val="center"/>
          </w:tcPr>
          <w:p w14:paraId="4EA08DB9">
            <w:pPr>
              <w:ind w:firstLine="0" w:firstLineChars="0"/>
              <w:jc w:val="center"/>
              <w:rPr>
                <w:rFonts w:hAnsi="等线" w:cs="宋体"/>
              </w:rPr>
            </w:pPr>
            <w:r>
              <w:rPr>
                <w:rFonts w:hint="eastAsia" w:hAnsi="等线" w:cs="宋体"/>
              </w:rPr>
              <w:t>3</w:t>
            </w:r>
          </w:p>
        </w:tc>
        <w:tc>
          <w:tcPr>
            <w:tcW w:w="3259" w:type="dxa"/>
            <w:vAlign w:val="center"/>
          </w:tcPr>
          <w:p w14:paraId="0069CDEC">
            <w:pPr>
              <w:ind w:firstLine="0" w:firstLineChars="0"/>
              <w:jc w:val="center"/>
              <w:rPr>
                <w:rFonts w:hAnsi="等线" w:cs="宋体"/>
              </w:rPr>
            </w:pPr>
            <w:r>
              <w:rPr>
                <w:rFonts w:hint="eastAsia" w:hAnsi="等线" w:cs="宋体"/>
              </w:rPr>
              <w:t>合格</w:t>
            </w:r>
          </w:p>
        </w:tc>
        <w:tc>
          <w:tcPr>
            <w:tcW w:w="2429" w:type="dxa"/>
            <w:vAlign w:val="center"/>
          </w:tcPr>
          <w:p w14:paraId="760D96CC">
            <w:pPr>
              <w:ind w:firstLine="0" w:firstLineChars="0"/>
              <w:jc w:val="center"/>
              <w:rPr>
                <w:rFonts w:hAnsi="等线" w:cs="宋体"/>
              </w:rPr>
            </w:pPr>
            <w:r>
              <w:rPr>
                <w:rFonts w:hint="eastAsia" w:hAnsi="等线" w:cs="宋体"/>
              </w:rPr>
              <w:t>10%</w:t>
            </w:r>
          </w:p>
        </w:tc>
      </w:tr>
      <w:tr w14:paraId="3FE3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vAlign w:val="center"/>
          </w:tcPr>
          <w:p w14:paraId="0FFF7B4B">
            <w:pPr>
              <w:ind w:firstLine="0" w:firstLineChars="0"/>
              <w:jc w:val="center"/>
              <w:rPr>
                <w:rFonts w:hAnsi="等线" w:cs="宋体"/>
              </w:rPr>
            </w:pPr>
            <w:r>
              <w:rPr>
                <w:rFonts w:hint="eastAsia" w:hAnsi="等线" w:cs="宋体"/>
              </w:rPr>
              <w:t>4</w:t>
            </w:r>
          </w:p>
        </w:tc>
        <w:tc>
          <w:tcPr>
            <w:tcW w:w="3259" w:type="dxa"/>
            <w:vAlign w:val="center"/>
          </w:tcPr>
          <w:p w14:paraId="5729A7E4">
            <w:pPr>
              <w:ind w:firstLine="0" w:firstLineChars="0"/>
              <w:jc w:val="center"/>
              <w:rPr>
                <w:rFonts w:hAnsi="等线" w:cs="宋体"/>
              </w:rPr>
            </w:pPr>
            <w:r>
              <w:rPr>
                <w:rFonts w:hint="eastAsia" w:hAnsi="等线" w:cs="宋体"/>
              </w:rPr>
              <w:t>不合格</w:t>
            </w:r>
          </w:p>
        </w:tc>
        <w:tc>
          <w:tcPr>
            <w:tcW w:w="2429" w:type="dxa"/>
            <w:vAlign w:val="center"/>
          </w:tcPr>
          <w:p w14:paraId="741AB6C8">
            <w:pPr>
              <w:ind w:firstLine="0" w:firstLineChars="0"/>
              <w:jc w:val="center"/>
              <w:rPr>
                <w:rFonts w:hAnsi="等线" w:cs="宋体"/>
              </w:rPr>
            </w:pPr>
            <w:r>
              <w:rPr>
                <w:rFonts w:hint="eastAsia" w:hAnsi="等线" w:cs="宋体"/>
              </w:rPr>
              <w:t>0%</w:t>
            </w:r>
          </w:p>
        </w:tc>
      </w:tr>
    </w:tbl>
    <w:p w14:paraId="063004D4">
      <w:pPr>
        <w:pStyle w:val="23"/>
        <w:snapToGrid w:val="0"/>
        <w:ind w:firstLine="0" w:firstLineChars="0"/>
        <w:rPr>
          <w:rFonts w:hAnsi="等线"/>
          <w:sz w:val="24"/>
        </w:rPr>
      </w:pPr>
    </w:p>
    <w:p w14:paraId="7B35E512">
      <w:pPr>
        <w:ind w:firstLine="640"/>
        <w:rPr>
          <w:rFonts w:hAnsi="等线"/>
        </w:rPr>
      </w:pPr>
    </w:p>
    <w:p w14:paraId="5DA1DC3F">
      <w:pPr>
        <w:ind w:firstLine="640"/>
      </w:pPr>
      <w:r>
        <w:rPr>
          <w:rFonts w:hint="eastAsia" w:hAnsi="等线"/>
        </w:rPr>
        <w:t>服务评价分为优秀、良好、合格、不合格四个等级，其中服务评价得分在90（含）-100分者为优秀，80（含）-89分者为良好，70（含）-79分者为合格，不足70分者为不合格。履约评价结果为不合格的，招标人有权依据本款第（2）项约定解除合同，并不再支付合同剩余法律顾问费。</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songti sc">
    <w:altName w:val="Arial"/>
    <w:panose1 w:val="00000000000000000000"/>
    <w:charset w:val="00"/>
    <w:family w:val="auto"/>
    <w:pitch w:val="default"/>
    <w:sig w:usb0="00000000" w:usb1="00000000" w:usb2="00000000" w:usb3="00000000" w:csb0="00000000" w:csb1="00000000"/>
  </w:font>
  <w:font w:name="times">
    <w:altName w:val="Arial"/>
    <w:panose1 w:val="02020603050405020304"/>
    <w:charset w:val="00"/>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54F5E">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1F9A2">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2174B">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0C5C2">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BB5A7">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0FC7">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C22B4B"/>
    <w:multiLevelType w:val="multilevel"/>
    <w:tmpl w:val="26C22B4B"/>
    <w:lvl w:ilvl="0" w:tentative="0">
      <w:start w:val="2"/>
      <w:numFmt w:val="japaneseCounting"/>
      <w:lvlText w:val="（%1）"/>
      <w:lvlJc w:val="left"/>
      <w:pPr>
        <w:ind w:left="1720" w:hanging="1080"/>
      </w:pPr>
      <w:rPr>
        <w:rFonts w:hint="default"/>
        <w:b/>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97"/>
    <w:rsid w:val="00036FB8"/>
    <w:rsid w:val="000419C7"/>
    <w:rsid w:val="0004267C"/>
    <w:rsid w:val="00066694"/>
    <w:rsid w:val="0007058C"/>
    <w:rsid w:val="0011174F"/>
    <w:rsid w:val="00122837"/>
    <w:rsid w:val="00142107"/>
    <w:rsid w:val="00143AD5"/>
    <w:rsid w:val="00146D33"/>
    <w:rsid w:val="00163F53"/>
    <w:rsid w:val="00184285"/>
    <w:rsid w:val="00186C5B"/>
    <w:rsid w:val="001A0A43"/>
    <w:rsid w:val="001D34C6"/>
    <w:rsid w:val="002172B8"/>
    <w:rsid w:val="002240C4"/>
    <w:rsid w:val="00224959"/>
    <w:rsid w:val="00266701"/>
    <w:rsid w:val="00283589"/>
    <w:rsid w:val="002B4809"/>
    <w:rsid w:val="002F3AC0"/>
    <w:rsid w:val="00305F8C"/>
    <w:rsid w:val="0031676B"/>
    <w:rsid w:val="003655BC"/>
    <w:rsid w:val="00374DAC"/>
    <w:rsid w:val="003D0187"/>
    <w:rsid w:val="00463D71"/>
    <w:rsid w:val="00475A9C"/>
    <w:rsid w:val="00497558"/>
    <w:rsid w:val="004D0FB5"/>
    <w:rsid w:val="004D1447"/>
    <w:rsid w:val="004D2FAB"/>
    <w:rsid w:val="004F7E74"/>
    <w:rsid w:val="00516F59"/>
    <w:rsid w:val="005333D9"/>
    <w:rsid w:val="005573EF"/>
    <w:rsid w:val="00571A53"/>
    <w:rsid w:val="005B6F05"/>
    <w:rsid w:val="00625357"/>
    <w:rsid w:val="00625D53"/>
    <w:rsid w:val="00636FFE"/>
    <w:rsid w:val="006373B2"/>
    <w:rsid w:val="00641FAD"/>
    <w:rsid w:val="006565A6"/>
    <w:rsid w:val="00665DA6"/>
    <w:rsid w:val="00675B8D"/>
    <w:rsid w:val="006909BD"/>
    <w:rsid w:val="00693538"/>
    <w:rsid w:val="006A341B"/>
    <w:rsid w:val="006C48BE"/>
    <w:rsid w:val="007026CC"/>
    <w:rsid w:val="00720507"/>
    <w:rsid w:val="007341E7"/>
    <w:rsid w:val="00741223"/>
    <w:rsid w:val="00780FF0"/>
    <w:rsid w:val="007837B3"/>
    <w:rsid w:val="00787236"/>
    <w:rsid w:val="0079169F"/>
    <w:rsid w:val="007A686D"/>
    <w:rsid w:val="007D0699"/>
    <w:rsid w:val="007F4CD4"/>
    <w:rsid w:val="008259E7"/>
    <w:rsid w:val="0083673E"/>
    <w:rsid w:val="00861766"/>
    <w:rsid w:val="00870DA2"/>
    <w:rsid w:val="00874327"/>
    <w:rsid w:val="00876BD6"/>
    <w:rsid w:val="00881CFD"/>
    <w:rsid w:val="008A2431"/>
    <w:rsid w:val="008A2849"/>
    <w:rsid w:val="008A7B21"/>
    <w:rsid w:val="008B2DC9"/>
    <w:rsid w:val="008B32B7"/>
    <w:rsid w:val="008B50D9"/>
    <w:rsid w:val="00903227"/>
    <w:rsid w:val="00905CD0"/>
    <w:rsid w:val="00917591"/>
    <w:rsid w:val="009360C0"/>
    <w:rsid w:val="00981518"/>
    <w:rsid w:val="009935D7"/>
    <w:rsid w:val="009B12A5"/>
    <w:rsid w:val="009F1608"/>
    <w:rsid w:val="00A313D0"/>
    <w:rsid w:val="00A51E3A"/>
    <w:rsid w:val="00A536BF"/>
    <w:rsid w:val="00A65C02"/>
    <w:rsid w:val="00A67B4C"/>
    <w:rsid w:val="00AB476A"/>
    <w:rsid w:val="00AC186B"/>
    <w:rsid w:val="00B06F71"/>
    <w:rsid w:val="00B44979"/>
    <w:rsid w:val="00B66EC6"/>
    <w:rsid w:val="00B75DF0"/>
    <w:rsid w:val="00B92410"/>
    <w:rsid w:val="00B952C6"/>
    <w:rsid w:val="00B955A6"/>
    <w:rsid w:val="00C7238B"/>
    <w:rsid w:val="00C74512"/>
    <w:rsid w:val="00C8665E"/>
    <w:rsid w:val="00C95B41"/>
    <w:rsid w:val="00CA3197"/>
    <w:rsid w:val="00CA5104"/>
    <w:rsid w:val="00CE7335"/>
    <w:rsid w:val="00CF0C39"/>
    <w:rsid w:val="00D12E60"/>
    <w:rsid w:val="00D26A75"/>
    <w:rsid w:val="00D711A6"/>
    <w:rsid w:val="00D81723"/>
    <w:rsid w:val="00D97E18"/>
    <w:rsid w:val="00DD0C03"/>
    <w:rsid w:val="00DF6944"/>
    <w:rsid w:val="00E1066D"/>
    <w:rsid w:val="00E13225"/>
    <w:rsid w:val="00E20B18"/>
    <w:rsid w:val="00E3766F"/>
    <w:rsid w:val="00EF025A"/>
    <w:rsid w:val="00F077B7"/>
    <w:rsid w:val="00F12C9B"/>
    <w:rsid w:val="00F60D8F"/>
    <w:rsid w:val="00F82F56"/>
    <w:rsid w:val="00FA2EB0"/>
    <w:rsid w:val="00FB7510"/>
    <w:rsid w:val="00FC7307"/>
    <w:rsid w:val="00FF3D11"/>
    <w:rsid w:val="1A066FC3"/>
    <w:rsid w:val="357C1E5E"/>
    <w:rsid w:val="36C37C13"/>
    <w:rsid w:val="37BE6E28"/>
    <w:rsid w:val="3C6964B4"/>
    <w:rsid w:val="4A3245ED"/>
    <w:rsid w:val="60B61E4B"/>
    <w:rsid w:val="611C584C"/>
    <w:rsid w:val="6F630E85"/>
    <w:rsid w:val="6FA7300A"/>
    <w:rsid w:val="A7FB94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14"/>
    <w:qFormat/>
    <w:uiPriority w:val="9"/>
    <w:pPr>
      <w:keepNext/>
      <w:keepLines/>
      <w:spacing w:before="340" w:after="330"/>
      <w:jc w:val="center"/>
      <w:outlineLvl w:val="0"/>
    </w:pPr>
    <w:rPr>
      <w:rFonts w:eastAsia="方正小标宋简体"/>
      <w:bCs/>
      <w:kern w:val="44"/>
      <w:sz w:val="44"/>
      <w:szCs w:val="44"/>
    </w:rPr>
  </w:style>
  <w:style w:type="paragraph" w:styleId="3">
    <w:name w:val="heading 2"/>
    <w:basedOn w:val="1"/>
    <w:next w:val="1"/>
    <w:link w:val="15"/>
    <w:unhideWhenUsed/>
    <w:qFormat/>
    <w:uiPriority w:val="9"/>
    <w:pPr>
      <w:keepNext/>
      <w:keepLines/>
      <w:spacing w:before="260" w:after="260"/>
      <w:outlineLvl w:val="1"/>
    </w:pPr>
    <w:rPr>
      <w:rFonts w:eastAsia="黑体" w:asciiTheme="majorHAnsi" w:hAnsiTheme="majorHAnsi" w:cstheme="majorBidi"/>
      <w:b/>
      <w:bCs/>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style>
  <w:style w:type="paragraph" w:styleId="5">
    <w:name w:val="footer"/>
    <w:basedOn w:val="1"/>
    <w:link w:val="22"/>
    <w:unhideWhenUsed/>
    <w:qFormat/>
    <w:uiPriority w:val="99"/>
    <w:pPr>
      <w:tabs>
        <w:tab w:val="center" w:pos="4153"/>
        <w:tab w:val="right" w:pos="8306"/>
      </w:tabs>
      <w:snapToGrid w:val="0"/>
      <w:spacing w:line="240" w:lineRule="atLeas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Subtitle"/>
    <w:basedOn w:val="1"/>
    <w:next w:val="1"/>
    <w:link w:val="17"/>
    <w:qFormat/>
    <w:uiPriority w:val="11"/>
    <w:pPr>
      <w:spacing w:before="240" w:after="60"/>
      <w:outlineLvl w:val="1"/>
    </w:pPr>
    <w:rPr>
      <w:b/>
      <w:bCs/>
      <w:kern w:val="28"/>
      <w:szCs w:val="32"/>
    </w:rPr>
  </w:style>
  <w:style w:type="paragraph" w:styleId="8">
    <w:name w:val="Normal (Web)"/>
    <w:basedOn w:val="1"/>
    <w:semiHidden/>
    <w:unhideWhenUsed/>
    <w:qFormat/>
    <w:uiPriority w:val="99"/>
    <w:pPr>
      <w:spacing w:beforeAutospacing="1" w:afterAutospacing="1"/>
    </w:pPr>
    <w:rPr>
      <w:rFonts w:cs="Times New Roman"/>
      <w:kern w:val="0"/>
      <w:sz w:val="24"/>
    </w:rPr>
  </w:style>
  <w:style w:type="paragraph" w:styleId="9">
    <w:name w:val="Title"/>
    <w:basedOn w:val="1"/>
    <w:next w:val="1"/>
    <w:link w:val="16"/>
    <w:qFormat/>
    <w:uiPriority w:val="10"/>
    <w:pPr>
      <w:spacing w:before="240" w:after="60"/>
      <w:outlineLvl w:val="0"/>
    </w:pPr>
    <w:rPr>
      <w:rFonts w:eastAsia="楷体_GB2312" w:asciiTheme="majorHAnsi" w:hAnsiTheme="majorHAnsi" w:cstheme="majorBidi"/>
      <w:b/>
      <w:bCs/>
      <w:szCs w:val="32"/>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标题 1 字符"/>
    <w:basedOn w:val="12"/>
    <w:link w:val="2"/>
    <w:qFormat/>
    <w:uiPriority w:val="9"/>
    <w:rPr>
      <w:rFonts w:eastAsia="方正小标宋简体"/>
      <w:bCs/>
      <w:kern w:val="44"/>
      <w:sz w:val="44"/>
      <w:szCs w:val="44"/>
    </w:rPr>
  </w:style>
  <w:style w:type="character" w:customStyle="1" w:styleId="15">
    <w:name w:val="标题 2 字符"/>
    <w:basedOn w:val="12"/>
    <w:link w:val="3"/>
    <w:semiHidden/>
    <w:qFormat/>
    <w:uiPriority w:val="9"/>
    <w:rPr>
      <w:rFonts w:eastAsia="黑体" w:asciiTheme="majorHAnsi" w:hAnsiTheme="majorHAnsi" w:cstheme="majorBidi"/>
      <w:b/>
      <w:bCs/>
      <w:sz w:val="32"/>
      <w:szCs w:val="32"/>
    </w:rPr>
  </w:style>
  <w:style w:type="character" w:customStyle="1" w:styleId="16">
    <w:name w:val="标题 字符"/>
    <w:basedOn w:val="12"/>
    <w:link w:val="9"/>
    <w:qFormat/>
    <w:uiPriority w:val="10"/>
    <w:rPr>
      <w:rFonts w:eastAsia="楷体_GB2312" w:asciiTheme="majorHAnsi" w:hAnsiTheme="majorHAnsi" w:cstheme="majorBidi"/>
      <w:b/>
      <w:bCs/>
      <w:sz w:val="32"/>
      <w:szCs w:val="32"/>
    </w:rPr>
  </w:style>
  <w:style w:type="character" w:customStyle="1" w:styleId="17">
    <w:name w:val="副标题 字符"/>
    <w:basedOn w:val="12"/>
    <w:link w:val="7"/>
    <w:qFormat/>
    <w:uiPriority w:val="11"/>
    <w:rPr>
      <w:rFonts w:eastAsia="仿宋_GB2312"/>
      <w:b/>
      <w:bCs/>
      <w:kern w:val="28"/>
      <w:sz w:val="32"/>
      <w:szCs w:val="32"/>
    </w:rPr>
  </w:style>
  <w:style w:type="paragraph" w:customStyle="1" w:styleId="18">
    <w:name w:val="p1"/>
    <w:basedOn w:val="1"/>
    <w:qFormat/>
    <w:uiPriority w:val="0"/>
    <w:pPr>
      <w:jc w:val="both"/>
    </w:pPr>
    <w:rPr>
      <w:rFonts w:ascii="songti sc" w:hAnsi="songti sc" w:eastAsia="songti sc" w:cs="Times New Roman"/>
      <w:color w:val="000000"/>
      <w:kern w:val="0"/>
      <w:sz w:val="18"/>
      <w:szCs w:val="18"/>
    </w:rPr>
  </w:style>
  <w:style w:type="character" w:customStyle="1" w:styleId="19">
    <w:name w:val="s1"/>
    <w:basedOn w:val="12"/>
    <w:qFormat/>
    <w:uiPriority w:val="0"/>
  </w:style>
  <w:style w:type="character" w:customStyle="1" w:styleId="20">
    <w:name w:val="s2"/>
    <w:basedOn w:val="12"/>
    <w:qFormat/>
    <w:uiPriority w:val="0"/>
    <w:rPr>
      <w:rFonts w:ascii="times" w:hAnsi="times" w:eastAsia="times" w:cs="times"/>
      <w:sz w:val="18"/>
      <w:szCs w:val="18"/>
    </w:rPr>
  </w:style>
  <w:style w:type="character" w:customStyle="1" w:styleId="21">
    <w:name w:val="页眉 字符"/>
    <w:basedOn w:val="12"/>
    <w:link w:val="6"/>
    <w:qFormat/>
    <w:uiPriority w:val="99"/>
    <w:rPr>
      <w:rFonts w:eastAsia="仿宋_GB2312" w:asciiTheme="minorHAnsi" w:hAnsiTheme="minorHAnsi" w:cstheme="minorBidi"/>
      <w:kern w:val="2"/>
      <w:sz w:val="18"/>
      <w:szCs w:val="18"/>
    </w:rPr>
  </w:style>
  <w:style w:type="character" w:customStyle="1" w:styleId="22">
    <w:name w:val="页脚 字符"/>
    <w:basedOn w:val="12"/>
    <w:link w:val="5"/>
    <w:qFormat/>
    <w:uiPriority w:val="99"/>
    <w:rPr>
      <w:rFonts w:eastAsia="仿宋_GB2312" w:asciiTheme="minorHAnsi" w:hAnsiTheme="minorHAnsi" w:cstheme="minorBidi"/>
      <w:kern w:val="2"/>
      <w:sz w:val="18"/>
      <w:szCs w:val="18"/>
    </w:rPr>
  </w:style>
  <w:style w:type="paragraph" w:styleId="23">
    <w:name w:val="List Paragraph"/>
    <w:basedOn w:val="1"/>
    <w:link w:val="25"/>
    <w:qFormat/>
    <w:uiPriority w:val="0"/>
    <w:pPr>
      <w:ind w:firstLine="420"/>
    </w:pPr>
  </w:style>
  <w:style w:type="paragraph" w:customStyle="1" w:styleId="24">
    <w:name w:val="USE 1"/>
    <w:basedOn w:val="1"/>
    <w:qFormat/>
    <w:uiPriority w:val="0"/>
    <w:pPr>
      <w:spacing w:line="200" w:lineRule="atLeast"/>
      <w:ind w:firstLine="0" w:firstLineChars="0"/>
    </w:pPr>
    <w:rPr>
      <w:rFonts w:ascii="宋体" w:hAnsi="宋体" w:eastAsia="宋体" w:cs="Times New Roman"/>
      <w:b/>
      <w:sz w:val="24"/>
      <w:szCs w:val="28"/>
    </w:rPr>
  </w:style>
  <w:style w:type="character" w:customStyle="1" w:styleId="25">
    <w:name w:val="列表段落 字符"/>
    <w:link w:val="23"/>
    <w:qFormat/>
    <w:uiPriority w:val="0"/>
    <w:rPr>
      <w:rFonts w:eastAsia="仿宋_GB2312" w:asciiTheme="minorHAnsi" w:hAnsiTheme="minorHAnsi" w:cstheme="minorBidi"/>
      <w:kern w:val="2"/>
      <w:sz w:val="32"/>
      <w:szCs w:val="22"/>
    </w:rPr>
  </w:style>
  <w:style w:type="character" w:customStyle="1" w:styleId="26">
    <w:name w:val="控件文字样式 字符"/>
    <w:basedOn w:val="12"/>
    <w:link w:val="27"/>
    <w:qFormat/>
    <w:uiPriority w:val="0"/>
    <w:rPr>
      <w:rFonts w:ascii="宋体" w:hAnsi="宋体" w:eastAsia="宋体" w:cs="Arial Unicode MS"/>
      <w:color w:val="0000FF"/>
      <w:sz w:val="28"/>
      <w:szCs w:val="32"/>
      <w:u w:val="single"/>
    </w:rPr>
  </w:style>
  <w:style w:type="paragraph" w:customStyle="1" w:styleId="27">
    <w:name w:val="控件文字样式"/>
    <w:basedOn w:val="1"/>
    <w:link w:val="26"/>
    <w:qFormat/>
    <w:uiPriority w:val="0"/>
    <w:pPr>
      <w:spacing w:line="460" w:lineRule="exact"/>
    </w:pPr>
    <w:rPr>
      <w:rFonts w:ascii="宋体" w:hAnsi="宋体" w:eastAsia="宋体" w:cs="Arial Unicode MS"/>
      <w:color w:val="0000FF"/>
      <w:sz w:val="28"/>
      <w:szCs w:val="32"/>
      <w:u w:val="single"/>
    </w:rPr>
  </w:style>
  <w:style w:type="character" w:styleId="28">
    <w:name w:val="Placeholder Text"/>
    <w:basedOn w:val="12"/>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2351</Words>
  <Characters>2419</Characters>
  <Lines>17</Lines>
  <Paragraphs>5</Paragraphs>
  <TotalTime>947</TotalTime>
  <ScaleCrop>false</ScaleCrop>
  <LinksUpToDate>false</LinksUpToDate>
  <CharactersWithSpaces>2442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2026-06-30T09:38:00Z</dcterms:created>
  <dc:creator>喻 思颖</dc:creator>
  <cp:lastModifiedBy>11</cp:lastModifiedBy>
  <cp:lastPrinted>2021-05-19T10:05:00Z</cp:lastPrinted>
  <dcterms:modified xsi:type="dcterms:W3CDTF">2026-07-08T02:58:46Z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6AB1D8A34DEC497A9993C92EBFAEB60E_13</vt:lpwstr>
  </property>
  <property fmtid="{D5CDD505-2E9C-101B-9397-08002B2CF9AE}" pid="4" name="KSOTemplateDocerSaveRecord">
    <vt:lpwstr>eyJoZGlkIjoiYWY3NmVmZGYzM2E3YzJmNDFkZmY3Zjg4NWMwNzU5Y2EiLCJ1c2VySWQiOiI1NTg3MzEwMzgifQ==</vt:lpwstr>
  </property>
</Properties>
</file>