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25BC3">
      <w:pPr>
        <w:spacing w:line="560" w:lineRule="exact"/>
        <w:rPr>
          <w:rFonts w:eastAsia="仿宋_GB2312"/>
          <w:bCs/>
          <w:sz w:val="32"/>
          <w:szCs w:val="32"/>
        </w:rPr>
      </w:pPr>
    </w:p>
    <w:p w14:paraId="7C936BB2">
      <w:pPr>
        <w:spacing w:line="560" w:lineRule="exact"/>
        <w:jc w:val="center"/>
        <w:rPr>
          <w:rFonts w:eastAsia="仿宋_GB2312"/>
          <w:bCs/>
          <w:sz w:val="32"/>
          <w:szCs w:val="32"/>
        </w:rPr>
      </w:pPr>
    </w:p>
    <w:p w14:paraId="4A7EACA9">
      <w:pPr>
        <w:spacing w:line="560" w:lineRule="exact"/>
        <w:jc w:val="center"/>
        <w:rPr>
          <w:rFonts w:eastAsia="仿宋_GB2312"/>
          <w:bCs/>
          <w:sz w:val="32"/>
          <w:szCs w:val="32"/>
        </w:rPr>
      </w:pPr>
    </w:p>
    <w:p w14:paraId="0C4F049C">
      <w:pPr>
        <w:spacing w:line="560" w:lineRule="exact"/>
        <w:jc w:val="center"/>
        <w:rPr>
          <w:rFonts w:eastAsia="方正小标宋简体"/>
          <w:bCs/>
          <w:sz w:val="44"/>
          <w:szCs w:val="44"/>
        </w:rPr>
      </w:pPr>
      <w:r>
        <w:rPr>
          <w:rFonts w:eastAsia="方正小标宋简体"/>
          <w:bCs/>
          <w:sz w:val="44"/>
          <w:szCs w:val="44"/>
        </w:rPr>
        <w:t>服务采购</w:t>
      </w:r>
    </w:p>
    <w:p w14:paraId="6F8CFBEC">
      <w:pPr>
        <w:spacing w:line="560" w:lineRule="exact"/>
        <w:jc w:val="center"/>
        <w:rPr>
          <w:rFonts w:eastAsia="方正小标宋简体"/>
          <w:bCs/>
          <w:sz w:val="44"/>
          <w:szCs w:val="44"/>
        </w:rPr>
      </w:pPr>
      <w:r>
        <w:rPr>
          <w:rFonts w:eastAsia="方正小标宋简体"/>
          <w:bCs/>
          <w:sz w:val="44"/>
          <w:szCs w:val="44"/>
        </w:rPr>
        <w:t>技术规范书</w:t>
      </w:r>
    </w:p>
    <w:p w14:paraId="0849C831">
      <w:pPr>
        <w:spacing w:line="560" w:lineRule="exact"/>
        <w:jc w:val="center"/>
        <w:rPr>
          <w:rFonts w:eastAsia="仿宋_GB2312"/>
          <w:bCs/>
          <w:sz w:val="32"/>
          <w:szCs w:val="32"/>
        </w:rPr>
      </w:pPr>
      <w:r>
        <w:rPr>
          <w:rFonts w:eastAsia="仿宋_GB2312"/>
          <w:bCs/>
          <w:sz w:val="32"/>
          <w:szCs w:val="32"/>
        </w:rPr>
        <w:t xml:space="preserve"> </w:t>
      </w:r>
    </w:p>
    <w:p w14:paraId="6A2ACEC7">
      <w:pPr>
        <w:spacing w:line="560" w:lineRule="exact"/>
        <w:jc w:val="center"/>
        <w:rPr>
          <w:rFonts w:eastAsia="仿宋_GB2312"/>
          <w:bCs/>
          <w:sz w:val="32"/>
          <w:szCs w:val="32"/>
        </w:rPr>
      </w:pPr>
    </w:p>
    <w:p w14:paraId="52EEF65A">
      <w:pPr>
        <w:spacing w:line="560" w:lineRule="exact"/>
        <w:jc w:val="center"/>
        <w:rPr>
          <w:rFonts w:eastAsia="仿宋_GB2312"/>
          <w:bCs/>
          <w:sz w:val="32"/>
          <w:szCs w:val="32"/>
        </w:rPr>
      </w:pPr>
    </w:p>
    <w:p w14:paraId="76F699A3">
      <w:pPr>
        <w:spacing w:line="560" w:lineRule="exact"/>
        <w:jc w:val="center"/>
        <w:rPr>
          <w:rFonts w:eastAsia="仿宋_GB2312"/>
          <w:bCs/>
          <w:sz w:val="32"/>
          <w:szCs w:val="32"/>
        </w:rPr>
      </w:pPr>
    </w:p>
    <w:p w14:paraId="7E961476">
      <w:pPr>
        <w:spacing w:line="560" w:lineRule="exact"/>
        <w:jc w:val="center"/>
        <w:rPr>
          <w:rFonts w:eastAsia="仿宋_GB2312"/>
          <w:bCs/>
          <w:sz w:val="32"/>
          <w:szCs w:val="32"/>
        </w:rPr>
      </w:pPr>
    </w:p>
    <w:p w14:paraId="39D4D39A">
      <w:pPr>
        <w:spacing w:line="560" w:lineRule="exact"/>
        <w:jc w:val="center"/>
        <w:rPr>
          <w:rFonts w:eastAsia="仿宋_GB2312"/>
          <w:bCs/>
          <w:sz w:val="32"/>
          <w:szCs w:val="32"/>
        </w:rPr>
      </w:pPr>
    </w:p>
    <w:p w14:paraId="464E5B0C">
      <w:pPr>
        <w:spacing w:line="560" w:lineRule="exact"/>
        <w:jc w:val="center"/>
        <w:rPr>
          <w:rFonts w:eastAsia="仿宋_GB2312"/>
          <w:bCs/>
          <w:sz w:val="32"/>
          <w:szCs w:val="32"/>
        </w:rPr>
      </w:pPr>
      <w:r>
        <w:rPr>
          <w:rFonts w:eastAsia="仿宋_GB2312"/>
          <w:bCs/>
          <w:sz w:val="32"/>
          <w:szCs w:val="32"/>
        </w:rPr>
        <w:t xml:space="preserve"> </w:t>
      </w:r>
    </w:p>
    <w:p w14:paraId="6C105010">
      <w:pPr>
        <w:spacing w:line="560" w:lineRule="exact"/>
        <w:jc w:val="center"/>
        <w:rPr>
          <w:rFonts w:eastAsia="仿宋_GB2312"/>
          <w:bCs/>
          <w:sz w:val="32"/>
          <w:szCs w:val="32"/>
        </w:rPr>
      </w:pPr>
      <w:r>
        <w:rPr>
          <w:rFonts w:eastAsia="仿宋_GB2312"/>
          <w:bCs/>
          <w:sz w:val="32"/>
          <w:szCs w:val="32"/>
        </w:rPr>
        <w:t xml:space="preserve"> </w:t>
      </w:r>
    </w:p>
    <w:p w14:paraId="7D4A3D59">
      <w:pPr>
        <w:tabs>
          <w:tab w:val="left" w:pos="3686"/>
        </w:tabs>
        <w:spacing w:line="560" w:lineRule="exact"/>
        <w:ind w:firstLine="640"/>
        <w:rPr>
          <w:rFonts w:eastAsia="黑体"/>
          <w:bCs/>
          <w:sz w:val="32"/>
          <w:szCs w:val="32"/>
          <w:u w:val="single"/>
        </w:rPr>
      </w:pPr>
      <w:r>
        <w:rPr>
          <w:rFonts w:eastAsia="黑体"/>
          <w:bCs/>
          <w:sz w:val="32"/>
          <w:szCs w:val="32"/>
        </w:rPr>
        <w:t>项目名称：</w:t>
      </w:r>
      <w:r>
        <w:rPr>
          <w:rFonts w:eastAsia="黑体"/>
          <w:bCs/>
          <w:sz w:val="32"/>
          <w:szCs w:val="32"/>
          <w:u w:val="single"/>
        </w:rPr>
        <w:t>深港科创公司税务顾问</w:t>
      </w:r>
      <w:r>
        <w:rPr>
          <w:rFonts w:hint="eastAsia" w:eastAsia="黑体"/>
          <w:bCs/>
          <w:sz w:val="32"/>
          <w:szCs w:val="32"/>
          <w:u w:val="single"/>
          <w:lang w:val="en-US" w:eastAsia="zh-CN"/>
        </w:rPr>
        <w:t>及税审</w:t>
      </w:r>
      <w:r>
        <w:rPr>
          <w:rFonts w:eastAsia="黑体"/>
          <w:bCs/>
          <w:sz w:val="32"/>
          <w:szCs w:val="32"/>
          <w:u w:val="single"/>
        </w:rPr>
        <w:t>服务</w:t>
      </w:r>
    </w:p>
    <w:p w14:paraId="4988CD3F">
      <w:pPr>
        <w:spacing w:line="560" w:lineRule="exact"/>
        <w:jc w:val="center"/>
        <w:rPr>
          <w:rFonts w:eastAsia="黑体"/>
          <w:bCs/>
          <w:sz w:val="32"/>
          <w:szCs w:val="32"/>
          <w:u w:val="single"/>
        </w:rPr>
      </w:pPr>
      <w:r>
        <w:rPr>
          <w:rFonts w:eastAsia="黑体"/>
          <w:bCs/>
          <w:sz w:val="32"/>
          <w:szCs w:val="32"/>
        </w:rPr>
        <w:t>招 标 人：</w:t>
      </w:r>
      <w:r>
        <w:rPr>
          <w:rFonts w:eastAsia="黑体"/>
          <w:bCs/>
          <w:sz w:val="32"/>
          <w:szCs w:val="32"/>
          <w:u w:val="single"/>
        </w:rPr>
        <w:t>深圳深港科技创新合作区发展有限公司</w:t>
      </w:r>
    </w:p>
    <w:p w14:paraId="48E7AB22">
      <w:pPr>
        <w:spacing w:line="560" w:lineRule="exact"/>
        <w:ind w:firstLine="640"/>
        <w:rPr>
          <w:rFonts w:eastAsia="黑体"/>
          <w:sz w:val="32"/>
          <w:szCs w:val="32"/>
        </w:rPr>
      </w:pPr>
      <w:r>
        <w:rPr>
          <w:rFonts w:eastAsia="黑体"/>
          <w:sz w:val="32"/>
          <w:szCs w:val="32"/>
        </w:rPr>
        <w:t xml:space="preserve"> </w:t>
      </w:r>
    </w:p>
    <w:p w14:paraId="4202D658">
      <w:pPr>
        <w:spacing w:line="560" w:lineRule="exact"/>
        <w:jc w:val="center"/>
        <w:rPr>
          <w:rFonts w:eastAsia="黑体"/>
          <w:bCs/>
          <w:sz w:val="32"/>
          <w:szCs w:val="32"/>
        </w:rPr>
      </w:pPr>
      <w:r>
        <w:rPr>
          <w:rFonts w:eastAsia="黑体"/>
          <w:bCs/>
          <w:sz w:val="32"/>
          <w:szCs w:val="32"/>
        </w:rPr>
        <w:t xml:space="preserve"> </w:t>
      </w:r>
    </w:p>
    <w:p w14:paraId="047D8DB2">
      <w:pPr>
        <w:spacing w:line="560" w:lineRule="exact"/>
        <w:jc w:val="center"/>
        <w:rPr>
          <w:rFonts w:eastAsia="仿宋_GB2312"/>
          <w:bCs/>
          <w:sz w:val="32"/>
          <w:szCs w:val="32"/>
        </w:rPr>
      </w:pPr>
      <w:r>
        <w:rPr>
          <w:rFonts w:eastAsia="仿宋_GB2312"/>
          <w:bCs/>
          <w:sz w:val="32"/>
          <w:szCs w:val="32"/>
        </w:rPr>
        <w:t xml:space="preserve">  </w:t>
      </w:r>
    </w:p>
    <w:p w14:paraId="69EDDF30">
      <w:pPr>
        <w:spacing w:line="560" w:lineRule="exact"/>
        <w:jc w:val="center"/>
        <w:rPr>
          <w:rFonts w:eastAsia="仿宋_GB2312"/>
          <w:bCs/>
          <w:sz w:val="32"/>
          <w:szCs w:val="32"/>
        </w:rPr>
      </w:pPr>
      <w:r>
        <w:rPr>
          <w:rFonts w:eastAsia="仿宋_GB2312"/>
          <w:bCs/>
          <w:sz w:val="32"/>
          <w:szCs w:val="32"/>
        </w:rPr>
        <w:t xml:space="preserve"> </w:t>
      </w:r>
    </w:p>
    <w:p w14:paraId="5DF97319">
      <w:pPr>
        <w:spacing w:line="560" w:lineRule="exact"/>
        <w:jc w:val="center"/>
      </w:pPr>
      <w:r>
        <w:rPr>
          <w:rFonts w:hint="eastAsia" w:eastAsia="仿宋_GB2312"/>
          <w:bCs/>
          <w:sz w:val="32"/>
          <w:szCs w:val="32"/>
          <w:lang w:val="en-US" w:eastAsia="zh-CN"/>
        </w:rPr>
        <w:t>二零二六</w:t>
      </w:r>
      <w:r>
        <w:rPr>
          <w:rFonts w:eastAsia="仿宋_GB2312"/>
          <w:bCs/>
          <w:sz w:val="32"/>
          <w:szCs w:val="32"/>
        </w:rPr>
        <w:t>年</w:t>
      </w:r>
      <w:r>
        <w:rPr>
          <w:rFonts w:hint="eastAsia" w:eastAsia="仿宋_GB2312"/>
          <w:bCs/>
          <w:sz w:val="32"/>
          <w:szCs w:val="32"/>
          <w:lang w:val="en-US" w:eastAsia="zh-CN"/>
        </w:rPr>
        <w:t>八</w:t>
      </w:r>
      <w:r>
        <w:rPr>
          <w:rFonts w:eastAsia="仿宋_GB2312"/>
          <w:bCs/>
          <w:sz w:val="32"/>
          <w:szCs w:val="32"/>
        </w:rPr>
        <w:t>月</w:t>
      </w:r>
    </w:p>
    <w:p w14:paraId="2361DF04">
      <w:pPr>
        <w:spacing w:line="560" w:lineRule="exact"/>
        <w:ind w:firstLine="640"/>
        <w:rPr>
          <w:rFonts w:eastAsia="黑体"/>
          <w:bCs/>
          <w:sz w:val="32"/>
          <w:szCs w:val="32"/>
        </w:rPr>
      </w:pPr>
    </w:p>
    <w:p w14:paraId="06664293">
      <w:pPr>
        <w:spacing w:line="560" w:lineRule="exact"/>
        <w:ind w:firstLine="640"/>
        <w:rPr>
          <w:rFonts w:eastAsia="黑体"/>
          <w:bCs/>
          <w:sz w:val="32"/>
          <w:szCs w:val="32"/>
        </w:rPr>
      </w:pPr>
    </w:p>
    <w:p w14:paraId="4A93BAA1">
      <w:pPr>
        <w:spacing w:line="560" w:lineRule="exact"/>
        <w:rPr>
          <w:rFonts w:hint="eastAsia" w:ascii="微软雅黑" w:hAnsi="方正仿宋_GB2312" w:eastAsia="微软雅黑" w:cs="方正仿宋_GB2312"/>
          <w:sz w:val="32"/>
          <w:szCs w:val="44"/>
        </w:rPr>
      </w:pPr>
    </w:p>
    <w:p w14:paraId="6BF3712E">
      <w:pPr>
        <w:pStyle w:val="33"/>
        <w:spacing w:line="560" w:lineRule="exact"/>
        <w:ind w:firstLine="640"/>
        <w:rPr>
          <w:rFonts w:hint="eastAsia"/>
        </w:rPr>
      </w:pPr>
    </w:p>
    <w:p w14:paraId="2E6CAEB9">
      <w:pPr>
        <w:spacing w:line="560" w:lineRule="exact"/>
        <w:ind w:firstLine="640"/>
        <w:rPr>
          <w:rFonts w:ascii="Times New Roman" w:hAnsi="Times New Roman" w:eastAsia="黑体" w:cs="Times New Roman"/>
          <w:bCs/>
          <w:sz w:val="32"/>
          <w:szCs w:val="32"/>
        </w:rPr>
      </w:pPr>
      <w:r>
        <w:rPr>
          <w:rFonts w:hint="eastAsia" w:ascii="Times New Roman" w:hAnsi="Times New Roman" w:eastAsia="黑体" w:cs="Times New Roman"/>
          <w:bCs/>
          <w:sz w:val="32"/>
          <w:szCs w:val="32"/>
        </w:rPr>
        <w:t>一、项目基本情况</w:t>
      </w:r>
    </w:p>
    <w:p w14:paraId="4BDC2794">
      <w:pPr>
        <w:spacing w:line="560" w:lineRule="exact"/>
        <w:ind w:firstLine="640"/>
        <w:rPr>
          <w:rFonts w:hint="eastAsia"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深圳深港科技创新合作区发展有限公司成立于2018年，是深圳市委、市政府为开发运营河套深港科技创新合作区深圳园区而专门设立的平台公司；所属子公司深圳创科发展有限公司成立于2019年，主要从事房地产开发经营业务；所属子公司深圳深港科创园区运营发展有限公司成立于2021年，主要从事河套深港科技创新合作区深圳园区相关科研空间的运营与管理。截至2025年末，三家公司的总资产分别为126亿元，21亿元，0.4亿元。</w:t>
      </w:r>
    </w:p>
    <w:p w14:paraId="1BA563F1">
      <w:pPr>
        <w:spacing w:line="560" w:lineRule="exact"/>
        <w:ind w:firstLine="640"/>
        <w:rPr>
          <w:rFonts w:ascii="Times New Roman" w:hAnsi="Times New Roman" w:eastAsia="黑体" w:cs="Times New Roman"/>
          <w:bCs/>
          <w:sz w:val="32"/>
          <w:szCs w:val="32"/>
        </w:rPr>
      </w:pPr>
      <w:r>
        <w:rPr>
          <w:rFonts w:hint="eastAsia" w:ascii="仿宋_GB2312" w:hAnsi="黑体" w:eastAsia="仿宋_GB2312" w:cs="Times New Roman"/>
          <w:color w:val="000000"/>
          <w:sz w:val="32"/>
          <w:szCs w:val="32"/>
        </w:rPr>
        <w:t>随着工程建设、物业租售、运营管理及基金投资等业务的持续拓展，公司在税务领域的合规管理压力日益增大，需聘请专业税务顾问机构，为公司提供税务咨询、筹划及汇算清缴审计等专业服务，规避相关风险。</w:t>
      </w:r>
    </w:p>
    <w:p w14:paraId="78CA61B2">
      <w:pPr>
        <w:spacing w:line="560" w:lineRule="exact"/>
        <w:ind w:firstLine="640"/>
        <w:rPr>
          <w:rFonts w:hint="eastAsia" w:ascii="仿宋_GB2312" w:hAnsi="黑体" w:eastAsia="仿宋_GB2312" w:cs="Times New Roman"/>
          <w:color w:val="000000"/>
          <w:sz w:val="32"/>
          <w:szCs w:val="32"/>
        </w:rPr>
      </w:pPr>
      <w:r>
        <w:rPr>
          <w:rFonts w:hint="eastAsia" w:ascii="Times New Roman" w:hAnsi="Times New Roman" w:eastAsia="黑体" w:cs="Times New Roman"/>
          <w:bCs/>
          <w:sz w:val="32"/>
          <w:szCs w:val="32"/>
        </w:rPr>
        <w:t>二、服务内容</w:t>
      </w:r>
      <w:bookmarkStart w:id="0" w:name="OLE_LINK1"/>
    </w:p>
    <w:p w14:paraId="498AAFF6">
      <w:pPr>
        <w:pStyle w:val="14"/>
        <w:spacing w:line="560" w:lineRule="exact"/>
        <w:ind w:firstLine="640"/>
        <w:rPr>
          <w:rFonts w:hint="eastAsia" w:ascii="仿宋_GB2312" w:hAnsi="黑体" w:eastAsia="仿宋_GB2312" w:cs="Times New Roman"/>
          <w:b/>
          <w:bCs/>
          <w:color w:val="000000"/>
          <w:sz w:val="32"/>
          <w:szCs w:val="32"/>
        </w:rPr>
      </w:pPr>
      <w:r>
        <w:rPr>
          <w:rFonts w:hint="eastAsia" w:ascii="仿宋_GB2312" w:hAnsi="黑体" w:eastAsia="仿宋_GB2312" w:cs="Times New Roman"/>
          <w:b/>
          <w:bCs/>
          <w:color w:val="000000"/>
          <w:sz w:val="32"/>
          <w:szCs w:val="32"/>
          <w:lang w:eastAsia="zh-CN"/>
        </w:rPr>
        <w:t>（</w:t>
      </w:r>
      <w:r>
        <w:rPr>
          <w:rFonts w:hint="eastAsia" w:ascii="仿宋_GB2312" w:hAnsi="黑体" w:eastAsia="仿宋_GB2312" w:cs="Times New Roman"/>
          <w:b/>
          <w:bCs/>
          <w:color w:val="000000"/>
          <w:sz w:val="32"/>
          <w:szCs w:val="32"/>
          <w:lang w:val="en-US" w:eastAsia="zh-CN"/>
        </w:rPr>
        <w:t>一</w:t>
      </w:r>
      <w:r>
        <w:rPr>
          <w:rFonts w:hint="eastAsia" w:ascii="仿宋_GB2312" w:hAnsi="黑体" w:eastAsia="仿宋_GB2312" w:cs="Times New Roman"/>
          <w:b/>
          <w:bCs/>
          <w:color w:val="000000"/>
          <w:sz w:val="32"/>
          <w:szCs w:val="32"/>
          <w:lang w:eastAsia="zh-CN"/>
        </w:rPr>
        <w:t>）</w:t>
      </w:r>
      <w:r>
        <w:rPr>
          <w:rFonts w:hint="eastAsia" w:ascii="仿宋_GB2312" w:hAnsi="黑体" w:eastAsia="仿宋_GB2312" w:cs="Times New Roman"/>
          <w:b/>
          <w:bCs/>
          <w:color w:val="000000"/>
          <w:sz w:val="32"/>
          <w:szCs w:val="32"/>
        </w:rPr>
        <w:t>服务范围</w:t>
      </w:r>
    </w:p>
    <w:p w14:paraId="1C03C907">
      <w:pPr>
        <w:spacing w:line="560" w:lineRule="exact"/>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税务顾问服务</w:t>
      </w:r>
    </w:p>
    <w:p w14:paraId="211947DF">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日常税务咨询与答疑：提供及时的电话、邮件或线上咨询，解答公司在重大事务、日常经营、账务处理、合同涉税条款、发票管理等方面遇到的</w:t>
      </w:r>
      <w:r>
        <w:rPr>
          <w:rFonts w:hint="eastAsia" w:ascii="仿宋_GB2312" w:hAnsi="仿宋_GB2312" w:eastAsia="仿宋_GB2312" w:cs="仿宋_GB2312"/>
          <w:sz w:val="32"/>
          <w:szCs w:val="32"/>
          <w:lang w:val="en-US" w:eastAsia="zh-CN"/>
        </w:rPr>
        <w:t>现行或历史遗留</w:t>
      </w:r>
      <w:r>
        <w:rPr>
          <w:rFonts w:hint="eastAsia" w:ascii="仿宋_GB2312" w:hAnsi="仿宋_GB2312" w:eastAsia="仿宋_GB2312" w:cs="仿宋_GB2312"/>
          <w:sz w:val="32"/>
          <w:szCs w:val="32"/>
        </w:rPr>
        <w:t>税务疑难问题。根据要求列席公司重大会议，为公司重大决策行为提供</w:t>
      </w:r>
      <w:r>
        <w:rPr>
          <w:rFonts w:hint="eastAsia" w:ascii="仿宋_GB2312" w:hAnsi="仿宋_GB2312" w:eastAsia="仿宋_GB2312" w:cs="仿宋_GB2312"/>
          <w:sz w:val="32"/>
          <w:szCs w:val="32"/>
          <w:lang w:val="en-US" w:eastAsia="zh-CN"/>
        </w:rPr>
        <w:t>税务</w:t>
      </w:r>
      <w:r>
        <w:rPr>
          <w:rFonts w:hint="eastAsia" w:ascii="仿宋_GB2312" w:hAnsi="仿宋_GB2312" w:eastAsia="仿宋_GB2312" w:cs="仿宋_GB2312"/>
          <w:sz w:val="32"/>
          <w:szCs w:val="32"/>
        </w:rPr>
        <w:t>咨询意见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对现行税收法律法规、政策进行解读，分析其对公司的具体影响，并提出应对建议。</w:t>
      </w:r>
    </w:p>
    <w:p w14:paraId="39194C73">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税收规划及培训：利用团队专业优势，协助指导委托方财税团队进行税收规划，对委托方财税、投资、融资方案进行涉税评价，提出可行性建议。</w:t>
      </w:r>
    </w:p>
    <w:p w14:paraId="567432B1">
      <w:pPr>
        <w:spacing w:line="560" w:lineRule="exact"/>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税审服务</w:t>
      </w:r>
    </w:p>
    <w:p w14:paraId="5E04460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深圳深港科技创新合作区发展有限公司、深圳创科发展有限公司及深圳深港科创园区运营发展有限公司进行年度</w:t>
      </w:r>
      <w:r>
        <w:rPr>
          <w:rFonts w:hint="eastAsia" w:ascii="仿宋_GB2312" w:hAnsi="仿宋_GB2312" w:eastAsia="仿宋_GB2312" w:cs="仿宋_GB2312"/>
          <w:sz w:val="32"/>
          <w:szCs w:val="32"/>
        </w:rPr>
        <w:t>企业所得税汇算清缴进行审核鉴证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并分别</w:t>
      </w:r>
      <w:r>
        <w:rPr>
          <w:rFonts w:hint="eastAsia" w:ascii="仿宋_GB2312" w:hAnsi="仿宋_GB2312" w:eastAsia="仿宋_GB2312" w:cs="仿宋_GB2312"/>
          <w:sz w:val="32"/>
          <w:szCs w:val="32"/>
        </w:rPr>
        <w:t>出具符合税务机关要求的《税审报告》1份正本，2份副本。</w:t>
      </w:r>
    </w:p>
    <w:p w14:paraId="32FA4934">
      <w:pPr>
        <w:pStyle w:val="14"/>
        <w:numPr>
          <w:ilvl w:val="0"/>
          <w:numId w:val="3"/>
        </w:numPr>
        <w:spacing w:line="560" w:lineRule="exact"/>
        <w:ind w:firstLine="640"/>
        <w:rPr>
          <w:rFonts w:hint="eastAsia" w:ascii="仿宋_GB2312" w:hAnsi="黑体" w:eastAsia="仿宋_GB2312" w:cs="Times New Roman"/>
          <w:b/>
          <w:bCs/>
          <w:color w:val="000000"/>
          <w:sz w:val="32"/>
          <w:szCs w:val="32"/>
          <w:lang w:val="en-US" w:eastAsia="zh-CN"/>
        </w:rPr>
      </w:pPr>
      <w:r>
        <w:rPr>
          <w:rFonts w:hint="eastAsia" w:ascii="仿宋_GB2312" w:hAnsi="黑体" w:eastAsia="仿宋_GB2312" w:cs="Times New Roman"/>
          <w:b/>
          <w:bCs/>
          <w:color w:val="000000"/>
          <w:sz w:val="32"/>
          <w:szCs w:val="32"/>
        </w:rPr>
        <w:t>常规服务要</w:t>
      </w:r>
      <w:r>
        <w:rPr>
          <w:rFonts w:hint="eastAsia" w:ascii="仿宋_GB2312" w:hAnsi="黑体" w:eastAsia="仿宋_GB2312" w:cs="Times New Roman"/>
          <w:b/>
          <w:bCs/>
          <w:color w:val="000000"/>
          <w:sz w:val="32"/>
          <w:szCs w:val="32"/>
          <w:lang w:val="en-US" w:eastAsia="zh-CN"/>
        </w:rPr>
        <w:t>求</w:t>
      </w:r>
    </w:p>
    <w:p w14:paraId="5DF35DEC">
      <w:pPr>
        <w:adjustRightInd/>
        <w:snapToGrid/>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1.团队</w:t>
      </w:r>
      <w:r>
        <w:rPr>
          <w:rFonts w:hint="eastAsia" w:ascii="仿宋_GB2312" w:hAnsi="仿宋_GB2312" w:eastAsia="仿宋_GB2312" w:cs="仿宋_GB2312"/>
          <w:sz w:val="32"/>
          <w:szCs w:val="32"/>
        </w:rPr>
        <w:t>人员不能胜任工作的，招标人有权要求更换；</w:t>
      </w:r>
    </w:p>
    <w:p w14:paraId="7AB84917">
      <w:pPr>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2.每年提供至少2次关于税收新政策、行业税收知识方面的专业指导与培训</w:t>
      </w:r>
      <w:r>
        <w:rPr>
          <w:rFonts w:hint="eastAsia" w:ascii="仿宋_GB2312" w:hAnsi="仿宋_GB2312" w:eastAsia="仿宋_GB2312" w:cs="仿宋_GB2312"/>
          <w:sz w:val="32"/>
          <w:szCs w:val="32"/>
          <w:lang w:eastAsia="zh-CN"/>
        </w:rPr>
        <w:t>；</w:t>
      </w:r>
    </w:p>
    <w:p w14:paraId="0AD8FCBB">
      <w:pPr>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3.其他与招标人有关的日常</w:t>
      </w:r>
      <w:r>
        <w:rPr>
          <w:rFonts w:hint="eastAsia" w:ascii="仿宋_GB2312" w:hAnsi="仿宋_GB2312" w:eastAsia="仿宋_GB2312" w:cs="仿宋_GB2312"/>
          <w:sz w:val="32"/>
          <w:szCs w:val="32"/>
          <w:lang w:val="en-US" w:eastAsia="zh-CN"/>
        </w:rPr>
        <w:t>税务</w:t>
      </w:r>
      <w:r>
        <w:rPr>
          <w:rFonts w:hint="eastAsia" w:ascii="仿宋_GB2312" w:hAnsi="仿宋_GB2312" w:eastAsia="仿宋_GB2312" w:cs="仿宋_GB2312"/>
          <w:sz w:val="32"/>
          <w:szCs w:val="32"/>
        </w:rPr>
        <w:t>服务。</w:t>
      </w:r>
    </w:p>
    <w:p w14:paraId="01892306">
      <w:pPr>
        <w:pStyle w:val="14"/>
        <w:spacing w:line="560" w:lineRule="exact"/>
        <w:ind w:firstLine="640"/>
        <w:rPr>
          <w:rFonts w:hint="eastAsia" w:ascii="仿宋_GB2312" w:hAnsi="黑体" w:eastAsia="仿宋_GB2312" w:cs="Times New Roman"/>
          <w:b/>
          <w:bCs/>
          <w:color w:val="000000"/>
          <w:sz w:val="32"/>
          <w:szCs w:val="32"/>
        </w:rPr>
      </w:pPr>
      <w:r>
        <w:rPr>
          <w:rFonts w:hint="eastAsia" w:ascii="仿宋_GB2312" w:hAnsi="黑体" w:eastAsia="仿宋_GB2312" w:cs="Times New Roman"/>
          <w:b/>
          <w:bCs/>
          <w:color w:val="000000"/>
          <w:sz w:val="32"/>
          <w:szCs w:val="32"/>
        </w:rPr>
        <w:t>（</w:t>
      </w:r>
      <w:r>
        <w:rPr>
          <w:rFonts w:hint="eastAsia" w:ascii="仿宋_GB2312" w:hAnsi="黑体" w:eastAsia="仿宋_GB2312" w:cs="Times New Roman"/>
          <w:b/>
          <w:bCs/>
          <w:color w:val="000000"/>
          <w:sz w:val="32"/>
          <w:szCs w:val="32"/>
          <w:lang w:val="en-US" w:eastAsia="zh-CN"/>
        </w:rPr>
        <w:t>三</w:t>
      </w:r>
      <w:r>
        <w:rPr>
          <w:rFonts w:hint="eastAsia" w:ascii="仿宋_GB2312" w:hAnsi="黑体" w:eastAsia="仿宋_GB2312" w:cs="Times New Roman"/>
          <w:b/>
          <w:bCs/>
          <w:color w:val="000000"/>
          <w:sz w:val="32"/>
          <w:szCs w:val="32"/>
        </w:rPr>
        <w:t>）交付成果</w:t>
      </w:r>
    </w:p>
    <w:p w14:paraId="1CAF3A4E">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1.根据公司</w:t>
      </w:r>
      <w:r>
        <w:rPr>
          <w:rFonts w:hint="eastAsia" w:ascii="仿宋_GB2312" w:hAnsi="仿宋_GB2312" w:eastAsia="仿宋_GB2312" w:cs="仿宋_GB2312"/>
          <w:sz w:val="32"/>
          <w:szCs w:val="32"/>
          <w:highlight w:val="none"/>
          <w:lang w:val="en-US" w:eastAsia="zh-CN"/>
        </w:rPr>
        <w:t>实际需求出</w:t>
      </w:r>
      <w:r>
        <w:rPr>
          <w:rFonts w:hint="eastAsia" w:ascii="仿宋_GB2312" w:hAnsi="仿宋_GB2312" w:eastAsia="仿宋_GB2312" w:cs="仿宋_GB2312"/>
          <w:sz w:val="32"/>
          <w:szCs w:val="32"/>
          <w:lang w:val="en-US" w:eastAsia="zh-CN"/>
        </w:rPr>
        <w:t>具税务意见书；</w:t>
      </w:r>
    </w:p>
    <w:p w14:paraId="3EE372E9">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企业所得税汇算清缴出具鉴证业务报告</w:t>
      </w:r>
      <w:r>
        <w:rPr>
          <w:rFonts w:hint="eastAsia" w:ascii="仿宋_GB2312" w:hAnsi="仿宋_GB2312" w:eastAsia="仿宋_GB2312" w:cs="仿宋_GB2312"/>
          <w:sz w:val="32"/>
          <w:szCs w:val="32"/>
          <w:lang w:val="en-US" w:eastAsia="zh-CN"/>
        </w:rPr>
        <w:t>；</w:t>
      </w:r>
    </w:p>
    <w:p w14:paraId="36BC2E8F">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3.税收专题讲座和培训；</w:t>
      </w:r>
    </w:p>
    <w:p w14:paraId="6C52FC96">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4.年度服务情况报告。</w:t>
      </w:r>
    </w:p>
    <w:p w14:paraId="3C76EC90">
      <w:pPr>
        <w:spacing w:line="560" w:lineRule="exact"/>
        <w:ind w:firstLine="640"/>
        <w:rPr>
          <w:rFonts w:hint="eastAsia" w:ascii="Times New Roman" w:hAnsi="Times New Roman" w:eastAsia="黑体" w:cs="Times New Roman"/>
          <w:bCs/>
          <w:sz w:val="32"/>
          <w:szCs w:val="32"/>
        </w:rPr>
      </w:pPr>
      <w:r>
        <w:rPr>
          <w:rFonts w:hint="eastAsia" w:ascii="Times New Roman" w:hAnsi="Times New Roman" w:eastAsia="黑体" w:cs="Times New Roman"/>
          <w:bCs/>
          <w:sz w:val="32"/>
          <w:szCs w:val="32"/>
          <w:lang w:val="en-US" w:eastAsia="zh-CN"/>
        </w:rPr>
        <w:t>三、</w:t>
      </w:r>
      <w:r>
        <w:rPr>
          <w:rFonts w:hint="eastAsia" w:ascii="Times New Roman" w:hAnsi="Times New Roman" w:eastAsia="黑体" w:cs="Times New Roman"/>
          <w:bCs/>
          <w:sz w:val="32"/>
          <w:szCs w:val="32"/>
        </w:rPr>
        <w:t>服务期限</w:t>
      </w:r>
    </w:p>
    <w:p w14:paraId="5EA42CD9">
      <w:pPr>
        <w:spacing w:line="560" w:lineRule="exact"/>
        <w:ind w:firstLine="640"/>
        <w:rPr>
          <w:rFonts w:hint="eastAsia"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本项目服务期暂定为1年（具体自合同签订之日起算）。</w:t>
      </w:r>
    </w:p>
    <w:p w14:paraId="4ED4413A">
      <w:pPr>
        <w:spacing w:line="560" w:lineRule="exact"/>
        <w:ind w:firstLine="640"/>
        <w:rPr>
          <w:rFonts w:hint="eastAsia"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在服务年度期满前，由招标人对中标人进行年度履约考核。考核结果为“</w:t>
      </w:r>
      <w:r>
        <w:rPr>
          <w:rFonts w:hint="eastAsia" w:ascii="仿宋_GB2312" w:hAnsi="黑体" w:eastAsia="仿宋_GB2312" w:cs="Times New Roman"/>
          <w:color w:val="000000"/>
          <w:sz w:val="32"/>
          <w:szCs w:val="32"/>
          <w:lang w:val="en-US" w:eastAsia="zh-CN"/>
        </w:rPr>
        <w:t>优秀</w:t>
      </w:r>
      <w:r>
        <w:rPr>
          <w:rFonts w:hint="eastAsia" w:ascii="仿宋_GB2312" w:hAnsi="黑体" w:eastAsia="仿宋_GB2312" w:cs="Times New Roman"/>
          <w:color w:val="000000"/>
          <w:sz w:val="32"/>
          <w:szCs w:val="32"/>
        </w:rPr>
        <w:t>”的，</w:t>
      </w:r>
      <w:r>
        <w:rPr>
          <w:rFonts w:hint="eastAsia" w:ascii="仿宋_GB2312" w:hAnsi="黑体" w:eastAsia="仿宋_GB2312" w:cs="Times New Roman"/>
          <w:color w:val="000000"/>
          <w:sz w:val="32"/>
          <w:szCs w:val="32"/>
          <w:lang w:val="en-US" w:eastAsia="zh-CN"/>
        </w:rPr>
        <w:t>中标人</w:t>
      </w:r>
      <w:r>
        <w:rPr>
          <w:rFonts w:hint="eastAsia" w:ascii="仿宋_GB2312" w:hAnsi="黑体" w:eastAsia="仿宋_GB2312" w:cs="Times New Roman"/>
          <w:color w:val="000000"/>
          <w:sz w:val="32"/>
          <w:szCs w:val="32"/>
        </w:rPr>
        <w:t>可向</w:t>
      </w:r>
      <w:r>
        <w:rPr>
          <w:rFonts w:hint="eastAsia" w:ascii="仿宋_GB2312" w:hAnsi="黑体" w:eastAsia="仿宋_GB2312" w:cs="Times New Roman"/>
          <w:color w:val="000000"/>
          <w:sz w:val="32"/>
          <w:szCs w:val="32"/>
          <w:lang w:val="en-US" w:eastAsia="zh-CN"/>
        </w:rPr>
        <w:t>招标人</w:t>
      </w:r>
      <w:r>
        <w:rPr>
          <w:rFonts w:hint="eastAsia" w:ascii="仿宋_GB2312" w:hAnsi="黑体" w:eastAsia="仿宋_GB2312" w:cs="Times New Roman"/>
          <w:color w:val="000000"/>
          <w:sz w:val="32"/>
          <w:szCs w:val="32"/>
        </w:rPr>
        <w:t>申请按照本合同服务内容与金额续签1年合同；考核不合格的，招标人有权不再续签。续签合同履约评价结果仍为“</w:t>
      </w:r>
      <w:r>
        <w:rPr>
          <w:rFonts w:hint="eastAsia" w:ascii="仿宋_GB2312" w:hAnsi="黑体" w:eastAsia="仿宋_GB2312" w:cs="Times New Roman"/>
          <w:color w:val="000000"/>
          <w:sz w:val="32"/>
          <w:szCs w:val="32"/>
          <w:lang w:val="en-US" w:eastAsia="zh-CN"/>
        </w:rPr>
        <w:t>优秀</w:t>
      </w:r>
      <w:r>
        <w:rPr>
          <w:rFonts w:hint="eastAsia" w:ascii="仿宋_GB2312" w:hAnsi="黑体" w:eastAsia="仿宋_GB2312" w:cs="Times New Roman"/>
          <w:color w:val="000000"/>
          <w:sz w:val="32"/>
          <w:szCs w:val="32"/>
        </w:rPr>
        <w:t>”的，</w:t>
      </w:r>
      <w:r>
        <w:rPr>
          <w:rFonts w:hint="eastAsia" w:ascii="仿宋_GB2312" w:hAnsi="黑体" w:eastAsia="仿宋_GB2312" w:cs="Times New Roman"/>
          <w:color w:val="000000"/>
          <w:sz w:val="32"/>
          <w:szCs w:val="32"/>
          <w:lang w:val="en-US" w:eastAsia="zh-CN"/>
        </w:rPr>
        <w:t>招标人</w:t>
      </w:r>
      <w:r>
        <w:rPr>
          <w:rFonts w:hint="eastAsia" w:ascii="仿宋_GB2312" w:hAnsi="黑体" w:eastAsia="仿宋_GB2312" w:cs="Times New Roman"/>
          <w:color w:val="000000"/>
          <w:sz w:val="32"/>
          <w:szCs w:val="32"/>
        </w:rPr>
        <w:t>可向</w:t>
      </w:r>
      <w:r>
        <w:rPr>
          <w:rFonts w:hint="eastAsia" w:ascii="仿宋_GB2312" w:hAnsi="黑体" w:eastAsia="仿宋_GB2312" w:cs="Times New Roman"/>
          <w:color w:val="000000"/>
          <w:sz w:val="32"/>
          <w:szCs w:val="32"/>
          <w:lang w:val="en-US" w:eastAsia="zh-CN"/>
        </w:rPr>
        <w:t>中标人</w:t>
      </w:r>
      <w:r>
        <w:rPr>
          <w:rFonts w:hint="eastAsia" w:ascii="仿宋_GB2312" w:hAnsi="黑体" w:eastAsia="仿宋_GB2312" w:cs="Times New Roman"/>
          <w:color w:val="000000"/>
          <w:sz w:val="32"/>
          <w:szCs w:val="32"/>
        </w:rPr>
        <w:t>申请按照本合同服务内容与金额再续签1年合同。最多续签2次。</w:t>
      </w:r>
    </w:p>
    <w:p w14:paraId="3AD0BD0B">
      <w:pPr>
        <w:numPr>
          <w:ilvl w:val="0"/>
          <w:numId w:val="4"/>
        </w:numPr>
        <w:spacing w:line="560" w:lineRule="exact"/>
        <w:ind w:firstLine="640"/>
        <w:rPr>
          <w:rFonts w:hint="eastAsia" w:ascii="Times New Roman" w:hAnsi="Times New Roman" w:eastAsia="黑体" w:cs="Times New Roman"/>
          <w:bCs/>
          <w:sz w:val="32"/>
          <w:szCs w:val="32"/>
        </w:rPr>
      </w:pPr>
      <w:r>
        <w:rPr>
          <w:rFonts w:hint="eastAsia" w:ascii="Times New Roman" w:hAnsi="Times New Roman" w:eastAsia="黑体" w:cs="Times New Roman"/>
          <w:bCs/>
          <w:sz w:val="32"/>
          <w:szCs w:val="32"/>
        </w:rPr>
        <w:t>团队要求</w:t>
      </w:r>
    </w:p>
    <w:p w14:paraId="36F833DD">
      <w:pPr>
        <w:spacing w:line="560" w:lineRule="exact"/>
        <w:ind w:firstLine="640"/>
        <w:rPr>
          <w:rFonts w:hint="eastAsia"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中标人应指派至少1名合伙人及</w:t>
      </w:r>
      <w:r>
        <w:rPr>
          <w:rFonts w:hint="eastAsia" w:ascii="仿宋_GB2312" w:hAnsi="黑体" w:eastAsia="仿宋_GB2312" w:cs="Times New Roman"/>
          <w:color w:val="000000"/>
          <w:sz w:val="32"/>
          <w:szCs w:val="32"/>
          <w:lang w:val="en-US" w:eastAsia="zh-CN"/>
        </w:rPr>
        <w:t>3</w:t>
      </w:r>
      <w:r>
        <w:rPr>
          <w:rFonts w:hint="eastAsia" w:ascii="仿宋_GB2312" w:hAnsi="黑体" w:eastAsia="仿宋_GB2312" w:cs="Times New Roman"/>
          <w:color w:val="000000"/>
          <w:sz w:val="32"/>
          <w:szCs w:val="32"/>
        </w:rPr>
        <w:t>名（含</w:t>
      </w:r>
      <w:r>
        <w:rPr>
          <w:rFonts w:hint="eastAsia" w:ascii="仿宋_GB2312" w:hAnsi="黑体" w:eastAsia="仿宋_GB2312" w:cs="Times New Roman"/>
          <w:color w:val="000000"/>
          <w:sz w:val="32"/>
          <w:szCs w:val="32"/>
          <w:lang w:val="en-US" w:eastAsia="zh-CN"/>
        </w:rPr>
        <w:t>3</w:t>
      </w:r>
      <w:r>
        <w:rPr>
          <w:rFonts w:hint="eastAsia" w:ascii="仿宋_GB2312" w:hAnsi="黑体" w:eastAsia="仿宋_GB2312" w:cs="Times New Roman"/>
          <w:color w:val="000000"/>
          <w:sz w:val="32"/>
          <w:szCs w:val="32"/>
        </w:rPr>
        <w:t>名）以上的专职</w:t>
      </w:r>
      <w:r>
        <w:rPr>
          <w:rFonts w:hint="eastAsia" w:ascii="仿宋_GB2312" w:hAnsi="黑体" w:eastAsia="仿宋_GB2312" w:cs="Times New Roman"/>
          <w:color w:val="000000"/>
          <w:sz w:val="32"/>
          <w:szCs w:val="32"/>
          <w:lang w:val="en-US" w:eastAsia="zh-CN"/>
        </w:rPr>
        <w:t>人员</w:t>
      </w:r>
      <w:r>
        <w:rPr>
          <w:rFonts w:hint="eastAsia" w:ascii="仿宋_GB2312" w:hAnsi="黑体" w:eastAsia="仿宋_GB2312" w:cs="Times New Roman"/>
          <w:color w:val="000000"/>
          <w:sz w:val="32"/>
          <w:szCs w:val="32"/>
        </w:rPr>
        <w:t>组成核心服务团队。</w:t>
      </w:r>
    </w:p>
    <w:p w14:paraId="12D8083E">
      <w:pPr>
        <w:spacing w:line="560" w:lineRule="exact"/>
        <w:ind w:firstLine="640"/>
        <w:rPr>
          <w:rFonts w:hint="eastAsia"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团队成员必须具有丰富的工程建设、园区运营等领域的</w:t>
      </w:r>
      <w:r>
        <w:rPr>
          <w:rFonts w:hint="eastAsia" w:ascii="仿宋_GB2312" w:hAnsi="黑体" w:eastAsia="仿宋_GB2312" w:cs="Times New Roman"/>
          <w:color w:val="000000"/>
          <w:sz w:val="32"/>
          <w:szCs w:val="32"/>
          <w:lang w:val="en-US" w:eastAsia="zh-CN"/>
        </w:rPr>
        <w:t>税务</w:t>
      </w:r>
      <w:r>
        <w:rPr>
          <w:rFonts w:hint="eastAsia" w:ascii="仿宋_GB2312" w:hAnsi="黑体" w:eastAsia="仿宋_GB2312" w:cs="Times New Roman"/>
          <w:color w:val="000000"/>
          <w:sz w:val="32"/>
          <w:szCs w:val="32"/>
        </w:rPr>
        <w:t>服务经验。未经招标人同意，不得擅自更换团队核心成员</w:t>
      </w:r>
    </w:p>
    <w:tbl>
      <w:tblPr>
        <w:tblStyle w:val="34"/>
        <w:tblW w:w="8294" w:type="dxa"/>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53"/>
        <w:gridCol w:w="1545"/>
        <w:gridCol w:w="1545"/>
        <w:gridCol w:w="915"/>
        <w:gridCol w:w="960"/>
        <w:gridCol w:w="1455"/>
        <w:gridCol w:w="1221"/>
      </w:tblGrid>
      <w:tr w14:paraId="65817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7E24">
            <w:pPr>
              <w:pStyle w:val="193"/>
              <w:jc w:val="center"/>
              <w:rPr>
                <w:rFonts w:hint="eastAsia" w:ascii="仿宋_GB2312" w:hAnsi="仿宋_GB2312" w:eastAsia="仿宋_GB2312" w:cs="仿宋_GB2312"/>
                <w:b w:val="0"/>
                <w:bCs w:val="0"/>
                <w:kern w:val="0"/>
                <w:sz w:val="32"/>
                <w:szCs w:val="32"/>
              </w:rPr>
            </w:pPr>
            <w:bookmarkStart w:id="1" w:name="OLE_LINK11"/>
            <w:r>
              <w:rPr>
                <w:rFonts w:hint="eastAsia" w:ascii="仿宋_GB2312" w:hAnsi="仿宋_GB2312" w:eastAsia="仿宋_GB2312" w:cs="仿宋_GB2312"/>
                <w:b w:val="0"/>
                <w:bCs w:val="0"/>
                <w:kern w:val="0"/>
                <w:sz w:val="32"/>
                <w:szCs w:val="32"/>
              </w:rPr>
              <w:t>序号</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55E1">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项目职务</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4F41">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执业资格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A6A0">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人数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B8B7">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职称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2537">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学历</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30E5">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从业</w:t>
            </w:r>
          </w:p>
          <w:p w14:paraId="53DD9495">
            <w:pPr>
              <w:pStyle w:val="193"/>
              <w:jc w:val="center"/>
              <w:rPr>
                <w:rFonts w:hint="eastAsia" w:ascii="仿宋_GB2312" w:hAnsi="仿宋_GB2312" w:eastAsia="仿宋_GB2312" w:cs="仿宋_GB2312"/>
                <w:b w:val="0"/>
                <w:bCs w:val="0"/>
                <w:kern w:val="0"/>
                <w:sz w:val="32"/>
                <w:szCs w:val="32"/>
              </w:rPr>
            </w:pPr>
            <w:bookmarkStart w:id="2" w:name="_GoBack"/>
            <w:bookmarkEnd w:id="2"/>
            <w:r>
              <w:rPr>
                <w:rFonts w:hint="eastAsia" w:ascii="仿宋_GB2312" w:hAnsi="仿宋_GB2312" w:eastAsia="仿宋_GB2312" w:cs="仿宋_GB2312"/>
                <w:b w:val="0"/>
                <w:bCs w:val="0"/>
                <w:kern w:val="0"/>
                <w:sz w:val="32"/>
                <w:szCs w:val="32"/>
              </w:rPr>
              <w:t>年限</w:t>
            </w:r>
          </w:p>
        </w:tc>
      </w:tr>
      <w:tr w14:paraId="090A0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C397">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B31D">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项目负责人</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1598">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注册税务师</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9FE7">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4399">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无</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E69F">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本科以上</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8792">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6年</w:t>
            </w:r>
          </w:p>
        </w:tc>
      </w:tr>
      <w:tr w14:paraId="48B7A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CellSpacing w:w="0" w:type="dxa"/>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2C4B">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9C43">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税务专员</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79A2">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无</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B71E">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9083">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无</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2CA1">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本科以上</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C886">
            <w:pPr>
              <w:pStyle w:val="193"/>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3年</w:t>
            </w:r>
          </w:p>
        </w:tc>
      </w:tr>
      <w:bookmarkEnd w:id="1"/>
    </w:tbl>
    <w:p w14:paraId="77910967">
      <w:pPr>
        <w:spacing w:line="560" w:lineRule="exact"/>
        <w:ind w:firstLine="0"/>
        <w:rPr>
          <w:rFonts w:hint="eastAsia" w:ascii="仿宋_GB2312" w:hAnsi="仿宋_GB2312" w:eastAsia="仿宋_GB2312" w:cs="仿宋_GB2312"/>
          <w:color w:val="000000"/>
          <w:sz w:val="32"/>
          <w:szCs w:val="32"/>
        </w:rPr>
      </w:pPr>
    </w:p>
    <w:p w14:paraId="5C099D3D">
      <w:pPr>
        <w:spacing w:line="560" w:lineRule="exact"/>
        <w:ind w:firstLine="640"/>
        <w:rPr>
          <w:rFonts w:hint="eastAsia" w:ascii="Times New Roman" w:hAnsi="Times New Roman" w:eastAsia="黑体" w:cs="Times New Roman"/>
          <w:bCs/>
          <w:sz w:val="32"/>
          <w:szCs w:val="32"/>
        </w:rPr>
      </w:pPr>
      <w:r>
        <w:rPr>
          <w:rFonts w:hint="eastAsia" w:ascii="Times New Roman" w:hAnsi="Times New Roman" w:eastAsia="黑体" w:cs="Times New Roman"/>
          <w:bCs/>
          <w:sz w:val="32"/>
          <w:szCs w:val="32"/>
        </w:rPr>
        <w:t>五</w:t>
      </w:r>
      <w:r>
        <w:rPr>
          <w:rFonts w:hint="eastAsia" w:ascii="Times New Roman" w:hAnsi="Times New Roman" w:eastAsia="黑体" w:cs="Times New Roman"/>
          <w:bCs/>
          <w:sz w:val="32"/>
          <w:szCs w:val="32"/>
          <w:highlight w:val="none"/>
        </w:rPr>
        <w:t>、</w:t>
      </w:r>
      <w:r>
        <w:rPr>
          <w:rFonts w:hint="eastAsia" w:ascii="Times New Roman" w:hAnsi="Times New Roman" w:eastAsia="黑体" w:cs="Times New Roman"/>
          <w:bCs/>
          <w:sz w:val="32"/>
          <w:szCs w:val="32"/>
          <w:highlight w:val="none"/>
          <w:lang w:val="en-US" w:eastAsia="zh-CN"/>
        </w:rPr>
        <w:t>服务价格及</w:t>
      </w:r>
      <w:r>
        <w:rPr>
          <w:rFonts w:hint="eastAsia" w:ascii="Times New Roman" w:hAnsi="Times New Roman" w:eastAsia="黑体" w:cs="Times New Roman"/>
          <w:bCs/>
          <w:sz w:val="32"/>
          <w:szCs w:val="32"/>
          <w:highlight w:val="none"/>
        </w:rPr>
        <w:t>付款方式</w:t>
      </w:r>
    </w:p>
    <w:p w14:paraId="5D303CD2">
      <w:pPr>
        <w:spacing w:line="560" w:lineRule="exact"/>
        <w:ind w:firstLine="640"/>
        <w:rPr>
          <w:rFonts w:hint="eastAsia" w:ascii="Times New Roman" w:hAnsi="Times New Roman" w:eastAsia="黑体" w:cs="Times New Roman"/>
          <w:bCs/>
          <w:sz w:val="32"/>
          <w:szCs w:val="32"/>
        </w:rPr>
      </w:pPr>
      <w:r>
        <w:rPr>
          <w:rFonts w:hint="eastAsia" w:ascii="仿宋_GB2312" w:hAnsi="黑体" w:eastAsia="仿宋_GB2312" w:cs="Times New Roman"/>
          <w:color w:val="000000"/>
          <w:sz w:val="32"/>
          <w:szCs w:val="32"/>
        </w:rPr>
        <w:t>本次服务费用为合同总价，服务期内不再调整；报价费用应包括咨询服务所需的人工费、测试和调查搜资费、成果汇报、报告编制费用、成果文本印刷费、物流、管理费、利润、税费等一切费用。</w:t>
      </w:r>
    </w:p>
    <w:p w14:paraId="2552BA48">
      <w:pPr>
        <w:pStyle w:val="14"/>
        <w:spacing w:line="560" w:lineRule="exact"/>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税务顾问服务</w:t>
      </w:r>
    </w:p>
    <w:p w14:paraId="03D8DE53">
      <w:pPr>
        <w:spacing w:line="560" w:lineRule="exact"/>
        <w:ind w:firstLine="640"/>
        <w:rPr>
          <w:rFonts w:ascii="仿宋_GB2312" w:hAnsi="黑体" w:eastAsia="仿宋_GB2312" w:cs="Times New Roman"/>
          <w:color w:val="000000"/>
          <w:sz w:val="32"/>
          <w:szCs w:val="32"/>
        </w:rPr>
      </w:pP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lang w:val="en-US" w:eastAsia="zh-CN"/>
        </w:rPr>
        <w:t>1</w:t>
      </w: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lang w:val="en-US" w:eastAsia="zh-CN"/>
        </w:rPr>
        <w:t>首期顾问费：</w:t>
      </w:r>
      <w:r>
        <w:rPr>
          <w:rFonts w:hint="eastAsia" w:ascii="仿宋_GB2312" w:hAnsi="黑体" w:eastAsia="仿宋_GB2312" w:cs="Times New Roman"/>
          <w:color w:val="000000"/>
          <w:sz w:val="32"/>
          <w:szCs w:val="32"/>
        </w:rPr>
        <w:t>合同签订之日起</w:t>
      </w:r>
      <w:r>
        <w:rPr>
          <w:rFonts w:hint="eastAsia" w:ascii="仿宋_GB2312" w:hAnsi="黑体" w:eastAsia="仿宋_GB2312" w:cs="Times New Roman"/>
          <w:color w:val="000000"/>
          <w:sz w:val="32"/>
          <w:szCs w:val="32"/>
          <w:lang w:val="en-US" w:eastAsia="zh-CN"/>
        </w:rPr>
        <w:t>20个工作日</w:t>
      </w:r>
      <w:r>
        <w:rPr>
          <w:rFonts w:hint="eastAsia" w:ascii="仿宋_GB2312" w:hAnsi="黑体" w:eastAsia="仿宋_GB2312" w:cs="Times New Roman"/>
          <w:color w:val="000000"/>
          <w:sz w:val="32"/>
          <w:szCs w:val="32"/>
        </w:rPr>
        <w:t>内，</w:t>
      </w:r>
      <w:r>
        <w:rPr>
          <w:rFonts w:hint="eastAsia" w:ascii="仿宋_GB2312" w:hAnsi="黑体" w:eastAsia="仿宋_GB2312" w:cs="Times New Roman"/>
          <w:color w:val="000000"/>
          <w:sz w:val="32"/>
          <w:szCs w:val="32"/>
          <w:lang w:eastAsia="zh-CN"/>
        </w:rPr>
        <w:t>招标人</w:t>
      </w:r>
      <w:r>
        <w:rPr>
          <w:rFonts w:hint="eastAsia" w:ascii="仿宋_GB2312" w:hAnsi="黑体" w:eastAsia="仿宋_GB2312" w:cs="Times New Roman"/>
          <w:color w:val="000000"/>
          <w:sz w:val="32"/>
          <w:szCs w:val="32"/>
        </w:rPr>
        <w:t>向</w:t>
      </w:r>
      <w:r>
        <w:rPr>
          <w:rFonts w:hint="eastAsia" w:ascii="仿宋_GB2312" w:hAnsi="黑体" w:eastAsia="仿宋_GB2312" w:cs="Times New Roman"/>
          <w:color w:val="000000"/>
          <w:sz w:val="32"/>
          <w:szCs w:val="32"/>
          <w:lang w:eastAsia="zh-CN"/>
        </w:rPr>
        <w:t>中标人</w:t>
      </w:r>
      <w:r>
        <w:rPr>
          <w:rFonts w:hint="eastAsia" w:ascii="仿宋_GB2312" w:hAnsi="黑体" w:eastAsia="仿宋_GB2312" w:cs="Times New Roman"/>
          <w:color w:val="000000"/>
          <w:sz w:val="32"/>
          <w:szCs w:val="32"/>
        </w:rPr>
        <w:t>支付总</w:t>
      </w:r>
      <w:r>
        <w:rPr>
          <w:rFonts w:hint="eastAsia" w:ascii="仿宋_GB2312" w:hAnsi="黑体" w:eastAsia="仿宋_GB2312" w:cs="Times New Roman"/>
          <w:color w:val="000000"/>
          <w:sz w:val="32"/>
          <w:szCs w:val="32"/>
          <w:lang w:val="en-US" w:eastAsia="zh-CN"/>
        </w:rPr>
        <w:t>顾问费</w:t>
      </w:r>
      <w:r>
        <w:rPr>
          <w:rFonts w:hint="eastAsia" w:ascii="仿宋_GB2312" w:hAnsi="黑体" w:eastAsia="仿宋_GB2312" w:cs="Times New Roman"/>
          <w:color w:val="000000"/>
          <w:sz w:val="32"/>
          <w:szCs w:val="32"/>
        </w:rPr>
        <w:t>的</w:t>
      </w:r>
      <w:r>
        <w:rPr>
          <w:rFonts w:hint="eastAsia" w:ascii="仿宋_GB2312" w:hAnsi="黑体" w:eastAsia="仿宋_GB2312" w:cs="Times New Roman"/>
          <w:color w:val="000000"/>
          <w:sz w:val="32"/>
          <w:szCs w:val="32"/>
          <w:lang w:val="en-US" w:eastAsia="zh-CN"/>
        </w:rPr>
        <w:t>3</w:t>
      </w:r>
      <w:r>
        <w:rPr>
          <w:rFonts w:hint="eastAsia" w:ascii="仿宋_GB2312" w:hAnsi="黑体" w:eastAsia="仿宋_GB2312" w:cs="Times New Roman"/>
          <w:color w:val="000000"/>
          <w:sz w:val="32"/>
          <w:szCs w:val="32"/>
        </w:rPr>
        <w:t>0%。</w:t>
      </w:r>
    </w:p>
    <w:p w14:paraId="41DA5272">
      <w:pPr>
        <w:spacing w:line="560" w:lineRule="exact"/>
        <w:ind w:firstLine="640"/>
        <w:rPr>
          <w:rFonts w:hint="eastAsia" w:ascii="仿宋_GB2312" w:hAnsi="黑体" w:eastAsia="仿宋_GB2312" w:cs="Times New Roman"/>
          <w:color w:val="000000"/>
          <w:sz w:val="32"/>
          <w:szCs w:val="32"/>
          <w:lang w:val="en-US" w:eastAsia="zh-CN"/>
        </w:rPr>
      </w:pP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lang w:val="en-US" w:eastAsia="zh-CN"/>
        </w:rPr>
        <w:t>2</w:t>
      </w: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lang w:val="en-US" w:eastAsia="zh-CN"/>
        </w:rPr>
        <w:t>二期顾问费：</w:t>
      </w:r>
      <w:r>
        <w:rPr>
          <w:rFonts w:hint="eastAsia" w:ascii="仿宋_GB2312" w:hAnsi="黑体" w:eastAsia="仿宋_GB2312" w:cs="Times New Roman"/>
          <w:color w:val="000000"/>
          <w:sz w:val="32"/>
          <w:szCs w:val="32"/>
        </w:rPr>
        <w:t>合同履行满6个月后，支付总顾问费的30%</w:t>
      </w: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highlight w:val="none"/>
        </w:rPr>
        <w:t>招标人在收到发票后的</w:t>
      </w:r>
      <w:r>
        <w:rPr>
          <w:rFonts w:hint="eastAsia" w:ascii="仿宋_GB2312" w:hAnsi="黑体" w:eastAsia="仿宋_GB2312" w:cs="Times New Roman"/>
          <w:color w:val="000000"/>
          <w:sz w:val="32"/>
          <w:szCs w:val="32"/>
          <w:highlight w:val="none"/>
          <w:lang w:val="en-US" w:eastAsia="zh-CN"/>
        </w:rPr>
        <w:t>20个工作日</w:t>
      </w:r>
      <w:r>
        <w:rPr>
          <w:rFonts w:hint="eastAsia" w:ascii="仿宋_GB2312" w:hAnsi="黑体" w:eastAsia="仿宋_GB2312" w:cs="Times New Roman"/>
          <w:color w:val="000000"/>
          <w:sz w:val="32"/>
          <w:szCs w:val="32"/>
          <w:highlight w:val="none"/>
        </w:rPr>
        <w:t>内予以支付。</w:t>
      </w:r>
    </w:p>
    <w:p w14:paraId="414E6208">
      <w:pPr>
        <w:spacing w:line="560" w:lineRule="exact"/>
        <w:ind w:firstLine="640"/>
        <w:rPr>
          <w:rFonts w:hint="eastAsia" w:ascii="仿宋_GB2312" w:hAnsi="黑体" w:eastAsia="仿宋_GB2312" w:cs="Times New Roman"/>
          <w:color w:val="000000"/>
          <w:sz w:val="32"/>
          <w:szCs w:val="32"/>
          <w:lang w:val="en-US" w:eastAsia="zh-CN"/>
        </w:rPr>
      </w:pP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lang w:val="en-US" w:eastAsia="zh-CN"/>
        </w:rPr>
        <w:t>3</w:t>
      </w: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lang w:val="en-US" w:eastAsia="zh-CN"/>
        </w:rPr>
        <w:t>三期顾问费：合同履行满12个月且中标人承诺提供服务均已完成后，</w:t>
      </w:r>
      <w:r>
        <w:rPr>
          <w:rFonts w:hint="eastAsia" w:ascii="仿宋_GB2312" w:hAnsi="黑体" w:eastAsia="仿宋_GB2312" w:cs="Times New Roman"/>
          <w:color w:val="000000"/>
          <w:sz w:val="32"/>
          <w:szCs w:val="32"/>
        </w:rPr>
        <w:t>支付总顾问费的</w:t>
      </w:r>
      <w:r>
        <w:rPr>
          <w:rFonts w:hint="eastAsia" w:ascii="仿宋_GB2312" w:hAnsi="黑体" w:eastAsia="仿宋_GB2312" w:cs="Times New Roman"/>
          <w:color w:val="000000"/>
          <w:sz w:val="32"/>
          <w:szCs w:val="32"/>
          <w:lang w:val="en-US" w:eastAsia="zh-CN"/>
        </w:rPr>
        <w:t>20</w:t>
      </w:r>
      <w:r>
        <w:rPr>
          <w:rFonts w:hint="eastAsia" w:ascii="仿宋_GB2312" w:hAnsi="黑体" w:eastAsia="仿宋_GB2312" w:cs="Times New Roman"/>
          <w:color w:val="000000"/>
          <w:sz w:val="32"/>
          <w:szCs w:val="32"/>
        </w:rPr>
        <w:t>%，并根据考核结果支付最高不超过总顾问费</w:t>
      </w:r>
      <w:r>
        <w:rPr>
          <w:rFonts w:hint="eastAsia" w:ascii="仿宋_GB2312" w:hAnsi="黑体" w:eastAsia="仿宋_GB2312" w:cs="Times New Roman"/>
          <w:color w:val="000000"/>
          <w:sz w:val="32"/>
          <w:szCs w:val="32"/>
          <w:lang w:val="en-US" w:eastAsia="zh-CN"/>
        </w:rPr>
        <w:t>2</w:t>
      </w:r>
      <w:r>
        <w:rPr>
          <w:rFonts w:hint="eastAsia" w:ascii="仿宋_GB2312" w:hAnsi="黑体" w:eastAsia="仿宋_GB2312" w:cs="Times New Roman"/>
          <w:color w:val="000000"/>
          <w:sz w:val="32"/>
          <w:szCs w:val="32"/>
        </w:rPr>
        <w:t>0%的绩效顾问费</w:t>
      </w: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highlight w:val="none"/>
        </w:rPr>
        <w:t>招标人在收到前述发票后的</w:t>
      </w:r>
      <w:r>
        <w:rPr>
          <w:rFonts w:hint="eastAsia" w:ascii="仿宋_GB2312" w:hAnsi="黑体" w:eastAsia="仿宋_GB2312" w:cs="Times New Roman"/>
          <w:color w:val="000000"/>
          <w:sz w:val="32"/>
          <w:szCs w:val="32"/>
          <w:highlight w:val="none"/>
          <w:lang w:val="en-US" w:eastAsia="zh-CN"/>
        </w:rPr>
        <w:t>20个工作日</w:t>
      </w:r>
      <w:r>
        <w:rPr>
          <w:rFonts w:hint="eastAsia" w:ascii="仿宋_GB2312" w:hAnsi="黑体" w:eastAsia="仿宋_GB2312" w:cs="Times New Roman"/>
          <w:color w:val="000000"/>
          <w:sz w:val="32"/>
          <w:szCs w:val="32"/>
          <w:highlight w:val="none"/>
        </w:rPr>
        <w:t>内予以支付。</w:t>
      </w:r>
    </w:p>
    <w:p w14:paraId="5638A1E5">
      <w:pPr>
        <w:pStyle w:val="14"/>
        <w:spacing w:line="560" w:lineRule="exact"/>
        <w:ind w:firstLine="643"/>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2.税审服务</w:t>
      </w:r>
    </w:p>
    <w:p w14:paraId="1D38DFBD">
      <w:pPr>
        <w:spacing w:line="560" w:lineRule="exact"/>
        <w:ind w:firstLine="640"/>
        <w:rPr>
          <w:rFonts w:hint="eastAsia" w:ascii="仿宋_GB2312" w:hAnsi="黑体" w:eastAsia="仿宋_GB2312" w:cs="Times New Roman"/>
          <w:color w:val="000000"/>
          <w:sz w:val="32"/>
          <w:szCs w:val="32"/>
          <w:highlight w:val="none"/>
        </w:rPr>
      </w:pPr>
      <w:r>
        <w:rPr>
          <w:rFonts w:hint="eastAsia" w:ascii="仿宋_GB2312" w:hAnsi="黑体" w:eastAsia="仿宋_GB2312" w:cs="Times New Roman"/>
          <w:color w:val="000000"/>
          <w:sz w:val="32"/>
          <w:szCs w:val="32"/>
          <w:highlight w:val="none"/>
        </w:rPr>
        <w:t>提交</w:t>
      </w:r>
      <w:r>
        <w:rPr>
          <w:rFonts w:hint="eastAsia" w:ascii="仿宋_GB2312" w:hAnsi="黑体" w:eastAsia="仿宋_GB2312" w:cs="Times New Roman"/>
          <w:color w:val="000000"/>
          <w:sz w:val="32"/>
          <w:szCs w:val="32"/>
          <w:highlight w:val="none"/>
          <w:lang w:val="en-US" w:eastAsia="zh-CN"/>
        </w:rPr>
        <w:t>税审</w:t>
      </w:r>
      <w:r>
        <w:rPr>
          <w:rFonts w:hint="eastAsia" w:ascii="仿宋_GB2312" w:hAnsi="黑体" w:eastAsia="仿宋_GB2312" w:cs="Times New Roman"/>
          <w:color w:val="000000"/>
          <w:sz w:val="32"/>
          <w:szCs w:val="32"/>
          <w:highlight w:val="none"/>
        </w:rPr>
        <w:t>报告并经确认后，招标人在收到前述发票后的</w:t>
      </w:r>
      <w:r>
        <w:rPr>
          <w:rFonts w:hint="eastAsia" w:ascii="仿宋_GB2312" w:hAnsi="黑体" w:eastAsia="仿宋_GB2312" w:cs="Times New Roman"/>
          <w:color w:val="000000"/>
          <w:sz w:val="32"/>
          <w:szCs w:val="32"/>
          <w:highlight w:val="none"/>
          <w:lang w:val="en-US" w:eastAsia="zh-CN"/>
        </w:rPr>
        <w:t>20个工作日</w:t>
      </w:r>
      <w:r>
        <w:rPr>
          <w:rFonts w:hint="eastAsia" w:ascii="仿宋_GB2312" w:hAnsi="黑体" w:eastAsia="仿宋_GB2312" w:cs="Times New Roman"/>
          <w:color w:val="000000"/>
          <w:sz w:val="32"/>
          <w:szCs w:val="32"/>
          <w:highlight w:val="none"/>
        </w:rPr>
        <w:t>内支付全部款项。</w:t>
      </w:r>
    </w:p>
    <w:p w14:paraId="08C0A8F9">
      <w:pPr>
        <w:pStyle w:val="14"/>
        <w:spacing w:line="560" w:lineRule="exact"/>
        <w:ind w:firstLine="643"/>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3.绩效考核与续期</w:t>
      </w:r>
    </w:p>
    <w:p w14:paraId="621EFB86">
      <w:pPr>
        <w:spacing w:line="560" w:lineRule="exact"/>
        <w:ind w:firstLine="640"/>
        <w:rPr>
          <w:rFonts w:hint="eastAsia" w:ascii="仿宋_GB2312" w:hAnsi="黑体" w:eastAsia="仿宋_GB2312" w:cs="Times New Roman"/>
          <w:color w:val="000000"/>
          <w:sz w:val="32"/>
          <w:szCs w:val="32"/>
        </w:rPr>
      </w:pP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lang w:val="en-US" w:eastAsia="zh-CN"/>
        </w:rPr>
        <w:t>1</w:t>
      </w: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rPr>
        <w:t>考核方式：服务期限剩余1个自然月时（即第11个月），招标人应对照合同约定的考核内容完成考核评价并将结果告知中标人。</w:t>
      </w:r>
    </w:p>
    <w:p w14:paraId="0818C87A">
      <w:pPr>
        <w:spacing w:line="560" w:lineRule="exact"/>
        <w:ind w:firstLine="640"/>
        <w:rPr>
          <w:rFonts w:hint="eastAsia" w:ascii="仿宋_GB2312" w:hAnsi="黑体" w:eastAsia="仿宋_GB2312" w:cs="Times New Roman"/>
          <w:color w:val="000000"/>
          <w:sz w:val="32"/>
          <w:szCs w:val="32"/>
          <w:lang w:eastAsia="zh-CN"/>
        </w:rPr>
      </w:pPr>
      <w:r>
        <w:rPr>
          <w:rFonts w:hint="eastAsia" w:ascii="仿宋_GB2312" w:hAnsi="黑体" w:eastAsia="仿宋_GB2312" w:cs="Times New Roman"/>
          <w:color w:val="000000"/>
          <w:sz w:val="32"/>
          <w:szCs w:val="32"/>
          <w:lang w:eastAsia="zh-CN"/>
        </w:rPr>
        <w:t>（</w:t>
      </w:r>
      <w:r>
        <w:rPr>
          <w:rFonts w:hint="eastAsia" w:ascii="仿宋_GB2312" w:hAnsi="黑体" w:eastAsia="仿宋_GB2312" w:cs="Times New Roman"/>
          <w:color w:val="000000"/>
          <w:sz w:val="32"/>
          <w:szCs w:val="32"/>
          <w:lang w:val="en-US" w:eastAsia="zh-CN"/>
        </w:rPr>
        <w:t>2</w:t>
      </w:r>
      <w:r>
        <w:rPr>
          <w:rFonts w:hint="eastAsia" w:ascii="仿宋_GB2312" w:hAnsi="黑体" w:eastAsia="仿宋_GB2312" w:cs="Times New Roman"/>
          <w:color w:val="000000"/>
          <w:sz w:val="32"/>
          <w:szCs w:val="32"/>
          <w:lang w:eastAsia="zh-CN"/>
        </w:rPr>
        <w:t>）绩效顾问费支付：绩效顾问费按下表支付，被扣减的绩效顾问费为永久扣除，不再以任何形式补发。</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9"/>
        <w:gridCol w:w="3258"/>
        <w:gridCol w:w="3355"/>
      </w:tblGrid>
      <w:tr w14:paraId="20B8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tcPr>
          <w:p w14:paraId="7A94D8BB">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序号</w:t>
            </w:r>
          </w:p>
        </w:tc>
        <w:tc>
          <w:tcPr>
            <w:tcW w:w="3258" w:type="dxa"/>
          </w:tcPr>
          <w:p w14:paraId="4311215E">
            <w:pPr>
              <w:spacing w:line="560" w:lineRule="exact"/>
              <w:jc w:val="center"/>
              <w:rPr>
                <w:rFonts w:hint="eastAsia" w:ascii="仿宋_GB2312" w:hAnsi="黑体" w:eastAsia="仿宋_GB2312" w:cs="Times New Roman"/>
                <w:color w:val="000000"/>
                <w:sz w:val="32"/>
                <w:szCs w:val="32"/>
                <w:vertAlign w:val="baseline"/>
                <w:lang w:eastAsia="zh-CN"/>
              </w:rPr>
            </w:pPr>
            <w:r>
              <w:rPr>
                <w:rFonts w:hint="eastAsia" w:ascii="仿宋_GB2312" w:hAnsi="黑体" w:eastAsia="仿宋_GB2312" w:cs="Times New Roman"/>
                <w:color w:val="000000"/>
                <w:sz w:val="32"/>
                <w:szCs w:val="32"/>
              </w:rPr>
              <w:t>服务考核结果</w:t>
            </w:r>
          </w:p>
        </w:tc>
        <w:tc>
          <w:tcPr>
            <w:tcW w:w="3355" w:type="dxa"/>
          </w:tcPr>
          <w:p w14:paraId="083F7326">
            <w:pPr>
              <w:spacing w:line="560" w:lineRule="exact"/>
              <w:jc w:val="center"/>
              <w:rPr>
                <w:rFonts w:hint="eastAsia" w:ascii="仿宋_GB2312" w:hAnsi="黑体" w:eastAsia="仿宋_GB2312" w:cs="Times New Roman"/>
                <w:color w:val="000000"/>
                <w:sz w:val="32"/>
                <w:szCs w:val="32"/>
                <w:vertAlign w:val="baseline"/>
                <w:lang w:eastAsia="zh-CN"/>
              </w:rPr>
            </w:pPr>
            <w:r>
              <w:rPr>
                <w:rFonts w:hint="eastAsia" w:ascii="仿宋_GB2312" w:hAnsi="黑体" w:eastAsia="仿宋_GB2312" w:cs="Times New Roman"/>
                <w:color w:val="000000"/>
                <w:sz w:val="32"/>
                <w:szCs w:val="32"/>
              </w:rPr>
              <w:t>绩效顾问费百分比</w:t>
            </w:r>
          </w:p>
        </w:tc>
      </w:tr>
      <w:tr w14:paraId="1A02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tcPr>
          <w:p w14:paraId="1491646D">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1</w:t>
            </w:r>
          </w:p>
        </w:tc>
        <w:tc>
          <w:tcPr>
            <w:tcW w:w="3258" w:type="dxa"/>
          </w:tcPr>
          <w:p w14:paraId="440F228F">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优秀</w:t>
            </w:r>
          </w:p>
        </w:tc>
        <w:tc>
          <w:tcPr>
            <w:tcW w:w="3355" w:type="dxa"/>
          </w:tcPr>
          <w:p w14:paraId="23477CC8">
            <w:pPr>
              <w:spacing w:line="560" w:lineRule="exact"/>
              <w:jc w:val="center"/>
              <w:rPr>
                <w:rFonts w:hint="eastAsia" w:ascii="仿宋_GB2312" w:hAnsi="黑体" w:eastAsia="仿宋_GB2312" w:cs="Times New Roman"/>
                <w:color w:val="000000"/>
                <w:sz w:val="32"/>
                <w:szCs w:val="32"/>
                <w:vertAlign w:val="baseline"/>
                <w:lang w:eastAsia="zh-CN"/>
              </w:rPr>
            </w:pPr>
            <w:r>
              <w:rPr>
                <w:rFonts w:hint="eastAsia" w:ascii="仿宋_GB2312" w:hAnsi="黑体" w:eastAsia="仿宋_GB2312" w:cs="Times New Roman"/>
                <w:color w:val="000000"/>
                <w:sz w:val="32"/>
                <w:szCs w:val="32"/>
              </w:rPr>
              <w:t>20%</w:t>
            </w:r>
          </w:p>
        </w:tc>
      </w:tr>
      <w:tr w14:paraId="7A7F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tcPr>
          <w:p w14:paraId="05F3E777">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2</w:t>
            </w:r>
          </w:p>
        </w:tc>
        <w:tc>
          <w:tcPr>
            <w:tcW w:w="3258" w:type="dxa"/>
          </w:tcPr>
          <w:p w14:paraId="230E4163">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良好</w:t>
            </w:r>
          </w:p>
        </w:tc>
        <w:tc>
          <w:tcPr>
            <w:tcW w:w="3355" w:type="dxa"/>
          </w:tcPr>
          <w:p w14:paraId="1DD6E69A">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15%</w:t>
            </w:r>
          </w:p>
        </w:tc>
      </w:tr>
      <w:tr w14:paraId="613E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tcPr>
          <w:p w14:paraId="11C99180">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3</w:t>
            </w:r>
          </w:p>
        </w:tc>
        <w:tc>
          <w:tcPr>
            <w:tcW w:w="3258" w:type="dxa"/>
          </w:tcPr>
          <w:p w14:paraId="1CA703C6">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合格</w:t>
            </w:r>
          </w:p>
        </w:tc>
        <w:tc>
          <w:tcPr>
            <w:tcW w:w="3355" w:type="dxa"/>
          </w:tcPr>
          <w:p w14:paraId="1B756539">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10%</w:t>
            </w:r>
          </w:p>
        </w:tc>
      </w:tr>
      <w:tr w14:paraId="7286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tcPr>
          <w:p w14:paraId="62C42621">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4</w:t>
            </w:r>
          </w:p>
        </w:tc>
        <w:tc>
          <w:tcPr>
            <w:tcW w:w="3258" w:type="dxa"/>
          </w:tcPr>
          <w:p w14:paraId="2BE5969C">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不合格</w:t>
            </w:r>
          </w:p>
        </w:tc>
        <w:tc>
          <w:tcPr>
            <w:tcW w:w="3355" w:type="dxa"/>
          </w:tcPr>
          <w:p w14:paraId="151365B6">
            <w:pPr>
              <w:spacing w:line="560" w:lineRule="exact"/>
              <w:jc w:val="center"/>
              <w:rPr>
                <w:rFonts w:hint="default" w:ascii="仿宋_GB2312" w:hAnsi="黑体" w:eastAsia="仿宋_GB2312" w:cs="Times New Roman"/>
                <w:color w:val="000000"/>
                <w:sz w:val="32"/>
                <w:szCs w:val="32"/>
                <w:vertAlign w:val="baseline"/>
                <w:lang w:val="en-US" w:eastAsia="zh-CN"/>
              </w:rPr>
            </w:pPr>
            <w:r>
              <w:rPr>
                <w:rFonts w:hint="eastAsia" w:ascii="仿宋_GB2312" w:hAnsi="黑体" w:eastAsia="仿宋_GB2312" w:cs="Times New Roman"/>
                <w:color w:val="000000"/>
                <w:sz w:val="32"/>
                <w:szCs w:val="32"/>
                <w:vertAlign w:val="baseline"/>
                <w:lang w:val="en-US" w:eastAsia="zh-CN"/>
              </w:rPr>
              <w:t>0%</w:t>
            </w:r>
          </w:p>
        </w:tc>
      </w:tr>
    </w:tbl>
    <w:p w14:paraId="5DA1DC3F">
      <w:pPr>
        <w:spacing w:line="560" w:lineRule="exact"/>
        <w:ind w:firstLine="640"/>
        <w:rPr>
          <w:rFonts w:hint="eastAsia" w:ascii="仿宋_GB2312" w:hAnsi="黑体" w:eastAsia="仿宋_GB2312" w:cs="Times New Roman"/>
          <w:color w:val="000000"/>
          <w:sz w:val="32"/>
          <w:szCs w:val="32"/>
        </w:rPr>
      </w:pPr>
      <w:r>
        <w:rPr>
          <w:rFonts w:hint="eastAsia" w:ascii="仿宋_GB2312" w:hAnsi="黑体" w:eastAsia="仿宋_GB2312" w:cs="Times New Roman"/>
          <w:color w:val="000000"/>
          <w:sz w:val="32"/>
          <w:szCs w:val="32"/>
        </w:rPr>
        <w:t>服务评价分为优秀、良好、合格、不合格四个等级，其中服务评价得分在90（含）-100分者为优秀，80（含）-89分者为良好，</w:t>
      </w:r>
      <w:r>
        <w:rPr>
          <w:rFonts w:hint="eastAsia" w:ascii="仿宋_GB2312" w:hAnsi="黑体" w:eastAsia="仿宋_GB2312" w:cs="Times New Roman"/>
          <w:color w:val="000000"/>
          <w:sz w:val="32"/>
          <w:szCs w:val="32"/>
          <w:lang w:val="en-US" w:eastAsia="zh-CN"/>
        </w:rPr>
        <w:t>60</w:t>
      </w:r>
      <w:r>
        <w:rPr>
          <w:rFonts w:hint="eastAsia" w:ascii="仿宋_GB2312" w:hAnsi="黑体" w:eastAsia="仿宋_GB2312" w:cs="Times New Roman"/>
          <w:color w:val="000000"/>
          <w:sz w:val="32"/>
          <w:szCs w:val="32"/>
        </w:rPr>
        <w:t>（含）-79分者为合格，不足</w:t>
      </w:r>
      <w:r>
        <w:rPr>
          <w:rFonts w:hint="eastAsia" w:ascii="仿宋_GB2312" w:hAnsi="黑体" w:eastAsia="仿宋_GB2312" w:cs="Times New Roman"/>
          <w:color w:val="000000"/>
          <w:sz w:val="32"/>
          <w:szCs w:val="32"/>
          <w:lang w:val="en-US" w:eastAsia="zh-CN"/>
        </w:rPr>
        <w:t>60</w:t>
      </w:r>
      <w:r>
        <w:rPr>
          <w:rFonts w:hint="eastAsia" w:ascii="仿宋_GB2312" w:hAnsi="黑体" w:eastAsia="仿宋_GB2312" w:cs="Times New Roman"/>
          <w:color w:val="000000"/>
          <w:sz w:val="32"/>
          <w:szCs w:val="32"/>
        </w:rPr>
        <w:t>分者为不合格。履约评价结果为不合格的，招标人有权解除合同，并不再支付合同剩余顾问费。</w:t>
      </w:r>
    </w:p>
    <w:bookmarkEnd w:id="0"/>
    <w:p w14:paraId="4C2DB110">
      <w:pPr>
        <w:spacing w:line="560" w:lineRule="exact"/>
        <w:ind w:firstLine="640"/>
        <w:rPr>
          <w:rFonts w:hint="eastAsia" w:ascii="仿宋_GB2312" w:hAnsi="黑体" w:eastAsia="仿宋_GB2312" w:cs="Times New Roman"/>
          <w:color w:val="000000"/>
          <w:sz w:val="32"/>
          <w:szCs w:val="32"/>
          <w:highlight w:val="yellow"/>
        </w:rPr>
      </w:pPr>
    </w:p>
    <w:sectPr>
      <w:pgSz w:w="11906" w:h="16838"/>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2BAD39-4EE0-4869-810D-3928D77D27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C0EBB7D5-EE94-41D4-A705-C6F9E1626264}"/>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embedRegular r:id="rId3" w:fontKey="{32FB8F2E-8219-4262-AC8C-F3E5675F3E88}"/>
  </w:font>
  <w:font w:name="方正小标宋简体">
    <w:panose1 w:val="02000000000000000000"/>
    <w:charset w:val="86"/>
    <w:family w:val="auto"/>
    <w:pitch w:val="default"/>
    <w:sig w:usb0="00000001" w:usb1="080E0000" w:usb2="00000000" w:usb3="00000000" w:csb0="00040000" w:csb1="00000000"/>
    <w:embedRegular r:id="rId4" w:fontKey="{7B21B913-4F2E-4517-9612-64934237F485}"/>
  </w:font>
  <w:font w:name="方正仿宋_GB2312">
    <w:panose1 w:val="02000000000000000000"/>
    <w:charset w:val="86"/>
    <w:family w:val="auto"/>
    <w:pitch w:val="default"/>
    <w:sig w:usb0="A00002BF" w:usb1="184F6CFA" w:usb2="00000012" w:usb3="00000000" w:csb0="00040001" w:csb1="00000000"/>
    <w:embedRegular r:id="rId5" w:fontKey="{B03DFD90-962D-48DF-94F5-3071DB10C84C}"/>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420" w:hanging="420"/>
      </w:pPr>
      <w:rPr>
        <w:rFonts w:hint="eastAsia"/>
      </w:rPr>
    </w:lvl>
    <w:lvl w:ilvl="1" w:tentative="0">
      <w:start w:val="1"/>
      <w:numFmt w:val="decimal"/>
      <w:pStyle w:val="192"/>
      <w:lvlText w:val="%1.%2"/>
      <w:lvlJc w:val="left"/>
      <w:pPr>
        <w:ind w:left="420" w:hanging="420"/>
      </w:pPr>
      <w:rPr>
        <w:rFonts w:hint="eastAsia"/>
      </w:rPr>
    </w:lvl>
    <w:lvl w:ilvl="2" w:tentative="0">
      <w:start w:val="1"/>
      <w:numFmt w:val="decimal"/>
      <w:lvlText w:val="%1.%2.%3"/>
      <w:lvlJc w:val="left"/>
      <w:pPr>
        <w:ind w:left="420" w:hanging="420"/>
      </w:pPr>
      <w:rPr>
        <w:rFonts w:hint="eastAsia"/>
      </w:rPr>
    </w:lvl>
    <w:lvl w:ilvl="3" w:tentative="0">
      <w:start w:val="1"/>
      <w:numFmt w:val="decimal"/>
      <w:lvlText w:val="%1.%2.%3.%4"/>
      <w:lvlJc w:val="left"/>
      <w:pPr>
        <w:ind w:left="420" w:hanging="420"/>
      </w:pPr>
      <w:rPr>
        <w:rFonts w:hint="eastAsia"/>
      </w:rPr>
    </w:lvl>
    <w:lvl w:ilvl="4" w:tentative="0">
      <w:start w:val="1"/>
      <w:numFmt w:val="decimal"/>
      <w:lvlText w:val="%1.%2.%3.%4.%5"/>
      <w:lvlJc w:val="left"/>
      <w:pPr>
        <w:ind w:left="420" w:hanging="420"/>
      </w:pPr>
      <w:rPr>
        <w:rFonts w:hint="eastAsia"/>
      </w:rPr>
    </w:lvl>
    <w:lvl w:ilvl="5" w:tentative="0">
      <w:start w:val="1"/>
      <w:numFmt w:val="lowerRoman"/>
      <w:lvlText w:val="%6."/>
      <w:lvlJc w:val="right"/>
      <w:pPr>
        <w:ind w:left="420" w:hanging="420"/>
      </w:pPr>
      <w:rPr>
        <w:rFonts w:hint="eastAsia"/>
      </w:rPr>
    </w:lvl>
    <w:lvl w:ilvl="6" w:tentative="0">
      <w:start w:val="1"/>
      <w:numFmt w:val="decimal"/>
      <w:lvlText w:val="%7."/>
      <w:lvlJc w:val="left"/>
      <w:pPr>
        <w:ind w:left="420" w:hanging="420"/>
      </w:pPr>
      <w:rPr>
        <w:rFonts w:hint="eastAsia"/>
      </w:rPr>
    </w:lvl>
    <w:lvl w:ilvl="7" w:tentative="0">
      <w:start w:val="1"/>
      <w:numFmt w:val="lowerLetter"/>
      <w:lvlText w:val="%8)"/>
      <w:lvlJc w:val="left"/>
      <w:pPr>
        <w:ind w:left="420" w:hanging="420"/>
      </w:pPr>
      <w:rPr>
        <w:rFonts w:hint="eastAsia"/>
      </w:rPr>
    </w:lvl>
    <w:lvl w:ilvl="8" w:tentative="0">
      <w:start w:val="1"/>
      <w:numFmt w:val="lowerRoman"/>
      <w:lvlText w:val="%9."/>
      <w:lvlJc w:val="right"/>
      <w:pPr>
        <w:ind w:left="420" w:hanging="420"/>
      </w:pPr>
      <w:rPr>
        <w:rFonts w:hint="eastAsia"/>
      </w:rPr>
    </w:lvl>
  </w:abstractNum>
  <w:abstractNum w:abstractNumId="1">
    <w:nsid w:val="D0CBDCDA"/>
    <w:multiLevelType w:val="singleLevel"/>
    <w:tmpl w:val="D0CBDCDA"/>
    <w:lvl w:ilvl="0" w:tentative="0">
      <w:start w:val="2"/>
      <w:numFmt w:val="chineseCounting"/>
      <w:suff w:val="nothing"/>
      <w:lvlText w:val="（%1）"/>
      <w:lvlJc w:val="left"/>
      <w:rPr>
        <w:rFonts w:hint="eastAsia"/>
      </w:rPr>
    </w:lvl>
  </w:abstractNum>
  <w:abstractNum w:abstractNumId="2">
    <w:nsid w:val="0053208E"/>
    <w:multiLevelType w:val="multilevel"/>
    <w:tmpl w:val="0053208E"/>
    <w:lvl w:ilvl="0" w:tentative="0">
      <w:start w:val="1"/>
      <w:numFmt w:val="decimal"/>
      <w:pStyle w:val="191"/>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suff w:val="space"/>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3">
    <w:nsid w:val="3991594B"/>
    <w:multiLevelType w:val="singleLevel"/>
    <w:tmpl w:val="3991594B"/>
    <w:lvl w:ilvl="0" w:tentative="0">
      <w:start w:val="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D16D88"/>
    <w:rsid w:val="1CBE5F17"/>
    <w:rsid w:val="1F8C6846"/>
    <w:rsid w:val="242D665A"/>
    <w:rsid w:val="2A3505EE"/>
    <w:rsid w:val="2A872000"/>
    <w:rsid w:val="2E8143F0"/>
    <w:rsid w:val="2EB901B9"/>
    <w:rsid w:val="39243BB9"/>
    <w:rsid w:val="3D0736B6"/>
    <w:rsid w:val="40821BE0"/>
    <w:rsid w:val="457B0ECE"/>
    <w:rsid w:val="4B7B34F1"/>
    <w:rsid w:val="4E61092D"/>
    <w:rsid w:val="634B406C"/>
    <w:rsid w:val="651B3391"/>
    <w:rsid w:val="66C90174"/>
    <w:rsid w:val="6AA50771"/>
    <w:rsid w:val="730C50B3"/>
    <w:rsid w:val="7536625B"/>
    <w:rsid w:val="7BF1078F"/>
    <w:rsid w:val="7E661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4"/>
      <w:lang w:val="en-US" w:eastAsia="zh-CN" w:bidi="ar-SA"/>
    </w:rPr>
  </w:style>
  <w:style w:type="paragraph" w:styleId="2">
    <w:name w:val="heading 1"/>
    <w:basedOn w:val="1"/>
    <w:next w:val="1"/>
    <w:qFormat/>
    <w:uiPriority w:val="0"/>
    <w:pPr>
      <w:keepNext/>
      <w:keepLines/>
      <w:outlineLvl w:val="0"/>
    </w:pPr>
    <w:rPr>
      <w:b/>
      <w:bCs/>
      <w:sz w:val="28"/>
      <w:szCs w:val="44"/>
    </w:rPr>
  </w:style>
  <w:style w:type="paragraph" w:styleId="3">
    <w:name w:val="heading 2"/>
    <w:basedOn w:val="1"/>
    <w:next w:val="1"/>
    <w:qFormat/>
    <w:uiPriority w:val="9"/>
    <w:pPr>
      <w:keepNext/>
      <w:keepLines/>
      <w:spacing w:before="120" w:line="360" w:lineRule="auto"/>
      <w:outlineLvl w:val="1"/>
    </w:pPr>
    <w:rPr>
      <w:rFonts w:ascii="Book Antiqua" w:hAnsi="楷体_GB2312" w:eastAsia="Book Antiqua" w:cs="楷体_GB2312"/>
      <w:bCs/>
      <w:sz w:val="28"/>
      <w:szCs w:val="30"/>
    </w:rPr>
  </w:style>
  <w:style w:type="paragraph" w:styleId="4">
    <w:name w:val="heading 3"/>
    <w:basedOn w:val="1"/>
    <w:next w:val="1"/>
    <w:link w:val="43"/>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sz w:val="24"/>
    </w:rPr>
  </w:style>
  <w:style w:type="paragraph" w:styleId="6">
    <w:name w:val="heading 5"/>
    <w:basedOn w:val="1"/>
    <w:next w:val="1"/>
    <w:link w:val="45"/>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6"/>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7"/>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8"/>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9"/>
    <w:unhideWhenUsed/>
    <w:qFormat/>
    <w:uiPriority w:val="9"/>
    <w:pPr>
      <w:keepNext/>
      <w:keepLines/>
      <w:spacing w:before="320" w:after="200"/>
      <w:outlineLvl w:val="8"/>
    </w:pPr>
    <w:rPr>
      <w:rFonts w:ascii="Arial" w:hAnsi="Arial" w:eastAsia="Arial" w:cs="Arial"/>
      <w:i/>
      <w:iCs/>
      <w:sz w:val="21"/>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874CB" w:themeColor="accent1"/>
      <w:sz w:val="18"/>
      <w:szCs w:val="18"/>
      <w14:textFill>
        <w14:solidFill>
          <w14:schemeClr w14:val="accent1"/>
        </w14:solidFill>
      </w14:textFill>
    </w:rPr>
  </w:style>
  <w:style w:type="paragraph" w:styleId="13">
    <w:name w:val="annotation text"/>
    <w:basedOn w:val="1"/>
    <w:qFormat/>
    <w:uiPriority w:val="0"/>
    <w:pPr>
      <w:jc w:val="left"/>
    </w:pPr>
  </w:style>
  <w:style w:type="paragraph" w:styleId="14">
    <w:name w:val="Body Text"/>
    <w:basedOn w:val="1"/>
    <w:qFormat/>
    <w:uiPriority w:val="0"/>
    <w:pPr>
      <w:spacing w:after="120"/>
    </w:pPr>
  </w:style>
  <w:style w:type="paragraph" w:styleId="15">
    <w:name w:val="Body Text Indent"/>
    <w:basedOn w:val="1"/>
    <w:qFormat/>
    <w:uiPriority w:val="0"/>
    <w:pPr>
      <w:spacing w:after="120"/>
      <w:ind w:left="420"/>
    </w:pPr>
  </w:style>
  <w:style w:type="paragraph" w:styleId="16">
    <w:name w:val="toc 5"/>
    <w:basedOn w:val="1"/>
    <w:next w:val="1"/>
    <w:unhideWhenUsed/>
    <w:qFormat/>
    <w:uiPriority w:val="39"/>
    <w:pPr>
      <w:spacing w:after="57"/>
      <w:ind w:left="1134" w:right="0" w:firstLine="0"/>
    </w:pPr>
  </w:style>
  <w:style w:type="paragraph" w:styleId="17">
    <w:name w:val="toc 3"/>
    <w:basedOn w:val="1"/>
    <w:next w:val="1"/>
    <w:unhideWhenUsed/>
    <w:qFormat/>
    <w:uiPriority w:val="39"/>
    <w:pPr>
      <w:spacing w:after="57"/>
      <w:ind w:left="567" w:right="0" w:firstLine="0"/>
    </w:pPr>
  </w:style>
  <w:style w:type="paragraph" w:styleId="18">
    <w:name w:val="toc 8"/>
    <w:basedOn w:val="1"/>
    <w:next w:val="1"/>
    <w:unhideWhenUsed/>
    <w:qFormat/>
    <w:uiPriority w:val="39"/>
    <w:pPr>
      <w:spacing w:after="57"/>
      <w:ind w:left="1984" w:right="0" w:firstLine="0"/>
    </w:pPr>
  </w:style>
  <w:style w:type="paragraph" w:styleId="19">
    <w:name w:val="endnote text"/>
    <w:basedOn w:val="1"/>
    <w:link w:val="187"/>
    <w:semiHidden/>
    <w:unhideWhenUsed/>
    <w:qFormat/>
    <w:uiPriority w:val="99"/>
    <w:pPr>
      <w:spacing w:after="0" w:line="240" w:lineRule="auto"/>
    </w:pPr>
    <w:rPr>
      <w:sz w:val="20"/>
    </w:rPr>
  </w:style>
  <w:style w:type="paragraph" w:styleId="20">
    <w:name w:val="footer"/>
    <w:basedOn w:val="1"/>
    <w:link w:val="190"/>
    <w:qFormat/>
    <w:uiPriority w:val="0"/>
    <w:pPr>
      <w:tabs>
        <w:tab w:val="center" w:pos="4153"/>
        <w:tab w:val="right" w:pos="8306"/>
      </w:tabs>
      <w:jc w:val="left"/>
    </w:pPr>
    <w:rPr>
      <w:sz w:val="18"/>
      <w:szCs w:val="18"/>
    </w:rPr>
  </w:style>
  <w:style w:type="paragraph" w:styleId="21">
    <w:name w:val="header"/>
    <w:basedOn w:val="1"/>
    <w:link w:val="189"/>
    <w:qFormat/>
    <w:uiPriority w:val="0"/>
    <w:pPr>
      <w:tabs>
        <w:tab w:val="center" w:pos="4153"/>
        <w:tab w:val="right" w:pos="8306"/>
      </w:tabs>
      <w:jc w:val="center"/>
    </w:pPr>
    <w:rPr>
      <w:sz w:val="18"/>
      <w:szCs w:val="18"/>
    </w:rPr>
  </w:style>
  <w:style w:type="paragraph" w:styleId="22">
    <w:name w:val="toc 1"/>
    <w:basedOn w:val="1"/>
    <w:next w:val="1"/>
    <w:unhideWhenUsed/>
    <w:qFormat/>
    <w:uiPriority w:val="39"/>
    <w:pPr>
      <w:spacing w:after="57"/>
      <w:ind w:left="0" w:right="0" w:firstLine="0"/>
    </w:pPr>
  </w:style>
  <w:style w:type="paragraph" w:styleId="23">
    <w:name w:val="toc 4"/>
    <w:basedOn w:val="1"/>
    <w:next w:val="1"/>
    <w:unhideWhenUsed/>
    <w:qFormat/>
    <w:uiPriority w:val="39"/>
    <w:pPr>
      <w:spacing w:after="57"/>
      <w:ind w:left="850" w:right="0" w:firstLine="0"/>
    </w:pPr>
  </w:style>
  <w:style w:type="paragraph" w:styleId="24">
    <w:name w:val="Subtitle"/>
    <w:basedOn w:val="1"/>
    <w:next w:val="1"/>
    <w:link w:val="53"/>
    <w:qFormat/>
    <w:uiPriority w:val="11"/>
    <w:pPr>
      <w:spacing w:before="200" w:after="200"/>
    </w:pPr>
    <w:rPr>
      <w:sz w:val="24"/>
      <w:szCs w:val="24"/>
    </w:rPr>
  </w:style>
  <w:style w:type="paragraph" w:styleId="25">
    <w:name w:val="footnote text"/>
    <w:basedOn w:val="1"/>
    <w:link w:val="186"/>
    <w:semiHidden/>
    <w:unhideWhenUsed/>
    <w:qFormat/>
    <w:uiPriority w:val="99"/>
    <w:pPr>
      <w:spacing w:after="40" w:line="240" w:lineRule="auto"/>
    </w:pPr>
    <w:rPr>
      <w:sz w:val="18"/>
    </w:rPr>
  </w:style>
  <w:style w:type="paragraph" w:styleId="26">
    <w:name w:val="toc 6"/>
    <w:basedOn w:val="1"/>
    <w:next w:val="1"/>
    <w:unhideWhenUsed/>
    <w:qFormat/>
    <w:uiPriority w:val="39"/>
    <w:pPr>
      <w:spacing w:after="57"/>
      <w:ind w:left="1417" w:right="0" w:firstLine="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57"/>
      <w:ind w:left="283" w:right="0" w:firstLine="0"/>
    </w:pPr>
  </w:style>
  <w:style w:type="paragraph" w:styleId="29">
    <w:name w:val="toc 9"/>
    <w:basedOn w:val="1"/>
    <w:next w:val="1"/>
    <w:unhideWhenUsed/>
    <w:qFormat/>
    <w:uiPriority w:val="39"/>
    <w:pPr>
      <w:spacing w:after="57"/>
      <w:ind w:left="2268" w:right="0" w:firstLine="0"/>
    </w:pPr>
  </w:style>
  <w:style w:type="paragraph" w:styleId="30">
    <w:name w:val="Body Text 2"/>
    <w:basedOn w:val="1"/>
    <w:qFormat/>
    <w:uiPriority w:val="0"/>
    <w:pPr>
      <w:spacing w:after="120" w:line="480" w:lineRule="auto"/>
    </w:pPr>
  </w:style>
  <w:style w:type="paragraph" w:styleId="31">
    <w:name w:val="Normal (Web)"/>
    <w:basedOn w:val="1"/>
    <w:qFormat/>
    <w:uiPriority w:val="0"/>
    <w:pPr>
      <w:spacing w:beforeAutospacing="1" w:afterAutospacing="1"/>
      <w:jc w:val="left"/>
    </w:pPr>
    <w:rPr>
      <w:rFonts w:cs="Times New Roman"/>
      <w:sz w:val="24"/>
    </w:rPr>
  </w:style>
  <w:style w:type="paragraph" w:styleId="32">
    <w:name w:val="Title"/>
    <w:basedOn w:val="1"/>
    <w:next w:val="1"/>
    <w:link w:val="52"/>
    <w:qFormat/>
    <w:uiPriority w:val="10"/>
    <w:pPr>
      <w:spacing w:before="300" w:after="200"/>
      <w:contextualSpacing/>
    </w:pPr>
    <w:rPr>
      <w:sz w:val="48"/>
      <w:szCs w:val="48"/>
    </w:rPr>
  </w:style>
  <w:style w:type="paragraph" w:styleId="33">
    <w:name w:val="Body Text First Indent 2"/>
    <w:basedOn w:val="15"/>
    <w:qFormat/>
    <w:uiPriority w:val="0"/>
    <w:pPr>
      <w:widowControl/>
      <w:spacing w:after="0" w:line="559" w:lineRule="exact"/>
      <w:ind w:firstLine="420"/>
      <w:jc w:val="left"/>
    </w:pPr>
    <w:rPr>
      <w:rFonts w:ascii="仿宋_GB2312" w:hAnsi="等线" w:eastAsia="仿宋_GB2312"/>
      <w:sz w:val="32"/>
      <w:szCs w:val="20"/>
    </w:rPr>
  </w:style>
  <w:style w:type="table" w:styleId="35">
    <w:name w:val="Table Grid"/>
    <w:basedOn w:val="34"/>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basedOn w:val="36"/>
    <w:qFormat/>
    <w:uiPriority w:val="0"/>
    <w:rPr>
      <w:b/>
    </w:rPr>
  </w:style>
  <w:style w:type="character" w:styleId="38">
    <w:name w:val="endnote reference"/>
    <w:basedOn w:val="36"/>
    <w:semiHidden/>
    <w:unhideWhenUsed/>
    <w:qFormat/>
    <w:uiPriority w:val="99"/>
    <w:rPr>
      <w:vertAlign w:val="superscript"/>
    </w:rPr>
  </w:style>
  <w:style w:type="character" w:styleId="39">
    <w:name w:val="Hyperlink"/>
    <w:basedOn w:val="36"/>
    <w:qFormat/>
    <w:uiPriority w:val="0"/>
    <w:rPr>
      <w:color w:val="0000FF"/>
      <w:u w:val="single"/>
    </w:rPr>
  </w:style>
  <w:style w:type="character" w:styleId="40">
    <w:name w:val="footnote reference"/>
    <w:basedOn w:val="36"/>
    <w:unhideWhenUsed/>
    <w:qFormat/>
    <w:uiPriority w:val="99"/>
    <w:rPr>
      <w:vertAlign w:val="superscript"/>
    </w:rPr>
  </w:style>
  <w:style w:type="character" w:customStyle="1" w:styleId="41">
    <w:name w:val="Heading 1 Char"/>
    <w:basedOn w:val="36"/>
    <w:qFormat/>
    <w:uiPriority w:val="9"/>
    <w:rPr>
      <w:rFonts w:ascii="Arial" w:hAnsi="Arial" w:eastAsia="Arial" w:cs="Arial"/>
      <w:sz w:val="40"/>
      <w:szCs w:val="40"/>
    </w:rPr>
  </w:style>
  <w:style w:type="character" w:customStyle="1" w:styleId="42">
    <w:name w:val="Heading 2 Char"/>
    <w:basedOn w:val="36"/>
    <w:qFormat/>
    <w:uiPriority w:val="9"/>
    <w:rPr>
      <w:rFonts w:ascii="Arial" w:hAnsi="Arial" w:eastAsia="Arial" w:cs="Arial"/>
      <w:sz w:val="34"/>
    </w:rPr>
  </w:style>
  <w:style w:type="character" w:customStyle="1" w:styleId="43">
    <w:name w:val="Heading 3 Char"/>
    <w:basedOn w:val="36"/>
    <w:link w:val="4"/>
    <w:qFormat/>
    <w:uiPriority w:val="9"/>
    <w:rPr>
      <w:rFonts w:ascii="Arial" w:hAnsi="Arial" w:eastAsia="Arial" w:cs="Arial"/>
      <w:sz w:val="30"/>
      <w:szCs w:val="30"/>
    </w:rPr>
  </w:style>
  <w:style w:type="character" w:customStyle="1" w:styleId="44">
    <w:name w:val="Heading 4 Char"/>
    <w:basedOn w:val="36"/>
    <w:qFormat/>
    <w:uiPriority w:val="9"/>
    <w:rPr>
      <w:rFonts w:ascii="Arial" w:hAnsi="Arial" w:eastAsia="Arial" w:cs="Arial"/>
      <w:b/>
      <w:bCs/>
      <w:sz w:val="26"/>
      <w:szCs w:val="26"/>
    </w:rPr>
  </w:style>
  <w:style w:type="character" w:customStyle="1" w:styleId="45">
    <w:name w:val="Heading 5 Char"/>
    <w:basedOn w:val="36"/>
    <w:link w:val="6"/>
    <w:qFormat/>
    <w:uiPriority w:val="9"/>
    <w:rPr>
      <w:rFonts w:ascii="Arial" w:hAnsi="Arial" w:eastAsia="Arial" w:cs="Arial"/>
      <w:b/>
      <w:bCs/>
      <w:sz w:val="24"/>
      <w:szCs w:val="24"/>
    </w:rPr>
  </w:style>
  <w:style w:type="character" w:customStyle="1" w:styleId="46">
    <w:name w:val="Heading 6 Char"/>
    <w:basedOn w:val="36"/>
    <w:link w:val="7"/>
    <w:qFormat/>
    <w:uiPriority w:val="9"/>
    <w:rPr>
      <w:rFonts w:ascii="Arial" w:hAnsi="Arial" w:eastAsia="Arial" w:cs="Arial"/>
      <w:b/>
      <w:bCs/>
      <w:sz w:val="22"/>
      <w:szCs w:val="22"/>
    </w:rPr>
  </w:style>
  <w:style w:type="character" w:customStyle="1" w:styleId="47">
    <w:name w:val="Heading 7 Char"/>
    <w:basedOn w:val="36"/>
    <w:link w:val="8"/>
    <w:qFormat/>
    <w:uiPriority w:val="9"/>
    <w:rPr>
      <w:rFonts w:ascii="Arial" w:hAnsi="Arial" w:eastAsia="Arial" w:cs="Arial"/>
      <w:b/>
      <w:bCs/>
      <w:i/>
      <w:iCs/>
      <w:sz w:val="22"/>
      <w:szCs w:val="22"/>
    </w:rPr>
  </w:style>
  <w:style w:type="character" w:customStyle="1" w:styleId="48">
    <w:name w:val="Heading 8 Char"/>
    <w:basedOn w:val="36"/>
    <w:link w:val="9"/>
    <w:qFormat/>
    <w:uiPriority w:val="9"/>
    <w:rPr>
      <w:rFonts w:ascii="Arial" w:hAnsi="Arial" w:eastAsia="Arial" w:cs="Arial"/>
      <w:i/>
      <w:iCs/>
      <w:sz w:val="22"/>
      <w:szCs w:val="22"/>
    </w:rPr>
  </w:style>
  <w:style w:type="character" w:customStyle="1" w:styleId="49">
    <w:name w:val="Heading 9 Char"/>
    <w:basedOn w:val="36"/>
    <w:link w:val="10"/>
    <w:qFormat/>
    <w:uiPriority w:val="9"/>
    <w:rPr>
      <w:rFonts w:ascii="Arial" w:hAnsi="Arial" w:eastAsia="Arial" w:cs="Arial"/>
      <w:i/>
      <w:iCs/>
      <w:sz w:val="21"/>
      <w:szCs w:val="21"/>
    </w:rPr>
  </w:style>
  <w:style w:type="paragraph" w:styleId="50">
    <w:name w:val="List Paragraph"/>
    <w:basedOn w:val="1"/>
    <w:qFormat/>
    <w:uiPriority w:val="34"/>
    <w:pPr>
      <w:ind w:left="720"/>
      <w:contextualSpacing/>
    </w:pPr>
  </w:style>
  <w:style w:type="paragraph" w:styleId="51">
    <w:name w:val="No Spacing"/>
    <w:qFormat/>
    <w:uiPriority w:val="1"/>
    <w:pPr>
      <w:spacing w:before="0" w:after="0" w:line="240" w:lineRule="auto"/>
    </w:pPr>
    <w:rPr>
      <w:rFonts w:hint="default" w:ascii="Times New Roman" w:hAnsi="Times New Roman" w:eastAsia="宋体" w:cs="Times New Roman"/>
    </w:rPr>
  </w:style>
  <w:style w:type="character" w:customStyle="1" w:styleId="52">
    <w:name w:val="Title Char"/>
    <w:basedOn w:val="36"/>
    <w:link w:val="32"/>
    <w:qFormat/>
    <w:uiPriority w:val="10"/>
    <w:rPr>
      <w:sz w:val="48"/>
      <w:szCs w:val="48"/>
    </w:rPr>
  </w:style>
  <w:style w:type="character" w:customStyle="1" w:styleId="53">
    <w:name w:val="Subtitle Char"/>
    <w:basedOn w:val="36"/>
    <w:link w:val="24"/>
    <w:qFormat/>
    <w:uiPriority w:val="11"/>
    <w:rPr>
      <w:sz w:val="24"/>
      <w:szCs w:val="24"/>
    </w:rPr>
  </w:style>
  <w:style w:type="paragraph" w:styleId="54">
    <w:name w:val="Quote"/>
    <w:basedOn w:val="1"/>
    <w:next w:val="1"/>
    <w:link w:val="55"/>
    <w:qFormat/>
    <w:uiPriority w:val="29"/>
    <w:pPr>
      <w:ind w:left="720" w:right="720"/>
    </w:pPr>
    <w:rPr>
      <w:i/>
    </w:rPr>
  </w:style>
  <w:style w:type="character" w:customStyle="1" w:styleId="55">
    <w:name w:val="Quote Char"/>
    <w:link w:val="54"/>
    <w:qFormat/>
    <w:uiPriority w:val="29"/>
    <w:rPr>
      <w:i/>
    </w:rPr>
  </w:style>
  <w:style w:type="paragraph" w:styleId="56">
    <w:name w:val="Intense Quote"/>
    <w:basedOn w:val="1"/>
    <w:next w:val="1"/>
    <w:link w:val="5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7">
    <w:name w:val="Intense Quote Char"/>
    <w:link w:val="56"/>
    <w:qFormat/>
    <w:uiPriority w:val="30"/>
    <w:rPr>
      <w:i/>
    </w:rPr>
  </w:style>
  <w:style w:type="character" w:customStyle="1" w:styleId="58">
    <w:name w:val="Header Char"/>
    <w:basedOn w:val="36"/>
    <w:qFormat/>
    <w:uiPriority w:val="99"/>
  </w:style>
  <w:style w:type="character" w:customStyle="1" w:styleId="59">
    <w:name w:val="Footer Char"/>
    <w:basedOn w:val="36"/>
    <w:qFormat/>
    <w:uiPriority w:val="99"/>
  </w:style>
  <w:style w:type="character" w:customStyle="1" w:styleId="60">
    <w:name w:val="Caption Char"/>
    <w:qFormat/>
    <w:uiPriority w:val="99"/>
  </w:style>
  <w:style w:type="table" w:customStyle="1" w:styleId="61">
    <w:name w:val="Table Grid Light"/>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2">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3">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4">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5">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6">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7">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8">
    <w:name w:val="Grid Table 1 Light - Accent 1"/>
    <w:basedOn w:val="34"/>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69">
    <w:name w:val="Grid Table 1 Light - Accent 2"/>
    <w:basedOn w:val="34"/>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70">
    <w:name w:val="Grid Table 1 Light - Accent 3"/>
    <w:basedOn w:val="34"/>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71">
    <w:name w:val="Grid Table 1 Light - Accent 4"/>
    <w:basedOn w:val="34"/>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72">
    <w:name w:val="Grid Table 1 Light - Accent 5"/>
    <w:basedOn w:val="34"/>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73">
    <w:name w:val="Grid Table 1 Light - Accent 6"/>
    <w:basedOn w:val="34"/>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table" w:customStyle="1" w:styleId="74">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2 - Accent 1"/>
    <w:basedOn w:val="34"/>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76">
    <w:name w:val="Grid Table 2 - Accent 2"/>
    <w:basedOn w:val="34"/>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77">
    <w:name w:val="Grid Table 2 - Accent 3"/>
    <w:basedOn w:val="34"/>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78">
    <w:name w:val="Grid Table 2 - Accent 4"/>
    <w:basedOn w:val="34"/>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79">
    <w:name w:val="Grid Table 2 - Accent 5"/>
    <w:basedOn w:val="34"/>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80">
    <w:name w:val="Grid Table 2 - Accent 6"/>
    <w:basedOn w:val="34"/>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81">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3 - Accent 1"/>
    <w:basedOn w:val="34"/>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83">
    <w:name w:val="Grid Table 3 - Accent 2"/>
    <w:basedOn w:val="34"/>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84">
    <w:name w:val="Grid Table 3 - Accent 3"/>
    <w:basedOn w:val="34"/>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85">
    <w:name w:val="Grid Table 3 - Accent 4"/>
    <w:basedOn w:val="34"/>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86">
    <w:name w:val="Grid Table 3 - Accent 5"/>
    <w:basedOn w:val="34"/>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87">
    <w:name w:val="Grid Table 3 - Accent 6"/>
    <w:basedOn w:val="34"/>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88">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9">
    <w:name w:val="Grid Table 4 - Accent 1"/>
    <w:basedOn w:val="34"/>
    <w:qFormat/>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2Vert"/>
    <w:tblStylePr w:type="band1Horz">
      <w:rPr>
        <w:rFonts w:ascii="Arial" w:hAnsi="Arial"/>
        <w:color w:val="404040"/>
        <w:sz w:val="22"/>
      </w:rPr>
      <w:tcPr>
        <w:shd w:val="clear" w:color="DBE3F4" w:themeColor="accent1" w:themeTint="32" w:fill="DBE3F4" w:themeFill="accent1" w:themeFillTint="32"/>
      </w:tcPr>
    </w:tblStylePr>
    <w:tblStylePr w:type="band2Horz"/>
    <w:tblStylePr w:type="neCell"/>
    <w:tblStylePr w:type="nwCell"/>
    <w:tblStylePr w:type="seCell"/>
    <w:tblStylePr w:type="swCell"/>
  </w:style>
  <w:style w:type="table" w:customStyle="1" w:styleId="90">
    <w:name w:val="Grid Table 4 - Accent 2"/>
    <w:basedOn w:val="34"/>
    <w:qFormat/>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91">
    <w:name w:val="Grid Table 4 - Accent 3"/>
    <w:basedOn w:val="34"/>
    <w:qFormat/>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92">
    <w:name w:val="Grid Table 4 - Accent 4"/>
    <w:basedOn w:val="34"/>
    <w:qFormat/>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93">
    <w:name w:val="Grid Table 4 - Accent 5"/>
    <w:basedOn w:val="34"/>
    <w:qFormat/>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94">
    <w:name w:val="Grid Table 4 - Accent 6"/>
    <w:basedOn w:val="34"/>
    <w:qFormat/>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95">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6">
    <w:name w:val="Grid Table 5 Dark- Accent 1"/>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2Vert"/>
    <w:tblStylePr w:type="band1Horz">
      <w:tcPr>
        <w:shd w:val="clear" w:color="ABBFE7" w:themeColor="accent1" w:themeTint="75" w:fill="ABBFE7" w:themeFill="accent1" w:themeFillTint="75"/>
      </w:tcPr>
    </w:tblStylePr>
    <w:tblStylePr w:type="band2Horz"/>
    <w:tblStylePr w:type="neCell"/>
    <w:tblStylePr w:type="nwCell"/>
    <w:tblStylePr w:type="seCell"/>
    <w:tblStylePr w:type="swCell"/>
  </w:style>
  <w:style w:type="table" w:customStyle="1" w:styleId="97">
    <w:name w:val="Grid Table 5 Dark - Accent 2"/>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2Vert"/>
    <w:tblStylePr w:type="band1Horz">
      <w:tcPr>
        <w:shd w:val="clear" w:color="F7C59F" w:themeColor="accent2" w:themeTint="75" w:fill="F7C59F" w:themeFill="accent2" w:themeFillTint="75"/>
      </w:tcPr>
    </w:tblStylePr>
    <w:tblStylePr w:type="band2Horz"/>
    <w:tblStylePr w:type="neCell"/>
    <w:tblStylePr w:type="nwCell"/>
    <w:tblStylePr w:type="seCell"/>
    <w:tblStylePr w:type="swCell"/>
  </w:style>
  <w:style w:type="table" w:customStyle="1" w:styleId="98">
    <w:name w:val="Grid Table 5 Dark - Accent 3"/>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2Vert"/>
    <w:tblStylePr w:type="band1Horz">
      <w:tcPr>
        <w:shd w:val="clear" w:color="FDE185" w:themeColor="accent3" w:themeTint="75" w:fill="FDE185" w:themeFill="accent3" w:themeFillTint="75"/>
      </w:tcPr>
    </w:tblStylePr>
    <w:tblStylePr w:type="band2Horz"/>
    <w:tblStylePr w:type="neCell"/>
    <w:tblStylePr w:type="nwCell"/>
    <w:tblStylePr w:type="seCell"/>
    <w:tblStylePr w:type="swCell"/>
  </w:style>
  <w:style w:type="table" w:customStyle="1" w:styleId="99">
    <w:name w:val="Grid Table 5 Dark- Accent 4"/>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2Vert"/>
    <w:tblStylePr w:type="band1Horz">
      <w:tcPr>
        <w:shd w:val="clear" w:color="BFE0A8" w:themeColor="accent4" w:themeTint="75" w:fill="BFE0A8" w:themeFill="accent4" w:themeFillTint="75"/>
      </w:tcPr>
    </w:tblStylePr>
    <w:tblStylePr w:type="band2Horz"/>
    <w:tblStylePr w:type="neCell"/>
    <w:tblStylePr w:type="nwCell"/>
    <w:tblStylePr w:type="seCell"/>
    <w:tblStylePr w:type="swCell"/>
  </w:style>
  <w:style w:type="table" w:customStyle="1" w:styleId="100">
    <w:name w:val="Grid Table 5 Dark - Accent 5"/>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2Vert"/>
    <w:tblStylePr w:type="band1Horz">
      <w:tcPr>
        <w:shd w:val="clear" w:color="9BE6E0" w:themeColor="accent5" w:themeTint="75" w:fill="9BE6E0" w:themeFill="accent5" w:themeFillTint="75"/>
      </w:tcPr>
    </w:tblStylePr>
    <w:tblStylePr w:type="band2Horz"/>
    <w:tblStylePr w:type="neCell"/>
    <w:tblStylePr w:type="nwCell"/>
    <w:tblStylePr w:type="seCell"/>
    <w:tblStylePr w:type="swCell"/>
  </w:style>
  <w:style w:type="table" w:customStyle="1" w:styleId="101">
    <w:name w:val="Grid Table 5 Dark - Accent 6"/>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2Vert"/>
    <w:tblStylePr w:type="band1Horz">
      <w:tcPr>
        <w:shd w:val="clear" w:color="F3ACB5" w:themeColor="accent6" w:themeTint="75" w:fill="F3ACB5" w:themeFill="accent6" w:themeFillTint="75"/>
      </w:tcPr>
    </w:tblStylePr>
    <w:tblStylePr w:type="band2Horz"/>
    <w:tblStylePr w:type="neCell"/>
    <w:tblStylePr w:type="nwCell"/>
    <w:tblStylePr w:type="seCell"/>
    <w:tblStylePr w:type="swCell"/>
  </w:style>
  <w:style w:type="table" w:customStyle="1" w:styleId="102">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6 Colorful - Accent 1"/>
    <w:basedOn w:val="34"/>
    <w:qFormat/>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6 Colorful - Accent 2"/>
    <w:basedOn w:val="34"/>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6 Colorful - Accent 3"/>
    <w:basedOn w:val="34"/>
    <w:qFormat/>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6 Colorful - Accent 4"/>
    <w:basedOn w:val="34"/>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6 Colorful - Accent 5"/>
    <w:basedOn w:val="34"/>
    <w:qFormat/>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108">
    <w:name w:val="Grid Table 6 Colorful - Accent 6"/>
    <w:basedOn w:val="34"/>
    <w:qFormat/>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2Vert"/>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109">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0">
    <w:name w:val="Grid Table 7 Colorful - Accent 1"/>
    <w:basedOn w:val="34"/>
    <w:qFormat/>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1">
    <w:name w:val="Grid Table 7 Colorful - Accent 2"/>
    <w:basedOn w:val="34"/>
    <w:qFormat/>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2">
    <w:name w:val="Grid Table 7 Colorful - Accent 3"/>
    <w:basedOn w:val="34"/>
    <w:qFormat/>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3">
    <w:name w:val="Grid Table 7 Colorful - Accent 4"/>
    <w:basedOn w:val="34"/>
    <w:qFormat/>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4">
    <w:name w:val="Grid Table 7 Colorful - Accent 5"/>
    <w:basedOn w:val="34"/>
    <w:qFormat/>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115">
    <w:name w:val="Grid Table 7 Colorful - Accent 6"/>
    <w:basedOn w:val="34"/>
    <w:qFormat/>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2Vert"/>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tblStylePr w:type="neCell"/>
    <w:tblStylePr w:type="nwCell"/>
    <w:tblStylePr w:type="seCell"/>
    <w:tblStylePr w:type="swCell"/>
  </w:style>
  <w:style w:type="table" w:customStyle="1" w:styleId="116">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1 Light - Accent 1"/>
    <w:basedOn w:val="34"/>
    <w:qFormat/>
    <w:uiPriority w:val="99"/>
    <w:pPr>
      <w:spacing w:after="0" w:line="240" w:lineRule="auto"/>
    </w:p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2Vert"/>
    <w:tblStylePr w:type="band1Horz">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18">
    <w:name w:val="List Table 1 Light - Accent 2"/>
    <w:basedOn w:val="34"/>
    <w:qFormat/>
    <w:uiPriority w:val="99"/>
    <w:pPr>
      <w:spacing w:after="0" w:line="240" w:lineRule="auto"/>
    </w:p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2Vert"/>
    <w:tblStylePr w:type="band1Horz">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19">
    <w:name w:val="List Table 1 Light - Accent 3"/>
    <w:basedOn w:val="34"/>
    <w:qFormat/>
    <w:uiPriority w:val="99"/>
    <w:pPr>
      <w:spacing w:after="0" w:line="240" w:lineRule="auto"/>
    </w:p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2Vert"/>
    <w:tblStylePr w:type="band1Horz">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20">
    <w:name w:val="List Table 1 Light - Accent 4"/>
    <w:basedOn w:val="34"/>
    <w:qFormat/>
    <w:uiPriority w:val="99"/>
    <w:pPr>
      <w:spacing w:after="0" w:line="240" w:lineRule="auto"/>
    </w:p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2Vert"/>
    <w:tblStylePr w:type="band1Horz">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21">
    <w:name w:val="List Table 1 Light - Accent 5"/>
    <w:basedOn w:val="34"/>
    <w:qFormat/>
    <w:uiPriority w:val="99"/>
    <w:pPr>
      <w:spacing w:after="0" w:line="240" w:lineRule="auto"/>
    </w:p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2Vert"/>
    <w:tblStylePr w:type="band1Horz">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22">
    <w:name w:val="List Table 1 Light - Accent 6"/>
    <w:basedOn w:val="34"/>
    <w:qFormat/>
    <w:uiPriority w:val="99"/>
    <w:pPr>
      <w:spacing w:after="0" w:line="240" w:lineRule="auto"/>
    </w:p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2Vert"/>
    <w:tblStylePr w:type="band1Horz">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23">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4">
    <w:name w:val="List Table 2 - Accent 1"/>
    <w:basedOn w:val="34"/>
    <w:qFormat/>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25">
    <w:name w:val="List Table 2 - Accent 2"/>
    <w:basedOn w:val="34"/>
    <w:qFormat/>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26">
    <w:name w:val="List Table 2 - Accent 3"/>
    <w:basedOn w:val="34"/>
    <w:qFormat/>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27">
    <w:name w:val="List Table 2 - Accent 4"/>
    <w:basedOn w:val="34"/>
    <w:qFormat/>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28">
    <w:name w:val="List Table 2 - Accent 5"/>
    <w:basedOn w:val="34"/>
    <w:qFormat/>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29">
    <w:name w:val="List Table 2 - Accent 6"/>
    <w:basedOn w:val="34"/>
    <w:qFormat/>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30">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1">
    <w:name w:val="List Table 3 - Accent 1"/>
    <w:basedOn w:val="34"/>
    <w:qFormat/>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2Vert"/>
    <w:tblStylePr w:type="band1Horz">
      <w:rPr>
        <w:rFonts w:ascii="Arial" w:hAnsi="Arial"/>
        <w:color w:val="404040"/>
        <w:sz w:val="22"/>
      </w:rPr>
      <w:tcPr>
        <w:tcBorders>
          <w:top w:val="single" w:color="4874CB" w:themeColor="accent1" w:sz="4" w:space="0"/>
          <w:bottom w:val="single" w:color="4874CB" w:themeColor="accent1" w:sz="4" w:space="0"/>
        </w:tcBorders>
      </w:tcPr>
    </w:tblStylePr>
    <w:tblStylePr w:type="band2Horz"/>
    <w:tblStylePr w:type="neCell"/>
    <w:tblStylePr w:type="nwCell"/>
    <w:tblStylePr w:type="seCell"/>
    <w:tblStylePr w:type="swCell"/>
  </w:style>
  <w:style w:type="table" w:customStyle="1" w:styleId="132">
    <w:name w:val="List Table 3 - Accent 2"/>
    <w:basedOn w:val="34"/>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2Vert"/>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tblStylePr w:type="band2Horz"/>
    <w:tblStylePr w:type="neCell"/>
    <w:tblStylePr w:type="nwCell"/>
    <w:tblStylePr w:type="seCell"/>
    <w:tblStylePr w:type="swCell"/>
  </w:style>
  <w:style w:type="table" w:customStyle="1" w:styleId="133">
    <w:name w:val="List Table 3 - Accent 3"/>
    <w:basedOn w:val="34"/>
    <w:qFormat/>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2Vert"/>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tblStylePr w:type="band2Horz"/>
    <w:tblStylePr w:type="neCell"/>
    <w:tblStylePr w:type="nwCell"/>
    <w:tblStylePr w:type="seCell"/>
    <w:tblStylePr w:type="swCell"/>
  </w:style>
  <w:style w:type="table" w:customStyle="1" w:styleId="134">
    <w:name w:val="List Table 3 - Accent 4"/>
    <w:basedOn w:val="34"/>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2Vert"/>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tblStylePr w:type="band2Horz"/>
    <w:tblStylePr w:type="neCell"/>
    <w:tblStylePr w:type="nwCell"/>
    <w:tblStylePr w:type="seCell"/>
    <w:tblStylePr w:type="swCell"/>
  </w:style>
  <w:style w:type="table" w:customStyle="1" w:styleId="135">
    <w:name w:val="List Table 3 - Accent 5"/>
    <w:basedOn w:val="34"/>
    <w:qFormat/>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2Vert"/>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tblStylePr w:type="band2Horz"/>
    <w:tblStylePr w:type="neCell"/>
    <w:tblStylePr w:type="nwCell"/>
    <w:tblStylePr w:type="seCell"/>
    <w:tblStylePr w:type="swCell"/>
  </w:style>
  <w:style w:type="table" w:customStyle="1" w:styleId="136">
    <w:name w:val="List Table 3 - Accent 6"/>
    <w:basedOn w:val="34"/>
    <w:qFormat/>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2Vert"/>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tblStylePr w:type="band2Horz"/>
    <w:tblStylePr w:type="neCell"/>
    <w:tblStylePr w:type="nwCell"/>
    <w:tblStylePr w:type="seCell"/>
    <w:tblStylePr w:type="swCell"/>
  </w:style>
  <w:style w:type="table" w:customStyle="1" w:styleId="137">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8">
    <w:name w:val="List Table 4 - Accent 1"/>
    <w:basedOn w:val="34"/>
    <w:qFormat/>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39">
    <w:name w:val="List Table 4 - Accent 2"/>
    <w:basedOn w:val="34"/>
    <w:qFormat/>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40">
    <w:name w:val="List Table 4 - Accent 3"/>
    <w:basedOn w:val="34"/>
    <w:qFormat/>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41">
    <w:name w:val="List Table 4 - Accent 4"/>
    <w:basedOn w:val="34"/>
    <w:qFormat/>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42">
    <w:name w:val="List Table 4 - Accent 5"/>
    <w:basedOn w:val="34"/>
    <w:qFormat/>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43">
    <w:name w:val="List Table 4 - Accent 6"/>
    <w:basedOn w:val="34"/>
    <w:qFormat/>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44">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5">
    <w:name w:val="List Table 5 Dark - Accent 1"/>
    <w:basedOn w:val="34"/>
    <w:qFormat/>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tblStylePr w:type="neCell"/>
    <w:tblStylePr w:type="nwCell"/>
    <w:tblStylePr w:type="seCell"/>
    <w:tblStylePr w:type="swCell"/>
  </w:style>
  <w:style w:type="table" w:customStyle="1" w:styleId="146">
    <w:name w:val="List Table 5 Dark - Accent 2"/>
    <w:basedOn w:val="34"/>
    <w:qFormat/>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neCell"/>
    <w:tblStylePr w:type="nwCell"/>
    <w:tblStylePr w:type="seCell"/>
    <w:tblStylePr w:type="swCell"/>
  </w:style>
  <w:style w:type="table" w:customStyle="1" w:styleId="147">
    <w:name w:val="List Table 5 Dark - Accent 3"/>
    <w:basedOn w:val="34"/>
    <w:qFormat/>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neCell"/>
    <w:tblStylePr w:type="nwCell"/>
    <w:tblStylePr w:type="seCell"/>
    <w:tblStylePr w:type="swCell"/>
  </w:style>
  <w:style w:type="table" w:customStyle="1" w:styleId="148">
    <w:name w:val="List Table 5 Dark - Accent 4"/>
    <w:basedOn w:val="34"/>
    <w:qFormat/>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neCell"/>
    <w:tblStylePr w:type="nwCell"/>
    <w:tblStylePr w:type="seCell"/>
    <w:tblStylePr w:type="swCell"/>
  </w:style>
  <w:style w:type="table" w:customStyle="1" w:styleId="149">
    <w:name w:val="List Table 5 Dark - Accent 5"/>
    <w:basedOn w:val="34"/>
    <w:qFormat/>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neCell"/>
    <w:tblStylePr w:type="nwCell"/>
    <w:tblStylePr w:type="seCell"/>
    <w:tblStylePr w:type="swCell"/>
  </w:style>
  <w:style w:type="table" w:customStyle="1" w:styleId="150">
    <w:name w:val="List Table 5 Dark - Accent 6"/>
    <w:basedOn w:val="34"/>
    <w:qFormat/>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neCell"/>
    <w:tblStylePr w:type="nwCell"/>
    <w:tblStylePr w:type="seCell"/>
    <w:tblStylePr w:type="swCell"/>
  </w:style>
  <w:style w:type="table" w:customStyle="1" w:styleId="151">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2">
    <w:name w:val="List Table 6 Colorful - Accent 1"/>
    <w:basedOn w:val="34"/>
    <w:qFormat/>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53">
    <w:name w:val="List Table 6 Colorful - Accent 2"/>
    <w:basedOn w:val="34"/>
    <w:qFormat/>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6 Colorful - Accent 3"/>
    <w:basedOn w:val="34"/>
    <w:qFormat/>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6 Colorful - Accent 4"/>
    <w:basedOn w:val="34"/>
    <w:qFormat/>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6 Colorful - Accent 5"/>
    <w:basedOn w:val="34"/>
    <w:qFormat/>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6 Colorful - Accent 6"/>
    <w:basedOn w:val="34"/>
    <w:qFormat/>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9">
    <w:name w:val="List Table 7 Colorful - Accent 1"/>
    <w:basedOn w:val="34"/>
    <w:qFormat/>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60">
    <w:name w:val="List Table 7 Colorful - Accent 2"/>
    <w:basedOn w:val="34"/>
    <w:qFormat/>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1">
    <w:name w:val="List Table 7 Colorful - Accent 3"/>
    <w:basedOn w:val="34"/>
    <w:qFormat/>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2">
    <w:name w:val="List Table 7 Colorful - Accent 4"/>
    <w:basedOn w:val="34"/>
    <w:qFormat/>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3">
    <w:name w:val="List Table 7 Colorful - Accent 5"/>
    <w:basedOn w:val="34"/>
    <w:qFormat/>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4">
    <w:name w:val="List Table 7 Colorful - Accent 6"/>
    <w:basedOn w:val="34"/>
    <w:qFormat/>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5">
    <w:name w:val="Lined - Accent"/>
    <w:basedOn w:val="3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Lined - Accent 1"/>
    <w:basedOn w:val="34"/>
    <w:qFormat/>
    <w:uiPriority w:val="99"/>
    <w:pPr>
      <w:spacing w:after="0" w:line="240" w:lineRule="auto"/>
    </w:pPr>
    <w:rPr>
      <w:color w:val="404040"/>
    </w:r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67">
    <w:name w:val="Lined - Accent 2"/>
    <w:basedOn w:val="34"/>
    <w:qFormat/>
    <w:uiPriority w:val="99"/>
    <w:pPr>
      <w:spacing w:after="0" w:line="240" w:lineRule="auto"/>
    </w:pPr>
    <w:rPr>
      <w:color w:val="404040"/>
    </w:r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68">
    <w:name w:val="Lined - Accent 3"/>
    <w:basedOn w:val="34"/>
    <w:qFormat/>
    <w:uiPriority w:val="99"/>
    <w:pPr>
      <w:spacing w:after="0" w:line="240" w:lineRule="auto"/>
    </w:pPr>
    <w:rPr>
      <w:color w:val="404040"/>
    </w:r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69">
    <w:name w:val="Lined - Accent 4"/>
    <w:basedOn w:val="34"/>
    <w:qFormat/>
    <w:uiPriority w:val="99"/>
    <w:pPr>
      <w:spacing w:after="0" w:line="240" w:lineRule="auto"/>
    </w:pPr>
    <w:rPr>
      <w:color w:val="404040"/>
    </w:r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70">
    <w:name w:val="Lined - Accent 5"/>
    <w:basedOn w:val="34"/>
    <w:qFormat/>
    <w:uiPriority w:val="99"/>
    <w:pPr>
      <w:spacing w:after="0" w:line="240" w:lineRule="auto"/>
    </w:pPr>
    <w:rPr>
      <w:color w:val="404040"/>
    </w:r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71">
    <w:name w:val="Lined - Accent 6"/>
    <w:basedOn w:val="34"/>
    <w:qFormat/>
    <w:uiPriority w:val="99"/>
    <w:pPr>
      <w:spacing w:after="0" w:line="240" w:lineRule="auto"/>
    </w:pPr>
    <w:rPr>
      <w:color w:val="404040"/>
    </w:r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72">
    <w:name w:val="Bordered &amp; Lined - Accent"/>
    <w:basedOn w:val="3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3">
    <w:name w:val="Bordered &amp; Lined - Accent 1"/>
    <w:basedOn w:val="34"/>
    <w:qFormat/>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74">
    <w:name w:val="Bordered &amp; Lined - Accent 2"/>
    <w:basedOn w:val="34"/>
    <w:qFormat/>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75">
    <w:name w:val="Bordered &amp; Lined - Accent 3"/>
    <w:basedOn w:val="34"/>
    <w:qFormat/>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76">
    <w:name w:val="Bordered &amp; Lined - Accent 4"/>
    <w:basedOn w:val="34"/>
    <w:qFormat/>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77">
    <w:name w:val="Bordered &amp; Lined - Accent 5"/>
    <w:basedOn w:val="34"/>
    <w:qFormat/>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78">
    <w:name w:val="Bordered &amp; Lined - Accent 6"/>
    <w:basedOn w:val="34"/>
    <w:qFormat/>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79">
    <w:name w:val="Bordered"/>
    <w:basedOn w:val="3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0">
    <w:name w:val="Bordered - Accent 1"/>
    <w:basedOn w:val="34"/>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181">
    <w:name w:val="Bordered - Accent 2"/>
    <w:basedOn w:val="34"/>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182">
    <w:name w:val="Bordered - Accent 3"/>
    <w:basedOn w:val="34"/>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183">
    <w:name w:val="Bordered - Accent 4"/>
    <w:basedOn w:val="34"/>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184">
    <w:name w:val="Bordered - Accent 5"/>
    <w:basedOn w:val="34"/>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185">
    <w:name w:val="Bordered - Accent 6"/>
    <w:basedOn w:val="34"/>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character" w:customStyle="1" w:styleId="186">
    <w:name w:val="Footnote Text Char"/>
    <w:link w:val="25"/>
    <w:qFormat/>
    <w:uiPriority w:val="99"/>
    <w:rPr>
      <w:sz w:val="18"/>
    </w:rPr>
  </w:style>
  <w:style w:type="character" w:customStyle="1" w:styleId="187">
    <w:name w:val="Endnote Text Char"/>
    <w:link w:val="19"/>
    <w:qFormat/>
    <w:uiPriority w:val="99"/>
    <w:rPr>
      <w:sz w:val="20"/>
    </w:rPr>
  </w:style>
  <w:style w:type="paragraph" w:customStyle="1" w:styleId="188">
    <w:name w:val="TOC Heading"/>
    <w:unhideWhenUsed/>
    <w:qFormat/>
    <w:uiPriority w:val="39"/>
    <w:rPr>
      <w:rFonts w:hint="default" w:ascii="Times New Roman" w:hAnsi="Times New Roman" w:eastAsia="宋体" w:cs="Times New Roman"/>
    </w:rPr>
  </w:style>
  <w:style w:type="character" w:customStyle="1" w:styleId="189">
    <w:name w:val="页眉 字符"/>
    <w:basedOn w:val="36"/>
    <w:link w:val="21"/>
    <w:qFormat/>
    <w:uiPriority w:val="0"/>
    <w:rPr>
      <w:sz w:val="18"/>
      <w:szCs w:val="18"/>
    </w:rPr>
  </w:style>
  <w:style w:type="character" w:customStyle="1" w:styleId="190">
    <w:name w:val="页脚 字符"/>
    <w:basedOn w:val="36"/>
    <w:link w:val="20"/>
    <w:qFormat/>
    <w:uiPriority w:val="0"/>
    <w:rPr>
      <w:sz w:val="18"/>
      <w:szCs w:val="18"/>
    </w:rPr>
  </w:style>
  <w:style w:type="paragraph" w:customStyle="1" w:styleId="191">
    <w:name w:val="标题2"/>
    <w:basedOn w:val="192"/>
    <w:qFormat/>
    <w:uiPriority w:val="0"/>
    <w:pPr>
      <w:numPr>
        <w:ilvl w:val="0"/>
        <w:numId w:val="1"/>
      </w:numPr>
      <w:spacing w:line="360" w:lineRule="auto"/>
    </w:pPr>
    <w:rPr>
      <w:rFonts w:eastAsia="仿宋"/>
      <w:bCs/>
      <w:sz w:val="28"/>
      <w:szCs w:val="28"/>
    </w:rPr>
  </w:style>
  <w:style w:type="paragraph" w:customStyle="1" w:styleId="192">
    <w:name w:val="标题 2（中核集团）"/>
    <w:basedOn w:val="3"/>
    <w:next w:val="1"/>
    <w:qFormat/>
    <w:uiPriority w:val="0"/>
    <w:pPr>
      <w:numPr>
        <w:ilvl w:val="1"/>
        <w:numId w:val="2"/>
      </w:numPr>
      <w:spacing w:before="0" w:line="720" w:lineRule="atLeast"/>
      <w:jc w:val="left"/>
    </w:pPr>
    <w:rPr>
      <w:rFonts w:ascii="仿宋" w:hAnsi="仿宋" w:eastAsia="Verdana"/>
      <w:b/>
      <w:bCs w:val="0"/>
      <w:sz w:val="30"/>
      <w:szCs w:val="32"/>
    </w:rPr>
  </w:style>
  <w:style w:type="paragraph" w:customStyle="1" w:styleId="193">
    <w:name w:val="样式1"/>
    <w:basedOn w:val="1"/>
    <w:qFormat/>
    <w:uiPriority w:val="0"/>
    <w:pPr>
      <w:widowControl/>
      <w:adjustRightInd w:val="0"/>
      <w:snapToGrid w:val="0"/>
      <w:spacing w:line="240" w:lineRule="auto"/>
      <w:ind w:firstLine="0" w:firstLineChars="0"/>
    </w:pPr>
    <w:rPr>
      <w:rFonts w:ascii="微软雅黑" w:hAnsi="微软雅黑"/>
      <w:bCs/>
      <w:color w:val="000000"/>
      <w:kern w:val="24"/>
      <w:szCs w:val="4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Arial"/>
        <a:cs typeface="Arial"/>
      </a:majorFont>
      <a:minorFont>
        <a:latin typeface="Calibri"/>
        <a:ea typeface="Arial"/>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1499</Words>
  <Characters>1543</Characters>
  <TotalTime>0</TotalTime>
  <ScaleCrop>false</ScaleCrop>
  <LinksUpToDate>false</LinksUpToDate>
  <CharactersWithSpaces>1553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2024-04-27T07:19:00Z</dcterms:created>
  <dc:creator>肖薇</dc:creator>
  <cp:lastModifiedBy>11</cp:lastModifiedBy>
  <dcterms:modified xsi:type="dcterms:W3CDTF">2026-08-20T07:32:13Z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467A68AD0F2640178DBB466F76D097B6_13</vt:lpwstr>
  </property>
  <property fmtid="{D5CDD505-2E9C-101B-9397-08002B2CF9AE}" pid="4" name="KSOTemplateDocerSaveRecord">
    <vt:lpwstr>eyJoZGlkIjoiYWY3NmVmZGYzM2E3YzJmNDFkZmY3Zjg4NWMwNzU5Y2EiLCJ1c2VySWQiOiI1NTg3MzEwMzgifQ==</vt:lpwstr>
  </property>
</Properties>
</file>