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C227F">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基于科技项目的深圳市食用农产品风险预警与主动防控决策支持子系统（多因素风险评估与主动防控决策系统）建设项目</w:t>
      </w:r>
      <w:r>
        <w:rPr>
          <w:rFonts w:hint="eastAsia"/>
          <w:sz w:val="28"/>
          <w:szCs w:val="28"/>
        </w:rPr>
        <w:t>招标公告</w:t>
      </w:r>
    </w:p>
    <w:p w14:paraId="00410208">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2"/>
      <w:bookmarkStart w:id="1" w:name="OLE_LINK1"/>
    </w:p>
    <w:bookmarkEnd w:id="0"/>
    <w:bookmarkEnd w:id="1"/>
    <w:p w14:paraId="0CC634D5">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73C685CB">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rPr>
        <w:t>基于科技项目的深圳市食用农产品风险预警与主动防控决策支持子系统（多因素风险评估与主动防控决策系统）建设项目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320FAAF8">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734E2DAA">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AB9BF94">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SZZZ2025-QC0324</w:t>
      </w:r>
    </w:p>
    <w:p w14:paraId="04E89C5F">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2、项目名称：基于科技项目的深圳市食用农产品风险预警与主动防控决策支持子系统（多因素风险评估与主动防控决策系统）建设项目</w:t>
      </w:r>
    </w:p>
    <w:p w14:paraId="5F939FDA">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1FF98F24">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4、预算金额：人民币550,000.00元</w:t>
      </w:r>
    </w:p>
    <w:p w14:paraId="04CDAC4C">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5、最高限价：人民币550,000.00元</w:t>
      </w:r>
    </w:p>
    <w:p w14:paraId="0A7D91FE">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4745"/>
        <w:gridCol w:w="630"/>
        <w:gridCol w:w="615"/>
        <w:gridCol w:w="2490"/>
        <w:gridCol w:w="619"/>
      </w:tblGrid>
      <w:tr w14:paraId="746C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761C0A84">
            <w:pPr>
              <w:pStyle w:val="12"/>
              <w:widowControl w:val="0"/>
              <w:spacing w:before="0" w:beforeAutospacing="0" w:after="0" w:afterAutospacing="0" w:line="360" w:lineRule="auto"/>
              <w:jc w:val="center"/>
              <w:rPr>
                <w:sz w:val="21"/>
              </w:rPr>
            </w:pPr>
            <w:r>
              <w:rPr>
                <w:rFonts w:hint="eastAsia"/>
                <w:sz w:val="21"/>
              </w:rPr>
              <w:t>序号</w:t>
            </w:r>
          </w:p>
        </w:tc>
        <w:tc>
          <w:tcPr>
            <w:tcW w:w="4745" w:type="dxa"/>
            <w:shd w:val="clear" w:color="auto" w:fill="ABCDEF"/>
            <w:vAlign w:val="center"/>
          </w:tcPr>
          <w:p w14:paraId="7B08B321">
            <w:pPr>
              <w:pStyle w:val="12"/>
              <w:widowControl w:val="0"/>
              <w:spacing w:line="360" w:lineRule="auto"/>
              <w:jc w:val="center"/>
              <w:rPr>
                <w:sz w:val="21"/>
              </w:rPr>
            </w:pPr>
            <w:r>
              <w:rPr>
                <w:sz w:val="21"/>
              </w:rPr>
              <w:t>标的名称</w:t>
            </w:r>
          </w:p>
        </w:tc>
        <w:tc>
          <w:tcPr>
            <w:tcW w:w="630" w:type="dxa"/>
            <w:shd w:val="clear" w:color="auto" w:fill="ABCDEF"/>
            <w:vAlign w:val="center"/>
          </w:tcPr>
          <w:p w14:paraId="7805370E">
            <w:pPr>
              <w:pStyle w:val="12"/>
              <w:widowControl w:val="0"/>
              <w:spacing w:before="0" w:beforeAutospacing="0" w:after="0" w:afterAutospacing="0" w:line="360" w:lineRule="auto"/>
              <w:jc w:val="center"/>
              <w:rPr>
                <w:sz w:val="21"/>
              </w:rPr>
            </w:pPr>
            <w:r>
              <w:rPr>
                <w:sz w:val="21"/>
              </w:rPr>
              <w:t>数量</w:t>
            </w:r>
          </w:p>
        </w:tc>
        <w:tc>
          <w:tcPr>
            <w:tcW w:w="615" w:type="dxa"/>
            <w:shd w:val="clear" w:color="auto" w:fill="ABCDEF"/>
            <w:vAlign w:val="center"/>
          </w:tcPr>
          <w:p w14:paraId="2F3790AB">
            <w:pPr>
              <w:pStyle w:val="12"/>
              <w:widowControl w:val="0"/>
              <w:spacing w:before="0" w:beforeAutospacing="0" w:after="0" w:afterAutospacing="0" w:line="360" w:lineRule="auto"/>
              <w:jc w:val="center"/>
              <w:rPr>
                <w:sz w:val="21"/>
              </w:rPr>
            </w:pPr>
            <w:r>
              <w:rPr>
                <w:sz w:val="21"/>
              </w:rPr>
              <w:t>单位</w:t>
            </w:r>
          </w:p>
        </w:tc>
        <w:tc>
          <w:tcPr>
            <w:tcW w:w="2490" w:type="dxa"/>
            <w:shd w:val="clear" w:color="auto" w:fill="ABCDEF"/>
            <w:vAlign w:val="center"/>
          </w:tcPr>
          <w:p w14:paraId="0720133E">
            <w:pPr>
              <w:pStyle w:val="12"/>
              <w:widowControl w:val="0"/>
              <w:spacing w:before="0" w:beforeAutospacing="0" w:after="0" w:afterAutospacing="0" w:line="360" w:lineRule="auto"/>
              <w:jc w:val="center"/>
              <w:rPr>
                <w:sz w:val="21"/>
              </w:rPr>
            </w:pPr>
            <w:r>
              <w:rPr>
                <w:rFonts w:hint="eastAsia"/>
                <w:sz w:val="21"/>
              </w:rPr>
              <w:t>简要技术需求或服务要求</w:t>
            </w:r>
          </w:p>
        </w:tc>
        <w:tc>
          <w:tcPr>
            <w:tcW w:w="619" w:type="dxa"/>
            <w:shd w:val="clear" w:color="auto" w:fill="ABCDEF"/>
            <w:vAlign w:val="center"/>
          </w:tcPr>
          <w:p w14:paraId="38BA0F79">
            <w:pPr>
              <w:pStyle w:val="12"/>
              <w:widowControl w:val="0"/>
              <w:spacing w:before="0" w:beforeAutospacing="0" w:after="0" w:afterAutospacing="0" w:line="360" w:lineRule="auto"/>
              <w:jc w:val="center"/>
              <w:rPr>
                <w:sz w:val="21"/>
              </w:rPr>
            </w:pPr>
            <w:r>
              <w:rPr>
                <w:sz w:val="21"/>
              </w:rPr>
              <w:t>备注</w:t>
            </w:r>
          </w:p>
        </w:tc>
      </w:tr>
      <w:tr w14:paraId="2FA0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09D3CAA">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45" w:type="dxa"/>
            <w:shd w:val="clear" w:color="auto" w:fill="auto"/>
            <w:vAlign w:val="center"/>
          </w:tcPr>
          <w:p w14:paraId="72ECC622">
            <w:pPr>
              <w:pStyle w:val="12"/>
              <w:widowControl w:val="0"/>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基于科技项目的深圳市食用农产品风险预警与主动防控决策支持子系统（多因素风险评估与主动防控决策系统）建设项目</w:t>
            </w:r>
          </w:p>
        </w:tc>
        <w:tc>
          <w:tcPr>
            <w:tcW w:w="630" w:type="dxa"/>
            <w:shd w:val="clear" w:color="auto" w:fill="auto"/>
            <w:vAlign w:val="center"/>
          </w:tcPr>
          <w:p w14:paraId="4C8DE8D6">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615" w:type="dxa"/>
            <w:shd w:val="clear" w:color="auto" w:fill="auto"/>
            <w:vAlign w:val="center"/>
          </w:tcPr>
          <w:p w14:paraId="3F2B3FE8">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490" w:type="dxa"/>
            <w:shd w:val="clear" w:color="auto" w:fill="auto"/>
            <w:vAlign w:val="center"/>
          </w:tcPr>
          <w:p w14:paraId="59CADB8E">
            <w:pPr>
              <w:pStyle w:val="12"/>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19" w:type="dxa"/>
            <w:shd w:val="clear" w:color="auto" w:fill="auto"/>
            <w:vAlign w:val="center"/>
          </w:tcPr>
          <w:p w14:paraId="2F889106">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F1F4783">
      <w:pPr>
        <w:pStyle w:val="19"/>
        <w:widowControl w:val="0"/>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45A57B79">
      <w:pPr>
        <w:pStyle w:val="19"/>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B92AC75">
      <w:pPr>
        <w:pStyle w:val="19"/>
        <w:widowControl w:val="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1480451">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65FF99C1">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32C783C">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0FADF99F">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06D70CA">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9EA7E76">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9E0C0C5">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FED452A">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86EEFC2">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5F45616C">
      <w:pPr>
        <w:pStyle w:val="19"/>
        <w:widowControl w:val="0"/>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4A424AF">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2448ADC">
      <w:pPr>
        <w:pStyle w:val="19"/>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158688B4">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DF1FC37">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506D59B8">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6E274C0">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355F1BFB">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AD5127C">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E4D3819">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1199E55">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A33535C">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FD2591F">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24B6C0D">
      <w:pPr>
        <w:pStyle w:val="19"/>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7F3AA15">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E71129F">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50DF59A">
      <w:pPr>
        <w:pStyle w:val="19"/>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7C76D3F">
      <w:pPr>
        <w:pStyle w:val="19"/>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AC68C74">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248E4BA">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D875A9F">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CFFF497">
      <w:pPr>
        <w:pStyle w:val="19"/>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F8FB662">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F4B72DF">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0575F66">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63393EC2">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19524FDD">
      <w:pPr>
        <w:pStyle w:val="19"/>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D6271F7">
      <w:pPr>
        <w:pStyle w:val="19"/>
        <w:widowControl w:val="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84C93C6">
      <w:pPr>
        <w:pStyle w:val="19"/>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2D29053">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FFC3630">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名称：深圳市农产品质量安全检验检测中心</w:t>
      </w:r>
    </w:p>
    <w:p w14:paraId="2BA2A849">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地址：深圳市南山区西丽街道沙河西路3157号南山智谷产业园E栋16-23层</w:t>
      </w:r>
    </w:p>
    <w:p w14:paraId="39372D49">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C8D4F40">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7D4439F">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F0B58B2">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1C208267">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ABF74DD">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bookmarkStart w:id="3" w:name="_GoBack"/>
      <w:bookmarkEnd w:id="3"/>
      <w:r>
        <w:rPr>
          <w:rFonts w:hint="eastAsia" w:ascii="宋体" w:hAnsi="宋体" w:eastAsia="宋体"/>
          <w:snapToGrid w:val="0"/>
          <w:color w:val="auto"/>
          <w:sz w:val="21"/>
          <w:szCs w:val="21"/>
        </w:rPr>
        <w:t>先生</w:t>
      </w:r>
    </w:p>
    <w:p w14:paraId="66822981">
      <w:pPr>
        <w:pStyle w:val="19"/>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AFC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08E385B">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648BF"/>
    <w:rsid w:val="005E4E66"/>
    <w:rsid w:val="00693C3B"/>
    <w:rsid w:val="00904E97"/>
    <w:rsid w:val="00C0277A"/>
    <w:rsid w:val="00CC3D15"/>
    <w:rsid w:val="00DB5FC5"/>
    <w:rsid w:val="00E35C3E"/>
    <w:rsid w:val="010D427B"/>
    <w:rsid w:val="0A0D2B9E"/>
    <w:rsid w:val="0BE12FB3"/>
    <w:rsid w:val="0E0B6044"/>
    <w:rsid w:val="11543B8B"/>
    <w:rsid w:val="14593FD1"/>
    <w:rsid w:val="158F3058"/>
    <w:rsid w:val="16DC407B"/>
    <w:rsid w:val="1BF507B7"/>
    <w:rsid w:val="1CBF6A46"/>
    <w:rsid w:val="1D660B43"/>
    <w:rsid w:val="1DCB6E5D"/>
    <w:rsid w:val="1F9279CD"/>
    <w:rsid w:val="1FB21E1D"/>
    <w:rsid w:val="22477EC9"/>
    <w:rsid w:val="24DA5A82"/>
    <w:rsid w:val="28FE3ECA"/>
    <w:rsid w:val="2AEA4B61"/>
    <w:rsid w:val="2B52232C"/>
    <w:rsid w:val="2BB7557C"/>
    <w:rsid w:val="2BD44FDA"/>
    <w:rsid w:val="2DB41456"/>
    <w:rsid w:val="2E787F44"/>
    <w:rsid w:val="2EA96AE1"/>
    <w:rsid w:val="307714FB"/>
    <w:rsid w:val="30C06A28"/>
    <w:rsid w:val="32817F71"/>
    <w:rsid w:val="34354069"/>
    <w:rsid w:val="349D16AB"/>
    <w:rsid w:val="355203DF"/>
    <w:rsid w:val="358B1AC9"/>
    <w:rsid w:val="36201D7F"/>
    <w:rsid w:val="36A75FFC"/>
    <w:rsid w:val="389F4436"/>
    <w:rsid w:val="3A211C22"/>
    <w:rsid w:val="3B4F27BE"/>
    <w:rsid w:val="3C4E5B63"/>
    <w:rsid w:val="3DB42DAD"/>
    <w:rsid w:val="3FF32D03"/>
    <w:rsid w:val="413A2F73"/>
    <w:rsid w:val="42903B55"/>
    <w:rsid w:val="42AE4479"/>
    <w:rsid w:val="47BF3AA0"/>
    <w:rsid w:val="4868659A"/>
    <w:rsid w:val="4D132F66"/>
    <w:rsid w:val="4E376C2D"/>
    <w:rsid w:val="4E3C4533"/>
    <w:rsid w:val="528D3FA9"/>
    <w:rsid w:val="52B5316A"/>
    <w:rsid w:val="5A9303CE"/>
    <w:rsid w:val="5AE14E80"/>
    <w:rsid w:val="5DC27DBC"/>
    <w:rsid w:val="5DD60DF1"/>
    <w:rsid w:val="5F826EAF"/>
    <w:rsid w:val="633B5253"/>
    <w:rsid w:val="657747DB"/>
    <w:rsid w:val="67746F85"/>
    <w:rsid w:val="679E0F7E"/>
    <w:rsid w:val="68DE5D30"/>
    <w:rsid w:val="69883BFC"/>
    <w:rsid w:val="699D27C3"/>
    <w:rsid w:val="6BBE4C73"/>
    <w:rsid w:val="6DE309C1"/>
    <w:rsid w:val="6E980488"/>
    <w:rsid w:val="6FA128E1"/>
    <w:rsid w:val="72FB00D3"/>
    <w:rsid w:val="730462C0"/>
    <w:rsid w:val="745E2AD0"/>
    <w:rsid w:val="76085468"/>
    <w:rsid w:val="77606BA1"/>
    <w:rsid w:val="782704AD"/>
    <w:rsid w:val="7AFD697C"/>
    <w:rsid w:val="7C4732AF"/>
    <w:rsid w:val="7E307C52"/>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autoRedefine/>
    <w:qFormat/>
    <w:uiPriority w:val="0"/>
    <w:pPr>
      <w:adjustRightInd w:val="0"/>
      <w:jc w:val="center"/>
      <w:textAlignment w:val="baseline"/>
      <w:outlineLvl w:val="1"/>
    </w:pPr>
    <w:rPr>
      <w:sz w:val="24"/>
      <w:szCs w:val="20"/>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adjustRightInd w:val="0"/>
      <w:spacing w:after="120" w:line="360" w:lineRule="atLeast"/>
      <w:textAlignment w:val="baseline"/>
    </w:pPr>
    <w:rPr>
      <w:kern w:val="0"/>
      <w:sz w:val="20"/>
    </w:rPr>
  </w:style>
  <w:style w:type="paragraph" w:styleId="7">
    <w:name w:val="Body Text 2"/>
    <w:basedOn w:val="1"/>
    <w:qFormat/>
    <w:uiPriority w:val="0"/>
    <w:rPr>
      <w:sz w:val="28"/>
      <w:szCs w:val="20"/>
    </w:rPr>
  </w:style>
  <w:style w:type="paragraph" w:styleId="8">
    <w:name w:val="annotation text"/>
    <w:basedOn w:val="1"/>
    <w:link w:val="22"/>
    <w:autoRedefine/>
    <w:qFormat/>
    <w:uiPriority w:val="0"/>
    <w:pPr>
      <w:jc w:val="left"/>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autoRedefine/>
    <w:semiHidden/>
    <w:qFormat/>
    <w:uiPriority w:val="0"/>
    <w:pPr>
      <w:tabs>
        <w:tab w:val="right" w:leader="dot" w:pos="8296"/>
      </w:tabs>
      <w:ind w:left="210"/>
      <w:jc w:val="left"/>
    </w:pPr>
    <w:rPr>
      <w:smallCaps/>
    </w:rPr>
  </w:style>
  <w:style w:type="paragraph" w:styleId="12">
    <w:name w:val="Normal (Web)"/>
    <w:basedOn w:val="1"/>
    <w:autoRedefine/>
    <w:qFormat/>
    <w:uiPriority w:val="99"/>
    <w:pPr>
      <w:widowControl/>
      <w:spacing w:before="100" w:beforeAutospacing="1" w:after="100" w:afterAutospacing="1"/>
      <w:jc w:val="left"/>
    </w:pPr>
    <w:rPr>
      <w:kern w:val="0"/>
      <w:sz w:val="24"/>
    </w:rPr>
  </w:style>
  <w:style w:type="paragraph" w:styleId="13">
    <w:name w:val="Title"/>
    <w:basedOn w:val="1"/>
    <w:next w:val="1"/>
    <w:qFormat/>
    <w:uiPriority w:val="0"/>
    <w:pPr>
      <w:spacing w:before="240" w:after="60"/>
      <w:jc w:val="center"/>
      <w:outlineLvl w:val="0"/>
    </w:pPr>
    <w:rPr>
      <w:rFonts w:ascii="Arial" w:hAnsi="Arial" w:eastAsia="隶书"/>
      <w:b/>
      <w:bCs/>
      <w:sz w:val="32"/>
      <w:szCs w:val="32"/>
    </w:rPr>
  </w:style>
  <w:style w:type="paragraph" w:styleId="14">
    <w:name w:val="annotation subject"/>
    <w:basedOn w:val="8"/>
    <w:next w:val="8"/>
    <w:link w:val="23"/>
    <w:autoRedefine/>
    <w:qFormat/>
    <w:uiPriority w:val="0"/>
    <w:rPr>
      <w:b/>
      <w:bCs/>
    </w:rPr>
  </w:style>
  <w:style w:type="character" w:styleId="17">
    <w:name w:val="Hyperlink"/>
    <w:autoRedefine/>
    <w:qFormat/>
    <w:uiPriority w:val="0"/>
    <w:rPr>
      <w:color w:val="0000FF"/>
      <w:u w:val="single"/>
    </w:rPr>
  </w:style>
  <w:style w:type="character" w:styleId="18">
    <w:name w:val="annotation reference"/>
    <w:basedOn w:val="16"/>
    <w:autoRedefine/>
    <w:qFormat/>
    <w:uiPriority w:val="0"/>
    <w:rPr>
      <w:sz w:val="21"/>
      <w:szCs w:val="21"/>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页眉 字符"/>
    <w:basedOn w:val="16"/>
    <w:link w:val="10"/>
    <w:autoRedefine/>
    <w:qFormat/>
    <w:uiPriority w:val="0"/>
    <w:rPr>
      <w:rFonts w:ascii="Times New Roman" w:hAnsi="Times New Roman" w:eastAsia="宋体" w:cs="Times New Roman"/>
      <w:kern w:val="2"/>
      <w:sz w:val="18"/>
      <w:szCs w:val="18"/>
    </w:rPr>
  </w:style>
  <w:style w:type="character" w:customStyle="1" w:styleId="21">
    <w:name w:val="页脚 字符"/>
    <w:basedOn w:val="16"/>
    <w:link w:val="9"/>
    <w:autoRedefine/>
    <w:qFormat/>
    <w:uiPriority w:val="0"/>
    <w:rPr>
      <w:rFonts w:ascii="Times New Roman" w:hAnsi="Times New Roman" w:eastAsia="宋体" w:cs="Times New Roman"/>
      <w:kern w:val="2"/>
      <w:sz w:val="18"/>
      <w:szCs w:val="18"/>
    </w:rPr>
  </w:style>
  <w:style w:type="character" w:customStyle="1" w:styleId="22">
    <w:name w:val="批注文字 字符"/>
    <w:basedOn w:val="16"/>
    <w:link w:val="8"/>
    <w:autoRedefine/>
    <w:qFormat/>
    <w:uiPriority w:val="0"/>
    <w:rPr>
      <w:rFonts w:ascii="Times New Roman" w:hAnsi="Times New Roman" w:eastAsia="宋体" w:cs="Times New Roman"/>
      <w:kern w:val="2"/>
      <w:sz w:val="21"/>
      <w:szCs w:val="24"/>
    </w:rPr>
  </w:style>
  <w:style w:type="character" w:customStyle="1" w:styleId="23">
    <w:name w:val="批注主题 字符"/>
    <w:basedOn w:val="22"/>
    <w:link w:val="14"/>
    <w:autoRedefine/>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2457</Words>
  <Characters>2765</Characters>
  <Lines>22</Lines>
  <Paragraphs>6</Paragraphs>
  <TotalTime>0</TotalTime>
  <ScaleCrop>false</ScaleCrop>
  <LinksUpToDate>false</LinksUpToDate>
  <CharactersWithSpaces>2771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2025-08-04T09:53:31Z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