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Autospacing="1" w:afterAutospacing="1"/>
        <w:jc w:val="center"/>
        <w:outlineLvl w:val="9"/>
        <w:rPr>
          <w:rFonts w:hint="eastAsia" w:ascii="黑体" w:hAnsi="宋体" w:eastAsia="黑体" w:cs="黑体"/>
          <w:kern w:val="0"/>
          <w:sz w:val="40"/>
          <w:szCs w:val="40"/>
        </w:rPr>
      </w:pPr>
    </w:p>
    <w:p>
      <w:pPr>
        <w:widowControl/>
        <w:spacing w:beforeAutospacing="1" w:afterAutospacing="1"/>
        <w:jc w:val="center"/>
        <w:outlineLvl w:val="9"/>
        <w:rPr>
          <w:rFonts w:hint="eastAsia" w:ascii="黑体" w:hAnsi="宋体" w:eastAsia="黑体" w:cs="黑体"/>
          <w:kern w:val="0"/>
          <w:sz w:val="40"/>
          <w:szCs w:val="40"/>
        </w:rPr>
      </w:pPr>
    </w:p>
    <w:p>
      <w:pPr>
        <w:widowControl/>
        <w:spacing w:beforeAutospacing="1" w:afterAutospacing="1"/>
        <w:jc w:val="center"/>
        <w:outlineLvl w:val="9"/>
        <w:rPr>
          <w:rFonts w:hint="eastAsia" w:ascii="黑体" w:hAnsi="宋体" w:eastAsia="黑体" w:cs="黑体"/>
          <w:kern w:val="0"/>
          <w:sz w:val="40"/>
          <w:szCs w:val="40"/>
        </w:rPr>
      </w:pPr>
    </w:p>
    <w:p>
      <w:pPr>
        <w:widowControl/>
        <w:spacing w:beforeAutospacing="1" w:afterAutospacing="1"/>
        <w:jc w:val="center"/>
        <w:outlineLvl w:val="1"/>
        <w:rPr>
          <w:rFonts w:ascii="黑体" w:hAnsi="宋体" w:eastAsia="黑体" w:cs="黑体"/>
          <w:kern w:val="0"/>
          <w:sz w:val="40"/>
          <w:szCs w:val="40"/>
        </w:rPr>
      </w:pPr>
      <w:r>
        <w:rPr>
          <w:rFonts w:hint="eastAsia" w:ascii="黑体" w:hAnsi="宋体" w:eastAsia="黑体" w:cs="黑体"/>
          <w:kern w:val="0"/>
          <w:sz w:val="40"/>
          <w:szCs w:val="40"/>
        </w:rPr>
        <w:t>招标文件信息</w:t>
      </w:r>
    </w:p>
    <w:p>
      <w:pPr>
        <w:pStyle w:val="37"/>
        <w:widowControl/>
        <w:ind w:firstLine="2400" w:firstLineChars="800"/>
        <w:jc w:val="both"/>
        <w:outlineLvl w:val="1"/>
        <w:rPr>
          <w:rFonts w:hint="default"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rPr>
        <w:t>项目编号：FTZXCG-2024-000</w:t>
      </w:r>
      <w:r>
        <w:rPr>
          <w:rFonts w:hint="eastAsia" w:asciiTheme="minorEastAsia" w:hAnsiTheme="minorEastAsia" w:eastAsiaTheme="minorEastAsia" w:cstheme="minorEastAsia"/>
          <w:b w:val="0"/>
          <w:bCs w:val="0"/>
          <w:sz w:val="30"/>
          <w:szCs w:val="30"/>
          <w:lang w:val="en-US" w:eastAsia="zh-CN"/>
        </w:rPr>
        <w:t>77</w:t>
      </w:r>
    </w:p>
    <w:p>
      <w:pPr>
        <w:pStyle w:val="37"/>
        <w:widowControl/>
        <w:jc w:val="center"/>
        <w:outlineLvl w:val="9"/>
        <w:rPr>
          <w:rFonts w:hint="eastAsia" w:asciiTheme="minorEastAsia" w:hAnsiTheme="minorEastAsia" w:eastAsiaTheme="minorEastAsia" w:cstheme="minorEastAsia"/>
          <w:b w:val="0"/>
          <w:bCs w:val="0"/>
          <w:sz w:val="30"/>
          <w:szCs w:val="30"/>
          <w:lang w:val="en-US" w:eastAsia="zh-CN"/>
        </w:rPr>
      </w:pPr>
    </w:p>
    <w:p>
      <w:pPr>
        <w:pStyle w:val="37"/>
        <w:widowControl/>
        <w:ind w:left="3886" w:leftChars="1136" w:hanging="1500" w:hangingChars="500"/>
        <w:jc w:val="both"/>
        <w:outlineLvl w:val="1"/>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项目名称：</w:t>
      </w:r>
      <w:r>
        <w:rPr>
          <w:rFonts w:hint="eastAsia" w:asciiTheme="minorEastAsia" w:hAnsiTheme="minorEastAsia" w:eastAsiaTheme="minorEastAsia" w:cstheme="minorEastAsia"/>
          <w:sz w:val="30"/>
          <w:szCs w:val="30"/>
        </w:rPr>
        <w:t>市体育中心周边无障碍环境提升建设工程项目</w:t>
      </w:r>
    </w:p>
    <w:p>
      <w:pPr>
        <w:pStyle w:val="37"/>
        <w:widowControl/>
        <w:ind w:firstLine="2400" w:firstLineChars="800"/>
        <w:jc w:val="both"/>
        <w:outlineLvl w:val="9"/>
        <w:rPr>
          <w:rFonts w:hint="eastAsia" w:asciiTheme="minorEastAsia" w:hAnsiTheme="minorEastAsia" w:eastAsiaTheme="minorEastAsia" w:cstheme="minorEastAsia"/>
          <w:b w:val="0"/>
          <w:bCs w:val="0"/>
          <w:sz w:val="30"/>
          <w:szCs w:val="30"/>
        </w:rPr>
      </w:pPr>
    </w:p>
    <w:p>
      <w:pPr>
        <w:pStyle w:val="37"/>
        <w:widowControl/>
        <w:ind w:firstLine="2400" w:firstLineChars="800"/>
        <w:jc w:val="both"/>
        <w:outlineLvl w:val="1"/>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包 号：</w:t>
      </w:r>
      <w:r>
        <w:rPr>
          <w:rFonts w:hint="eastAsia" w:asciiTheme="minorEastAsia" w:hAnsiTheme="minorEastAsia" w:eastAsiaTheme="minorEastAsia" w:cstheme="minorEastAsia"/>
          <w:b w:val="0"/>
          <w:bCs w:val="0"/>
          <w:sz w:val="30"/>
          <w:szCs w:val="30"/>
        </w:rPr>
        <w:tab/>
      </w:r>
      <w:r>
        <w:rPr>
          <w:rFonts w:hint="eastAsia" w:asciiTheme="minorEastAsia" w:hAnsiTheme="minorEastAsia" w:eastAsiaTheme="minorEastAsia" w:cstheme="minorEastAsia"/>
          <w:b w:val="0"/>
          <w:bCs w:val="0"/>
          <w:sz w:val="30"/>
          <w:szCs w:val="30"/>
        </w:rPr>
        <w:t>A</w:t>
      </w:r>
    </w:p>
    <w:p>
      <w:pPr>
        <w:pStyle w:val="37"/>
        <w:widowControl/>
        <w:ind w:firstLine="2400" w:firstLineChars="800"/>
        <w:jc w:val="both"/>
        <w:outlineLvl w:val="9"/>
        <w:rPr>
          <w:rFonts w:hint="eastAsia" w:asciiTheme="minorEastAsia" w:hAnsiTheme="minorEastAsia" w:eastAsiaTheme="minorEastAsia" w:cstheme="minorEastAsia"/>
          <w:b w:val="0"/>
          <w:bCs w:val="0"/>
          <w:sz w:val="30"/>
          <w:szCs w:val="30"/>
        </w:rPr>
      </w:pPr>
    </w:p>
    <w:p>
      <w:pPr>
        <w:pStyle w:val="37"/>
        <w:widowControl/>
        <w:ind w:firstLine="2400" w:firstLineChars="800"/>
        <w:jc w:val="both"/>
        <w:outlineLvl w:val="1"/>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项目类型：</w:t>
      </w:r>
      <w:r>
        <w:rPr>
          <w:rFonts w:hint="eastAsia" w:asciiTheme="minorEastAsia" w:hAnsiTheme="minorEastAsia" w:eastAsiaTheme="minorEastAsia" w:cstheme="minorEastAsia"/>
          <w:b w:val="0"/>
          <w:bCs w:val="0"/>
          <w:sz w:val="30"/>
          <w:szCs w:val="30"/>
        </w:rPr>
        <w:tab/>
      </w:r>
      <w:r>
        <w:rPr>
          <w:rFonts w:hint="eastAsia" w:asciiTheme="minorEastAsia" w:hAnsiTheme="minorEastAsia" w:eastAsiaTheme="minorEastAsia" w:cstheme="minorEastAsia"/>
          <w:b w:val="0"/>
          <w:bCs w:val="0"/>
          <w:sz w:val="30"/>
          <w:szCs w:val="30"/>
          <w:lang w:eastAsia="zh-CN"/>
        </w:rPr>
        <w:t>工程</w:t>
      </w:r>
      <w:r>
        <w:rPr>
          <w:rFonts w:hint="eastAsia" w:asciiTheme="minorEastAsia" w:hAnsiTheme="minorEastAsia" w:eastAsiaTheme="minorEastAsia" w:cstheme="minorEastAsia"/>
          <w:b w:val="0"/>
          <w:bCs w:val="0"/>
          <w:sz w:val="30"/>
          <w:szCs w:val="30"/>
        </w:rPr>
        <w:t>类</w:t>
      </w:r>
    </w:p>
    <w:p>
      <w:pPr>
        <w:pStyle w:val="37"/>
        <w:widowControl/>
        <w:ind w:firstLine="2400" w:firstLineChars="800"/>
        <w:jc w:val="both"/>
        <w:outlineLvl w:val="9"/>
        <w:rPr>
          <w:rFonts w:hint="eastAsia" w:asciiTheme="minorEastAsia" w:hAnsiTheme="minorEastAsia" w:eastAsiaTheme="minorEastAsia" w:cstheme="minorEastAsia"/>
          <w:b w:val="0"/>
          <w:bCs w:val="0"/>
          <w:sz w:val="30"/>
          <w:szCs w:val="30"/>
        </w:rPr>
      </w:pPr>
    </w:p>
    <w:p>
      <w:pPr>
        <w:pStyle w:val="37"/>
        <w:widowControl/>
        <w:ind w:firstLine="2400" w:firstLineChars="800"/>
        <w:jc w:val="both"/>
        <w:outlineLvl w:val="1"/>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采购方式：</w:t>
      </w:r>
      <w:r>
        <w:rPr>
          <w:rFonts w:hint="eastAsia" w:asciiTheme="minorEastAsia" w:hAnsiTheme="minorEastAsia" w:eastAsiaTheme="minorEastAsia" w:cstheme="minorEastAsia"/>
          <w:b w:val="0"/>
          <w:bCs w:val="0"/>
          <w:sz w:val="30"/>
          <w:szCs w:val="30"/>
        </w:rPr>
        <w:tab/>
      </w:r>
      <w:r>
        <w:rPr>
          <w:rFonts w:hint="eastAsia" w:asciiTheme="minorEastAsia" w:hAnsiTheme="minorEastAsia" w:eastAsiaTheme="minorEastAsia" w:cstheme="minorEastAsia"/>
          <w:b w:val="0"/>
          <w:bCs w:val="0"/>
          <w:sz w:val="30"/>
          <w:szCs w:val="30"/>
        </w:rPr>
        <w:t>公开招标</w:t>
      </w:r>
    </w:p>
    <w:p>
      <w:pPr>
        <w:pStyle w:val="37"/>
        <w:widowControl/>
        <w:ind w:firstLine="2400" w:firstLineChars="800"/>
        <w:jc w:val="both"/>
        <w:outlineLvl w:val="9"/>
        <w:rPr>
          <w:rFonts w:hint="eastAsia" w:asciiTheme="minorEastAsia" w:hAnsiTheme="minorEastAsia" w:eastAsiaTheme="minorEastAsia" w:cstheme="minorEastAsia"/>
          <w:b w:val="0"/>
          <w:bCs w:val="0"/>
          <w:sz w:val="30"/>
          <w:szCs w:val="30"/>
        </w:rPr>
      </w:pPr>
    </w:p>
    <w:p>
      <w:pPr>
        <w:pStyle w:val="37"/>
        <w:widowControl/>
        <w:ind w:firstLine="2400" w:firstLineChars="800"/>
        <w:jc w:val="both"/>
        <w:outlineLvl w:val="1"/>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货币类型：</w:t>
      </w:r>
      <w:r>
        <w:rPr>
          <w:rFonts w:hint="eastAsia" w:asciiTheme="minorEastAsia" w:hAnsiTheme="minorEastAsia" w:eastAsiaTheme="minorEastAsia" w:cstheme="minorEastAsia"/>
          <w:b w:val="0"/>
          <w:bCs w:val="0"/>
          <w:sz w:val="30"/>
          <w:szCs w:val="30"/>
        </w:rPr>
        <w:tab/>
      </w:r>
      <w:r>
        <w:rPr>
          <w:rFonts w:hint="eastAsia" w:asciiTheme="minorEastAsia" w:hAnsiTheme="minorEastAsia" w:eastAsiaTheme="minorEastAsia" w:cstheme="minorEastAsia"/>
          <w:b w:val="0"/>
          <w:bCs w:val="0"/>
          <w:sz w:val="30"/>
          <w:szCs w:val="30"/>
        </w:rPr>
        <w:t>人民币</w:t>
      </w:r>
    </w:p>
    <w:p>
      <w:pPr>
        <w:pStyle w:val="37"/>
        <w:widowControl/>
        <w:ind w:firstLine="2400" w:firstLineChars="800"/>
        <w:jc w:val="both"/>
        <w:outlineLvl w:val="9"/>
        <w:rPr>
          <w:rFonts w:hint="eastAsia" w:asciiTheme="minorEastAsia" w:hAnsiTheme="minorEastAsia" w:eastAsiaTheme="minorEastAsia" w:cstheme="minorEastAsia"/>
          <w:b w:val="0"/>
          <w:bCs w:val="0"/>
          <w:sz w:val="30"/>
          <w:szCs w:val="30"/>
        </w:rPr>
      </w:pPr>
    </w:p>
    <w:p>
      <w:pPr>
        <w:pStyle w:val="37"/>
        <w:widowControl/>
        <w:ind w:firstLine="2400" w:firstLineChars="800"/>
        <w:jc w:val="both"/>
        <w:outlineLvl w:val="1"/>
        <w:rPr>
          <w:rFonts w:eastAsia="黑体"/>
          <w:sz w:val="40"/>
          <w:szCs w:val="40"/>
        </w:rPr>
      </w:pPr>
      <w:r>
        <w:rPr>
          <w:rFonts w:hint="eastAsia" w:asciiTheme="minorEastAsia" w:hAnsiTheme="minorEastAsia" w:eastAsiaTheme="minorEastAsia" w:cstheme="minorEastAsia"/>
          <w:b w:val="0"/>
          <w:bCs w:val="0"/>
          <w:sz w:val="30"/>
          <w:szCs w:val="30"/>
        </w:rPr>
        <w:t>评标方法：</w:t>
      </w:r>
      <w:r>
        <w:rPr>
          <w:rFonts w:hint="eastAsia" w:asciiTheme="minorEastAsia" w:hAnsiTheme="minorEastAsia" w:eastAsiaTheme="minorEastAsia" w:cstheme="minorEastAsia"/>
          <w:b w:val="0"/>
          <w:bCs w:val="0"/>
          <w:sz w:val="30"/>
          <w:szCs w:val="30"/>
        </w:rPr>
        <w:tab/>
      </w:r>
      <w:r>
        <w:rPr>
          <w:rFonts w:hint="eastAsia" w:asciiTheme="minorEastAsia" w:hAnsiTheme="minorEastAsia" w:eastAsiaTheme="minorEastAsia" w:cstheme="minorEastAsia"/>
          <w:b w:val="0"/>
          <w:bCs w:val="0"/>
          <w:sz w:val="30"/>
          <w:szCs w:val="30"/>
        </w:rPr>
        <w:t>综合评分法</w:t>
      </w:r>
    </w:p>
    <w:p>
      <w:pPr>
        <w:pStyle w:val="37"/>
        <w:jc w:val="center"/>
        <w:outlineLvl w:val="9"/>
        <w:rPr>
          <w:rFonts w:hint="eastAsia" w:ascii="黑体" w:hAnsi="黑体" w:eastAsia="黑体"/>
          <w:sz w:val="40"/>
          <w:szCs w:val="40"/>
        </w:rPr>
      </w:pPr>
    </w:p>
    <w:p>
      <w:pPr>
        <w:pStyle w:val="37"/>
        <w:jc w:val="center"/>
        <w:outlineLvl w:val="1"/>
        <w:rPr>
          <w:rFonts w:hint="eastAsia" w:ascii="黑体" w:hAnsi="黑体" w:eastAsia="黑体"/>
          <w:sz w:val="40"/>
          <w:szCs w:val="40"/>
        </w:rPr>
        <w:sectPr>
          <w:headerReference r:id="rId3" w:type="first"/>
          <w:footerReference r:id="rId4" w:type="default"/>
          <w:footerReference r:id="rId5" w:type="even"/>
          <w:pgSz w:w="11907" w:h="16840"/>
          <w:pgMar w:top="1440" w:right="1417" w:bottom="1440" w:left="1417" w:header="851" w:footer="992" w:gutter="0"/>
          <w:cols w:space="425" w:num="1"/>
          <w:titlePg/>
          <w:docGrid w:linePitch="462" w:charSpace="0"/>
        </w:sectPr>
      </w:pPr>
    </w:p>
    <w:p>
      <w:pPr>
        <w:pStyle w:val="37"/>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pPr>
        <w:pStyle w:val="37"/>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lang w:val="en-US" w:eastAsia="zh-CN"/>
              </w:rPr>
              <w:t>不得</w:t>
            </w:r>
            <w:r>
              <w:rPr>
                <w:rFonts w:hint="eastAsia"/>
              </w:rPr>
              <w:t>将一个包的内容拆开投标；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对同一项目投标时，</w:t>
            </w:r>
            <w:r>
              <w:rPr>
                <w:rFonts w:hint="eastAsia"/>
                <w:lang w:val="en-US" w:eastAsia="zh-CN"/>
              </w:rPr>
              <w:t>不得</w:t>
            </w:r>
            <w:r>
              <w:rPr>
                <w:rFonts w:hint="eastAsia"/>
              </w:rPr>
              <w:t>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分项报价或投标总价</w:t>
            </w:r>
            <w:r>
              <w:rPr>
                <w:rFonts w:hint="eastAsia"/>
                <w:lang w:val="en-US" w:eastAsia="zh-CN"/>
              </w:rPr>
              <w:t>不得</w:t>
            </w:r>
            <w:r>
              <w:rPr>
                <w:rFonts w:hint="eastAsia"/>
              </w:rPr>
              <w:t>高于相应预算金额（或设定的预算金额下的最高限价）；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4</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5</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所投货物、服务</w:t>
            </w:r>
            <w:r>
              <w:rPr>
                <w:rFonts w:hint="eastAsia"/>
                <w:lang w:eastAsia="zh-CN"/>
              </w:rPr>
              <w:t>、</w:t>
            </w:r>
            <w:r>
              <w:rPr>
                <w:rFonts w:hint="eastAsia"/>
                <w:lang w:val="en-US" w:eastAsia="zh-CN"/>
              </w:rPr>
              <w:t>工程</w:t>
            </w:r>
            <w:r>
              <w:rPr>
                <w:rFonts w:hint="eastAsia"/>
              </w:rPr>
              <w:t>在技术、商务等方面没有实质性满足招标文件要求的（是否实质性满足招标文件要求，由评审委员会根据实质性条款响应情况做出评判；若招标文件未设置实质性条款，不得据此做投标无效处理）；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6</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未按招标文件所提供的样式填写《投标函》；未按招标文件所提供的《政府采购投标及履约承诺函》进行承诺；未按招标文件对投标文件组成的要求提供投标文件；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7</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color w:val="FF0000"/>
                <w:lang w:val="en-US" w:eastAsia="zh-CN"/>
              </w:rPr>
              <w:t>采购标的/服务</w:t>
            </w:r>
            <w:r>
              <w:rPr>
                <w:rFonts w:hint="eastAsia" w:ascii="Times New Roman" w:eastAsia="宋体"/>
                <w:color w:val="FF0000"/>
                <w:lang w:val="en-US" w:eastAsia="zh-CN"/>
              </w:rPr>
              <w:t>清单</w:t>
            </w:r>
            <w:r>
              <w:rPr>
                <w:rFonts w:hint="eastAsia"/>
                <w:color w:val="FF0000"/>
                <w:lang w:val="en-US" w:eastAsia="zh-CN"/>
              </w:rPr>
              <w:t>/报价等任意一类</w:t>
            </w:r>
            <w:r>
              <w:rPr>
                <w:rFonts w:hint="eastAsia" w:ascii="Times New Roman" w:eastAsia="宋体"/>
                <w:color w:val="FF0000"/>
                <w:lang w:val="en-US" w:eastAsia="zh-CN"/>
              </w:rPr>
              <w:t>有缺漏项或响应不全</w:t>
            </w:r>
            <w:r>
              <w:rPr>
                <w:rFonts w:hint="eastAsia"/>
                <w:color w:val="auto"/>
                <w:lang w:val="en-US" w:eastAsia="zh-CN"/>
              </w:rPr>
              <w:t>，</w:t>
            </w:r>
            <w:r>
              <w:rPr>
                <w:rFonts w:hint="eastAsia"/>
              </w:rPr>
              <w:t>或者对招标文件规定的项目需求内容或者需求数量进行修改</w:t>
            </w:r>
            <w:r>
              <w:rPr>
                <w:rFonts w:hint="eastAsia"/>
                <w:szCs w:val="21"/>
              </w:rPr>
              <w:t>，评审委员会判定投标响应不满足采购需求</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8</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投标文件存在列放位置错误，导致属于信息公开情形的没有被公开；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9</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投标文件电子文档</w:t>
            </w:r>
            <w:r>
              <w:rPr>
                <w:rFonts w:hint="eastAsia"/>
                <w:lang w:val="en-US" w:eastAsia="zh-CN"/>
              </w:rPr>
              <w:t>不得</w:t>
            </w:r>
            <w:r>
              <w:rPr>
                <w:rFonts w:hint="eastAsia"/>
              </w:rPr>
              <w:t>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10</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投标文件用不属于本公司的电子密钥或电子营业执照进行加密的；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top"/>
          </w:tcPr>
          <w:p>
            <w:pPr>
              <w:widowControl/>
              <w:jc w:val="center"/>
              <w:textAlignment w:val="top"/>
              <w:rPr>
                <w:rFonts w:ascii="宋体" w:hAnsi="宋体" w:cs="宋体"/>
                <w:szCs w:val="21"/>
              </w:rPr>
            </w:pPr>
            <w:r>
              <w:rPr>
                <w:rFonts w:hint="eastAsia"/>
                <w:szCs w:val="24"/>
                <w:lang w:val="en-US" w:eastAsia="zh-CN"/>
              </w:rPr>
              <w:t>11</w:t>
            </w:r>
          </w:p>
        </w:tc>
        <w:tc>
          <w:tcPr>
            <w:tcW w:w="8278" w:type="dxa"/>
            <w:tcBorders>
              <w:top w:val="single" w:color="000000" w:sz="8" w:space="0"/>
              <w:left w:val="single" w:color="000000" w:sz="8" w:space="0"/>
              <w:bottom w:val="single" w:color="000000" w:sz="8" w:space="0"/>
              <w:right w:val="single" w:color="000000" w:sz="8" w:space="0"/>
            </w:tcBorders>
            <w:vAlign w:val="top"/>
          </w:tcPr>
          <w:p>
            <w:pPr>
              <w:widowControl/>
              <w:jc w:val="left"/>
              <w:textAlignment w:val="top"/>
            </w:pPr>
            <w:r>
              <w:rPr>
                <w:rFonts w:hint="eastAsia" w:ascii="Times New Roman" w:hAnsi="Times New Roman" w:eastAsia="宋体" w:cs="Times New Roman"/>
                <w:szCs w:val="24"/>
              </w:rPr>
              <w:t>如投标供应商存在“不同供应商的董事、股东或其他高级管理人员为同一人的”情形的，应承诺不存在串通投标、恶意串通或者视为串通投标的情形（在《政府采购投标及履约承诺函》中作出声明）；经核实，不同投标供应商的投标文件由同一电子设备编制、加密或者上传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hint="eastAsia" w:ascii="宋体" w:hAnsi="宋体" w:eastAsia="宋体" w:cs="宋体"/>
                <w:szCs w:val="21"/>
                <w:lang w:eastAsia="zh-CN"/>
              </w:rPr>
            </w:pPr>
            <w:r>
              <w:rPr>
                <w:szCs w:val="21"/>
              </w:rPr>
              <w:t>1</w:t>
            </w:r>
            <w:r>
              <w:rPr>
                <w:rFonts w:hint="eastAsia"/>
                <w:szCs w:val="21"/>
                <w:lang w:val="en-US" w:eastAsia="zh-CN"/>
              </w:rPr>
              <w:t>2</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法律、法规、规章、规范性文件规定的其他情形。</w:t>
            </w:r>
          </w:p>
        </w:tc>
      </w:tr>
    </w:tbl>
    <w:p>
      <w:pPr>
        <w:pStyle w:val="37"/>
        <w:jc w:val="center"/>
        <w:outlineLvl w:val="9"/>
        <w:rPr>
          <w:rFonts w:hint="eastAsia" w:ascii="黑体" w:hAnsi="黑体" w:eastAsia="黑体"/>
          <w:sz w:val="40"/>
          <w:szCs w:val="40"/>
        </w:rPr>
      </w:pPr>
    </w:p>
    <w:p>
      <w:pPr>
        <w:pStyle w:val="37"/>
        <w:jc w:val="center"/>
        <w:outlineLvl w:val="1"/>
        <w:rPr>
          <w:rFonts w:hint="eastAsia" w:ascii="黑体" w:hAnsi="黑体" w:eastAsia="黑体"/>
          <w:sz w:val="40"/>
          <w:szCs w:val="40"/>
        </w:rPr>
        <w:sectPr>
          <w:pgSz w:w="11907" w:h="16840"/>
          <w:pgMar w:top="1440" w:right="1417" w:bottom="1440" w:left="1417" w:header="851" w:footer="992" w:gutter="0"/>
          <w:cols w:space="425" w:num="1"/>
          <w:titlePg/>
          <w:docGrid w:linePitch="462" w:charSpace="0"/>
        </w:sectPr>
      </w:pPr>
    </w:p>
    <w:p>
      <w:pPr>
        <w:pStyle w:val="37"/>
        <w:jc w:val="center"/>
        <w:outlineLvl w:val="1"/>
        <w:rPr>
          <w:rFonts w:ascii="黑体" w:hAnsi="黑体" w:eastAsia="黑体"/>
          <w:sz w:val="40"/>
          <w:szCs w:val="40"/>
        </w:rPr>
      </w:pPr>
      <w:r>
        <w:rPr>
          <w:rFonts w:hint="eastAsia" w:ascii="黑体" w:hAnsi="黑体" w:eastAsia="黑体"/>
          <w:sz w:val="40"/>
          <w:szCs w:val="40"/>
        </w:rPr>
        <w:t>评标信息</w:t>
      </w:r>
    </w:p>
    <w:tbl>
      <w:tblPr>
        <w:tblStyle w:val="42"/>
        <w:tblW w:w="9113"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8873"/>
        <w:gridCol w:w="24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blCellSpacing w:w="0" w:type="dxa"/>
          <w:jc w:val="center"/>
        </w:trPr>
        <w:tc>
          <w:tcPr>
            <w:tcW w:w="8873" w:type="dxa"/>
            <w:shd w:val="clear" w:color="auto" w:fill="auto"/>
            <w:vAlign w:val="center"/>
          </w:tcPr>
          <w:p>
            <w:pPr>
              <w:widowControl/>
              <w:jc w:val="left"/>
              <w:rPr>
                <w:b/>
                <w:bCs/>
                <w:sz w:val="24"/>
              </w:rPr>
            </w:pPr>
            <w:r>
              <w:rPr>
                <w:b/>
                <w:bCs/>
              </w:rPr>
              <w:t>评标方法：</w:t>
            </w:r>
            <w:r>
              <w:rPr>
                <w:b/>
                <w:bCs/>
                <w:strike w:val="0"/>
                <w:dstrike w:val="0"/>
              </w:rPr>
              <w:t>综合评分法</w:t>
            </w:r>
          </w:p>
        </w:tc>
        <w:tc>
          <w:tcPr>
            <w:tcW w:w="240" w:type="dxa"/>
            <w:shd w:val="clear" w:color="auto" w:fill="auto"/>
            <w:vAlign w:val="center"/>
          </w:tcPr>
          <w:p>
            <w:pPr>
              <w:jc w:val="right"/>
              <w:rPr>
                <w:rFonts w:ascii="宋体"/>
                <w:b/>
                <w:bCs/>
                <w:sz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113"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rFonts w:hint="eastAsia" w:eastAsia="宋体"/>
                <w:sz w:val="21"/>
                <w:szCs w:val="21"/>
                <w:highlight w:val="yellow"/>
                <w:lang w:eastAsia="zh-CN"/>
              </w:rPr>
            </w:pPr>
            <w:r>
              <w:rPr>
                <w:sz w:val="21"/>
                <w:szCs w:val="21"/>
              </w:rPr>
              <w:t>综合评分法，是指</w:t>
            </w:r>
            <w:r>
              <w:rPr>
                <w:rFonts w:hint="eastAsia" w:ascii="Times New Roman" w:hAnsi="Times New Roman" w:eastAsia="宋体" w:cs="Times New Roman"/>
                <w:kern w:val="0"/>
                <w:sz w:val="21"/>
                <w:szCs w:val="21"/>
                <w:lang w:val="en-US" w:eastAsia="zh-CN" w:bidi="ar-SA"/>
              </w:rPr>
              <w:t>投标文件满足招标文件全部实质性要求</w:t>
            </w:r>
            <w:r>
              <w:rPr>
                <w:sz w:val="21"/>
                <w:szCs w:val="21"/>
              </w:rPr>
              <w:t>，且按照</w:t>
            </w:r>
            <w:r>
              <w:rPr>
                <w:rFonts w:hint="eastAsia" w:ascii="Times New Roman" w:eastAsia="宋体"/>
                <w:sz w:val="21"/>
                <w:szCs w:val="21"/>
                <w:lang w:val="en-US" w:eastAsia="zh-CN"/>
              </w:rPr>
              <w:t>招标文件规定的各项因素进行综合评审，评标总得分排名前列</w:t>
            </w:r>
            <w:r>
              <w:rPr>
                <w:sz w:val="21"/>
                <w:szCs w:val="21"/>
              </w:rPr>
              <w:t>的投标人为中标候选人的评标方法。</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 w:val="21"/>
                <w:szCs w:val="21"/>
              </w:rPr>
            </w:pP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 w:val="21"/>
                <w:szCs w:val="21"/>
              </w:rPr>
            </w:pPr>
            <w:r>
              <w:rPr>
                <w:sz w:val="21"/>
                <w:szCs w:val="21"/>
              </w:rPr>
              <w:t>价格分计算方法：</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采用低价优先法计算，即满足招标文件要求且投标价格最低的投标报价为评标基准价，其价格分为满分。其他投标人的价格分统一按照下列公式计算：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 xml:space="preserve">投标报价得分=(评标基准价／投标报价)×100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 xml:space="preserve">评标总得分＝F1×A1＋F2×A2＋……＋Fn×An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 xml:space="preserve">F1、F2……Fn分别为各项评审因素的得分；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 xml:space="preserve">A1、A2、……An 分别为各项评审因素所占的权重(A1＋A2＋……＋An＝1)。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评标过程中，不得去掉报价中的最高报价和最低报价。</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因落实政府采购政策进行价格调整的，以调整后的价格计算评标基准价和投标报价。</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0"/>
                <w:sz w:val="24"/>
                <w:szCs w:val="24"/>
                <w:lang w:val="en-US" w:eastAsia="zh-CN" w:bidi="ar-SA"/>
              </w:rPr>
            </w:pPr>
          </w:p>
        </w:tc>
      </w:tr>
    </w:tbl>
    <w:p>
      <w:pPr>
        <w:rPr>
          <w:vanish/>
        </w:rPr>
      </w:pPr>
    </w:p>
    <w:tbl>
      <w:tblPr>
        <w:tblStyle w:val="42"/>
        <w:tblpPr w:leftFromText="180" w:rightFromText="180" w:vertAnchor="text" w:horzAnchor="page" w:tblpX="1509" w:tblpY="228"/>
        <w:tblOverlap w:val="never"/>
        <w:tblW w:w="9049"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0" w:type="dxa"/>
          <w:left w:w="108" w:type="dxa"/>
          <w:bottom w:w="20" w:type="dxa"/>
          <w:right w:w="108" w:type="dxa"/>
        </w:tblCellMar>
      </w:tblPr>
      <w:tblGrid>
        <w:gridCol w:w="685"/>
        <w:gridCol w:w="548"/>
        <w:gridCol w:w="2264"/>
        <w:gridCol w:w="696"/>
        <w:gridCol w:w="4856"/>
        <w:tblGridChange w:id="0">
          <w:tblGrid>
            <w:gridCol w:w="685"/>
            <w:gridCol w:w="548"/>
            <w:gridCol w:w="2264"/>
            <w:gridCol w:w="696"/>
            <w:gridCol w:w="485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tcBorders>
              <w:tl2br w:val="nil"/>
              <w:tr2bl w:val="nil"/>
            </w:tcBorders>
            <w:shd w:val="clear" w:color="auto" w:fill="E6EFFA"/>
            <w:vAlign w:val="center"/>
          </w:tcPr>
          <w:p>
            <w:pPr>
              <w:wordWrap w:val="0"/>
              <w:adjustRightInd w:val="0"/>
              <w:snapToGrid w:val="0"/>
              <w:spacing w:line="320" w:lineRule="exact"/>
              <w:jc w:val="center"/>
              <w:rPr>
                <w:rFonts w:ascii="宋体" w:hAnsi="宋体" w:cs="宋体"/>
                <w:b/>
                <w:bCs/>
                <w:szCs w:val="21"/>
              </w:rPr>
            </w:pPr>
            <w:r>
              <w:rPr>
                <w:rFonts w:hint="eastAsia" w:ascii="宋体" w:hAnsi="宋体" w:cs="宋体"/>
                <w:b/>
                <w:bCs/>
                <w:szCs w:val="21"/>
              </w:rPr>
              <w:t>序号</w:t>
            </w:r>
          </w:p>
        </w:tc>
        <w:tc>
          <w:tcPr>
            <w:tcW w:w="3508" w:type="dxa"/>
            <w:gridSpan w:val="3"/>
            <w:tcBorders>
              <w:tl2br w:val="nil"/>
              <w:tr2bl w:val="nil"/>
            </w:tcBorders>
            <w:shd w:val="clear" w:color="auto" w:fill="E6EFFA"/>
            <w:vAlign w:val="center"/>
          </w:tcPr>
          <w:p>
            <w:pPr>
              <w:wordWrap w:val="0"/>
              <w:adjustRightInd w:val="0"/>
              <w:snapToGrid w:val="0"/>
              <w:spacing w:line="320" w:lineRule="exact"/>
              <w:jc w:val="center"/>
              <w:rPr>
                <w:rFonts w:ascii="宋体" w:hAnsi="宋体" w:cs="宋体"/>
                <w:b/>
                <w:bCs/>
                <w:szCs w:val="21"/>
              </w:rPr>
            </w:pPr>
            <w:r>
              <w:rPr>
                <w:rFonts w:hint="eastAsia" w:ascii="宋体" w:hAnsi="宋体" w:cs="宋体"/>
                <w:b/>
                <w:bCs/>
                <w:szCs w:val="21"/>
              </w:rPr>
              <w:t>评分项</w:t>
            </w:r>
          </w:p>
        </w:tc>
        <w:tc>
          <w:tcPr>
            <w:tcW w:w="4856" w:type="dxa"/>
            <w:tcBorders>
              <w:tl2br w:val="nil"/>
              <w:tr2bl w:val="nil"/>
            </w:tcBorders>
            <w:shd w:val="clear" w:color="auto" w:fill="E6EFFA"/>
            <w:vAlign w:val="center"/>
          </w:tcPr>
          <w:p>
            <w:pPr>
              <w:wordWrap w:val="0"/>
              <w:adjustRightInd w:val="0"/>
              <w:snapToGrid w:val="0"/>
              <w:spacing w:line="320" w:lineRule="exact"/>
              <w:jc w:val="center"/>
              <w:rPr>
                <w:rFonts w:ascii="宋体" w:hAnsi="宋体" w:cs="宋体"/>
                <w:b/>
                <w:bCs/>
                <w:szCs w:val="21"/>
              </w:rPr>
            </w:pPr>
            <w:r>
              <w:rPr>
                <w:rFonts w:hint="eastAsia" w:ascii="宋体" w:hAnsi="宋体" w:cs="宋体"/>
                <w:b/>
                <w:bCs/>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restart"/>
            <w:tcBorders>
              <w:tl2br w:val="nil"/>
              <w:tr2bl w:val="nil"/>
            </w:tcBorders>
          </w:tcPr>
          <w:p>
            <w:pPr>
              <w:wordWrap w:val="0"/>
              <w:adjustRightInd w:val="0"/>
              <w:snapToGrid w:val="0"/>
              <w:spacing w:line="320" w:lineRule="exact"/>
              <w:jc w:val="center"/>
              <w:rPr>
                <w:rFonts w:ascii="宋体" w:hAnsi="宋体" w:cs="宋体"/>
                <w:b/>
                <w:bCs/>
                <w:color w:val="0000FF"/>
                <w:szCs w:val="21"/>
              </w:rPr>
            </w:pPr>
            <w:r>
              <w:rPr>
                <w:rFonts w:hint="eastAsia" w:ascii="宋体" w:hAnsi="宋体" w:cs="宋体"/>
                <w:b/>
                <w:bCs/>
                <w:color w:val="0000FF"/>
                <w:szCs w:val="21"/>
              </w:rPr>
              <w:t>1</w:t>
            </w:r>
          </w:p>
        </w:tc>
        <w:tc>
          <w:tcPr>
            <w:tcW w:w="3508" w:type="dxa"/>
            <w:gridSpan w:val="3"/>
            <w:tcBorders>
              <w:tl2br w:val="nil"/>
              <w:tr2bl w:val="nil"/>
            </w:tcBorders>
          </w:tcPr>
          <w:p>
            <w:pPr>
              <w:wordWrap w:val="0"/>
              <w:adjustRightInd w:val="0"/>
              <w:snapToGrid w:val="0"/>
              <w:spacing w:line="320" w:lineRule="exact"/>
              <w:jc w:val="center"/>
              <w:rPr>
                <w:rFonts w:ascii="宋体" w:hAnsi="宋体" w:cs="宋体"/>
                <w:b/>
                <w:bCs/>
                <w:color w:val="0000FF"/>
                <w:szCs w:val="21"/>
              </w:rPr>
            </w:pPr>
            <w:r>
              <w:rPr>
                <w:rFonts w:hint="eastAsia" w:ascii="宋体" w:hAnsi="宋体" w:cs="宋体"/>
                <w:b/>
                <w:bCs/>
                <w:color w:val="0000FF"/>
                <w:szCs w:val="21"/>
              </w:rPr>
              <w:t>价格</w:t>
            </w:r>
          </w:p>
        </w:tc>
        <w:tc>
          <w:tcPr>
            <w:tcW w:w="4856" w:type="dxa"/>
            <w:tcBorders>
              <w:tl2br w:val="nil"/>
              <w:tr2bl w:val="nil"/>
            </w:tcBorders>
          </w:tcPr>
          <w:p>
            <w:pPr>
              <w:wordWrap w:val="0"/>
              <w:adjustRightInd w:val="0"/>
              <w:snapToGrid w:val="0"/>
              <w:spacing w:line="320" w:lineRule="exact"/>
              <w:jc w:val="center"/>
              <w:rPr>
                <w:rFonts w:hint="default" w:ascii="宋体" w:hAnsi="宋体" w:eastAsia="宋体" w:cs="宋体"/>
                <w:b/>
                <w:bCs/>
                <w:color w:val="0000FF"/>
                <w:szCs w:val="21"/>
                <w:lang w:val="en-US" w:eastAsia="zh-CN"/>
              </w:rPr>
            </w:pPr>
            <w:r>
              <w:rPr>
                <w:rFonts w:hint="eastAsia" w:ascii="宋体" w:hAnsi="宋体" w:cs="宋体"/>
                <w:b/>
                <w:bCs/>
                <w:color w:val="0000FF"/>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pPr>
              <w:adjustRightInd w:val="0"/>
              <w:snapToGrid w:val="0"/>
              <w:spacing w:line="320" w:lineRule="exact"/>
              <w:rPr>
                <w:rFonts w:ascii="宋体" w:hAnsi="宋体" w:cs="宋体"/>
                <w:b/>
                <w:bCs/>
                <w:color w:val="0000FF"/>
                <w:szCs w:val="21"/>
              </w:rPr>
            </w:pPr>
          </w:p>
        </w:tc>
        <w:tc>
          <w:tcPr>
            <w:tcW w:w="8364" w:type="dxa"/>
            <w:gridSpan w:val="4"/>
            <w:tcBorders>
              <w:tl2br w:val="nil"/>
              <w:tr2bl w:val="nil"/>
            </w:tcBorders>
          </w:tcPr>
          <w:p>
            <w:pPr>
              <w:wordWrap w:val="0"/>
              <w:adjustRightInd w:val="0"/>
              <w:snapToGrid w:val="0"/>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90" w:hRule="atLeast"/>
          <w:tblCellSpacing w:w="0" w:type="dxa"/>
        </w:trPr>
        <w:tc>
          <w:tcPr>
            <w:tcW w:w="685" w:type="dxa"/>
            <w:vMerge w:val="restart"/>
            <w:tcBorders>
              <w:tl2br w:val="nil"/>
              <w:tr2bl w:val="nil"/>
            </w:tcBorders>
          </w:tcPr>
          <w:p>
            <w:pPr>
              <w:wordWrap w:val="0"/>
              <w:adjustRightInd w:val="0"/>
              <w:snapToGrid w:val="0"/>
              <w:spacing w:line="320" w:lineRule="exact"/>
              <w:jc w:val="center"/>
              <w:rPr>
                <w:rFonts w:ascii="宋体" w:hAnsi="宋体" w:cs="宋体"/>
                <w:b/>
                <w:bCs/>
                <w:color w:val="0000FF"/>
                <w:szCs w:val="21"/>
              </w:rPr>
            </w:pPr>
            <w:r>
              <w:rPr>
                <w:rFonts w:hint="eastAsia" w:ascii="宋体" w:hAnsi="宋体" w:cs="宋体"/>
                <w:b/>
                <w:bCs/>
                <w:color w:val="0000FF"/>
                <w:szCs w:val="21"/>
              </w:rPr>
              <w:t>2</w:t>
            </w:r>
          </w:p>
        </w:tc>
        <w:tc>
          <w:tcPr>
            <w:tcW w:w="3508" w:type="dxa"/>
            <w:gridSpan w:val="3"/>
            <w:tcBorders>
              <w:tl2br w:val="nil"/>
              <w:tr2bl w:val="nil"/>
            </w:tcBorders>
          </w:tcPr>
          <w:p>
            <w:pPr>
              <w:wordWrap w:val="0"/>
              <w:adjustRightInd w:val="0"/>
              <w:snapToGrid w:val="0"/>
              <w:spacing w:line="320" w:lineRule="exact"/>
              <w:jc w:val="center"/>
              <w:rPr>
                <w:rFonts w:ascii="宋体" w:hAnsi="宋体" w:cs="宋体"/>
                <w:b/>
                <w:bCs/>
                <w:color w:val="0000FF"/>
                <w:szCs w:val="21"/>
              </w:rPr>
            </w:pPr>
            <w:r>
              <w:rPr>
                <w:rFonts w:hint="eastAsia" w:ascii="宋体" w:hAnsi="宋体" w:cs="宋体"/>
                <w:b/>
                <w:bCs/>
                <w:color w:val="0000FF"/>
                <w:szCs w:val="21"/>
              </w:rPr>
              <w:t>技术部分</w:t>
            </w:r>
          </w:p>
        </w:tc>
        <w:tc>
          <w:tcPr>
            <w:tcW w:w="4856" w:type="dxa"/>
            <w:tcBorders>
              <w:tl2br w:val="nil"/>
              <w:tr2bl w:val="nil"/>
            </w:tcBorders>
          </w:tcPr>
          <w:p>
            <w:pPr>
              <w:wordWrap w:val="0"/>
              <w:adjustRightInd w:val="0"/>
              <w:snapToGrid w:val="0"/>
              <w:spacing w:line="320" w:lineRule="exact"/>
              <w:jc w:val="center"/>
              <w:rPr>
                <w:rFonts w:hint="default" w:ascii="宋体" w:hAnsi="宋体" w:eastAsia="宋体" w:cs="宋体"/>
                <w:b/>
                <w:bCs/>
                <w:color w:val="0000FF"/>
                <w:szCs w:val="21"/>
                <w:lang w:val="en-US" w:eastAsia="zh-CN"/>
              </w:rPr>
            </w:pPr>
            <w:r>
              <w:rPr>
                <w:rFonts w:hint="eastAsia" w:ascii="宋体" w:hAnsi="宋体" w:cs="宋体"/>
                <w:b/>
                <w:bCs/>
                <w:color w:val="0000FF"/>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pPr>
              <w:adjustRightInd w:val="0"/>
              <w:snapToGrid w:val="0"/>
              <w:spacing w:line="320" w:lineRule="exact"/>
              <w:rPr>
                <w:rFonts w:ascii="宋体" w:hAnsi="宋体" w:cs="宋体"/>
                <w:b/>
                <w:bCs/>
                <w:color w:val="0000FF"/>
                <w:szCs w:val="21"/>
              </w:rPr>
            </w:pPr>
          </w:p>
        </w:tc>
        <w:tc>
          <w:tcPr>
            <w:tcW w:w="8364" w:type="dxa"/>
            <w:gridSpan w:val="4"/>
            <w:tcBorders>
              <w:tl2br w:val="nil"/>
              <w:tr2bl w:val="nil"/>
            </w:tcBorders>
          </w:tcPr>
          <w:p>
            <w:pPr>
              <w:wordWrap w:val="0"/>
              <w:adjustRightInd w:val="0"/>
              <w:snapToGrid w:val="0"/>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shd w:val="clear" w:color="auto" w:fill="E6EFFA"/>
            <w:vAlign w:val="center"/>
          </w:tcPr>
          <w:p>
            <w:pPr>
              <w:adjustRightInd w:val="0"/>
              <w:snapToGrid w:val="0"/>
              <w:spacing w:line="320" w:lineRule="exact"/>
              <w:rPr>
                <w:rFonts w:ascii="宋体" w:hAnsi="宋体" w:cs="宋体"/>
                <w:b/>
                <w:bCs/>
                <w:color w:val="0000FF"/>
                <w:szCs w:val="21"/>
              </w:rPr>
            </w:pPr>
          </w:p>
        </w:tc>
        <w:tc>
          <w:tcPr>
            <w:tcW w:w="548" w:type="dxa"/>
            <w:tcBorders>
              <w:tl2br w:val="nil"/>
              <w:tr2bl w:val="nil"/>
            </w:tcBorders>
            <w:shd w:val="clear" w:color="auto" w:fill="E6EFFA"/>
            <w:vAlign w:val="center"/>
          </w:tcPr>
          <w:p>
            <w:pPr>
              <w:wordWrap w:val="0"/>
              <w:adjustRightInd w:val="0"/>
              <w:snapToGrid w:val="0"/>
              <w:spacing w:line="320" w:lineRule="exact"/>
              <w:jc w:val="center"/>
              <w:rPr>
                <w:rFonts w:ascii="宋体" w:hAnsi="宋体" w:cs="宋体"/>
                <w:szCs w:val="21"/>
              </w:rPr>
            </w:pPr>
            <w:r>
              <w:rPr>
                <w:rFonts w:hint="eastAsia" w:ascii="宋体" w:hAnsi="宋体" w:cs="宋体"/>
                <w:szCs w:val="21"/>
              </w:rPr>
              <w:t>序号</w:t>
            </w:r>
          </w:p>
        </w:tc>
        <w:tc>
          <w:tcPr>
            <w:tcW w:w="2264" w:type="dxa"/>
            <w:tcBorders>
              <w:tl2br w:val="nil"/>
              <w:tr2bl w:val="nil"/>
            </w:tcBorders>
            <w:shd w:val="clear" w:color="auto" w:fill="E6EFFA"/>
            <w:vAlign w:val="center"/>
          </w:tcPr>
          <w:p>
            <w:pPr>
              <w:wordWrap w:val="0"/>
              <w:adjustRightInd w:val="0"/>
              <w:snapToGrid w:val="0"/>
              <w:spacing w:line="320" w:lineRule="exact"/>
              <w:jc w:val="center"/>
              <w:rPr>
                <w:rFonts w:ascii="宋体" w:hAnsi="宋体" w:cs="宋体"/>
                <w:szCs w:val="21"/>
              </w:rPr>
            </w:pPr>
            <w:r>
              <w:rPr>
                <w:rFonts w:hint="eastAsia" w:ascii="宋体" w:hAnsi="宋体" w:cs="宋体"/>
                <w:szCs w:val="21"/>
              </w:rPr>
              <w:t>评分因素</w:t>
            </w:r>
          </w:p>
        </w:tc>
        <w:tc>
          <w:tcPr>
            <w:tcW w:w="696" w:type="dxa"/>
            <w:tcBorders>
              <w:tl2br w:val="nil"/>
              <w:tr2bl w:val="nil"/>
            </w:tcBorders>
            <w:shd w:val="clear" w:color="auto" w:fill="E6EFFA"/>
            <w:vAlign w:val="center"/>
          </w:tcPr>
          <w:p>
            <w:pPr>
              <w:wordWrap w:val="0"/>
              <w:adjustRightInd w:val="0"/>
              <w:snapToGrid w:val="0"/>
              <w:spacing w:line="320" w:lineRule="exact"/>
              <w:jc w:val="center"/>
              <w:rPr>
                <w:rFonts w:ascii="宋体" w:hAnsi="宋体" w:cs="宋体"/>
                <w:szCs w:val="21"/>
              </w:rPr>
            </w:pPr>
            <w:r>
              <w:rPr>
                <w:rFonts w:hint="eastAsia" w:ascii="宋体" w:hAnsi="宋体" w:cs="宋体"/>
                <w:szCs w:val="21"/>
              </w:rPr>
              <w:t>权重(%)</w:t>
            </w:r>
          </w:p>
        </w:tc>
        <w:tc>
          <w:tcPr>
            <w:tcW w:w="4856" w:type="dxa"/>
            <w:tcBorders>
              <w:tl2br w:val="nil"/>
              <w:tr2bl w:val="nil"/>
            </w:tcBorders>
            <w:shd w:val="clear" w:color="auto" w:fill="E6EFFA"/>
            <w:vAlign w:val="center"/>
          </w:tcPr>
          <w:p>
            <w:pPr>
              <w:wordWrap w:val="0"/>
              <w:adjustRightInd w:val="0"/>
              <w:snapToGrid w:val="0"/>
              <w:spacing w:line="320" w:lineRule="exact"/>
              <w:jc w:val="center"/>
              <w:rPr>
                <w:rFonts w:ascii="宋体" w:hAnsi="宋体" w:cs="宋体"/>
                <w:szCs w:val="21"/>
              </w:rPr>
            </w:pPr>
            <w:r>
              <w:rPr>
                <w:rFonts w:hint="eastAsia" w:ascii="宋体" w:hAnsi="宋体" w:cs="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pPr>
              <w:adjustRightInd w:val="0"/>
              <w:snapToGrid w:val="0"/>
              <w:spacing w:line="320" w:lineRule="exact"/>
              <w:rPr>
                <w:rFonts w:ascii="宋体" w:hAnsi="宋体" w:cs="宋体"/>
                <w:b/>
                <w:bCs/>
                <w:color w:val="0000FF"/>
                <w:szCs w:val="21"/>
              </w:rPr>
            </w:pPr>
          </w:p>
        </w:tc>
        <w:tc>
          <w:tcPr>
            <w:tcW w:w="548" w:type="dxa"/>
            <w:tcBorders>
              <w:tl2br w:val="nil"/>
              <w:tr2bl w:val="nil"/>
            </w:tcBorders>
            <w:vAlign w:val="center"/>
          </w:tcPr>
          <w:p>
            <w:pPr>
              <w:wordWrap w:val="0"/>
              <w:adjustRightInd w:val="0"/>
              <w:snapToGrid w:val="0"/>
              <w:spacing w:line="320" w:lineRule="exact"/>
              <w:jc w:val="center"/>
              <w:rPr>
                <w:rFonts w:ascii="宋体" w:hAnsi="宋体" w:cs="宋体"/>
                <w:szCs w:val="21"/>
              </w:rPr>
            </w:pPr>
            <w:r>
              <w:rPr>
                <w:rFonts w:hint="eastAsia" w:ascii="宋体" w:hAnsi="宋体" w:cs="宋体"/>
                <w:szCs w:val="21"/>
              </w:rPr>
              <w:t>1</w:t>
            </w:r>
          </w:p>
        </w:tc>
        <w:tc>
          <w:tcPr>
            <w:tcW w:w="2264" w:type="dxa"/>
            <w:tcBorders>
              <w:tl2br w:val="nil"/>
              <w:tr2bl w:val="nil"/>
            </w:tcBorders>
            <w:vAlign w:val="center"/>
          </w:tcPr>
          <w:p>
            <w:pPr>
              <w:wordWrap w:val="0"/>
              <w:adjustRightInd w:val="0"/>
              <w:snapToGrid w:val="0"/>
              <w:spacing w:line="320" w:lineRule="exact"/>
              <w:jc w:val="center"/>
              <w:rPr>
                <w:rFonts w:ascii="宋体" w:hAnsi="宋体" w:cs="宋体"/>
                <w:szCs w:val="21"/>
              </w:rPr>
            </w:pPr>
            <w:r>
              <w:rPr>
                <w:rFonts w:hint="eastAsia"/>
                <w:szCs w:val="21"/>
              </w:rPr>
              <w:t>项目</w:t>
            </w:r>
            <w:r>
              <w:rPr>
                <w:rFonts w:hint="eastAsia"/>
                <w:szCs w:val="21"/>
                <w:lang w:val="en-US" w:eastAsia="zh-CN"/>
              </w:rPr>
              <w:t>施工</w:t>
            </w:r>
            <w:r>
              <w:rPr>
                <w:rFonts w:hint="eastAsia"/>
                <w:szCs w:val="21"/>
              </w:rPr>
              <w:t>方案</w:t>
            </w:r>
          </w:p>
        </w:tc>
        <w:tc>
          <w:tcPr>
            <w:tcW w:w="696" w:type="dxa"/>
            <w:tcBorders>
              <w:tl2br w:val="nil"/>
              <w:tr2bl w:val="nil"/>
            </w:tcBorders>
            <w:vAlign w:val="center"/>
          </w:tcPr>
          <w:p>
            <w:pPr>
              <w:wordWrap w:val="0"/>
              <w:adjustRightInd w:val="0"/>
              <w:snapToGrid w:val="0"/>
              <w:spacing w:line="320" w:lineRule="exact"/>
              <w:jc w:val="center"/>
              <w:rPr>
                <w:rFonts w:hint="default" w:ascii="宋体" w:hAnsi="宋体" w:eastAsia="宋体" w:cs="宋体"/>
                <w:szCs w:val="21"/>
                <w:lang w:val="en-US" w:eastAsia="zh-CN"/>
              </w:rPr>
            </w:pPr>
            <w:r>
              <w:rPr>
                <w:rFonts w:hint="eastAsia" w:ascii="宋体" w:hAnsi="宋体" w:cs="宋体"/>
                <w:szCs w:val="21"/>
                <w:lang w:val="en-US" w:eastAsia="zh-CN"/>
              </w:rPr>
              <w:t>15</w:t>
            </w:r>
          </w:p>
        </w:tc>
        <w:tc>
          <w:tcPr>
            <w:tcW w:w="4856" w:type="dxa"/>
            <w:tcBorders>
              <w:tl2br w:val="nil"/>
              <w:tr2bl w:val="nil"/>
            </w:tcBorders>
          </w:tcPr>
          <w:p>
            <w:pPr>
              <w:jc w:val="left"/>
              <w:rPr>
                <w:rFonts w:ascii="宋体" w:hAnsi="宋体"/>
                <w:szCs w:val="21"/>
              </w:rPr>
            </w:pPr>
            <w:r>
              <w:rPr>
                <w:rFonts w:hint="eastAsia" w:ascii="宋体" w:hAnsi="宋体"/>
                <w:szCs w:val="21"/>
              </w:rPr>
              <w:t>（一）项目服务方案</w:t>
            </w:r>
          </w:p>
          <w:p>
            <w:pPr>
              <w:wordWrap/>
              <w:jc w:val="left"/>
              <w:rPr>
                <w:rFonts w:hint="eastAsia" w:ascii="宋体" w:hAnsi="宋体"/>
                <w:szCs w:val="21"/>
              </w:rPr>
            </w:pPr>
            <w:r>
              <w:rPr>
                <w:rFonts w:hint="eastAsia" w:ascii="宋体" w:hAnsi="宋体"/>
                <w:szCs w:val="21"/>
              </w:rPr>
              <w:t>投标人根据本项目特点及需求提供实施方案，提供内容包含但不限于：</w:t>
            </w:r>
          </w:p>
          <w:p>
            <w:pPr>
              <w:wordWrap/>
              <w:jc w:val="left"/>
              <w:rPr>
                <w:rFonts w:hint="eastAsia" w:ascii="宋体" w:hAnsi="宋体"/>
                <w:szCs w:val="21"/>
              </w:rPr>
            </w:pPr>
            <w:r>
              <w:rPr>
                <w:rFonts w:hint="eastAsia" w:ascii="宋体" w:hAnsi="宋体"/>
                <w:szCs w:val="21"/>
              </w:rPr>
              <w:t>1. 市体育中心周边无障碍环境提升工程方案；</w:t>
            </w:r>
          </w:p>
          <w:p>
            <w:pPr>
              <w:wordWrap/>
              <w:ind w:firstLine="0" w:firstLineChars="0"/>
              <w:jc w:val="left"/>
              <w:rPr>
                <w:rFonts w:hint="eastAsia" w:ascii="宋体" w:hAnsi="宋体"/>
                <w:szCs w:val="21"/>
              </w:rPr>
            </w:pPr>
            <w:r>
              <w:rPr>
                <w:rFonts w:hint="eastAsia" w:ascii="宋体" w:hAnsi="宋体"/>
                <w:szCs w:val="21"/>
              </w:rPr>
              <w:t>2. 市体育中心周边无障碍环境提升工程大纲概况；</w:t>
            </w:r>
          </w:p>
          <w:p>
            <w:pPr>
              <w:wordWrap/>
              <w:ind w:firstLine="0" w:firstLineChars="0"/>
              <w:jc w:val="left"/>
              <w:rPr>
                <w:rFonts w:hint="eastAsia" w:ascii="宋体" w:hAnsi="宋体"/>
                <w:szCs w:val="21"/>
              </w:rPr>
            </w:pPr>
          </w:p>
          <w:p>
            <w:pPr>
              <w:numPr>
                <w:ilvl w:val="255"/>
                <w:numId w:val="0"/>
              </w:numPr>
              <w:spacing w:after="120"/>
              <w:rPr>
                <w:rFonts w:ascii="仿宋" w:hAnsi="仿宋" w:eastAsia="仿宋"/>
                <w:szCs w:val="21"/>
              </w:rPr>
            </w:pPr>
            <w:r>
              <w:rPr>
                <w:rFonts w:hint="eastAsia" w:ascii="宋体" w:hAnsi="宋体" w:eastAsia="宋体"/>
                <w:szCs w:val="21"/>
                <w:u w:val="none"/>
              </w:rPr>
              <w:t>满足</w:t>
            </w:r>
            <w:r>
              <w:rPr>
                <w:rFonts w:hint="eastAsia" w:ascii="宋体" w:hAnsi="宋体" w:eastAsia="宋体"/>
                <w:szCs w:val="21"/>
                <w:u w:val="none"/>
                <w:lang w:val="en-US" w:eastAsia="zh-CN"/>
              </w:rPr>
              <w:t>两</w:t>
            </w:r>
            <w:r>
              <w:rPr>
                <w:rFonts w:hint="eastAsia" w:ascii="宋体" w:hAnsi="宋体" w:eastAsia="宋体"/>
                <w:szCs w:val="21"/>
                <w:u w:val="none"/>
              </w:rPr>
              <w:t>点得40分，满足</w:t>
            </w:r>
            <w:r>
              <w:rPr>
                <w:rFonts w:hint="eastAsia" w:ascii="宋体" w:hAnsi="宋体"/>
                <w:szCs w:val="21"/>
                <w:u w:val="none"/>
                <w:lang w:val="en-US" w:eastAsia="zh-CN"/>
              </w:rPr>
              <w:t>任意</w:t>
            </w:r>
            <w:r>
              <w:rPr>
                <w:rFonts w:hint="eastAsia" w:ascii="宋体" w:hAnsi="宋体" w:eastAsia="宋体"/>
                <w:szCs w:val="21"/>
                <w:u w:val="none"/>
                <w:lang w:val="en-US" w:eastAsia="zh-CN"/>
              </w:rPr>
              <w:t>一</w:t>
            </w:r>
            <w:r>
              <w:rPr>
                <w:rFonts w:hint="eastAsia" w:ascii="宋体" w:hAnsi="宋体" w:eastAsia="宋体"/>
                <w:szCs w:val="21"/>
                <w:u w:val="none"/>
              </w:rPr>
              <w:t>点得20分，未满足不得分。 在此基础上，专家根据各供应商的具体响应内容按照量化的评审因素指标进一步评审；</w:t>
            </w:r>
          </w:p>
          <w:p>
            <w:pPr>
              <w:jc w:val="left"/>
              <w:rPr>
                <w:rFonts w:ascii="宋体" w:hAnsi="宋体"/>
                <w:szCs w:val="21"/>
                <w:u w:val="none"/>
              </w:rPr>
            </w:pPr>
            <w:r>
              <w:rPr>
                <w:rFonts w:hint="eastAsia" w:ascii="宋体" w:hAnsi="宋体"/>
                <w:b/>
                <w:bCs/>
                <w:szCs w:val="21"/>
                <w:u w:val="none"/>
              </w:rPr>
              <w:t>优评分标准</w:t>
            </w:r>
            <w:r>
              <w:rPr>
                <w:rFonts w:hint="eastAsia" w:ascii="宋体" w:hAnsi="宋体"/>
                <w:szCs w:val="21"/>
                <w:u w:val="none"/>
              </w:rPr>
              <w:t>：对项目理解准确全面，对评分内容有针对性详细分析，实施方案详细且贴切项目实际，全部满足要求，</w:t>
            </w:r>
            <w:r>
              <w:rPr>
                <w:rFonts w:hint="eastAsia" w:ascii="宋体" w:hAnsi="宋体"/>
                <w:szCs w:val="21"/>
                <w:u w:val="none"/>
                <w:lang w:val="en-US" w:eastAsia="zh-CN"/>
              </w:rPr>
              <w:t>加60</w:t>
            </w:r>
            <w:r>
              <w:rPr>
                <w:rFonts w:hint="eastAsia" w:ascii="宋体" w:hAnsi="宋体"/>
                <w:szCs w:val="21"/>
                <w:u w:val="none"/>
              </w:rPr>
              <w:t>分；</w:t>
            </w:r>
          </w:p>
          <w:p>
            <w:pPr>
              <w:jc w:val="left"/>
              <w:rPr>
                <w:rFonts w:ascii="宋体" w:hAnsi="宋体"/>
                <w:szCs w:val="21"/>
                <w:u w:val="none"/>
              </w:rPr>
            </w:pPr>
            <w:r>
              <w:rPr>
                <w:rFonts w:hint="eastAsia" w:ascii="宋体" w:hAnsi="宋体"/>
                <w:b/>
                <w:bCs/>
                <w:szCs w:val="21"/>
                <w:u w:val="none"/>
              </w:rPr>
              <w:t>良评分标准</w:t>
            </w:r>
            <w:r>
              <w:rPr>
                <w:rFonts w:hint="eastAsia" w:ascii="宋体" w:hAnsi="宋体"/>
                <w:szCs w:val="21"/>
                <w:u w:val="none"/>
              </w:rPr>
              <w:t>：对项目理解不准确但对评分内容分析全面或对项目理解准确但对考察内容分析不全面，实施方案详细但针对性不强</w:t>
            </w:r>
            <w:r>
              <w:rPr>
                <w:rFonts w:hint="eastAsia" w:ascii="宋体" w:hAnsi="宋体"/>
                <w:szCs w:val="21"/>
                <w:u w:val="none"/>
                <w:lang w:val="en-US" w:eastAsia="zh-CN"/>
              </w:rPr>
              <w:t>得</w:t>
            </w:r>
            <w:r>
              <w:rPr>
                <w:rFonts w:hint="eastAsia" w:ascii="宋体" w:hAnsi="宋体"/>
                <w:szCs w:val="21"/>
                <w:u w:val="none"/>
              </w:rPr>
              <w:t>，</w:t>
            </w:r>
            <w:r>
              <w:rPr>
                <w:rFonts w:hint="eastAsia" w:ascii="宋体" w:hAnsi="宋体"/>
                <w:szCs w:val="21"/>
                <w:u w:val="none"/>
                <w:lang w:val="en-US" w:eastAsia="zh-CN"/>
              </w:rPr>
              <w:t>加40</w:t>
            </w:r>
            <w:r>
              <w:rPr>
                <w:rFonts w:hint="eastAsia" w:ascii="宋体" w:hAnsi="宋体"/>
                <w:szCs w:val="21"/>
                <w:u w:val="none"/>
              </w:rPr>
              <w:t>分；</w:t>
            </w:r>
          </w:p>
          <w:p>
            <w:pPr>
              <w:jc w:val="left"/>
              <w:rPr>
                <w:rFonts w:ascii="宋体" w:hAnsi="宋体"/>
                <w:szCs w:val="21"/>
                <w:u w:val="none"/>
              </w:rPr>
            </w:pPr>
            <w:r>
              <w:rPr>
                <w:rFonts w:hint="eastAsia" w:ascii="宋体" w:hAnsi="宋体"/>
                <w:b/>
                <w:bCs/>
                <w:szCs w:val="21"/>
                <w:u w:val="none"/>
              </w:rPr>
              <w:t>中评分标准</w:t>
            </w:r>
            <w:r>
              <w:rPr>
                <w:rFonts w:hint="eastAsia" w:ascii="宋体" w:hAnsi="宋体"/>
                <w:szCs w:val="21"/>
                <w:u w:val="none"/>
              </w:rPr>
              <w:t>：对项目理解不准确且对考察内容分析不全面，实施方案简要且针对性不强的，</w:t>
            </w:r>
            <w:r>
              <w:rPr>
                <w:rFonts w:hint="eastAsia" w:ascii="宋体" w:hAnsi="宋体"/>
                <w:szCs w:val="21"/>
                <w:u w:val="none"/>
                <w:lang w:val="en-US" w:eastAsia="zh-CN"/>
              </w:rPr>
              <w:t>加20</w:t>
            </w:r>
            <w:r>
              <w:rPr>
                <w:rFonts w:hint="eastAsia" w:ascii="宋体" w:hAnsi="宋体"/>
                <w:szCs w:val="21"/>
                <w:u w:val="none"/>
              </w:rPr>
              <w:t>分；</w:t>
            </w:r>
          </w:p>
          <w:p>
            <w:pPr>
              <w:wordWrap/>
              <w:adjustRightInd/>
              <w:snapToGrid/>
              <w:spacing w:line="240" w:lineRule="auto"/>
              <w:jc w:val="left"/>
              <w:rPr>
                <w:rFonts w:ascii="宋体" w:hAnsi="宋体" w:cs="宋体"/>
                <w:szCs w:val="21"/>
              </w:rPr>
            </w:pPr>
            <w:r>
              <w:rPr>
                <w:rFonts w:hint="eastAsia" w:ascii="宋体" w:hAnsi="宋体"/>
                <w:b/>
                <w:bCs/>
                <w:szCs w:val="21"/>
                <w:u w:val="none"/>
              </w:rPr>
              <w:t>差评分标准</w:t>
            </w:r>
            <w:r>
              <w:rPr>
                <w:rFonts w:hint="eastAsia" w:ascii="宋体" w:hAnsi="宋体"/>
                <w:szCs w:val="21"/>
                <w:u w:val="none"/>
              </w:rPr>
              <w:t>：未满足项目需求且没有针对考察内容进行分析，缺少实施方案的，</w:t>
            </w:r>
            <w:r>
              <w:rPr>
                <w:rFonts w:hint="eastAsia" w:ascii="宋体" w:hAnsi="宋体"/>
                <w:szCs w:val="21"/>
                <w:u w:val="none"/>
                <w:lang w:val="en-US" w:eastAsia="zh-CN"/>
              </w:rPr>
              <w:t>加</w:t>
            </w:r>
            <w:r>
              <w:rPr>
                <w:rFonts w:hint="eastAsia" w:ascii="宋体" w:hAnsi="宋体" w:cs="宋体"/>
                <w:kern w:val="0"/>
                <w:szCs w:val="21"/>
                <w:u w:val="none"/>
              </w:rPr>
              <w:t xml:space="preserve"> </w:t>
            </w:r>
            <w:r>
              <w:rPr>
                <w:rFonts w:ascii="宋体" w:hAnsi="宋体" w:cs="宋体"/>
                <w:kern w:val="0"/>
                <w:szCs w:val="21"/>
                <w:u w:val="none"/>
              </w:rPr>
              <w:t>0</w:t>
            </w:r>
            <w:r>
              <w:rPr>
                <w:rFonts w:hint="eastAsia" w:ascii="宋体" w:hAnsi="宋体"/>
                <w:szCs w:val="21"/>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pPr>
              <w:adjustRightInd w:val="0"/>
              <w:snapToGrid w:val="0"/>
              <w:spacing w:line="320" w:lineRule="exact"/>
              <w:rPr>
                <w:rFonts w:ascii="宋体" w:hAnsi="宋体" w:cs="宋体"/>
                <w:b/>
                <w:bCs/>
                <w:color w:val="0000FF"/>
                <w:szCs w:val="21"/>
              </w:rPr>
            </w:pPr>
          </w:p>
        </w:tc>
        <w:tc>
          <w:tcPr>
            <w:tcW w:w="548" w:type="dxa"/>
            <w:tcBorders>
              <w:tl2br w:val="nil"/>
              <w:tr2bl w:val="nil"/>
            </w:tcBorders>
            <w:vAlign w:val="center"/>
          </w:tcPr>
          <w:p>
            <w:pPr>
              <w:wordWrap w:val="0"/>
              <w:adjustRightInd w:val="0"/>
              <w:snapToGrid w:val="0"/>
              <w:spacing w:line="320" w:lineRule="exact"/>
              <w:jc w:val="center"/>
              <w:rPr>
                <w:rFonts w:ascii="宋体" w:hAnsi="宋体" w:cs="宋体"/>
                <w:szCs w:val="21"/>
              </w:rPr>
            </w:pPr>
            <w:r>
              <w:rPr>
                <w:rFonts w:hint="eastAsia" w:ascii="宋体" w:hAnsi="宋体" w:cs="宋体"/>
                <w:szCs w:val="21"/>
              </w:rPr>
              <w:t>2</w:t>
            </w:r>
          </w:p>
        </w:tc>
        <w:tc>
          <w:tcPr>
            <w:tcW w:w="2264" w:type="dxa"/>
            <w:tcBorders>
              <w:tl2br w:val="nil"/>
              <w:tr2bl w:val="nil"/>
            </w:tcBorders>
            <w:vAlign w:val="center"/>
          </w:tcPr>
          <w:p>
            <w:pPr>
              <w:wordWrap w:val="0"/>
              <w:adjustRightInd w:val="0"/>
              <w:snapToGrid w:val="0"/>
              <w:spacing w:line="320" w:lineRule="exact"/>
              <w:jc w:val="center"/>
              <w:rPr>
                <w:rFonts w:ascii="宋体" w:hAnsi="宋体" w:cs="宋体"/>
                <w:szCs w:val="21"/>
              </w:rPr>
            </w:pPr>
            <w:r>
              <w:rPr>
                <w:rFonts w:hint="eastAsia" w:ascii="宋体" w:hAnsi="宋体"/>
                <w:szCs w:val="21"/>
              </w:rPr>
              <w:t>质量保障措施</w:t>
            </w:r>
          </w:p>
        </w:tc>
        <w:tc>
          <w:tcPr>
            <w:tcW w:w="696" w:type="dxa"/>
            <w:tcBorders>
              <w:tl2br w:val="nil"/>
              <w:tr2bl w:val="nil"/>
            </w:tcBorders>
            <w:vAlign w:val="center"/>
          </w:tcPr>
          <w:p>
            <w:pPr>
              <w:wordWrap w:val="0"/>
              <w:adjustRightInd w:val="0"/>
              <w:snapToGrid w:val="0"/>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4856" w:type="dxa"/>
            <w:tcBorders>
              <w:tl2br w:val="nil"/>
              <w:tr2bl w:val="nil"/>
            </w:tcBorders>
            <w:vAlign w:val="center"/>
          </w:tcPr>
          <w:p>
            <w:pPr>
              <w:jc w:val="left"/>
              <w:rPr>
                <w:rFonts w:ascii="宋体" w:hAnsi="宋体"/>
                <w:szCs w:val="21"/>
              </w:rPr>
            </w:pPr>
            <w:r>
              <w:rPr>
                <w:rFonts w:hint="eastAsia" w:ascii="宋体" w:hAnsi="宋体"/>
                <w:szCs w:val="21"/>
              </w:rPr>
              <w:t>（一）质量保障措施</w:t>
            </w:r>
          </w:p>
          <w:p>
            <w:pPr>
              <w:wordWrap/>
              <w:jc w:val="left"/>
              <w:rPr>
                <w:rFonts w:hint="eastAsia" w:ascii="宋体" w:hAnsi="宋体"/>
                <w:szCs w:val="21"/>
              </w:rPr>
            </w:pPr>
            <w:r>
              <w:rPr>
                <w:rFonts w:hint="eastAsia" w:ascii="宋体" w:hAnsi="宋体"/>
                <w:szCs w:val="21"/>
              </w:rPr>
              <w:t>投标人根据本项目特点及需求提供质量（完成时间、安全、环保）保障措施及方案，内容包含但不限于：</w:t>
            </w:r>
          </w:p>
          <w:p>
            <w:pPr>
              <w:wordWrap/>
              <w:jc w:val="left"/>
              <w:rPr>
                <w:rFonts w:hint="eastAsia" w:ascii="宋体" w:hAnsi="宋体"/>
                <w:szCs w:val="21"/>
              </w:rPr>
            </w:pPr>
            <w:r>
              <w:rPr>
                <w:rFonts w:hint="eastAsia" w:ascii="宋体" w:hAnsi="宋体"/>
                <w:szCs w:val="21"/>
              </w:rPr>
              <w:t>（1）市体育中心周边无障碍环境提升工程进度保障措施安排；</w:t>
            </w:r>
          </w:p>
          <w:p>
            <w:pPr>
              <w:wordWrap/>
              <w:jc w:val="left"/>
              <w:rPr>
                <w:rFonts w:hint="eastAsia" w:ascii="宋体" w:hAnsi="宋体"/>
                <w:szCs w:val="21"/>
              </w:rPr>
            </w:pPr>
            <w:r>
              <w:rPr>
                <w:rFonts w:hint="eastAsia" w:ascii="宋体" w:hAnsi="宋体"/>
                <w:szCs w:val="21"/>
              </w:rPr>
              <w:t>（2）市体育中心周边无障碍环境提升工程质量控制方案；</w:t>
            </w:r>
          </w:p>
          <w:p>
            <w:pPr>
              <w:numPr>
                <w:ilvl w:val="255"/>
                <w:numId w:val="0"/>
              </w:numPr>
              <w:spacing w:after="120"/>
              <w:rPr>
                <w:rFonts w:ascii="仿宋" w:hAnsi="仿宋" w:eastAsia="仿宋"/>
                <w:szCs w:val="21"/>
              </w:rPr>
            </w:pPr>
            <w:r>
              <w:rPr>
                <w:rFonts w:hint="eastAsia" w:ascii="宋体" w:hAnsi="宋体" w:eastAsia="宋体"/>
                <w:szCs w:val="21"/>
                <w:u w:val="none"/>
              </w:rPr>
              <w:t>满足</w:t>
            </w:r>
            <w:r>
              <w:rPr>
                <w:rFonts w:hint="eastAsia" w:ascii="宋体" w:hAnsi="宋体" w:eastAsia="宋体"/>
                <w:szCs w:val="21"/>
                <w:u w:val="none"/>
                <w:lang w:val="en-US" w:eastAsia="zh-CN"/>
              </w:rPr>
              <w:t>两</w:t>
            </w:r>
            <w:r>
              <w:rPr>
                <w:rFonts w:hint="eastAsia" w:ascii="宋体" w:hAnsi="宋体" w:eastAsia="宋体"/>
                <w:szCs w:val="21"/>
                <w:u w:val="none"/>
              </w:rPr>
              <w:t>点得40分，满足</w:t>
            </w:r>
            <w:r>
              <w:rPr>
                <w:rFonts w:hint="eastAsia" w:ascii="宋体" w:hAnsi="宋体"/>
                <w:szCs w:val="21"/>
                <w:u w:val="none"/>
                <w:lang w:val="en-US" w:eastAsia="zh-CN"/>
              </w:rPr>
              <w:t>任意</w:t>
            </w:r>
            <w:r>
              <w:rPr>
                <w:rFonts w:hint="eastAsia" w:ascii="宋体" w:hAnsi="宋体" w:eastAsia="宋体"/>
                <w:szCs w:val="21"/>
                <w:u w:val="none"/>
                <w:lang w:val="en-US" w:eastAsia="zh-CN"/>
              </w:rPr>
              <w:t>一</w:t>
            </w:r>
            <w:r>
              <w:rPr>
                <w:rFonts w:hint="eastAsia" w:ascii="宋体" w:hAnsi="宋体" w:eastAsia="宋体"/>
                <w:szCs w:val="21"/>
                <w:u w:val="none"/>
              </w:rPr>
              <w:t>点得20分，未满足不得分。 在此基础上，专家根据各供应商的具体响应内容按照量化的评审因素指标进一步评审；</w:t>
            </w:r>
          </w:p>
          <w:p>
            <w:pPr>
              <w:jc w:val="left"/>
              <w:rPr>
                <w:rFonts w:ascii="宋体" w:hAnsi="宋体"/>
                <w:szCs w:val="21"/>
                <w:u w:val="none"/>
              </w:rPr>
            </w:pPr>
            <w:r>
              <w:rPr>
                <w:rFonts w:hint="eastAsia" w:ascii="宋体" w:hAnsi="宋体"/>
                <w:b/>
                <w:bCs/>
                <w:szCs w:val="21"/>
                <w:u w:val="none"/>
              </w:rPr>
              <w:t>优评分标准</w:t>
            </w:r>
            <w:r>
              <w:rPr>
                <w:rFonts w:hint="eastAsia" w:ascii="宋体" w:hAnsi="宋体"/>
                <w:szCs w:val="21"/>
                <w:u w:val="none"/>
              </w:rPr>
              <w:t>：有切实有效的项目实施保障措施，项目整体质量控制方案全面、可行的，</w:t>
            </w:r>
            <w:r>
              <w:rPr>
                <w:rFonts w:hint="eastAsia" w:ascii="宋体" w:hAnsi="宋体"/>
                <w:szCs w:val="21"/>
                <w:u w:val="none"/>
                <w:lang w:val="en-US" w:eastAsia="zh-CN"/>
              </w:rPr>
              <w:t>加60</w:t>
            </w:r>
            <w:r>
              <w:rPr>
                <w:rFonts w:hint="eastAsia" w:ascii="宋体" w:hAnsi="宋体"/>
                <w:szCs w:val="21"/>
                <w:u w:val="none"/>
              </w:rPr>
              <w:t>分；</w:t>
            </w:r>
          </w:p>
          <w:p>
            <w:pPr>
              <w:jc w:val="left"/>
              <w:rPr>
                <w:rFonts w:ascii="宋体" w:hAnsi="宋体"/>
                <w:szCs w:val="21"/>
                <w:u w:val="none"/>
              </w:rPr>
            </w:pPr>
            <w:r>
              <w:rPr>
                <w:rFonts w:hint="eastAsia" w:ascii="宋体" w:hAnsi="宋体"/>
                <w:b/>
                <w:bCs/>
                <w:szCs w:val="21"/>
                <w:u w:val="none"/>
              </w:rPr>
              <w:t>良评分标准</w:t>
            </w:r>
            <w:r>
              <w:rPr>
                <w:rFonts w:hint="eastAsia" w:ascii="宋体" w:hAnsi="宋体"/>
                <w:szCs w:val="21"/>
                <w:u w:val="none"/>
              </w:rPr>
              <w:t>：有切实有效的项目实施保障措施，项目整体质量控制方案一般的，</w:t>
            </w:r>
            <w:r>
              <w:rPr>
                <w:rFonts w:hint="eastAsia" w:ascii="宋体" w:hAnsi="宋体"/>
                <w:szCs w:val="21"/>
                <w:u w:val="none"/>
                <w:lang w:val="en-US" w:eastAsia="zh-CN"/>
              </w:rPr>
              <w:t>加40</w:t>
            </w:r>
            <w:r>
              <w:rPr>
                <w:rFonts w:hint="eastAsia" w:ascii="宋体" w:hAnsi="宋体"/>
                <w:szCs w:val="21"/>
                <w:u w:val="none"/>
              </w:rPr>
              <w:t>分；</w:t>
            </w:r>
          </w:p>
          <w:p>
            <w:pPr>
              <w:jc w:val="left"/>
              <w:rPr>
                <w:rFonts w:ascii="宋体" w:hAnsi="宋体"/>
                <w:szCs w:val="21"/>
                <w:u w:val="none"/>
              </w:rPr>
            </w:pPr>
            <w:r>
              <w:rPr>
                <w:rFonts w:hint="eastAsia" w:ascii="宋体" w:hAnsi="宋体"/>
                <w:b/>
                <w:bCs/>
                <w:szCs w:val="21"/>
                <w:u w:val="none"/>
              </w:rPr>
              <w:t>中评分标准</w:t>
            </w:r>
            <w:r>
              <w:rPr>
                <w:rFonts w:hint="eastAsia" w:ascii="宋体" w:hAnsi="宋体"/>
                <w:szCs w:val="21"/>
                <w:u w:val="none"/>
              </w:rPr>
              <w:t>：项目实施保障措施一般，项目实施保障措施，项目整体质量控制方案一般的，</w:t>
            </w:r>
            <w:r>
              <w:rPr>
                <w:rFonts w:hint="eastAsia" w:ascii="宋体" w:hAnsi="宋体"/>
                <w:szCs w:val="21"/>
                <w:u w:val="none"/>
                <w:lang w:val="en-US" w:eastAsia="zh-CN"/>
              </w:rPr>
              <w:t>加20</w:t>
            </w:r>
            <w:r>
              <w:rPr>
                <w:rFonts w:hint="eastAsia" w:ascii="宋体" w:hAnsi="宋体"/>
                <w:szCs w:val="21"/>
                <w:u w:val="none"/>
              </w:rPr>
              <w:t>分；</w:t>
            </w:r>
          </w:p>
          <w:p>
            <w:pPr>
              <w:wordWrap/>
              <w:adjustRightInd/>
              <w:snapToGrid/>
              <w:spacing w:line="240" w:lineRule="auto"/>
              <w:jc w:val="left"/>
              <w:rPr>
                <w:rFonts w:ascii="宋体" w:hAnsi="宋体" w:cs="宋体"/>
                <w:szCs w:val="21"/>
              </w:rPr>
            </w:pPr>
            <w:r>
              <w:rPr>
                <w:rFonts w:hint="eastAsia" w:ascii="宋体" w:hAnsi="宋体"/>
                <w:b/>
                <w:bCs/>
                <w:szCs w:val="21"/>
                <w:u w:val="none"/>
              </w:rPr>
              <w:t>差评分标准</w:t>
            </w:r>
            <w:r>
              <w:rPr>
                <w:rFonts w:hint="eastAsia" w:ascii="宋体" w:hAnsi="宋体"/>
                <w:szCs w:val="21"/>
                <w:u w:val="none"/>
              </w:rPr>
              <w:t>：没有质量保障措施及方案的评价为差的，</w:t>
            </w:r>
            <w:r>
              <w:rPr>
                <w:rFonts w:hint="eastAsia" w:ascii="宋体" w:hAnsi="宋体"/>
                <w:szCs w:val="21"/>
                <w:u w:val="none"/>
                <w:lang w:val="en-US" w:eastAsia="zh-CN"/>
              </w:rPr>
              <w:t>加</w:t>
            </w:r>
            <w:r>
              <w:rPr>
                <w:rFonts w:hint="eastAsia" w:ascii="宋体" w:hAnsi="宋体" w:cs="宋体"/>
                <w:kern w:val="0"/>
                <w:szCs w:val="21"/>
                <w:u w:val="none"/>
              </w:rPr>
              <w:t>0</w:t>
            </w:r>
            <w:r>
              <w:rPr>
                <w:rFonts w:hint="eastAsia" w:ascii="宋体" w:hAnsi="宋体"/>
                <w:szCs w:val="21"/>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pPr>
              <w:adjustRightInd w:val="0"/>
              <w:snapToGrid w:val="0"/>
              <w:spacing w:line="320" w:lineRule="exact"/>
              <w:rPr>
                <w:rFonts w:ascii="宋体" w:hAnsi="宋体" w:cs="宋体"/>
                <w:b/>
                <w:bCs/>
                <w:color w:val="0000FF"/>
                <w:szCs w:val="21"/>
              </w:rPr>
            </w:pPr>
          </w:p>
        </w:tc>
        <w:tc>
          <w:tcPr>
            <w:tcW w:w="548" w:type="dxa"/>
            <w:tcBorders>
              <w:tl2br w:val="nil"/>
              <w:tr2bl w:val="nil"/>
            </w:tcBorders>
            <w:vAlign w:val="center"/>
          </w:tcPr>
          <w:p>
            <w:pPr>
              <w:wordWrap w:val="0"/>
              <w:adjustRightInd w:val="0"/>
              <w:snapToGrid w:val="0"/>
              <w:spacing w:line="320" w:lineRule="exact"/>
              <w:jc w:val="center"/>
              <w:rPr>
                <w:rFonts w:ascii="宋体" w:hAnsi="宋体" w:cs="宋体"/>
                <w:szCs w:val="21"/>
              </w:rPr>
            </w:pPr>
            <w:r>
              <w:rPr>
                <w:rFonts w:hint="eastAsia" w:ascii="宋体" w:hAnsi="宋体" w:cs="宋体"/>
                <w:szCs w:val="21"/>
              </w:rPr>
              <w:t>3</w:t>
            </w:r>
          </w:p>
        </w:tc>
        <w:tc>
          <w:tcPr>
            <w:tcW w:w="2264" w:type="dxa"/>
            <w:tcBorders>
              <w:tl2br w:val="nil"/>
              <w:tr2bl w:val="nil"/>
            </w:tcBorders>
            <w:vAlign w:val="center"/>
          </w:tcPr>
          <w:p>
            <w:pPr>
              <w:wordWrap w:val="0"/>
              <w:adjustRightInd w:val="0"/>
              <w:snapToGrid w:val="0"/>
              <w:spacing w:line="320" w:lineRule="exact"/>
              <w:jc w:val="center"/>
              <w:rPr>
                <w:rFonts w:ascii="宋体" w:hAnsi="宋体" w:cs="宋体"/>
                <w:szCs w:val="21"/>
              </w:rPr>
            </w:pPr>
            <w:r>
              <w:rPr>
                <w:rFonts w:hint="eastAsia" w:ascii="宋体" w:hAnsi="宋体"/>
                <w:szCs w:val="21"/>
              </w:rPr>
              <w:t>项目重点难点分析、应对措施及相关的合理化建议</w:t>
            </w:r>
          </w:p>
        </w:tc>
        <w:tc>
          <w:tcPr>
            <w:tcW w:w="696" w:type="dxa"/>
            <w:tcBorders>
              <w:tl2br w:val="nil"/>
              <w:tr2bl w:val="nil"/>
            </w:tcBorders>
            <w:vAlign w:val="center"/>
          </w:tcPr>
          <w:p>
            <w:pPr>
              <w:wordWrap w:val="0"/>
              <w:adjustRightInd w:val="0"/>
              <w:snapToGrid w:val="0"/>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4856" w:type="dxa"/>
            <w:tcBorders>
              <w:tl2br w:val="nil"/>
              <w:tr2bl w:val="nil"/>
            </w:tcBorders>
            <w:vAlign w:val="center"/>
          </w:tcPr>
          <w:p>
            <w:pPr>
              <w:jc w:val="left"/>
              <w:rPr>
                <w:rFonts w:ascii="宋体" w:hAnsi="宋体"/>
                <w:szCs w:val="21"/>
              </w:rPr>
            </w:pPr>
            <w:r>
              <w:rPr>
                <w:rFonts w:hint="eastAsia" w:ascii="宋体" w:hAnsi="宋体"/>
                <w:szCs w:val="21"/>
              </w:rPr>
              <w:t>评委根据供应商情况横向比较：</w:t>
            </w:r>
          </w:p>
          <w:p>
            <w:pPr>
              <w:jc w:val="left"/>
              <w:rPr>
                <w:rFonts w:ascii="宋体" w:hAnsi="宋体"/>
                <w:szCs w:val="21"/>
              </w:rPr>
            </w:pPr>
            <w:r>
              <w:rPr>
                <w:rFonts w:hint="eastAsia" w:ascii="宋体" w:hAnsi="宋体"/>
                <w:szCs w:val="21"/>
              </w:rPr>
              <w:t>（一）项目重点难点分析、应对措施及相关的合理化建议</w:t>
            </w:r>
          </w:p>
          <w:p>
            <w:pPr>
              <w:wordWrap/>
              <w:jc w:val="left"/>
              <w:rPr>
                <w:rFonts w:hint="eastAsia" w:ascii="宋体" w:hAnsi="宋体"/>
                <w:szCs w:val="21"/>
              </w:rPr>
            </w:pPr>
            <w:r>
              <w:rPr>
                <w:rFonts w:hint="eastAsia" w:ascii="宋体" w:hAnsi="宋体"/>
                <w:szCs w:val="21"/>
              </w:rPr>
              <w:t xml:space="preserve">（1）市体育中心周边无障碍环境提升工程的重难点分析； </w:t>
            </w:r>
          </w:p>
          <w:p>
            <w:pPr>
              <w:wordWrap/>
              <w:jc w:val="left"/>
              <w:rPr>
                <w:rFonts w:hint="eastAsia" w:ascii="宋体" w:hAnsi="宋体"/>
                <w:szCs w:val="21"/>
                <w:u w:val="none"/>
              </w:rPr>
            </w:pPr>
            <w:r>
              <w:rPr>
                <w:rFonts w:hint="eastAsia" w:ascii="宋体" w:hAnsi="宋体"/>
                <w:szCs w:val="21"/>
              </w:rPr>
              <w:t>（2）市体育中心周边无障碍环境提升工程重难点应</w:t>
            </w:r>
            <w:r>
              <w:rPr>
                <w:rFonts w:hint="eastAsia" w:ascii="宋体" w:hAnsi="宋体"/>
                <w:szCs w:val="21"/>
                <w:u w:val="none"/>
              </w:rPr>
              <w:t>对措施；</w:t>
            </w:r>
          </w:p>
          <w:p>
            <w:pPr>
              <w:wordWrap/>
              <w:jc w:val="left"/>
              <w:rPr>
                <w:rFonts w:hint="eastAsia" w:ascii="宋体" w:hAnsi="宋体" w:eastAsia="宋体"/>
                <w:szCs w:val="21"/>
                <w:u w:val="none"/>
              </w:rPr>
            </w:pPr>
          </w:p>
          <w:p>
            <w:pPr>
              <w:wordWrap/>
              <w:jc w:val="left"/>
              <w:rPr>
                <w:rFonts w:hint="eastAsia" w:ascii="宋体" w:hAnsi="宋体" w:eastAsia="宋体"/>
                <w:szCs w:val="21"/>
                <w:u w:val="none"/>
              </w:rPr>
            </w:pPr>
            <w:r>
              <w:rPr>
                <w:rFonts w:hint="eastAsia" w:ascii="宋体" w:hAnsi="宋体" w:eastAsia="宋体"/>
                <w:szCs w:val="21"/>
                <w:u w:val="none"/>
              </w:rPr>
              <w:t>满足</w:t>
            </w:r>
            <w:r>
              <w:rPr>
                <w:rFonts w:hint="eastAsia" w:ascii="宋体" w:hAnsi="宋体" w:eastAsia="宋体"/>
                <w:szCs w:val="21"/>
                <w:u w:val="none"/>
                <w:lang w:val="en-US" w:eastAsia="zh-CN"/>
              </w:rPr>
              <w:t>两</w:t>
            </w:r>
            <w:r>
              <w:rPr>
                <w:rFonts w:hint="eastAsia" w:ascii="宋体" w:hAnsi="宋体" w:eastAsia="宋体"/>
                <w:szCs w:val="21"/>
                <w:u w:val="none"/>
              </w:rPr>
              <w:t>点得40分，满足</w:t>
            </w:r>
            <w:r>
              <w:rPr>
                <w:rFonts w:hint="eastAsia" w:ascii="宋体" w:hAnsi="宋体"/>
                <w:szCs w:val="21"/>
                <w:u w:val="none"/>
                <w:lang w:val="en-US" w:eastAsia="zh-CN"/>
              </w:rPr>
              <w:t>任意</w:t>
            </w:r>
            <w:r>
              <w:rPr>
                <w:rFonts w:hint="eastAsia" w:ascii="宋体" w:hAnsi="宋体" w:eastAsia="宋体"/>
                <w:szCs w:val="21"/>
                <w:u w:val="none"/>
                <w:lang w:val="en-US" w:eastAsia="zh-CN"/>
              </w:rPr>
              <w:t>一</w:t>
            </w:r>
            <w:r>
              <w:rPr>
                <w:rFonts w:hint="eastAsia" w:ascii="宋体" w:hAnsi="宋体" w:eastAsia="宋体"/>
                <w:szCs w:val="21"/>
                <w:u w:val="none"/>
              </w:rPr>
              <w:t>点得20分，未满足不得分。 在此基础上，专家根据各供应商的具体响应内容按照量化的评审因素指标进一步评审；</w:t>
            </w:r>
          </w:p>
          <w:p>
            <w:pPr>
              <w:jc w:val="left"/>
              <w:rPr>
                <w:rFonts w:ascii="宋体" w:hAnsi="宋体"/>
                <w:szCs w:val="21"/>
                <w:u w:val="none"/>
              </w:rPr>
            </w:pPr>
            <w:r>
              <w:rPr>
                <w:rFonts w:hint="eastAsia" w:ascii="宋体" w:hAnsi="宋体"/>
                <w:b/>
                <w:bCs/>
                <w:szCs w:val="21"/>
                <w:u w:val="none"/>
              </w:rPr>
              <w:t>优评分标准</w:t>
            </w:r>
            <w:r>
              <w:rPr>
                <w:rFonts w:hint="eastAsia" w:ascii="宋体" w:hAnsi="宋体"/>
                <w:szCs w:val="21"/>
                <w:u w:val="none"/>
              </w:rPr>
              <w:t>：对项目重难点理解准确全面，有针对性详细分析，且能提出符合深圳</w:t>
            </w:r>
            <w:r>
              <w:rPr>
                <w:rFonts w:hint="eastAsia" w:ascii="宋体" w:hAnsi="宋体"/>
                <w:szCs w:val="21"/>
                <w:u w:val="none"/>
                <w:lang w:eastAsia="zh-CN"/>
              </w:rPr>
              <w:t>市福田区</w:t>
            </w:r>
            <w:r>
              <w:rPr>
                <w:rFonts w:hint="eastAsia" w:ascii="宋体" w:hAnsi="宋体"/>
                <w:szCs w:val="21"/>
                <w:u w:val="none"/>
              </w:rPr>
              <w:t>实际的应对措施，</w:t>
            </w:r>
            <w:r>
              <w:rPr>
                <w:rFonts w:hint="eastAsia" w:ascii="宋体" w:hAnsi="宋体"/>
                <w:szCs w:val="21"/>
                <w:u w:val="none"/>
                <w:lang w:val="en-US" w:eastAsia="zh-CN"/>
              </w:rPr>
              <w:t>加60</w:t>
            </w:r>
            <w:r>
              <w:rPr>
                <w:rFonts w:hint="eastAsia" w:ascii="宋体" w:hAnsi="宋体"/>
                <w:szCs w:val="21"/>
                <w:u w:val="none"/>
              </w:rPr>
              <w:t>分；</w:t>
            </w:r>
          </w:p>
          <w:p>
            <w:pPr>
              <w:jc w:val="left"/>
              <w:rPr>
                <w:rFonts w:ascii="宋体" w:hAnsi="宋体"/>
                <w:szCs w:val="21"/>
                <w:u w:val="none"/>
              </w:rPr>
            </w:pPr>
            <w:r>
              <w:rPr>
                <w:rFonts w:hint="eastAsia" w:ascii="宋体" w:hAnsi="宋体"/>
                <w:b/>
                <w:bCs/>
                <w:szCs w:val="21"/>
                <w:u w:val="none"/>
              </w:rPr>
              <w:t>良评分标准</w:t>
            </w:r>
            <w:r>
              <w:rPr>
                <w:rFonts w:hint="eastAsia" w:ascii="宋体" w:hAnsi="宋体"/>
                <w:szCs w:val="21"/>
                <w:u w:val="none"/>
              </w:rPr>
              <w:t>：对项目重难点理解不准确但进行了针对性详细分析或对项目重难点理解准确但对重难点分析不全面，应对措施详细但不能完全贴合深圳</w:t>
            </w:r>
            <w:r>
              <w:rPr>
                <w:rFonts w:hint="eastAsia" w:ascii="宋体" w:hAnsi="宋体"/>
                <w:szCs w:val="21"/>
                <w:u w:val="none"/>
                <w:lang w:eastAsia="zh-CN"/>
              </w:rPr>
              <w:t>市福田区</w:t>
            </w:r>
            <w:r>
              <w:rPr>
                <w:rFonts w:hint="eastAsia" w:ascii="宋体" w:hAnsi="宋体"/>
                <w:szCs w:val="21"/>
                <w:u w:val="none"/>
              </w:rPr>
              <w:t>实际的，</w:t>
            </w:r>
            <w:r>
              <w:rPr>
                <w:rFonts w:hint="eastAsia" w:ascii="宋体" w:hAnsi="宋体"/>
                <w:szCs w:val="21"/>
                <w:u w:val="none"/>
                <w:lang w:val="en-US" w:eastAsia="zh-CN"/>
              </w:rPr>
              <w:t>加40</w:t>
            </w:r>
            <w:r>
              <w:rPr>
                <w:rFonts w:hint="eastAsia" w:ascii="宋体" w:hAnsi="宋体"/>
                <w:szCs w:val="21"/>
                <w:u w:val="none"/>
              </w:rPr>
              <w:t>分；</w:t>
            </w:r>
          </w:p>
          <w:p>
            <w:pPr>
              <w:jc w:val="left"/>
              <w:rPr>
                <w:rFonts w:ascii="宋体" w:hAnsi="宋体"/>
                <w:szCs w:val="21"/>
                <w:u w:val="none"/>
              </w:rPr>
            </w:pPr>
            <w:r>
              <w:rPr>
                <w:rFonts w:hint="eastAsia" w:ascii="宋体" w:hAnsi="宋体"/>
                <w:b/>
                <w:bCs/>
                <w:szCs w:val="21"/>
                <w:u w:val="none"/>
              </w:rPr>
              <w:t>中评分标准</w:t>
            </w:r>
            <w:r>
              <w:rPr>
                <w:rFonts w:hint="eastAsia" w:ascii="宋体" w:hAnsi="宋体"/>
                <w:szCs w:val="21"/>
                <w:u w:val="none"/>
              </w:rPr>
              <w:t>：对项目重难点理解不准确且重难点分析不全面，应对措施简要且不能完全贴合深圳</w:t>
            </w:r>
            <w:r>
              <w:rPr>
                <w:rFonts w:hint="eastAsia" w:ascii="宋体" w:hAnsi="宋体"/>
                <w:szCs w:val="21"/>
                <w:u w:val="none"/>
                <w:lang w:eastAsia="zh-CN"/>
              </w:rPr>
              <w:t>市福田区</w:t>
            </w:r>
            <w:r>
              <w:rPr>
                <w:rFonts w:hint="eastAsia" w:ascii="宋体" w:hAnsi="宋体"/>
                <w:szCs w:val="21"/>
                <w:u w:val="none"/>
              </w:rPr>
              <w:t>实际的，</w:t>
            </w:r>
            <w:r>
              <w:rPr>
                <w:rFonts w:hint="eastAsia" w:ascii="宋体" w:hAnsi="宋体"/>
                <w:szCs w:val="21"/>
                <w:u w:val="none"/>
                <w:lang w:val="en-US" w:eastAsia="zh-CN"/>
              </w:rPr>
              <w:t>加20</w:t>
            </w:r>
            <w:r>
              <w:rPr>
                <w:rFonts w:hint="eastAsia" w:ascii="宋体" w:hAnsi="宋体"/>
                <w:szCs w:val="21"/>
                <w:u w:val="none"/>
              </w:rPr>
              <w:t>分；</w:t>
            </w:r>
          </w:p>
          <w:p>
            <w:pPr>
              <w:wordWrap/>
              <w:adjustRightInd/>
              <w:snapToGrid/>
              <w:spacing w:line="240" w:lineRule="auto"/>
              <w:jc w:val="left"/>
              <w:rPr>
                <w:rFonts w:ascii="宋体" w:hAnsi="宋体" w:cs="宋体"/>
                <w:szCs w:val="21"/>
              </w:rPr>
            </w:pPr>
            <w:r>
              <w:rPr>
                <w:rFonts w:hint="eastAsia" w:ascii="宋体" w:hAnsi="宋体"/>
                <w:b/>
                <w:bCs/>
                <w:szCs w:val="21"/>
                <w:u w:val="none"/>
              </w:rPr>
              <w:t>差评分标准</w:t>
            </w:r>
            <w:r>
              <w:rPr>
                <w:rFonts w:hint="eastAsia" w:ascii="宋体" w:hAnsi="宋体"/>
                <w:szCs w:val="21"/>
                <w:u w:val="none"/>
              </w:rPr>
              <w:t>：没有正确理解项目重难点且没有详细分析，应对措施不符合实际的，</w:t>
            </w:r>
            <w:r>
              <w:rPr>
                <w:rFonts w:hint="eastAsia" w:ascii="宋体" w:hAnsi="宋体"/>
                <w:szCs w:val="21"/>
                <w:u w:val="none"/>
                <w:lang w:val="en-US" w:eastAsia="zh-CN"/>
              </w:rPr>
              <w:t>加</w:t>
            </w:r>
            <w:r>
              <w:rPr>
                <w:rFonts w:hint="eastAsia" w:ascii="宋体" w:hAnsi="宋体" w:cs="宋体"/>
                <w:kern w:val="0"/>
                <w:szCs w:val="21"/>
                <w:u w:val="none"/>
              </w:rPr>
              <w:t>0</w:t>
            </w:r>
            <w:r>
              <w:rPr>
                <w:rFonts w:hint="eastAsia" w:ascii="宋体" w:hAnsi="宋体"/>
                <w:szCs w:val="21"/>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90" w:hRule="atLeast"/>
          <w:tblCellSpacing w:w="0" w:type="dxa"/>
        </w:trPr>
        <w:tc>
          <w:tcPr>
            <w:tcW w:w="685" w:type="dxa"/>
            <w:vMerge w:val="continue"/>
            <w:tcBorders>
              <w:tl2br w:val="nil"/>
              <w:tr2bl w:val="nil"/>
            </w:tcBorders>
            <w:vAlign w:val="center"/>
          </w:tcPr>
          <w:p>
            <w:pPr>
              <w:adjustRightInd w:val="0"/>
              <w:snapToGrid w:val="0"/>
              <w:spacing w:line="320" w:lineRule="exact"/>
              <w:rPr>
                <w:rFonts w:ascii="宋体" w:hAnsi="宋体" w:cs="宋体"/>
                <w:b/>
                <w:bCs/>
                <w:color w:val="0000FF"/>
                <w:szCs w:val="21"/>
              </w:rPr>
            </w:pPr>
          </w:p>
        </w:tc>
        <w:tc>
          <w:tcPr>
            <w:tcW w:w="548" w:type="dxa"/>
            <w:tcBorders>
              <w:tl2br w:val="nil"/>
              <w:tr2bl w:val="nil"/>
            </w:tcBorders>
            <w:vAlign w:val="center"/>
          </w:tcPr>
          <w:p>
            <w:pPr>
              <w:wordWrap w:val="0"/>
              <w:adjustRightInd w:val="0"/>
              <w:snapToGrid w:val="0"/>
              <w:spacing w:line="320" w:lineRule="exact"/>
              <w:jc w:val="center"/>
              <w:rPr>
                <w:rFonts w:ascii="宋体" w:hAnsi="宋体" w:cs="宋体"/>
                <w:szCs w:val="21"/>
              </w:rPr>
            </w:pPr>
            <w:r>
              <w:rPr>
                <w:rFonts w:hint="eastAsia" w:ascii="宋体" w:hAnsi="宋体" w:cs="宋体"/>
                <w:szCs w:val="21"/>
              </w:rPr>
              <w:t>4</w:t>
            </w:r>
          </w:p>
        </w:tc>
        <w:tc>
          <w:tcPr>
            <w:tcW w:w="2264" w:type="dxa"/>
            <w:tcBorders>
              <w:tl2br w:val="nil"/>
              <w:tr2bl w:val="nil"/>
            </w:tcBorders>
            <w:vAlign w:val="center"/>
          </w:tcPr>
          <w:p>
            <w:pPr>
              <w:wordWrap w:val="0"/>
              <w:adjustRightInd w:val="0"/>
              <w:snapToGrid w:val="0"/>
              <w:spacing w:line="320" w:lineRule="exact"/>
              <w:jc w:val="center"/>
              <w:rPr>
                <w:rFonts w:ascii="宋体" w:hAnsi="宋体" w:cs="宋体"/>
                <w:szCs w:val="21"/>
              </w:rPr>
            </w:pPr>
            <w:r>
              <w:rPr>
                <w:rFonts w:hint="eastAsia" w:ascii="宋体" w:hAnsi="宋体"/>
                <w:szCs w:val="21"/>
              </w:rPr>
              <w:t>投入劳动力（项目经理、技术人员、管理班子）情况</w:t>
            </w:r>
          </w:p>
        </w:tc>
        <w:tc>
          <w:tcPr>
            <w:tcW w:w="696" w:type="dxa"/>
            <w:tcBorders>
              <w:tl2br w:val="nil"/>
              <w:tr2bl w:val="nil"/>
            </w:tcBorders>
            <w:vAlign w:val="center"/>
          </w:tcPr>
          <w:p>
            <w:pPr>
              <w:wordWrap w:val="0"/>
              <w:adjustRightInd w:val="0"/>
              <w:snapToGrid w:val="0"/>
              <w:spacing w:line="320" w:lineRule="exact"/>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4856" w:type="dxa"/>
            <w:tcBorders>
              <w:tl2br w:val="nil"/>
              <w:tr2bl w:val="nil"/>
            </w:tcBorders>
            <w:vAlign w:val="center"/>
          </w:tcPr>
          <w:p>
            <w:pPr>
              <w:jc w:val="left"/>
              <w:rPr>
                <w:rFonts w:ascii="宋体" w:hAnsi="宋体"/>
                <w:b/>
                <w:szCs w:val="21"/>
              </w:rPr>
            </w:pPr>
            <w:r>
              <w:rPr>
                <w:rFonts w:hint="eastAsia" w:ascii="宋体" w:hAnsi="宋体"/>
                <w:b/>
                <w:szCs w:val="21"/>
              </w:rPr>
              <w:t>评审标准：</w:t>
            </w:r>
          </w:p>
          <w:p>
            <w:pPr>
              <w:rPr>
                <w:rFonts w:hint="eastAsia"/>
                <w:b/>
                <w:bCs/>
              </w:rPr>
            </w:pPr>
            <w:r>
              <w:rPr>
                <w:rFonts w:hint="eastAsia"/>
                <w:b/>
                <w:bCs/>
              </w:rPr>
              <w:t>拟派本项目负责人（仅限1人）：</w:t>
            </w:r>
          </w:p>
          <w:p>
            <w:pPr>
              <w:rPr>
                <w:rFonts w:hint="eastAsia"/>
              </w:rPr>
            </w:pPr>
            <w:r>
              <w:rPr>
                <w:rFonts w:hint="eastAsia"/>
              </w:rPr>
              <w:t>1.具有本科（或以上）学历的得1</w:t>
            </w:r>
            <w:r>
              <w:rPr>
                <w:rFonts w:hint="eastAsia"/>
                <w:lang w:val="en-US" w:eastAsia="zh-CN"/>
              </w:rPr>
              <w:t>5</w:t>
            </w:r>
            <w:r>
              <w:rPr>
                <w:rFonts w:hint="eastAsia"/>
              </w:rPr>
              <w:t>分；</w:t>
            </w:r>
          </w:p>
          <w:p>
            <w:pPr>
              <w:rPr>
                <w:rFonts w:hint="eastAsia"/>
              </w:rPr>
            </w:pPr>
            <w:r>
              <w:rPr>
                <w:rFonts w:hint="eastAsia"/>
                <w:lang w:val="en-US" w:eastAsia="zh-CN"/>
              </w:rPr>
              <w:t>2</w:t>
            </w:r>
            <w:r>
              <w:rPr>
                <w:rFonts w:hint="eastAsia"/>
              </w:rPr>
              <w:t>.具有工程系列中级（或以上）职称/专业技术资格证书的得</w:t>
            </w:r>
            <w:r>
              <w:rPr>
                <w:rFonts w:hint="eastAsia"/>
                <w:lang w:val="en-US" w:eastAsia="zh-CN"/>
              </w:rPr>
              <w:t>2</w:t>
            </w:r>
            <w:r>
              <w:rPr>
                <w:rFonts w:hint="eastAsia"/>
              </w:rPr>
              <w:t>5分。</w:t>
            </w:r>
          </w:p>
          <w:p>
            <w:pPr>
              <w:rPr>
                <w:rFonts w:hint="eastAsia"/>
              </w:rPr>
            </w:pPr>
            <w:r>
              <w:rPr>
                <w:rFonts w:hint="eastAsia"/>
              </w:rPr>
              <w:t>本小项最高得40分。</w:t>
            </w:r>
          </w:p>
          <w:p>
            <w:pPr>
              <w:rPr>
                <w:rFonts w:hint="eastAsia"/>
              </w:rPr>
            </w:pPr>
          </w:p>
          <w:p>
            <w:pPr>
              <w:rPr>
                <w:rFonts w:hint="eastAsia"/>
                <w:b/>
                <w:bCs/>
              </w:rPr>
            </w:pPr>
            <w:r>
              <w:rPr>
                <w:rFonts w:hint="eastAsia"/>
                <w:b/>
                <w:bCs/>
              </w:rPr>
              <w:t>拟派本项目的团队人员（项目经理除外）：</w:t>
            </w:r>
          </w:p>
          <w:p>
            <w:pPr>
              <w:rPr>
                <w:rFonts w:hint="eastAsia"/>
              </w:rPr>
            </w:pPr>
            <w:r>
              <w:rPr>
                <w:rFonts w:hint="eastAsia"/>
              </w:rPr>
              <w:t>1.安全主任（仅限1人）：具有安全生产考核合格证书（B本）或以上的得10分；具有工程系列中级职称/专业技术资格证书的得10分，具有工程系列高级职称/专业技术资格证书的得20分。本项最高得30分；</w:t>
            </w:r>
          </w:p>
          <w:p>
            <w:pPr>
              <w:rPr>
                <w:rFonts w:hint="eastAsia"/>
              </w:rPr>
            </w:pPr>
            <w:r>
              <w:rPr>
                <w:rFonts w:hint="eastAsia"/>
              </w:rPr>
              <w:t>2.安全员：同时具有安全生产考核合格证书（C本）或以上及工程系列初级（助理级）或以上职称/专业技术资格证书的，每提供一人得10分，，本项最高得30分。</w:t>
            </w:r>
          </w:p>
          <w:p>
            <w:pPr>
              <w:rPr>
                <w:rFonts w:hint="eastAsia"/>
              </w:rPr>
            </w:pPr>
          </w:p>
          <w:p>
            <w:pPr>
              <w:rPr>
                <w:rFonts w:hint="eastAsia"/>
              </w:rPr>
            </w:pPr>
            <w:r>
              <w:rPr>
                <w:rFonts w:hint="eastAsia"/>
              </w:rPr>
              <w:t>以上各项累计得分，最高得100分。如同一人拥有不同证书不重复计分。</w:t>
            </w:r>
          </w:p>
          <w:p/>
          <w:p>
            <w:pPr>
              <w:jc w:val="left"/>
              <w:rPr>
                <w:rFonts w:ascii="宋体" w:hAnsi="宋体"/>
                <w:b/>
                <w:szCs w:val="21"/>
              </w:rPr>
            </w:pPr>
            <w:r>
              <w:rPr>
                <w:rFonts w:hint="eastAsia" w:ascii="宋体" w:hAnsi="宋体"/>
                <w:b/>
                <w:szCs w:val="21"/>
              </w:rPr>
              <w:t>证明文件：</w:t>
            </w:r>
          </w:p>
          <w:p>
            <w:pPr>
              <w:jc w:val="left"/>
              <w:rPr>
                <w:rFonts w:ascii="宋体" w:hAnsi="宋体" w:cs="宋体"/>
                <w:kern w:val="0"/>
                <w:szCs w:val="21"/>
              </w:rPr>
            </w:pPr>
            <w:r>
              <w:rPr>
                <w:rFonts w:hint="eastAsia" w:ascii="宋体" w:hAnsi="宋体" w:cs="宋体"/>
                <w:kern w:val="0"/>
                <w:szCs w:val="21"/>
              </w:rPr>
              <w:t>1）提供社保部门出具的投标企业缴纳的近3个月（具体是指202</w:t>
            </w:r>
            <w:r>
              <w:rPr>
                <w:rFonts w:hint="eastAsia" w:ascii="宋体" w:hAnsi="宋体" w:cs="宋体"/>
                <w:kern w:val="0"/>
                <w:szCs w:val="21"/>
                <w:lang w:val="en-US" w:eastAsia="zh-CN"/>
              </w:rPr>
              <w:t>4</w:t>
            </w:r>
            <w:r>
              <w:rPr>
                <w:rFonts w:hint="eastAsia" w:ascii="宋体" w:hAnsi="宋体" w:cs="宋体"/>
                <w:kern w:val="0"/>
                <w:szCs w:val="21"/>
              </w:rPr>
              <w:t>年</w:t>
            </w:r>
            <w:r>
              <w:rPr>
                <w:rFonts w:hint="eastAsia" w:ascii="宋体" w:hAnsi="宋体" w:cs="宋体"/>
                <w:kern w:val="0"/>
                <w:szCs w:val="21"/>
                <w:lang w:val="en-US" w:eastAsia="zh-CN"/>
              </w:rPr>
              <w:t>8</w:t>
            </w:r>
            <w:r>
              <w:rPr>
                <w:rFonts w:hint="eastAsia" w:ascii="宋体" w:hAnsi="宋体" w:cs="宋体"/>
                <w:kern w:val="0"/>
                <w:szCs w:val="21"/>
              </w:rPr>
              <w:t>月至</w:t>
            </w:r>
            <w:r>
              <w:rPr>
                <w:rFonts w:hint="eastAsia" w:ascii="宋体" w:hAnsi="宋体" w:cs="宋体"/>
                <w:kern w:val="0"/>
                <w:szCs w:val="21"/>
                <w:lang w:val="en-US" w:eastAsia="zh-CN"/>
              </w:rPr>
              <w:t>10</w:t>
            </w:r>
            <w:r>
              <w:rPr>
                <w:rFonts w:hint="eastAsia" w:ascii="宋体" w:hAnsi="宋体" w:cs="宋体"/>
                <w:kern w:val="0"/>
                <w:szCs w:val="21"/>
              </w:rPr>
              <w:t>月）</w:t>
            </w:r>
            <w:r>
              <w:rPr>
                <w:rFonts w:hint="eastAsia" w:ascii="宋体" w:hAnsi="宋体" w:cs="宋体"/>
                <w:kern w:val="0"/>
                <w:szCs w:val="21"/>
                <w:lang w:val="en-US" w:eastAsia="zh-CN"/>
              </w:rPr>
              <w:t>任一个月的</w:t>
            </w:r>
            <w:r>
              <w:rPr>
                <w:rFonts w:hint="eastAsia" w:ascii="宋体" w:hAnsi="宋体" w:cs="宋体"/>
                <w:kern w:val="0"/>
                <w:szCs w:val="21"/>
              </w:rPr>
              <w:t>社保证明文件扫描件；如投标人注册成立时间不足3个月的，可提供承诺函（格式自拟）。</w:t>
            </w:r>
          </w:p>
          <w:p>
            <w:pPr>
              <w:jc w:val="left"/>
              <w:rPr>
                <w:rFonts w:ascii="宋体" w:hAnsi="宋体"/>
              </w:rPr>
            </w:pPr>
            <w:r>
              <w:rPr>
                <w:rFonts w:hint="eastAsia" w:ascii="宋体" w:hAnsi="宋体" w:cs="宋体"/>
                <w:kern w:val="0"/>
                <w:szCs w:val="21"/>
              </w:rPr>
              <w:t>2）</w:t>
            </w:r>
            <w:r>
              <w:rPr>
                <w:rFonts w:hint="eastAsia" w:ascii="宋体" w:hAnsi="宋体"/>
              </w:rPr>
              <w:t>提供学历证书扫描件以及学信网查询记录。对于较早颁发的学历证书，学信网无法查询的，除要求提供证书扫描件，需要提供其他佐证材料（如毕业院校、人力资源和社会保障部门等颁发机构或监管机构等单位出具的证明），</w:t>
            </w:r>
            <w:r>
              <w:t>在海外留学并取得学历的，学信网无法查询的，可提供教育部留学服务中心出具的国外学历认证证书扫描件以及教育部留学服务中心官网查询截图</w:t>
            </w:r>
            <w:r>
              <w:rPr>
                <w:rFonts w:hint="eastAsia" w:ascii="宋体" w:hAnsi="宋体"/>
              </w:rPr>
              <w:t>作为可以得分的依据；及资格证书扫描件作为得分依据。</w:t>
            </w:r>
          </w:p>
          <w:p>
            <w:pPr>
              <w:jc w:val="left"/>
              <w:rPr>
                <w:rFonts w:ascii="宋体" w:hAnsi="宋体" w:cs="宋体"/>
                <w:kern w:val="0"/>
                <w:szCs w:val="21"/>
              </w:rPr>
            </w:pPr>
            <w:r>
              <w:rPr>
                <w:rFonts w:ascii="宋体" w:hAnsi="宋体"/>
              </w:rPr>
              <w:t>3</w:t>
            </w:r>
            <w:r>
              <w:rPr>
                <w:rFonts w:hint="eastAsia" w:ascii="宋体" w:hAnsi="宋体"/>
              </w:rPr>
              <w:t>）提供</w:t>
            </w:r>
            <w:r>
              <w:rPr>
                <w:rFonts w:hint="eastAsia" w:ascii="宋体" w:hAnsi="宋体" w:cs="宋体"/>
                <w:kern w:val="0"/>
                <w:szCs w:val="21"/>
              </w:rPr>
              <w:t>职称证书、资质证书扫描件。</w:t>
            </w:r>
          </w:p>
          <w:p>
            <w:pPr>
              <w:adjustRightInd w:val="0"/>
              <w:snapToGrid w:val="0"/>
              <w:spacing w:line="320" w:lineRule="exact"/>
              <w:jc w:val="left"/>
              <w:rPr>
                <w:rFonts w:ascii="宋体" w:hAnsi="宋体" w:cs="宋体"/>
                <w:szCs w:val="21"/>
              </w:rPr>
            </w:pPr>
            <w:r>
              <w:rPr>
                <w:rFonts w:hint="eastAsia" w:ascii="宋体" w:hAnsi="宋体" w:cs="宋体"/>
                <w:kern w:val="0"/>
                <w:szCs w:val="21"/>
              </w:rPr>
              <w:t>未提供或提供的内容不符合要求的，不得分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restart"/>
            <w:tcBorders>
              <w:tl2br w:val="nil"/>
              <w:tr2bl w:val="nil"/>
            </w:tcBorders>
          </w:tcPr>
          <w:p>
            <w:pPr>
              <w:wordWrap w:val="0"/>
              <w:adjustRightInd w:val="0"/>
              <w:snapToGrid w:val="0"/>
              <w:spacing w:line="320" w:lineRule="exact"/>
              <w:jc w:val="center"/>
              <w:rPr>
                <w:rFonts w:ascii="宋体" w:hAnsi="宋体" w:cs="宋体"/>
                <w:b/>
                <w:bCs/>
                <w:color w:val="0000FF"/>
                <w:szCs w:val="21"/>
              </w:rPr>
            </w:pPr>
            <w:r>
              <w:rPr>
                <w:rFonts w:hint="eastAsia" w:ascii="宋体" w:hAnsi="宋体" w:cs="宋体"/>
                <w:b/>
                <w:bCs/>
                <w:color w:val="0000FF"/>
                <w:szCs w:val="21"/>
              </w:rPr>
              <w:t>3</w:t>
            </w:r>
          </w:p>
        </w:tc>
        <w:tc>
          <w:tcPr>
            <w:tcW w:w="3508" w:type="dxa"/>
            <w:gridSpan w:val="3"/>
            <w:tcBorders>
              <w:tl2br w:val="nil"/>
              <w:tr2bl w:val="nil"/>
            </w:tcBorders>
            <w:vAlign w:val="center"/>
          </w:tcPr>
          <w:p>
            <w:pPr>
              <w:wordWrap w:val="0"/>
              <w:adjustRightInd w:val="0"/>
              <w:snapToGrid w:val="0"/>
              <w:spacing w:line="320" w:lineRule="exact"/>
              <w:jc w:val="center"/>
              <w:rPr>
                <w:rFonts w:ascii="宋体" w:hAnsi="宋体" w:cs="宋体"/>
                <w:b/>
                <w:bCs/>
                <w:color w:val="0000FF"/>
                <w:szCs w:val="21"/>
              </w:rPr>
            </w:pPr>
            <w:r>
              <w:rPr>
                <w:rFonts w:hint="eastAsia" w:ascii="宋体" w:hAnsi="宋体" w:cs="宋体"/>
                <w:b/>
                <w:bCs/>
                <w:color w:val="0000FF"/>
                <w:szCs w:val="21"/>
              </w:rPr>
              <w:t>综合实力部分</w:t>
            </w:r>
          </w:p>
        </w:tc>
        <w:tc>
          <w:tcPr>
            <w:tcW w:w="4856" w:type="dxa"/>
            <w:tcBorders>
              <w:tl2br w:val="nil"/>
              <w:tr2bl w:val="nil"/>
            </w:tcBorders>
          </w:tcPr>
          <w:p>
            <w:pPr>
              <w:wordWrap w:val="0"/>
              <w:adjustRightInd w:val="0"/>
              <w:snapToGrid w:val="0"/>
              <w:spacing w:line="320" w:lineRule="exact"/>
              <w:jc w:val="center"/>
              <w:rPr>
                <w:rFonts w:hint="default" w:ascii="宋体" w:hAnsi="宋体" w:eastAsia="宋体" w:cs="宋体"/>
                <w:b/>
                <w:bCs/>
                <w:color w:val="0000FF"/>
                <w:szCs w:val="21"/>
                <w:lang w:val="en-US" w:eastAsia="zh-CN"/>
              </w:rPr>
            </w:pPr>
            <w:r>
              <w:rPr>
                <w:rFonts w:hint="eastAsia" w:ascii="宋体" w:hAnsi="宋体" w:cs="宋体"/>
                <w:b/>
                <w:bCs/>
                <w:color w:val="0000FF"/>
                <w:szCs w:val="21"/>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pPr>
              <w:adjustRightInd w:val="0"/>
              <w:snapToGrid w:val="0"/>
              <w:spacing w:line="320" w:lineRule="exact"/>
              <w:rPr>
                <w:rFonts w:ascii="宋体" w:hAnsi="宋体" w:cs="宋体"/>
                <w:b/>
                <w:bCs/>
                <w:color w:val="0000FF"/>
                <w:szCs w:val="21"/>
              </w:rPr>
            </w:pPr>
          </w:p>
        </w:tc>
        <w:tc>
          <w:tcPr>
            <w:tcW w:w="8364" w:type="dxa"/>
            <w:gridSpan w:val="4"/>
            <w:tcBorders>
              <w:tl2br w:val="nil"/>
              <w:tr2bl w:val="nil"/>
            </w:tcBorders>
            <w:vAlign w:val="center"/>
          </w:tcPr>
          <w:p>
            <w:pPr>
              <w:wordWrap w:val="0"/>
              <w:adjustRightInd w:val="0"/>
              <w:snapToGrid w:val="0"/>
              <w:spacing w:line="3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shd w:val="clear" w:color="auto" w:fill="E6EFFA"/>
            <w:vAlign w:val="center"/>
          </w:tcPr>
          <w:p>
            <w:pPr>
              <w:adjustRightInd w:val="0"/>
              <w:snapToGrid w:val="0"/>
              <w:spacing w:line="320" w:lineRule="exact"/>
              <w:rPr>
                <w:rFonts w:ascii="宋体" w:hAnsi="宋体" w:cs="宋体"/>
                <w:b/>
                <w:bCs/>
                <w:color w:val="0000FF"/>
                <w:szCs w:val="21"/>
              </w:rPr>
            </w:pPr>
          </w:p>
        </w:tc>
        <w:tc>
          <w:tcPr>
            <w:tcW w:w="548" w:type="dxa"/>
            <w:tcBorders>
              <w:tl2br w:val="nil"/>
              <w:tr2bl w:val="nil"/>
            </w:tcBorders>
            <w:shd w:val="clear" w:color="auto" w:fill="E6EFFA"/>
            <w:vAlign w:val="center"/>
          </w:tcPr>
          <w:p>
            <w:pPr>
              <w:wordWrap w:val="0"/>
              <w:adjustRightInd w:val="0"/>
              <w:snapToGrid w:val="0"/>
              <w:spacing w:line="320" w:lineRule="exact"/>
              <w:jc w:val="center"/>
              <w:rPr>
                <w:rFonts w:ascii="宋体" w:hAnsi="宋体" w:cs="宋体"/>
                <w:szCs w:val="21"/>
              </w:rPr>
            </w:pPr>
            <w:r>
              <w:rPr>
                <w:rFonts w:hint="eastAsia" w:ascii="宋体" w:hAnsi="宋体" w:cs="宋体"/>
                <w:szCs w:val="21"/>
              </w:rPr>
              <w:t>序号</w:t>
            </w:r>
          </w:p>
        </w:tc>
        <w:tc>
          <w:tcPr>
            <w:tcW w:w="2264" w:type="dxa"/>
            <w:tcBorders>
              <w:tl2br w:val="nil"/>
              <w:tr2bl w:val="nil"/>
            </w:tcBorders>
            <w:shd w:val="clear" w:color="auto" w:fill="E6EFFA"/>
            <w:vAlign w:val="center"/>
          </w:tcPr>
          <w:p>
            <w:pPr>
              <w:wordWrap w:val="0"/>
              <w:adjustRightInd w:val="0"/>
              <w:snapToGrid w:val="0"/>
              <w:spacing w:line="320" w:lineRule="exact"/>
              <w:jc w:val="center"/>
              <w:rPr>
                <w:rFonts w:ascii="宋体" w:hAnsi="宋体" w:cs="宋体"/>
                <w:szCs w:val="21"/>
              </w:rPr>
            </w:pPr>
            <w:r>
              <w:rPr>
                <w:rFonts w:hint="eastAsia" w:ascii="宋体" w:hAnsi="宋体" w:cs="宋体"/>
                <w:szCs w:val="21"/>
              </w:rPr>
              <w:t>评分因素</w:t>
            </w:r>
          </w:p>
        </w:tc>
        <w:tc>
          <w:tcPr>
            <w:tcW w:w="696" w:type="dxa"/>
            <w:tcBorders>
              <w:tl2br w:val="nil"/>
              <w:tr2bl w:val="nil"/>
            </w:tcBorders>
            <w:shd w:val="clear" w:color="auto" w:fill="E6EFFA"/>
            <w:vAlign w:val="center"/>
          </w:tcPr>
          <w:p>
            <w:pPr>
              <w:wordWrap w:val="0"/>
              <w:adjustRightInd w:val="0"/>
              <w:snapToGrid w:val="0"/>
              <w:spacing w:line="320" w:lineRule="exact"/>
              <w:jc w:val="center"/>
              <w:rPr>
                <w:rFonts w:ascii="宋体" w:hAnsi="宋体" w:cs="宋体"/>
                <w:szCs w:val="21"/>
              </w:rPr>
            </w:pPr>
            <w:r>
              <w:rPr>
                <w:rFonts w:hint="eastAsia" w:ascii="宋体" w:hAnsi="宋体" w:cs="宋体"/>
                <w:szCs w:val="21"/>
              </w:rPr>
              <w:t>权重(%)</w:t>
            </w:r>
          </w:p>
        </w:tc>
        <w:tc>
          <w:tcPr>
            <w:tcW w:w="4856" w:type="dxa"/>
            <w:tcBorders>
              <w:tl2br w:val="nil"/>
              <w:tr2bl w:val="nil"/>
            </w:tcBorders>
            <w:shd w:val="clear" w:color="auto" w:fill="E6EFFA"/>
            <w:vAlign w:val="center"/>
          </w:tcPr>
          <w:p>
            <w:pPr>
              <w:wordWrap w:val="0"/>
              <w:adjustRightInd w:val="0"/>
              <w:snapToGrid w:val="0"/>
              <w:spacing w:line="320" w:lineRule="exact"/>
              <w:jc w:val="center"/>
              <w:rPr>
                <w:rFonts w:ascii="宋体" w:hAnsi="宋体" w:cs="宋体"/>
                <w:szCs w:val="21"/>
              </w:rPr>
            </w:pPr>
            <w:r>
              <w:rPr>
                <w:rFonts w:hint="eastAsia" w:ascii="宋体" w:hAnsi="宋体" w:cs="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pPr>
              <w:adjustRightInd w:val="0"/>
              <w:snapToGrid w:val="0"/>
              <w:spacing w:line="320" w:lineRule="exact"/>
              <w:rPr>
                <w:rFonts w:ascii="宋体" w:hAnsi="宋体" w:cs="宋体"/>
                <w:b/>
                <w:bCs/>
                <w:color w:val="0000FF"/>
                <w:szCs w:val="21"/>
              </w:rPr>
            </w:pPr>
          </w:p>
        </w:tc>
        <w:tc>
          <w:tcPr>
            <w:tcW w:w="548" w:type="dxa"/>
            <w:tcBorders>
              <w:tl2br w:val="nil"/>
              <w:tr2bl w:val="nil"/>
            </w:tcBorders>
            <w:vAlign w:val="center"/>
          </w:tcPr>
          <w:p>
            <w:pPr>
              <w:wordWrap w:val="0"/>
              <w:adjustRightInd w:val="0"/>
              <w:snapToGrid w:val="0"/>
              <w:spacing w:line="320" w:lineRule="exact"/>
              <w:jc w:val="center"/>
              <w:rPr>
                <w:rFonts w:ascii="宋体" w:hAnsi="宋体" w:cs="宋体"/>
                <w:szCs w:val="21"/>
              </w:rPr>
            </w:pPr>
            <w:r>
              <w:rPr>
                <w:rFonts w:hint="eastAsia" w:ascii="宋体" w:hAnsi="宋体" w:cs="宋体"/>
                <w:szCs w:val="21"/>
              </w:rPr>
              <w:t>1</w:t>
            </w:r>
          </w:p>
        </w:tc>
        <w:tc>
          <w:tcPr>
            <w:tcW w:w="2264" w:type="dxa"/>
            <w:tcBorders>
              <w:tl2br w:val="nil"/>
              <w:tr2bl w:val="nil"/>
            </w:tcBorders>
            <w:vAlign w:val="center"/>
          </w:tcPr>
          <w:p>
            <w:pPr>
              <w:wordWrap/>
              <w:adjustRightInd/>
              <w:snapToGrid/>
              <w:spacing w:line="240" w:lineRule="auto"/>
              <w:jc w:val="center"/>
              <w:rPr>
                <w:rFonts w:ascii="宋体" w:hAnsi="宋体" w:cs="宋体"/>
                <w:szCs w:val="21"/>
                <w:highlight w:val="none"/>
              </w:rPr>
            </w:pPr>
            <w:r>
              <w:rPr>
                <w:rFonts w:hint="eastAsia" w:ascii="宋体" w:hAnsi="宋体"/>
                <w:szCs w:val="21"/>
                <w:highlight w:val="none"/>
              </w:rPr>
              <w:t>有效业绩</w:t>
            </w:r>
          </w:p>
        </w:tc>
        <w:tc>
          <w:tcPr>
            <w:tcW w:w="696" w:type="dxa"/>
            <w:tcBorders>
              <w:tl2br w:val="nil"/>
              <w:tr2bl w:val="nil"/>
            </w:tcBorders>
            <w:vAlign w:val="center"/>
          </w:tcPr>
          <w:p>
            <w:pPr>
              <w:wordWrap w:val="0"/>
              <w:adjustRightInd w:val="0"/>
              <w:snapToGrid w:val="0"/>
              <w:spacing w:line="320" w:lineRule="exact"/>
              <w:jc w:val="center"/>
              <w:rPr>
                <w:rFonts w:hint="default" w:ascii="宋体" w:hAnsi="宋体" w:eastAsia="宋体" w:cs="宋体"/>
                <w:szCs w:val="21"/>
                <w:lang w:val="en-US" w:eastAsia="zh-CN"/>
              </w:rPr>
            </w:pPr>
            <w:r>
              <w:rPr>
                <w:rFonts w:hint="eastAsia" w:ascii="宋体" w:hAnsi="宋体" w:cs="宋体"/>
                <w:szCs w:val="21"/>
                <w:lang w:val="en-US" w:eastAsia="zh-CN"/>
              </w:rPr>
              <w:t>12</w:t>
            </w:r>
          </w:p>
        </w:tc>
        <w:tc>
          <w:tcPr>
            <w:tcW w:w="4856" w:type="dxa"/>
            <w:tcBorders>
              <w:tl2br w:val="nil"/>
              <w:tr2bl w:val="nil"/>
            </w:tcBorders>
          </w:tcPr>
          <w:p>
            <w:pPr>
              <w:rPr>
                <w:rFonts w:ascii="宋体" w:hAnsi="宋体"/>
                <w:b/>
                <w:szCs w:val="21"/>
              </w:rPr>
            </w:pPr>
            <w:r>
              <w:rPr>
                <w:rFonts w:hint="eastAsia" w:ascii="宋体" w:hAnsi="宋体"/>
                <w:b/>
                <w:szCs w:val="21"/>
              </w:rPr>
              <w:t>评审标准：</w:t>
            </w:r>
          </w:p>
          <w:p>
            <w:pPr>
              <w:rPr>
                <w:rFonts w:hint="eastAsia" w:ascii="宋体" w:hAnsi="宋体" w:eastAsia="宋体"/>
                <w:szCs w:val="21"/>
                <w:lang w:eastAsia="zh-CN"/>
              </w:rPr>
            </w:pPr>
            <w:r>
              <w:rPr>
                <w:rFonts w:hint="eastAsia" w:ascii="宋体" w:hAnsi="宋体"/>
                <w:szCs w:val="21"/>
              </w:rPr>
              <w:t>每有一项有效业绩，得</w:t>
            </w:r>
            <w:r>
              <w:rPr>
                <w:rFonts w:hint="eastAsia" w:ascii="宋体" w:hAnsi="宋体" w:cs="宋体"/>
                <w:kern w:val="0"/>
                <w:szCs w:val="21"/>
                <w:u w:val="single"/>
                <w:lang w:val="en-US" w:eastAsia="zh-CN"/>
              </w:rPr>
              <w:t>25</w:t>
            </w:r>
            <w:r>
              <w:rPr>
                <w:rFonts w:hint="eastAsia" w:ascii="宋体" w:hAnsi="宋体"/>
                <w:szCs w:val="21"/>
              </w:rPr>
              <w:t>分；以此类推。不提供或者不能有效证明的，得0分。</w:t>
            </w:r>
            <w:r>
              <w:rPr>
                <w:rFonts w:hint="eastAsia"/>
              </w:rPr>
              <w:t>最高得100分</w:t>
            </w:r>
            <w:r>
              <w:rPr>
                <w:rFonts w:hint="eastAsia"/>
                <w:lang w:eastAsia="zh-CN"/>
              </w:rPr>
              <w:t>。</w:t>
            </w:r>
          </w:p>
          <w:p>
            <w:pPr>
              <w:rPr>
                <w:rFonts w:ascii="宋体" w:hAnsi="宋体"/>
                <w:szCs w:val="21"/>
              </w:rPr>
            </w:pPr>
            <w:r>
              <w:rPr>
                <w:rFonts w:hint="eastAsia" w:ascii="宋体" w:hAnsi="宋体"/>
                <w:b/>
                <w:szCs w:val="21"/>
              </w:rPr>
              <w:t>有效业绩定义：</w:t>
            </w:r>
            <w:r>
              <w:rPr>
                <w:rFonts w:hint="eastAsia" w:ascii="宋体" w:hAnsi="宋体"/>
                <w:szCs w:val="21"/>
              </w:rPr>
              <w:t>（同时满足以下全部要求同类业绩才属于有效业绩）</w:t>
            </w:r>
          </w:p>
          <w:p>
            <w:pPr>
              <w:numPr>
                <w:ilvl w:val="0"/>
                <w:numId w:val="7"/>
              </w:numPr>
              <w:rPr>
                <w:rFonts w:ascii="宋体" w:hAnsi="宋体"/>
                <w:szCs w:val="21"/>
              </w:rPr>
            </w:pPr>
            <w:r>
              <w:rPr>
                <w:rFonts w:hint="eastAsia" w:ascii="宋体" w:hAnsi="宋体"/>
                <w:szCs w:val="21"/>
              </w:rPr>
              <w:t>同类业绩指：</w:t>
            </w:r>
            <w:r>
              <w:rPr>
                <w:rFonts w:hint="eastAsia" w:ascii="宋体" w:hAnsi="宋体"/>
                <w:szCs w:val="21"/>
                <w:lang w:eastAsia="zh-CN"/>
              </w:rPr>
              <w:t>市政工程</w:t>
            </w:r>
            <w:r>
              <w:rPr>
                <w:rFonts w:hint="eastAsia" w:ascii="宋体" w:hAnsi="宋体"/>
                <w:szCs w:val="21"/>
                <w:lang w:val="en-US" w:eastAsia="zh-CN"/>
              </w:rPr>
              <w:t>;</w:t>
            </w:r>
          </w:p>
          <w:p>
            <w:pPr>
              <w:numPr>
                <w:ilvl w:val="0"/>
                <w:numId w:val="7"/>
              </w:numPr>
              <w:rPr>
                <w:rFonts w:ascii="宋体" w:hAnsi="宋体"/>
                <w:szCs w:val="21"/>
              </w:rPr>
            </w:pPr>
            <w:r>
              <w:rPr>
                <w:rFonts w:hint="eastAsia" w:ascii="宋体" w:hAnsi="宋体"/>
                <w:szCs w:val="21"/>
              </w:rPr>
              <w:t>业绩内容为：</w:t>
            </w:r>
            <w:r>
              <w:rPr>
                <w:rFonts w:hint="eastAsia"/>
              </w:rPr>
              <w:t>涉及无障碍(道路、坡道、人行便道、厕所、标识标牌、零星修缮工程、环境提升等)相关工程内容；</w:t>
            </w:r>
          </w:p>
          <w:p>
            <w:pPr>
              <w:numPr>
                <w:ilvl w:val="0"/>
                <w:numId w:val="7"/>
              </w:numPr>
              <w:rPr>
                <w:rFonts w:ascii="宋体" w:hAnsi="宋体"/>
                <w:szCs w:val="21"/>
              </w:rPr>
            </w:pPr>
            <w:r>
              <w:rPr>
                <w:rFonts w:hint="eastAsia" w:ascii="宋体" w:hAnsi="宋体"/>
                <w:szCs w:val="21"/>
              </w:rPr>
              <w:t>合同签订时间为20</w:t>
            </w:r>
            <w:r>
              <w:rPr>
                <w:rFonts w:ascii="宋体" w:hAnsi="宋体"/>
                <w:szCs w:val="21"/>
              </w:rPr>
              <w:t>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日至投标截止</w:t>
            </w:r>
            <w:r>
              <w:rPr>
                <w:rFonts w:hint="eastAsia" w:ascii="宋体" w:hAnsi="宋体"/>
                <w:szCs w:val="21"/>
                <w:lang w:val="en-US" w:eastAsia="zh-CN"/>
              </w:rPr>
              <w:t>之日</w:t>
            </w:r>
            <w:r>
              <w:rPr>
                <w:rFonts w:hint="eastAsia" w:ascii="宋体" w:hAnsi="宋体"/>
                <w:szCs w:val="21"/>
              </w:rPr>
              <w:t>前（以合同签订时间为准）。</w:t>
            </w:r>
          </w:p>
          <w:p>
            <w:pPr>
              <w:rPr>
                <w:rFonts w:ascii="宋体" w:hAnsi="宋体"/>
                <w:b/>
                <w:szCs w:val="21"/>
              </w:rPr>
            </w:pPr>
            <w:r>
              <w:rPr>
                <w:rFonts w:hint="eastAsia" w:ascii="宋体" w:hAnsi="宋体"/>
                <w:b/>
                <w:szCs w:val="21"/>
              </w:rPr>
              <w:t>证明文件：</w:t>
            </w:r>
          </w:p>
          <w:p>
            <w:pPr>
              <w:adjustRightInd w:val="0"/>
              <w:snapToGrid w:val="0"/>
              <w:spacing w:line="320" w:lineRule="exact"/>
              <w:rPr>
                <w:rFonts w:ascii="宋体" w:hAnsi="宋体" w:cs="宋体"/>
                <w:szCs w:val="21"/>
              </w:rPr>
            </w:pPr>
            <w:r>
              <w:rPr>
                <w:rFonts w:hint="eastAsia" w:ascii="宋体" w:hAnsi="宋体"/>
                <w:szCs w:val="21"/>
              </w:rPr>
              <w:t>供应商提供项目合同关键页</w:t>
            </w:r>
            <w:r>
              <w:rPr>
                <w:rFonts w:hint="eastAsia"/>
                <w:szCs w:val="21"/>
              </w:rPr>
              <w:t>（首页、体现采购内容页、签字盖章页</w:t>
            </w:r>
            <w:r>
              <w:rPr>
                <w:rFonts w:hint="eastAsia"/>
                <w:szCs w:val="21"/>
                <w:lang w:val="en-US" w:eastAsia="zh-CN"/>
              </w:rPr>
              <w:t>和</w:t>
            </w:r>
            <w:r>
              <w:rPr>
                <w:rFonts w:hint="eastAsia"/>
                <w:szCs w:val="21"/>
              </w:rPr>
              <w:t>签订时间页）</w:t>
            </w:r>
            <w:r>
              <w:rPr>
                <w:rFonts w:hint="eastAsia" w:ascii="宋体" w:hAnsi="宋体"/>
                <w:szCs w:val="21"/>
              </w:rPr>
              <w:t>扫描件 。</w:t>
            </w:r>
            <w:r>
              <w:rPr>
                <w:rFonts w:hint="eastAsia"/>
              </w:rPr>
              <w:t>未提供或提供的内容不符合要求的，不得分。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pPr>
              <w:adjustRightInd w:val="0"/>
              <w:snapToGrid w:val="0"/>
              <w:spacing w:line="320" w:lineRule="exact"/>
              <w:rPr>
                <w:rFonts w:ascii="宋体" w:hAnsi="宋体" w:cs="宋体"/>
                <w:b/>
                <w:bCs/>
                <w:color w:val="0000FF"/>
                <w:szCs w:val="21"/>
              </w:rPr>
            </w:pPr>
          </w:p>
        </w:tc>
        <w:tc>
          <w:tcPr>
            <w:tcW w:w="548" w:type="dxa"/>
            <w:tcBorders>
              <w:tl2br w:val="nil"/>
              <w:tr2bl w:val="nil"/>
            </w:tcBorders>
            <w:vAlign w:val="center"/>
          </w:tcPr>
          <w:p>
            <w:pPr>
              <w:wordWrap w:val="0"/>
              <w:adjustRightInd w:val="0"/>
              <w:snapToGrid w:val="0"/>
              <w:spacing w:line="320" w:lineRule="exact"/>
              <w:jc w:val="center"/>
              <w:rPr>
                <w:rFonts w:ascii="宋体" w:hAnsi="宋体" w:cs="宋体"/>
                <w:szCs w:val="21"/>
              </w:rPr>
            </w:pPr>
            <w:r>
              <w:rPr>
                <w:rFonts w:hint="eastAsia" w:ascii="宋体" w:hAnsi="宋体" w:cs="宋体"/>
                <w:szCs w:val="21"/>
              </w:rPr>
              <w:t>2</w:t>
            </w:r>
          </w:p>
        </w:tc>
        <w:tc>
          <w:tcPr>
            <w:tcW w:w="2264" w:type="dxa"/>
            <w:tcBorders>
              <w:tl2br w:val="nil"/>
              <w:tr2bl w:val="nil"/>
            </w:tcBorders>
            <w:vAlign w:val="center"/>
          </w:tcPr>
          <w:p>
            <w:pPr>
              <w:wordWrap/>
              <w:adjustRightInd/>
              <w:snapToGrid/>
              <w:spacing w:line="240" w:lineRule="auto"/>
              <w:jc w:val="center"/>
              <w:rPr>
                <w:rFonts w:ascii="宋体" w:hAnsi="宋体" w:cs="宋体"/>
                <w:szCs w:val="21"/>
                <w:highlight w:val="none"/>
              </w:rPr>
            </w:pPr>
            <w:r>
              <w:rPr>
                <w:rFonts w:hint="eastAsia" w:ascii="宋体" w:hAnsi="宋体"/>
                <w:szCs w:val="21"/>
                <w:highlight w:val="none"/>
              </w:rPr>
              <w:t>履约评价</w:t>
            </w:r>
          </w:p>
        </w:tc>
        <w:tc>
          <w:tcPr>
            <w:tcW w:w="696" w:type="dxa"/>
            <w:tcBorders>
              <w:tl2br w:val="nil"/>
              <w:tr2bl w:val="nil"/>
            </w:tcBorders>
            <w:vAlign w:val="center"/>
          </w:tcPr>
          <w:p>
            <w:pPr>
              <w:wordWrap w:val="0"/>
              <w:adjustRightInd w:val="0"/>
              <w:snapToGrid w:val="0"/>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4856" w:type="dxa"/>
            <w:tcBorders>
              <w:tl2br w:val="nil"/>
              <w:tr2bl w:val="nil"/>
            </w:tcBorders>
          </w:tcPr>
          <w:p>
            <w:pPr>
              <w:jc w:val="left"/>
              <w:rPr>
                <w:rFonts w:ascii="宋体" w:hAnsi="宋体"/>
                <w:b/>
                <w:szCs w:val="21"/>
              </w:rPr>
            </w:pPr>
            <w:r>
              <w:rPr>
                <w:rFonts w:hint="eastAsia" w:ascii="宋体" w:hAnsi="宋体"/>
                <w:b/>
                <w:szCs w:val="21"/>
              </w:rPr>
              <w:t>评审标准：</w:t>
            </w:r>
          </w:p>
          <w:p>
            <w:pPr>
              <w:rPr>
                <w:rFonts w:hint="eastAsia"/>
              </w:rPr>
            </w:pPr>
            <w:r>
              <w:rPr>
                <w:rFonts w:hint="eastAsia"/>
              </w:rPr>
              <w:t>供应商在上述“有效业绩”评审项中参加评审并被认定有效的业绩(且获得评分)，能够提供用户出具的履约评价书或验收报告，且评价为优或者验收合格的，每份评价书或验收报告得 25分，其他情况得0分</w:t>
            </w:r>
            <w:r>
              <w:rPr>
                <w:rFonts w:hint="eastAsia"/>
                <w:lang w:eastAsia="zh-CN"/>
              </w:rPr>
              <w:t>，</w:t>
            </w:r>
            <w:r>
              <w:rPr>
                <w:rFonts w:hint="eastAsia"/>
              </w:rPr>
              <w:t>最高得100分。不提供或者不能有效证明的，得0分。</w:t>
            </w:r>
          </w:p>
          <w:p>
            <w:pPr>
              <w:jc w:val="left"/>
              <w:rPr>
                <w:rFonts w:ascii="宋体" w:hAnsi="宋体"/>
                <w:b/>
                <w:szCs w:val="21"/>
              </w:rPr>
            </w:pPr>
            <w:r>
              <w:rPr>
                <w:rFonts w:hint="eastAsia" w:ascii="宋体" w:hAnsi="宋体"/>
                <w:b/>
                <w:szCs w:val="21"/>
              </w:rPr>
              <w:t>证明文件：</w:t>
            </w:r>
          </w:p>
          <w:p>
            <w:pPr>
              <w:pStyle w:val="2"/>
              <w:wordWrap w:val="0"/>
              <w:adjustRightInd w:val="0"/>
              <w:snapToGrid w:val="0"/>
              <w:spacing w:line="320" w:lineRule="exact"/>
              <w:rPr>
                <w:rFonts w:ascii="宋体" w:hAnsi="宋体" w:cs="宋体"/>
                <w:sz w:val="21"/>
                <w:szCs w:val="21"/>
              </w:rPr>
            </w:pPr>
            <w:r>
              <w:rPr>
                <w:rFonts w:hint="eastAsia" w:ascii="宋体" w:hAnsi="宋体" w:eastAsia="宋体" w:cs="Times New Roman"/>
                <w:b w:val="0"/>
                <w:bCs w:val="0"/>
                <w:kern w:val="2"/>
                <w:sz w:val="21"/>
                <w:szCs w:val="21"/>
                <w:lang w:val="en-US" w:eastAsia="zh-CN" w:bidi="ar-SA"/>
              </w:rPr>
              <w:t>提供用户出具的履约评价书扫描件（评价书需有甲方公章或业务章）。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356" w:hRule="atLeast"/>
          <w:tblCellSpacing w:w="0" w:type="dxa"/>
        </w:trPr>
        <w:tc>
          <w:tcPr>
            <w:tcW w:w="685" w:type="dxa"/>
            <w:vMerge w:val="continue"/>
            <w:tcBorders>
              <w:tl2br w:val="nil"/>
              <w:tr2bl w:val="nil"/>
            </w:tcBorders>
            <w:vAlign w:val="center"/>
          </w:tcPr>
          <w:p>
            <w:pPr>
              <w:adjustRightInd w:val="0"/>
              <w:snapToGrid w:val="0"/>
              <w:spacing w:line="320" w:lineRule="exact"/>
              <w:rPr>
                <w:rFonts w:ascii="宋体" w:hAnsi="宋体" w:cs="宋体"/>
                <w:b/>
                <w:bCs/>
                <w:color w:val="0000FF"/>
                <w:szCs w:val="21"/>
              </w:rPr>
            </w:pPr>
          </w:p>
        </w:tc>
        <w:tc>
          <w:tcPr>
            <w:tcW w:w="548" w:type="dxa"/>
            <w:tcBorders>
              <w:tl2br w:val="nil"/>
              <w:tr2bl w:val="nil"/>
            </w:tcBorders>
            <w:vAlign w:val="center"/>
          </w:tcPr>
          <w:p>
            <w:pPr>
              <w:wordWrap w:val="0"/>
              <w:adjustRightInd w:val="0"/>
              <w:snapToGrid w:val="0"/>
              <w:spacing w:line="320" w:lineRule="exact"/>
              <w:jc w:val="center"/>
              <w:rPr>
                <w:rFonts w:ascii="宋体" w:hAnsi="宋体" w:cs="宋体"/>
                <w:szCs w:val="21"/>
              </w:rPr>
            </w:pPr>
            <w:r>
              <w:rPr>
                <w:rFonts w:hint="eastAsia" w:ascii="宋体" w:hAnsi="宋体" w:cs="宋体"/>
                <w:szCs w:val="21"/>
              </w:rPr>
              <w:t>3</w:t>
            </w:r>
          </w:p>
        </w:tc>
        <w:tc>
          <w:tcPr>
            <w:tcW w:w="2264" w:type="dxa"/>
            <w:tcBorders>
              <w:tl2br w:val="nil"/>
              <w:tr2bl w:val="nil"/>
            </w:tcBorders>
            <w:vAlign w:val="center"/>
          </w:tcPr>
          <w:p>
            <w:pPr>
              <w:wordWrap w:val="0"/>
              <w:adjustRightInd w:val="0"/>
              <w:snapToGrid w:val="0"/>
              <w:spacing w:line="320" w:lineRule="exact"/>
              <w:jc w:val="center"/>
              <w:rPr>
                <w:rFonts w:ascii="宋体" w:hAnsi="宋体" w:cs="宋体"/>
                <w:szCs w:val="21"/>
                <w:highlight w:val="none"/>
              </w:rPr>
            </w:pPr>
            <w:r>
              <w:rPr>
                <w:rFonts w:hint="eastAsia" w:ascii="宋体" w:hAnsi="宋体"/>
                <w:szCs w:val="21"/>
                <w:highlight w:val="none"/>
              </w:rPr>
              <w:t>证书或奖励情况</w:t>
            </w:r>
          </w:p>
        </w:tc>
        <w:tc>
          <w:tcPr>
            <w:tcW w:w="696" w:type="dxa"/>
            <w:tcBorders>
              <w:tl2br w:val="nil"/>
              <w:tr2bl w:val="nil"/>
            </w:tcBorders>
            <w:vAlign w:val="center"/>
          </w:tcPr>
          <w:p>
            <w:pPr>
              <w:wordWrap w:val="0"/>
              <w:adjustRightInd w:val="0"/>
              <w:snapToGrid w:val="0"/>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4856" w:type="dxa"/>
            <w:tcBorders>
              <w:tl2br w:val="nil"/>
              <w:tr2bl w:val="nil"/>
            </w:tcBorders>
          </w:tcPr>
          <w:p>
            <w:pPr>
              <w:jc w:val="left"/>
              <w:rPr>
                <w:rFonts w:ascii="宋体" w:hAnsi="宋体"/>
                <w:b/>
                <w:szCs w:val="21"/>
              </w:rPr>
            </w:pPr>
            <w:r>
              <w:rPr>
                <w:rFonts w:hint="eastAsia" w:ascii="宋体" w:hAnsi="宋体"/>
                <w:b/>
                <w:szCs w:val="21"/>
              </w:rPr>
              <w:t>评审标准</w:t>
            </w:r>
          </w:p>
          <w:p>
            <w:pPr>
              <w:rPr>
                <w:rFonts w:hint="eastAsia"/>
              </w:rPr>
            </w:pPr>
            <w:r>
              <w:rPr>
                <w:rFonts w:hint="eastAsia"/>
              </w:rPr>
              <w:t>证书情况:</w:t>
            </w:r>
          </w:p>
          <w:p>
            <w:pPr>
              <w:rPr>
                <w:rFonts w:hint="eastAsia"/>
              </w:rPr>
            </w:pPr>
            <w:r>
              <w:rPr>
                <w:rFonts w:hint="eastAsia"/>
              </w:rPr>
              <w:t>1.具有质量管理体系认证建筑装饰工程施工及相关管理活动的，得 20分；</w:t>
            </w:r>
          </w:p>
          <w:p>
            <w:pPr>
              <w:rPr>
                <w:rFonts w:hint="eastAsia"/>
              </w:rPr>
            </w:pPr>
            <w:r>
              <w:rPr>
                <w:rFonts w:hint="eastAsia"/>
              </w:rPr>
              <w:t>2.具有环境管理体系认证的，得15分；</w:t>
            </w:r>
          </w:p>
          <w:p>
            <w:pPr>
              <w:rPr>
                <w:rFonts w:hint="eastAsia"/>
              </w:rPr>
            </w:pPr>
            <w:r>
              <w:rPr>
                <w:rFonts w:hint="eastAsia"/>
              </w:rPr>
              <w:t>3.具有职业健康安全管理体系认证的，得15分。</w:t>
            </w:r>
          </w:p>
          <w:p>
            <w:pPr>
              <w:rPr>
                <w:rFonts w:hint="eastAsia"/>
              </w:rPr>
            </w:pPr>
            <w:r>
              <w:rPr>
                <w:rFonts w:hint="eastAsia"/>
              </w:rPr>
              <w:t>本小项最高得50分。</w:t>
            </w:r>
          </w:p>
          <w:p>
            <w:pPr>
              <w:rPr>
                <w:rFonts w:hint="eastAsia"/>
              </w:rPr>
            </w:pPr>
            <w:r>
              <w:rPr>
                <w:rFonts w:hint="eastAsia"/>
              </w:rPr>
              <w:t>奖励情况:</w:t>
            </w:r>
          </w:p>
          <w:p>
            <w:pPr>
              <w:rPr>
                <w:rFonts w:hint="eastAsia"/>
              </w:rPr>
            </w:pPr>
            <w:r>
              <w:rPr>
                <w:rFonts w:hint="eastAsia"/>
              </w:rPr>
              <w:t>投标人自2022年1月1日至投标截止时间获得的公共建筑类项目的建筑工程装饰奖或者鲁班奖或者优质工程奖相关奖项（荣誉）:</w:t>
            </w:r>
          </w:p>
          <w:p>
            <w:pPr>
              <w:rPr>
                <w:rFonts w:hint="eastAsia"/>
              </w:rPr>
            </w:pPr>
            <w:r>
              <w:rPr>
                <w:rFonts w:hint="eastAsia"/>
              </w:rPr>
              <w:t>1.国家级奖项（荣誉）每个得20分, 省级（含副省级城市）奖项（荣誉）每个得15分，市级奖项（荣誉）每个得10分，其他情况不得分。同一项目所获奖项（荣誉）按最高级别计分，不重复计分。本小项最高得50分。</w:t>
            </w:r>
          </w:p>
          <w:p>
            <w:pPr>
              <w:jc w:val="left"/>
              <w:rPr>
                <w:rFonts w:ascii="宋体" w:hAnsi="宋体"/>
                <w:b/>
                <w:szCs w:val="21"/>
              </w:rPr>
            </w:pPr>
            <w:r>
              <w:rPr>
                <w:rFonts w:hint="eastAsia" w:ascii="宋体" w:hAnsi="宋体"/>
                <w:b/>
                <w:szCs w:val="21"/>
              </w:rPr>
              <w:t>证明文件：</w:t>
            </w:r>
          </w:p>
          <w:p>
            <w:pPr>
              <w:pStyle w:val="17"/>
              <w:wordWrap w:val="0"/>
              <w:snapToGrid w:val="0"/>
              <w:spacing w:line="320" w:lineRule="exact"/>
              <w:rPr>
                <w:rFonts w:hAnsi="宋体" w:cs="宋体"/>
                <w:sz w:val="21"/>
                <w:szCs w:val="21"/>
              </w:rPr>
            </w:pPr>
            <w:r>
              <w:rPr>
                <w:rFonts w:hint="eastAsia" w:ascii="宋体" w:hAnsi="宋体" w:eastAsia="宋体" w:cs="Times New Roman"/>
                <w:b w:val="0"/>
                <w:bCs w:val="0"/>
                <w:kern w:val="2"/>
                <w:sz w:val="21"/>
                <w:szCs w:val="21"/>
                <w:lang w:val="en-US" w:eastAsia="zh-CN" w:bidi="ar-SA"/>
              </w:rPr>
              <w:t>提供相关证明文件扫描件。未提供不得分。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restart"/>
            <w:tcBorders>
              <w:tl2br w:val="nil"/>
              <w:tr2bl w:val="nil"/>
            </w:tcBorders>
          </w:tcPr>
          <w:p>
            <w:pPr>
              <w:wordWrap w:val="0"/>
              <w:adjustRightInd w:val="0"/>
              <w:snapToGrid w:val="0"/>
              <w:spacing w:line="320" w:lineRule="exact"/>
              <w:jc w:val="center"/>
              <w:rPr>
                <w:rFonts w:ascii="宋体" w:hAnsi="宋体" w:cs="宋体"/>
                <w:b/>
                <w:bCs/>
                <w:color w:val="0000FF"/>
                <w:szCs w:val="21"/>
              </w:rPr>
            </w:pPr>
            <w:r>
              <w:rPr>
                <w:rFonts w:hint="eastAsia" w:ascii="宋体" w:hAnsi="宋体" w:cs="宋体"/>
                <w:b/>
                <w:bCs/>
                <w:color w:val="0000FF"/>
                <w:szCs w:val="21"/>
              </w:rPr>
              <w:t>4</w:t>
            </w:r>
          </w:p>
        </w:tc>
        <w:tc>
          <w:tcPr>
            <w:tcW w:w="3508" w:type="dxa"/>
            <w:gridSpan w:val="3"/>
            <w:tcBorders>
              <w:tl2br w:val="nil"/>
              <w:tr2bl w:val="nil"/>
            </w:tcBorders>
            <w:vAlign w:val="center"/>
          </w:tcPr>
          <w:p>
            <w:pPr>
              <w:wordWrap w:val="0"/>
              <w:adjustRightInd w:val="0"/>
              <w:snapToGrid w:val="0"/>
              <w:spacing w:line="320" w:lineRule="exact"/>
              <w:jc w:val="center"/>
              <w:rPr>
                <w:rFonts w:ascii="宋体" w:hAnsi="宋体" w:cs="宋体"/>
                <w:b/>
                <w:bCs/>
                <w:color w:val="0000FF"/>
                <w:szCs w:val="21"/>
              </w:rPr>
            </w:pPr>
            <w:r>
              <w:rPr>
                <w:rFonts w:hint="eastAsia" w:ascii="宋体" w:hAnsi="宋体" w:cs="宋体"/>
                <w:b/>
                <w:bCs/>
                <w:color w:val="0000FF"/>
                <w:szCs w:val="21"/>
              </w:rPr>
              <w:t>诚信情况</w:t>
            </w:r>
          </w:p>
        </w:tc>
        <w:tc>
          <w:tcPr>
            <w:tcW w:w="4856" w:type="dxa"/>
            <w:tcBorders>
              <w:tl2br w:val="nil"/>
              <w:tr2bl w:val="nil"/>
            </w:tcBorders>
          </w:tcPr>
          <w:p>
            <w:pPr>
              <w:wordWrap w:val="0"/>
              <w:adjustRightInd w:val="0"/>
              <w:snapToGrid w:val="0"/>
              <w:spacing w:line="320" w:lineRule="exact"/>
              <w:jc w:val="center"/>
              <w:rPr>
                <w:rFonts w:ascii="宋体" w:hAnsi="宋体" w:cs="宋体"/>
                <w:b/>
                <w:bCs/>
                <w:color w:val="0000FF"/>
                <w:szCs w:val="21"/>
              </w:rPr>
            </w:pPr>
            <w:r>
              <w:rPr>
                <w:rFonts w:hint="eastAsia" w:ascii="宋体" w:hAnsi="宋体" w:cs="宋体"/>
                <w:b/>
                <w:bCs/>
                <w:color w:val="0000FF"/>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pPr>
              <w:adjustRightInd w:val="0"/>
              <w:snapToGrid w:val="0"/>
              <w:spacing w:line="320" w:lineRule="exact"/>
              <w:rPr>
                <w:rFonts w:ascii="宋体" w:hAnsi="宋体" w:cs="宋体"/>
                <w:b/>
                <w:bCs/>
                <w:color w:val="0000FF"/>
                <w:szCs w:val="21"/>
              </w:rPr>
            </w:pPr>
          </w:p>
        </w:tc>
        <w:tc>
          <w:tcPr>
            <w:tcW w:w="8364" w:type="dxa"/>
            <w:gridSpan w:val="4"/>
            <w:tcBorders>
              <w:tl2br w:val="nil"/>
              <w:tr2bl w:val="nil"/>
            </w:tcBorders>
            <w:vAlign w:val="center"/>
          </w:tcPr>
          <w:p>
            <w:pPr>
              <w:wordWrap w:val="0"/>
              <w:adjustRightInd w:val="0"/>
              <w:snapToGrid w:val="0"/>
              <w:spacing w:line="3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685" w:type="dxa"/>
            <w:vMerge w:val="continue"/>
            <w:tcBorders>
              <w:tl2br w:val="nil"/>
              <w:tr2bl w:val="nil"/>
            </w:tcBorders>
            <w:shd w:val="clear" w:color="auto" w:fill="E6EFFA"/>
            <w:vAlign w:val="center"/>
          </w:tcPr>
          <w:p>
            <w:pPr>
              <w:adjustRightInd w:val="0"/>
              <w:snapToGrid w:val="0"/>
              <w:spacing w:line="320" w:lineRule="exact"/>
              <w:rPr>
                <w:rFonts w:ascii="宋体" w:hAnsi="宋体" w:cs="宋体"/>
                <w:b/>
                <w:bCs/>
                <w:color w:val="0000FF"/>
                <w:szCs w:val="21"/>
              </w:rPr>
            </w:pPr>
          </w:p>
        </w:tc>
        <w:tc>
          <w:tcPr>
            <w:tcW w:w="548" w:type="dxa"/>
            <w:tcBorders>
              <w:tl2br w:val="nil"/>
              <w:tr2bl w:val="nil"/>
            </w:tcBorders>
            <w:shd w:val="clear" w:color="auto" w:fill="E6EFFA"/>
            <w:vAlign w:val="center"/>
          </w:tcPr>
          <w:p>
            <w:pPr>
              <w:wordWrap w:val="0"/>
              <w:adjustRightInd w:val="0"/>
              <w:snapToGrid w:val="0"/>
              <w:spacing w:line="320" w:lineRule="exact"/>
              <w:jc w:val="center"/>
              <w:rPr>
                <w:rFonts w:ascii="宋体" w:hAnsi="宋体" w:cs="宋体"/>
                <w:szCs w:val="21"/>
              </w:rPr>
            </w:pPr>
            <w:r>
              <w:rPr>
                <w:rFonts w:hint="eastAsia" w:ascii="宋体" w:hAnsi="宋体" w:cs="宋体"/>
                <w:szCs w:val="21"/>
              </w:rPr>
              <w:t>序号</w:t>
            </w:r>
          </w:p>
        </w:tc>
        <w:tc>
          <w:tcPr>
            <w:tcW w:w="2264" w:type="dxa"/>
            <w:tcBorders>
              <w:tl2br w:val="nil"/>
              <w:tr2bl w:val="nil"/>
            </w:tcBorders>
            <w:shd w:val="clear" w:color="auto" w:fill="E6EFFA"/>
            <w:vAlign w:val="center"/>
          </w:tcPr>
          <w:p>
            <w:pPr>
              <w:wordWrap w:val="0"/>
              <w:adjustRightInd w:val="0"/>
              <w:snapToGrid w:val="0"/>
              <w:spacing w:line="320" w:lineRule="exact"/>
              <w:jc w:val="center"/>
              <w:rPr>
                <w:rFonts w:ascii="宋体" w:hAnsi="宋体" w:cs="宋体"/>
                <w:szCs w:val="21"/>
              </w:rPr>
            </w:pPr>
            <w:r>
              <w:rPr>
                <w:rFonts w:hint="eastAsia" w:ascii="宋体" w:hAnsi="宋体" w:cs="宋体"/>
                <w:szCs w:val="21"/>
              </w:rPr>
              <w:t>评分因素</w:t>
            </w:r>
          </w:p>
        </w:tc>
        <w:tc>
          <w:tcPr>
            <w:tcW w:w="696" w:type="dxa"/>
            <w:tcBorders>
              <w:tl2br w:val="nil"/>
              <w:tr2bl w:val="nil"/>
            </w:tcBorders>
            <w:shd w:val="clear" w:color="auto" w:fill="E6EFFA"/>
            <w:vAlign w:val="center"/>
          </w:tcPr>
          <w:p>
            <w:pPr>
              <w:wordWrap w:val="0"/>
              <w:adjustRightInd w:val="0"/>
              <w:snapToGrid w:val="0"/>
              <w:spacing w:line="320" w:lineRule="exact"/>
              <w:jc w:val="center"/>
              <w:rPr>
                <w:rFonts w:ascii="宋体" w:hAnsi="宋体" w:cs="宋体"/>
                <w:szCs w:val="21"/>
              </w:rPr>
            </w:pPr>
            <w:r>
              <w:rPr>
                <w:rFonts w:hint="eastAsia" w:ascii="宋体" w:hAnsi="宋体" w:cs="宋体"/>
                <w:szCs w:val="21"/>
              </w:rPr>
              <w:t>权重(%)</w:t>
            </w:r>
          </w:p>
        </w:tc>
        <w:tc>
          <w:tcPr>
            <w:tcW w:w="4856" w:type="dxa"/>
            <w:tcBorders>
              <w:tl2br w:val="nil"/>
              <w:tr2bl w:val="nil"/>
            </w:tcBorders>
            <w:shd w:val="clear" w:color="auto" w:fill="E6EFFA"/>
            <w:vAlign w:val="center"/>
          </w:tcPr>
          <w:p>
            <w:pPr>
              <w:wordWrap w:val="0"/>
              <w:adjustRightInd w:val="0"/>
              <w:snapToGrid w:val="0"/>
              <w:spacing w:line="320" w:lineRule="exact"/>
              <w:jc w:val="center"/>
              <w:rPr>
                <w:rFonts w:ascii="宋体" w:hAnsi="宋体" w:cs="宋体"/>
                <w:szCs w:val="21"/>
              </w:rPr>
            </w:pPr>
            <w:r>
              <w:rPr>
                <w:rFonts w:hint="eastAsia" w:ascii="宋体" w:hAnsi="宋体" w:cs="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Change w:id="1" w:author="Administrator" w:date="2024-11-13T10:35: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blPrExChange>
        </w:tblPrEx>
        <w:trPr>
          <w:trHeight w:val="3840" w:hRule="atLeast"/>
          <w:tblCellSpacing w:w="0" w:type="dxa"/>
          <w:trPrChange w:id="1" w:author="Administrator" w:date="2024-11-13T10:35:20Z">
            <w:trPr>
              <w:tblCellSpacing w:w="0" w:type="dxa"/>
            </w:trPr>
          </w:trPrChange>
        </w:trPr>
        <w:tc>
          <w:tcPr>
            <w:tcW w:w="685" w:type="dxa"/>
            <w:vMerge w:val="continue"/>
            <w:tcBorders>
              <w:tl2br w:val="nil"/>
              <w:tr2bl w:val="nil"/>
            </w:tcBorders>
            <w:vAlign w:val="center"/>
            <w:tcPrChange w:id="2" w:author="Administrator" w:date="2024-11-13T10:35:20Z">
              <w:tcPr>
                <w:tcW w:w="685" w:type="dxa"/>
                <w:vMerge w:val="continue"/>
                <w:tcBorders>
                  <w:tl2br w:val="nil"/>
                  <w:tr2bl w:val="nil"/>
                </w:tcBorders>
                <w:vAlign w:val="center"/>
              </w:tcPr>
            </w:tcPrChange>
          </w:tcPr>
          <w:p>
            <w:pPr>
              <w:adjustRightInd w:val="0"/>
              <w:snapToGrid w:val="0"/>
              <w:spacing w:line="320" w:lineRule="exact"/>
              <w:rPr>
                <w:rFonts w:ascii="宋体" w:hAnsi="宋体" w:cs="宋体"/>
                <w:b/>
                <w:bCs/>
                <w:color w:val="0000FF"/>
                <w:szCs w:val="21"/>
              </w:rPr>
            </w:pPr>
          </w:p>
        </w:tc>
        <w:tc>
          <w:tcPr>
            <w:tcW w:w="548" w:type="dxa"/>
            <w:tcBorders>
              <w:tl2br w:val="nil"/>
              <w:tr2bl w:val="nil"/>
            </w:tcBorders>
            <w:vAlign w:val="center"/>
            <w:tcPrChange w:id="3" w:author="Administrator" w:date="2024-11-13T10:35:20Z">
              <w:tcPr>
                <w:tcW w:w="548" w:type="dxa"/>
                <w:tcBorders>
                  <w:tl2br w:val="nil"/>
                  <w:tr2bl w:val="nil"/>
                </w:tcBorders>
                <w:vAlign w:val="center"/>
              </w:tcPr>
            </w:tcPrChange>
          </w:tcPr>
          <w:p>
            <w:pPr>
              <w:wordWrap w:val="0"/>
              <w:adjustRightInd w:val="0"/>
              <w:snapToGrid w:val="0"/>
              <w:spacing w:line="320" w:lineRule="exact"/>
              <w:jc w:val="center"/>
              <w:rPr>
                <w:rFonts w:ascii="宋体" w:hAnsi="宋体" w:cs="宋体"/>
                <w:szCs w:val="21"/>
              </w:rPr>
            </w:pPr>
            <w:r>
              <w:rPr>
                <w:rFonts w:hint="eastAsia" w:ascii="宋体" w:hAnsi="宋体" w:cs="宋体"/>
                <w:szCs w:val="21"/>
              </w:rPr>
              <w:t>1</w:t>
            </w:r>
          </w:p>
        </w:tc>
        <w:tc>
          <w:tcPr>
            <w:tcW w:w="2264" w:type="dxa"/>
            <w:tcBorders>
              <w:tl2br w:val="nil"/>
              <w:tr2bl w:val="nil"/>
            </w:tcBorders>
            <w:vAlign w:val="center"/>
            <w:tcPrChange w:id="4" w:author="Administrator" w:date="2024-11-13T10:35:20Z">
              <w:tcPr>
                <w:tcW w:w="2264" w:type="dxa"/>
                <w:tcBorders>
                  <w:tl2br w:val="nil"/>
                  <w:tr2bl w:val="nil"/>
                </w:tcBorders>
                <w:vAlign w:val="center"/>
              </w:tcPr>
            </w:tcPrChange>
          </w:tcPr>
          <w:p>
            <w:pPr>
              <w:wordWrap w:val="0"/>
              <w:adjustRightInd w:val="0"/>
              <w:snapToGrid w:val="0"/>
              <w:spacing w:line="320" w:lineRule="exact"/>
              <w:jc w:val="center"/>
              <w:rPr>
                <w:rFonts w:ascii="宋体" w:hAnsi="宋体" w:cs="宋体"/>
                <w:szCs w:val="21"/>
              </w:rPr>
            </w:pPr>
            <w:r>
              <w:rPr>
                <w:rFonts w:hint="eastAsia" w:ascii="宋体" w:hAnsi="宋体" w:cs="宋体"/>
                <w:szCs w:val="21"/>
              </w:rPr>
              <w:t>诚信情况</w:t>
            </w:r>
          </w:p>
        </w:tc>
        <w:tc>
          <w:tcPr>
            <w:tcW w:w="696" w:type="dxa"/>
            <w:tcBorders>
              <w:tl2br w:val="nil"/>
              <w:tr2bl w:val="nil"/>
            </w:tcBorders>
            <w:vAlign w:val="center"/>
            <w:tcPrChange w:id="5" w:author="Administrator" w:date="2024-11-13T10:35:20Z">
              <w:tcPr>
                <w:tcW w:w="696" w:type="dxa"/>
                <w:tcBorders>
                  <w:tl2br w:val="nil"/>
                  <w:tr2bl w:val="nil"/>
                </w:tcBorders>
                <w:vAlign w:val="center"/>
              </w:tcPr>
            </w:tcPrChange>
          </w:tcPr>
          <w:p>
            <w:pPr>
              <w:wordWrap w:val="0"/>
              <w:adjustRightInd w:val="0"/>
              <w:snapToGrid w:val="0"/>
              <w:spacing w:line="320" w:lineRule="exact"/>
              <w:jc w:val="center"/>
              <w:rPr>
                <w:rFonts w:ascii="宋体" w:hAnsi="宋体" w:cs="宋体"/>
                <w:szCs w:val="21"/>
              </w:rPr>
            </w:pPr>
            <w:r>
              <w:rPr>
                <w:rFonts w:hint="eastAsia" w:ascii="宋体" w:hAnsi="宋体" w:cs="宋体"/>
                <w:szCs w:val="21"/>
              </w:rPr>
              <w:t>5</w:t>
            </w:r>
          </w:p>
        </w:tc>
        <w:tc>
          <w:tcPr>
            <w:tcW w:w="4856" w:type="dxa"/>
            <w:tcBorders>
              <w:tl2br w:val="nil"/>
              <w:tr2bl w:val="nil"/>
            </w:tcBorders>
            <w:tcPrChange w:id="6" w:author="Administrator" w:date="2024-11-13T10:35:20Z">
              <w:tcPr>
                <w:tcW w:w="4856" w:type="dxa"/>
                <w:tcBorders>
                  <w:tl2br w:val="nil"/>
                  <w:tr2bl w:val="nil"/>
                </w:tcBorders>
              </w:tcPr>
            </w:tcPrChange>
          </w:tcPr>
          <w:p>
            <w:pPr>
              <w:wordWrap w:val="0"/>
              <w:adjustRightInd w:val="0"/>
              <w:snapToGrid w:val="0"/>
              <w:spacing w:line="320" w:lineRule="exact"/>
              <w:rPr>
                <w:rFonts w:ascii="宋体" w:hAnsi="宋体" w:eastAsia="宋体" w:cs="宋体"/>
                <w:szCs w:val="21"/>
              </w:rPr>
            </w:pPr>
            <w:r>
              <w:rPr>
                <w:rFonts w:hint="eastAsia" w:ascii="宋体" w:hAnsi="宋体" w:eastAsia="宋体" w:cs="宋体"/>
                <w:szCs w:val="21"/>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供应商诚信查询结果。</w:t>
            </w:r>
          </w:p>
          <w:p>
            <w:pPr>
              <w:wordWrap w:val="0"/>
              <w:adjustRightInd w:val="0"/>
              <w:snapToGrid w:val="0"/>
              <w:spacing w:line="320" w:lineRule="exact"/>
              <w:rPr>
                <w:rFonts w:ascii="宋体" w:hAnsi="宋体" w:eastAsia="宋体" w:cs="宋体"/>
                <w:szCs w:val="21"/>
              </w:rPr>
            </w:pPr>
          </w:p>
          <w:p>
            <w:pPr>
              <w:wordWrap w:val="0"/>
              <w:adjustRightInd w:val="0"/>
              <w:snapToGrid w:val="0"/>
              <w:spacing w:line="320" w:lineRule="exact"/>
              <w:rPr>
                <w:rFonts w:ascii="宋体" w:hAnsi="宋体" w:cs="宋体"/>
                <w:color w:val="FF0000"/>
                <w:szCs w:val="21"/>
              </w:rPr>
            </w:pPr>
            <w:r>
              <w:rPr>
                <w:rFonts w:hint="eastAsia" w:ascii="宋体" w:hAnsi="宋体" w:eastAsia="宋体" w:cs="宋体"/>
                <w:szCs w:val="21"/>
              </w:rPr>
              <w:t>查询渠道具体包括“信用中国”（www.creditchina.gov.cn）、“中国政府采购网”（www.ccgp.gov.cn）”以及“深圳市政府采购监管网”（http://zfcg.sz.gov.cn）为供应商信用信息的查询渠道，相关信息以开标当日的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pPr>
              <w:adjustRightInd w:val="0"/>
              <w:snapToGrid w:val="0"/>
              <w:spacing w:line="320" w:lineRule="exact"/>
              <w:rPr>
                <w:rFonts w:ascii="宋体" w:hAnsi="宋体" w:cs="宋体"/>
                <w:b/>
                <w:bCs/>
                <w:color w:val="0000FF"/>
                <w:szCs w:val="21"/>
              </w:rPr>
            </w:pPr>
          </w:p>
        </w:tc>
        <w:tc>
          <w:tcPr>
            <w:tcW w:w="8364" w:type="dxa"/>
            <w:gridSpan w:val="4"/>
            <w:tcBorders>
              <w:tl2br w:val="nil"/>
              <w:tr2bl w:val="nil"/>
            </w:tcBorders>
          </w:tcPr>
          <w:p>
            <w:pPr>
              <w:wordWrap w:val="0"/>
              <w:adjustRightInd w:val="0"/>
              <w:snapToGrid w:val="0"/>
              <w:spacing w:line="320" w:lineRule="exact"/>
              <w:rPr>
                <w:rFonts w:ascii="宋体" w:hAnsi="宋体" w:cs="宋体"/>
                <w:szCs w:val="21"/>
              </w:rPr>
            </w:pPr>
          </w:p>
        </w:tc>
      </w:tr>
    </w:tbl>
    <w:p>
      <w:pPr>
        <w:sectPr>
          <w:pgSz w:w="11907" w:h="16840"/>
          <w:pgMar w:top="1440" w:right="1417" w:bottom="1440" w:left="1417" w:header="851" w:footer="992" w:gutter="0"/>
          <w:cols w:space="425" w:num="1"/>
          <w:titlePg/>
          <w:docGrid w:linePitch="462" w:charSpace="0"/>
        </w:sectPr>
      </w:pPr>
    </w:p>
    <w:p>
      <w:pPr>
        <w:jc w:val="center"/>
        <w:rPr>
          <w:rFonts w:hint="eastAsia"/>
          <w:b/>
          <w:sz w:val="120"/>
          <w:szCs w:val="120"/>
        </w:rPr>
      </w:pPr>
    </w:p>
    <w:p>
      <w:pPr>
        <w:jc w:val="center"/>
        <w:rPr>
          <w:rFonts w:hint="eastAsia"/>
          <w:b/>
          <w:sz w:val="120"/>
          <w:szCs w:val="120"/>
        </w:rPr>
      </w:pPr>
    </w:p>
    <w:p>
      <w:pPr>
        <w:jc w:val="center"/>
        <w:rPr>
          <w:rFonts w:hint="eastAsia"/>
          <w:b/>
          <w:sz w:val="120"/>
          <w:szCs w:val="120"/>
        </w:rPr>
      </w:pPr>
    </w:p>
    <w:p>
      <w:pPr>
        <w:jc w:val="center"/>
        <w:rPr>
          <w:b/>
          <w:sz w:val="120"/>
          <w:szCs w:val="120"/>
        </w:rPr>
      </w:pPr>
      <w:r>
        <w:rPr>
          <w:rFonts w:hint="eastAsia"/>
          <w:b/>
          <w:sz w:val="120"/>
          <w:szCs w:val="120"/>
        </w:rPr>
        <w:t>政府采购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w:t>
      </w:r>
      <w:r>
        <w:rPr>
          <w:rFonts w:hint="eastAsia"/>
          <w:b/>
          <w:sz w:val="52"/>
          <w:szCs w:val="52"/>
          <w:lang w:val="en-US" w:eastAsia="zh-CN"/>
        </w:rPr>
        <w:t>工程</w:t>
      </w:r>
      <w:r>
        <w:rPr>
          <w:rFonts w:hint="eastAsia"/>
          <w:b/>
          <w:sz w:val="52"/>
          <w:szCs w:val="52"/>
        </w:rPr>
        <w:t>类）</w:t>
      </w: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bookmarkStart w:id="0" w:name="_Hlk71465316"/>
      <w:r>
        <w:rPr>
          <w:rFonts w:hint="eastAsia"/>
          <w:b/>
          <w:sz w:val="44"/>
          <w:szCs w:val="44"/>
        </w:rPr>
        <w:t>深圳公共资源交易中心</w:t>
      </w:r>
    </w:p>
    <w:p>
      <w:pPr>
        <w:jc w:val="center"/>
        <w:rPr>
          <w:sz w:val="28"/>
          <w:szCs w:val="28"/>
        </w:rPr>
      </w:pPr>
      <w:r>
        <w:rPr>
          <w:rFonts w:hint="eastAsia"/>
          <w:b/>
          <w:sz w:val="28"/>
          <w:szCs w:val="28"/>
        </w:rPr>
        <w:t>（</w:t>
      </w:r>
      <w:r>
        <w:rPr>
          <w:b/>
          <w:sz w:val="28"/>
          <w:szCs w:val="28"/>
        </w:rPr>
        <w:t>20</w:t>
      </w:r>
      <w:r>
        <w:rPr>
          <w:rFonts w:hint="eastAsia"/>
          <w:b/>
          <w:sz w:val="28"/>
          <w:szCs w:val="28"/>
        </w:rPr>
        <w:t>2</w:t>
      </w:r>
      <w:r>
        <w:rPr>
          <w:rFonts w:hint="eastAsia"/>
          <w:b/>
          <w:sz w:val="28"/>
          <w:szCs w:val="28"/>
          <w:lang w:val="en-US" w:eastAsia="zh-CN"/>
        </w:rPr>
        <w:t>4</w:t>
      </w:r>
      <w:r>
        <w:rPr>
          <w:rFonts w:hint="eastAsia"/>
          <w:b/>
          <w:sz w:val="28"/>
          <w:szCs w:val="28"/>
        </w:rPr>
        <w:t>）</w:t>
      </w:r>
      <w:bookmarkEnd w:id="0"/>
    </w:p>
    <w:p>
      <w:pPr>
        <w:ind w:firstLine="420" w:firstLineChars="200"/>
        <w:rPr>
          <w:rFonts w:hint="eastAsia"/>
        </w:rPr>
      </w:pPr>
      <w:r>
        <w:rPr>
          <w:rFonts w:hint="eastAsia"/>
        </w:rPr>
        <w:br w:type="page"/>
      </w:r>
    </w:p>
    <w:p>
      <w:pPr>
        <w:pStyle w:val="4"/>
        <w:ind w:firstLine="3855" w:firstLineChars="1600"/>
        <w:jc w:val="both"/>
        <w:rPr>
          <w:color w:val="FF0000"/>
          <w:szCs w:val="21"/>
        </w:rPr>
      </w:pPr>
      <w:r>
        <w:rPr>
          <w:rFonts w:hint="eastAsia"/>
          <w:b/>
          <w:bCs/>
          <w:color w:val="FF0000"/>
        </w:rPr>
        <w:t>警示条款</w:t>
      </w:r>
    </w:p>
    <w:p>
      <w:pP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pP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pP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pP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pP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pPr>
        <w:ind w:firstLine="400" w:firstLineChars="200"/>
        <w:rPr>
          <w:rFonts w:ascii="宋体" w:hAnsi="宋体"/>
          <w:color w:val="FF0000"/>
          <w:sz w:val="20"/>
          <w:szCs w:val="20"/>
        </w:rPr>
      </w:pPr>
      <w:r>
        <w:rPr>
          <w:rFonts w:hint="eastAsia" w:ascii="宋体" w:hAnsi="宋体"/>
          <w:color w:val="FF0000"/>
          <w:sz w:val="20"/>
          <w:szCs w:val="20"/>
        </w:rPr>
        <w:t>（六）恶意投诉的；</w:t>
      </w:r>
    </w:p>
    <w:p>
      <w:pP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pP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pP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pPr>
        <w:ind w:firstLine="402" w:firstLineChars="200"/>
        <w:rPr>
          <w:rFonts w:ascii="宋体" w:hAnsi="宋体"/>
          <w:color w:val="FF0000"/>
          <w:sz w:val="20"/>
          <w:szCs w:val="20"/>
        </w:rPr>
      </w:pPr>
      <w:r>
        <w:rPr>
          <w:rFonts w:hint="eastAsia" w:ascii="宋体" w:hAnsi="宋体"/>
          <w:b/>
          <w:bCs/>
          <w:color w:val="FF0000"/>
          <w:sz w:val="20"/>
          <w:szCs w:val="20"/>
        </w:rPr>
        <w:t>二、《深圳经济特区政府采购条例实施细则》第七十五条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w:t>
      </w:r>
      <w:r>
        <w:rPr>
          <w:rFonts w:hint="eastAsia" w:ascii="宋体" w:hAnsi="宋体"/>
          <w:color w:val="FF0000"/>
          <w:sz w:val="20"/>
          <w:szCs w:val="20"/>
          <w:lang w:val="en-US" w:eastAsia="zh-CN"/>
        </w:rPr>
        <w:t>之一</w:t>
      </w:r>
      <w:r>
        <w:rPr>
          <w:rFonts w:hint="eastAsia" w:ascii="宋体" w:hAnsi="宋体"/>
          <w:color w:val="FF0000"/>
          <w:sz w:val="20"/>
          <w:szCs w:val="20"/>
        </w:rPr>
        <w:t>的，属于采购条例所称的串通投标行为，按照采购条例第五十七条有关规定处理：（一）投标供应商之间相互约定给予未中标的供应商利益补偿</w:t>
      </w:r>
      <w:r>
        <w:rPr>
          <w:rFonts w:hint="eastAsia" w:ascii="宋体" w:hAnsi="宋体"/>
          <w:color w:val="FF0000"/>
          <w:sz w:val="20"/>
          <w:szCs w:val="20"/>
          <w:lang w:eastAsia="zh-CN"/>
        </w:rPr>
        <w:t>。</w:t>
      </w:r>
      <w:r>
        <w:rPr>
          <w:rFonts w:hint="eastAsia" w:ascii="宋体" w:hAnsi="宋体"/>
          <w:color w:val="FF0000"/>
          <w:sz w:val="20"/>
          <w:szCs w:val="20"/>
        </w:rPr>
        <w:t>（二）不同投标供应商的法定代表人、主要经营负责人、项目投标授权代表人、项目负责人、主要技术人员为同一人、属同一单位或者在同一单位缴纳社会保险</w:t>
      </w:r>
      <w:r>
        <w:rPr>
          <w:rFonts w:hint="eastAsia" w:ascii="宋体" w:hAnsi="宋体"/>
          <w:color w:val="FF0000"/>
          <w:sz w:val="20"/>
          <w:szCs w:val="20"/>
          <w:lang w:eastAsia="zh-CN"/>
        </w:rPr>
        <w:t>。</w:t>
      </w:r>
      <w:r>
        <w:rPr>
          <w:rFonts w:hint="eastAsia" w:ascii="宋体" w:hAnsi="宋体"/>
          <w:color w:val="FF0000"/>
          <w:sz w:val="20"/>
          <w:szCs w:val="20"/>
        </w:rPr>
        <w:t>（三）不同投标供应商的投标文件由同一单位或者同一人编制，或者由同一人分阶段参与编制的</w:t>
      </w:r>
      <w:r>
        <w:rPr>
          <w:rFonts w:hint="eastAsia" w:ascii="宋体" w:hAnsi="宋体"/>
          <w:color w:val="FF0000"/>
          <w:sz w:val="20"/>
          <w:szCs w:val="20"/>
          <w:lang w:eastAsia="zh-CN"/>
        </w:rPr>
        <w:t>。</w:t>
      </w:r>
      <w:r>
        <w:rPr>
          <w:rFonts w:hint="eastAsia" w:ascii="宋体" w:hAnsi="宋体"/>
          <w:color w:val="FF0000"/>
          <w:sz w:val="20"/>
          <w:szCs w:val="20"/>
        </w:rPr>
        <w:t>（四）不同投标供应商的投标文件或部分投标文件相互混装</w:t>
      </w:r>
      <w:r>
        <w:rPr>
          <w:rFonts w:hint="eastAsia" w:ascii="宋体" w:hAnsi="宋体"/>
          <w:color w:val="FF0000"/>
          <w:sz w:val="20"/>
          <w:szCs w:val="20"/>
          <w:lang w:eastAsia="zh-CN"/>
        </w:rPr>
        <w:t>。</w:t>
      </w:r>
      <w:r>
        <w:rPr>
          <w:rFonts w:hint="eastAsia" w:ascii="宋体" w:hAnsi="宋体"/>
          <w:color w:val="FF0000"/>
          <w:sz w:val="20"/>
          <w:szCs w:val="20"/>
        </w:rPr>
        <w:t>（五）不同投标供应商的投标文件内容存在非正常一致</w:t>
      </w:r>
      <w:r>
        <w:rPr>
          <w:rFonts w:hint="eastAsia" w:ascii="宋体" w:hAnsi="宋体"/>
          <w:color w:val="FF0000"/>
          <w:sz w:val="20"/>
          <w:szCs w:val="20"/>
          <w:lang w:eastAsia="zh-CN"/>
        </w:rPr>
        <w:t>。</w:t>
      </w:r>
      <w:r>
        <w:rPr>
          <w:rFonts w:hint="eastAsia" w:ascii="宋体" w:hAnsi="宋体"/>
          <w:color w:val="FF0000"/>
          <w:sz w:val="20"/>
          <w:szCs w:val="20"/>
        </w:rPr>
        <w:t>（六）由同一单位工作人员为两家以上（含两家）供应商进行同一项投标活动的</w:t>
      </w:r>
      <w:r>
        <w:rPr>
          <w:rFonts w:hint="eastAsia" w:ascii="宋体" w:hAnsi="宋体"/>
          <w:color w:val="FF0000"/>
          <w:sz w:val="20"/>
          <w:szCs w:val="20"/>
          <w:lang w:eastAsia="zh-CN"/>
        </w:rPr>
        <w:t>。</w:t>
      </w:r>
      <w:r>
        <w:rPr>
          <w:rFonts w:hint="eastAsia" w:ascii="宋体" w:hAnsi="宋体"/>
          <w:color w:val="FF0000"/>
          <w:sz w:val="20"/>
          <w:szCs w:val="20"/>
        </w:rPr>
        <w:t>（七）主管部门依照法律、法规认定的其他情形。</w:t>
      </w:r>
    </w:p>
    <w:p>
      <w:pPr>
        <w:ind w:firstLine="402" w:firstLineChars="200"/>
        <w:rPr>
          <w:rFonts w:ascii="宋体" w:hAnsi="宋体"/>
          <w:color w:val="FF0000"/>
          <w:sz w:val="20"/>
          <w:szCs w:val="20"/>
        </w:rPr>
      </w:pPr>
      <w:r>
        <w:rPr>
          <w:rFonts w:hint="eastAsia" w:ascii="宋体" w:hAnsi="宋体"/>
          <w:b/>
          <w:bCs/>
          <w:color w:val="FF0000"/>
          <w:sz w:val="20"/>
          <w:szCs w:val="20"/>
        </w:rPr>
        <w:t>三、《深圳经济特区政府采购条例实施细则》第七十七条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供应商有下列情形之一的，属于隐瞒真实情况，提供虚假资料，按照采购条例第五十七</w:t>
      </w:r>
      <w:r>
        <w:rPr>
          <w:rFonts w:hint="eastAsia" w:ascii="宋体" w:hAnsi="宋体"/>
          <w:color w:val="FF0000"/>
          <w:sz w:val="20"/>
          <w:szCs w:val="20"/>
          <w:lang w:val="en-US" w:eastAsia="zh-CN"/>
        </w:rPr>
        <w:t>条</w:t>
      </w:r>
      <w:r>
        <w:rPr>
          <w:rFonts w:hint="eastAsia" w:ascii="宋体" w:hAnsi="宋体"/>
          <w:color w:val="FF0000"/>
          <w:sz w:val="20"/>
          <w:szCs w:val="20"/>
        </w:rPr>
        <w:t>的有关规定处理：（一）通过转让或者租借等方式从其他单位获取资格或者资质证书投标的</w:t>
      </w:r>
      <w:r>
        <w:rPr>
          <w:rFonts w:hint="eastAsia" w:ascii="宋体" w:hAnsi="宋体"/>
          <w:color w:val="FF0000"/>
          <w:sz w:val="20"/>
          <w:szCs w:val="20"/>
          <w:lang w:eastAsia="zh-CN"/>
        </w:rPr>
        <w:t>。</w:t>
      </w:r>
      <w:r>
        <w:rPr>
          <w:rFonts w:hint="eastAsia" w:ascii="宋体" w:hAnsi="宋体"/>
          <w:color w:val="FF0000"/>
          <w:sz w:val="20"/>
          <w:szCs w:val="20"/>
        </w:rPr>
        <w:t>（二）由其他单位或者其他单位负责人在投标供应商编制的投标文件上加盖印章或者签字的</w:t>
      </w:r>
      <w:r>
        <w:rPr>
          <w:rFonts w:hint="eastAsia" w:ascii="宋体" w:hAnsi="宋体"/>
          <w:color w:val="FF0000"/>
          <w:sz w:val="20"/>
          <w:szCs w:val="20"/>
          <w:lang w:eastAsia="zh-CN"/>
        </w:rPr>
        <w:t>。</w:t>
      </w:r>
      <w:r>
        <w:rPr>
          <w:rFonts w:hint="eastAsia" w:ascii="宋体" w:hAnsi="宋体"/>
          <w:color w:val="FF0000"/>
          <w:sz w:val="20"/>
          <w:szCs w:val="20"/>
        </w:rPr>
        <w:t>（三）项目负责人或者主要技术人员不是本单位人员的</w:t>
      </w:r>
      <w:r>
        <w:rPr>
          <w:rFonts w:hint="eastAsia" w:ascii="宋体" w:hAnsi="宋体"/>
          <w:color w:val="FF0000"/>
          <w:sz w:val="20"/>
          <w:szCs w:val="20"/>
          <w:lang w:eastAsia="zh-CN"/>
        </w:rPr>
        <w:t>。</w:t>
      </w:r>
      <w:r>
        <w:rPr>
          <w:rFonts w:hint="eastAsia" w:ascii="宋体" w:hAnsi="宋体"/>
          <w:color w:val="FF0000"/>
          <w:sz w:val="20"/>
          <w:szCs w:val="20"/>
        </w:rPr>
        <w:t>（四）投标保证金不是从投标供应商基本账户转出的</w:t>
      </w:r>
      <w:r>
        <w:rPr>
          <w:rFonts w:hint="eastAsia" w:ascii="宋体" w:hAnsi="宋体"/>
          <w:color w:val="FF0000"/>
          <w:sz w:val="20"/>
          <w:szCs w:val="20"/>
          <w:lang w:eastAsia="zh-CN"/>
        </w:rPr>
        <w:t>。</w:t>
      </w:r>
      <w:r>
        <w:rPr>
          <w:rFonts w:hint="eastAsia" w:ascii="宋体" w:hAnsi="宋体"/>
          <w:color w:val="FF0000"/>
          <w:sz w:val="20"/>
          <w:szCs w:val="20"/>
        </w:rPr>
        <w:t>（五）其他隐瞒真实情况、提供虚假资料的行为。</w:t>
      </w:r>
    </w:p>
    <w:p>
      <w:pP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pPr>
        <w:ind w:firstLine="422" w:firstLineChars="200"/>
        <w:rPr>
          <w:rFonts w:hint="eastAsia"/>
          <w:b/>
          <w:color w:val="FF0000"/>
        </w:rPr>
      </w:pPr>
      <w:r>
        <w:rPr>
          <w:rFonts w:hint="eastAsia"/>
          <w:b/>
          <w:color w:val="FF0000"/>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ind w:firstLine="400" w:firstLineChars="200"/>
        <w:rPr>
          <w:rFonts w:ascii="宋体" w:hAnsi="宋体"/>
          <w:color w:val="FF0000"/>
          <w:sz w:val="20"/>
          <w:szCs w:val="20"/>
        </w:rPr>
        <w:sectPr>
          <w:pgSz w:w="11907" w:h="16840"/>
          <w:pgMar w:top="1440" w:right="1797" w:bottom="1440" w:left="1797" w:header="851" w:footer="992" w:gutter="0"/>
          <w:cols w:space="425" w:num="1"/>
          <w:titlePg/>
          <w:docGrid w:linePitch="462" w:charSpace="0"/>
        </w:sectPr>
      </w:pPr>
    </w:p>
    <w:p>
      <w:pPr>
        <w:pStyle w:val="3"/>
      </w:pPr>
      <w:r>
        <w:rPr>
          <w:rFonts w:hint="eastAsia"/>
        </w:rPr>
        <w:t>目   录</w:t>
      </w:r>
    </w:p>
    <w:p>
      <w:pPr>
        <w:outlineLvl w:val="0"/>
        <w:rPr>
          <w:b/>
          <w:sz w:val="24"/>
        </w:rPr>
      </w:pPr>
      <w:r>
        <w:rPr>
          <w:rFonts w:hint="eastAsia"/>
          <w:b/>
          <w:sz w:val="24"/>
        </w:rPr>
        <w:t>第一册  专用条款</w:t>
      </w:r>
    </w:p>
    <w:p>
      <w:pPr>
        <w:ind w:firstLine="960" w:firstLineChars="400"/>
        <w:rPr>
          <w:sz w:val="24"/>
        </w:rPr>
      </w:pPr>
      <w:r>
        <w:rPr>
          <w:rFonts w:hint="eastAsia"/>
          <w:sz w:val="24"/>
        </w:rPr>
        <w:t>关键信息</w:t>
      </w:r>
    </w:p>
    <w:p>
      <w:pPr>
        <w:ind w:left="630" w:leftChars="300" w:firstLine="630" w:firstLineChars="300"/>
        <w:rPr>
          <w:rFonts w:ascii="宋体" w:hAnsi="宋体"/>
          <w:szCs w:val="21"/>
        </w:rPr>
      </w:pPr>
      <w:r>
        <w:rPr>
          <w:rFonts w:hint="eastAsia" w:ascii="宋体" w:hAnsi="宋体"/>
          <w:szCs w:val="21"/>
        </w:rPr>
        <w:t>第一章  招标公告</w:t>
      </w:r>
    </w:p>
    <w:p>
      <w:pPr>
        <w:ind w:left="630" w:leftChars="300" w:firstLine="630" w:firstLineChars="300"/>
        <w:rPr>
          <w:rFonts w:ascii="宋体" w:hAnsi="宋体"/>
          <w:szCs w:val="21"/>
        </w:rPr>
      </w:pPr>
      <w:r>
        <w:rPr>
          <w:rFonts w:hint="eastAsia" w:ascii="宋体" w:hAnsi="宋体"/>
          <w:szCs w:val="21"/>
        </w:rPr>
        <w:t xml:space="preserve">第二章  </w:t>
      </w:r>
      <w:bookmarkStart w:id="1" w:name="_Hlk71994379"/>
      <w:r>
        <w:rPr>
          <w:rFonts w:hint="eastAsia" w:ascii="宋体" w:hAnsi="宋体"/>
          <w:szCs w:val="21"/>
        </w:rPr>
        <w:t>对通用条款的补充内容及其他关键信息</w:t>
      </w:r>
      <w:bookmarkEnd w:id="1"/>
    </w:p>
    <w:p>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pPr>
        <w:ind w:left="630" w:leftChars="300" w:firstLine="630" w:firstLineChars="300"/>
        <w:rPr>
          <w:rFonts w:ascii="宋体" w:hAnsi="宋体"/>
          <w:szCs w:val="21"/>
        </w:rPr>
      </w:pPr>
      <w:r>
        <w:rPr>
          <w:rFonts w:hint="eastAsia" w:ascii="宋体" w:hAnsi="宋体"/>
          <w:szCs w:val="21"/>
        </w:rPr>
        <w:t>第五章  合同条款及格式</w:t>
      </w:r>
    </w:p>
    <w:p>
      <w:pPr>
        <w:rPr>
          <w:b/>
          <w:sz w:val="24"/>
        </w:rPr>
      </w:pPr>
    </w:p>
    <w:p>
      <w:pPr>
        <w:outlineLvl w:val="0"/>
        <w:rPr>
          <w:b/>
          <w:sz w:val="24"/>
        </w:rPr>
      </w:pPr>
      <w:r>
        <w:rPr>
          <w:rFonts w:hint="eastAsia"/>
          <w:b/>
          <w:sz w:val="24"/>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评审要求</w:t>
      </w:r>
    </w:p>
    <w:p>
      <w:pPr>
        <w:ind w:left="630" w:leftChars="300" w:firstLine="411" w:firstLineChars="196"/>
        <w:rPr>
          <w:rFonts w:ascii="宋体" w:hAnsi="宋体"/>
          <w:szCs w:val="21"/>
        </w:rPr>
      </w:pPr>
      <w:r>
        <w:rPr>
          <w:rFonts w:hint="eastAsia" w:ascii="宋体" w:hAnsi="宋体"/>
          <w:szCs w:val="21"/>
        </w:rPr>
        <w:t>第七章  评审程序及评审方法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公开招标失败的后续处理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pPr>
        <w:ind w:firstLine="1050" w:firstLineChars="500"/>
        <w:outlineLvl w:val="0"/>
        <w:rPr>
          <w:b/>
          <w:sz w:val="24"/>
        </w:rPr>
      </w:pPr>
      <w:r>
        <w:rPr>
          <w:rFonts w:hint="eastAsia" w:ascii="宋体" w:hAnsi="宋体"/>
          <w:szCs w:val="21"/>
        </w:rPr>
        <w:t>第十一章  质疑处理</w:t>
      </w:r>
    </w:p>
    <w:p>
      <w:pPr>
        <w:spacing w:line="360" w:lineRule="auto"/>
        <w:ind w:firstLine="420" w:firstLineChars="200"/>
        <w:jc w:val="left"/>
        <w:rPr>
          <w:rFonts w:ascii="宋体" w:hAnsi="宋体"/>
          <w:szCs w:val="21"/>
        </w:rPr>
      </w:pPr>
    </w:p>
    <w:p>
      <w:pPr>
        <w:pStyle w:val="3"/>
        <w:rPr>
          <w:sz w:val="24"/>
        </w:rPr>
      </w:pPr>
      <w:r>
        <w:br w:type="page"/>
      </w:r>
      <w:bookmarkStart w:id="2" w:name="bt商务标投标文件格式"/>
      <w:bookmarkEnd w:id="2"/>
      <w:bookmarkStart w:id="3" w:name="bt投标报价汇总表"/>
      <w:bookmarkEnd w:id="3"/>
      <w:bookmarkStart w:id="4" w:name="bt说明"/>
      <w:bookmarkEnd w:id="4"/>
      <w:bookmarkStart w:id="5" w:name="bt项目管理班子配备情况"/>
      <w:bookmarkEnd w:id="5"/>
      <w:bookmarkStart w:id="6" w:name="bt投标人情况介绍"/>
      <w:bookmarkEnd w:id="6"/>
      <w:bookmarkStart w:id="7" w:name="bt其他资料由投标人自定"/>
      <w:bookmarkEnd w:id="7"/>
      <w:bookmarkStart w:id="8" w:name="合同格式"/>
      <w:bookmarkEnd w:id="8"/>
      <w:bookmarkStart w:id="9" w:name="bt合同格式"/>
      <w:bookmarkEnd w:id="9"/>
      <w:bookmarkStart w:id="10" w:name="bt投标函"/>
      <w:bookmarkEnd w:id="10"/>
      <w:bookmarkStart w:id="11" w:name="bt技术标投标文件格式"/>
      <w:bookmarkEnd w:id="11"/>
      <w:bookmarkStart w:id="12" w:name="bt投标人须知"/>
      <w:bookmarkEnd w:id="12"/>
      <w:bookmarkStart w:id="13" w:name="bt其他资料2"/>
      <w:bookmarkEnd w:id="13"/>
      <w:bookmarkStart w:id="14" w:name="bt投标文件签署授权委托书"/>
      <w:bookmarkEnd w:id="14"/>
      <w:bookmarkStart w:id="15" w:name="bt合同条款"/>
      <w:bookmarkEnd w:id="15"/>
      <w:bookmarkStart w:id="16" w:name="bt本工程承诺书"/>
      <w:bookmarkEnd w:id="16"/>
      <w:bookmarkStart w:id="17" w:name="bt合同条款及格式"/>
      <w:bookmarkEnd w:id="17"/>
      <w:bookmarkStart w:id="18" w:name="bt开标一览表"/>
      <w:bookmarkEnd w:id="18"/>
      <w:r>
        <w:rPr>
          <w:rFonts w:hint="eastAsia"/>
        </w:rPr>
        <w:t>第一册</w:t>
      </w:r>
      <w:r>
        <w:rPr>
          <w:rFonts w:hint="eastAsia"/>
          <w:lang w:val="en-US" w:eastAsia="zh-CN"/>
        </w:rPr>
        <w:t xml:space="preserve">  </w:t>
      </w:r>
      <w:r>
        <w:rPr>
          <w:rFonts w:hint="eastAsia"/>
        </w:rPr>
        <w:t>专用条款</w:t>
      </w:r>
    </w:p>
    <w:p>
      <w:pPr>
        <w:pStyle w:val="4"/>
        <w:rPr>
          <w:rFonts w:hint="eastAsia"/>
          <w:sz w:val="28"/>
          <w:szCs w:val="28"/>
        </w:rPr>
      </w:pPr>
      <w:r>
        <w:rPr>
          <w:rFonts w:hint="eastAsia"/>
          <w:sz w:val="28"/>
          <w:szCs w:val="28"/>
        </w:rPr>
        <w:t>第一章  招标公告</w:t>
      </w:r>
    </w:p>
    <w:tbl>
      <w:tblPr>
        <w:tblStyle w:val="42"/>
        <w:tblW w:w="8147" w:type="dxa"/>
        <w:jc w:val="center"/>
        <w:tblCellSpacing w:w="0" w:type="dxa"/>
        <w:tblLayout w:type="fixed"/>
        <w:tblCellMar>
          <w:top w:w="0" w:type="dxa"/>
          <w:left w:w="0" w:type="dxa"/>
          <w:bottom w:w="0" w:type="dxa"/>
          <w:right w:w="0" w:type="dxa"/>
        </w:tblCellMar>
      </w:tblPr>
      <w:tblGrid>
        <w:gridCol w:w="8147"/>
      </w:tblGrid>
      <w:tr>
        <w:trPr>
          <w:tblCellSpacing w:w="0" w:type="dxa"/>
          <w:jc w:val="center"/>
        </w:trPr>
        <w:tc>
          <w:tcPr>
            <w:tcW w:w="8147" w:type="dxa"/>
            <w:vAlign w:val="center"/>
          </w:tcPr>
          <w:tbl>
            <w:tblPr>
              <w:tblStyle w:val="42"/>
              <w:tblW w:w="8147" w:type="dxa"/>
              <w:jc w:val="center"/>
              <w:tblCellSpacing w:w="0" w:type="dxa"/>
              <w:tblLayout w:type="fixed"/>
              <w:tblCellMar>
                <w:top w:w="30" w:type="dxa"/>
                <w:left w:w="30" w:type="dxa"/>
                <w:bottom w:w="30" w:type="dxa"/>
                <w:right w:w="30" w:type="dxa"/>
              </w:tblCellMar>
            </w:tblPr>
            <w:tblGrid>
              <w:gridCol w:w="8147"/>
            </w:tblGrid>
            <w:tr>
              <w:tblPrEx>
                <w:tblCellMar>
                  <w:top w:w="30" w:type="dxa"/>
                  <w:left w:w="30" w:type="dxa"/>
                  <w:bottom w:w="30" w:type="dxa"/>
                  <w:right w:w="30" w:type="dxa"/>
                </w:tblCellMar>
              </w:tblPrEx>
              <w:trPr>
                <w:tblCellSpacing w:w="0" w:type="dxa"/>
                <w:jc w:val="center"/>
              </w:trPr>
              <w:tc>
                <w:tcPr>
                  <w:tcW w:w="8147" w:type="dxa"/>
                </w:tcPr>
                <w:p>
                  <w:pPr>
                    <w:spacing w:line="360" w:lineRule="auto"/>
                    <w:rPr>
                      <w:rFonts w:ascii="宋体" w:hAnsi="宋体" w:cs="宋体"/>
                      <w:b/>
                      <w:bCs/>
                      <w:kern w:val="0"/>
                      <w:szCs w:val="21"/>
                    </w:rPr>
                  </w:pPr>
                  <w:r>
                    <w:rPr>
                      <w:rFonts w:hint="eastAsia" w:ascii="宋体" w:hAnsi="宋体" w:cs="宋体"/>
                      <w:b/>
                      <w:bCs/>
                      <w:kern w:val="0"/>
                      <w:szCs w:val="21"/>
                    </w:rPr>
                    <w:t>申请人的资格要求：</w:t>
                  </w:r>
                </w:p>
                <w:p>
                  <w:pPr>
                    <w:ind w:firstLine="630" w:firstLineChars="300"/>
                    <w:rPr>
                      <w:rFonts w:hint="eastAsia" w:ascii="宋体" w:hAnsi="宋体" w:cs="宋体"/>
                      <w:kern w:val="0"/>
                      <w:szCs w:val="21"/>
                    </w:rPr>
                  </w:pPr>
                  <w:r>
                    <w:rPr>
                      <w:rFonts w:hint="eastAsia" w:ascii="宋体" w:hAnsi="宋体" w:cs="宋体"/>
                      <w:kern w:val="0"/>
                      <w:szCs w:val="21"/>
                    </w:rPr>
                    <w:t>1.具有独立承担民事责任的能力（提供营业执照或事业单位法人证书等证明资料扫描件，原件备查，分支机构参与投标的，须同时提供总公司授权文件且授权书载明其民事责任由总公司承担）；</w:t>
                  </w:r>
                </w:p>
                <w:p>
                  <w:pPr>
                    <w:ind w:firstLine="630" w:firstLineChars="300"/>
                    <w:rPr>
                      <w:rFonts w:hint="eastAsia" w:ascii="宋体" w:hAnsi="宋体" w:cs="宋体"/>
                      <w:kern w:val="0"/>
                      <w:szCs w:val="21"/>
                    </w:rPr>
                  </w:pPr>
                  <w:r>
                    <w:rPr>
                      <w:rFonts w:hint="eastAsia" w:ascii="宋体" w:hAnsi="宋体" w:cs="宋体"/>
                      <w:kern w:val="0"/>
                      <w:szCs w:val="21"/>
                    </w:rPr>
                    <w:t>2.</w:t>
                  </w:r>
                  <w:r>
                    <w:rPr>
                      <w:rFonts w:hint="eastAsia" w:ascii="宋体" w:hAnsi="宋体"/>
                      <w:szCs w:val="21"/>
                    </w:rPr>
                    <w:t>本项目不接受联合体投标，不接受投标人选用进口产品参与投标；</w:t>
                  </w:r>
                  <w:r>
                    <w:rPr>
                      <w:rFonts w:hint="eastAsia" w:ascii="宋体" w:hAnsi="宋体" w:cs="宋体"/>
                      <w:kern w:val="0"/>
                      <w:szCs w:val="21"/>
                    </w:rPr>
                    <w:t xml:space="preserve"> </w:t>
                  </w:r>
                </w:p>
                <w:p>
                  <w:pPr>
                    <w:ind w:firstLine="630" w:firstLineChars="300"/>
                    <w:rPr>
                      <w:rFonts w:hint="eastAsia"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.参与本项目政府采购活动时不存在被有关部门禁止参与政府采购活动且在有效期内的情况（由供应商在《政府采购应答及履约承诺函》中作出声明）；</w:t>
                  </w:r>
                </w:p>
                <w:p>
                  <w:pPr>
                    <w:ind w:firstLine="630" w:firstLineChars="300"/>
                    <w:rPr>
                      <w:rFonts w:hint="eastAsia"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.具备《中华人民共和国政府采购法》第二十二条第一款的条件（由供应商在《政府采购应答及履约承诺函》中作出声明）；</w:t>
                  </w:r>
                </w:p>
                <w:p>
                  <w:pPr>
                    <w:ind w:firstLine="630" w:firstLineChars="300"/>
                    <w:rPr>
                      <w:rFonts w:hint="eastAsia" w:ascii="宋体" w:hAnsi="宋体" w:cs="宋体"/>
                      <w:kern w:val="0"/>
                      <w:szCs w:val="21"/>
                    </w:rPr>
                  </w:pPr>
                  <w:r>
                    <w:rPr>
                      <w:rFonts w:hint="eastAsia" w:ascii="宋体" w:hAnsi="宋体" w:cs="宋体"/>
                      <w:kern w:val="0"/>
                      <w:szCs w:val="21"/>
                      <w:lang w:val="en-US" w:eastAsia="zh-CN"/>
                    </w:rPr>
                    <w:t>5</w:t>
                  </w:r>
                  <w:r>
                    <w:rPr>
                      <w:rFonts w:hint="eastAsia" w:ascii="宋体" w:hAnsi="宋体" w:cs="宋体"/>
                      <w:kern w:val="0"/>
                      <w:szCs w:val="21"/>
                    </w:rPr>
                    <w:t>.未被列入失信被执行人、重大税收违法案件当事人名单、政府采购严重违法失信行为记录名单（由供应商在《政府采购应答及履约承诺函》中作出声明）；</w:t>
                  </w:r>
                </w:p>
                <w:p>
                  <w:pPr>
                    <w:ind w:firstLine="630" w:firstLineChars="300"/>
                    <w:rPr>
                      <w:rFonts w:hint="eastAsia" w:ascii="宋体" w:hAnsi="宋体" w:cs="宋体"/>
                      <w:kern w:val="0"/>
                      <w:szCs w:val="21"/>
                    </w:rPr>
                  </w:pPr>
                  <w:r>
                    <w:rPr>
                      <w:rFonts w:hint="eastAsia" w:ascii="宋体" w:hAnsi="宋体" w:cs="宋体"/>
                      <w:kern w:val="0"/>
                      <w:szCs w:val="21"/>
                      <w:lang w:val="en-US" w:eastAsia="zh-CN"/>
                    </w:rPr>
                    <w:t>6</w:t>
                  </w:r>
                  <w:r>
                    <w:rPr>
                      <w:rFonts w:hint="eastAsia" w:ascii="宋体" w:hAnsi="宋体" w:cs="宋体"/>
                      <w:kern w:val="0"/>
                      <w:szCs w:val="21"/>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应答及履约承诺函》中作出声明）；</w:t>
                  </w:r>
                </w:p>
                <w:p>
                  <w:pPr>
                    <w:ind w:firstLine="630" w:firstLineChars="300"/>
                    <w:rPr>
                      <w:rFonts w:hint="eastAsia" w:ascii="宋体" w:hAnsi="宋体" w:cs="宋体"/>
                      <w:kern w:val="0"/>
                      <w:szCs w:val="21"/>
                    </w:rPr>
                  </w:pPr>
                  <w:r>
                    <w:rPr>
                      <w:rFonts w:hint="eastAsia" w:ascii="宋体" w:hAnsi="宋体" w:cs="宋体"/>
                      <w:kern w:val="0"/>
                      <w:szCs w:val="21"/>
                      <w:lang w:val="en-US" w:eastAsia="zh-CN"/>
                    </w:rPr>
                    <w:t>7</w:t>
                  </w:r>
                  <w:r>
                    <w:rPr>
                      <w:rFonts w:hint="eastAsia" w:ascii="宋体" w:hAnsi="宋体" w:cs="宋体"/>
                      <w:kern w:val="0"/>
                      <w:szCs w:val="21"/>
                    </w:rPr>
                    <w:t>. 参与本项目政府采购活动时不存在《深圳市财政局政府采购供应商信用信息管理办法》（深财规〔2023〕3号）列明的严重违法失信行为（由供应商在《政府采购投标及履约承诺函》中作出声明）；</w:t>
                  </w:r>
                </w:p>
                <w:p>
                  <w:pPr>
                    <w:ind w:firstLine="630" w:firstLineChars="300"/>
                    <w:rPr>
                      <w:rFonts w:hint="eastAsia" w:ascii="宋体" w:hAnsi="宋体" w:cs="宋体"/>
                      <w:kern w:val="0"/>
                      <w:szCs w:val="21"/>
                    </w:rPr>
                  </w:pPr>
                  <w:r>
                    <w:rPr>
                      <w:rFonts w:hint="eastAsia" w:ascii="宋体" w:hAnsi="宋体" w:cs="宋体"/>
                      <w:kern w:val="0"/>
                      <w:szCs w:val="21"/>
                      <w:lang w:val="en-US" w:eastAsia="zh-CN"/>
                    </w:rPr>
                    <w:t>8</w:t>
                  </w:r>
                  <w:r>
                    <w:rPr>
                      <w:rFonts w:hint="eastAsia" w:ascii="宋体" w:hAnsi="宋体" w:cs="宋体"/>
                      <w:kern w:val="0"/>
                      <w:szCs w:val="21"/>
                    </w:rPr>
                    <w:t>.根据《〈关于严厉惩处建设工程安全生产违法违规行为的若干措施（试行）〉的实施细则》要求，因违反工程质量、安全生产管理规定等原因处于红色警示且警示期内的，不得参于</w:t>
                  </w:r>
                  <w:r>
                    <w:rPr>
                      <w:rFonts w:hint="eastAsia" w:ascii="宋体" w:hAnsi="宋体" w:cs="宋体"/>
                      <w:kern w:val="0"/>
                      <w:szCs w:val="21"/>
                      <w:lang w:val="en-US" w:eastAsia="zh-CN"/>
                    </w:rPr>
                    <w:t>投标</w:t>
                  </w:r>
                  <w:r>
                    <w:rPr>
                      <w:rFonts w:hint="eastAsia" w:ascii="宋体" w:hAnsi="宋体" w:cs="宋体"/>
                      <w:kern w:val="0"/>
                      <w:szCs w:val="21"/>
                    </w:rPr>
                    <w:t>（由供应商在《政府采购应答及履约承诺函》中作出声明）；</w:t>
                  </w:r>
                </w:p>
                <w:p>
                  <w:pPr>
                    <w:ind w:firstLine="630" w:firstLineChars="300"/>
                    <w:rPr>
                      <w:rFonts w:hint="eastAsia" w:ascii="宋体" w:hAnsi="宋体" w:cs="宋体"/>
                      <w:kern w:val="0"/>
                      <w:szCs w:val="21"/>
                    </w:rPr>
                  </w:pPr>
                  <w:r>
                    <w:rPr>
                      <w:rFonts w:hint="eastAsia" w:ascii="宋体" w:hAnsi="宋体" w:cs="宋体"/>
                      <w:kern w:val="0"/>
                      <w:szCs w:val="21"/>
                      <w:lang w:val="en-US" w:eastAsia="zh-CN"/>
                    </w:rPr>
                    <w:t>9</w:t>
                  </w:r>
                  <w:r>
                    <w:rPr>
                      <w:rFonts w:hint="eastAsia" w:ascii="宋体" w:hAnsi="宋体" w:cs="宋体"/>
                      <w:kern w:val="0"/>
                      <w:szCs w:val="21"/>
                    </w:rPr>
                    <w:t>.具备建设主管部门颁发的安全生产许可证（有效期需覆盖施工期；提供安全生产许可证扫描件）；</w:t>
                  </w:r>
                </w:p>
                <w:p>
                  <w:pPr>
                    <w:ind w:firstLine="630" w:firstLineChars="300"/>
                    <w:rPr>
                      <w:rFonts w:hint="eastAsia"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0</w:t>
                  </w:r>
                  <w:r>
                    <w:rPr>
                      <w:rFonts w:hint="eastAsia" w:ascii="宋体" w:hAnsi="宋体" w:cs="宋体"/>
                      <w:kern w:val="0"/>
                      <w:szCs w:val="21"/>
                    </w:rPr>
                    <w:t>.具有有效期内的建筑装饰装修工程专业承包二级及以上资质。</w:t>
                  </w:r>
                </w:p>
                <w:p>
                  <w:pPr>
                    <w:ind w:firstLine="630" w:firstLineChars="300"/>
                    <w:rPr>
                      <w:rFonts w:hint="eastAsia"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1</w:t>
                  </w:r>
                  <w:r>
                    <w:rPr>
                      <w:rFonts w:hint="eastAsia" w:ascii="宋体" w:hAnsi="宋体" w:cs="宋体"/>
                      <w:kern w:val="0"/>
                      <w:szCs w:val="21"/>
                    </w:rPr>
                    <w:t>.具备有效的建筑工程施工总承包三级（含）以上（提供资质证书扫描件）;</w:t>
                  </w:r>
                </w:p>
                <w:p>
                  <w:pPr>
                    <w:keepNext w:val="0"/>
                    <w:keepLines w:val="0"/>
                    <w:pageBreakBefore w:val="0"/>
                    <w:widowControl w:val="0"/>
                    <w:kinsoku/>
                    <w:wordWrap w:val="0"/>
                    <w:overflowPunct/>
                    <w:topLinePunct w:val="0"/>
                    <w:autoSpaceDE/>
                    <w:autoSpaceDN/>
                    <w:bidi w:val="0"/>
                    <w:adjustRightInd/>
                    <w:snapToGrid/>
                    <w:ind w:firstLine="630" w:firstLineChars="300"/>
                    <w:textAlignment w:val="auto"/>
                    <w:rPr>
                      <w:rFonts w:hint="eastAsia"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2</w:t>
                  </w:r>
                  <w:r>
                    <w:rPr>
                      <w:rFonts w:hint="eastAsia" w:ascii="宋体" w:hAnsi="宋体" w:cs="宋体"/>
                      <w:kern w:val="0"/>
                      <w:szCs w:val="21"/>
                    </w:rPr>
                    <w:t>.本项目是（否）专门面向中小企业采购：</w:t>
                  </w:r>
                  <w:r>
                    <w:rPr>
                      <w:rFonts w:hint="eastAsia" w:ascii="宋体" w:hAnsi="宋体" w:cs="宋体"/>
                      <w:kern w:val="0"/>
                      <w:szCs w:val="21"/>
                      <w:lang w:val="en-US" w:eastAsia="zh-CN"/>
                    </w:rPr>
                    <w:t>是，本项目的承接单位为</w:t>
                  </w:r>
                  <w:r>
                    <w:rPr>
                      <w:rFonts w:hint="eastAsia" w:ascii="宋体" w:hAnsi="宋体" w:cs="宋体"/>
                      <w:kern w:val="0"/>
                      <w:szCs w:val="21"/>
                    </w:rPr>
                    <w:t>符合政策要求的中小微企业、残疾人福利性</w:t>
                  </w:r>
                  <w:r>
                    <w:rPr>
                      <w:rFonts w:hint="eastAsia" w:ascii="宋体" w:hAnsi="宋体" w:cs="宋体"/>
                      <w:kern w:val="0"/>
                      <w:szCs w:val="21"/>
                      <w:lang w:val="en-US" w:eastAsia="zh-CN"/>
                    </w:rPr>
                    <w:t>单位或</w:t>
                  </w:r>
                  <w:r>
                    <w:rPr>
                      <w:rFonts w:hint="eastAsia" w:ascii="宋体" w:hAnsi="宋体" w:cs="宋体"/>
                      <w:kern w:val="0"/>
                      <w:szCs w:val="21"/>
                    </w:rPr>
                    <w:t>监狱企业（由供应商在《中小企业声明函、残疾人福利性单位声明函及监狱企业声明函》中作出声明</w:t>
                  </w:r>
                  <w:r>
                    <w:rPr>
                      <w:rFonts w:hint="eastAsia" w:ascii="宋体" w:hAnsi="宋体" w:cs="宋体"/>
                      <w:kern w:val="0"/>
                      <w:szCs w:val="21"/>
                      <w:lang w:eastAsia="zh-CN"/>
                    </w:rPr>
                    <w:t>；</w:t>
                  </w:r>
                  <w:r>
                    <w:rPr>
                      <w:rFonts w:hint="eastAsia" w:ascii="宋体" w:hAnsi="宋体" w:cs="宋体"/>
                      <w:kern w:val="0"/>
                      <w:szCs w:val="21"/>
                      <w:lang w:val="en-US" w:eastAsia="zh-CN"/>
                    </w:rPr>
                    <w:t>未提供声明函或声明函不符合“填写指引”的，按资格审查不通过处理</w:t>
                  </w:r>
                  <w:r>
                    <w:rPr>
                      <w:rFonts w:hint="eastAsia" w:ascii="宋体" w:hAnsi="宋体" w:cs="宋体"/>
                      <w:kern w:val="0"/>
                      <w:szCs w:val="21"/>
                    </w:rPr>
                    <w:t>）。</w:t>
                  </w:r>
                </w:p>
                <w:p>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ascii="宋体" w:hAnsi="宋体" w:cs="宋体"/>
                      <w:kern w:val="0"/>
                      <w:szCs w:val="21"/>
                    </w:rPr>
                  </w:pPr>
                </w:p>
                <w:p>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ascii="宋体" w:hAnsi="宋体" w:cs="宋体"/>
                      <w:kern w:val="0"/>
                      <w:szCs w:val="21"/>
                    </w:rPr>
                  </w:pPr>
                  <w:r>
                    <w:rPr>
                      <w:rFonts w:hint="eastAsia" w:ascii="宋体" w:hAnsi="宋体" w:cs="宋体"/>
                      <w:kern w:val="0"/>
                      <w:szCs w:val="21"/>
                    </w:rPr>
                    <w:t>注：（1）“信用中国”（www.creditchina.gov.cn</w:t>
                  </w:r>
                  <w:r>
                    <w:rPr>
                      <w:rFonts w:hint="eastAsia" w:ascii="宋体" w:hAnsi="宋体" w:cs="宋体"/>
                      <w:kern w:val="0"/>
                      <w:szCs w:val="21"/>
                      <w:lang w:eastAsia="zh-CN"/>
                    </w:rPr>
                    <w:t>，</w:t>
                  </w:r>
                  <w:r>
                    <w:rPr>
                      <w:rFonts w:hint="eastAsia" w:ascii="宋体" w:hAnsi="宋体" w:cs="宋体"/>
                      <w:kern w:val="0"/>
                      <w:szCs w:val="21"/>
                      <w:lang w:val="en-US" w:eastAsia="zh-CN"/>
                    </w:rPr>
                    <w:t>查询</w:t>
                  </w:r>
                  <w:r>
                    <w:rPr>
                      <w:rFonts w:hint="eastAsia" w:ascii="宋体" w:hAnsi="宋体" w:cs="宋体"/>
                      <w:kern w:val="0"/>
                      <w:szCs w:val="21"/>
                    </w:rPr>
                    <w:t>“信用服务”栏的“重大税收违法失信主体”“失信被执行人”</w:t>
                  </w:r>
                  <w:r>
                    <w:rPr>
                      <w:rFonts w:hint="eastAsia" w:ascii="宋体" w:hAnsi="宋体" w:cs="宋体"/>
                      <w:kern w:val="0"/>
                      <w:szCs w:val="21"/>
                      <w:lang w:val="en-US" w:eastAsia="zh-CN"/>
                    </w:rPr>
                    <w:t>或者下载信用信息报告）</w:t>
                  </w:r>
                  <w:r>
                    <w:rPr>
                      <w:rFonts w:hint="eastAsia" w:ascii="宋体" w:hAnsi="宋体" w:cs="宋体"/>
                      <w:kern w:val="0"/>
                      <w:szCs w:val="21"/>
                    </w:rPr>
                    <w:t>，“中国政府采购网”（www.ccgp.gov.cn）中的“政府采购严重违法失信行为记录名单”，以及“深圳市政府采购监管网”（http://zfcg.sz.gov.cn）为供应商信用信息的查询渠道，相关信息以开标当日的查询结果为准；</w:t>
                  </w:r>
                </w:p>
                <w:p>
                  <w:pPr>
                    <w:ind w:firstLine="420" w:firstLineChars="200"/>
                    <w:rPr>
                      <w:rFonts w:ascii="宋体" w:hAnsi="宋体"/>
                    </w:rPr>
                  </w:pPr>
                  <w:r>
                    <w:rPr>
                      <w:rFonts w:hint="eastAsia" w:ascii="宋体" w:hAnsi="宋体"/>
                    </w:rPr>
                    <w:t>（2）供应商投标（上传投标文件）必须先行办理注册手续。</w:t>
                  </w:r>
                </w:p>
                <w:p>
                  <w:pPr>
                    <w:spacing w:beforeAutospacing="1" w:afterAutospacing="1"/>
                    <w:ind w:firstLine="442" w:firstLineChars="200"/>
                    <w:rPr>
                      <w:rFonts w:ascii="宋体" w:hAnsi="宋体" w:cs="宋体"/>
                      <w:sz w:val="24"/>
                    </w:rPr>
                  </w:pPr>
                  <w:r>
                    <w:rPr>
                      <w:rFonts w:hint="eastAsia"/>
                      <w:b/>
                      <w:sz w:val="22"/>
                      <w:szCs w:val="18"/>
                      <w:highlight w:val="none"/>
                    </w:rPr>
                    <w:t>完整公告内容详见：深圳公共资源交易网（</w:t>
                  </w:r>
                  <w:r>
                    <w:rPr>
                      <w:b/>
                      <w:sz w:val="22"/>
                      <w:szCs w:val="18"/>
                      <w:highlight w:val="none"/>
                    </w:rPr>
                    <w:t>https://www.szggzy.com</w:t>
                  </w:r>
                  <w:r>
                    <w:rPr>
                      <w:rFonts w:hint="eastAsia"/>
                      <w:b/>
                      <w:sz w:val="22"/>
                      <w:szCs w:val="18"/>
                      <w:highlight w:val="none"/>
                    </w:rPr>
                    <w:t>）</w:t>
                  </w:r>
                </w:p>
              </w:tc>
            </w:tr>
          </w:tbl>
          <w:p>
            <w:pPr>
              <w:rPr>
                <w:rFonts w:ascii="宋体" w:hAnsi="宋体" w:cs="宋体"/>
                <w:sz w:val="24"/>
              </w:rPr>
            </w:pPr>
          </w:p>
        </w:tc>
      </w:tr>
    </w:tbl>
    <w:p>
      <w:r>
        <w:rPr>
          <w:rFonts w:hint="eastAsia"/>
        </w:rPr>
        <w:br w:type="page"/>
      </w:r>
    </w:p>
    <w:p>
      <w:pPr>
        <w:pStyle w:val="4"/>
        <w:rPr>
          <w:sz w:val="28"/>
          <w:szCs w:val="28"/>
        </w:rPr>
      </w:pPr>
      <w:r>
        <w:rPr>
          <w:rFonts w:hint="eastAsia"/>
          <w:sz w:val="28"/>
          <w:szCs w:val="28"/>
        </w:rPr>
        <w:t>第二章 对通用条款的补充内容及其他关键信息</w:t>
      </w:r>
    </w:p>
    <w:p>
      <w:pPr>
        <w:pStyle w:val="4"/>
        <w:spacing w:before="120" w:beforeLines="50" w:after="120" w:afterLines="50"/>
        <w:rPr>
          <w:rFonts w:hint="eastAsia"/>
          <w:szCs w:val="21"/>
        </w:rPr>
      </w:pPr>
      <w:bookmarkStart w:id="19" w:name="_Toc73521547"/>
      <w:bookmarkStart w:id="20" w:name="_Toc60631620"/>
      <w:bookmarkStart w:id="21" w:name="_Toc73517639"/>
      <w:bookmarkStart w:id="22" w:name="_Toc73521635"/>
      <w:bookmarkStart w:id="23" w:name="_Toc73518117"/>
      <w:bookmarkStart w:id="24" w:name="_Toc60560625"/>
      <w:bookmarkStart w:id="25" w:name="_Toc101074876"/>
      <w:bookmarkStart w:id="26" w:name="_Toc100052364"/>
      <w:r>
        <w:rPr>
          <w:rFonts w:hint="eastAsia"/>
          <w:szCs w:val="24"/>
        </w:rPr>
        <w:t>一、对通用条款的补充内容</w:t>
      </w:r>
      <w:bookmarkEnd w:id="19"/>
      <w:bookmarkEnd w:id="20"/>
      <w:bookmarkEnd w:id="21"/>
      <w:bookmarkEnd w:id="22"/>
      <w:bookmarkEnd w:id="23"/>
      <w:bookmarkEnd w:id="24"/>
      <w:bookmarkEnd w:id="25"/>
      <w:bookmarkEnd w:id="26"/>
    </w:p>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b/>
                <w:bCs/>
              </w:rPr>
            </w:pPr>
            <w:r>
              <w:rPr>
                <w:rFonts w:hint="eastAsia" w:ascii="宋体" w:hAnsi="宋体"/>
                <w:b/>
                <w:bCs/>
              </w:rPr>
              <w:t>通用条款序号</w:t>
            </w:r>
          </w:p>
        </w:tc>
        <w:tc>
          <w:tcPr>
            <w:tcW w:w="2409" w:type="dxa"/>
            <w:vAlign w:val="center"/>
          </w:tcPr>
          <w:p>
            <w:pPr>
              <w:jc w:val="center"/>
              <w:rPr>
                <w:rFonts w:ascii="宋体" w:hAnsi="宋体"/>
                <w:b/>
                <w:bCs/>
              </w:rPr>
            </w:pPr>
            <w:r>
              <w:rPr>
                <w:rFonts w:hint="eastAsia" w:ascii="宋体" w:hAnsi="宋体"/>
                <w:b/>
                <w:bCs/>
              </w:rPr>
              <w:t>涉及事项</w:t>
            </w:r>
          </w:p>
        </w:tc>
        <w:tc>
          <w:tcPr>
            <w:tcW w:w="4980" w:type="dxa"/>
            <w:vAlign w:val="center"/>
          </w:tcPr>
          <w:p>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.1</w:t>
            </w:r>
          </w:p>
        </w:tc>
        <w:tc>
          <w:tcPr>
            <w:tcW w:w="2409" w:type="dxa"/>
            <w:vAlign w:val="center"/>
          </w:tcPr>
          <w:p>
            <w:pPr>
              <w:jc w:val="center"/>
            </w:pPr>
            <w:r>
              <w:rPr>
                <w:rFonts w:hint="eastAsia"/>
              </w:rPr>
              <w:t>采购人</w:t>
            </w:r>
          </w:p>
        </w:tc>
        <w:tc>
          <w:tcPr>
            <w:tcW w:w="4980" w:type="dxa"/>
            <w:vAlign w:val="center"/>
          </w:tcPr>
          <w:p>
            <w:pPr>
              <w:spacing w:line="300" w:lineRule="exact"/>
              <w:jc w:val="center"/>
              <w:rPr>
                <w:rFonts w:ascii="宋体" w:hAnsi="宋体"/>
              </w:rPr>
            </w:pPr>
            <w:r>
              <w:rPr>
                <w:rFonts w:hint="eastAsia" w:ascii="宋体" w:hAnsi="宋体"/>
                <w:szCs w:val="21"/>
                <w:lang w:val="en-US" w:eastAsia="zh-CN"/>
              </w:rPr>
              <w:t>深圳市福田区园岭街道办事处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.2</w:t>
            </w:r>
          </w:p>
        </w:tc>
        <w:tc>
          <w:tcPr>
            <w:tcW w:w="2409" w:type="dxa"/>
            <w:vAlign w:val="center"/>
          </w:tcPr>
          <w:p>
            <w:pPr>
              <w:jc w:val="center"/>
              <w:rPr>
                <w:rFonts w:ascii="宋体" w:hAnsi="宋体"/>
              </w:rPr>
            </w:pPr>
            <w:r>
              <w:rPr>
                <w:rFonts w:hint="eastAsia" w:ascii="宋体" w:hAnsi="宋体"/>
              </w:rPr>
              <w:t>政府集中采购机构</w:t>
            </w:r>
          </w:p>
        </w:tc>
        <w:tc>
          <w:tcPr>
            <w:tcW w:w="4980" w:type="dxa"/>
            <w:vAlign w:val="center"/>
          </w:tcPr>
          <w:p>
            <w:pPr>
              <w:spacing w:line="300" w:lineRule="exact"/>
              <w:jc w:val="center"/>
              <w:rPr>
                <w:rFonts w:ascii="宋体" w:hAnsi="宋体" w:cs="宋体"/>
                <w:szCs w:val="21"/>
              </w:rPr>
            </w:pPr>
            <w:r>
              <w:rPr>
                <w:rFonts w:hint="eastAsia" w:ascii="宋体" w:hAnsi="宋体" w:cs="宋体"/>
                <w:szCs w:val="21"/>
              </w:rPr>
              <w:t>深圳公共资源交易中心</w:t>
            </w:r>
          </w:p>
          <w:p>
            <w:pPr>
              <w:spacing w:line="300" w:lineRule="exact"/>
              <w:jc w:val="center"/>
              <w:rPr>
                <w:rFonts w:ascii="宋体" w:hAnsi="宋体"/>
              </w:rPr>
            </w:pPr>
            <w:r>
              <w:rPr>
                <w:rFonts w:hint="eastAsia" w:ascii="宋体" w:hAnsi="宋体" w:cs="宋体"/>
                <w:szCs w:val="21"/>
              </w:rPr>
              <w:t>（</w:t>
            </w:r>
            <w:r>
              <w:rPr>
                <w:rFonts w:hint="eastAsia" w:ascii="宋体" w:hAnsi="宋体" w:cs="宋体"/>
                <w:color w:val="0000FF"/>
                <w:szCs w:val="21"/>
              </w:rPr>
              <w:t>深圳交易集团有限公司福田分公司</w:t>
            </w:r>
            <w:r>
              <w:rPr>
                <w:rFonts w:hint="eastAsia" w:ascii="宋体" w:hAnsi="宋体" w:cs="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5</w:t>
            </w:r>
            <w:r>
              <w:rPr>
                <w:rFonts w:ascii="宋体" w:hAnsi="宋体"/>
              </w:rPr>
              <w:t>.3</w:t>
            </w:r>
          </w:p>
        </w:tc>
        <w:tc>
          <w:tcPr>
            <w:tcW w:w="2409" w:type="dxa"/>
            <w:vAlign w:val="center"/>
          </w:tcPr>
          <w:p>
            <w:pPr>
              <w:jc w:val="center"/>
              <w:rPr>
                <w:rFonts w:ascii="宋体" w:hAnsi="宋体"/>
              </w:rPr>
            </w:pPr>
            <w:r>
              <w:rPr>
                <w:rFonts w:hint="eastAsia" w:ascii="宋体" w:hAnsi="宋体"/>
              </w:rPr>
              <w:t>联合体投标</w:t>
            </w:r>
          </w:p>
        </w:tc>
        <w:tc>
          <w:tcPr>
            <w:tcW w:w="4980" w:type="dxa"/>
            <w:vAlign w:val="center"/>
          </w:tcPr>
          <w:p>
            <w:pPr>
              <w:jc w:val="center"/>
              <w:rPr>
                <w:rFonts w:ascii="宋体" w:hAnsi="宋体"/>
              </w:rPr>
            </w:pPr>
            <w:r>
              <w:rPr>
                <w:rFonts w:hint="eastAsia" w:ascii="宋体" w:hAnsi="宋体"/>
                <w:highlight w:val="none"/>
                <w:lang w:val="en-US" w:eastAsia="zh-CN"/>
              </w:rPr>
              <w:t>详见第一章  招标公告  申请人的资格要求：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9</w:t>
            </w:r>
          </w:p>
        </w:tc>
        <w:tc>
          <w:tcPr>
            <w:tcW w:w="2409" w:type="dxa"/>
            <w:vAlign w:val="center"/>
          </w:tcPr>
          <w:p>
            <w:pPr>
              <w:jc w:val="center"/>
              <w:rPr>
                <w:rFonts w:ascii="宋体" w:hAnsi="宋体"/>
              </w:rPr>
            </w:pPr>
            <w:r>
              <w:rPr>
                <w:rFonts w:hint="eastAsia" w:ascii="宋体" w:hAnsi="宋体"/>
              </w:rPr>
              <w:t>踏勘现场</w:t>
            </w:r>
          </w:p>
        </w:tc>
        <w:tc>
          <w:tcPr>
            <w:tcW w:w="4980" w:type="dxa"/>
            <w:vAlign w:val="center"/>
          </w:tcPr>
          <w:p>
            <w:pPr>
              <w:spacing w:line="300" w:lineRule="exact"/>
              <w:jc w:val="center"/>
              <w:rPr>
                <w:rFonts w:ascii="宋体" w:hAnsi="宋体" w:cs="宋体"/>
                <w:szCs w:val="21"/>
              </w:rPr>
            </w:pPr>
            <w:r>
              <w:rPr>
                <w:rFonts w:hint="eastAsia" w:ascii="宋体" w:hAnsi="宋体"/>
                <w:szCs w:val="21"/>
                <w:lang w:eastAsia="zh-CN"/>
              </w:rPr>
              <w:t>☑</w:t>
            </w:r>
            <w:r>
              <w:rPr>
                <w:rFonts w:hint="eastAsia" w:ascii="宋体" w:hAnsi="宋体" w:cs="宋体"/>
                <w:szCs w:val="21"/>
              </w:rPr>
              <w:t xml:space="preserve">不组织   </w:t>
            </w:r>
            <w:r>
              <w:rPr>
                <w:rFonts w:hint="eastAsia" w:ascii="宋体" w:hAnsi="宋体"/>
                <w:szCs w:val="21"/>
              </w:rPr>
              <w:t>□</w:t>
            </w:r>
            <w:r>
              <w:rPr>
                <w:rFonts w:hint="eastAsia" w:ascii="宋体" w:hAnsi="宋体" w:cs="宋体"/>
                <w:szCs w:val="21"/>
              </w:rPr>
              <w:t>组织</w:t>
            </w:r>
          </w:p>
          <w:p>
            <w:pPr>
              <w:spacing w:line="300" w:lineRule="exact"/>
              <w:jc w:val="center"/>
              <w:rPr>
                <w:rFonts w:ascii="宋体" w:hAnsi="宋体"/>
              </w:rPr>
            </w:pPr>
            <w:r>
              <w:rPr>
                <w:rFonts w:hint="eastAsia" w:ascii="宋体" w:hAnsi="宋体" w:cs="宋体"/>
                <w:szCs w:val="21"/>
              </w:rPr>
              <w:t>具体见其他关键信息章节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0</w:t>
            </w:r>
          </w:p>
        </w:tc>
        <w:tc>
          <w:tcPr>
            <w:tcW w:w="2409" w:type="dxa"/>
            <w:vAlign w:val="center"/>
          </w:tcPr>
          <w:p>
            <w:pPr>
              <w:jc w:val="center"/>
              <w:rPr>
                <w:rFonts w:ascii="宋体" w:hAnsi="宋体"/>
              </w:rPr>
            </w:pPr>
            <w:r>
              <w:rPr>
                <w:rFonts w:hint="eastAsia" w:ascii="宋体" w:hAnsi="宋体"/>
              </w:rPr>
              <w:t>标前会议</w:t>
            </w:r>
          </w:p>
        </w:tc>
        <w:tc>
          <w:tcPr>
            <w:tcW w:w="4980" w:type="dxa"/>
            <w:vAlign w:val="center"/>
          </w:tcPr>
          <w:p>
            <w:pPr>
              <w:spacing w:line="300" w:lineRule="exact"/>
              <w:jc w:val="center"/>
              <w:rPr>
                <w:rFonts w:ascii="宋体" w:hAnsi="宋体" w:cs="宋体"/>
                <w:szCs w:val="21"/>
              </w:rPr>
            </w:pPr>
            <w:r>
              <w:rPr>
                <w:rFonts w:hint="eastAsia" w:ascii="宋体" w:hAnsi="宋体"/>
                <w:szCs w:val="21"/>
                <w:lang w:eastAsia="zh-CN"/>
              </w:rPr>
              <w:t>☑</w:t>
            </w:r>
            <w:r>
              <w:rPr>
                <w:rFonts w:hint="eastAsia" w:ascii="宋体" w:hAnsi="宋体" w:cs="宋体"/>
                <w:szCs w:val="21"/>
              </w:rPr>
              <w:t>不组织</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szCs w:val="21"/>
              </w:rPr>
              <w:t>□</w:t>
            </w:r>
            <w:r>
              <w:rPr>
                <w:rFonts w:hint="eastAsia" w:ascii="宋体" w:hAnsi="宋体" w:cs="宋体"/>
                <w:szCs w:val="21"/>
              </w:rPr>
              <w:t>组织</w:t>
            </w:r>
          </w:p>
          <w:p>
            <w:pPr>
              <w:spacing w:line="300" w:lineRule="exact"/>
              <w:jc w:val="center"/>
              <w:rPr>
                <w:rFonts w:ascii="宋体" w:hAnsi="宋体"/>
              </w:rPr>
            </w:pPr>
            <w:r>
              <w:rPr>
                <w:rFonts w:hint="eastAsia" w:ascii="宋体" w:hAnsi="宋体" w:cs="宋体"/>
                <w:szCs w:val="21"/>
              </w:rPr>
              <w:t>具体见其他关键信息章节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409" w:type="dxa"/>
            <w:vAlign w:val="center"/>
          </w:tcPr>
          <w:p>
            <w:pPr>
              <w:jc w:val="center"/>
              <w:rPr>
                <w:rFonts w:ascii="宋体" w:hAnsi="宋体"/>
              </w:rPr>
            </w:pPr>
            <w:r>
              <w:rPr>
                <w:rFonts w:hint="eastAsia" w:ascii="宋体" w:hAnsi="宋体"/>
              </w:rPr>
              <w:t>招标文件的澄清和修改</w:t>
            </w:r>
          </w:p>
        </w:tc>
        <w:tc>
          <w:tcPr>
            <w:tcW w:w="4980" w:type="dxa"/>
            <w:vAlign w:val="center"/>
          </w:tcPr>
          <w:p>
            <w:pPr>
              <w:spacing w:line="300" w:lineRule="exact"/>
              <w:jc w:val="left"/>
              <w:rPr>
                <w:rFonts w:ascii="宋体" w:hAnsi="宋体"/>
              </w:rPr>
            </w:pPr>
            <w:r>
              <w:rPr>
                <w:rFonts w:hint="eastAsia" w:ascii="宋体" w:hAnsi="宋体" w:cs="宋体"/>
                <w:szCs w:val="21"/>
              </w:rPr>
              <w:t>投标截止日三日前，投标人有义务在招标期间在政府集中采购机构网站浏览与本项目有关的澄清和修改信息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0</w:t>
            </w:r>
          </w:p>
        </w:tc>
        <w:tc>
          <w:tcPr>
            <w:tcW w:w="2409" w:type="dxa"/>
            <w:vAlign w:val="center"/>
          </w:tcPr>
          <w:p>
            <w:pPr>
              <w:jc w:val="center"/>
              <w:rPr>
                <w:rFonts w:ascii="宋体" w:hAnsi="宋体"/>
              </w:rPr>
            </w:pPr>
            <w:r>
              <w:rPr>
                <w:rFonts w:hint="eastAsia" w:ascii="宋体" w:hAnsi="宋体"/>
              </w:rPr>
              <w:t>投标有效期</w:t>
            </w:r>
          </w:p>
        </w:tc>
        <w:tc>
          <w:tcPr>
            <w:tcW w:w="4980" w:type="dxa"/>
            <w:vAlign w:val="center"/>
          </w:tcPr>
          <w:p>
            <w:pPr>
              <w:spacing w:line="300" w:lineRule="exact"/>
              <w:jc w:val="center"/>
              <w:rPr>
                <w:rFonts w:ascii="宋体" w:hAnsi="宋体"/>
              </w:rPr>
            </w:pPr>
            <w:r>
              <w:rPr>
                <w:rFonts w:hint="eastAsia" w:ascii="宋体" w:hAnsi="宋体" w:cs="宋体"/>
                <w:szCs w:val="21"/>
              </w:rPr>
              <w:t>120个日历日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2</w:t>
            </w:r>
          </w:p>
        </w:tc>
        <w:tc>
          <w:tcPr>
            <w:tcW w:w="2409" w:type="dxa"/>
            <w:vAlign w:val="center"/>
          </w:tcPr>
          <w:p>
            <w:pPr>
              <w:jc w:val="center"/>
              <w:rPr>
                <w:rFonts w:ascii="宋体" w:hAnsi="宋体"/>
              </w:rPr>
            </w:pPr>
            <w:r>
              <w:rPr>
                <w:rFonts w:hint="eastAsia" w:ascii="宋体" w:hAnsi="宋体"/>
              </w:rPr>
              <w:t>投标人的替代方案</w:t>
            </w:r>
          </w:p>
        </w:tc>
        <w:tc>
          <w:tcPr>
            <w:tcW w:w="4980" w:type="dxa"/>
            <w:vAlign w:val="center"/>
          </w:tcPr>
          <w:p>
            <w:pPr>
              <w:spacing w:line="300" w:lineRule="exact"/>
              <w:jc w:val="center"/>
              <w:rPr>
                <w:rFonts w:ascii="宋体" w:hAnsi="宋体"/>
              </w:rPr>
            </w:pPr>
            <w:r>
              <w:rPr>
                <w:rFonts w:hint="eastAsia" w:ascii="宋体" w:hAnsi="宋体" w:cs="宋体"/>
                <w:szCs w:val="21"/>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5</w:t>
            </w:r>
          </w:p>
        </w:tc>
        <w:tc>
          <w:tcPr>
            <w:tcW w:w="2409" w:type="dxa"/>
            <w:vAlign w:val="center"/>
          </w:tcPr>
          <w:p>
            <w:pPr>
              <w:jc w:val="center"/>
              <w:rPr>
                <w:rFonts w:ascii="宋体" w:hAnsi="宋体"/>
              </w:rPr>
            </w:pPr>
            <w:r>
              <w:rPr>
                <w:rFonts w:hint="eastAsia" w:ascii="宋体" w:hAnsi="宋体"/>
              </w:rPr>
              <w:t>投标文件的大小</w:t>
            </w:r>
          </w:p>
        </w:tc>
        <w:tc>
          <w:tcPr>
            <w:tcW w:w="4980" w:type="dxa"/>
            <w:vAlign w:val="center"/>
          </w:tcPr>
          <w:p>
            <w:pPr>
              <w:spacing w:line="300" w:lineRule="exact"/>
              <w:jc w:val="center"/>
              <w:rPr>
                <w:rFonts w:ascii="宋体" w:hAnsi="宋体"/>
              </w:rPr>
            </w:pPr>
            <w:r>
              <w:rPr>
                <w:rFonts w:hint="eastAsia" w:ascii="宋体" w:hAnsi="宋体" w:cs="宋体"/>
                <w:szCs w:val="21"/>
              </w:rPr>
              <w:t>投标文件大小不得超过100MB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6</w:t>
            </w:r>
          </w:p>
        </w:tc>
        <w:tc>
          <w:tcPr>
            <w:tcW w:w="2409" w:type="dxa"/>
            <w:vAlign w:val="center"/>
          </w:tcPr>
          <w:p>
            <w:pPr>
              <w:jc w:val="center"/>
              <w:rPr>
                <w:rFonts w:ascii="宋体" w:hAnsi="宋体"/>
              </w:rPr>
            </w:pPr>
            <w:r>
              <w:rPr>
                <w:rFonts w:hint="eastAsia" w:ascii="宋体" w:hAnsi="宋体"/>
              </w:rPr>
              <w:t>样品、现场演示、方案讲解</w:t>
            </w:r>
          </w:p>
        </w:tc>
        <w:tc>
          <w:tcPr>
            <w:tcW w:w="4980" w:type="dxa"/>
            <w:vAlign w:val="center"/>
          </w:tcPr>
          <w:p>
            <w:pPr>
              <w:spacing w:line="300" w:lineRule="exact"/>
              <w:jc w:val="left"/>
              <w:rPr>
                <w:rFonts w:ascii="宋体" w:hAnsi="宋体"/>
              </w:rPr>
            </w:pPr>
            <w:r>
              <w:rPr>
                <w:rFonts w:hint="eastAsia" w:ascii="宋体" w:hAnsi="宋体" w:cs="宋体"/>
                <w:szCs w:val="21"/>
              </w:rPr>
              <w:t>如有样品、演示、方案讲解，具体安排见第三章 用户需求书相关要求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7</w:t>
            </w:r>
          </w:p>
        </w:tc>
        <w:tc>
          <w:tcPr>
            <w:tcW w:w="2409" w:type="dxa"/>
            <w:vAlign w:val="center"/>
          </w:tcPr>
          <w:p>
            <w:pPr>
              <w:jc w:val="center"/>
              <w:rPr>
                <w:rFonts w:ascii="宋体" w:hAnsi="宋体"/>
              </w:rPr>
            </w:pPr>
            <w:r>
              <w:rPr>
                <w:rFonts w:hint="eastAsia" w:ascii="宋体" w:hAnsi="宋体"/>
              </w:rPr>
              <w:t>评审方法</w:t>
            </w:r>
          </w:p>
        </w:tc>
        <w:tc>
          <w:tcPr>
            <w:tcW w:w="4980" w:type="dxa"/>
            <w:vAlign w:val="center"/>
          </w:tcPr>
          <w:p>
            <w:pPr>
              <w:spacing w:line="300" w:lineRule="exact"/>
              <w:jc w:val="left"/>
              <w:rPr>
                <w:rFonts w:ascii="宋体" w:hAnsi="宋体"/>
              </w:rPr>
            </w:pPr>
            <w:r>
              <w:rPr>
                <w:rFonts w:hint="eastAsia" w:ascii="宋体" w:hAnsi="宋体" w:cs="宋体"/>
                <w:bCs/>
                <w:szCs w:val="21"/>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20" w:hRule="atLeast"/>
          <w:jc w:val="center"/>
        </w:trPr>
        <w:tc>
          <w:tcPr>
            <w:tcW w:w="978" w:type="dxa"/>
            <w:vMerge w:val="restart"/>
            <w:vAlign w:val="center"/>
          </w:tcPr>
          <w:p>
            <w:pPr>
              <w:jc w:val="center"/>
              <w:rPr>
                <w:rFonts w:ascii="宋体" w:hAnsi="宋体"/>
              </w:rPr>
            </w:pPr>
            <w:r>
              <w:rPr>
                <w:rFonts w:hint="eastAsia" w:ascii="宋体" w:hAnsi="宋体"/>
              </w:rPr>
              <w:t>3</w:t>
            </w:r>
            <w:r>
              <w:rPr>
                <w:rFonts w:ascii="宋体" w:hAnsi="宋体"/>
              </w:rPr>
              <w:t>8</w:t>
            </w:r>
          </w:p>
        </w:tc>
        <w:tc>
          <w:tcPr>
            <w:tcW w:w="2409" w:type="dxa"/>
            <w:vMerge w:val="restart"/>
            <w:vAlign w:val="center"/>
          </w:tcPr>
          <w:p>
            <w:pPr>
              <w:jc w:val="center"/>
              <w:rPr>
                <w:rFonts w:ascii="宋体" w:hAnsi="宋体"/>
              </w:rPr>
            </w:pPr>
            <w:r>
              <w:rPr>
                <w:rFonts w:hint="eastAsia" w:ascii="宋体" w:hAnsi="宋体"/>
              </w:rPr>
              <w:t>定标方法</w:t>
            </w:r>
          </w:p>
        </w:tc>
        <w:tc>
          <w:tcPr>
            <w:tcW w:w="4980" w:type="dxa"/>
            <w:vAlign w:val="center"/>
          </w:tcPr>
          <w:p>
            <w:pPr>
              <w:spacing w:line="300" w:lineRule="exact"/>
              <w:jc w:val="left"/>
              <w:rPr>
                <w:rFonts w:ascii="宋体" w:hAnsi="宋体"/>
              </w:rPr>
            </w:pPr>
            <w:r>
              <w:rPr>
                <w:rFonts w:hint="eastAsia" w:ascii="宋体" w:hAnsi="宋体" w:cs="宋体"/>
                <w:bCs/>
                <w:szCs w:val="21"/>
                <w:highlight w:val="none"/>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20" w:hRule="atLeast"/>
          <w:jc w:val="center"/>
        </w:trPr>
        <w:tc>
          <w:tcPr>
            <w:tcW w:w="978" w:type="dxa"/>
            <w:vMerge w:val="restart"/>
            <w:vAlign w:val="center"/>
          </w:tcPr>
          <w:p>
            <w:pPr>
              <w:jc w:val="center"/>
              <w:rPr>
                <w:rFonts w:ascii="宋体" w:hAnsi="宋体"/>
              </w:rPr>
            </w:pPr>
            <w:r>
              <w:rPr>
                <w:rFonts w:hint="eastAsia" w:ascii="宋体" w:hAnsi="宋体"/>
              </w:rPr>
              <w:t>4</w:t>
            </w:r>
            <w:r>
              <w:rPr>
                <w:rFonts w:ascii="宋体" w:hAnsi="宋体"/>
              </w:rPr>
              <w:t>6</w:t>
            </w:r>
          </w:p>
        </w:tc>
        <w:tc>
          <w:tcPr>
            <w:tcW w:w="2409" w:type="dxa"/>
            <w:vMerge w:val="restart"/>
            <w:vAlign w:val="center"/>
          </w:tcPr>
          <w:p>
            <w:pPr>
              <w:jc w:val="center"/>
              <w:rPr>
                <w:rFonts w:ascii="宋体" w:hAnsi="宋体"/>
              </w:rPr>
            </w:pPr>
            <w:r>
              <w:rPr>
                <w:rFonts w:hint="eastAsia" w:ascii="宋体" w:hAnsi="宋体"/>
              </w:rPr>
              <w:t>履约担保</w:t>
            </w:r>
          </w:p>
        </w:tc>
        <w:tc>
          <w:tcPr>
            <w:tcW w:w="4980" w:type="dxa"/>
            <w:vAlign w:val="center"/>
          </w:tcPr>
          <w:p>
            <w:pPr>
              <w:spacing w:line="300" w:lineRule="exact"/>
              <w:jc w:val="left"/>
              <w:rPr>
                <w:rFonts w:ascii="宋体" w:hAnsi="宋体"/>
              </w:rPr>
            </w:pPr>
            <w:r>
              <w:rPr>
                <w:rFonts w:hint="eastAsia" w:ascii="宋体" w:hAnsi="宋体" w:cs="宋体"/>
                <w:bCs/>
                <w:szCs w:val="21"/>
              </w:rPr>
              <w:t>不需要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eastAsia="宋体" w:cs="宋体"/>
                <w:kern w:val="2"/>
                <w:sz w:val="21"/>
                <w:szCs w:val="24"/>
                <w:lang w:val="en-US" w:eastAsia="zh-CN" w:bidi="ar-SA"/>
              </w:rPr>
            </w:pPr>
            <w:r>
              <w:rPr>
                <w:rFonts w:hint="eastAsia" w:ascii="宋体" w:hAnsi="宋体" w:cs="宋体"/>
              </w:rPr>
              <w:t>52.8</w:t>
            </w:r>
          </w:p>
        </w:tc>
        <w:tc>
          <w:tcPr>
            <w:tcW w:w="2409" w:type="dxa"/>
            <w:vAlign w:val="center"/>
          </w:tcPr>
          <w:p>
            <w:pPr>
              <w:jc w:val="center"/>
              <w:rPr>
                <w:rFonts w:hint="eastAsia" w:ascii="宋体" w:hAnsi="宋体" w:eastAsia="宋体" w:cs="宋体"/>
                <w:kern w:val="2"/>
                <w:sz w:val="21"/>
                <w:szCs w:val="24"/>
                <w:lang w:val="en-US" w:eastAsia="zh-CN" w:bidi="ar-SA"/>
              </w:rPr>
            </w:pPr>
            <w:r>
              <w:rPr>
                <w:rFonts w:hint="eastAsia" w:ascii="宋体" w:hAnsi="宋体" w:cs="宋体"/>
              </w:rPr>
              <w:t>投诉</w:t>
            </w:r>
          </w:p>
        </w:tc>
        <w:tc>
          <w:tcPr>
            <w:tcW w:w="4980" w:type="dxa"/>
            <w:vAlign w:val="center"/>
          </w:tcPr>
          <w:p>
            <w:pPr>
              <w:jc w:val="left"/>
              <w:rPr>
                <w:rFonts w:hint="eastAsia" w:ascii="宋体" w:hAnsi="宋体" w:eastAsia="宋体" w:cs="宋体"/>
                <w:bCs/>
                <w:kern w:val="2"/>
                <w:sz w:val="21"/>
                <w:szCs w:val="21"/>
                <w:lang w:val="en-US" w:eastAsia="zh-CN" w:bidi="ar-SA"/>
              </w:rPr>
            </w:pPr>
            <w:r>
              <w:rPr>
                <w:rFonts w:hint="eastAsia" w:ascii="宋体" w:hAnsi="宋体" w:cs="宋体"/>
                <w:color w:val="0000FF"/>
              </w:rPr>
              <w:t>本项目为自行采购项目，提出质疑的供应商对质疑答复不满意或者未在规定时间内答复的，可以在答复期满后7个工作日内向采购人投诉。</w:t>
            </w:r>
          </w:p>
        </w:tc>
      </w:tr>
    </w:tbl>
    <w:p>
      <w:pPr>
        <w:pStyle w:val="35"/>
        <w:rPr>
          <w:rFonts w:hint="eastAsia"/>
        </w:rPr>
      </w:pPr>
    </w:p>
    <w:p>
      <w:pPr>
        <w:rPr>
          <w:b/>
        </w:rPr>
      </w:pPr>
      <w:r>
        <w:rPr>
          <w:rFonts w:hint="eastAsia"/>
          <w:szCs w:val="21"/>
        </w:rPr>
        <w:t>备注：本表是通用条款相关条款的补充和明确，如与通用条款内容相冲突的，以本表为准。</w:t>
      </w:r>
    </w:p>
    <w:p>
      <w:pPr>
        <w:rPr>
          <w:b/>
        </w:rPr>
      </w:pPr>
    </w:p>
    <w:p>
      <w:pPr>
        <w:pStyle w:val="4"/>
        <w:spacing w:before="120" w:beforeLines="50" w:after="120" w:afterLines="50"/>
        <w:rPr>
          <w:szCs w:val="24"/>
        </w:rPr>
      </w:pPr>
      <w:r>
        <w:rPr>
          <w:rFonts w:hint="eastAsia"/>
          <w:szCs w:val="24"/>
        </w:rPr>
        <w:t>二、其他关键信息</w:t>
      </w:r>
    </w:p>
    <w:p>
      <w:pPr>
        <w:ind w:firstLine="422" w:firstLineChars="200"/>
        <w:rPr>
          <w:b/>
          <w:bCs/>
        </w:rPr>
      </w:pPr>
      <w:r>
        <w:rPr>
          <w:rFonts w:hint="eastAsia"/>
          <w:b/>
          <w:bCs/>
        </w:rPr>
        <w:t>（一）与“对通用条款的补充内容”章节相关的事项</w:t>
      </w:r>
    </w:p>
    <w:p>
      <w:pPr>
        <w:spacing w:line="276" w:lineRule="auto"/>
        <w:ind w:firstLine="422" w:firstLineChars="200"/>
        <w:jc w:val="left"/>
        <w:rPr>
          <w:rFonts w:asciiTheme="minorEastAsia" w:hAnsiTheme="minorEastAsia" w:eastAsiaTheme="minorEastAsia"/>
          <w:b/>
          <w:kern w:val="0"/>
          <w:szCs w:val="20"/>
        </w:rPr>
      </w:pPr>
      <w:bookmarkStart w:id="27" w:name="_Hlk72579465"/>
      <w:r>
        <w:rPr>
          <w:rFonts w:hint="eastAsia" w:asciiTheme="minorEastAsia" w:hAnsiTheme="minorEastAsia" w:eastAsiaTheme="minorEastAsia"/>
          <w:b/>
          <w:kern w:val="0"/>
          <w:szCs w:val="20"/>
        </w:rPr>
        <w:t>1</w:t>
      </w:r>
      <w:r>
        <w:rPr>
          <w:rFonts w:hint="eastAsia" w:asciiTheme="minorEastAsia" w:hAnsiTheme="minorEastAsia" w:eastAsiaTheme="minorEastAsia"/>
          <w:b/>
          <w:kern w:val="0"/>
          <w:szCs w:val="20"/>
          <w:lang w:val="en-US" w:eastAsia="zh-CN"/>
        </w:rPr>
        <w:t>.</w:t>
      </w:r>
      <w:r>
        <w:rPr>
          <w:rFonts w:hint="eastAsia" w:asciiTheme="minorEastAsia" w:hAnsiTheme="minorEastAsia" w:eastAsiaTheme="minorEastAsia"/>
          <w:b/>
          <w:kern w:val="0"/>
          <w:szCs w:val="20"/>
        </w:rPr>
        <w:t>评标定标信息</w:t>
      </w:r>
    </w:p>
    <w:bookmarkEnd w:id="27"/>
    <w:p>
      <w:pPr>
        <w:jc w:val="center"/>
      </w:pPr>
      <w:r>
        <w:rPr>
          <w:rFonts w:hint="eastAsia"/>
          <w:b/>
        </w:rPr>
        <w:t>非评定分离项目</w:t>
      </w:r>
    </w:p>
    <w:tbl>
      <w:tblPr>
        <w:tblStyle w:val="4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0"/>
        <w:gridCol w:w="4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pPr>
              <w:jc w:val="center"/>
            </w:pPr>
            <w:r>
              <w:rPr>
                <w:rFonts w:hint="eastAsia"/>
              </w:rPr>
              <w:t>评标方法</w:t>
            </w:r>
          </w:p>
        </w:tc>
        <w:tc>
          <w:tcPr>
            <w:tcW w:w="2660" w:type="pct"/>
          </w:tcPr>
          <w:p>
            <w:pPr>
              <w:jc w:val="center"/>
              <w:rPr>
                <w:rFonts w:hint="default" w:eastAsia="宋体"/>
                <w:lang w:val="en-US" w:eastAsia="zh-CN"/>
              </w:rPr>
            </w:pPr>
            <w:r>
              <w:rPr>
                <w:rFonts w:hint="eastAsia"/>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pPr>
              <w:jc w:val="center"/>
            </w:pPr>
            <w:r>
              <w:rPr>
                <w:rFonts w:hint="eastAsia"/>
              </w:rPr>
              <w:t>候选中标供应商家数</w:t>
            </w:r>
          </w:p>
        </w:tc>
        <w:tc>
          <w:tcPr>
            <w:tcW w:w="2660" w:type="pct"/>
          </w:tcPr>
          <w:p>
            <w:pPr>
              <w:jc w:val="center"/>
              <w:rPr>
                <w:rFonts w:hint="eastAsia" w:eastAsia="宋体"/>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pPr>
              <w:jc w:val="center"/>
            </w:pPr>
            <w:r>
              <w:rPr>
                <w:rFonts w:hint="eastAsia"/>
              </w:rPr>
              <w:t>中标供应商家数</w:t>
            </w:r>
          </w:p>
        </w:tc>
        <w:tc>
          <w:tcPr>
            <w:tcW w:w="2660" w:type="pct"/>
          </w:tcPr>
          <w:p>
            <w:pPr>
              <w:jc w:val="center"/>
            </w:pPr>
            <w:r>
              <w:rPr>
                <w:rFonts w:hint="eastAsia"/>
              </w:rPr>
              <w:t>1</w:t>
            </w:r>
          </w:p>
        </w:tc>
      </w:tr>
    </w:tbl>
    <w:p>
      <w:pPr>
        <w:pStyle w:val="35"/>
      </w:pPr>
    </w:p>
    <w:p>
      <w:pPr>
        <w:jc w:val="center"/>
        <w:rPr>
          <w:rFonts w:hint="eastAsia"/>
          <w:b/>
        </w:rPr>
      </w:pPr>
    </w:p>
    <w:p>
      <w:pPr>
        <w:jc w:val="center"/>
        <w:rPr>
          <w:rFonts w:hint="eastAsia"/>
          <w:b/>
        </w:rPr>
      </w:pPr>
    </w:p>
    <w:p>
      <w:pPr>
        <w:jc w:val="center"/>
        <w:rPr>
          <w:rFonts w:hint="eastAsia"/>
          <w:b/>
        </w:rPr>
      </w:pPr>
    </w:p>
    <w:p>
      <w:pPr>
        <w:jc w:val="center"/>
        <w:rPr>
          <w:rFonts w:hint="eastAsia"/>
          <w:b/>
        </w:rPr>
      </w:pPr>
    </w:p>
    <w:p>
      <w:pPr>
        <w:jc w:val="center"/>
        <w:rPr>
          <w:rFonts w:hint="eastAsia"/>
          <w:b/>
        </w:rPr>
      </w:pPr>
    </w:p>
    <w:p>
      <w:pPr>
        <w:jc w:val="center"/>
        <w:rPr>
          <w:rFonts w:hint="eastAsia"/>
          <w:b/>
        </w:rPr>
      </w:pPr>
    </w:p>
    <w:p>
      <w:pPr>
        <w:rPr>
          <w:rFonts w:hint="eastAsia"/>
          <w:b/>
        </w:rPr>
      </w:pPr>
    </w:p>
    <w:p>
      <w:pPr>
        <w:ind w:firstLine="422" w:firstLineChars="200"/>
        <w:rPr>
          <w:rFonts w:hint="eastAsia"/>
          <w:b/>
        </w:rPr>
      </w:pPr>
    </w:p>
    <w:p>
      <w:pPr>
        <w:ind w:firstLine="422" w:firstLineChars="200"/>
        <w:rPr>
          <w:b/>
        </w:rPr>
      </w:pPr>
      <w:r>
        <w:rPr>
          <w:rFonts w:hint="eastAsia"/>
          <w:b/>
        </w:rPr>
        <w:t>（二）其他事项</w:t>
      </w:r>
    </w:p>
    <w:p>
      <w:pPr>
        <w:ind w:firstLine="422" w:firstLineChars="200"/>
        <w:rPr>
          <w:rFonts w:hint="default" w:eastAsia="宋体"/>
          <w:b/>
          <w:bCs/>
          <w:lang w:val="en-US" w:eastAsia="zh-CN"/>
        </w:rPr>
      </w:pPr>
      <w:r>
        <w:rPr>
          <w:b/>
          <w:bCs/>
        </w:rPr>
        <w:t>1</w:t>
      </w:r>
      <w:r>
        <w:rPr>
          <w:rFonts w:hint="eastAsia"/>
          <w:b/>
          <w:bCs/>
          <w:lang w:val="en-US" w:eastAsia="zh-CN"/>
        </w:rPr>
        <w:t>.关于享受</w:t>
      </w:r>
      <w:r>
        <w:rPr>
          <w:rFonts w:hint="eastAsia"/>
          <w:b/>
          <w:bCs/>
        </w:rPr>
        <w:t>优惠政策的主体</w:t>
      </w:r>
      <w:r>
        <w:rPr>
          <w:rFonts w:hint="eastAsia"/>
          <w:b/>
          <w:bCs/>
          <w:lang w:eastAsia="zh-CN"/>
        </w:rPr>
        <w:t>、</w:t>
      </w:r>
      <w:r>
        <w:rPr>
          <w:rFonts w:hint="eastAsia"/>
          <w:b/>
          <w:bCs/>
        </w:rPr>
        <w:t>价格扣除比例</w:t>
      </w:r>
      <w:r>
        <w:rPr>
          <w:rFonts w:hint="eastAsia"/>
          <w:b/>
          <w:bCs/>
          <w:lang w:val="en-US" w:eastAsia="zh-CN"/>
        </w:rPr>
        <w:t>及采购标的所属行业</w:t>
      </w:r>
    </w:p>
    <w:p>
      <w:pPr>
        <w:ind w:firstLine="420" w:firstLineChars="200"/>
        <w:rPr>
          <w:rFonts w:hint="default" w:eastAsia="宋体"/>
          <w:lang w:val="en-US" w:eastAsia="zh-CN"/>
        </w:rPr>
      </w:pPr>
      <w:r>
        <w:rPr>
          <w:rFonts w:hint="eastAsia"/>
          <w:lang w:eastAsia="zh-CN"/>
        </w:rPr>
        <w:t>（</w:t>
      </w:r>
      <w:r>
        <w:rPr>
          <w:rFonts w:hint="eastAsia"/>
          <w:lang w:val="en-US" w:eastAsia="zh-CN"/>
        </w:rPr>
        <w:t>1</w:t>
      </w:r>
      <w:r>
        <w:rPr>
          <w:rFonts w:hint="eastAsia"/>
          <w:lang w:eastAsia="zh-CN"/>
        </w:rPr>
        <w:t>）</w:t>
      </w:r>
      <w:r>
        <w:rPr>
          <w:rFonts w:hint="eastAsia"/>
          <w:lang w:val="en-US" w:eastAsia="zh-CN"/>
        </w:rPr>
        <w:t>专门面向中小企业采购的项目，不再执行价格扣除比例。</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w:t>
      </w:r>
      <w:bookmarkStart w:id="28" w:name="_Hlk71970739"/>
      <w:r>
        <w:rPr>
          <w:rFonts w:hint="eastAsia" w:asciiTheme="minorEastAsia" w:hAnsiTheme="minorEastAsia" w:eastAsiaTheme="minorEastAsia" w:cstheme="minorEastAsia"/>
          <w:sz w:val="21"/>
          <w:szCs w:val="21"/>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hint="eastAsia" w:asciiTheme="minorEastAsia" w:hAnsiTheme="minorEastAsia" w:eastAsiaTheme="minorEastAsia" w:cstheme="minorEastAsia"/>
          <w:b/>
          <w:bCs/>
          <w:color w:val="FF0000"/>
          <w:sz w:val="21"/>
          <w:szCs w:val="21"/>
        </w:rPr>
        <w:t>《中小企业声明函》中相关企业所属行业应当与采购标的所属行业相一致。</w:t>
      </w:r>
      <w:r>
        <w:rPr>
          <w:rFonts w:hint="eastAsia" w:asciiTheme="minorEastAsia" w:hAnsiTheme="minorEastAsia" w:eastAsiaTheme="minorEastAsia" w:cstheme="minorEastAsia"/>
          <w:sz w:val="21"/>
          <w:szCs w:val="21"/>
        </w:rPr>
        <w:t>本项目采购标的（货物）对应的中小企业划分标准所属行业为</w:t>
      </w:r>
      <w:r>
        <w:rPr>
          <w:rFonts w:hint="eastAsia" w:asciiTheme="minorEastAsia" w:hAnsiTheme="minorEastAsia" w:eastAsiaTheme="minorEastAsia" w:cstheme="minorEastAsia"/>
          <w:color w:val="FF0000"/>
          <w:sz w:val="21"/>
          <w:szCs w:val="21"/>
          <w:u w:val="single"/>
          <w:lang w:val="en-US" w:eastAsia="zh-CN"/>
        </w:rPr>
        <w:t>建筑</w:t>
      </w:r>
      <w:r>
        <w:rPr>
          <w:rFonts w:hint="eastAsia" w:asciiTheme="minorEastAsia" w:hAnsiTheme="minorEastAsia" w:eastAsiaTheme="minorEastAsia" w:cstheme="minorEastAsia"/>
          <w:sz w:val="21"/>
          <w:szCs w:val="21"/>
        </w:rPr>
        <w:t>业。</w:t>
      </w:r>
      <w:bookmarkEnd w:id="28"/>
    </w:p>
    <w:p>
      <w:pPr>
        <w:ind w:firstLine="420" w:firstLineChars="200"/>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）小型企业、微型企业、残疾人福利性单位作为优惠主体的认定资料为《中小企业声明函》、《残疾人福利性单</w:t>
      </w:r>
      <w:r>
        <w:rPr>
          <w:rFonts w:hint="eastAsia"/>
        </w:rPr>
        <w:t>位声明函》；监狱企业作为优惠主体的认定资料为省级以上监狱管理局、戒毒管理局出具的监狱企业证明文件。声明函样式见本招标文件第一册专用条款第三章“投标文件格式、附件”中“四、投标人情况及资格证明文件”章节提供的格式）。</w:t>
      </w:r>
    </w:p>
    <w:p>
      <w:pPr>
        <w:ind w:firstLine="420" w:firstLineChars="200"/>
        <w:rPr>
          <w:color w:val="FF0000"/>
        </w:rPr>
      </w:pPr>
      <w:r>
        <w:rPr>
          <w:rFonts w:hint="eastAsia"/>
        </w:rPr>
        <w:t>（</w:t>
      </w:r>
      <w:r>
        <w:rPr>
          <w:rFonts w:hint="eastAsia"/>
          <w:lang w:val="en-US" w:eastAsia="zh-CN"/>
        </w:rPr>
        <w:t>4</w:t>
      </w:r>
      <w:r>
        <w:rPr>
          <w:rFonts w:hint="eastAsia"/>
        </w:rPr>
        <w:t>）享受价格扣除获得政府采购合同的，小微企业不得将合同分包给大中型企业。</w:t>
      </w:r>
    </w:p>
    <w:p>
      <w:pPr>
        <w:ind w:firstLine="422" w:firstLineChars="200"/>
        <w:rPr>
          <w:rFonts w:hint="eastAsia"/>
          <w:b/>
          <w:bCs/>
        </w:rPr>
      </w:pPr>
    </w:p>
    <w:p>
      <w:pPr>
        <w:ind w:firstLine="422" w:firstLineChars="200"/>
        <w:rPr>
          <w:rFonts w:hint="eastAsia"/>
          <w:b/>
          <w:bCs/>
        </w:rPr>
      </w:pPr>
    </w:p>
    <w:p>
      <w:pPr>
        <w:ind w:firstLine="422" w:firstLineChars="200"/>
        <w:rPr>
          <w:rFonts w:hint="eastAsia"/>
          <w:b/>
          <w:bCs/>
          <w:highlight w:val="none"/>
          <w:lang w:val="en-US" w:eastAsia="zh-CN"/>
        </w:rPr>
      </w:pPr>
      <w:r>
        <w:rPr>
          <w:rFonts w:hint="eastAsia" w:ascii="Times New Roman" w:eastAsia="宋体"/>
          <w:b/>
          <w:bCs/>
          <w:highlight w:val="none"/>
          <w:lang w:val="en-US" w:eastAsia="zh-CN"/>
        </w:rPr>
        <w:t>2</w:t>
      </w:r>
      <w:r>
        <w:rPr>
          <w:rFonts w:hint="eastAsia"/>
          <w:b/>
          <w:bCs/>
          <w:highlight w:val="none"/>
          <w:lang w:val="en-US" w:eastAsia="zh-CN"/>
        </w:rPr>
        <w:t>.</w:t>
      </w:r>
      <w:r>
        <w:rPr>
          <w:rFonts w:hint="eastAsia" w:ascii="Times New Roman" w:eastAsia="宋体"/>
          <w:b/>
          <w:bCs/>
          <w:highlight w:val="none"/>
          <w:lang w:val="en-US" w:eastAsia="zh-CN"/>
        </w:rPr>
        <w:t>本项目为代理服务项目，将向中标（成交）供应商收取代理服务费。</w:t>
      </w:r>
    </w:p>
    <w:p>
      <w:pPr>
        <w:ind w:firstLine="420" w:firstLineChars="200"/>
      </w:pPr>
      <w:r>
        <w:rPr>
          <w:rFonts w:hint="eastAsia"/>
          <w:highlight w:val="none"/>
        </w:rPr>
        <w:t>中标</w:t>
      </w:r>
      <w:r>
        <w:rPr>
          <w:rFonts w:hint="eastAsia" w:eastAsia="宋体"/>
          <w:highlight w:val="none"/>
          <w:lang w:eastAsia="zh-CN"/>
        </w:rPr>
        <w:t>（</w:t>
      </w:r>
      <w:r>
        <w:rPr>
          <w:rFonts w:hint="eastAsia" w:ascii="Times New Roman" w:eastAsia="宋体"/>
          <w:highlight w:val="none"/>
          <w:lang w:val="en-US" w:eastAsia="zh-CN"/>
        </w:rPr>
        <w:t>成交</w:t>
      </w:r>
      <w:r>
        <w:rPr>
          <w:rFonts w:hint="eastAsia" w:eastAsia="宋体"/>
          <w:highlight w:val="none"/>
          <w:lang w:eastAsia="zh-CN"/>
        </w:rPr>
        <w:t>）</w:t>
      </w:r>
      <w:r>
        <w:rPr>
          <w:rFonts w:hint="eastAsia"/>
          <w:highlight w:val="none"/>
        </w:rPr>
        <w:t>供应商在领取《中标</w:t>
      </w:r>
      <w:r>
        <w:rPr>
          <w:rFonts w:hint="eastAsia" w:eastAsia="宋体"/>
          <w:highlight w:val="none"/>
          <w:lang w:eastAsia="zh-CN"/>
        </w:rPr>
        <w:t>（</w:t>
      </w:r>
      <w:r>
        <w:rPr>
          <w:rFonts w:hint="eastAsia" w:ascii="Times New Roman" w:eastAsia="宋体"/>
          <w:highlight w:val="none"/>
          <w:lang w:val="en-US" w:eastAsia="zh-CN"/>
        </w:rPr>
        <w:t>成交</w:t>
      </w:r>
      <w:r>
        <w:rPr>
          <w:rFonts w:hint="eastAsia" w:eastAsia="宋体"/>
          <w:highlight w:val="none"/>
          <w:lang w:eastAsia="zh-CN"/>
        </w:rPr>
        <w:t>）</w:t>
      </w:r>
      <w:r>
        <w:rPr>
          <w:rFonts w:hint="eastAsia"/>
          <w:highlight w:val="none"/>
        </w:rPr>
        <w:t>通知书》之前须向深圳公共资源交易中心（深圳交易集团有限公司</w:t>
      </w:r>
      <w:r>
        <w:rPr>
          <w:rFonts w:hint="eastAsia"/>
          <w:highlight w:val="none"/>
          <w:lang w:val="en-US" w:eastAsia="zh-CN"/>
        </w:rPr>
        <w:t>福田</w:t>
      </w:r>
      <w:r>
        <w:rPr>
          <w:rFonts w:hint="eastAsia"/>
          <w:highlight w:val="none"/>
        </w:rPr>
        <w:t>分公司）交纳代理服务费。若因中标</w:t>
      </w:r>
      <w:r>
        <w:rPr>
          <w:rFonts w:hint="eastAsia" w:eastAsia="宋体"/>
          <w:highlight w:val="none"/>
          <w:lang w:eastAsia="zh-CN"/>
        </w:rPr>
        <w:t>（</w:t>
      </w:r>
      <w:r>
        <w:rPr>
          <w:rFonts w:hint="eastAsia" w:ascii="Times New Roman" w:eastAsia="宋体"/>
          <w:highlight w:val="none"/>
          <w:lang w:val="en-US" w:eastAsia="zh-CN"/>
        </w:rPr>
        <w:t>成交</w:t>
      </w:r>
      <w:r>
        <w:rPr>
          <w:rFonts w:hint="eastAsia" w:eastAsia="宋体"/>
          <w:highlight w:val="none"/>
          <w:lang w:eastAsia="zh-CN"/>
        </w:rPr>
        <w:t>）</w:t>
      </w:r>
      <w:r>
        <w:rPr>
          <w:rFonts w:hint="eastAsia"/>
          <w:highlight w:val="none"/>
        </w:rPr>
        <w:t>供应商交纳代理服务</w:t>
      </w:r>
      <w:r>
        <w:rPr>
          <w:rFonts w:hint="eastAsia"/>
        </w:rPr>
        <w:t>费所产生的时间影响到合同签订的，由中标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供应商自行承担责任。代理服务费标准参照</w:t>
      </w:r>
      <w:r>
        <w:rPr>
          <w:rFonts w:hint="eastAsia" w:ascii="Times New Roman" w:eastAsia="宋体"/>
          <w:lang w:val="en-US" w:eastAsia="zh-CN"/>
        </w:rPr>
        <w:t>下列</w:t>
      </w:r>
      <w:r>
        <w:rPr>
          <w:rFonts w:hint="eastAsia"/>
        </w:rPr>
        <w:t>标准收取。</w:t>
      </w:r>
      <w:r>
        <w:rPr>
          <w:rFonts w:hint="eastAsia"/>
          <w:b/>
          <w:color w:val="FF0000"/>
        </w:rPr>
        <w:t>本项目类型为</w:t>
      </w:r>
      <w:r>
        <w:rPr>
          <w:rFonts w:hint="eastAsia"/>
          <w:b/>
          <w:color w:val="FF0000"/>
          <w:lang w:val="en-US" w:eastAsia="zh-CN"/>
        </w:rPr>
        <w:t>工程</w:t>
      </w:r>
      <w:r>
        <w:rPr>
          <w:rFonts w:hint="eastAsia"/>
          <w:b/>
          <w:color w:val="FF0000"/>
        </w:rPr>
        <w:t>采购：</w:t>
      </w:r>
    </w:p>
    <w:p>
      <w:pPr>
        <w:ind w:firstLine="420" w:firstLineChars="200"/>
      </w:pPr>
      <w:r>
        <w:rPr>
          <w:rFonts w:hint="eastAsia"/>
        </w:rPr>
        <w:t>（</w:t>
      </w:r>
      <w:r>
        <w:rPr>
          <w:rFonts w:hint="eastAsia" w:ascii="Times New Roman" w:eastAsia="宋体"/>
          <w:lang w:val="en-US" w:eastAsia="zh-CN"/>
        </w:rPr>
        <w:t>1</w:t>
      </w:r>
      <w:r>
        <w:rPr>
          <w:rFonts w:hint="eastAsia"/>
        </w:rPr>
        <w:t>）代理服务费以《中标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通知书》确定的</w:t>
      </w:r>
      <w:r>
        <w:rPr>
          <w:rFonts w:hint="eastAsia" w:ascii="Times New Roman" w:eastAsia="宋体"/>
          <w:lang w:val="en-US" w:eastAsia="zh-CN"/>
        </w:rPr>
        <w:t>中标（</w:t>
      </w:r>
      <w:r>
        <w:rPr>
          <w:rFonts w:hint="eastAsia"/>
        </w:rPr>
        <w:t>成交</w:t>
      </w:r>
      <w:r>
        <w:rPr>
          <w:rFonts w:hint="eastAsia" w:eastAsia="宋体"/>
          <w:lang w:eastAsia="zh-CN"/>
        </w:rPr>
        <w:t>）</w:t>
      </w:r>
      <w:r>
        <w:rPr>
          <w:rFonts w:hint="eastAsia"/>
        </w:rPr>
        <w:t>金额作为计算基数，按差额定率累进法计算。</w:t>
      </w:r>
    </w:p>
    <w:p>
      <w:pPr>
        <w:ind w:firstLine="420" w:firstLineChars="200"/>
      </w:pPr>
      <w:r>
        <w:rPr>
          <w:rFonts w:hint="eastAsia"/>
        </w:rPr>
        <w:t>（</w:t>
      </w:r>
      <w:r>
        <w:rPr>
          <w:rFonts w:hint="eastAsia" w:ascii="Times New Roman" w:eastAsia="宋体"/>
          <w:lang w:val="en-US" w:eastAsia="zh-CN"/>
        </w:rPr>
        <w:t>2</w:t>
      </w:r>
      <w:r>
        <w:rPr>
          <w:rFonts w:hint="eastAsia"/>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spacing w:line="360" w:lineRule="auto"/>
              <w:jc w:val="center"/>
            </w:pPr>
            <w:r>
              <w:rPr>
                <w:rFonts w:hint="eastAsia" w:ascii="Times New Roman" w:eastAsia="宋体"/>
                <w:lang w:val="en-US" w:eastAsia="zh-CN"/>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金额</w:t>
            </w:r>
          </w:p>
        </w:tc>
        <w:tc>
          <w:tcPr>
            <w:tcW w:w="1799" w:type="dxa"/>
            <w:vAlign w:val="center"/>
          </w:tcPr>
          <w:p>
            <w:pPr>
              <w:widowControl/>
              <w:spacing w:line="360" w:lineRule="auto"/>
              <w:jc w:val="center"/>
            </w:pPr>
            <w:r>
              <w:rPr>
                <w:rFonts w:hint="eastAsia"/>
              </w:rPr>
              <w:t>货物采购</w:t>
            </w:r>
          </w:p>
        </w:tc>
        <w:tc>
          <w:tcPr>
            <w:tcW w:w="1799" w:type="dxa"/>
            <w:vAlign w:val="center"/>
          </w:tcPr>
          <w:p>
            <w:pPr>
              <w:widowControl/>
              <w:spacing w:line="360" w:lineRule="auto"/>
              <w:jc w:val="center"/>
            </w:pPr>
            <w:r>
              <w:rPr>
                <w:rFonts w:hint="eastAsia"/>
              </w:rPr>
              <w:t>服务采购</w:t>
            </w:r>
          </w:p>
        </w:tc>
        <w:tc>
          <w:tcPr>
            <w:tcW w:w="1799" w:type="dxa"/>
            <w:vAlign w:val="center"/>
          </w:tcPr>
          <w:p>
            <w:pPr>
              <w:widowControl/>
              <w:spacing w:line="360" w:lineRule="auto"/>
              <w:jc w:val="center"/>
            </w:pPr>
            <w:r>
              <w:rPr>
                <w:rFonts w:hint="eastAsia"/>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100万元以下</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100万元（含）-500万元</w:t>
            </w:r>
          </w:p>
        </w:tc>
        <w:tc>
          <w:tcPr>
            <w:tcW w:w="1799" w:type="dxa"/>
            <w:vAlign w:val="center"/>
          </w:tcPr>
          <w:p>
            <w:pPr>
              <w:widowControl/>
              <w:spacing w:line="360" w:lineRule="auto"/>
              <w:jc w:val="center"/>
            </w:pPr>
            <w:r>
              <w:rPr>
                <w:rFonts w:hint="eastAsia"/>
              </w:rPr>
              <w:t>1.1%</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500万元（含）-1000万元</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0.45%</w:t>
            </w:r>
          </w:p>
        </w:tc>
        <w:tc>
          <w:tcPr>
            <w:tcW w:w="1799" w:type="dxa"/>
            <w:vAlign w:val="center"/>
          </w:tcPr>
          <w:p>
            <w:pPr>
              <w:widowControl/>
              <w:spacing w:line="360" w:lineRule="auto"/>
              <w:jc w:val="center"/>
            </w:pPr>
            <w:r>
              <w:rPr>
                <w:rFonts w:hint="eastAsia"/>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1000万元（含）-5000万元</w:t>
            </w:r>
          </w:p>
        </w:tc>
        <w:tc>
          <w:tcPr>
            <w:tcW w:w="1799" w:type="dxa"/>
            <w:vAlign w:val="center"/>
          </w:tcPr>
          <w:p>
            <w:pPr>
              <w:widowControl/>
              <w:spacing w:line="360" w:lineRule="auto"/>
              <w:jc w:val="center"/>
            </w:pPr>
            <w:r>
              <w:rPr>
                <w:rFonts w:hint="eastAsia"/>
              </w:rPr>
              <w:t>0.5%</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5000万元（含）-1亿元</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0.1%</w:t>
            </w:r>
          </w:p>
        </w:tc>
        <w:tc>
          <w:tcPr>
            <w:tcW w:w="1799" w:type="dxa"/>
            <w:vAlign w:val="center"/>
          </w:tcPr>
          <w:p>
            <w:pPr>
              <w:widowControl/>
              <w:spacing w:line="360" w:lineRule="auto"/>
              <w:jc w:val="center"/>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1亿元（含）-5亿元</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5亿元（含）-10亿元</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pPr>
              <w:widowControl/>
              <w:spacing w:line="360" w:lineRule="auto"/>
              <w:jc w:val="center"/>
            </w:pPr>
            <w:r>
              <w:rPr>
                <w:rFonts w:hint="eastAsia"/>
              </w:rPr>
              <w:t>10亿元（含）-50亿元</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50亿元（含）-100亿元</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100亿元（含）以上</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r>
    </w:tbl>
    <w:p>
      <w:pPr>
        <w:ind w:firstLine="420" w:firstLineChars="200"/>
      </w:pPr>
      <w:r>
        <w:rPr>
          <w:rFonts w:hint="eastAsia"/>
        </w:rPr>
        <w:t xml:space="preserve">备注：1.每宗交易代理服务费不低于 </w:t>
      </w:r>
      <w:r>
        <w:rPr>
          <w:rFonts w:hint="eastAsia" w:ascii="Times New Roman" w:eastAsia="宋体"/>
          <w:lang w:val="en-US" w:eastAsia="zh-CN"/>
        </w:rPr>
        <w:t>5</w:t>
      </w:r>
      <w:r>
        <w:rPr>
          <w:rFonts w:hint="eastAsia"/>
        </w:rPr>
        <w:t>000 元；</w:t>
      </w:r>
    </w:p>
    <w:p>
      <w:pPr>
        <w:ind w:firstLine="420" w:firstLineChars="200"/>
        <w:rPr>
          <w:rFonts w:hint="eastAsia" w:eastAsia="宋体"/>
          <w:lang w:eastAsia="zh-CN"/>
        </w:rPr>
      </w:pPr>
      <w:r>
        <w:rPr>
          <w:rFonts w:hint="eastAsia"/>
        </w:rPr>
        <w:t>2.对于报总价的采购类项目，中标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价为中标（成交）金额；对于报单价、折扣或费率的采购类项目，中标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价为预算上限金额或经委托方与代理方确定的支付上限金额；</w:t>
      </w:r>
    </w:p>
    <w:p>
      <w:pPr>
        <w:ind w:firstLine="420" w:firstLineChars="200"/>
      </w:pPr>
    </w:p>
    <w:p>
      <w:pPr>
        <w:ind w:firstLine="420" w:firstLineChars="200"/>
      </w:pPr>
      <w:r>
        <w:rPr>
          <w:rFonts w:hint="eastAsia"/>
        </w:rPr>
        <w:t>如某货物采购项目，中标（成交）金额为600万元，总共交纳的代理服务费的具体计算过程如下：</w:t>
      </w:r>
    </w:p>
    <w:p>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pPr>
        <w:ind w:firstLine="420" w:firstLineChars="200"/>
      </w:pPr>
      <w:r>
        <w:rPr>
          <w:rFonts w:hint="eastAsia"/>
        </w:rPr>
        <w:t>（</w:t>
      </w:r>
      <w:r>
        <w:rPr>
          <w:rFonts w:hint="eastAsia" w:ascii="Times New Roman" w:eastAsia="宋体"/>
          <w:lang w:val="en-US" w:eastAsia="zh-CN"/>
        </w:rPr>
        <w:t>3</w:t>
      </w:r>
      <w:r>
        <w:rPr>
          <w:rFonts w:hint="eastAsia"/>
        </w:rPr>
        <w:t>）中标（成交）供应商中标（成交）后，必须按规定采用银行对公转账方式向深圳交易集团有限公司直接交纳代理服务费，交纳信息及要求按照缴款</w:t>
      </w:r>
      <w:r>
        <w:rPr>
          <w:rFonts w:hint="eastAsia" w:eastAsia="宋体"/>
          <w:lang w:eastAsia="zh-CN"/>
        </w:rPr>
        <w:t>（</w:t>
      </w:r>
      <w:r>
        <w:rPr>
          <w:rFonts w:hint="eastAsia" w:ascii="Times New Roman" w:eastAsia="宋体"/>
          <w:lang w:val="en-US" w:eastAsia="zh-CN"/>
        </w:rPr>
        <w:t>付款</w:t>
      </w:r>
      <w:r>
        <w:rPr>
          <w:rFonts w:hint="eastAsia" w:eastAsia="宋体"/>
          <w:lang w:eastAsia="zh-CN"/>
        </w:rPr>
        <w:t>）</w:t>
      </w:r>
      <w:r>
        <w:rPr>
          <w:rFonts w:hint="eastAsia"/>
        </w:rPr>
        <w:t>通知书执行。</w:t>
      </w:r>
    </w:p>
    <w:p>
      <w:pPr>
        <w:pStyle w:val="2"/>
        <w:rPr>
          <w:b/>
        </w:rPr>
      </w:pPr>
    </w:p>
    <w:p>
      <w:pPr>
        <w:pStyle w:val="2"/>
        <w:rPr>
          <w:b/>
        </w:rPr>
      </w:pPr>
    </w:p>
    <w:p>
      <w:pPr>
        <w:spacing w:after="0" w:line="240" w:lineRule="auto"/>
        <w:ind w:firstLine="422" w:firstLineChars="200"/>
        <w:jc w:val="left"/>
        <w:rPr>
          <w:rFonts w:ascii="宋体" w:hAnsi="宋体" w:eastAsia="宋体" w:cs="宋体"/>
          <w:b/>
          <w:color w:val="000000" w:themeColor="text1"/>
          <w:szCs w:val="21"/>
          <w:highlight w:val="none"/>
          <w14:textFill>
            <w14:solidFill>
              <w14:schemeClr w14:val="tx1"/>
            </w14:solidFill>
          </w14:textFill>
        </w:rPr>
      </w:pPr>
      <w:r>
        <w:rPr>
          <w:rFonts w:hint="eastAsia" w:cs="Times New Roman"/>
          <w:b/>
          <w:color w:val="000000" w:themeColor="text1"/>
          <w:highlight w:val="none"/>
          <w:lang w:val="en-US" w:eastAsia="zh-CN"/>
          <w14:textFill>
            <w14:solidFill>
              <w14:schemeClr w14:val="tx1"/>
            </w14:solidFill>
          </w14:textFill>
        </w:rPr>
        <w:t>3</w:t>
      </w:r>
      <w:r>
        <w:rPr>
          <w:rFonts w:hint="eastAsia" w:ascii="Times New Roman" w:hAnsi="Times New Roman" w:cs="Times New Roman"/>
          <w:b/>
          <w:color w:val="000000" w:themeColor="text1"/>
          <w:highlight w:val="none"/>
          <w:lang w:val="en-US" w:eastAsia="zh-CN"/>
          <w14:textFill>
            <w14:solidFill>
              <w14:schemeClr w14:val="tx1"/>
            </w14:solidFill>
          </w14:textFill>
        </w:rPr>
        <w:t>.</w:t>
      </w:r>
      <w:r>
        <w:rPr>
          <w:rFonts w:hint="eastAsia" w:ascii="Times New Roman" w:hAnsi="Times New Roman" w:eastAsia="宋体" w:cs="Times New Roman"/>
          <w:b/>
          <w:color w:val="000000" w:themeColor="text1"/>
          <w:highlight w:val="none"/>
          <w14:textFill>
            <w14:solidFill>
              <w14:schemeClr w14:val="tx1"/>
            </w14:solidFill>
          </w14:textFill>
        </w:rPr>
        <w:t>其他说明</w:t>
      </w:r>
    </w:p>
    <w:p>
      <w:pPr>
        <w:wordWrap w:val="0"/>
        <w:spacing w:after="0" w:line="240" w:lineRule="auto"/>
        <w:ind w:firstLine="420" w:firstLineChars="200"/>
        <w:rPr>
          <w:rFonts w:ascii="Times New Roman" w:hAnsi="Times New Roman" w:eastAsia="宋体" w:cs="Times New Roman"/>
          <w:highlight w:val="none"/>
        </w:rPr>
      </w:pPr>
      <w:r>
        <w:rPr>
          <w:rFonts w:ascii="Times New Roman" w:hAnsi="Times New Roman" w:eastAsia="宋体" w:cs="Times New Roman"/>
          <w:highlight w:val="none"/>
        </w:rPr>
        <w:t>本项目允许使用电子营业执照加、解密，投标（应答）供应商在使用“投标文件制作专用软件”制作投标（应答）文件时，可以通过微信扫码功能调用“电子营业执照”小程序制作、加密、解密投标（应答）响应文件。供应商加密投标（应答）响应文件与开标解密必须使用同一种方式，否则解密失败，导致投标无效（即：使用电子执照加密的，后续开标只能使用电子执照解密）。</w:t>
      </w:r>
    </w:p>
    <w:p>
      <w:pPr>
        <w:wordWrap w:val="0"/>
        <w:spacing w:after="0" w:line="240" w:lineRule="auto"/>
        <w:ind w:firstLine="422" w:firstLineChars="200"/>
        <w:rPr>
          <w:rFonts w:ascii="Times New Roman" w:hAnsi="Times New Roman" w:eastAsia="宋体" w:cs="Times New Roman"/>
          <w:b/>
          <w:bCs/>
          <w:highlight w:val="none"/>
        </w:rPr>
      </w:pPr>
      <w:r>
        <w:rPr>
          <w:rFonts w:ascii="Times New Roman" w:hAnsi="Times New Roman" w:eastAsia="宋体" w:cs="Times New Roman"/>
          <w:b/>
          <w:bCs/>
          <w:highlight w:val="none"/>
        </w:rPr>
        <w:t>重要提示：</w:t>
      </w:r>
    </w:p>
    <w:p>
      <w:pPr>
        <w:wordWrap w:val="0"/>
        <w:spacing w:after="0" w:line="240" w:lineRule="auto"/>
        <w:ind w:firstLine="420" w:firstLineChars="200"/>
        <w:rPr>
          <w:rFonts w:ascii="Times New Roman" w:hAnsi="Times New Roman" w:eastAsia="宋体" w:cs="Times New Roman"/>
          <w:highlight w:val="none"/>
        </w:rPr>
      </w:pPr>
      <w:r>
        <w:rPr>
          <w:rFonts w:ascii="Times New Roman" w:hAnsi="Times New Roman" w:eastAsia="宋体" w:cs="Times New Roman"/>
          <w:highlight w:val="none"/>
        </w:rPr>
        <w:t>1</w:t>
      </w:r>
      <w:r>
        <w:rPr>
          <w:rFonts w:hint="eastAsia" w:ascii="Times New Roman" w:hAnsi="Times New Roman" w:eastAsia="宋体" w:cs="Times New Roman"/>
          <w:highlight w:val="none"/>
          <w:lang w:eastAsia="zh-CN"/>
        </w:rPr>
        <w:t>.</w:t>
      </w:r>
      <w:r>
        <w:rPr>
          <w:rFonts w:ascii="Times New Roman" w:hAnsi="Times New Roman" w:eastAsia="宋体" w:cs="Times New Roman"/>
          <w:highlight w:val="none"/>
        </w:rPr>
        <w:t>使用电子营业执照功能时，请确保已经在手机微信安装 “电子营业执照”小程序，或已安装了“电子营业执照”APP，并且在 “电子营业执照”小程序/app中完成相应的下载电子营业执照、法人授权、备份密钥等操作（具体详见国家工商总局网站），电子投标地区必须选择 “广东省-深圳市-深圳政府采购智慧平台”（请根据手机小程序/app提示进行设置，或拨打电子营业执照平台技术支持电话010-86355313，15921122750）。</w:t>
      </w:r>
    </w:p>
    <w:p>
      <w:pPr>
        <w:wordWrap w:val="0"/>
        <w:spacing w:after="0" w:line="240" w:lineRule="auto"/>
        <w:ind w:firstLine="420" w:firstLineChars="200"/>
        <w:rPr>
          <w:rFonts w:ascii="Times New Roman" w:hAnsi="Times New Roman" w:eastAsia="宋体" w:cs="Times New Roman"/>
          <w:highlight w:val="none"/>
        </w:rPr>
      </w:pPr>
      <w:r>
        <w:rPr>
          <w:rFonts w:ascii="Times New Roman" w:hAnsi="Times New Roman" w:eastAsia="宋体" w:cs="Times New Roman"/>
          <w:highlight w:val="none"/>
        </w:rPr>
        <w:t>2</w:t>
      </w:r>
      <w:r>
        <w:rPr>
          <w:rFonts w:hint="eastAsia" w:ascii="Times New Roman" w:hAnsi="Times New Roman" w:eastAsia="宋体" w:cs="Times New Roman"/>
          <w:highlight w:val="none"/>
          <w:lang w:eastAsia="zh-CN"/>
        </w:rPr>
        <w:t>.</w:t>
      </w:r>
      <w:r>
        <w:rPr>
          <w:rFonts w:ascii="Times New Roman" w:hAnsi="Times New Roman" w:eastAsia="宋体" w:cs="Times New Roman"/>
          <w:highlight w:val="none"/>
        </w:rPr>
        <w:t>电子营业执照应用于投标文件制作和加解密属于创新应用场景，如不熟悉操作可能导致错过投标截止时间，系统已提供加密、测试解密和撤回重新上传的功能，各投标人须预留充足时间，提前制作和加密上传投标文件。</w:t>
      </w:r>
    </w:p>
    <w:p>
      <w:pPr>
        <w:pStyle w:val="35"/>
        <w:rPr>
          <w:b/>
        </w:rPr>
      </w:pPr>
      <w:r>
        <w:rPr>
          <w:rFonts w:ascii="Times New Roman" w:hAnsi="Times New Roman" w:eastAsia="宋体" w:cs="Times New Roman"/>
          <w:kern w:val="2"/>
          <w:sz w:val="21"/>
          <w:szCs w:val="24"/>
          <w:highlight w:val="none"/>
          <w:lang w:val="en-US" w:eastAsia="zh-CN" w:bidi="ar-SA"/>
        </w:rPr>
        <w:t>3</w:t>
      </w:r>
      <w:r>
        <w:rPr>
          <w:rFonts w:hint="default" w:ascii="Times New Roman" w:hAnsi="Times New Roman" w:eastAsia="宋体" w:cs="Times New Roman"/>
          <w:kern w:val="2"/>
          <w:sz w:val="21"/>
          <w:szCs w:val="24"/>
          <w:highlight w:val="none"/>
          <w:lang w:val="en-US" w:eastAsia="zh-CN" w:bidi="ar-SA"/>
        </w:rPr>
        <w:t>.</w:t>
      </w:r>
      <w:r>
        <w:rPr>
          <w:rFonts w:ascii="Times New Roman" w:hAnsi="Times New Roman" w:eastAsia="宋体" w:cs="Times New Roman"/>
          <w:kern w:val="2"/>
          <w:sz w:val="21"/>
          <w:szCs w:val="24"/>
          <w:highlight w:val="none"/>
          <w:lang w:val="en-US" w:eastAsia="zh-CN" w:bidi="ar-SA"/>
        </w:rPr>
        <w:t>已办理数字证书（电子密钥）的用户，可以继续使用数字证书完成投标活动。未申请电子营业执照或无法通过电子营业执照完成投标文件制作和加解密的用户，必须使用电子密钥进行投标文件制作和加解密，咨询电话0755-83948165，4008301330（CA办理指引详见链接https://www.szzfcg.cn/portal/documentView.do?method=view&amp;id=597167584）。</w:t>
      </w:r>
    </w:p>
    <w:p>
      <w:pPr>
        <w:pStyle w:val="2"/>
        <w:rPr>
          <w:b/>
        </w:rPr>
        <w:sectPr>
          <w:pgSz w:w="11907" w:h="16840"/>
          <w:pgMar w:top="1440" w:right="1797" w:bottom="1440" w:left="1797" w:header="851" w:footer="992" w:gutter="0"/>
          <w:cols w:space="425" w:num="1"/>
          <w:titlePg/>
          <w:docGrid w:linePitch="462" w:charSpace="0"/>
        </w:sectPr>
      </w:pPr>
    </w:p>
    <w:p>
      <w:pPr>
        <w:pStyle w:val="4"/>
        <w:rPr>
          <w:sz w:val="28"/>
          <w:szCs w:val="28"/>
        </w:rPr>
      </w:pPr>
      <w:bookmarkStart w:id="29" w:name="_Toc128884461"/>
      <w:r>
        <w:rPr>
          <w:rFonts w:hint="eastAsia"/>
          <w:sz w:val="28"/>
          <w:szCs w:val="28"/>
        </w:rPr>
        <w:t>第三章 用户需求书</w:t>
      </w:r>
    </w:p>
    <w:p>
      <w:pPr>
        <w:pStyle w:val="4"/>
        <w:spacing w:before="120" w:beforeLines="50" w:after="120" w:afterLines="50"/>
        <w:rPr>
          <w:szCs w:val="24"/>
        </w:rPr>
      </w:pPr>
      <w:r>
        <w:rPr>
          <w:rFonts w:hint="eastAsia"/>
          <w:szCs w:val="24"/>
        </w:rPr>
        <w:t>一、项目基本信息</w:t>
      </w:r>
    </w:p>
    <w:p>
      <w:pPr>
        <w:rPr>
          <w:rFonts w:ascii="宋体" w:hAnsi="宋体"/>
          <w:b/>
          <w:color w:val="FF0000"/>
          <w:szCs w:val="21"/>
        </w:rPr>
      </w:pPr>
    </w:p>
    <w:tbl>
      <w:tblPr>
        <w:tblStyle w:val="42"/>
        <w:tblpPr w:leftFromText="180" w:rightFromText="180" w:vertAnchor="text" w:horzAnchor="margin" w:tblpY="17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2603"/>
        <w:gridCol w:w="3158"/>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13" w:type="dxa"/>
            <w:vAlign w:val="center"/>
          </w:tcPr>
          <w:p>
            <w:pPr>
              <w:jc w:val="center"/>
              <w:rPr>
                <w:bCs/>
                <w:color w:val="auto"/>
                <w:szCs w:val="21"/>
              </w:rPr>
            </w:pPr>
            <w:r>
              <w:rPr>
                <w:rFonts w:hint="eastAsia"/>
                <w:bCs/>
                <w:color w:val="auto"/>
                <w:szCs w:val="21"/>
              </w:rPr>
              <w:t>序号</w:t>
            </w:r>
          </w:p>
        </w:tc>
        <w:tc>
          <w:tcPr>
            <w:tcW w:w="2603" w:type="dxa"/>
            <w:vAlign w:val="center"/>
          </w:tcPr>
          <w:p>
            <w:pPr>
              <w:jc w:val="center"/>
              <w:rPr>
                <w:bCs/>
                <w:color w:val="auto"/>
                <w:szCs w:val="21"/>
              </w:rPr>
            </w:pPr>
            <w:r>
              <w:rPr>
                <w:rFonts w:hint="eastAsia"/>
                <w:color w:val="auto"/>
                <w:szCs w:val="21"/>
              </w:rPr>
              <w:t>采购计划编号</w:t>
            </w:r>
          </w:p>
        </w:tc>
        <w:tc>
          <w:tcPr>
            <w:tcW w:w="3158" w:type="dxa"/>
            <w:vAlign w:val="center"/>
          </w:tcPr>
          <w:p>
            <w:pPr>
              <w:jc w:val="center"/>
              <w:rPr>
                <w:bCs/>
                <w:color w:val="auto"/>
                <w:szCs w:val="21"/>
              </w:rPr>
            </w:pPr>
            <w:r>
              <w:rPr>
                <w:rFonts w:hint="eastAsia"/>
                <w:bCs/>
                <w:color w:val="auto"/>
                <w:szCs w:val="21"/>
              </w:rPr>
              <w:t>采购项目名称</w:t>
            </w:r>
          </w:p>
        </w:tc>
        <w:tc>
          <w:tcPr>
            <w:tcW w:w="2355" w:type="dxa"/>
            <w:vAlign w:val="center"/>
          </w:tcPr>
          <w:p>
            <w:pPr>
              <w:jc w:val="center"/>
              <w:rPr>
                <w:b/>
                <w:bCs/>
                <w:color w:val="auto"/>
                <w:szCs w:val="21"/>
              </w:rPr>
            </w:pPr>
            <w:r>
              <w:rPr>
                <w:rFonts w:hint="eastAsia"/>
                <w:b/>
                <w:bCs/>
                <w:color w:val="auto"/>
                <w:szCs w:val="21"/>
              </w:rPr>
              <w:t>预算</w:t>
            </w:r>
            <w:r>
              <w:rPr>
                <w:rFonts w:hint="eastAsia"/>
                <w:b/>
                <w:bCs/>
                <w:color w:val="auto"/>
                <w:szCs w:val="21"/>
                <w:lang w:val="en-US" w:eastAsia="zh-CN"/>
              </w:rPr>
              <w:t>金额</w:t>
            </w:r>
            <w:r>
              <w:rPr>
                <w:rFonts w:hint="eastAsia"/>
                <w:b/>
                <w:bCs/>
                <w:color w:val="auto"/>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13" w:type="dxa"/>
            <w:vAlign w:val="center"/>
          </w:tcPr>
          <w:p>
            <w:pPr>
              <w:jc w:val="center"/>
              <w:rPr>
                <w:bCs/>
                <w:color w:val="auto"/>
                <w:szCs w:val="21"/>
              </w:rPr>
            </w:pPr>
            <w:r>
              <w:rPr>
                <w:rFonts w:hint="eastAsia"/>
                <w:bCs/>
                <w:color w:val="auto"/>
                <w:szCs w:val="21"/>
              </w:rPr>
              <w:t>1</w:t>
            </w:r>
          </w:p>
        </w:tc>
        <w:tc>
          <w:tcPr>
            <w:tcW w:w="2603" w:type="dxa"/>
            <w:vAlign w:val="center"/>
          </w:tcPr>
          <w:p>
            <w:pPr>
              <w:jc w:val="center"/>
              <w:rPr>
                <w:rFonts w:hint="eastAsia" w:eastAsia="宋体"/>
                <w:bCs/>
                <w:color w:val="auto"/>
                <w:szCs w:val="21"/>
                <w:lang w:eastAsia="zh-CN"/>
              </w:rPr>
            </w:pPr>
            <w:r>
              <w:rPr>
                <w:rFonts w:hint="eastAsia"/>
                <w:bCs/>
                <w:color w:val="auto"/>
                <w:szCs w:val="21"/>
                <w:lang w:val="en-US" w:eastAsia="zh-CN"/>
              </w:rPr>
              <w:t>-</w:t>
            </w:r>
          </w:p>
        </w:tc>
        <w:tc>
          <w:tcPr>
            <w:tcW w:w="3158" w:type="dxa"/>
            <w:vAlign w:val="center"/>
          </w:tcPr>
          <w:p>
            <w:pPr>
              <w:jc w:val="center"/>
              <w:rPr>
                <w:b/>
                <w:bCs/>
                <w:color w:val="auto"/>
                <w:szCs w:val="21"/>
              </w:rPr>
            </w:pPr>
            <w:r>
              <w:rPr>
                <w:rFonts w:hint="eastAsia" w:ascii="宋体" w:hAnsi="宋体"/>
                <w:color w:val="auto"/>
                <w:szCs w:val="21"/>
              </w:rPr>
              <w:t>市体育中心周边无障碍环境提升建设工程项目</w:t>
            </w:r>
          </w:p>
        </w:tc>
        <w:tc>
          <w:tcPr>
            <w:tcW w:w="2355" w:type="dxa"/>
            <w:vAlign w:val="center"/>
          </w:tcPr>
          <w:p>
            <w:pPr>
              <w:jc w:val="center"/>
              <w:rPr>
                <w:bCs/>
                <w:color w:val="auto"/>
                <w:szCs w:val="21"/>
              </w:rPr>
            </w:pPr>
            <w:r>
              <w:rPr>
                <w:rFonts w:hint="eastAsia" w:ascii="宋体" w:hAnsi="宋体"/>
                <w:color w:val="auto"/>
                <w:szCs w:val="21"/>
                <w:lang w:val="en-US" w:eastAsia="zh-CN"/>
              </w:rPr>
              <w:t>850327.19</w:t>
            </w:r>
          </w:p>
        </w:tc>
      </w:tr>
    </w:tbl>
    <w:p>
      <w:pPr>
        <w:rPr>
          <w:rFonts w:ascii="宋体" w:hAnsi="宋体"/>
          <w:b/>
          <w:color w:val="auto"/>
          <w:szCs w:val="21"/>
        </w:rPr>
      </w:pPr>
    </w:p>
    <w:p>
      <w:pPr>
        <w:pStyle w:val="4"/>
        <w:spacing w:before="120" w:beforeLines="50" w:after="120" w:afterLines="50"/>
        <w:rPr>
          <w:szCs w:val="24"/>
        </w:rPr>
      </w:pPr>
      <w:r>
        <w:rPr>
          <w:rFonts w:hint="eastAsia"/>
          <w:szCs w:val="24"/>
        </w:rPr>
        <w:t>二、项目概况</w:t>
      </w:r>
    </w:p>
    <w:p>
      <w:pPr>
        <w:ind w:firstLine="420" w:firstLineChars="200"/>
        <w:rPr>
          <w:sz w:val="24"/>
        </w:rPr>
      </w:pPr>
      <w:r>
        <w:rPr>
          <w:rFonts w:hint="eastAsia" w:ascii="宋体" w:hAnsi="宋体"/>
          <w:szCs w:val="21"/>
        </w:rPr>
        <w:t>为2025年十五运会和残特奥会期间，满足重点人群（如运动员、观众游客等）用餐、住宿、游玩购物、就医看病等需求，以“残特奥会福田赛区场馆体育中心南门”为中心点，在800米至1500米步行范围内的公园公厕、沿街商铺无障碍环境、无障碍基础设施配套3类无障碍设施进行系统提升。</w:t>
      </w:r>
    </w:p>
    <w:p>
      <w:pPr>
        <w:ind w:firstLine="480" w:firstLineChars="200"/>
        <w:rPr>
          <w:sz w:val="24"/>
        </w:rPr>
      </w:pPr>
    </w:p>
    <w:p>
      <w:pPr>
        <w:rPr>
          <w:rFonts w:ascii="宋体" w:hAnsi="宋体"/>
          <w:b/>
          <w:color w:val="FF0000"/>
          <w:szCs w:val="21"/>
        </w:rPr>
      </w:pPr>
    </w:p>
    <w:p>
      <w:pPr>
        <w:pStyle w:val="4"/>
        <w:spacing w:before="120" w:beforeLines="50" w:after="120" w:afterLines="50"/>
        <w:rPr>
          <w:szCs w:val="24"/>
        </w:rPr>
      </w:pPr>
      <w:r>
        <w:rPr>
          <w:rFonts w:hint="eastAsia"/>
          <w:szCs w:val="24"/>
          <w:lang w:val="en-US" w:eastAsia="zh-CN"/>
        </w:rPr>
        <w:t>三</w:t>
      </w:r>
      <w:r>
        <w:rPr>
          <w:rFonts w:hint="eastAsia"/>
          <w:szCs w:val="24"/>
        </w:rPr>
        <w:t>、实质性条款</w:t>
      </w:r>
    </w:p>
    <w:tbl>
      <w:tblPr>
        <w:tblStyle w:val="4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7795" w:type="dxa"/>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pPr>
              <w:adjustRightInd w:val="0"/>
              <w:snapToGrid w:val="0"/>
              <w:spacing w:line="360" w:lineRule="auto"/>
              <w:rPr>
                <w:rFonts w:ascii="宋体" w:hAnsi="宋体"/>
                <w:kern w:val="0"/>
                <w:szCs w:val="21"/>
              </w:rPr>
            </w:pPr>
            <w:r>
              <w:rPr>
                <w:rFonts w:hint="eastAsia" w:ascii="宋体" w:hAnsi="宋体"/>
                <w:kern w:val="0"/>
                <w:szCs w:val="21"/>
              </w:rPr>
              <w:t>1</w:t>
            </w:r>
          </w:p>
        </w:tc>
        <w:tc>
          <w:tcPr>
            <w:tcW w:w="7795" w:type="dxa"/>
          </w:tcPr>
          <w:p>
            <w:pPr>
              <w:rPr>
                <w:rFonts w:hAnsi="宋体" w:eastAsiaTheme="minorEastAsia"/>
                <w:kern w:val="0"/>
                <w:szCs w:val="21"/>
              </w:rPr>
            </w:pPr>
            <w:r>
              <w:rPr>
                <w:rFonts w:hint="eastAsia" w:ascii="宋体" w:hAnsi="宋体" w:cs="宋体"/>
                <w:b/>
                <w:color w:val="FF0000"/>
                <w:kern w:val="0"/>
                <w:szCs w:val="21"/>
              </w:rPr>
              <w:t>满足本项目标★的条款要求</w:t>
            </w:r>
            <w:r>
              <w:rPr>
                <w:rFonts w:hint="eastAsia" w:ascii="宋体" w:hAnsi="宋体" w:cs="宋体"/>
                <w:b/>
                <w:color w:val="FF0000"/>
                <w:kern w:val="0"/>
                <w:szCs w:val="21"/>
                <w:lang w:eastAsia="zh-CN"/>
              </w:rPr>
              <w:t>。</w:t>
            </w:r>
          </w:p>
        </w:tc>
      </w:tr>
    </w:tbl>
    <w:p>
      <w:pPr>
        <w:tabs>
          <w:tab w:val="left" w:pos="765"/>
        </w:tabs>
        <w:outlineLvl w:val="9"/>
        <w:rPr>
          <w:rFonts w:ascii="黑体"/>
          <w:b w:val="0"/>
          <w:kern w:val="0"/>
          <w:sz w:val="21"/>
          <w:szCs w:val="21"/>
        </w:rPr>
      </w:pPr>
      <w:r>
        <w:rPr>
          <w:rFonts w:hint="eastAsia" w:ascii="黑体"/>
          <w:b w:val="0"/>
          <w:kern w:val="0"/>
          <w:sz w:val="21"/>
          <w:szCs w:val="21"/>
        </w:rPr>
        <w:t>注：上表所列内容为不可负偏离条款，负偏离将视为未实质性满足招标文件要求作投标无效处理。</w:t>
      </w:r>
      <w:bookmarkEnd w:id="29"/>
    </w:p>
    <w:p>
      <w:pPr>
        <w:rPr>
          <w:b/>
          <w:bCs/>
          <w:sz w:val="24"/>
        </w:rPr>
      </w:pPr>
    </w:p>
    <w:p>
      <w:pPr>
        <w:pStyle w:val="4"/>
        <w:spacing w:before="120" w:beforeLines="50" w:after="120" w:afterLines="50"/>
        <w:rPr>
          <w:b/>
          <w:sz w:val="24"/>
        </w:rPr>
      </w:pPr>
      <w:r>
        <w:rPr>
          <w:rFonts w:hint="eastAsia"/>
          <w:szCs w:val="24"/>
          <w:lang w:val="en-US" w:eastAsia="zh-CN"/>
        </w:rPr>
        <w:t>四</w:t>
      </w:r>
      <w:r>
        <w:rPr>
          <w:rFonts w:hint="eastAsia"/>
          <w:szCs w:val="24"/>
        </w:rPr>
        <w:t>、技术要求</w:t>
      </w:r>
    </w:p>
    <w:tbl>
      <w:tblPr>
        <w:tblStyle w:val="42"/>
        <w:tblpPr w:leftFromText="180" w:rightFromText="180" w:vertAnchor="text" w:horzAnchor="page" w:tblpX="1802" w:tblpY="423"/>
        <w:tblOverlap w:val="never"/>
        <w:tblW w:w="8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10"/>
        <w:gridCol w:w="4421"/>
        <w:gridCol w:w="749"/>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0" w:type="dxa"/>
            <w:vAlign w:val="center"/>
          </w:tcPr>
          <w:p>
            <w:pPr>
              <w:spacing w:line="276" w:lineRule="auto"/>
              <w:jc w:val="center"/>
              <w:rPr>
                <w:rFonts w:ascii="宋体" w:hAnsi="宋体" w:cs="宋体"/>
                <w:bCs/>
                <w:szCs w:val="21"/>
              </w:rPr>
            </w:pPr>
            <w:r>
              <w:rPr>
                <w:rFonts w:hint="eastAsia" w:ascii="宋体" w:hAnsi="宋体" w:cs="宋体"/>
                <w:bCs/>
                <w:szCs w:val="21"/>
              </w:rPr>
              <w:t>序号</w:t>
            </w:r>
          </w:p>
        </w:tc>
        <w:tc>
          <w:tcPr>
            <w:tcW w:w="1510" w:type="dxa"/>
            <w:vAlign w:val="center"/>
          </w:tcPr>
          <w:p>
            <w:pPr>
              <w:spacing w:line="276" w:lineRule="auto"/>
              <w:jc w:val="center"/>
              <w:rPr>
                <w:rFonts w:ascii="宋体" w:hAnsi="宋体" w:cs="宋体"/>
                <w:bCs/>
                <w:szCs w:val="21"/>
              </w:rPr>
            </w:pPr>
            <w:r>
              <w:rPr>
                <w:rFonts w:hint="eastAsia" w:ascii="宋体" w:hAnsi="宋体" w:cs="宋体"/>
                <w:bCs/>
                <w:szCs w:val="21"/>
              </w:rPr>
              <w:t>名称</w:t>
            </w:r>
          </w:p>
        </w:tc>
        <w:tc>
          <w:tcPr>
            <w:tcW w:w="4421" w:type="dxa"/>
            <w:vAlign w:val="center"/>
          </w:tcPr>
          <w:p>
            <w:pPr>
              <w:spacing w:line="276" w:lineRule="auto"/>
              <w:jc w:val="center"/>
              <w:rPr>
                <w:rFonts w:ascii="宋体" w:hAnsi="宋体" w:cs="宋体"/>
                <w:bCs/>
                <w:szCs w:val="21"/>
              </w:rPr>
            </w:pPr>
            <w:r>
              <w:rPr>
                <w:rFonts w:hint="eastAsia" w:ascii="宋体" w:hAnsi="宋体" w:cs="宋体"/>
                <w:bCs/>
                <w:szCs w:val="21"/>
              </w:rPr>
              <w:t>具体内容</w:t>
            </w:r>
          </w:p>
        </w:tc>
        <w:tc>
          <w:tcPr>
            <w:tcW w:w="749" w:type="dxa"/>
            <w:vAlign w:val="center"/>
          </w:tcPr>
          <w:p>
            <w:pPr>
              <w:spacing w:line="276" w:lineRule="auto"/>
              <w:jc w:val="center"/>
              <w:rPr>
                <w:rFonts w:ascii="宋体" w:hAnsi="宋体" w:cs="宋体"/>
                <w:bCs/>
                <w:szCs w:val="21"/>
              </w:rPr>
            </w:pPr>
            <w:r>
              <w:rPr>
                <w:rFonts w:hint="eastAsia" w:ascii="宋体" w:hAnsi="宋体" w:cs="宋体"/>
                <w:bCs/>
                <w:szCs w:val="21"/>
              </w:rPr>
              <w:t>标注</w:t>
            </w:r>
          </w:p>
        </w:tc>
        <w:tc>
          <w:tcPr>
            <w:tcW w:w="973" w:type="dxa"/>
            <w:vAlign w:val="center"/>
          </w:tcPr>
          <w:p>
            <w:pPr>
              <w:spacing w:line="276" w:lineRule="auto"/>
              <w:jc w:val="center"/>
              <w:rPr>
                <w:rFonts w:ascii="宋体" w:hAnsi="宋体" w:cs="宋体"/>
                <w:bCs/>
                <w:szCs w:val="21"/>
              </w:rPr>
            </w:pPr>
            <w:r>
              <w:rPr>
                <w:rFonts w:hint="eastAsia" w:ascii="宋体" w:hAnsi="宋体" w:cs="宋体"/>
                <w:bCs/>
                <w:szCs w:val="21"/>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40" w:type="dxa"/>
            <w:vAlign w:val="center"/>
          </w:tcPr>
          <w:p>
            <w:pPr>
              <w:spacing w:line="276" w:lineRule="auto"/>
              <w:jc w:val="center"/>
              <w:rPr>
                <w:rFonts w:ascii="宋体" w:hAnsi="宋体" w:cs="宋体"/>
                <w:bCs/>
                <w:szCs w:val="21"/>
              </w:rPr>
            </w:pPr>
            <w:r>
              <w:rPr>
                <w:rFonts w:hint="eastAsia" w:ascii="宋体" w:hAnsi="宋体" w:cs="宋体"/>
                <w:bCs/>
                <w:szCs w:val="21"/>
              </w:rPr>
              <w:t>1</w:t>
            </w:r>
          </w:p>
        </w:tc>
        <w:tc>
          <w:tcPr>
            <w:tcW w:w="1510" w:type="dxa"/>
            <w:vAlign w:val="center"/>
          </w:tcPr>
          <w:p>
            <w:pPr>
              <w:spacing w:line="276" w:lineRule="auto"/>
              <w:jc w:val="center"/>
              <w:rPr>
                <w:rFonts w:ascii="宋体" w:hAnsi="宋体" w:cs="宋体"/>
                <w:bCs/>
                <w:szCs w:val="21"/>
              </w:rPr>
            </w:pPr>
            <w:r>
              <w:rPr>
                <w:rFonts w:hint="eastAsia" w:ascii="宋体" w:hAnsi="宋体" w:cs="宋体"/>
                <w:bCs/>
                <w:szCs w:val="21"/>
              </w:rPr>
              <w:t>服务要求</w:t>
            </w:r>
          </w:p>
        </w:tc>
        <w:tc>
          <w:tcPr>
            <w:tcW w:w="4421" w:type="dxa"/>
            <w:vAlign w:val="center"/>
          </w:tcPr>
          <w:p>
            <w:pPr>
              <w:pStyle w:val="8"/>
              <w:spacing w:before="78" w:beforeLines="25" w:after="78" w:afterLines="25"/>
              <w:ind w:firstLine="0" w:firstLineChars="0"/>
            </w:pPr>
            <w:r>
              <w:rPr>
                <w:rFonts w:hint="eastAsia"/>
              </w:rPr>
              <w:t>1.中标单位必须作好施工记录、隐蔽工程记录、施工资料的整理、竣工资料的编制等工作。</w:t>
            </w:r>
          </w:p>
          <w:p>
            <w:pPr>
              <w:pStyle w:val="8"/>
              <w:spacing w:before="78" w:beforeLines="25" w:after="78" w:afterLines="25"/>
              <w:ind w:firstLine="0" w:firstLineChars="0"/>
            </w:pPr>
            <w:r>
              <w:rPr>
                <w:rFonts w:hint="eastAsia"/>
              </w:rPr>
              <w:t>2.中标单位必须在施工现场显眼位置设置正规施工警示牌、工程概况牌，标注“温馨提示”语言。靠近人行通道边（或建设方以为有必要的其他周边）必须用整齐美观的板材围护密封施工。</w:t>
            </w:r>
          </w:p>
          <w:p>
            <w:pPr>
              <w:pStyle w:val="8"/>
              <w:spacing w:before="78" w:beforeLines="25" w:after="78" w:afterLines="25"/>
              <w:ind w:firstLine="0" w:firstLineChars="0"/>
            </w:pPr>
            <w:r>
              <w:rPr>
                <w:rFonts w:hint="eastAsia"/>
              </w:rPr>
              <w:t>3.中标单位施工必须达到有关部门规定的安全文明施工标准，服从采购人的管理，避免干扰采购人的正常工作秩序，认真做好施工现场防护、防火、噪音、用电等安全文明施工各项管理工作，承担相应一切责任，确保施工场地区域道路通畅，保持施工现场整洁，做到工完场清，达到国家卫生城市标准。</w:t>
            </w:r>
          </w:p>
          <w:p>
            <w:pPr>
              <w:pStyle w:val="8"/>
              <w:spacing w:before="78" w:beforeLines="25" w:after="78" w:afterLines="25"/>
              <w:ind w:firstLine="0" w:firstLineChars="0"/>
            </w:pPr>
            <w:r>
              <w:rPr>
                <w:rFonts w:hint="eastAsia"/>
              </w:rPr>
              <w:t>4.中标单位必须在施工过程中注意自身及周边安全，做好现场及周边安全设施搭设，遵守有关安全保护规程，负责施工过程中的所有事故处理和费用。</w:t>
            </w:r>
          </w:p>
          <w:p>
            <w:pPr>
              <w:pStyle w:val="8"/>
              <w:spacing w:before="78" w:beforeLines="25" w:after="78" w:afterLines="25"/>
              <w:ind w:firstLine="0" w:firstLineChars="0"/>
            </w:pPr>
            <w:r>
              <w:rPr>
                <w:rFonts w:hint="eastAsia"/>
              </w:rPr>
              <w:t>5.单位必须服从采购单位，监理公司的监督、指导并积极主动配合上述管理机构的工作。</w:t>
            </w:r>
          </w:p>
          <w:p>
            <w:pPr>
              <w:pStyle w:val="8"/>
              <w:spacing w:before="78" w:beforeLines="25" w:after="78" w:afterLines="25"/>
              <w:ind w:firstLine="0" w:firstLineChars="0"/>
            </w:pPr>
            <w:r>
              <w:rPr>
                <w:rFonts w:hint="eastAsia"/>
              </w:rPr>
              <w:t>6.单位施工时须提供材料样板，经采购人最终确认后，方可进场使用，供应商所提供的样板或厂家应符合设计图纸要求及甲方确认要求，如供应商不能提供的可由采购人根据市场考察情况确认并实施。</w:t>
            </w:r>
          </w:p>
          <w:p>
            <w:pPr>
              <w:pStyle w:val="8"/>
              <w:spacing w:before="78" w:beforeLines="25" w:after="78" w:afterLines="25"/>
              <w:ind w:firstLine="0" w:firstLineChars="0"/>
            </w:pPr>
            <w:r>
              <w:rPr>
                <w:rFonts w:hint="eastAsia"/>
              </w:rPr>
              <w:t>7.本工程的任何材料在使用前必须得到采购人的批准，样品须在大批订货前送审。获准的样品存放在工地，作为以后验收材料的标准。样品和其包装，由中标人无偿提供。</w:t>
            </w:r>
          </w:p>
          <w:p>
            <w:pPr>
              <w:pStyle w:val="8"/>
              <w:spacing w:before="78" w:beforeLines="25" w:after="78" w:afterLines="25"/>
              <w:ind w:firstLine="0" w:firstLineChars="0"/>
            </w:pPr>
            <w:r>
              <w:rPr>
                <w:rFonts w:hint="eastAsia"/>
              </w:rPr>
              <w:t>8.人在工程施工前，须全面检查工地情况，若发现错误须立刻通知工程师。若未能遵从此规定，使本工程的任何项目因此等错误或缺陷而错误地建造，则中标人须自费予以拆除及重建。</w:t>
            </w:r>
          </w:p>
          <w:p>
            <w:pPr>
              <w:spacing w:line="276" w:lineRule="auto"/>
              <w:rPr>
                <w:rFonts w:ascii="宋体" w:hAnsi="宋体" w:cs="宋体"/>
                <w:bCs/>
                <w:szCs w:val="21"/>
              </w:rPr>
            </w:pPr>
            <w:r>
              <w:rPr>
                <w:rFonts w:hint="eastAsia"/>
              </w:rPr>
              <w:t>9.项目经理负责制，并按投标文件配备项目管理班子。如未经采购人同意更换项目班子成员，采购人有权取消投标人的中标资格或单方面终止合同，由此造成的违约责任由承包人承担。</w:t>
            </w:r>
          </w:p>
        </w:tc>
        <w:tc>
          <w:tcPr>
            <w:tcW w:w="749" w:type="dxa"/>
            <w:vAlign w:val="center"/>
          </w:tcPr>
          <w:p>
            <w:pPr>
              <w:spacing w:line="276" w:lineRule="auto"/>
              <w:rPr>
                <w:rFonts w:ascii="宋体" w:hAnsi="宋体" w:cs="宋体"/>
                <w:bCs/>
                <w:szCs w:val="21"/>
              </w:rPr>
            </w:pPr>
          </w:p>
        </w:tc>
        <w:tc>
          <w:tcPr>
            <w:tcW w:w="973" w:type="dxa"/>
            <w:vAlign w:val="center"/>
          </w:tcPr>
          <w:p>
            <w:pPr>
              <w:spacing w:line="276" w:lineRule="auto"/>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840" w:type="dxa"/>
            <w:vAlign w:val="center"/>
          </w:tcPr>
          <w:p>
            <w:pPr>
              <w:spacing w:line="276" w:lineRule="auto"/>
              <w:jc w:val="center"/>
              <w:rPr>
                <w:rFonts w:ascii="宋体" w:hAnsi="宋体" w:cs="宋体"/>
                <w:bCs/>
                <w:szCs w:val="21"/>
              </w:rPr>
            </w:pPr>
            <w:r>
              <w:rPr>
                <w:rFonts w:hint="eastAsia" w:ascii="宋体" w:hAnsi="宋体" w:cs="宋体"/>
                <w:bCs/>
                <w:szCs w:val="21"/>
              </w:rPr>
              <w:t>2</w:t>
            </w:r>
          </w:p>
        </w:tc>
        <w:tc>
          <w:tcPr>
            <w:tcW w:w="1510" w:type="dxa"/>
            <w:vAlign w:val="center"/>
          </w:tcPr>
          <w:p>
            <w:pPr>
              <w:spacing w:line="276" w:lineRule="auto"/>
              <w:jc w:val="center"/>
              <w:rPr>
                <w:rFonts w:ascii="宋体" w:hAnsi="宋体" w:cs="宋体"/>
                <w:bCs/>
                <w:szCs w:val="21"/>
              </w:rPr>
            </w:pPr>
            <w:r>
              <w:rPr>
                <w:rFonts w:hint="eastAsia" w:ascii="宋体" w:hAnsi="宋体" w:cs="宋体"/>
                <w:bCs/>
                <w:szCs w:val="21"/>
              </w:rPr>
              <w:t>人员要求</w:t>
            </w:r>
          </w:p>
        </w:tc>
        <w:tc>
          <w:tcPr>
            <w:tcW w:w="4421" w:type="dxa"/>
            <w:vAlign w:val="center"/>
          </w:tcPr>
          <w:p>
            <w:pPr>
              <w:numPr>
                <w:ilvl w:val="-1"/>
                <w:numId w:val="0"/>
              </w:numPr>
              <w:ind w:left="0" w:firstLine="0"/>
              <w:jc w:val="left"/>
              <w:rPr>
                <w:rFonts w:hint="eastAsia"/>
              </w:rPr>
            </w:pPr>
            <w:r>
              <w:rPr>
                <w:rFonts w:hint="eastAsia"/>
              </w:rPr>
              <w:t>（1）派驻的项目现场负责人须具有有效的安全生产考核合格证；</w:t>
            </w:r>
          </w:p>
          <w:p>
            <w:pPr>
              <w:spacing w:line="276" w:lineRule="auto"/>
              <w:jc w:val="left"/>
              <w:rPr>
                <w:rFonts w:ascii="宋体" w:hAnsi="宋体" w:cs="宋体"/>
                <w:kern w:val="0"/>
                <w:szCs w:val="21"/>
              </w:rPr>
            </w:pPr>
            <w:r>
              <w:rPr>
                <w:rFonts w:hint="eastAsia"/>
              </w:rPr>
              <w:t>（</w:t>
            </w:r>
            <w:r>
              <w:rPr>
                <w:rFonts w:hint="eastAsia"/>
                <w:lang w:val="en-US" w:eastAsia="zh-CN"/>
              </w:rPr>
              <w:t>2</w:t>
            </w:r>
            <w:r>
              <w:rPr>
                <w:rFonts w:hint="eastAsia"/>
              </w:rPr>
              <w:t>）委托项目施工时，派驻的项目现场负责人应在施工现场。如确需临时离开项目现场的，应征得甲方同意，并安排一名现场管理人员负责。</w:t>
            </w:r>
          </w:p>
        </w:tc>
        <w:tc>
          <w:tcPr>
            <w:tcW w:w="749" w:type="dxa"/>
            <w:vAlign w:val="center"/>
          </w:tcPr>
          <w:p>
            <w:pPr>
              <w:spacing w:line="276" w:lineRule="auto"/>
              <w:rPr>
                <w:rFonts w:ascii="宋体" w:hAnsi="宋体" w:cs="宋体"/>
                <w:bCs/>
                <w:szCs w:val="21"/>
              </w:rPr>
            </w:pPr>
          </w:p>
        </w:tc>
        <w:tc>
          <w:tcPr>
            <w:tcW w:w="973" w:type="dxa"/>
            <w:vAlign w:val="center"/>
          </w:tcPr>
          <w:p>
            <w:pPr>
              <w:spacing w:line="276" w:lineRule="auto"/>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40" w:type="dxa"/>
            <w:vAlign w:val="center"/>
          </w:tcPr>
          <w:p>
            <w:pPr>
              <w:spacing w:line="276" w:lineRule="auto"/>
              <w:jc w:val="center"/>
              <w:rPr>
                <w:rFonts w:hint="eastAsia" w:ascii="宋体" w:hAnsi="宋体" w:eastAsia="宋体" w:cs="宋体"/>
                <w:bCs/>
                <w:szCs w:val="21"/>
                <w:lang w:val="en-US" w:eastAsia="zh-CN"/>
              </w:rPr>
            </w:pPr>
            <w:r>
              <w:rPr>
                <w:rFonts w:hint="eastAsia" w:ascii="宋体" w:hAnsi="宋体" w:cs="宋体"/>
                <w:bCs/>
                <w:szCs w:val="21"/>
                <w:lang w:val="en-US" w:eastAsia="zh-CN"/>
              </w:rPr>
              <w:t>3</w:t>
            </w:r>
          </w:p>
        </w:tc>
        <w:tc>
          <w:tcPr>
            <w:tcW w:w="1510" w:type="dxa"/>
            <w:vAlign w:val="center"/>
          </w:tcPr>
          <w:p>
            <w:pPr>
              <w:spacing w:line="276" w:lineRule="auto"/>
              <w:jc w:val="center"/>
              <w:rPr>
                <w:rFonts w:hint="default" w:ascii="宋体" w:hAnsi="宋体" w:eastAsia="宋体" w:cs="宋体"/>
                <w:bCs/>
                <w:szCs w:val="21"/>
                <w:lang w:val="en-US" w:eastAsia="zh-CN"/>
              </w:rPr>
            </w:pPr>
            <w:r>
              <w:rPr>
                <w:rFonts w:hint="eastAsia" w:ascii="宋体" w:hAnsi="宋体" w:cs="宋体"/>
                <w:bCs/>
                <w:szCs w:val="21"/>
                <w:lang w:val="en-US" w:eastAsia="zh-CN"/>
              </w:rPr>
              <w:t>工程量清单要求</w:t>
            </w:r>
          </w:p>
        </w:tc>
        <w:tc>
          <w:tcPr>
            <w:tcW w:w="4421" w:type="dxa"/>
            <w:vAlign w:val="center"/>
          </w:tcPr>
          <w:p>
            <w:pPr>
              <w:rPr>
                <w:rFonts w:hint="eastAsia" w:eastAsia="宋体"/>
                <w:lang w:eastAsia="zh-CN"/>
              </w:rPr>
            </w:pPr>
            <w:r>
              <w:rPr>
                <w:rFonts w:hint="eastAsia"/>
              </w:rPr>
              <w:t>1、工程量清单应以国标清单形式（xls格式）提供</w:t>
            </w:r>
            <w:r>
              <w:rPr>
                <w:rFonts w:hint="eastAsia"/>
                <w:lang w:eastAsia="zh-CN"/>
              </w:rPr>
              <w:t>。</w:t>
            </w:r>
          </w:p>
          <w:p/>
          <w:p>
            <w:pPr>
              <w:rPr>
                <w:rFonts w:ascii="宋体" w:hAnsi="宋体"/>
                <w:bCs/>
                <w:snapToGrid w:val="0"/>
                <w:kern w:val="0"/>
                <w:szCs w:val="21"/>
                <w:lang w:val="zh-CN"/>
              </w:rPr>
            </w:pPr>
            <w:r>
              <w:rPr>
                <w:rFonts w:hint="eastAsia" w:ascii="宋体" w:hAnsi="宋体"/>
                <w:bCs/>
                <w:snapToGrid w:val="0"/>
                <w:kern w:val="0"/>
                <w:szCs w:val="21"/>
                <w:lang w:val="zh-CN"/>
              </w:rPr>
              <w:t>2、说明：</w:t>
            </w:r>
          </w:p>
          <w:p>
            <w:pPr>
              <w:rPr>
                <w:rFonts w:ascii="宋体" w:hAnsi="宋体"/>
                <w:bCs/>
                <w:snapToGrid w:val="0"/>
                <w:kern w:val="0"/>
                <w:szCs w:val="21"/>
                <w:lang w:val="zh-CN"/>
              </w:rPr>
            </w:pPr>
            <w:r>
              <w:rPr>
                <w:rFonts w:hint="eastAsia" w:ascii="宋体" w:hAnsi="宋体"/>
                <w:bCs/>
                <w:snapToGrid w:val="0"/>
                <w:kern w:val="0"/>
                <w:szCs w:val="21"/>
                <w:lang w:val="zh-CN"/>
              </w:rPr>
              <w:t>1）工程计价办法：</w:t>
            </w:r>
            <w:r>
              <w:rPr>
                <w:rFonts w:hint="eastAsia" w:ascii="宋体" w:hAnsi="宋体"/>
                <w:b/>
                <w:bCs/>
                <w:snapToGrid w:val="0"/>
                <w:kern w:val="0"/>
                <w:szCs w:val="21"/>
                <w:u w:val="single"/>
                <w:lang w:val="zh-CN"/>
              </w:rPr>
              <w:t>综合单价法</w:t>
            </w:r>
            <w:r>
              <w:rPr>
                <w:rFonts w:hint="eastAsia" w:ascii="宋体" w:hAnsi="宋体"/>
                <w:bCs/>
                <w:snapToGrid w:val="0"/>
                <w:kern w:val="0"/>
                <w:szCs w:val="21"/>
                <w:lang w:val="zh-CN"/>
              </w:rPr>
              <w:t>。</w:t>
            </w:r>
          </w:p>
          <w:p>
            <w:pPr>
              <w:rPr>
                <w:rFonts w:ascii="宋体" w:hAnsi="宋体"/>
                <w:bCs/>
                <w:snapToGrid w:val="0"/>
                <w:kern w:val="0"/>
                <w:szCs w:val="21"/>
                <w:lang w:val="zh-CN"/>
              </w:rPr>
            </w:pPr>
            <w:r>
              <w:rPr>
                <w:rFonts w:hint="eastAsia" w:ascii="宋体" w:hAnsi="宋体"/>
                <w:bCs/>
                <w:snapToGrid w:val="0"/>
                <w:kern w:val="0"/>
                <w:szCs w:val="21"/>
                <w:lang w:val="zh-CN"/>
              </w:rPr>
              <w:t>2）工程量清单应与投标须知、合同条件、工程建设标准及技术要求和图纸等文件结合起来理解或解释。</w:t>
            </w:r>
          </w:p>
          <w:p>
            <w:pPr>
              <w:rPr>
                <w:rFonts w:ascii="宋体" w:hAnsi="宋体"/>
                <w:bCs/>
                <w:snapToGrid w:val="0"/>
                <w:kern w:val="0"/>
                <w:szCs w:val="21"/>
                <w:lang w:val="zh-CN"/>
              </w:rPr>
            </w:pPr>
            <w:r>
              <w:rPr>
                <w:rFonts w:hint="eastAsia" w:ascii="宋体" w:hAnsi="宋体"/>
                <w:bCs/>
                <w:snapToGrid w:val="0"/>
                <w:kern w:val="0"/>
                <w:szCs w:val="21"/>
                <w:lang w:val="zh-CN"/>
              </w:rPr>
              <w:t>3）本工程量清单是采购人委托相关单位根据本招标文件中所提供的设计文件编制的。</w:t>
            </w:r>
          </w:p>
          <w:p>
            <w:pPr>
              <w:rPr>
                <w:rFonts w:ascii="宋体" w:hAnsi="宋体"/>
                <w:bCs/>
                <w:snapToGrid w:val="0"/>
                <w:kern w:val="0"/>
                <w:szCs w:val="21"/>
                <w:lang w:val="zh-CN"/>
              </w:rPr>
            </w:pPr>
            <w:r>
              <w:rPr>
                <w:rFonts w:hint="eastAsia" w:ascii="宋体" w:hAnsi="宋体"/>
                <w:bCs/>
                <w:snapToGrid w:val="0"/>
                <w:kern w:val="0"/>
                <w:szCs w:val="21"/>
                <w:lang w:val="zh-CN"/>
              </w:rPr>
              <w:t>4）按照《建设工程工程量清单计价规范》的规定，“工程量清单格式”主要包括以下几个部分，但不局限于以下部分：</w:t>
            </w:r>
          </w:p>
          <w:p>
            <w:pPr>
              <w:rPr>
                <w:rFonts w:ascii="宋体" w:hAnsi="宋体"/>
                <w:bCs/>
                <w:snapToGrid w:val="0"/>
                <w:kern w:val="0"/>
                <w:szCs w:val="21"/>
                <w:lang w:val="zh-CN"/>
              </w:rPr>
            </w:pPr>
            <w:r>
              <w:rPr>
                <w:rFonts w:hint="eastAsia" w:ascii="宋体" w:hAnsi="宋体"/>
                <w:bCs/>
                <w:snapToGrid w:val="0"/>
                <w:kern w:val="0"/>
                <w:szCs w:val="21"/>
                <w:lang w:val="zh-CN"/>
              </w:rPr>
              <w:t>⑴.清单封面；</w:t>
            </w:r>
          </w:p>
          <w:p>
            <w:pPr>
              <w:rPr>
                <w:rFonts w:ascii="宋体" w:hAnsi="宋体"/>
                <w:bCs/>
                <w:snapToGrid w:val="0"/>
                <w:kern w:val="0"/>
                <w:szCs w:val="21"/>
                <w:lang w:val="zh-CN"/>
              </w:rPr>
            </w:pPr>
            <w:r>
              <w:rPr>
                <w:rFonts w:hint="eastAsia" w:ascii="宋体" w:hAnsi="宋体"/>
                <w:bCs/>
                <w:snapToGrid w:val="0"/>
                <w:kern w:val="0"/>
                <w:szCs w:val="21"/>
                <w:lang w:val="zh-CN"/>
              </w:rPr>
              <w:t>⑵.总说明；</w:t>
            </w:r>
          </w:p>
          <w:p>
            <w:pPr>
              <w:rPr>
                <w:rFonts w:ascii="宋体" w:hAnsi="宋体"/>
                <w:bCs/>
                <w:snapToGrid w:val="0"/>
                <w:kern w:val="0"/>
                <w:szCs w:val="21"/>
                <w:lang w:val="zh-CN"/>
              </w:rPr>
            </w:pPr>
            <w:r>
              <w:rPr>
                <w:rFonts w:hint="eastAsia" w:ascii="宋体" w:hAnsi="宋体"/>
                <w:bCs/>
                <w:snapToGrid w:val="0"/>
                <w:kern w:val="0"/>
                <w:szCs w:val="21"/>
                <w:lang w:val="zh-CN"/>
              </w:rPr>
              <w:t>包括：工程概况、工程招标范围、工程量清单编制依据、工程质量、材料、施工的特殊要求、预留金及暂定金额的情况等。</w:t>
            </w:r>
          </w:p>
          <w:p>
            <w:pPr>
              <w:rPr>
                <w:rFonts w:ascii="宋体" w:hAnsi="宋体"/>
                <w:bCs/>
                <w:snapToGrid w:val="0"/>
                <w:kern w:val="0"/>
                <w:szCs w:val="21"/>
                <w:lang w:val="zh-CN"/>
              </w:rPr>
            </w:pPr>
            <w:r>
              <w:rPr>
                <w:rFonts w:hint="eastAsia" w:ascii="宋体" w:hAnsi="宋体"/>
                <w:bCs/>
                <w:snapToGrid w:val="0"/>
                <w:kern w:val="0"/>
                <w:szCs w:val="21"/>
                <w:lang w:val="zh-CN"/>
              </w:rPr>
              <w:t>⑶. 工程项目/单项工程汇总表；</w:t>
            </w:r>
          </w:p>
          <w:p>
            <w:pPr>
              <w:rPr>
                <w:rFonts w:ascii="宋体" w:hAnsi="宋体"/>
                <w:bCs/>
                <w:snapToGrid w:val="0"/>
                <w:kern w:val="0"/>
                <w:szCs w:val="21"/>
                <w:lang w:val="zh-CN"/>
              </w:rPr>
            </w:pPr>
            <w:r>
              <w:rPr>
                <w:rFonts w:hint="eastAsia" w:ascii="宋体" w:hAnsi="宋体"/>
                <w:bCs/>
                <w:snapToGrid w:val="0"/>
                <w:kern w:val="0"/>
                <w:szCs w:val="21"/>
                <w:lang w:val="zh-CN"/>
              </w:rPr>
              <w:t>指本次招标的工程项目所包含的单项工程及每个单项工程所包含的单位工程，只有一个单位工程时可不填此表。</w:t>
            </w:r>
          </w:p>
          <w:p>
            <w:pPr>
              <w:rPr>
                <w:rFonts w:ascii="宋体" w:hAnsi="宋体"/>
                <w:bCs/>
                <w:snapToGrid w:val="0"/>
                <w:kern w:val="0"/>
                <w:szCs w:val="21"/>
                <w:lang w:val="zh-CN"/>
              </w:rPr>
            </w:pPr>
            <w:r>
              <w:rPr>
                <w:rFonts w:hint="eastAsia" w:ascii="宋体" w:hAnsi="宋体"/>
                <w:bCs/>
                <w:snapToGrid w:val="0"/>
                <w:kern w:val="0"/>
                <w:szCs w:val="21"/>
                <w:lang w:val="zh-CN"/>
              </w:rPr>
              <w:t>⑷.分部分项工程量清单；</w:t>
            </w:r>
          </w:p>
          <w:p>
            <w:pPr>
              <w:rPr>
                <w:rFonts w:ascii="宋体" w:hAnsi="宋体"/>
                <w:bCs/>
                <w:snapToGrid w:val="0"/>
                <w:kern w:val="0"/>
                <w:szCs w:val="21"/>
                <w:lang w:val="zh-CN"/>
              </w:rPr>
            </w:pPr>
            <w:r>
              <w:rPr>
                <w:rFonts w:hint="eastAsia" w:ascii="宋体" w:hAnsi="宋体"/>
                <w:bCs/>
                <w:snapToGrid w:val="0"/>
                <w:kern w:val="0"/>
                <w:szCs w:val="21"/>
                <w:lang w:val="zh-CN"/>
              </w:rPr>
              <w:t>⑸. 措施项目清单汇总表；</w:t>
            </w:r>
          </w:p>
          <w:p>
            <w:pPr>
              <w:rPr>
                <w:rFonts w:ascii="宋体" w:hAnsi="宋体"/>
                <w:bCs/>
                <w:snapToGrid w:val="0"/>
                <w:kern w:val="0"/>
                <w:szCs w:val="21"/>
                <w:lang w:val="zh-CN"/>
              </w:rPr>
            </w:pPr>
            <w:r>
              <w:rPr>
                <w:rFonts w:hint="eastAsia" w:ascii="宋体" w:hAnsi="宋体"/>
                <w:bCs/>
                <w:snapToGrid w:val="0"/>
                <w:kern w:val="0"/>
                <w:szCs w:val="21"/>
                <w:lang w:val="zh-CN"/>
              </w:rPr>
              <w:t>⑹. 措施项目清单（一）：指按分部分项工程量清单的方式采用综合单价计价的措施项目；</w:t>
            </w:r>
          </w:p>
          <w:p>
            <w:pPr>
              <w:rPr>
                <w:rFonts w:ascii="宋体" w:hAnsi="宋体"/>
                <w:bCs/>
                <w:snapToGrid w:val="0"/>
                <w:kern w:val="0"/>
                <w:szCs w:val="21"/>
                <w:lang w:val="zh-CN"/>
              </w:rPr>
            </w:pPr>
            <w:r>
              <w:rPr>
                <w:rFonts w:hint="eastAsia" w:ascii="宋体" w:hAnsi="宋体"/>
                <w:bCs/>
                <w:snapToGrid w:val="0"/>
                <w:kern w:val="0"/>
                <w:szCs w:val="21"/>
                <w:lang w:val="zh-CN"/>
              </w:rPr>
              <w:t>⑺. 其他项目清单汇总表；</w:t>
            </w:r>
          </w:p>
          <w:p>
            <w:pPr>
              <w:rPr>
                <w:rFonts w:ascii="宋体" w:hAnsi="宋体"/>
                <w:bCs/>
                <w:snapToGrid w:val="0"/>
                <w:kern w:val="0"/>
                <w:szCs w:val="21"/>
                <w:lang w:val="zh-CN"/>
              </w:rPr>
            </w:pPr>
            <w:r>
              <w:rPr>
                <w:rFonts w:hint="eastAsia" w:ascii="宋体" w:hAnsi="宋体"/>
                <w:bCs/>
                <w:snapToGrid w:val="0"/>
                <w:kern w:val="0"/>
                <w:szCs w:val="21"/>
                <w:lang w:val="zh-CN"/>
              </w:rPr>
              <w:t>该表分为采购人部分和投标人部分，采购人部分可采购人另行招标采购材料设备费用等，由采购人填写；投标人部分可包括总承包服务费、零星工作项目费等，由投标人根据工程情况，投标报价时填写。</w:t>
            </w:r>
          </w:p>
          <w:p>
            <w:pPr>
              <w:rPr>
                <w:rFonts w:ascii="宋体" w:hAnsi="宋体"/>
                <w:bCs/>
                <w:snapToGrid w:val="0"/>
                <w:kern w:val="0"/>
                <w:szCs w:val="21"/>
                <w:lang w:val="zh-CN"/>
              </w:rPr>
            </w:pPr>
            <w:r>
              <w:rPr>
                <w:rFonts w:hint="eastAsia" w:ascii="宋体" w:hAnsi="宋体"/>
                <w:bCs/>
                <w:snapToGrid w:val="0"/>
                <w:kern w:val="0"/>
                <w:szCs w:val="21"/>
                <w:lang w:val="zh-CN"/>
              </w:rPr>
              <w:t>(8)材料设备暂估价表；</w:t>
            </w:r>
          </w:p>
          <w:p>
            <w:pPr>
              <w:rPr>
                <w:rFonts w:ascii="宋体" w:hAnsi="宋体"/>
                <w:bCs/>
                <w:snapToGrid w:val="0"/>
                <w:kern w:val="0"/>
                <w:szCs w:val="21"/>
                <w:lang w:val="zh-CN"/>
              </w:rPr>
            </w:pPr>
            <w:r>
              <w:rPr>
                <w:rFonts w:hint="eastAsia" w:ascii="宋体" w:hAnsi="宋体"/>
                <w:bCs/>
                <w:snapToGrid w:val="0"/>
                <w:kern w:val="0"/>
                <w:szCs w:val="21"/>
                <w:lang w:val="zh-CN"/>
              </w:rPr>
              <w:t>(9)计日工表；</w:t>
            </w:r>
          </w:p>
          <w:p>
            <w:pPr>
              <w:rPr>
                <w:rFonts w:ascii="宋体" w:hAnsi="宋体"/>
                <w:bCs/>
                <w:snapToGrid w:val="0"/>
                <w:kern w:val="0"/>
                <w:szCs w:val="21"/>
                <w:lang w:val="zh-CN"/>
              </w:rPr>
            </w:pPr>
            <w:r>
              <w:rPr>
                <w:rFonts w:hint="eastAsia" w:ascii="宋体" w:hAnsi="宋体"/>
                <w:bCs/>
                <w:snapToGrid w:val="0"/>
                <w:kern w:val="0"/>
                <w:szCs w:val="21"/>
                <w:lang w:val="zh-CN"/>
              </w:rPr>
              <w:t>(10)总承包服务费表；</w:t>
            </w:r>
          </w:p>
          <w:p>
            <w:pPr>
              <w:rPr>
                <w:rFonts w:ascii="宋体" w:hAnsi="宋体"/>
                <w:bCs/>
                <w:snapToGrid w:val="0"/>
                <w:kern w:val="0"/>
                <w:szCs w:val="21"/>
                <w:lang w:val="zh-CN"/>
              </w:rPr>
            </w:pPr>
            <w:r>
              <w:rPr>
                <w:rFonts w:hint="eastAsia" w:ascii="宋体" w:hAnsi="宋体"/>
                <w:bCs/>
                <w:snapToGrid w:val="0"/>
                <w:kern w:val="0"/>
                <w:szCs w:val="21"/>
                <w:lang w:val="zh-CN"/>
              </w:rPr>
              <w:t>(11)发包人供应材料设备明细表：指招标人计划自行采购的材料设备的数量价格等情况。</w:t>
            </w:r>
          </w:p>
          <w:p>
            <w:pPr>
              <w:rPr>
                <w:rFonts w:ascii="宋体" w:hAnsi="宋体"/>
                <w:bCs/>
                <w:snapToGrid w:val="0"/>
                <w:kern w:val="0"/>
                <w:szCs w:val="21"/>
                <w:lang w:val="zh-CN"/>
              </w:rPr>
            </w:pPr>
            <w:r>
              <w:rPr>
                <w:rFonts w:hint="eastAsia" w:ascii="宋体" w:hAnsi="宋体"/>
                <w:bCs/>
                <w:snapToGrid w:val="0"/>
                <w:kern w:val="0"/>
                <w:szCs w:val="21"/>
                <w:lang w:val="zh-CN"/>
              </w:rPr>
              <w:t>(12)规费、税金项目清单；</w:t>
            </w:r>
          </w:p>
          <w:p>
            <w:pPr>
              <w:rPr>
                <w:rFonts w:ascii="宋体" w:hAnsi="宋体"/>
                <w:bCs/>
                <w:snapToGrid w:val="0"/>
                <w:kern w:val="0"/>
                <w:szCs w:val="21"/>
                <w:lang w:val="zh-CN"/>
              </w:rPr>
            </w:pPr>
            <w:r>
              <w:rPr>
                <w:rFonts w:hint="eastAsia" w:ascii="宋体" w:hAnsi="宋体"/>
                <w:bCs/>
                <w:snapToGrid w:val="0"/>
                <w:kern w:val="0"/>
                <w:szCs w:val="21"/>
                <w:lang w:val="zh-CN"/>
              </w:rPr>
              <w:t>(13)暂列金额明细表；</w:t>
            </w:r>
          </w:p>
          <w:p>
            <w:pPr>
              <w:rPr>
                <w:rFonts w:ascii="宋体" w:hAnsi="宋体"/>
                <w:bCs/>
                <w:snapToGrid w:val="0"/>
                <w:kern w:val="0"/>
                <w:szCs w:val="21"/>
                <w:lang w:val="zh-CN"/>
              </w:rPr>
            </w:pPr>
            <w:r>
              <w:rPr>
                <w:rFonts w:hint="eastAsia" w:ascii="宋体" w:hAnsi="宋体"/>
                <w:bCs/>
                <w:snapToGrid w:val="0"/>
                <w:kern w:val="0"/>
                <w:szCs w:val="21"/>
                <w:lang w:val="zh-CN"/>
              </w:rPr>
              <w:t>(14)工程建设其他费：指招标人要求投标人完成的工程建设其他费项目。</w:t>
            </w:r>
          </w:p>
          <w:p>
            <w:pPr>
              <w:rPr>
                <w:rFonts w:ascii="宋体" w:hAnsi="宋体"/>
                <w:bCs/>
                <w:snapToGrid w:val="0"/>
                <w:kern w:val="0"/>
                <w:szCs w:val="21"/>
                <w:lang w:val="zh-CN"/>
              </w:rPr>
            </w:pPr>
            <w:r>
              <w:rPr>
                <w:rFonts w:hint="eastAsia" w:ascii="宋体" w:hAnsi="宋体"/>
                <w:bCs/>
                <w:snapToGrid w:val="0"/>
                <w:kern w:val="0"/>
                <w:szCs w:val="21"/>
                <w:lang w:val="zh-CN"/>
              </w:rPr>
              <w:t>(15)设备及工器具购置费：指招标工程中包含的不计算营业税的设备名称、规格、数量等情况。5）本工程要求采用的工程量计算规则，应作为本工程招投标双方进行工程招投标和结算计量、计价的共同依据。</w:t>
            </w:r>
          </w:p>
          <w:p>
            <w:pPr>
              <w:rPr>
                <w:rFonts w:ascii="宋体" w:hAnsi="宋体"/>
                <w:bCs/>
                <w:snapToGrid w:val="0"/>
                <w:kern w:val="0"/>
                <w:szCs w:val="21"/>
                <w:lang w:val="zh-CN"/>
              </w:rPr>
            </w:pPr>
            <w:r>
              <w:rPr>
                <w:rFonts w:hint="eastAsia" w:ascii="宋体" w:hAnsi="宋体"/>
                <w:bCs/>
                <w:snapToGrid w:val="0"/>
                <w:kern w:val="0"/>
                <w:szCs w:val="21"/>
                <w:lang w:val="zh-CN"/>
              </w:rPr>
              <w:t>6）本工程要求采用的工程量计算规则是《13清单计价规范》及《13清单计价规范》补充规范（深圳2013）；</w:t>
            </w:r>
          </w:p>
          <w:p>
            <w:pPr>
              <w:rPr>
                <w:rFonts w:ascii="宋体" w:hAnsi="宋体"/>
                <w:bCs/>
                <w:snapToGrid w:val="0"/>
                <w:kern w:val="0"/>
                <w:szCs w:val="21"/>
                <w:lang w:val="zh-CN"/>
              </w:rPr>
            </w:pPr>
            <w:r>
              <w:rPr>
                <w:rFonts w:hint="eastAsia" w:ascii="宋体" w:hAnsi="宋体"/>
                <w:bCs/>
                <w:snapToGrid w:val="0"/>
                <w:kern w:val="0"/>
                <w:szCs w:val="21"/>
                <w:lang w:val="zh-CN"/>
              </w:rPr>
              <w:t>7）对“分部分项工程量清单”的说明和报价要求</w:t>
            </w:r>
          </w:p>
          <w:p>
            <w:pPr>
              <w:rPr>
                <w:rFonts w:ascii="宋体" w:hAnsi="宋体"/>
                <w:bCs/>
                <w:snapToGrid w:val="0"/>
                <w:kern w:val="0"/>
                <w:szCs w:val="21"/>
                <w:lang w:val="zh-CN"/>
              </w:rPr>
            </w:pPr>
            <w:r>
              <w:rPr>
                <w:rFonts w:hint="eastAsia" w:ascii="宋体" w:hAnsi="宋体"/>
                <w:bCs/>
                <w:snapToGrid w:val="0"/>
                <w:kern w:val="0"/>
                <w:szCs w:val="21"/>
                <w:lang w:val="zh-CN"/>
              </w:rPr>
              <w:t>⑴.该清单所列的工程量系采购人的估算，是临时的，作为投标报价的共同基础。不应被理解为是对采购人要求工作内容的全部定义，也不能作为投标人应完成的实际工程量。结算时，应以由承包人和采购人或由采购人授权委托的工程师共同计量、核实的实际完成的工程量为准。</w:t>
            </w:r>
          </w:p>
          <w:p>
            <w:pPr>
              <w:rPr>
                <w:rFonts w:ascii="宋体" w:hAnsi="宋体"/>
                <w:bCs/>
                <w:snapToGrid w:val="0"/>
                <w:kern w:val="0"/>
                <w:szCs w:val="21"/>
                <w:lang w:val="zh-CN"/>
              </w:rPr>
            </w:pPr>
            <w:r>
              <w:rPr>
                <w:rFonts w:hint="eastAsia" w:ascii="宋体" w:hAnsi="宋体"/>
                <w:bCs/>
                <w:snapToGrid w:val="0"/>
                <w:kern w:val="0"/>
                <w:szCs w:val="21"/>
                <w:lang w:val="zh-CN"/>
              </w:rPr>
              <w:t>⑵.该清单中所填入的综合单价和合价应包括直接成本（即人工、材料、机械）和费用（管理费、利润）、风险金等全部费用。但涉及到采购人自行采购的设备材料的项目不得计入材料设备的价格。</w:t>
            </w:r>
          </w:p>
          <w:p>
            <w:pPr>
              <w:rPr>
                <w:rFonts w:ascii="宋体" w:hAnsi="宋体"/>
                <w:bCs/>
                <w:snapToGrid w:val="0"/>
                <w:kern w:val="0"/>
                <w:szCs w:val="21"/>
                <w:lang w:val="zh-CN"/>
              </w:rPr>
            </w:pPr>
            <w:r>
              <w:rPr>
                <w:rFonts w:hint="eastAsia" w:ascii="宋体" w:hAnsi="宋体"/>
                <w:bCs/>
                <w:snapToGrid w:val="0"/>
                <w:kern w:val="0"/>
                <w:szCs w:val="21"/>
                <w:lang w:val="zh-CN"/>
              </w:rPr>
              <w:t>⑶. 该清单中不再重复或概括工程及材料的一般说明，在编制和填写工程量清单的每一项的综合单价和合价时应参考投标须知和合同条件的有关条款。</w:t>
            </w:r>
          </w:p>
          <w:p>
            <w:pPr>
              <w:rPr>
                <w:rFonts w:ascii="宋体" w:hAnsi="宋体"/>
                <w:bCs/>
                <w:snapToGrid w:val="0"/>
                <w:kern w:val="0"/>
                <w:szCs w:val="21"/>
                <w:lang w:val="zh-CN"/>
              </w:rPr>
            </w:pPr>
            <w:r>
              <w:rPr>
                <w:rFonts w:hint="eastAsia" w:ascii="宋体" w:hAnsi="宋体"/>
                <w:bCs/>
                <w:snapToGrid w:val="0"/>
                <w:kern w:val="0"/>
                <w:szCs w:val="21"/>
                <w:lang w:val="zh-CN"/>
              </w:rPr>
              <w:t>⑷.该清单的各项目说明中含有“暂定材料设备单价”的，应明确说明此单价是否包括运输费、采保费等费用。投标时投标人不得修改。结算时，应按本招标文件的合同条件中约定的方法调整。</w:t>
            </w:r>
          </w:p>
          <w:p>
            <w:pPr>
              <w:rPr>
                <w:rFonts w:ascii="宋体" w:hAnsi="宋体"/>
                <w:bCs/>
                <w:snapToGrid w:val="0"/>
                <w:kern w:val="0"/>
                <w:szCs w:val="21"/>
                <w:lang w:val="zh-CN"/>
              </w:rPr>
            </w:pPr>
            <w:r>
              <w:rPr>
                <w:rFonts w:hint="eastAsia" w:ascii="宋体" w:hAnsi="宋体"/>
                <w:bCs/>
                <w:snapToGrid w:val="0"/>
                <w:kern w:val="0"/>
                <w:szCs w:val="21"/>
                <w:lang w:val="zh-CN"/>
              </w:rPr>
              <w:t>⑸.针对该清单，投标人报价时应提供 “分部分项工程量清单综合单价分析表”。</w:t>
            </w:r>
          </w:p>
          <w:p>
            <w:pPr>
              <w:rPr>
                <w:rFonts w:ascii="宋体" w:hAnsi="宋体"/>
                <w:bCs/>
                <w:snapToGrid w:val="0"/>
                <w:kern w:val="0"/>
                <w:szCs w:val="21"/>
                <w:lang w:val="zh-CN"/>
              </w:rPr>
            </w:pPr>
            <w:r>
              <w:rPr>
                <w:rFonts w:hint="eastAsia" w:ascii="宋体" w:hAnsi="宋体"/>
                <w:bCs/>
                <w:snapToGrid w:val="0"/>
                <w:kern w:val="0"/>
                <w:szCs w:val="21"/>
                <w:lang w:val="zh-CN"/>
              </w:rPr>
              <w:t>8）对“措施项目清单”的说明和报价要求：</w:t>
            </w:r>
          </w:p>
          <w:p>
            <w:pPr>
              <w:rPr>
                <w:rFonts w:ascii="宋体" w:hAnsi="宋体"/>
                <w:bCs/>
                <w:snapToGrid w:val="0"/>
                <w:kern w:val="0"/>
                <w:szCs w:val="21"/>
                <w:lang w:val="zh-CN"/>
              </w:rPr>
            </w:pPr>
            <w:r>
              <w:rPr>
                <w:rFonts w:hint="eastAsia" w:ascii="宋体" w:hAnsi="宋体"/>
                <w:bCs/>
                <w:snapToGrid w:val="0"/>
                <w:kern w:val="0"/>
                <w:szCs w:val="21"/>
                <w:lang w:val="zh-CN"/>
              </w:rPr>
              <w:t>⑴.该清单所列项目均以“一项”提出，是采购人根据一般情况估计的项目，投标人实际措施项目不同的，可以对具体列项内容进行调整。</w:t>
            </w:r>
          </w:p>
          <w:p>
            <w:pPr>
              <w:rPr>
                <w:rFonts w:ascii="宋体" w:hAnsi="宋体"/>
                <w:bCs/>
                <w:snapToGrid w:val="0"/>
                <w:kern w:val="0"/>
                <w:szCs w:val="21"/>
                <w:lang w:val="zh-CN"/>
              </w:rPr>
            </w:pPr>
            <w:r>
              <w:rPr>
                <w:rFonts w:hint="eastAsia" w:ascii="宋体" w:hAnsi="宋体"/>
                <w:bCs/>
                <w:snapToGrid w:val="0"/>
                <w:kern w:val="0"/>
                <w:szCs w:val="21"/>
                <w:lang w:val="zh-CN"/>
              </w:rPr>
              <w:t>⑵. 该清单中以“项”为单位的措施项目，投标人填报的价格应包括除规费、税金外的全部费用。</w:t>
            </w:r>
          </w:p>
          <w:p>
            <w:pPr>
              <w:rPr>
                <w:rFonts w:ascii="宋体" w:hAnsi="宋体"/>
                <w:bCs/>
                <w:snapToGrid w:val="0"/>
                <w:kern w:val="0"/>
                <w:szCs w:val="21"/>
                <w:lang w:val="zh-CN"/>
              </w:rPr>
            </w:pPr>
            <w:r>
              <w:rPr>
                <w:rFonts w:hint="eastAsia" w:ascii="宋体" w:hAnsi="宋体"/>
                <w:bCs/>
                <w:snapToGrid w:val="0"/>
                <w:kern w:val="0"/>
                <w:szCs w:val="21"/>
                <w:lang w:val="zh-CN"/>
              </w:rPr>
              <w:t>措施项目中可以计算工程量的项目，投标人应根据招标人在“措施项目清单（一）”提供的工程量填报综合单价和合价。该清单所列的工程量系招标人的估算，是临时的，是投标人报价的共同基础。不被理解为是对招标人要求工作内容的全部定义，也不能作为投标人应完成的实际工程量。所填入的综合单价和合价应包括人工费、材料费、施工机械使用费和企业管理费与利润，以及一定范围内的风险费用。</w:t>
            </w:r>
          </w:p>
          <w:p>
            <w:pPr>
              <w:rPr>
                <w:rFonts w:ascii="宋体" w:hAnsi="宋体"/>
                <w:bCs/>
                <w:snapToGrid w:val="0"/>
                <w:kern w:val="0"/>
                <w:szCs w:val="21"/>
                <w:lang w:val="zh-CN"/>
              </w:rPr>
            </w:pPr>
            <w:r>
              <w:rPr>
                <w:rFonts w:hint="eastAsia" w:ascii="宋体" w:hAnsi="宋体"/>
                <w:bCs/>
                <w:snapToGrid w:val="0"/>
                <w:kern w:val="0"/>
                <w:szCs w:val="21"/>
                <w:lang w:val="zh-CN"/>
              </w:rPr>
              <w:t>⑶.针对该清单，要求投标人报价时提供“措施项目清单与计价表（二）”。</w:t>
            </w:r>
          </w:p>
          <w:p>
            <w:pPr>
              <w:rPr>
                <w:rFonts w:ascii="宋体" w:hAnsi="宋体"/>
                <w:bCs/>
                <w:snapToGrid w:val="0"/>
                <w:kern w:val="0"/>
                <w:szCs w:val="21"/>
                <w:lang w:val="zh-CN"/>
              </w:rPr>
            </w:pPr>
            <w:r>
              <w:rPr>
                <w:rFonts w:hint="eastAsia" w:ascii="宋体" w:hAnsi="宋体"/>
                <w:bCs/>
                <w:snapToGrid w:val="0"/>
                <w:kern w:val="0"/>
                <w:szCs w:val="21"/>
                <w:lang w:val="zh-CN"/>
              </w:rPr>
              <w:t>⑷.该清单中列入了“安全文明施工措施费”，该费用包括临时设施费、安全施工费、文明施工费、环境保护费。编制招标控制价时，招标人将按《〈建设工程工程清单计价规范〉补充规范（深圳2013）》中安全文明施工措施费详细清单所列基本项目和现行《深圳市建设工程计价费率标准》中的费率确定“安全文明施工措施费”费用，计入招标控制价，并在公布招标控制价时明确该项费用的具体金额，作为非竞争性费用。不编制招标控制价时，招标人按现行《深圳市建设工程计价费率标准》中的费率确定“安全文明施工措施费”费用。</w:t>
            </w:r>
          </w:p>
          <w:p>
            <w:pPr>
              <w:rPr>
                <w:rFonts w:ascii="宋体" w:hAnsi="宋体"/>
                <w:bCs/>
                <w:snapToGrid w:val="0"/>
                <w:kern w:val="0"/>
                <w:szCs w:val="21"/>
                <w:lang w:val="zh-CN"/>
              </w:rPr>
            </w:pPr>
            <w:r>
              <w:rPr>
                <w:rFonts w:hint="eastAsia" w:ascii="宋体" w:hAnsi="宋体"/>
                <w:bCs/>
                <w:snapToGrid w:val="0"/>
                <w:kern w:val="0"/>
                <w:szCs w:val="21"/>
                <w:lang w:val="zh-CN"/>
              </w:rPr>
              <w:t>投标人应当按照本招标文件的规定，在《〈建设工程工程清单计价规范〉补充规范（深圳2013）》中“安全文明施工措施费详细清单”所列基本项目基础上，结合工程实际及施工组织设计或施工方案，补充所需的特定安全文明施工措施项目，编制“安全文明施工措施费详细清单”，列出项目编码、项目名称、项目特征、计量单位和工程量，填报综合单价，并将该表合价合计金额计入投标总价。</w:t>
            </w:r>
          </w:p>
          <w:p>
            <w:pPr>
              <w:rPr>
                <w:rFonts w:ascii="宋体" w:hAnsi="宋体"/>
                <w:bCs/>
                <w:snapToGrid w:val="0"/>
                <w:kern w:val="0"/>
                <w:szCs w:val="21"/>
                <w:lang w:val="zh-CN"/>
              </w:rPr>
            </w:pPr>
            <w:r>
              <w:rPr>
                <w:rFonts w:hint="eastAsia" w:ascii="宋体" w:hAnsi="宋体"/>
                <w:bCs/>
                <w:snapToGrid w:val="0"/>
                <w:kern w:val="0"/>
                <w:szCs w:val="21"/>
                <w:lang w:val="zh-CN"/>
              </w:rPr>
              <w:t>⑸.计划施工总工期相比按《深圳市建设工程施工工期标准》计算所得标准工期压缩超过30%时，该清单中列入“夜间施工费和赶工措施费”，该费用为工期压缩导致施工投入增加的补偿。编制招标控制价时，招标人将按现行的《深圳市建设工程计价费率标准》中的费率确定“夜间施工费和赶工措施费”费用，计入招标控制价。</w:t>
            </w:r>
          </w:p>
          <w:p>
            <w:pPr>
              <w:rPr>
                <w:rFonts w:ascii="宋体" w:hAnsi="宋体"/>
                <w:bCs/>
                <w:snapToGrid w:val="0"/>
                <w:kern w:val="0"/>
                <w:szCs w:val="21"/>
                <w:lang w:val="zh-CN"/>
              </w:rPr>
            </w:pPr>
            <w:r>
              <w:rPr>
                <w:rFonts w:hint="eastAsia" w:ascii="宋体" w:hAnsi="宋体"/>
                <w:bCs/>
                <w:snapToGrid w:val="0"/>
                <w:kern w:val="0"/>
                <w:szCs w:val="21"/>
                <w:lang w:val="zh-CN"/>
              </w:rPr>
              <w:t>投标人应当按照本招标文件的规定，结合自身实际及施工组织设计或施工方案，确定投标工期，自主填报夜间施工费和赶工措施费，并计入投标总价。</w:t>
            </w:r>
          </w:p>
          <w:p>
            <w:pPr>
              <w:rPr>
                <w:rFonts w:ascii="宋体" w:hAnsi="宋体"/>
                <w:bCs/>
                <w:snapToGrid w:val="0"/>
                <w:kern w:val="0"/>
                <w:szCs w:val="21"/>
                <w:lang w:val="zh-CN"/>
              </w:rPr>
            </w:pPr>
            <w:r>
              <w:rPr>
                <w:rFonts w:hint="eastAsia" w:ascii="宋体" w:hAnsi="宋体"/>
                <w:bCs/>
                <w:snapToGrid w:val="0"/>
                <w:kern w:val="0"/>
                <w:szCs w:val="21"/>
                <w:lang w:val="zh-CN"/>
              </w:rPr>
              <w:t>9）对“其他项目清单”的说明和报价要求：</w:t>
            </w:r>
          </w:p>
          <w:p>
            <w:pPr>
              <w:rPr>
                <w:rFonts w:ascii="宋体" w:hAnsi="宋体"/>
                <w:bCs/>
                <w:snapToGrid w:val="0"/>
                <w:kern w:val="0"/>
                <w:szCs w:val="21"/>
                <w:lang w:val="zh-CN"/>
              </w:rPr>
            </w:pPr>
            <w:r>
              <w:rPr>
                <w:rFonts w:hint="eastAsia" w:ascii="宋体" w:hAnsi="宋体"/>
                <w:bCs/>
                <w:snapToGrid w:val="0"/>
                <w:kern w:val="0"/>
                <w:szCs w:val="21"/>
                <w:lang w:val="zh-CN"/>
              </w:rPr>
              <w:t>(1)材料设备暂估价指招标人提供的用于支付必然发生但暂时不能确定价格的材料、设备的清单。投标时，投标人应将材料设备的暂估单价计入分部分项工程量清单综合单价报价中。结算时，按发、承包双方最终确认的价格调整价差，价差部分不计利润。</w:t>
            </w:r>
          </w:p>
          <w:p>
            <w:pPr>
              <w:rPr>
                <w:rFonts w:ascii="宋体" w:hAnsi="宋体"/>
                <w:bCs/>
                <w:snapToGrid w:val="0"/>
                <w:kern w:val="0"/>
                <w:szCs w:val="21"/>
                <w:lang w:val="zh-CN"/>
              </w:rPr>
            </w:pPr>
            <w:r>
              <w:rPr>
                <w:rFonts w:hint="eastAsia" w:ascii="宋体" w:hAnsi="宋体"/>
                <w:bCs/>
                <w:snapToGrid w:val="0"/>
                <w:kern w:val="0"/>
                <w:szCs w:val="21"/>
                <w:lang w:val="zh-CN"/>
              </w:rPr>
              <w:t>(2)计日工指招标人提出的施工图纸以外的零星项目或工作。投标时，投标人应根据招标人提出的计日工表的要求自主确定综合单价，计算汇总后计入其他项目清单汇总表。</w:t>
            </w:r>
          </w:p>
          <w:p>
            <w:pPr>
              <w:rPr>
                <w:rFonts w:ascii="宋体" w:hAnsi="宋体"/>
                <w:bCs/>
                <w:snapToGrid w:val="0"/>
                <w:kern w:val="0"/>
                <w:szCs w:val="21"/>
                <w:lang w:val="zh-CN"/>
              </w:rPr>
            </w:pPr>
            <w:r>
              <w:rPr>
                <w:rFonts w:hint="eastAsia" w:ascii="宋体" w:hAnsi="宋体"/>
                <w:bCs/>
                <w:snapToGrid w:val="0"/>
                <w:kern w:val="0"/>
                <w:szCs w:val="21"/>
                <w:lang w:val="zh-CN"/>
              </w:rPr>
              <w:t>(3)总承包服务费包括分包管理费、总分包配合费、发包人供应材料设备保管费。投标时，投标人根据招标人提出的分包专业工程内容和供应材料、设备情况，按照招标人提出的协调、配合与服务内容和施工现场管理需要，自主确定总承包服务费各项目费率。其中分包管理费和总分包配合费以分包工程合同造价为计算基数；发包人供应材料设备保管费应根据“发包人供应材料设备明细表”中合计金额为计算基数。</w:t>
            </w:r>
          </w:p>
          <w:p>
            <w:pPr>
              <w:pStyle w:val="17"/>
              <w:rPr>
                <w:rFonts w:hint="eastAsia" w:ascii="宋体" w:hAnsi="宋体" w:eastAsia="宋体" w:cs="Times New Roman"/>
                <w:bCs/>
                <w:snapToGrid w:val="0"/>
                <w:kern w:val="0"/>
                <w:sz w:val="21"/>
                <w:szCs w:val="21"/>
                <w:lang w:val="zh-CN" w:eastAsia="zh-CN" w:bidi="ar-SA"/>
              </w:rPr>
            </w:pPr>
            <w:r>
              <w:rPr>
                <w:rFonts w:hint="eastAsia" w:ascii="宋体" w:hAnsi="宋体" w:eastAsia="宋体" w:cs="Times New Roman"/>
                <w:bCs/>
                <w:snapToGrid w:val="0"/>
                <w:kern w:val="0"/>
                <w:sz w:val="21"/>
                <w:szCs w:val="21"/>
                <w:lang w:val="zh-CN" w:eastAsia="zh-CN" w:bidi="ar-SA"/>
              </w:rPr>
              <w:t>10）工程量清单作为本招标文件的组成部分，其准确性和完整性由招标人负责。如发现招标人提供的工程量清单的项目及工程量与图纸实际不符时，除招标文件另有要求外，投标人应在答疑期间提出，采购人应进行复核并在网上发出修正。如没有做出修正，投标人仍应按原提供的项目及工程量报价，并将项差与量差体现在报价中，并在备注中注明，但不得对工程量清单进行修改。</w:t>
            </w:r>
          </w:p>
          <w:p>
            <w:pPr>
              <w:spacing w:line="276" w:lineRule="auto"/>
              <w:rPr>
                <w:rFonts w:hint="eastAsia" w:ascii="宋体" w:hAnsi="宋体" w:cs="宋体"/>
                <w:szCs w:val="21"/>
              </w:rPr>
            </w:pPr>
          </w:p>
        </w:tc>
        <w:tc>
          <w:tcPr>
            <w:tcW w:w="749" w:type="dxa"/>
            <w:vAlign w:val="center"/>
          </w:tcPr>
          <w:p>
            <w:pPr>
              <w:spacing w:line="276" w:lineRule="auto"/>
              <w:rPr>
                <w:rFonts w:ascii="宋体" w:hAnsi="宋体" w:cs="宋体"/>
                <w:bCs/>
                <w:szCs w:val="21"/>
              </w:rPr>
            </w:pPr>
          </w:p>
        </w:tc>
        <w:tc>
          <w:tcPr>
            <w:tcW w:w="973" w:type="dxa"/>
            <w:vAlign w:val="center"/>
          </w:tcPr>
          <w:p>
            <w:pPr>
              <w:spacing w:line="276" w:lineRule="auto"/>
              <w:rPr>
                <w:rFonts w:ascii="宋体" w:hAnsi="宋体" w:cs="宋体"/>
                <w:bCs/>
                <w:szCs w:val="21"/>
              </w:rPr>
            </w:pPr>
          </w:p>
        </w:tc>
      </w:tr>
    </w:tbl>
    <w:p>
      <w:pPr>
        <w:rPr>
          <w:b/>
          <w:sz w:val="24"/>
        </w:rPr>
      </w:pPr>
    </w:p>
    <w:p>
      <w:pPr>
        <w:pStyle w:val="4"/>
        <w:spacing w:before="120" w:beforeLines="50" w:after="120" w:afterLines="50"/>
        <w:rPr>
          <w:szCs w:val="24"/>
        </w:rPr>
      </w:pPr>
      <w:r>
        <w:rPr>
          <w:rFonts w:hint="eastAsia"/>
          <w:szCs w:val="24"/>
        </w:rPr>
        <w:t>六、商务要求</w:t>
      </w:r>
    </w:p>
    <w:tbl>
      <w:tblPr>
        <w:tblStyle w:val="4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363"/>
        <w:gridCol w:w="6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87" w:type="pct"/>
            <w:vAlign w:val="center"/>
          </w:tcPr>
          <w:p>
            <w:pPr>
              <w:widowControl/>
              <w:jc w:val="center"/>
              <w:rPr>
                <w:b/>
                <w:szCs w:val="21"/>
              </w:rPr>
            </w:pPr>
            <w:r>
              <w:rPr>
                <w:rFonts w:hint="eastAsia"/>
                <w:b/>
                <w:szCs w:val="21"/>
              </w:rPr>
              <w:t>序号</w:t>
            </w:r>
          </w:p>
        </w:tc>
        <w:tc>
          <w:tcPr>
            <w:tcW w:w="799" w:type="pct"/>
            <w:vAlign w:val="center"/>
          </w:tcPr>
          <w:p>
            <w:pPr>
              <w:widowControl/>
              <w:jc w:val="center"/>
              <w:rPr>
                <w:b/>
                <w:szCs w:val="21"/>
              </w:rPr>
            </w:pPr>
            <w:r>
              <w:rPr>
                <w:rFonts w:hint="eastAsia"/>
                <w:b/>
                <w:szCs w:val="21"/>
              </w:rPr>
              <w:t>目录</w:t>
            </w:r>
          </w:p>
        </w:tc>
        <w:tc>
          <w:tcPr>
            <w:tcW w:w="3813" w:type="pct"/>
            <w:vAlign w:val="center"/>
          </w:tcPr>
          <w:p>
            <w:pPr>
              <w:widowControl/>
              <w:jc w:val="center"/>
              <w:rPr>
                <w:b/>
                <w:szCs w:val="21"/>
              </w:rPr>
            </w:pPr>
            <w:r>
              <w:rPr>
                <w:rFonts w:hint="eastAsia" w:ascii="宋体" w:hAnsi="宋体" w:cs="宋体"/>
                <w:szCs w:val="21"/>
              </w:rPr>
              <w:t>★</w:t>
            </w:r>
            <w:r>
              <w:rPr>
                <w:rFonts w:hint="eastAsia"/>
                <w:b/>
                <w:szCs w:val="21"/>
              </w:rPr>
              <w:t>商务条款要求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Align w:val="center"/>
          </w:tcPr>
          <w:p>
            <w:pPr>
              <w:jc w:val="center"/>
              <w:outlineLvl w:val="0"/>
              <w:rPr>
                <w:rFonts w:ascii="宋体" w:hAnsi="宋体"/>
                <w:b/>
                <w:bCs/>
                <w:szCs w:val="21"/>
              </w:rPr>
            </w:pPr>
            <w:r>
              <w:rPr>
                <w:rFonts w:hint="eastAsia" w:ascii="宋体" w:hAnsi="宋体"/>
                <w:b/>
                <w:bCs/>
                <w:szCs w:val="21"/>
              </w:rPr>
              <w:t>1</w:t>
            </w:r>
          </w:p>
        </w:tc>
        <w:tc>
          <w:tcPr>
            <w:tcW w:w="799" w:type="pct"/>
            <w:vAlign w:val="center"/>
          </w:tcPr>
          <w:p>
            <w:pPr>
              <w:jc w:val="center"/>
              <w:outlineLvl w:val="0"/>
              <w:rPr>
                <w:rFonts w:ascii="宋体" w:hAnsi="宋体"/>
                <w:b/>
                <w:bCs/>
                <w:szCs w:val="21"/>
              </w:rPr>
            </w:pPr>
            <w:r>
              <w:rPr>
                <w:rFonts w:hint="eastAsia" w:ascii="宋体" w:hAnsi="宋体"/>
                <w:b/>
                <w:bCs/>
                <w:szCs w:val="21"/>
                <w:lang w:val="en-US" w:eastAsia="zh-CN"/>
              </w:rPr>
              <w:t>工程</w:t>
            </w:r>
            <w:r>
              <w:rPr>
                <w:rFonts w:hint="eastAsia" w:ascii="宋体" w:hAnsi="宋体"/>
                <w:b/>
                <w:bCs/>
                <w:szCs w:val="21"/>
              </w:rPr>
              <w:t>期要求</w:t>
            </w:r>
          </w:p>
        </w:tc>
        <w:tc>
          <w:tcPr>
            <w:tcW w:w="3813" w:type="pct"/>
          </w:tcPr>
          <w:p>
            <w:pPr>
              <w:rPr>
                <w:rFonts w:ascii="宋体" w:hAnsi="宋体"/>
                <w:b/>
                <w:szCs w:val="21"/>
                <w:u w:val="single"/>
              </w:rPr>
            </w:pPr>
            <w:r>
              <w:rPr>
                <w:rFonts w:hint="eastAsia" w:ascii="宋体" w:hAnsi="宋体"/>
                <w:szCs w:val="21"/>
                <w:u w:val="none"/>
              </w:rPr>
              <w:t>系指合同签订之日起至</w:t>
            </w:r>
            <w:r>
              <w:rPr>
                <w:rFonts w:hint="eastAsia" w:ascii="宋体" w:hAnsi="宋体"/>
                <w:szCs w:val="21"/>
                <w:u w:val="none"/>
                <w:lang w:val="en-US" w:eastAsia="zh-CN"/>
              </w:rPr>
              <w:t>工程</w:t>
            </w:r>
            <w:r>
              <w:rPr>
                <w:rFonts w:hint="eastAsia" w:ascii="宋体" w:hAnsi="宋体"/>
                <w:szCs w:val="21"/>
                <w:u w:val="none"/>
              </w:rPr>
              <w:t>结束的时间期限</w:t>
            </w:r>
            <w:r>
              <w:rPr>
                <w:rFonts w:hint="eastAsia" w:ascii="宋体" w:hAnsi="宋体"/>
                <w:bCs/>
                <w:szCs w:val="21"/>
                <w:u w:val="none"/>
              </w:rPr>
              <w:t xml:space="preserve">。具体是指合同签订后       </w:t>
            </w:r>
            <w:r>
              <w:rPr>
                <w:rFonts w:hint="eastAsia" w:ascii="宋体" w:hAnsi="宋体"/>
                <w:bCs/>
                <w:szCs w:val="21"/>
                <w:u w:val="none"/>
                <w:lang w:val="en-US" w:eastAsia="zh-CN"/>
              </w:rPr>
              <w:t>90日历</w:t>
            </w:r>
            <w:r>
              <w:rPr>
                <w:rFonts w:hint="eastAsia" w:ascii="宋体" w:hAnsi="宋体"/>
                <w:bCs/>
                <w:szCs w:val="21"/>
                <w:u w:val="none"/>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Align w:val="center"/>
          </w:tcPr>
          <w:p>
            <w:pPr>
              <w:jc w:val="center"/>
              <w:outlineLvl w:val="0"/>
              <w:rPr>
                <w:rFonts w:ascii="宋体" w:hAnsi="宋体"/>
                <w:b/>
                <w:bCs/>
                <w:szCs w:val="21"/>
              </w:rPr>
            </w:pPr>
            <w:r>
              <w:rPr>
                <w:rFonts w:hint="eastAsia" w:ascii="宋体" w:hAnsi="宋体"/>
                <w:b/>
                <w:bCs/>
                <w:szCs w:val="21"/>
              </w:rPr>
              <w:t>2</w:t>
            </w:r>
          </w:p>
        </w:tc>
        <w:tc>
          <w:tcPr>
            <w:tcW w:w="799" w:type="pct"/>
            <w:vAlign w:val="center"/>
          </w:tcPr>
          <w:p>
            <w:pPr>
              <w:jc w:val="center"/>
              <w:outlineLvl w:val="0"/>
              <w:rPr>
                <w:rFonts w:ascii="宋体" w:hAnsi="宋体"/>
                <w:b/>
                <w:bCs/>
                <w:szCs w:val="21"/>
              </w:rPr>
            </w:pPr>
            <w:r>
              <w:rPr>
                <w:rFonts w:hint="eastAsia" w:ascii="宋体" w:hAnsi="宋体"/>
                <w:b/>
                <w:bCs/>
                <w:szCs w:val="21"/>
                <w:lang w:val="en-US" w:eastAsia="zh-CN"/>
              </w:rPr>
              <w:t>工程</w:t>
            </w:r>
            <w:r>
              <w:rPr>
                <w:rFonts w:hint="eastAsia" w:ascii="宋体" w:hAnsi="宋体"/>
                <w:b/>
                <w:bCs/>
                <w:szCs w:val="21"/>
              </w:rPr>
              <w:t>地点</w:t>
            </w:r>
          </w:p>
        </w:tc>
        <w:tc>
          <w:tcPr>
            <w:tcW w:w="3813" w:type="pct"/>
          </w:tcPr>
          <w:p>
            <w:pPr>
              <w:outlineLvl w:val="0"/>
              <w:rPr>
                <w:rFonts w:hint="default" w:ascii="宋体" w:hAnsi="宋体" w:eastAsia="宋体"/>
                <w:b/>
                <w:sz w:val="28"/>
                <w:szCs w:val="28"/>
                <w:lang w:val="en-US" w:eastAsia="zh-CN"/>
              </w:rPr>
            </w:pPr>
            <w:r>
              <w:rPr>
                <w:rFonts w:hint="eastAsia" w:ascii="宋体" w:hAnsi="宋体" w:eastAsia="宋体" w:cs="Times New Roman"/>
                <w:b/>
                <w:bCs/>
                <w:szCs w:val="21"/>
                <w:u w:val="none"/>
                <w:lang w:val="en-US" w:eastAsia="zh-CN"/>
              </w:rPr>
              <w:t>深圳市福田区</w:t>
            </w:r>
            <w:r>
              <w:rPr>
                <w:rFonts w:hint="eastAsia" w:ascii="宋体" w:hAnsi="宋体" w:cs="Times New Roman"/>
                <w:b/>
                <w:bCs/>
                <w:szCs w:val="21"/>
                <w:u w:val="none"/>
                <w:lang w:val="en-US" w:eastAsia="zh-CN"/>
              </w:rPr>
              <w:t>园</w:t>
            </w:r>
            <w:r>
              <w:rPr>
                <w:rFonts w:hint="eastAsia" w:ascii="宋体" w:hAnsi="宋体" w:eastAsia="宋体" w:cs="Times New Roman"/>
                <w:b/>
                <w:bCs/>
                <w:szCs w:val="21"/>
                <w:u w:val="none"/>
                <w:lang w:val="en-US" w:eastAsia="zh-CN"/>
              </w:rPr>
              <w:t>岭街道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Align w:val="center"/>
          </w:tcPr>
          <w:p>
            <w:pPr>
              <w:jc w:val="center"/>
              <w:outlineLvl w:val="0"/>
              <w:rPr>
                <w:rFonts w:ascii="宋体" w:hAnsi="宋体"/>
                <w:b/>
                <w:bCs/>
                <w:szCs w:val="21"/>
              </w:rPr>
            </w:pPr>
            <w:r>
              <w:rPr>
                <w:rFonts w:hint="eastAsia" w:ascii="宋体" w:hAnsi="宋体"/>
                <w:b/>
                <w:bCs/>
                <w:szCs w:val="21"/>
              </w:rPr>
              <w:t>3</w:t>
            </w:r>
          </w:p>
        </w:tc>
        <w:tc>
          <w:tcPr>
            <w:tcW w:w="799" w:type="pct"/>
            <w:vAlign w:val="center"/>
          </w:tcPr>
          <w:p>
            <w:pPr>
              <w:jc w:val="center"/>
              <w:outlineLvl w:val="0"/>
              <w:rPr>
                <w:rFonts w:ascii="宋体" w:hAnsi="宋体"/>
                <w:b/>
                <w:bCs/>
                <w:szCs w:val="21"/>
              </w:rPr>
            </w:pPr>
            <w:r>
              <w:rPr>
                <w:rFonts w:hint="eastAsia" w:ascii="宋体" w:hAnsi="宋体"/>
                <w:b/>
                <w:bCs/>
                <w:szCs w:val="21"/>
              </w:rPr>
              <w:t>付款方式</w:t>
            </w:r>
          </w:p>
        </w:tc>
        <w:tc>
          <w:tcPr>
            <w:tcW w:w="3813" w:type="pct"/>
          </w:tcPr>
          <w:p>
            <w:pPr>
              <w:numPr>
                <w:ilvl w:val="-1"/>
                <w:numId w:val="0"/>
              </w:numPr>
              <w:rPr>
                <w:rFonts w:hint="eastAsia" w:ascii="宋体" w:hAnsi="宋体"/>
                <w:szCs w:val="21"/>
              </w:rPr>
            </w:pPr>
            <w:r>
              <w:rPr>
                <w:rFonts w:hint="eastAsia" w:ascii="宋体" w:hAnsi="宋体"/>
                <w:szCs w:val="21"/>
              </w:rPr>
              <w:t>1.合同签订后自收到发票后15日内，甲方向乙方支付合同总价30%的款项。</w:t>
            </w:r>
          </w:p>
          <w:p>
            <w:pPr>
              <w:rPr>
                <w:rFonts w:ascii="宋体" w:hAnsi="宋体"/>
                <w:szCs w:val="21"/>
              </w:rPr>
            </w:pPr>
            <w:r>
              <w:rPr>
                <w:rFonts w:hint="eastAsia" w:ascii="宋体" w:hAnsi="宋体"/>
                <w:szCs w:val="21"/>
              </w:rPr>
              <w:t>2、甲方委托的单个项目验收合格后，以甲方委托第三方造价咨询公司进行结算审计，最终以结算审计结果及合同约定，向乙方100%款项。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Align w:val="center"/>
          </w:tcPr>
          <w:p>
            <w:pPr>
              <w:jc w:val="center"/>
              <w:outlineLvl w:val="0"/>
              <w:rPr>
                <w:rFonts w:ascii="宋体" w:hAnsi="宋体"/>
                <w:b/>
                <w:bCs/>
                <w:szCs w:val="21"/>
              </w:rPr>
            </w:pPr>
            <w:r>
              <w:rPr>
                <w:rFonts w:hint="eastAsia" w:ascii="宋体" w:hAnsi="宋体"/>
                <w:b/>
                <w:bCs/>
                <w:szCs w:val="21"/>
              </w:rPr>
              <w:t>4</w:t>
            </w:r>
          </w:p>
        </w:tc>
        <w:tc>
          <w:tcPr>
            <w:tcW w:w="799" w:type="pct"/>
            <w:vAlign w:val="center"/>
          </w:tcPr>
          <w:p>
            <w:pPr>
              <w:jc w:val="center"/>
              <w:rPr>
                <w:rFonts w:ascii="宋体" w:hAnsi="宋体"/>
                <w:b/>
                <w:bCs/>
                <w:szCs w:val="21"/>
              </w:rPr>
            </w:pPr>
            <w:r>
              <w:rPr>
                <w:rFonts w:hint="eastAsia" w:ascii="宋体" w:hAnsi="宋体"/>
                <w:b/>
                <w:bCs/>
                <w:szCs w:val="21"/>
              </w:rPr>
              <w:t>关于验收</w:t>
            </w:r>
          </w:p>
          <w:p>
            <w:pPr>
              <w:jc w:val="center"/>
              <w:outlineLvl w:val="0"/>
              <w:rPr>
                <w:rFonts w:ascii="宋体" w:hAnsi="宋体"/>
                <w:b/>
                <w:bCs/>
                <w:szCs w:val="21"/>
              </w:rPr>
            </w:pPr>
          </w:p>
        </w:tc>
        <w:tc>
          <w:tcPr>
            <w:tcW w:w="3813" w:type="pct"/>
          </w:tcPr>
          <w:p>
            <w:pPr>
              <w:rPr>
                <w:rFonts w:ascii="宋体" w:hAnsi="宋体"/>
                <w:b/>
                <w:szCs w:val="21"/>
              </w:rPr>
            </w:pPr>
            <w:r>
              <w:rPr>
                <w:rFonts w:hint="eastAsia" w:ascii="宋体" w:hAnsi="宋体"/>
                <w:bCs/>
                <w:szCs w:val="21"/>
              </w:rPr>
              <w:t>1）</w:t>
            </w:r>
            <w:r>
              <w:rPr>
                <w:rFonts w:hint="eastAsia" w:ascii="宋体" w:hAnsi="宋体"/>
                <w:bCs/>
                <w:szCs w:val="21"/>
                <w:lang w:val="en-US" w:eastAsia="zh-CN"/>
              </w:rPr>
              <w:t>工程</w:t>
            </w:r>
            <w:r>
              <w:rPr>
                <w:rFonts w:hint="eastAsia" w:ascii="宋体" w:hAnsi="宋体"/>
                <w:bCs/>
                <w:szCs w:val="21"/>
              </w:rPr>
              <w:t>经过双方检验认可后，签署验收报告。</w:t>
            </w:r>
          </w:p>
          <w:p>
            <w:pPr>
              <w:rPr>
                <w:rFonts w:ascii="宋体" w:hAnsi="宋体"/>
                <w:bCs/>
                <w:szCs w:val="21"/>
              </w:rPr>
            </w:pPr>
            <w:r>
              <w:rPr>
                <w:rFonts w:hint="eastAsia" w:ascii="宋体" w:hAnsi="宋体"/>
                <w:bCs/>
                <w:szCs w:val="21"/>
              </w:rPr>
              <w:t>2）当满足以下条件时，采购人才向中标人签发验收报告：</w:t>
            </w:r>
          </w:p>
          <w:p>
            <w:pPr>
              <w:tabs>
                <w:tab w:val="left" w:pos="1260"/>
              </w:tabs>
              <w:ind w:firstLine="420" w:firstLineChars="200"/>
              <w:rPr>
                <w:rFonts w:ascii="宋体" w:hAnsi="宋体"/>
                <w:bCs/>
                <w:szCs w:val="21"/>
              </w:rPr>
            </w:pPr>
            <w:r>
              <w:rPr>
                <w:rFonts w:hint="eastAsia" w:ascii="宋体" w:hAnsi="宋体"/>
                <w:bCs/>
                <w:szCs w:val="21"/>
              </w:rPr>
              <w:t>a、中标人已按照合同规定提供了全部技术资料。</w:t>
            </w:r>
          </w:p>
          <w:p>
            <w:pPr>
              <w:tabs>
                <w:tab w:val="left" w:pos="1260"/>
              </w:tabs>
              <w:ind w:firstLine="420" w:firstLineChars="200"/>
              <w:rPr>
                <w:rFonts w:ascii="宋体" w:hAnsi="宋体"/>
                <w:szCs w:val="21"/>
              </w:rPr>
            </w:pPr>
            <w:r>
              <w:rPr>
                <w:rFonts w:hint="eastAsia" w:ascii="宋体" w:hAnsi="宋体"/>
                <w:bCs/>
                <w:szCs w:val="21"/>
              </w:rPr>
              <w:t>b、</w:t>
            </w:r>
            <w:r>
              <w:rPr>
                <w:rFonts w:hint="eastAsia" w:ascii="宋体" w:hAnsi="宋体"/>
                <w:bCs/>
                <w:szCs w:val="21"/>
                <w:lang w:val="en-US" w:eastAsia="zh-CN"/>
              </w:rPr>
              <w:t>工程</w:t>
            </w:r>
            <w:r>
              <w:rPr>
                <w:rFonts w:hint="eastAsia" w:ascii="宋体" w:hAnsi="宋体"/>
                <w:bCs/>
                <w:szCs w:val="21"/>
              </w:rPr>
              <w:t>项目符合招标文件的</w:t>
            </w:r>
            <w:r>
              <w:rPr>
                <w:rFonts w:hint="eastAsia" w:ascii="宋体" w:hAnsi="宋体"/>
                <w:bCs/>
                <w:szCs w:val="21"/>
                <w:lang w:val="en-US" w:eastAsia="zh-CN"/>
              </w:rPr>
              <w:t>工程</w:t>
            </w:r>
            <w:r>
              <w:rPr>
                <w:rFonts w:hint="eastAsia" w:ascii="宋体" w:hAnsi="宋体"/>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Align w:val="center"/>
          </w:tcPr>
          <w:p>
            <w:pPr>
              <w:jc w:val="center"/>
              <w:outlineLvl w:val="0"/>
              <w:rPr>
                <w:rFonts w:hint="eastAsia" w:ascii="宋体" w:hAnsi="宋体" w:eastAsia="宋体" w:cs="Times New Roman"/>
                <w:b/>
                <w:bCs/>
                <w:kern w:val="2"/>
                <w:sz w:val="21"/>
                <w:szCs w:val="21"/>
                <w:lang w:val="en-US" w:eastAsia="zh-CN" w:bidi="ar-SA"/>
              </w:rPr>
            </w:pPr>
            <w:r>
              <w:rPr>
                <w:rFonts w:hint="eastAsia" w:ascii="宋体" w:hAnsi="宋体"/>
                <w:b/>
                <w:bCs/>
                <w:szCs w:val="21"/>
                <w:lang w:val="en-US" w:eastAsia="zh-CN"/>
              </w:rPr>
              <w:t>5</w:t>
            </w:r>
          </w:p>
        </w:tc>
        <w:tc>
          <w:tcPr>
            <w:tcW w:w="799" w:type="pct"/>
            <w:vAlign w:val="center"/>
          </w:tcPr>
          <w:p>
            <w:pPr>
              <w:jc w:val="center"/>
              <w:outlineLvl w:val="0"/>
              <w:rPr>
                <w:rFonts w:hint="eastAsia" w:ascii="宋体" w:hAnsi="宋体" w:eastAsia="宋体"/>
                <w:b/>
                <w:bCs/>
                <w:szCs w:val="21"/>
                <w:lang w:val="en-US" w:eastAsia="zh-CN"/>
              </w:rPr>
            </w:pPr>
            <w:r>
              <w:rPr>
                <w:rFonts w:hint="eastAsia" w:ascii="宋体" w:hAnsi="宋体"/>
                <w:b/>
                <w:bCs/>
                <w:szCs w:val="21"/>
                <w:lang w:val="en-US" w:eastAsia="zh-CN"/>
              </w:rPr>
              <w:t>售后</w:t>
            </w:r>
          </w:p>
        </w:tc>
        <w:tc>
          <w:tcPr>
            <w:tcW w:w="3813" w:type="pct"/>
          </w:tcPr>
          <w:p>
            <w:pPr>
              <w:rPr>
                <w:rFonts w:ascii="宋体" w:hAnsi="宋体"/>
                <w:szCs w:val="21"/>
              </w:rPr>
            </w:pPr>
            <w:r>
              <w:rPr>
                <w:rFonts w:hint="eastAsia" w:ascii="宋体" w:hAnsi="宋体"/>
                <w:bCs/>
                <w:szCs w:val="21"/>
              </w:rPr>
              <w:t>保修期为</w:t>
            </w:r>
            <w:r>
              <w:rPr>
                <w:rFonts w:hint="eastAsia" w:ascii="宋体" w:hAnsi="宋体"/>
                <w:bCs/>
                <w:szCs w:val="21"/>
                <w:lang w:val="en-US" w:eastAsia="zh-CN"/>
              </w:rPr>
              <w:t>5</w:t>
            </w:r>
            <w:r>
              <w:rPr>
                <w:rFonts w:hint="eastAsia" w:ascii="宋体" w:hAnsi="宋体"/>
                <w:bCs/>
                <w:szCs w:val="21"/>
              </w:rPr>
              <w:t>年，</w:t>
            </w:r>
            <w:r>
              <w:rPr>
                <w:rFonts w:hint="eastAsia" w:ascii="宋体" w:hAnsi="宋体"/>
                <w:szCs w:val="21"/>
              </w:rPr>
              <w:t>施工质量发生问题时</w:t>
            </w:r>
            <w:r>
              <w:rPr>
                <w:rFonts w:hint="eastAsia" w:ascii="宋体" w:hAnsi="宋体"/>
                <w:bCs/>
                <w:szCs w:val="21"/>
              </w:rPr>
              <w:t>，必须在接到通知后</w:t>
            </w:r>
            <w:r>
              <w:rPr>
                <w:rFonts w:hint="eastAsia" w:ascii="宋体" w:hAnsi="宋体"/>
                <w:szCs w:val="21"/>
                <w:u w:val="single"/>
                <w:lang w:val="en-US" w:eastAsia="zh-CN"/>
              </w:rPr>
              <w:t>24</w:t>
            </w:r>
            <w:r>
              <w:rPr>
                <w:rFonts w:hint="eastAsia" w:ascii="宋体" w:hAnsi="宋体"/>
                <w:bCs/>
                <w:szCs w:val="21"/>
              </w:rPr>
              <w:t>小时内到达现场，进行维护和抢修，因质量问题造成的事故应由施工单位承担所有责任。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Align w:val="center"/>
          </w:tcPr>
          <w:p>
            <w:pPr>
              <w:jc w:val="center"/>
              <w:outlineLvl w:val="0"/>
              <w:rPr>
                <w:rFonts w:hint="eastAsia" w:ascii="宋体" w:hAnsi="宋体" w:eastAsia="宋体" w:cs="Times New Roman"/>
                <w:b/>
                <w:bCs/>
                <w:kern w:val="2"/>
                <w:sz w:val="21"/>
                <w:szCs w:val="21"/>
                <w:lang w:val="en-US" w:eastAsia="zh-CN" w:bidi="ar-SA"/>
              </w:rPr>
            </w:pPr>
            <w:r>
              <w:rPr>
                <w:rFonts w:hint="eastAsia" w:ascii="宋体" w:hAnsi="宋体"/>
                <w:b/>
                <w:bCs/>
                <w:szCs w:val="21"/>
                <w:lang w:val="en-US" w:eastAsia="zh-CN"/>
              </w:rPr>
              <w:t>6</w:t>
            </w:r>
          </w:p>
        </w:tc>
        <w:tc>
          <w:tcPr>
            <w:tcW w:w="799" w:type="pct"/>
            <w:vAlign w:val="center"/>
          </w:tcPr>
          <w:p>
            <w:pPr>
              <w:jc w:val="center"/>
              <w:outlineLvl w:val="0"/>
              <w:rPr>
                <w:rFonts w:ascii="宋体" w:hAnsi="宋体"/>
                <w:b/>
                <w:bCs/>
                <w:szCs w:val="21"/>
              </w:rPr>
            </w:pPr>
            <w:r>
              <w:rPr>
                <w:rFonts w:hint="eastAsia" w:ascii="宋体" w:hAnsi="宋体"/>
                <w:b/>
                <w:bCs/>
                <w:szCs w:val="21"/>
              </w:rPr>
              <w:t>承包方式</w:t>
            </w:r>
          </w:p>
        </w:tc>
        <w:tc>
          <w:tcPr>
            <w:tcW w:w="3813" w:type="pct"/>
            <w:vAlign w:val="center"/>
          </w:tcPr>
          <w:p>
            <w:pPr>
              <w:outlineLvl w:val="0"/>
              <w:rPr>
                <w:rFonts w:ascii="宋体" w:hAnsi="宋体"/>
                <w:b/>
                <w:sz w:val="28"/>
                <w:szCs w:val="28"/>
              </w:rPr>
            </w:pPr>
            <w:r>
              <w:rPr>
                <w:rFonts w:hint="eastAsia"/>
              </w:rPr>
              <w:t xml:space="preserve">是否包工包料     </w:t>
            </w:r>
            <w:r>
              <w:rPr>
                <w:rFonts w:hint="eastAsia" w:ascii="宋体" w:hAnsi="宋体"/>
                <w:szCs w:val="21"/>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Align w:val="center"/>
          </w:tcPr>
          <w:p>
            <w:pPr>
              <w:jc w:val="center"/>
              <w:outlineLvl w:val="0"/>
              <w:rPr>
                <w:rFonts w:hint="eastAsia" w:ascii="宋体" w:hAnsi="宋体" w:eastAsia="宋体" w:cs="Times New Roman"/>
                <w:b/>
                <w:bCs/>
                <w:kern w:val="2"/>
                <w:sz w:val="21"/>
                <w:szCs w:val="21"/>
                <w:lang w:val="en-US" w:eastAsia="zh-CN" w:bidi="ar-SA"/>
              </w:rPr>
            </w:pPr>
            <w:r>
              <w:rPr>
                <w:rFonts w:hint="eastAsia" w:ascii="宋体" w:hAnsi="宋体"/>
                <w:b/>
                <w:bCs/>
                <w:szCs w:val="21"/>
                <w:lang w:val="en-US" w:eastAsia="zh-CN"/>
              </w:rPr>
              <w:t>7</w:t>
            </w:r>
          </w:p>
        </w:tc>
        <w:tc>
          <w:tcPr>
            <w:tcW w:w="799" w:type="pct"/>
            <w:vAlign w:val="center"/>
          </w:tcPr>
          <w:p>
            <w:pPr>
              <w:jc w:val="center"/>
              <w:outlineLvl w:val="0"/>
              <w:rPr>
                <w:rFonts w:ascii="宋体" w:hAnsi="宋体"/>
                <w:b/>
                <w:bCs/>
                <w:szCs w:val="21"/>
              </w:rPr>
            </w:pPr>
            <w:r>
              <w:rPr>
                <w:rFonts w:hint="eastAsia"/>
                <w:b/>
              </w:rPr>
              <w:t>合同方式</w:t>
            </w:r>
          </w:p>
        </w:tc>
        <w:tc>
          <w:tcPr>
            <w:tcW w:w="3813" w:type="pct"/>
            <w:vAlign w:val="top"/>
          </w:tcPr>
          <w:p>
            <w:pPr>
              <w:spacing w:before="78" w:beforeLines="25" w:after="78" w:afterLines="25" w:line="300" w:lineRule="exact"/>
            </w:pPr>
            <w:r>
              <w:rPr>
                <w:rFonts w:hint="eastAsia"/>
              </w:rPr>
              <w:t>□固定单价合同，工程结算时，项目单价不做调整，按实际完成的工程量结算；</w:t>
            </w:r>
          </w:p>
          <w:p>
            <w:pPr>
              <w:outlineLvl w:val="0"/>
              <w:rPr>
                <w:rFonts w:ascii="宋体" w:hAnsi="宋体"/>
                <w:b/>
                <w:sz w:val="28"/>
                <w:szCs w:val="28"/>
              </w:rPr>
            </w:pPr>
            <w:r>
              <w:rPr>
                <w:rFonts w:hint="eastAsia" w:ascii="宋体" w:hAnsi="宋体"/>
                <w:szCs w:val="21"/>
                <w:lang w:eastAsia="zh-CN"/>
              </w:rPr>
              <w:t>☑</w:t>
            </w:r>
            <w:r>
              <w:rPr>
                <w:rFonts w:hint="eastAsia"/>
              </w:rPr>
              <w:t>总价合同，工程结算时，工程变更在5%之内，结算不做调整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Align w:val="center"/>
          </w:tcPr>
          <w:p>
            <w:pPr>
              <w:jc w:val="center"/>
              <w:outlineLvl w:val="0"/>
              <w:rPr>
                <w:rFonts w:hint="eastAsia" w:ascii="宋体" w:hAnsi="宋体" w:eastAsia="宋体" w:cs="Times New Roman"/>
                <w:b/>
                <w:bCs/>
                <w:kern w:val="2"/>
                <w:sz w:val="21"/>
                <w:szCs w:val="21"/>
                <w:lang w:val="en-US" w:eastAsia="zh-CN" w:bidi="ar-SA"/>
              </w:rPr>
            </w:pPr>
            <w:r>
              <w:rPr>
                <w:rFonts w:hint="eastAsia" w:ascii="宋体" w:hAnsi="宋体"/>
                <w:b/>
                <w:bCs/>
                <w:szCs w:val="21"/>
                <w:lang w:val="en-US" w:eastAsia="zh-CN"/>
              </w:rPr>
              <w:t>8</w:t>
            </w:r>
          </w:p>
        </w:tc>
        <w:tc>
          <w:tcPr>
            <w:tcW w:w="799" w:type="pct"/>
            <w:vAlign w:val="center"/>
          </w:tcPr>
          <w:p>
            <w:pPr>
              <w:jc w:val="center"/>
              <w:outlineLvl w:val="0"/>
              <w:rPr>
                <w:rFonts w:hint="eastAsia" w:ascii="宋体" w:hAnsi="宋体" w:eastAsia="宋体" w:cs="Times New Roman"/>
                <w:b/>
                <w:kern w:val="0"/>
                <w:sz w:val="21"/>
                <w:szCs w:val="21"/>
                <w:lang w:val="en-US" w:eastAsia="zh-CN" w:bidi="ar-SA"/>
              </w:rPr>
            </w:pPr>
            <w:r>
              <w:rPr>
                <w:rFonts w:hint="eastAsia"/>
                <w:b/>
              </w:rPr>
              <w:t>履约保证金</w:t>
            </w:r>
          </w:p>
        </w:tc>
        <w:tc>
          <w:tcPr>
            <w:tcW w:w="3813" w:type="pct"/>
            <w:vAlign w:val="top"/>
          </w:tcPr>
          <w:p>
            <w:pPr>
              <w:rPr>
                <w:rFonts w:hint="eastAsia" w:ascii="Times New Roman" w:hAnsi="Times New Roman" w:eastAsia="宋体" w:cs="Times New Roman"/>
                <w:kern w:val="2"/>
                <w:sz w:val="21"/>
                <w:lang w:val="en-US" w:eastAsia="zh-CN" w:bidi="ar-SA"/>
              </w:rPr>
            </w:pPr>
            <w:r>
              <w:rPr>
                <w:rFonts w:hint="eastAsia" w:ascii="宋体" w:hAnsi="宋体"/>
                <w:szCs w:val="21"/>
                <w:lang w:eastAsia="zh-CN"/>
              </w:rPr>
              <w:t>☑</w:t>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Align w:val="center"/>
          </w:tcPr>
          <w:p>
            <w:pPr>
              <w:jc w:val="center"/>
              <w:outlineLvl w:val="0"/>
              <w:rPr>
                <w:rFonts w:hint="default" w:ascii="宋体" w:hAnsi="宋体"/>
                <w:b/>
                <w:bCs/>
                <w:szCs w:val="21"/>
                <w:lang w:val="en-US" w:eastAsia="zh-CN"/>
              </w:rPr>
            </w:pPr>
            <w:r>
              <w:rPr>
                <w:rFonts w:hint="eastAsia" w:ascii="宋体" w:hAnsi="宋体"/>
                <w:b/>
                <w:bCs/>
                <w:szCs w:val="21"/>
                <w:lang w:val="en-US" w:eastAsia="zh-CN"/>
              </w:rPr>
              <w:t>9</w:t>
            </w:r>
          </w:p>
        </w:tc>
        <w:tc>
          <w:tcPr>
            <w:tcW w:w="799" w:type="pct"/>
            <w:vAlign w:val="center"/>
          </w:tcPr>
          <w:p>
            <w:pPr>
              <w:jc w:val="center"/>
              <w:outlineLvl w:val="0"/>
              <w:rPr>
                <w:rFonts w:hint="default" w:eastAsia="宋体"/>
                <w:b/>
                <w:lang w:val="en-US" w:eastAsia="zh-CN"/>
              </w:rPr>
            </w:pPr>
            <w:r>
              <w:rPr>
                <w:rFonts w:hint="eastAsia"/>
                <w:b/>
                <w:lang w:val="en-US" w:eastAsia="zh-CN"/>
              </w:rPr>
              <w:t>报价要求</w:t>
            </w:r>
          </w:p>
        </w:tc>
        <w:tc>
          <w:tcPr>
            <w:tcW w:w="3813" w:type="pct"/>
            <w:vAlign w:val="top"/>
          </w:tcPr>
          <w:p>
            <w:pPr>
              <w:rPr>
                <w:rFonts w:ascii="宋体" w:hAnsi="宋体"/>
                <w:szCs w:val="21"/>
              </w:rPr>
            </w:pPr>
            <w:r>
              <w:rPr>
                <w:rFonts w:hint="eastAsia" w:ascii="宋体" w:hAnsi="宋体"/>
                <w:szCs w:val="21"/>
              </w:rPr>
              <w:t>1.</w:t>
            </w:r>
            <w:r>
              <w:rPr>
                <w:rFonts w:hint="eastAsia" w:ascii="宋体" w:hAnsi="宋体"/>
                <w:b/>
                <w:szCs w:val="21"/>
                <w:u w:val="single"/>
              </w:rPr>
              <w:t>本工程的工程量清单的投标单价按综合单价方式进行报价</w:t>
            </w:r>
            <w:r>
              <w:rPr>
                <w:rFonts w:hint="eastAsia" w:ascii="宋体" w:hAnsi="宋体"/>
                <w:szCs w:val="21"/>
              </w:rPr>
              <w:t>；</w:t>
            </w:r>
          </w:p>
          <w:p>
            <w:pPr>
              <w:rPr>
                <w:rFonts w:ascii="宋体" w:hAnsi="宋体"/>
                <w:szCs w:val="21"/>
              </w:rPr>
            </w:pPr>
            <w:r>
              <w:rPr>
                <w:rFonts w:hint="eastAsia" w:ascii="宋体" w:hAnsi="宋体"/>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rPr>
                <w:rFonts w:ascii="宋体" w:hAnsi="宋体"/>
                <w:szCs w:val="21"/>
              </w:rPr>
            </w:pPr>
            <w:r>
              <w:rPr>
                <w:rFonts w:hint="eastAsia" w:ascii="宋体" w:hAnsi="宋体"/>
                <w:szCs w:val="21"/>
              </w:rPr>
              <w:t>3.投标人的投标报价，应是本项目招标范围和招标文件及合同条款上所列的各项内容中所述的全部，不得以任何理由予以重复，并以投标人在工程量清单中提出的综合单价或总价为依据；</w:t>
            </w:r>
          </w:p>
          <w:p>
            <w:pPr>
              <w:rPr>
                <w:rFonts w:ascii="宋体" w:hAnsi="宋体"/>
                <w:szCs w:val="21"/>
              </w:rPr>
            </w:pPr>
            <w:r>
              <w:rPr>
                <w:rFonts w:hint="eastAsia" w:ascii="宋体" w:hAnsi="宋体"/>
                <w:szCs w:val="21"/>
              </w:rPr>
              <w:t>4.除非政府集中采购机构通过修改招标文件予以更正，否则，投标人应毫无例外地按工程量清单中列出的工程项目和数量填报综合单价和合价。投标人未填综合单价或合价的项目，在实施后，将不得以支付，并视作该项费用已包括在其它有价款的综合单价或合价内；</w:t>
            </w:r>
          </w:p>
          <w:p>
            <w:pPr>
              <w:rPr>
                <w:rFonts w:ascii="宋体" w:hAnsi="宋体"/>
                <w:szCs w:val="21"/>
              </w:rPr>
            </w:pPr>
            <w:r>
              <w:rPr>
                <w:rFonts w:hint="eastAsia" w:ascii="宋体" w:hAnsi="宋体"/>
                <w:szCs w:val="21"/>
              </w:rPr>
              <w:t>5.投标人应先到工地踏勘以充分了解工地的位置、情况、道路、储存空间、装卸限制及任何其它足以影响投标报价的情况，任何因忽视或误解工地情况而导致的索赔或工期延长申请将不获批准；</w:t>
            </w:r>
          </w:p>
          <w:p>
            <w:pPr>
              <w:rPr>
                <w:rFonts w:ascii="宋体" w:hAnsi="宋体"/>
                <w:szCs w:val="21"/>
              </w:rPr>
            </w:pPr>
            <w:r>
              <w:rPr>
                <w:rFonts w:hint="eastAsia" w:ascii="宋体" w:hAnsi="宋体"/>
                <w:szCs w:val="21"/>
              </w:rPr>
              <w:t>6.投标人不得期望通过索赔、签证等方式获取补偿，否则，除可能遭到拒绝外，还可能将被作为不良行为记录在案，并可能影响其以后参加政府采购的项目投标。各投标人在投标报价时，应充分考虑投标报价的风险。</w:t>
            </w:r>
          </w:p>
          <w:p>
            <w:pPr>
              <w:rPr>
                <w:rFonts w:ascii="宋体" w:hAnsi="宋体"/>
                <w:szCs w:val="21"/>
              </w:rPr>
            </w:pPr>
            <w:r>
              <w:rPr>
                <w:rFonts w:hint="eastAsia" w:ascii="宋体" w:hAnsi="宋体"/>
                <w:szCs w:val="21"/>
              </w:rPr>
              <w:t>7.投标人投标报价总额一经中标后，即作为中标单位与采购单位签订该项目合同的总价。</w:t>
            </w:r>
          </w:p>
          <w:p>
            <w:pPr>
              <w:ind w:firstLine="411" w:firstLineChars="196"/>
              <w:rPr>
                <w:rFonts w:ascii="宋体" w:hAnsi="宋体"/>
                <w:szCs w:val="21"/>
              </w:rPr>
            </w:pPr>
            <w:r>
              <w:rPr>
                <w:rFonts w:hint="eastAsia" w:ascii="宋体" w:hAnsi="宋体"/>
                <w:szCs w:val="21"/>
              </w:rPr>
              <w:t>（1）如本项目采用固定总价合同。投标人所投报的投标报价为图纸内容与工程量清单的总包干价格，对没有填写综合单价与合价的项目费用，应视为已包括在工程量清单的其他综合单价与合价之中。如有工程量清单未包含图纸内容的漏项，视同已包含在其他项目中，总价与单价不予调整。</w:t>
            </w:r>
          </w:p>
          <w:p>
            <w:pPr>
              <w:ind w:firstLine="411" w:firstLineChars="196"/>
              <w:rPr>
                <w:rFonts w:ascii="宋体" w:hAnsi="宋体"/>
                <w:szCs w:val="21"/>
              </w:rPr>
            </w:pPr>
            <w:r>
              <w:rPr>
                <w:rFonts w:hint="eastAsia" w:ascii="宋体" w:hAnsi="宋体"/>
                <w:szCs w:val="21"/>
              </w:rPr>
              <w:t>（2）如本项目采用固定单价合同。工程量清单所列的工程量系采购单位的估算，是临时的，作为投标报价的共同基础，不应被理解为是对采购单位要求工作内容的全部定义，也不能作为投标人应完成的实际工程量。承包人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pPr>
              <w:ind w:firstLine="411" w:firstLineChars="196"/>
              <w:rPr>
                <w:rFonts w:ascii="宋体" w:hAnsi="宋体"/>
                <w:szCs w:val="21"/>
              </w:rPr>
            </w:pPr>
            <w:r>
              <w:rPr>
                <w:rFonts w:hint="eastAsia" w:ascii="宋体" w:hAnsi="宋体"/>
                <w:szCs w:val="21"/>
              </w:rPr>
              <w:t>（3）投标人的投标报价必须充分考虑到在施工中实施的施工组织设计对工程造价的影响,并在投标报价中反映出来。</w:t>
            </w:r>
          </w:p>
          <w:p>
            <w:pPr>
              <w:rPr>
                <w:rFonts w:ascii="宋体" w:hAnsi="宋体"/>
                <w:szCs w:val="21"/>
              </w:rPr>
            </w:pPr>
            <w:r>
              <w:rPr>
                <w:rFonts w:hint="eastAsia" w:ascii="宋体" w:hAnsi="宋体"/>
                <w:szCs w:val="21"/>
              </w:rPr>
              <w:t>8.本项目不接受总价优惠折扣形式的报价，投标人应将对项目的优惠直接在清单报价中体现出来。</w:t>
            </w:r>
          </w:p>
          <w:p>
            <w:pPr>
              <w:rPr>
                <w:rFonts w:ascii="宋体" w:hAnsi="宋体"/>
                <w:szCs w:val="21"/>
              </w:rPr>
            </w:pPr>
            <w:r>
              <w:rPr>
                <w:rFonts w:hint="eastAsia" w:ascii="宋体" w:hAnsi="宋体"/>
                <w:szCs w:val="21"/>
              </w:rPr>
              <w:t>9.采购单位委托承包人办理的保险事项：建设工程一切险和第三者责任险，所需的保险费应包含在投标价中，施工中若发生安全事故，一切责任及费用由施工单位负责。</w:t>
            </w:r>
          </w:p>
          <w:p>
            <w:pPr>
              <w:rPr>
                <w:rFonts w:ascii="宋体" w:hAnsi="宋体"/>
                <w:szCs w:val="21"/>
              </w:rPr>
            </w:pPr>
            <w:r>
              <w:rPr>
                <w:rFonts w:hint="eastAsia" w:ascii="宋体" w:hAnsi="宋体"/>
                <w:szCs w:val="21"/>
              </w:rPr>
              <w:t>10.工程完工后，承包人应恢复修建前的原有状态（工程量按实计算），并使监理工程师和采购单位满意，满足政府管理部门的规定和要求。</w:t>
            </w:r>
          </w:p>
          <w:p>
            <w:pPr>
              <w:rPr>
                <w:rFonts w:ascii="宋体" w:hAnsi="宋体"/>
                <w:szCs w:val="21"/>
              </w:rPr>
            </w:pPr>
            <w:r>
              <w:rPr>
                <w:rFonts w:hint="eastAsia" w:ascii="宋体" w:hAnsi="宋体"/>
                <w:szCs w:val="21"/>
              </w:rPr>
              <w:t>11.如本工程涉及取土和弃土项目，地点、时间、路线承包人应取得国土、城管部门的同意，不得由此带给采购人任何费用的增加。凡是因承包人措施不当而引起的罚款、索赔和指控等由承包人自行承担。投标价不因取土或弃土实际运距与分部分项工程量清单不同而作调整。土方回填料必须满足国家技术规范之要求，绿化填土面层必须选用适宜种植的填土。</w:t>
            </w:r>
          </w:p>
          <w:p>
            <w:pPr>
              <w:rPr>
                <w:rFonts w:ascii="宋体" w:hAnsi="宋体"/>
                <w:szCs w:val="21"/>
              </w:rPr>
            </w:pPr>
            <w:r>
              <w:rPr>
                <w:rFonts w:hint="eastAsia" w:ascii="宋体" w:hAnsi="宋体"/>
                <w:szCs w:val="21"/>
              </w:rPr>
              <w:t>12.一切与施工相关的检验实验费（政府有关部门规定由建设单位支付的检验实验费除外）已含在投标价中。</w:t>
            </w:r>
          </w:p>
          <w:p>
            <w:pPr>
              <w:jc w:val="left"/>
              <w:rPr>
                <w:rFonts w:ascii="宋体" w:hAnsi="宋体"/>
                <w:szCs w:val="21"/>
              </w:rPr>
            </w:pPr>
            <w:r>
              <w:rPr>
                <w:rFonts w:hint="eastAsia" w:ascii="宋体" w:hAnsi="宋体"/>
                <w:szCs w:val="21"/>
              </w:rPr>
              <w:t>13.承包人的交通维护方案必须保证施工期间的交通组织符合深圳市公安交通管理的有关规定，保证小区车辆运行通畅和施工安全，其费用已含在投标价中。</w:t>
            </w:r>
          </w:p>
          <w:p>
            <w:pPr>
              <w:rPr>
                <w:rFonts w:hint="eastAsia"/>
              </w:rPr>
            </w:pPr>
          </w:p>
        </w:tc>
      </w:tr>
    </w:tbl>
    <w:p>
      <w:pPr>
        <w:ind w:firstLine="420" w:firstLineChars="200"/>
        <w:rPr>
          <w:rFonts w:asciiTheme="minorEastAsia" w:hAnsiTheme="minorEastAsia" w:eastAsiaTheme="minorEastAsia"/>
        </w:rPr>
      </w:pPr>
    </w:p>
    <w:p/>
    <w:p>
      <w:pPr>
        <w:pStyle w:val="4"/>
        <w:spacing w:before="120" w:beforeLines="50" w:after="120" w:afterLines="50"/>
        <w:rPr>
          <w:szCs w:val="24"/>
        </w:rPr>
      </w:pPr>
      <w:r>
        <w:rPr>
          <w:rFonts w:hint="eastAsia"/>
          <w:szCs w:val="24"/>
        </w:rPr>
        <w:t>七、其他重要条款</w:t>
      </w:r>
    </w:p>
    <w:p>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pStyle w:val="8"/>
        <w:spacing w:before="60" w:beforeLines="25" w:after="60" w:afterLines="25"/>
        <w:ind w:firstLine="392"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w:t>
      </w:r>
      <w:r>
        <w:rPr>
          <w:rFonts w:hint="eastAsia"/>
          <w:bCs/>
          <w:szCs w:val="21"/>
          <w:lang w:val="en-US" w:eastAsia="zh-CN"/>
        </w:rPr>
        <w:t>工程</w:t>
      </w:r>
      <w:r>
        <w:rPr>
          <w:rFonts w:hint="eastAsia"/>
          <w:bCs/>
          <w:szCs w:val="21"/>
        </w:rPr>
        <w:t>期限延长申请将不获批准。</w:t>
      </w:r>
    </w:p>
    <w:p>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bCs/>
          <w:szCs w:val="21"/>
        </w:rPr>
      </w:pPr>
      <w:r>
        <w:rPr>
          <w:rFonts w:hint="eastAsia" w:ascii="Times New Roman" w:eastAsia="宋体"/>
          <w:bCs/>
          <w:szCs w:val="21"/>
          <w:lang w:val="en-US" w:eastAsia="zh-CN"/>
        </w:rPr>
        <w:t>4</w:t>
      </w:r>
      <w:r>
        <w:rPr>
          <w:rFonts w:hint="eastAsia"/>
          <w:bCs/>
          <w:szCs w:val="21"/>
        </w:rPr>
        <w:t>、除政府采购合同继续履行将损害国家利益和社会公共利益外，双方当事人不得擅自变更、中止或者终止合同。</w:t>
      </w:r>
    </w:p>
    <w:p>
      <w:pPr>
        <w:ind w:firstLine="420" w:firstLineChars="200"/>
        <w:rPr>
          <w:rFonts w:hint="eastAsia" w:eastAsia="宋体"/>
          <w:bCs/>
          <w:szCs w:val="21"/>
          <w:lang w:val="en-US" w:eastAsia="zh-CN"/>
        </w:rPr>
      </w:pPr>
      <w:r>
        <w:rPr>
          <w:rFonts w:hint="eastAsia" w:ascii="Times New Roman" w:eastAsia="宋体"/>
          <w:bCs/>
          <w:szCs w:val="21"/>
          <w:lang w:val="en-US" w:eastAsia="zh-CN"/>
        </w:rPr>
        <w:t>5</w:t>
      </w:r>
      <w:r>
        <w:rPr>
          <w:rFonts w:hint="eastAsia"/>
          <w:bCs/>
          <w:szCs w:val="21"/>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r>
        <w:rPr>
          <w:rFonts w:hint="eastAsia" w:ascii="Times New Roman" w:eastAsia="宋体"/>
          <w:bCs/>
          <w:szCs w:val="21"/>
          <w:lang w:val="en-US" w:eastAsia="zh-CN"/>
        </w:rPr>
        <w:t>。</w:t>
      </w:r>
    </w:p>
    <w:p>
      <w:pPr>
        <w:pStyle w:val="8"/>
        <w:spacing w:before="60" w:beforeLines="25" w:after="60" w:afterLines="25"/>
        <w:ind w:firstLine="392" w:firstLineChars="187"/>
        <w:rPr>
          <w:rFonts w:ascii="宋体" w:hAnsi="宋体"/>
          <w:szCs w:val="21"/>
        </w:rPr>
      </w:pPr>
    </w:p>
    <w:p>
      <w:pPr>
        <w:pStyle w:val="8"/>
        <w:spacing w:before="60" w:beforeLines="25" w:after="60" w:afterLines="25"/>
        <w:ind w:firstLine="392" w:firstLineChars="187"/>
        <w:rPr>
          <w:rFonts w:ascii="宋体" w:hAnsi="宋体"/>
          <w:szCs w:val="21"/>
        </w:rPr>
      </w:pPr>
    </w:p>
    <w:p>
      <w:pPr>
        <w:pStyle w:val="8"/>
        <w:spacing w:before="60" w:beforeLines="25" w:after="60" w:afterLines="25"/>
        <w:ind w:firstLine="392" w:firstLineChars="187"/>
        <w:rPr>
          <w:rFonts w:ascii="宋体" w:hAnsi="宋体"/>
          <w:szCs w:val="21"/>
        </w:rPr>
      </w:pPr>
    </w:p>
    <w:p>
      <w:pPr>
        <w:pStyle w:val="2"/>
        <w:rPr>
          <w:rFonts w:ascii="宋体" w:hAnsi="宋体"/>
          <w:szCs w:val="21"/>
        </w:rPr>
      </w:pPr>
    </w:p>
    <w:p>
      <w:pPr>
        <w:rPr>
          <w:rFonts w:ascii="宋体" w:hAnsi="宋体"/>
          <w:szCs w:val="21"/>
        </w:rPr>
      </w:pPr>
    </w:p>
    <w:p>
      <w:pPr>
        <w:outlineLvl w:val="9"/>
        <w:rPr>
          <w:rFonts w:ascii="宋体" w:hAnsi="宋体"/>
          <w:szCs w:val="21"/>
        </w:rPr>
      </w:pPr>
    </w:p>
    <w:p>
      <w:pPr>
        <w:rPr>
          <w:rFonts w:ascii="宋体" w:hAnsi="宋体"/>
          <w:szCs w:val="21"/>
        </w:rPr>
      </w:pPr>
    </w:p>
    <w:p>
      <w:pPr>
        <w:outlineLvl w:val="9"/>
      </w:pPr>
    </w:p>
    <w:p>
      <w:pPr>
        <w:outlineLvl w:val="9"/>
      </w:pPr>
    </w:p>
    <w:p>
      <w:pPr>
        <w:pStyle w:val="2"/>
        <w:outlineLvl w:val="9"/>
      </w:pPr>
    </w:p>
    <w:p>
      <w:pPr>
        <w:pStyle w:val="8"/>
        <w:spacing w:before="60" w:beforeLines="25" w:after="60" w:afterLines="25"/>
        <w:ind w:firstLine="392" w:firstLineChars="187"/>
        <w:rPr>
          <w:rFonts w:ascii="宋体" w:hAnsi="宋体"/>
          <w:szCs w:val="21"/>
        </w:rPr>
      </w:pPr>
    </w:p>
    <w:p>
      <w:pPr>
        <w:pStyle w:val="4"/>
        <w:rPr>
          <w:kern w:val="2"/>
        </w:rPr>
      </w:pPr>
      <w:r>
        <w:rPr>
          <w:rFonts w:hint="eastAsia"/>
          <w:kern w:val="2"/>
        </w:rPr>
        <w:t>第四章 投标文件组成要求及格式</w:t>
      </w:r>
    </w:p>
    <w:p>
      <w:pPr>
        <w:rPr>
          <w:rStyle w:val="55"/>
          <w:sz w:val="24"/>
        </w:rPr>
      </w:pPr>
      <w:r>
        <w:rPr>
          <w:rStyle w:val="55"/>
          <w:rFonts w:hint="eastAsia"/>
          <w:sz w:val="24"/>
        </w:rPr>
        <w:t>特别提醒：</w:t>
      </w:r>
    </w:p>
    <w:p>
      <w:pPr>
        <w:ind w:firstLine="480" w:firstLineChars="200"/>
        <w:rPr>
          <w:rFonts w:ascii="仿宋_GB2312" w:eastAsia="仿宋_GB2312"/>
          <w:sz w:val="24"/>
        </w:rPr>
      </w:pPr>
      <w:r>
        <w:rPr>
          <w:rFonts w:hint="eastAsia" w:ascii="仿宋_GB2312" w:eastAsia="仿宋_GB2312"/>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rPr>
          <w:rFonts w:ascii="仿宋_GB2312" w:eastAsia="仿宋_GB2312"/>
          <w:sz w:val="24"/>
        </w:rPr>
      </w:pPr>
      <w:r>
        <w:rPr>
          <w:rFonts w:hint="eastAsia" w:ascii="仿宋_GB2312" w:eastAsia="仿宋_GB2312"/>
          <w:sz w:val="24"/>
        </w:rPr>
        <w:t xml:space="preserve">    投标文件正文（信息公开部分）必须编制于“正文（公开部分）”，投标文件附件（非信息公开部分）必须编制于“附件（不公开部分）”，如下图所示。</w:t>
      </w:r>
    </w:p>
    <w:p>
      <w:pPr>
        <w:widowControl/>
        <w:jc w:val="left"/>
        <w:rPr>
          <w:rFonts w:ascii="宋体" w:hAnsi="宋体" w:cs="宋体"/>
          <w:kern w:val="0"/>
          <w:sz w:val="24"/>
        </w:rPr>
      </w:pPr>
    </w:p>
    <w:p>
      <w:pPr>
        <w:ind w:firstLine="480" w:firstLineChars="200"/>
        <w:rPr>
          <w:rFonts w:ascii="仿宋_GB2312" w:eastAsia="仿宋_GB2312"/>
          <w:sz w:val="24"/>
        </w:rPr>
      </w:pPr>
      <w:r>
        <w:rPr>
          <w:rFonts w:hint="eastAsia" w:ascii="仿宋_GB2312" w:eastAsia="仿宋_GB2312"/>
          <w:sz w:val="24"/>
        </w:rPr>
        <w:t>政府集中采购机构公布投标文件正文（信息公开部分）时为计算机截取信息自动公布，</w:t>
      </w:r>
      <w:r>
        <w:rPr>
          <w:rFonts w:hint="eastAsia" w:ascii="仿宋_GB2312" w:eastAsia="仿宋_GB2312"/>
          <w:b/>
          <w:bCs/>
          <w:sz w:val="24"/>
        </w:rPr>
        <w:t>如投标人误将涉及个人隐私的信息放入投标文件正文，相关后果由投标人自负；</w:t>
      </w:r>
      <w:r>
        <w:rPr>
          <w:rFonts w:hint="eastAsia" w:ascii="仿宋_GB2312" w:eastAsia="仿宋_GB2312"/>
          <w:sz w:val="24"/>
          <w:highlight w:val="yellow"/>
        </w:rPr>
        <w:t>如投标人将必须放于投标文件正文（信息公开部分）的内容放入投标文件附件（非信息公开部分），将作投标无效处理。</w:t>
      </w:r>
    </w:p>
    <w:p>
      <w:pPr>
        <w:ind w:firstLine="480" w:firstLineChars="200"/>
        <w:rPr>
          <w:rFonts w:ascii="仿宋_GB2312" w:eastAsia="仿宋_GB2312"/>
          <w:sz w:val="24"/>
        </w:rPr>
      </w:pPr>
    </w:p>
    <w:p>
      <w:pPr>
        <w:ind w:firstLine="482" w:firstLineChars="200"/>
        <w:rPr>
          <w:rFonts w:ascii="宋体" w:hAnsi="宋体"/>
          <w:b/>
          <w:sz w:val="24"/>
        </w:rPr>
      </w:pPr>
    </w:p>
    <w:p>
      <w:pPr>
        <w:rPr>
          <w:rFonts w:ascii="宋体" w:hAnsi="宋体"/>
          <w:sz w:val="24"/>
        </w:rPr>
      </w:pPr>
      <w:r>
        <w:rPr>
          <w:rFonts w:hint="eastAsia" w:ascii="宋体" w:hAnsi="宋体"/>
          <w:sz w:val="24"/>
        </w:rPr>
        <w:t>投标文件组成：</w:t>
      </w:r>
    </w:p>
    <w:p>
      <w:pPr>
        <w:ind w:firstLine="1200" w:firstLineChars="500"/>
        <w:outlineLvl w:val="0"/>
        <w:rPr>
          <w:rFonts w:ascii="宋体" w:hAnsi="宋体"/>
          <w:sz w:val="24"/>
        </w:rPr>
      </w:pPr>
      <w:r>
        <w:rPr>
          <w:rFonts w:hint="eastAsia" w:ascii="宋体" w:hAnsi="宋体"/>
          <w:sz w:val="24"/>
        </w:rPr>
        <w:t>1.投标文件正文</w:t>
      </w:r>
      <w:r>
        <w:rPr>
          <w:rFonts w:hint="eastAsia" w:ascii="宋体" w:hAnsi="宋体"/>
          <w:b/>
          <w:color w:val="FF0000"/>
          <w:sz w:val="24"/>
        </w:rPr>
        <w:t>（信息公开部分）</w:t>
      </w:r>
      <w:r>
        <w:rPr>
          <w:rFonts w:hint="eastAsia" w:ascii="宋体" w:hAnsi="宋体"/>
          <w:sz w:val="24"/>
        </w:rPr>
        <w:t>，主要包括以下内容：</w:t>
      </w:r>
    </w:p>
    <w:p>
      <w:pPr>
        <w:ind w:left="718" w:leftChars="342" w:firstLine="1417" w:firstLineChars="675"/>
        <w:rPr>
          <w:szCs w:val="21"/>
        </w:rPr>
      </w:pPr>
      <w:r>
        <w:rPr>
          <w:rFonts w:hint="eastAsia"/>
          <w:szCs w:val="21"/>
        </w:rPr>
        <w:t>（1）</w:t>
      </w:r>
      <w:bookmarkStart w:id="30" w:name="_Hlk72070784"/>
      <w:r>
        <w:rPr>
          <w:rFonts w:hint="eastAsia"/>
          <w:szCs w:val="21"/>
        </w:rPr>
        <w:t>投标函</w:t>
      </w:r>
      <w:bookmarkEnd w:id="30"/>
    </w:p>
    <w:p>
      <w:pPr>
        <w:ind w:left="718" w:leftChars="342" w:firstLine="1417" w:firstLineChars="675"/>
        <w:rPr>
          <w:szCs w:val="21"/>
        </w:rPr>
      </w:pPr>
      <w:r>
        <w:rPr>
          <w:rFonts w:hint="eastAsia"/>
          <w:szCs w:val="21"/>
        </w:rPr>
        <w:t>（2）</w:t>
      </w:r>
      <w:bookmarkStart w:id="31" w:name="_Hlk72062521"/>
      <w:r>
        <w:rPr>
          <w:rFonts w:hint="eastAsia"/>
          <w:szCs w:val="21"/>
        </w:rPr>
        <w:t>政府采购投标及履约承诺函</w:t>
      </w:r>
      <w:bookmarkEnd w:id="31"/>
    </w:p>
    <w:p>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pPr>
        <w:ind w:left="718" w:leftChars="342" w:firstLine="1417" w:firstLineChars="675"/>
        <w:rPr>
          <w:rFonts w:ascii="宋体" w:hAnsi="宋体"/>
          <w:szCs w:val="21"/>
        </w:rPr>
      </w:pPr>
      <w:bookmarkStart w:id="32" w:name="_Hlk72257201"/>
      <w:r>
        <w:rPr>
          <w:rFonts w:hint="eastAsia"/>
          <w:szCs w:val="21"/>
        </w:rPr>
        <w:t>（</w:t>
      </w:r>
      <w:r>
        <w:rPr>
          <w:szCs w:val="21"/>
        </w:rPr>
        <w:t>4</w:t>
      </w:r>
      <w:r>
        <w:rPr>
          <w:rFonts w:hint="eastAsia"/>
          <w:szCs w:val="21"/>
        </w:rPr>
        <w:t>）</w:t>
      </w:r>
      <w:bookmarkEnd w:id="32"/>
      <w:r>
        <w:rPr>
          <w:rFonts w:hint="eastAsia"/>
          <w:szCs w:val="21"/>
        </w:rPr>
        <w:t>工程量清单报价</w:t>
      </w:r>
    </w:p>
    <w:p>
      <w:pPr>
        <w:ind w:left="718" w:leftChars="342" w:firstLine="1417" w:firstLineChars="675"/>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Times New Roman" w:hAnsi="Times New Roman" w:eastAsia="宋体" w:cs="Times New Roman"/>
          <w:szCs w:val="21"/>
          <w:lang w:val="en-US" w:eastAsia="zh-CN"/>
        </w:rPr>
        <w:t>有效</w:t>
      </w:r>
      <w:r>
        <w:rPr>
          <w:rFonts w:hint="eastAsia" w:ascii="Times New Roman" w:hAnsi="Times New Roman" w:eastAsia="宋体" w:cs="Times New Roman"/>
          <w:szCs w:val="21"/>
        </w:rPr>
        <w:t>业绩</w:t>
      </w:r>
    </w:p>
    <w:p>
      <w:pPr>
        <w:ind w:left="718" w:leftChars="342" w:firstLine="1417" w:firstLineChars="675"/>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（6）</w:t>
      </w:r>
      <w:r>
        <w:rPr>
          <w:rFonts w:hint="eastAsia" w:ascii="Times New Roman" w:hAnsi="Times New Roman" w:eastAsia="宋体" w:cs="Times New Roman"/>
          <w:szCs w:val="21"/>
          <w:lang w:val="en-US" w:eastAsia="zh-CN"/>
        </w:rPr>
        <w:t>履约评价</w:t>
      </w:r>
    </w:p>
    <w:p>
      <w:pPr>
        <w:ind w:left="718" w:leftChars="342" w:firstLine="1417" w:firstLineChars="675"/>
        <w:rPr>
          <w:rFonts w:hint="eastAsia" w:ascii="Times New Roman" w:hAnsi="Times New Roman" w:eastAsia="宋体" w:cs="Times New Roman"/>
          <w:szCs w:val="21"/>
        </w:rPr>
      </w:pPr>
      <w:r>
        <w:rPr>
          <w:rFonts w:hint="eastAsia" w:ascii="Times New Roman" w:hAnsi="Times New Roman" w:eastAsia="宋体" w:cs="Times New Roman"/>
          <w:szCs w:val="21"/>
        </w:rPr>
        <w:t>（7）证书或奖励情况</w:t>
      </w:r>
    </w:p>
    <w:p>
      <w:pPr>
        <w:ind w:left="718" w:leftChars="342" w:firstLine="1417" w:firstLineChars="675"/>
        <w:rPr>
          <w:rFonts w:hint="eastAsia" w:ascii="Times New Roman" w:hAnsi="Times New Roman" w:eastAsia="宋体" w:cs="Times New Roman"/>
          <w:szCs w:val="21"/>
        </w:rPr>
      </w:pPr>
    </w:p>
    <w:p>
      <w:pPr>
        <w:ind w:firstLine="1200" w:firstLineChars="500"/>
        <w:outlineLvl w:val="9"/>
        <w:rPr>
          <w:rFonts w:ascii="宋体" w:hAnsi="宋体"/>
          <w:sz w:val="24"/>
        </w:rPr>
      </w:pPr>
      <w:r>
        <w:rPr>
          <w:rFonts w:hint="eastAsia" w:ascii="宋体" w:hAnsi="宋体"/>
          <w:sz w:val="24"/>
        </w:rPr>
        <w:t>2.投标文件附件</w:t>
      </w:r>
      <w:r>
        <w:rPr>
          <w:rFonts w:hint="eastAsia" w:ascii="宋体" w:hAnsi="宋体"/>
          <w:b/>
          <w:color w:val="FF0000"/>
          <w:sz w:val="24"/>
        </w:rPr>
        <w:t>（信息不公开部分）</w:t>
      </w:r>
      <w:r>
        <w:rPr>
          <w:rFonts w:hint="eastAsia" w:ascii="宋体" w:hAnsi="宋体"/>
          <w:sz w:val="24"/>
        </w:rPr>
        <w:t>：主要</w:t>
      </w:r>
      <w:bookmarkStart w:id="97" w:name="_GoBack"/>
      <w:bookmarkEnd w:id="97"/>
      <w:r>
        <w:rPr>
          <w:rFonts w:hint="eastAsia" w:ascii="宋体" w:hAnsi="宋体"/>
          <w:sz w:val="24"/>
        </w:rPr>
        <w:t>包括以下内容：</w:t>
      </w:r>
    </w:p>
    <w:p>
      <w:pPr>
        <w:ind w:firstLine="2100" w:firstLineChars="1000"/>
        <w:rPr>
          <w:szCs w:val="21"/>
        </w:rPr>
      </w:pPr>
      <w:r>
        <w:rPr>
          <w:rFonts w:hint="eastAsia"/>
          <w:szCs w:val="21"/>
        </w:rPr>
        <w:t>（1）法定代表人（负责人）证明书</w:t>
      </w:r>
    </w:p>
    <w:p>
      <w:pPr>
        <w:ind w:left="718" w:leftChars="342" w:firstLine="1417" w:firstLineChars="675"/>
        <w:rPr>
          <w:szCs w:val="21"/>
        </w:rPr>
      </w:pPr>
      <w:r>
        <w:rPr>
          <w:rFonts w:hint="eastAsia"/>
          <w:szCs w:val="21"/>
        </w:rPr>
        <w:t>（2）投标文件签署授权委托书</w:t>
      </w:r>
    </w:p>
    <w:p>
      <w:pPr>
        <w:ind w:left="718" w:leftChars="342" w:firstLine="1417" w:firstLineChars="675"/>
        <w:rPr>
          <w:szCs w:val="21"/>
        </w:rPr>
      </w:pPr>
      <w:r>
        <w:rPr>
          <w:rFonts w:hint="eastAsia"/>
          <w:szCs w:val="21"/>
        </w:rPr>
        <w:t>（3）</w:t>
      </w:r>
      <w:r>
        <w:rPr>
          <w:szCs w:val="21"/>
        </w:rPr>
        <w:t>实质性条款响应情况表</w:t>
      </w:r>
    </w:p>
    <w:p>
      <w:pPr>
        <w:ind w:left="718" w:leftChars="342" w:firstLine="1417" w:firstLineChars="675"/>
        <w:rPr>
          <w:rFonts w:hint="eastAsia" w:ascii="Times New Roman" w:hAnsi="Times New Roman" w:eastAsia="宋体" w:cs="Times New Roman"/>
          <w:szCs w:val="21"/>
        </w:rPr>
      </w:pPr>
      <w:r>
        <w:rPr>
          <w:rFonts w:hint="eastAsia" w:ascii="Times New Roman" w:hAnsi="Times New Roman" w:eastAsia="宋体" w:cs="Times New Roman"/>
          <w:szCs w:val="21"/>
        </w:rPr>
        <w:t>（4）项目</w:t>
      </w:r>
      <w:r>
        <w:rPr>
          <w:rFonts w:hint="eastAsia" w:cs="Times New Roman"/>
          <w:szCs w:val="21"/>
          <w:lang w:val="en-US" w:eastAsia="zh-CN"/>
        </w:rPr>
        <w:t>施工</w:t>
      </w:r>
      <w:r>
        <w:rPr>
          <w:rFonts w:hint="eastAsia" w:ascii="Times New Roman" w:hAnsi="Times New Roman" w:eastAsia="宋体" w:cs="Times New Roman"/>
          <w:szCs w:val="21"/>
        </w:rPr>
        <w:t>方案</w:t>
      </w:r>
    </w:p>
    <w:p>
      <w:pPr>
        <w:ind w:left="718" w:leftChars="342" w:firstLine="1417" w:firstLineChars="675"/>
        <w:rPr>
          <w:rFonts w:hint="eastAsia" w:ascii="Times New Roman" w:hAnsi="Times New Roman" w:eastAsia="宋体" w:cs="Times New Roman"/>
          <w:szCs w:val="21"/>
        </w:rPr>
      </w:pPr>
      <w:r>
        <w:rPr>
          <w:rFonts w:hint="eastAsia" w:ascii="Times New Roman" w:hAnsi="Times New Roman" w:eastAsia="宋体" w:cs="Times New Roman"/>
          <w:szCs w:val="21"/>
        </w:rPr>
        <w:t>（5）质量保障措施</w:t>
      </w:r>
    </w:p>
    <w:p>
      <w:pPr>
        <w:ind w:left="718" w:leftChars="342" w:firstLine="1417" w:firstLineChars="675"/>
        <w:rPr>
          <w:rFonts w:hint="eastAsia" w:ascii="Times New Roman" w:hAnsi="Times New Roman" w:eastAsia="宋体" w:cs="Times New Roman"/>
          <w:szCs w:val="21"/>
        </w:rPr>
      </w:pPr>
      <w:r>
        <w:rPr>
          <w:rFonts w:hint="eastAsia" w:ascii="Times New Roman" w:hAnsi="Times New Roman" w:eastAsia="宋体" w:cs="Times New Roman"/>
          <w:szCs w:val="21"/>
        </w:rPr>
        <w:t>（6）项目重点难点分析、应对措施及相关的合理化建议</w:t>
      </w:r>
    </w:p>
    <w:p>
      <w:pPr>
        <w:ind w:left="718" w:leftChars="342" w:firstLine="1417" w:firstLineChars="675"/>
        <w:rPr>
          <w:rFonts w:hint="eastAsia" w:ascii="Times New Roman" w:hAnsi="Times New Roman" w:eastAsia="宋体" w:cs="Times New Roman"/>
          <w:szCs w:val="21"/>
        </w:rPr>
      </w:pPr>
      <w:r>
        <w:rPr>
          <w:rFonts w:hint="eastAsia" w:ascii="Times New Roman" w:hAnsi="Times New Roman" w:eastAsia="宋体" w:cs="Times New Roman"/>
          <w:szCs w:val="21"/>
        </w:rPr>
        <w:t>（7）投入劳动力（项目经理、技术人员、管理班子）情况</w:t>
      </w:r>
    </w:p>
    <w:p>
      <w:pPr>
        <w:ind w:left="718" w:leftChars="342" w:firstLine="1417" w:firstLineChars="675"/>
        <w:rPr>
          <w:rFonts w:hint="eastAsia" w:ascii="Times New Roman" w:hAnsi="Times New Roman" w:eastAsia="宋体" w:cs="Times New Roman"/>
          <w:szCs w:val="21"/>
        </w:rPr>
      </w:pP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8</w:t>
      </w:r>
      <w:r>
        <w:rPr>
          <w:rFonts w:hint="eastAsia" w:ascii="Times New Roman" w:hAnsi="Times New Roman" w:eastAsia="宋体" w:cs="Times New Roman"/>
          <w:szCs w:val="21"/>
        </w:rPr>
        <w:t>）投标人认为需要加以说明的其他内容</w:t>
      </w:r>
    </w:p>
    <w:p>
      <w:pPr>
        <w:ind w:left="718" w:leftChars="342" w:firstLine="1417" w:firstLineChars="675"/>
        <w:rPr>
          <w:rFonts w:hint="eastAsia" w:ascii="Times New Roman" w:hAnsi="Times New Roman" w:eastAsia="宋体" w:cs="Times New Roman"/>
          <w:szCs w:val="21"/>
        </w:rPr>
      </w:pPr>
    </w:p>
    <w:p>
      <w:pPr>
        <w:pStyle w:val="8"/>
        <w:ind w:left="210" w:leftChars="100" w:firstLine="781" w:firstLineChars="372"/>
        <w:rPr>
          <w:rFonts w:ascii="宋体" w:hAnsi="宋体"/>
          <w:szCs w:val="21"/>
        </w:rPr>
      </w:pPr>
    </w:p>
    <w:p>
      <w:pPr>
        <w:rPr>
          <w:rFonts w:ascii="仿宋_GB2312" w:eastAsia="仿宋_GB2312"/>
          <w:sz w:val="24"/>
        </w:rPr>
      </w:pPr>
    </w:p>
    <w:p>
      <w:pPr>
        <w:ind w:firstLine="426" w:firstLineChars="202"/>
        <w:rPr>
          <w:rFonts w:ascii="宋体" w:hAnsi="宋体"/>
          <w:b/>
          <w:szCs w:val="21"/>
        </w:rPr>
      </w:pPr>
      <w:r>
        <w:rPr>
          <w:rFonts w:hint="eastAsia" w:ascii="宋体" w:hAnsi="宋体"/>
          <w:b/>
          <w:szCs w:val="21"/>
        </w:rPr>
        <w:t>备注：</w:t>
      </w:r>
    </w:p>
    <w:p>
      <w:pPr>
        <w:ind w:firstLine="426" w:firstLineChars="202"/>
        <w:rPr>
          <w:rFonts w:ascii="宋体" w:hAnsi="宋体"/>
          <w:b/>
          <w:szCs w:val="21"/>
        </w:rPr>
      </w:pPr>
      <w:r>
        <w:rPr>
          <w:rFonts w:hint="eastAsia" w:ascii="宋体" w:hAnsi="宋体"/>
          <w:b/>
          <w:szCs w:val="21"/>
        </w:rPr>
        <w:t>1.本项目为网上电子投标项目，投标文件不需法人或授权委托人另行签字，无需加盖单位公章，招标文件另有规定的除外。</w:t>
      </w:r>
    </w:p>
    <w:p>
      <w:pPr>
        <w:ind w:firstLine="426" w:firstLineChars="202"/>
        <w:rPr>
          <w:rFonts w:ascii="宋体" w:hAnsi="宋体"/>
          <w:b/>
          <w:szCs w:val="21"/>
        </w:rPr>
      </w:pPr>
      <w:r>
        <w:rPr>
          <w:rFonts w:hint="eastAsia" w:ascii="宋体" w:hAnsi="宋体"/>
          <w:b/>
          <w:szCs w:val="21"/>
        </w:rPr>
        <w:t>2.关于填写“开标一览表”的说明：“开标一览表”中除“投标总价”外，其他信息不作评审依据。</w:t>
      </w:r>
    </w:p>
    <w:p>
      <w:pPr>
        <w:rPr>
          <w:rFonts w:ascii="仿宋_GB2312" w:eastAsia="仿宋_GB2312"/>
          <w:sz w:val="24"/>
        </w:rPr>
      </w:pPr>
    </w:p>
    <w:p>
      <w:pPr>
        <w:rPr>
          <w:rFonts w:ascii="宋体" w:hAnsi="宋体"/>
          <w:b/>
          <w:szCs w:val="21"/>
        </w:rPr>
      </w:pPr>
    </w:p>
    <w:p>
      <w:pPr>
        <w:rPr>
          <w:rFonts w:ascii="宋体" w:hAnsi="宋体"/>
          <w:b/>
          <w:szCs w:val="21"/>
        </w:rPr>
      </w:pPr>
    </w:p>
    <w:p>
      <w:pPr>
        <w:jc w:val="left"/>
        <w:rPr>
          <w:rFonts w:ascii="宋体" w:hAnsi="宋体"/>
          <w:b/>
          <w:color w:val="FF0000"/>
          <w:sz w:val="36"/>
          <w:szCs w:val="36"/>
        </w:rPr>
      </w:pPr>
      <w:r>
        <w:rPr>
          <w:rFonts w:hint="eastAsia" w:ascii="宋体" w:hAnsi="宋体"/>
          <w:b/>
          <w:color w:val="FF0000"/>
          <w:sz w:val="36"/>
          <w:szCs w:val="36"/>
        </w:rPr>
        <w:br w:type="page"/>
      </w:r>
    </w:p>
    <w:p>
      <w:pPr>
        <w:outlineLvl w:val="9"/>
        <w:rPr>
          <w:rFonts w:ascii="宋体" w:hAnsi="宋体"/>
          <w:b/>
          <w:color w:val="FF0000"/>
          <w:sz w:val="28"/>
          <w:szCs w:val="28"/>
        </w:rPr>
      </w:pPr>
      <w:r>
        <w:rPr>
          <w:rFonts w:hint="eastAsia" w:ascii="宋体" w:hAnsi="宋体"/>
          <w:b/>
          <w:color w:val="FF0000"/>
          <w:sz w:val="28"/>
          <w:szCs w:val="28"/>
        </w:rPr>
        <w:t>投标文件正文（信息公开部分）</w:t>
      </w:r>
    </w:p>
    <w:p>
      <w:pPr>
        <w:pStyle w:val="5"/>
        <w:jc w:val="center"/>
        <w:rPr>
          <w:rFonts w:ascii="黑体" w:eastAsia="黑体"/>
          <w:b w:val="0"/>
          <w:kern w:val="0"/>
          <w:sz w:val="24"/>
        </w:rPr>
      </w:pPr>
      <w:r>
        <w:rPr>
          <w:rFonts w:hint="eastAsia" w:ascii="黑体" w:eastAsia="黑体"/>
          <w:b w:val="0"/>
          <w:kern w:val="0"/>
          <w:sz w:val="24"/>
        </w:rPr>
        <w:t>一、投标函</w:t>
      </w:r>
    </w:p>
    <w:p>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color w:val="FF0000"/>
          <w:szCs w:val="21"/>
          <w:u w:val="single"/>
        </w:rPr>
        <w:t>深圳公共资源交易中心</w:t>
      </w:r>
      <w:r>
        <w:rPr>
          <w:rFonts w:hint="eastAsia" w:ascii="宋体" w:hAnsi="宋体"/>
          <w:szCs w:val="21"/>
          <w:u w:val="single"/>
        </w:rPr>
        <w:t xml:space="preserve">  </w:t>
      </w:r>
    </w:p>
    <w:p>
      <w:pPr>
        <w:ind w:firstLine="420" w:firstLineChars="200"/>
        <w:rPr>
          <w:rFonts w:ascii="宋体" w:hAnsi="宋体"/>
          <w:szCs w:val="21"/>
        </w:rPr>
      </w:pPr>
      <w:bookmarkStart w:id="33" w:name="_Hlk73818812"/>
      <w:r>
        <w:rPr>
          <w:rFonts w:hint="eastAsia"/>
          <w:szCs w:val="21"/>
        </w:rPr>
        <w:t>1、根据已收到贵单位的项目编号为</w:t>
      </w:r>
      <w:r>
        <w:rPr>
          <w:rFonts w:hint="eastAsia"/>
          <w:szCs w:val="21"/>
          <w:u w:val="thick"/>
        </w:rPr>
        <w:t xml:space="preserve">        </w:t>
      </w:r>
      <w:r>
        <w:rPr>
          <w:rFonts w:hint="eastAsia"/>
          <w:szCs w:val="21"/>
        </w:rPr>
        <w:t>的</w:t>
      </w:r>
      <w:r>
        <w:rPr>
          <w:rFonts w:hint="eastAsia"/>
          <w:szCs w:val="21"/>
          <w:u w:val="thick"/>
        </w:rPr>
        <w:t xml:space="preserve">    </w:t>
      </w:r>
      <w:r>
        <w:rPr>
          <w:rFonts w:hint="eastAsia" w:eastAsia="宋体"/>
          <w:szCs w:val="21"/>
          <w:u w:val="thick"/>
          <w:lang w:eastAsia="zh-CN"/>
        </w:rPr>
        <w:t>（</w:t>
      </w:r>
      <w:r>
        <w:rPr>
          <w:rFonts w:hint="eastAsia"/>
          <w:szCs w:val="21"/>
          <w:u w:val="thick"/>
        </w:rPr>
        <w:t>项目</w:t>
      </w:r>
      <w:r>
        <w:rPr>
          <w:rFonts w:hint="eastAsia" w:ascii="Times New Roman" w:eastAsia="宋体"/>
          <w:szCs w:val="21"/>
          <w:u w:val="thick"/>
          <w:lang w:val="en-US" w:eastAsia="zh-CN"/>
        </w:rPr>
        <w:t>名称</w:t>
      </w:r>
      <w:r>
        <w:rPr>
          <w:rFonts w:hint="eastAsia" w:eastAsia="宋体"/>
          <w:szCs w:val="21"/>
          <w:u w:val="thick"/>
          <w:lang w:eastAsia="zh-CN"/>
        </w:rPr>
        <w:t>）</w:t>
      </w:r>
      <w:r>
        <w:rPr>
          <w:rFonts w:hint="eastAsia"/>
          <w:szCs w:val="21"/>
          <w:u w:val="thick"/>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34" w:name="_Hlk72263588"/>
      <w:r>
        <w:rPr>
          <w:rFonts w:hint="eastAsia"/>
          <w:szCs w:val="21"/>
        </w:rPr>
        <w:t>愿意按照招标文件要求承包上述项目并修补其任何缺陷。</w:t>
      </w:r>
      <w:bookmarkEnd w:id="34"/>
    </w:p>
    <w:p>
      <w:pPr>
        <w:ind w:firstLine="420" w:firstLineChars="200"/>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投标书编制软件中《开标一览表》中填写的投标总价。</w:t>
      </w:r>
    </w:p>
    <w:p>
      <w:pPr>
        <w:ind w:firstLine="420" w:firstLineChars="200"/>
        <w:rPr>
          <w:rFonts w:ascii="宋体" w:hAnsi="宋体"/>
          <w:szCs w:val="21"/>
        </w:rPr>
      </w:pPr>
      <w:r>
        <w:rPr>
          <w:rFonts w:hint="eastAsia" w:ascii="宋体" w:hAnsi="宋体"/>
          <w:szCs w:val="21"/>
        </w:rPr>
        <w:t>3、如果我单位中标，我单位将按照招标文件的要求足额提交履约担保。</w:t>
      </w:r>
    </w:p>
    <w:p>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pPr>
        <w:ind w:left="420" w:leftChars="200"/>
        <w:rPr>
          <w:rFonts w:hint="eastAsia" w:ascii="宋体" w:hAnsi="宋体"/>
          <w:szCs w:val="21"/>
        </w:rPr>
      </w:pPr>
      <w:r>
        <w:rPr>
          <w:rFonts w:hint="eastAsia" w:ascii="宋体" w:hAnsi="宋体"/>
          <w:szCs w:val="21"/>
        </w:rPr>
        <w:t>6、我单位理解贵单位将不受必须接受所收到的最低报价或其它任何投标文件的约束。</w:t>
      </w:r>
      <w:bookmarkEnd w:id="33"/>
    </w:p>
    <w:p>
      <w:pPr>
        <w:ind w:left="420" w:leftChars="200"/>
        <w:rPr>
          <w:rFonts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pPr>
        <w:ind w:left="420" w:leftChars="200" w:firstLine="210" w:firstLineChars="100"/>
        <w:rPr>
          <w:rFonts w:hint="eastAsia"/>
          <w:szCs w:val="21"/>
          <w:u w:val="none"/>
          <w:lang w:eastAsia="zh-CN"/>
        </w:rPr>
      </w:pPr>
      <w:r>
        <w:rPr>
          <w:rFonts w:hint="eastAsia"/>
          <w:szCs w:val="21"/>
        </w:rPr>
        <w:t>投标人：</w:t>
      </w:r>
      <w:r>
        <w:rPr>
          <w:rFonts w:hint="eastAsia"/>
          <w:szCs w:val="21"/>
          <w:u w:val="thick"/>
        </w:rPr>
        <w:t xml:space="preserve">       </w:t>
      </w:r>
      <w:r>
        <w:rPr>
          <w:rFonts w:hint="eastAsia" w:eastAsia="宋体"/>
          <w:szCs w:val="21"/>
          <w:lang w:eastAsia="zh-CN"/>
        </w:rPr>
        <w:t>；</w:t>
      </w:r>
      <w:r>
        <w:rPr>
          <w:rFonts w:hint="eastAsia"/>
          <w:szCs w:val="21"/>
        </w:rPr>
        <w:t xml:space="preserve">  单位地址：</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pPr>
        <w:ind w:left="420" w:leftChars="200" w:firstLine="210" w:firstLineChars="100"/>
        <w:rPr>
          <w:rFonts w:hint="eastAsia"/>
          <w:szCs w:val="21"/>
          <w:u w:val="none"/>
          <w:lang w:eastAsia="zh-CN"/>
        </w:rPr>
      </w:pPr>
      <w:r>
        <w:rPr>
          <w:rFonts w:hint="eastAsia"/>
          <w:szCs w:val="21"/>
        </w:rPr>
        <w:t>法定代表人（负责人）或其</w:t>
      </w:r>
      <w:r>
        <w:rPr>
          <w:rFonts w:hint="eastAsia" w:ascii="Times New Roman" w:eastAsia="宋体"/>
          <w:szCs w:val="21"/>
          <w:lang w:val="en-US" w:eastAsia="zh-CN"/>
        </w:rPr>
        <w:t>授权</w:t>
      </w:r>
      <w:r>
        <w:rPr>
          <w:rFonts w:hint="eastAsia"/>
          <w:szCs w:val="21"/>
        </w:rPr>
        <w:t>委托代理人：</w:t>
      </w:r>
      <w:r>
        <w:rPr>
          <w:rFonts w:hint="eastAsia"/>
          <w:szCs w:val="21"/>
          <w:u w:val="thick"/>
        </w:rPr>
        <w:t xml:space="preserve">         </w:t>
      </w:r>
      <w:r>
        <w:rPr>
          <w:rFonts w:hint="eastAsia" w:eastAsia="宋体"/>
          <w:szCs w:val="21"/>
          <w:u w:val="none"/>
          <w:lang w:eastAsia="zh-CN"/>
        </w:rPr>
        <w:t>；</w:t>
      </w:r>
    </w:p>
    <w:p>
      <w:pPr>
        <w:ind w:left="420" w:leftChars="200" w:firstLine="210" w:firstLineChars="100"/>
        <w:rPr>
          <w:rFonts w:hint="eastAsia"/>
          <w:szCs w:val="21"/>
          <w:u w:val="none"/>
        </w:rPr>
      </w:pPr>
      <w:r>
        <w:rPr>
          <w:rFonts w:hint="eastAsia"/>
          <w:szCs w:val="21"/>
        </w:rPr>
        <w:t>电话</w:t>
      </w:r>
      <w:r>
        <w:rPr>
          <w:rFonts w:hint="eastAsia"/>
          <w:szCs w:val="21"/>
          <w:u w:val="none"/>
        </w:rPr>
        <w:t>：</w:t>
      </w:r>
      <w:r>
        <w:rPr>
          <w:rFonts w:hint="eastAsia"/>
          <w:szCs w:val="21"/>
          <w:u w:val="thick"/>
        </w:rPr>
        <w:t xml:space="preserve">         </w:t>
      </w:r>
      <w:r>
        <w:rPr>
          <w:rFonts w:hint="eastAsia"/>
          <w:szCs w:val="21"/>
        </w:rPr>
        <w:t xml:space="preserve"> </w:t>
      </w:r>
      <w:r>
        <w:rPr>
          <w:rFonts w:hint="eastAsia" w:eastAsia="宋体"/>
          <w:szCs w:val="21"/>
          <w:u w:val="none"/>
          <w:lang w:eastAsia="zh-CN"/>
        </w:rPr>
        <w:t>；</w:t>
      </w:r>
      <w:r>
        <w:rPr>
          <w:rFonts w:hint="eastAsia"/>
          <w:szCs w:val="21"/>
          <w:u w:val="none"/>
        </w:rPr>
        <w:t xml:space="preserve">     </w:t>
      </w:r>
    </w:p>
    <w:p>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pPr>
        <w:ind w:left="420" w:leftChars="200"/>
        <w:rPr>
          <w:sz w:val="24"/>
        </w:rPr>
      </w:pPr>
      <w:r>
        <w:rPr>
          <w:rFonts w:hint="eastAsia"/>
          <w:sz w:val="24"/>
        </w:rPr>
        <w:t xml:space="preserve">                       </w:t>
      </w:r>
    </w:p>
    <w:p>
      <w:pPr>
        <w:rPr>
          <w:rFonts w:ascii="黑体" w:hAnsi="宋体" w:eastAsia="黑体"/>
        </w:rPr>
      </w:pPr>
    </w:p>
    <w:p>
      <w:pPr>
        <w:rPr>
          <w:rFonts w:ascii="宋体" w:hAnsi="宋体"/>
          <w:szCs w:val="21"/>
        </w:rPr>
      </w:pPr>
    </w:p>
    <w:p>
      <w:pPr>
        <w:pStyle w:val="5"/>
        <w:jc w:val="center"/>
        <w:rPr>
          <w:rFonts w:ascii="黑体" w:eastAsia="黑体"/>
          <w:b w:val="0"/>
          <w:kern w:val="0"/>
          <w:sz w:val="24"/>
        </w:rPr>
      </w:pPr>
      <w:r>
        <w:rPr>
          <w:rFonts w:hint="eastAsia" w:ascii="黑体" w:eastAsia="黑体"/>
          <w:b w:val="0"/>
          <w:kern w:val="0"/>
          <w:sz w:val="24"/>
        </w:rPr>
        <w:t>二、政府采购投标及履约承诺函</w:t>
      </w:r>
    </w:p>
    <w:p>
      <w:pPr>
        <w:rPr>
          <w:rFonts w:ascii="宋体" w:hAnsi="宋体"/>
          <w:sz w:val="24"/>
        </w:rPr>
      </w:pPr>
    </w:p>
    <w:p>
      <w:pPr>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深圳公共资源交易中心</w:t>
      </w:r>
    </w:p>
    <w:p>
      <w:pPr>
        <w:ind w:right="-815" w:firstLine="420" w:firstLineChars="200"/>
        <w:rPr>
          <w:rFonts w:ascii="宋体" w:hAnsi="宋体"/>
          <w:szCs w:val="21"/>
        </w:rPr>
      </w:pPr>
      <w:r>
        <w:rPr>
          <w:rFonts w:hint="eastAsia" w:ascii="宋体" w:hAnsi="宋体"/>
          <w:szCs w:val="21"/>
        </w:rPr>
        <w:t>我单位承诺：</w:t>
      </w:r>
    </w:p>
    <w:p>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pPr>
        <w:ind w:firstLine="420" w:firstLineChars="200"/>
        <w:rPr>
          <w:rFonts w:hint="eastAsia"/>
          <w:lang w:eastAsia="zh-CN"/>
        </w:rPr>
      </w:pPr>
      <w:r>
        <w:rPr>
          <w:rFonts w:hint="eastAsia" w:ascii="宋体" w:hAnsi="宋体"/>
          <w:szCs w:val="21"/>
        </w:rPr>
        <w:t>4.我单位</w:t>
      </w:r>
      <w:r>
        <w:rPr>
          <w:rFonts w:hint="eastAsia"/>
        </w:rPr>
        <w:t>未被列入失信被执行人、重大税收违法案件当事人名单、政府采购严重违法失信行为记录名单</w:t>
      </w:r>
      <w:r>
        <w:rPr>
          <w:rFonts w:hint="eastAsia"/>
          <w:lang w:eastAsia="zh-CN"/>
        </w:rPr>
        <w:t>。</w:t>
      </w:r>
    </w:p>
    <w:p>
      <w:pPr>
        <w:ind w:firstLine="420" w:firstLineChars="200"/>
        <w:rPr>
          <w:rFonts w:hint="eastAsia"/>
          <w:lang w:eastAsia="zh-CN"/>
        </w:rPr>
      </w:pPr>
      <w:r>
        <w:rPr>
          <w:rFonts w:hint="eastAsia" w:ascii="Times New Roman" w:eastAsia="宋体"/>
          <w:color w:val="FF0000"/>
          <w:lang w:val="en-US" w:eastAsia="zh-CN"/>
        </w:rPr>
        <w:t>5.我单位不存在《深圳市财政局政府采购供应商信用信息管理办法》（深财规〔2023〕3号）列明的严重违法失信行为。</w:t>
      </w:r>
    </w:p>
    <w:p>
      <w:pPr>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szCs w:val="21"/>
        </w:rPr>
      </w:pPr>
      <w:r>
        <w:rPr>
          <w:rFonts w:hint="eastAsia" w:ascii="宋体" w:hAnsi="宋体"/>
          <w:szCs w:val="21"/>
          <w:lang w:val="en-US" w:eastAsia="zh-CN"/>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szCs w:val="21"/>
        </w:rPr>
      </w:pPr>
      <w:r>
        <w:rPr>
          <w:rFonts w:hint="eastAsia" w:ascii="宋体" w:hAnsi="宋体"/>
          <w:szCs w:val="21"/>
          <w:lang w:val="en-US" w:eastAsia="zh-CN"/>
        </w:rPr>
        <w:t>9</w:t>
      </w:r>
      <w:r>
        <w:rPr>
          <w:rFonts w:hint="eastAsia" w:ascii="宋体" w:hAnsi="宋体"/>
          <w:szCs w:val="21"/>
        </w:rPr>
        <w:t>.我单位承诺中标后项目不转包，未经采购人同意不进行分包。</w:t>
      </w:r>
    </w:p>
    <w:p>
      <w:pPr>
        <w:ind w:firstLine="420" w:firstLineChars="200"/>
        <w:rPr>
          <w:rFonts w:ascii="宋体" w:hAnsi="宋体"/>
        </w:rPr>
      </w:pPr>
      <w:r>
        <w:rPr>
          <w:rFonts w:hint="eastAsia" w:ascii="宋体" w:hAnsi="宋体"/>
          <w:szCs w:val="21"/>
          <w:lang w:val="en-US" w:eastAsia="zh-CN"/>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ascii="宋体" w:hAnsi="宋体" w:cs="宋体"/>
          <w:b/>
          <w:kern w:val="0"/>
          <w:szCs w:val="21"/>
        </w:rPr>
      </w:pPr>
      <w:r>
        <w:rPr>
          <w:rFonts w:hint="eastAsia" w:ascii="宋体" w:hAnsi="宋体"/>
        </w:rPr>
        <w:t>1</w:t>
      </w:r>
      <w:r>
        <w:rPr>
          <w:rFonts w:hint="eastAsia" w:ascii="宋体" w:hAnsi="宋体"/>
          <w:lang w:val="en-US" w:eastAsia="zh-CN"/>
        </w:rPr>
        <w:t>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r>
        <w:rPr>
          <w:rFonts w:hint="eastAsia" w:ascii="宋体" w:hAnsi="宋体"/>
          <w:lang w:val="en-US" w:eastAsia="zh-CN"/>
        </w:rPr>
        <w:t>若所投产品包括数据中心相关设备的，应满足</w:t>
      </w:r>
      <w:r>
        <w:rPr>
          <w:rFonts w:hint="eastAsia"/>
        </w:rPr>
        <w:t>《财政部 生态环境部 工业和信息化部关于印发&lt;绿色数据中心政府采购需求标准（试行）&gt;的通知》</w:t>
      </w:r>
      <w:r>
        <w:rPr>
          <w:rFonts w:hint="eastAsia" w:eastAsia="宋体"/>
          <w:lang w:eastAsia="zh-CN"/>
        </w:rPr>
        <w:t>（</w:t>
      </w:r>
      <w:r>
        <w:rPr>
          <w:rFonts w:hint="eastAsia"/>
        </w:rPr>
        <w:t>财库〔2023〕7号）</w:t>
      </w:r>
      <w:r>
        <w:rPr>
          <w:rFonts w:hint="eastAsia" w:ascii="Times New Roman" w:eastAsia="宋体"/>
          <w:lang w:val="en-US" w:eastAsia="zh-CN"/>
        </w:rPr>
        <w:t>要求。若所投产品涉及国家强制性标准的，所投产品应符合国家强制性标准相关要求。</w:t>
      </w:r>
    </w:p>
    <w:p>
      <w:pPr>
        <w:ind w:firstLine="420" w:firstLineChars="200"/>
        <w:rPr>
          <w:rFonts w:hint="eastAsia" w:ascii="宋体" w:hAnsi="宋体"/>
          <w:b w:val="0"/>
          <w:bCs/>
        </w:rPr>
      </w:pPr>
      <w:r>
        <w:rPr>
          <w:rFonts w:hint="eastAsia" w:ascii="宋体" w:hAnsi="宋体" w:cs="宋体"/>
          <w:b w:val="0"/>
          <w:bCs/>
          <w:kern w:val="0"/>
          <w:szCs w:val="21"/>
        </w:rPr>
        <w:t>1</w:t>
      </w:r>
      <w:r>
        <w:rPr>
          <w:rFonts w:hint="eastAsia" w:ascii="宋体" w:hAnsi="宋体" w:cs="宋体"/>
          <w:b w:val="0"/>
          <w:bCs/>
          <w:kern w:val="0"/>
          <w:szCs w:val="21"/>
          <w:lang w:val="en-US" w:eastAsia="zh-CN"/>
        </w:rPr>
        <w:t>2</w:t>
      </w:r>
      <w:r>
        <w:rPr>
          <w:rFonts w:hint="eastAsia" w:ascii="宋体" w:hAnsi="宋体" w:cs="宋体"/>
          <w:b w:val="0"/>
          <w:bCs/>
          <w:kern w:val="0"/>
          <w:szCs w:val="21"/>
        </w:rPr>
        <w:t>.</w:t>
      </w:r>
      <w:r>
        <w:rPr>
          <w:rFonts w:hint="eastAsia" w:ascii="宋体" w:hAnsi="宋体"/>
          <w:b w:val="0"/>
          <w:bCs/>
        </w:rPr>
        <w:t>我单位已知悉并同意中标（成交）结果信息公示（公开）的内容。</w:t>
      </w:r>
    </w:p>
    <w:p>
      <w:pPr>
        <w:ind w:firstLine="420" w:firstLineChars="200"/>
        <w:rPr>
          <w:rFonts w:hint="eastAsia" w:ascii="宋体" w:hAnsi="宋体"/>
          <w:b w:val="0"/>
          <w:bCs/>
        </w:rPr>
      </w:pPr>
      <w:r>
        <w:rPr>
          <w:rFonts w:hint="eastAsia" w:ascii="宋体" w:hAnsi="宋体"/>
          <w:b w:val="0"/>
          <w:bCs/>
        </w:rPr>
        <w:t>1</w:t>
      </w:r>
      <w:r>
        <w:rPr>
          <w:rFonts w:hint="eastAsia" w:ascii="宋体" w:hAnsi="宋体"/>
          <w:b w:val="0"/>
          <w:bCs/>
          <w:lang w:val="en-US" w:eastAsia="zh-CN"/>
        </w:rPr>
        <w:t>3</w:t>
      </w:r>
      <w:r>
        <w:rPr>
          <w:rFonts w:hint="eastAsia" w:ascii="宋体" w:hAnsi="宋体"/>
          <w:b w:val="0"/>
          <w:bCs/>
        </w:rPr>
        <w:t>.我单位保证，符合《中华人民共和国政府采购法实施条例》第十八条规定，与其他投标供应商不存在单位负责人为同一人或者存在直接控股、管理关系；</w:t>
      </w:r>
      <w:r>
        <w:rPr>
          <w:rFonts w:hint="eastAsia" w:ascii="宋体" w:hAnsi="宋体"/>
          <w:b w:val="0"/>
          <w:bCs/>
          <w:color w:val="auto"/>
          <w:lang w:val="en-US" w:eastAsia="zh-CN"/>
        </w:rPr>
        <w:t>不存在为</w:t>
      </w:r>
      <w:r>
        <w:rPr>
          <w:rFonts w:hint="eastAsia" w:ascii="宋体" w:hAnsi="宋体"/>
          <w:b w:val="0"/>
          <w:bCs/>
        </w:rPr>
        <w:t>本次采购项目提供整体设计、规范编制或者项目管理、监理、检测等服务的情</w:t>
      </w:r>
      <w:r>
        <w:rPr>
          <w:rFonts w:hint="eastAsia" w:ascii="宋体" w:hAnsi="宋体"/>
          <w:b w:val="0"/>
          <w:bCs/>
          <w:color w:val="auto"/>
        </w:rPr>
        <w:t>形。</w:t>
      </w:r>
      <w:r>
        <w:rPr>
          <w:rFonts w:hint="eastAsia" w:ascii="宋体" w:hAnsi="宋体"/>
          <w:b w:val="0"/>
          <w:bCs/>
          <w:color w:val="auto"/>
          <w:lang w:val="en-US" w:eastAsia="zh-CN"/>
        </w:rPr>
        <w:t>若</w:t>
      </w:r>
      <w:r>
        <w:rPr>
          <w:rFonts w:hint="eastAsia" w:ascii="宋体" w:hAnsi="宋体"/>
          <w:b w:val="0"/>
          <w:bCs/>
          <w:color w:val="auto"/>
        </w:rPr>
        <w:t>存在“不同供应商的董事、股东或其他高级管理人员为同一人的”情形的，</w:t>
      </w:r>
      <w:r>
        <w:rPr>
          <w:rFonts w:hint="eastAsia" w:ascii="宋体" w:hAnsi="宋体"/>
          <w:b w:val="0"/>
          <w:bCs/>
          <w:color w:val="auto"/>
          <w:lang w:val="en-US" w:eastAsia="zh-CN"/>
        </w:rPr>
        <w:t>我单位保证</w:t>
      </w:r>
      <w:r>
        <w:rPr>
          <w:rFonts w:hint="eastAsia" w:ascii="宋体" w:hAnsi="宋体"/>
          <w:b w:val="0"/>
          <w:bCs/>
          <w:color w:val="auto"/>
        </w:rPr>
        <w:t>不存在串通投标、恶意串通或者视为串通投标的情形</w:t>
      </w:r>
      <w:r>
        <w:rPr>
          <w:rFonts w:hint="eastAsia" w:ascii="宋体" w:hAnsi="宋体"/>
          <w:b w:val="0"/>
          <w:bCs/>
          <w:color w:val="auto"/>
          <w:lang w:eastAsia="zh-CN"/>
        </w:rPr>
        <w:t>。</w:t>
      </w:r>
    </w:p>
    <w:p>
      <w:pPr>
        <w:ind w:firstLine="420" w:firstLineChars="200"/>
        <w:rPr>
          <w:rFonts w:hint="eastAsia" w:ascii="宋体" w:hAnsi="宋体"/>
          <w:b/>
          <w:bCs w:val="0"/>
          <w:sz w:val="21"/>
          <w:lang w:val="en-US" w:eastAsia="zh-CN"/>
        </w:rPr>
      </w:pPr>
      <w:r>
        <w:rPr>
          <w:rFonts w:hint="eastAsia" w:ascii="宋体" w:hAnsi="宋体"/>
          <w:color w:val="auto"/>
          <w:lang w:val="en-US" w:eastAsia="zh-CN"/>
        </w:rPr>
        <w:t>14.</w:t>
      </w:r>
      <w:r>
        <w:rPr>
          <w:rFonts w:hint="eastAsia" w:ascii="宋体" w:hAnsi="宋体"/>
          <w:color w:val="auto"/>
        </w:rPr>
        <w:t>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ind w:firstLine="422" w:firstLineChars="200"/>
        <w:rPr>
          <w:rFonts w:ascii="宋体" w:hAnsi="宋体"/>
          <w:b/>
        </w:rPr>
      </w:pPr>
      <w:r>
        <w:rPr>
          <w:rFonts w:hint="eastAsia" w:ascii="宋体" w:hAnsi="宋体"/>
          <w:b/>
          <w:bCs w:val="0"/>
          <w:sz w:val="21"/>
          <w:lang w:val="en-US" w:eastAsia="zh-CN"/>
        </w:rPr>
        <w:t>15.我单位清楚，如存在违反投标承诺行为情节严重的，将根据《深圳市财政局关于印发&lt;深圳市财政局政府采购供应商信用信息管理办法&gt;的通知》，依法被列入失信信息。</w:t>
      </w:r>
    </w:p>
    <w:p>
      <w:pPr>
        <w:pStyle w:val="2"/>
        <w:ind w:firstLine="482" w:firstLineChars="200"/>
        <w:rPr>
          <w:rFonts w:ascii="宋体" w:hAnsi="宋体"/>
        </w:rPr>
      </w:pPr>
    </w:p>
    <w:p>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pPr>
        <w:spacing w:before="60" w:beforeLines="25" w:after="60" w:afterLines="25"/>
        <w:ind w:firstLine="5460" w:firstLineChars="2600"/>
        <w:rPr>
          <w:rFonts w:ascii="宋体" w:hAnsi="宋体"/>
          <w:szCs w:val="21"/>
        </w:rPr>
      </w:pPr>
      <w:r>
        <w:rPr>
          <w:rFonts w:hint="eastAsia" w:ascii="宋体" w:hAnsi="宋体"/>
          <w:szCs w:val="21"/>
        </w:rPr>
        <w:t xml:space="preserve">                                    </w:t>
      </w:r>
    </w:p>
    <w:p>
      <w:pPr>
        <w:spacing w:before="60" w:beforeLines="25" w:after="60" w:afterLines="25"/>
        <w:ind w:firstLine="5460" w:firstLineChars="2600"/>
        <w:rPr>
          <w:color w:val="FF0000"/>
        </w:rPr>
      </w:pPr>
      <w:r>
        <w:rPr>
          <w:rFonts w:hint="eastAsia"/>
          <w:color w:val="FF0000"/>
          <w:szCs w:val="21"/>
        </w:rPr>
        <w:t>投标人：</w:t>
      </w:r>
      <w:r>
        <w:rPr>
          <w:rFonts w:hint="eastAsia"/>
          <w:color w:val="FF0000"/>
          <w:szCs w:val="21"/>
          <w:u w:val="single"/>
        </w:rPr>
        <w:t xml:space="preserve">              </w:t>
      </w:r>
    </w:p>
    <w:p>
      <w:pPr>
        <w:ind w:firstLine="645"/>
        <w:rPr>
          <w:rFonts w:ascii="宋体" w:hAnsi="宋体"/>
          <w:color w:val="FF0000"/>
          <w:szCs w:val="21"/>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p>
    <w:p>
      <w:pPr>
        <w:rPr>
          <w:rFonts w:ascii="宋体" w:hAnsi="宋体"/>
          <w:szCs w:val="21"/>
        </w:rPr>
      </w:pPr>
    </w:p>
    <w:p>
      <w:pPr>
        <w:rPr>
          <w:rFonts w:ascii="宋体" w:hAnsi="宋体"/>
          <w:szCs w:val="21"/>
        </w:rPr>
      </w:pPr>
    </w:p>
    <w:p/>
    <w:p/>
    <w:p>
      <w:pPr>
        <w:pStyle w:val="5"/>
        <w:spacing w:before="120" w:after="120"/>
        <w:jc w:val="center"/>
        <w:rPr>
          <w:rFonts w:ascii="黑体" w:eastAsia="黑体"/>
          <w:b w:val="0"/>
          <w:kern w:val="0"/>
          <w:sz w:val="24"/>
        </w:rPr>
      </w:pPr>
      <w:r>
        <w:rPr>
          <w:rFonts w:hint="eastAsia" w:ascii="黑体" w:eastAsia="黑体"/>
          <w:b w:val="0"/>
          <w:kern w:val="0"/>
          <w:sz w:val="24"/>
        </w:rPr>
        <w:t>三、投标人情况及资格证明文件</w:t>
      </w:r>
    </w:p>
    <w:p>
      <w:pPr>
        <w:ind w:firstLine="2640" w:firstLineChars="1100"/>
        <w:outlineLvl w:val="9"/>
        <w:rPr>
          <w:rFonts w:ascii="黑体" w:hAnsi="宋体" w:eastAsia="黑体"/>
          <w:bCs/>
          <w:kern w:val="0"/>
          <w:sz w:val="24"/>
          <w:szCs w:val="32"/>
        </w:rPr>
      </w:pPr>
      <w:r>
        <w:rPr>
          <w:rFonts w:hint="eastAsia" w:ascii="黑体" w:hAnsi="宋体" w:eastAsia="黑体"/>
          <w:bCs/>
          <w:kern w:val="0"/>
          <w:sz w:val="24"/>
          <w:szCs w:val="32"/>
        </w:rPr>
        <w:t>（一）投标人资格证明文件</w:t>
      </w:r>
    </w:p>
    <w:p>
      <w:pPr>
        <w:spacing w:before="120" w:beforeLines="50"/>
        <w:ind w:firstLine="422" w:firstLineChars="200"/>
        <w:outlineLvl w:val="9"/>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w:t>
      </w:r>
    </w:p>
    <w:p>
      <w:pPr>
        <w:ind w:firstLine="482" w:firstLineChars="200"/>
        <w:outlineLvl w:val="9"/>
        <w:rPr>
          <w:b/>
          <w:sz w:val="24"/>
        </w:rPr>
      </w:pPr>
    </w:p>
    <w:p>
      <w:pPr>
        <w:ind w:firstLine="480" w:firstLineChars="200"/>
        <w:outlineLvl w:val="9"/>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pPr>
        <w:jc w:val="left"/>
        <w:outlineLvl w:val="9"/>
        <w:rPr>
          <w:rFonts w:ascii="黑体" w:hAnsi="宋体" w:eastAsia="黑体"/>
          <w:bCs/>
          <w:kern w:val="0"/>
          <w:sz w:val="24"/>
          <w:szCs w:val="32"/>
        </w:rPr>
      </w:pPr>
    </w:p>
    <w:p>
      <w:pPr>
        <w:ind w:firstLine="420" w:firstLineChars="200"/>
        <w:outlineLvl w:val="9"/>
        <w:rPr>
          <w:rFonts w:ascii="黑体" w:hAnsi="宋体" w:eastAsia="黑体"/>
          <w:bCs/>
          <w:color w:val="FF0000"/>
          <w:kern w:val="0"/>
          <w:szCs w:val="21"/>
        </w:rPr>
      </w:pPr>
      <w:r>
        <w:rPr>
          <w:rFonts w:hint="eastAsia" w:ascii="黑体" w:hAnsi="宋体" w:eastAsia="黑体"/>
          <w:bCs/>
          <w:color w:val="FF0000"/>
          <w:kern w:val="0"/>
          <w:szCs w:val="21"/>
        </w:rPr>
        <w:t>填写指引：</w:t>
      </w:r>
    </w:p>
    <w:p>
      <w:pPr>
        <w:ind w:firstLine="420" w:firstLineChars="200"/>
        <w:outlineLvl w:val="9"/>
        <w:rPr>
          <w:rFonts w:ascii="黑体" w:hAnsi="黑体" w:eastAsia="黑体"/>
          <w:color w:val="FF000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pPr>
        <w:ind w:firstLine="420" w:firstLineChars="200"/>
        <w:outlineLvl w:val="9"/>
        <w:rPr>
          <w:rFonts w:ascii="黑体" w:hAnsi="黑体" w:eastAsia="黑体"/>
          <w:color w:val="FF0000"/>
          <w:szCs w:val="21"/>
        </w:rPr>
      </w:pPr>
      <w:r>
        <w:rPr>
          <w:rFonts w:hint="eastAsia" w:ascii="黑体" w:hAnsi="黑体" w:eastAsia="黑体"/>
          <w:color w:val="FF0000"/>
          <w:szCs w:val="21"/>
        </w:rPr>
        <w:t>2、该部分内容填写需要参考的相关文件：</w:t>
      </w:r>
    </w:p>
    <w:p>
      <w:pPr>
        <w:ind w:firstLine="420" w:firstLineChars="200"/>
        <w:outlineLvl w:val="9"/>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pPr>
        <w:ind w:firstLine="420" w:firstLineChars="200"/>
        <w:outlineLvl w:val="9"/>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35"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 号</w:t>
      </w:r>
      <w:bookmarkEnd w:id="35"/>
      <w:r>
        <w:rPr>
          <w:rFonts w:hint="eastAsia" w:ascii="黑体" w:hAnsi="黑体" w:eastAsia="黑体"/>
          <w:color w:val="FF0000"/>
          <w:szCs w:val="21"/>
        </w:rPr>
        <w:t>，以下简称3</w:t>
      </w:r>
      <w:r>
        <w:rPr>
          <w:rFonts w:ascii="黑体" w:hAnsi="黑体" w:eastAsia="黑体"/>
          <w:color w:val="FF0000"/>
          <w:szCs w:val="21"/>
        </w:rPr>
        <w:t>00</w:t>
      </w:r>
      <w:r>
        <w:rPr>
          <w:rFonts w:hint="eastAsia" w:ascii="黑体" w:hAnsi="黑体" w:eastAsia="黑体"/>
          <w:color w:val="FF0000"/>
          <w:szCs w:val="21"/>
        </w:rPr>
        <w:t>号文）</w:t>
      </w:r>
    </w:p>
    <w:p>
      <w:pPr>
        <w:ind w:firstLine="420" w:firstLineChars="200"/>
        <w:outlineLvl w:val="9"/>
        <w:rPr>
          <w:rFonts w:ascii="黑体" w:hAnsi="黑体" w:eastAsia="黑体"/>
          <w:color w:val="FF0000"/>
          <w:szCs w:val="21"/>
        </w:rPr>
      </w:pPr>
      <w:r>
        <w:rPr>
          <w:rFonts w:hint="eastAsia" w:ascii="黑体" w:hAnsi="黑体" w:eastAsia="黑体"/>
          <w:color w:val="FF0000"/>
          <w:szCs w:val="21"/>
        </w:rPr>
        <w:t>(3)《统计上大中小微型企业划分办法(2017)》（国统字〔2017〕213 号）</w:t>
      </w:r>
    </w:p>
    <w:p>
      <w:pPr>
        <w:ind w:firstLine="420" w:firstLineChars="200"/>
        <w:outlineLvl w:val="9"/>
        <w:rPr>
          <w:rFonts w:ascii="黑体" w:hAnsi="黑体" w:eastAsia="黑体"/>
          <w:color w:val="FF0000"/>
          <w:szCs w:val="21"/>
        </w:rPr>
      </w:pPr>
      <w:r>
        <w:rPr>
          <w:rFonts w:hint="eastAsia" w:ascii="黑体" w:hAnsi="黑体" w:eastAsia="黑体"/>
          <w:color w:val="FF0000"/>
          <w:szCs w:val="21"/>
        </w:rPr>
        <w:t>(4)《关于促进残疾人就业政府采购政策的通知》（财库〔2017〕141号）</w:t>
      </w:r>
    </w:p>
    <w:p>
      <w:pPr>
        <w:ind w:firstLine="420" w:firstLineChars="200"/>
        <w:outlineLvl w:val="9"/>
        <w:rPr>
          <w:rFonts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pPr>
        <w:ind w:firstLine="420" w:firstLineChars="200"/>
        <w:outlineLvl w:val="9"/>
        <w:rPr>
          <w:rFonts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pPr>
        <w:ind w:firstLine="420" w:firstLineChars="200"/>
        <w:outlineLvl w:val="9"/>
        <w:rPr>
          <w:rFonts w:ascii="黑体" w:hAnsi="宋体" w:eastAsia="黑体"/>
          <w:bCs/>
          <w:color w:val="FF0000"/>
          <w:kern w:val="0"/>
          <w:szCs w:val="21"/>
        </w:rPr>
      </w:pPr>
      <w:r>
        <w:rPr>
          <w:rFonts w:hint="eastAsia" w:ascii="黑体" w:hAnsi="宋体" w:eastAsia="黑体"/>
          <w:bCs/>
          <w:color w:val="FF0000"/>
          <w:kern w:val="0"/>
          <w:szCs w:val="21"/>
        </w:rPr>
        <w:t>4、声明函具体填写要求：</w:t>
      </w:r>
    </w:p>
    <w:p>
      <w:pPr>
        <w:ind w:firstLine="420" w:firstLineChars="200"/>
        <w:outlineLvl w:val="9"/>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pPr>
        <w:ind w:firstLine="420" w:firstLineChars="200"/>
        <w:outlineLvl w:val="9"/>
        <w:rPr>
          <w:rFonts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pPr>
        <w:ind w:firstLine="420" w:firstLineChars="200"/>
        <w:outlineLvl w:val="9"/>
        <w:rPr>
          <w:rFonts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第二处，在“项目名称”下划线处如实填写采购项目名称；</w:t>
      </w:r>
    </w:p>
    <w:p>
      <w:pPr>
        <w:ind w:firstLine="420" w:firstLineChars="200"/>
        <w:outlineLvl w:val="9"/>
        <w:rPr>
          <w:rFonts w:ascii="黑体" w:hAnsi="宋体" w:eastAsia="黑体"/>
          <w:bCs/>
          <w:color w:val="FF0000"/>
          <w:kern w:val="0"/>
          <w:szCs w:val="21"/>
        </w:rPr>
      </w:pPr>
      <w:r>
        <w:rPr>
          <w:rFonts w:hint="eastAsia" w:ascii="黑体" w:hAnsi="宋体" w:eastAsia="黑体"/>
          <w:bCs/>
          <w:color w:val="FF0000"/>
          <w:kern w:val="0"/>
          <w:szCs w:val="21"/>
        </w:rPr>
        <w:t>第三处，在“标的名称”下划线处填写所采购服务（标的）的具体名称（以招标文件第一册第三章用户需求书“服务需求明细”的“服务需求名称”一栏为准）；如果涉及多项服务（标的）为同一企业制造，“标的名称”下划线处可以如实填写多项服务；</w:t>
      </w:r>
    </w:p>
    <w:p>
      <w:pPr>
        <w:ind w:firstLine="420" w:firstLineChars="200"/>
        <w:outlineLvl w:val="9"/>
        <w:rPr>
          <w:rFonts w:ascii="黑体" w:hAnsi="宋体" w:eastAsia="黑体"/>
          <w:bCs/>
          <w:color w:val="FF0000"/>
          <w:kern w:val="0"/>
          <w:szCs w:val="21"/>
        </w:rPr>
      </w:pPr>
      <w:r>
        <w:rPr>
          <w:rFonts w:hint="eastAsia" w:ascii="黑体" w:hAnsi="宋体" w:eastAsia="黑体"/>
          <w:bCs/>
          <w:color w:val="FF0000"/>
          <w:kern w:val="0"/>
          <w:szCs w:val="21"/>
        </w:rPr>
        <w:t>第四处，在“招标文件中明确的所属行业”下划线处填写采购标的对应的中小企业划分标准所属行业（所属行业可在招标文件第一册第二章“对通用条款的补充内容及其他关键信息”章节查看）；</w:t>
      </w:r>
    </w:p>
    <w:p>
      <w:pPr>
        <w:ind w:firstLine="420" w:firstLineChars="200"/>
        <w:outlineLvl w:val="9"/>
        <w:rPr>
          <w:rFonts w:hint="eastAsia" w:ascii="黑体" w:hAnsi="宋体" w:eastAsia="黑体"/>
          <w:bCs/>
          <w:color w:val="FF0000"/>
          <w:kern w:val="0"/>
          <w:szCs w:val="21"/>
          <w:lang w:eastAsia="zh-CN"/>
        </w:rPr>
      </w:pPr>
      <w:r>
        <w:rPr>
          <w:rFonts w:hint="eastAsia" w:ascii="黑体" w:hAnsi="宋体" w:eastAsia="黑体"/>
          <w:bCs/>
          <w:color w:val="FF0000"/>
          <w:kern w:val="0"/>
          <w:szCs w:val="21"/>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w:t>
      </w:r>
      <w:r>
        <w:rPr>
          <w:rFonts w:hint="eastAsia" w:ascii="黑体" w:hAnsi="宋体" w:eastAsia="黑体"/>
          <w:bCs/>
          <w:color w:val="FF0000"/>
          <w:kern w:val="0"/>
          <w:szCs w:val="21"/>
          <w:lang w:val="en-US" w:eastAsia="zh-CN"/>
        </w:rPr>
        <w:t>供应商</w:t>
      </w:r>
      <w:r>
        <w:rPr>
          <w:rFonts w:hint="eastAsia" w:ascii="黑体" w:hAnsi="宋体" w:eastAsia="黑体"/>
          <w:bCs/>
          <w:color w:val="FF0000"/>
          <w:kern w:val="0"/>
          <w:szCs w:val="21"/>
        </w:rPr>
        <w:t>所属行业应当与招标文件要求的行业相一致，供应商如有疑问，可根据《国民经济行业分类》（GB/T 4754-2017），结合《关于印发中小企业划型标准规定的通知》（工信部联企业〔2011〕300号）进行判断。事业单位、社会组织等非企业主体不享受中小企业扶持政策</w:t>
      </w:r>
      <w:r>
        <w:rPr>
          <w:rFonts w:hint="eastAsia" w:ascii="黑体" w:hAnsi="宋体" w:eastAsia="黑体"/>
          <w:bCs/>
          <w:color w:val="FF0000"/>
          <w:kern w:val="0"/>
          <w:szCs w:val="21"/>
          <w:lang w:eastAsia="zh-CN"/>
        </w:rPr>
        <w:t>。</w:t>
      </w:r>
    </w:p>
    <w:p>
      <w:pPr>
        <w:ind w:firstLine="420" w:firstLineChars="200"/>
        <w:outlineLvl w:val="9"/>
        <w:rPr>
          <w:rFonts w:ascii="黑体" w:hAnsi="宋体" w:eastAsia="黑体"/>
          <w:bCs/>
          <w:color w:val="FF0000"/>
          <w:kern w:val="0"/>
          <w:szCs w:val="21"/>
        </w:rPr>
      </w:pPr>
      <w:r>
        <w:rPr>
          <w:rFonts w:hint="eastAsia" w:ascii="黑体" w:hAnsi="宋体" w:eastAsia="黑体"/>
          <w:bCs/>
          <w:color w:val="FF0000"/>
          <w:kern w:val="0"/>
          <w:szCs w:val="21"/>
        </w:rPr>
        <w:t>（2）声明是残疾人福利性单位须填写《残疾人福利性单位声明函》的相关内容，具体参照以上《中小企业声明函》填写要求执行。</w:t>
      </w:r>
    </w:p>
    <w:p>
      <w:pPr>
        <w:ind w:firstLine="420" w:firstLineChars="200"/>
        <w:outlineLvl w:val="9"/>
        <w:rPr>
          <w:rFonts w:ascii="黑体" w:hAnsi="宋体" w:eastAsia="黑体"/>
          <w:bCs/>
          <w:color w:val="FF0000"/>
          <w:kern w:val="0"/>
          <w:szCs w:val="21"/>
        </w:rPr>
      </w:pPr>
      <w:r>
        <w:rPr>
          <w:rFonts w:hint="eastAsia" w:ascii="黑体" w:hAnsi="宋体" w:eastAsia="黑体"/>
          <w:bCs/>
          <w:color w:val="FF0000"/>
          <w:kern w:val="0"/>
          <w:szCs w:val="21"/>
        </w:rPr>
        <w:t>（3）声明是监狱企业须填写《监狱企业声明函》的三项内容（填写位置的字体已加粗），具体参照以上《中小企业声明函》填写要求执行。</w:t>
      </w:r>
    </w:p>
    <w:p>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ind w:firstLine="420" w:firstLineChars="200"/>
        <w:outlineLvl w:val="9"/>
        <w:rPr>
          <w:rFonts w:hint="default" w:ascii="黑体" w:hAnsi="宋体" w:eastAsia="黑体"/>
          <w:bCs/>
          <w:color w:val="FF0000"/>
          <w:kern w:val="0"/>
          <w:szCs w:val="21"/>
          <w:lang w:val="en-US" w:eastAsia="zh-CN"/>
        </w:rPr>
      </w:pPr>
      <w:r>
        <w:rPr>
          <w:rFonts w:hint="eastAsia" w:ascii="黑体" w:hAnsi="宋体" w:eastAsia="黑体"/>
          <w:bCs/>
          <w:color w:val="FF0000"/>
          <w:kern w:val="0"/>
          <w:szCs w:val="21"/>
          <w:lang w:val="en-US" w:eastAsia="zh-CN"/>
        </w:rPr>
        <w:t>6、本项目属于服务类项目，相关服务的承接商应当为中小企业或残疾人福利性单位或监狱企业，如包含硬件设备、产品等货物采购的，不再对其中涉及的货物的制造商作出要求。</w:t>
      </w:r>
    </w:p>
    <w:p>
      <w:pPr>
        <w:ind w:firstLine="420" w:firstLineChars="200"/>
        <w:outlineLvl w:val="9"/>
      </w:pPr>
    </w:p>
    <w:p>
      <w:pPr>
        <w:numPr>
          <w:ilvl w:val="0"/>
          <w:numId w:val="8"/>
        </w:numPr>
        <w:jc w:val="center"/>
        <w:outlineLvl w:val="9"/>
        <w:rPr>
          <w:b/>
          <w:sz w:val="24"/>
        </w:rPr>
      </w:pPr>
      <w:r>
        <w:rPr>
          <w:b/>
          <w:sz w:val="24"/>
        </w:rPr>
        <w:t>中小企业声明函（</w:t>
      </w:r>
      <w:r>
        <w:rPr>
          <w:rFonts w:hint="eastAsia"/>
          <w:b/>
          <w:sz w:val="24"/>
        </w:rPr>
        <w:t>服务</w:t>
      </w:r>
      <w:r>
        <w:rPr>
          <w:b/>
          <w:sz w:val="24"/>
        </w:rPr>
        <w:t>）</w:t>
      </w:r>
    </w:p>
    <w:p>
      <w:pPr>
        <w:pStyle w:val="2"/>
        <w:numPr>
          <w:ilvl w:val="0"/>
          <w:numId w:val="0"/>
        </w:numPr>
        <w:outlineLvl w:val="9"/>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采购活动，工程全部由符合政策要求的中小企业承接。相关企业（含联合体中的中小企业、签订分包意向协议的中小企业）的具体情况如下：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（标的名称）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（采购文件中明确的所属行业）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行业</w:t>
      </w:r>
      <w:r>
        <w:rPr>
          <w:rFonts w:hint="eastAsia" w:asciiTheme="minorEastAsia" w:hAnsiTheme="minorEastAsia" w:eastAsiaTheme="minorEastAsia" w:cstheme="minorEastAsia"/>
          <w:kern w:val="2"/>
          <w:sz w:val="21"/>
          <w:szCs w:val="21"/>
          <w:lang w:val="en-US" w:eastAsia="zh-CN" w:bidi="ar-SA"/>
        </w:rPr>
        <w:t>；承接企业为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（企业名称</w:t>
      </w:r>
      <w:r>
        <w:rPr>
          <w:rFonts w:hint="eastAsia" w:asciiTheme="minorEastAsia" w:hAnsiTheme="minorEastAsia" w:eastAsiaTheme="minorEastAsia" w:cstheme="minorEastAsia"/>
          <w:b/>
          <w:bCs/>
          <w:i/>
          <w:iCs/>
          <w:sz w:val="21"/>
          <w:szCs w:val="21"/>
          <w:u w:val="single"/>
          <w:lang w:eastAsia="zh-CN"/>
        </w:rPr>
        <w:t>，要求</w:t>
      </w:r>
      <w:r>
        <w:rPr>
          <w:rFonts w:hint="eastAsia" w:asciiTheme="minorEastAsia" w:hAnsiTheme="minorEastAsia" w:eastAsiaTheme="minorEastAsia" w:cstheme="minorEastAsia"/>
          <w:b/>
          <w:bCs/>
          <w:i/>
          <w:iCs/>
          <w:sz w:val="21"/>
          <w:szCs w:val="21"/>
          <w:u w:val="single"/>
          <w:lang w:val="en-US" w:eastAsia="zh-CN"/>
        </w:rPr>
        <w:t>承接企业本身</w:t>
      </w:r>
      <w:r>
        <w:rPr>
          <w:rFonts w:hint="eastAsia" w:asciiTheme="minorEastAsia" w:hAnsiTheme="minorEastAsia" w:eastAsiaTheme="minorEastAsia" w:cstheme="minorEastAsia"/>
          <w:b/>
          <w:bCs/>
          <w:i/>
          <w:iCs/>
          <w:sz w:val="21"/>
          <w:szCs w:val="21"/>
          <w:u w:val="single"/>
          <w:lang w:eastAsia="zh-CN"/>
        </w:rPr>
        <w:t>所属行业应当与招标文件要求的行业相一致</w:t>
      </w:r>
      <w:r>
        <w:rPr>
          <w:rFonts w:hint="eastAsia" w:asciiTheme="minorEastAsia" w:hAnsiTheme="minorEastAsia" w:eastAsiaTheme="minorEastAsia" w:cstheme="minorEastAsia"/>
          <w:b/>
          <w:bCs/>
          <w:i/>
          <w:iCs/>
          <w:sz w:val="21"/>
          <w:szCs w:val="21"/>
          <w:u w:val="single"/>
        </w:rPr>
        <w:t>）</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，从业人员</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人，营业收入为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万元，资产总额为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（中型企业、小型企业、微型企业）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（标的名称）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（采购文件中明确的所属行业）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行业</w:t>
      </w:r>
      <w:r>
        <w:rPr>
          <w:rFonts w:hint="eastAsia" w:asciiTheme="minorEastAsia" w:hAnsiTheme="minorEastAsia" w:eastAsiaTheme="minorEastAsia" w:cstheme="minorEastAsia"/>
          <w:kern w:val="2"/>
          <w:sz w:val="21"/>
          <w:szCs w:val="21"/>
          <w:lang w:val="en-US" w:eastAsia="zh-CN" w:bidi="ar-SA"/>
        </w:rPr>
        <w:t>；承接企业为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（企业名称</w:t>
      </w:r>
      <w:r>
        <w:rPr>
          <w:rFonts w:hint="eastAsia" w:asciiTheme="minorEastAsia" w:hAnsiTheme="minorEastAsia" w:eastAsiaTheme="minorEastAsia" w:cstheme="minorEastAsia"/>
          <w:b/>
          <w:bCs/>
          <w:i/>
          <w:iCs/>
          <w:sz w:val="21"/>
          <w:szCs w:val="21"/>
          <w:u w:val="single"/>
          <w:lang w:eastAsia="zh-CN"/>
        </w:rPr>
        <w:t>，要求</w:t>
      </w:r>
      <w:r>
        <w:rPr>
          <w:rFonts w:hint="eastAsia" w:asciiTheme="minorEastAsia" w:hAnsiTheme="minorEastAsia" w:eastAsiaTheme="minorEastAsia" w:cstheme="minorEastAsia"/>
          <w:b/>
          <w:bCs/>
          <w:i/>
          <w:iCs/>
          <w:sz w:val="21"/>
          <w:szCs w:val="21"/>
          <w:u w:val="single"/>
          <w:lang w:val="en-US" w:eastAsia="zh-CN"/>
        </w:rPr>
        <w:t>承接企业本身</w:t>
      </w:r>
      <w:r>
        <w:rPr>
          <w:rFonts w:hint="eastAsia" w:asciiTheme="minorEastAsia" w:hAnsiTheme="minorEastAsia" w:eastAsiaTheme="minorEastAsia" w:cstheme="minorEastAsia"/>
          <w:b/>
          <w:bCs/>
          <w:i/>
          <w:iCs/>
          <w:sz w:val="21"/>
          <w:szCs w:val="21"/>
          <w:u w:val="single"/>
          <w:lang w:eastAsia="zh-CN"/>
        </w:rPr>
        <w:t>所属行业应当与招标文件要求的行业相一致</w:t>
      </w:r>
      <w:r>
        <w:rPr>
          <w:rFonts w:hint="eastAsia" w:asciiTheme="minorEastAsia" w:hAnsiTheme="minorEastAsia" w:eastAsiaTheme="minorEastAsia" w:cstheme="minorEastAsia"/>
          <w:b/>
          <w:bCs/>
          <w:i/>
          <w:iCs/>
          <w:sz w:val="21"/>
          <w:szCs w:val="21"/>
          <w:u w:val="single"/>
        </w:rPr>
        <w:t>）</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，从业人员</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人，营业收入为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万元，资产总额为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（中型企业、小型企业、微型企业）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bookmarkStart w:id="36" w:name="_Hlk73562275"/>
      <w:r>
        <w:rPr>
          <w:rFonts w:hint="eastAsia" w:asciiTheme="minorEastAsia" w:hAnsiTheme="minorEastAsia" w:eastAsiaTheme="minorEastAsia" w:cstheme="minorEastAsia"/>
          <w:kern w:val="2"/>
          <w:sz w:val="21"/>
          <w:szCs w:val="21"/>
          <w:lang w:val="en-US" w:eastAsia="zh-CN" w:bidi="ar-SA"/>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36"/>
    </w:p>
    <w:p>
      <w:pPr>
        <w:ind w:firstLine="420" w:firstLineChars="200"/>
        <w:outlineLvl w:val="9"/>
      </w:pPr>
    </w:p>
    <w:p>
      <w:pPr>
        <w:jc w:val="center"/>
        <w:outlineLvl w:val="9"/>
        <w:rPr>
          <w:b/>
          <w:sz w:val="24"/>
        </w:rPr>
      </w:pPr>
      <w:r>
        <w:rPr>
          <w:rFonts w:hint="eastAsia"/>
          <w:b/>
          <w:sz w:val="24"/>
        </w:rPr>
        <w:t>2、残疾人福利性单位声明函</w:t>
      </w:r>
      <w:r>
        <w:rPr>
          <w:rFonts w:hint="eastAsia"/>
          <w:b/>
          <w:sz w:val="24"/>
          <w:lang w:eastAsia="zh-CN"/>
        </w:rPr>
        <w:t>（</w:t>
      </w:r>
      <w:r>
        <w:rPr>
          <w:rFonts w:hint="eastAsia"/>
          <w:b/>
          <w:sz w:val="24"/>
          <w:lang w:val="en-US" w:eastAsia="zh-CN"/>
        </w:rPr>
        <w:t>工程</w:t>
      </w:r>
      <w:r>
        <w:rPr>
          <w:rFonts w:hint="eastAsia"/>
          <w:b/>
          <w:sz w:val="24"/>
        </w:rPr>
        <w:t>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单位的</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项目采购活动由本单位提供工程服务。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本投标人已知悉《财政部民政部中国残疾人联合会关于促进残疾人就业政府采购政策的通知》（财库〔2017〕141号）的规定，承诺提供的声明函内容是真实的，如提供声明函内容不实，则依法追究相关法律责任。</w:t>
      </w:r>
    </w:p>
    <w:p>
      <w:pPr>
        <w:ind w:firstLine="420" w:firstLineChars="200"/>
        <w:outlineLvl w:val="9"/>
        <w:rPr>
          <w:rFonts w:ascii="宋体" w:hAnsi="宋体"/>
          <w:szCs w:val="21"/>
        </w:rPr>
      </w:pPr>
    </w:p>
    <w:p>
      <w:pPr>
        <w:ind w:firstLine="420" w:firstLineChars="200"/>
        <w:outlineLvl w:val="9"/>
        <w:rPr>
          <w:rFonts w:ascii="宋体" w:hAnsi="宋体"/>
          <w:szCs w:val="21"/>
        </w:rPr>
      </w:pPr>
    </w:p>
    <w:p>
      <w:pPr>
        <w:ind w:firstLine="420" w:firstLineChars="200"/>
        <w:outlineLvl w:val="9"/>
        <w:rPr>
          <w:rFonts w:ascii="宋体" w:hAnsi="宋体"/>
          <w:szCs w:val="21"/>
        </w:rPr>
      </w:pPr>
    </w:p>
    <w:p>
      <w:pPr>
        <w:jc w:val="center"/>
        <w:outlineLvl w:val="9"/>
        <w:rPr>
          <w:b/>
          <w:sz w:val="24"/>
        </w:rPr>
      </w:pPr>
      <w:r>
        <w:rPr>
          <w:rFonts w:hint="eastAsia"/>
          <w:b/>
          <w:sz w:val="24"/>
        </w:rPr>
        <w:t>3、监狱企业声明函【</w:t>
      </w:r>
      <w:r>
        <w:rPr>
          <w:rFonts w:hint="eastAsia"/>
          <w:b/>
          <w:sz w:val="24"/>
          <w:lang w:val="en-US" w:eastAsia="zh-CN"/>
        </w:rPr>
        <w:t>工程</w:t>
      </w:r>
      <w:r>
        <w:rPr>
          <w:rFonts w:hint="eastAsia"/>
          <w:b/>
          <w:sz w:val="24"/>
        </w:rPr>
        <w:t>类，监狱企业如需享受优惠政策，还须另行提供省级以上监狱管理局、戒毒管理局（含新疆生产建设兵团）出具的监狱企业证明文件】</w:t>
      </w:r>
    </w:p>
    <w:p>
      <w:pPr>
        <w:ind w:firstLine="420" w:firstLineChars="200"/>
        <w:outlineLvl w:val="9"/>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lang w:val="en-US" w:eastAsia="zh-CN"/>
        </w:rPr>
        <w:t>工程</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pPr>
        <w:ind w:firstLine="420" w:firstLineChars="200"/>
        <w:outlineLvl w:val="9"/>
        <w:rPr>
          <w:rFonts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pPr>
        <w:ind w:firstLine="420" w:firstLineChars="200"/>
        <w:outlineLvl w:val="9"/>
        <w:rPr>
          <w:rFonts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pPr>
        <w:ind w:firstLine="420" w:firstLineChars="200"/>
        <w:outlineLvl w:val="9"/>
        <w:rPr>
          <w:rFonts w:ascii="宋体" w:hAnsi="宋体"/>
          <w:szCs w:val="21"/>
        </w:rPr>
      </w:pPr>
      <w:r>
        <w:rPr>
          <w:rFonts w:ascii="宋体" w:hAnsi="宋体"/>
          <w:szCs w:val="21"/>
        </w:rPr>
        <w:t xml:space="preserve">…… </w:t>
      </w:r>
    </w:p>
    <w:p>
      <w:pPr>
        <w:ind w:firstLine="420" w:firstLineChars="200"/>
        <w:outlineLvl w:val="9"/>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pPr>
        <w:ind w:firstLine="420" w:firstLineChars="200"/>
        <w:outlineLvl w:val="9"/>
        <w:rPr>
          <w:rFonts w:ascii="宋体" w:hAnsi="宋体"/>
          <w:szCs w:val="21"/>
        </w:rPr>
      </w:pPr>
      <w:r>
        <w:rPr>
          <w:rFonts w:hint="eastAsia" w:ascii="宋体" w:hAnsi="宋体"/>
          <w:szCs w:val="21"/>
        </w:rPr>
        <w:t>附：省级以上监狱管理局、戒毒管理局（含新疆生产建设兵团）出具的监狱企业证明文件。</w:t>
      </w:r>
    </w:p>
    <w:p>
      <w:pPr>
        <w:ind w:left="723" w:hanging="723" w:hangingChars="300"/>
        <w:rPr>
          <w:b/>
          <w:sz w:val="24"/>
        </w:rPr>
      </w:pPr>
    </w:p>
    <w:p>
      <w:pPr>
        <w:ind w:left="723" w:hanging="723" w:hangingChars="300"/>
        <w:rPr>
          <w:b/>
          <w:sz w:val="24"/>
        </w:rPr>
      </w:pPr>
    </w:p>
    <w:p>
      <w:pPr>
        <w:numPr>
          <w:ilvl w:val="0"/>
          <w:numId w:val="0"/>
        </w:numPr>
        <w:tabs>
          <w:tab w:val="left" w:pos="360"/>
        </w:tabs>
        <w:spacing w:before="120" w:after="120"/>
        <w:ind w:left="480" w:firstLine="0" w:firstLineChars="0"/>
        <w:jc w:val="center"/>
        <w:outlineLvl w:val="2"/>
        <w:rPr>
          <w:rFonts w:ascii="黑体" w:hAnsi="宋体" w:eastAsia="黑体"/>
          <w:sz w:val="24"/>
          <w:szCs w:val="32"/>
        </w:rPr>
      </w:pPr>
      <w:bookmarkStart w:id="37" w:name="_Toc59916724"/>
      <w:r>
        <w:rPr>
          <w:rFonts w:hint="eastAsia" w:ascii="黑体" w:hAnsi="宋体" w:eastAsia="黑体"/>
          <w:sz w:val="24"/>
          <w:szCs w:val="32"/>
        </w:rPr>
        <w:t>四、</w:t>
      </w:r>
      <w:bookmarkEnd w:id="37"/>
      <w:r>
        <w:rPr>
          <w:rFonts w:hint="eastAsia" w:ascii="黑体" w:hAnsi="宋体" w:eastAsia="黑体"/>
          <w:sz w:val="24"/>
          <w:szCs w:val="32"/>
        </w:rPr>
        <w:t>工程量清单报价</w:t>
      </w:r>
    </w:p>
    <w:p>
      <w:pPr>
        <w:spacing w:before="0" w:after="0" w:line="240" w:lineRule="auto"/>
        <w:jc w:val="left"/>
        <w:outlineLvl w:val="9"/>
        <w:rPr>
          <w:rFonts w:ascii="宋体" w:hAnsi="宋体" w:eastAsia="宋体"/>
          <w:sz w:val="21"/>
          <w:szCs w:val="21"/>
        </w:rPr>
      </w:pPr>
      <w:r>
        <w:rPr>
          <w:rFonts w:ascii="宋体" w:hAnsi="宋体" w:eastAsia="宋体"/>
          <w:sz w:val="21"/>
          <w:szCs w:val="21"/>
        </w:rPr>
        <w:t>4</w:t>
      </w:r>
      <w:r>
        <w:rPr>
          <w:rFonts w:hint="eastAsia" w:ascii="宋体" w:hAnsi="宋体" w:eastAsia="宋体"/>
          <w:sz w:val="21"/>
          <w:szCs w:val="21"/>
        </w:rPr>
        <w:t>-1项目总价表</w:t>
      </w:r>
    </w:p>
    <w:tbl>
      <w:tblPr>
        <w:tblStyle w:val="4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2"/>
        <w:gridCol w:w="2511"/>
        <w:gridCol w:w="1551"/>
        <w:gridCol w:w="1482"/>
        <w:gridCol w:w="1240"/>
        <w:gridCol w:w="9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5000" w:type="pct"/>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Times New Roman"/>
                <w:b/>
                <w:bCs/>
                <w:kern w:val="2"/>
                <w:sz w:val="21"/>
                <w:szCs w:val="21"/>
                <w:lang w:val="en-US" w:eastAsia="zh-CN" w:bidi="ar-SA"/>
              </w:rPr>
              <w:t>（一）</w:t>
            </w:r>
            <w:r>
              <w:rPr>
                <w:rFonts w:hint="eastAsia" w:ascii="宋体" w:hAnsi="宋体" w:eastAsia="宋体"/>
                <w:sz w:val="21"/>
                <w:szCs w:val="21"/>
              </w:rPr>
              <w:t>项目总价表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3697" w:type="pct"/>
            <w:gridSpan w:val="4"/>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工程名称:市体育中心周边无障碍环境提升建设工程项目</w:t>
            </w:r>
          </w:p>
        </w:tc>
        <w:tc>
          <w:tcPr>
            <w:tcW w:w="1302" w:type="pct"/>
            <w:gridSpan w:val="2"/>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47" w:type="pct"/>
            <w:vMerge w:val="restar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72"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单位工程名称</w:t>
            </w:r>
          </w:p>
        </w:tc>
        <w:tc>
          <w:tcPr>
            <w:tcW w:w="909" w:type="pct"/>
            <w:vMerge w:val="restar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c>
          <w:tcPr>
            <w:tcW w:w="2170" w:type="pct"/>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2"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20"/>
                <w:szCs w:val="20"/>
                <w:u w:val="none"/>
              </w:rPr>
            </w:pPr>
          </w:p>
        </w:tc>
        <w:tc>
          <w:tcPr>
            <w:tcW w:w="1472"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909" w:type="pct"/>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20"/>
                <w:szCs w:val="20"/>
                <w:u w:val="none"/>
              </w:rPr>
            </w:pPr>
          </w:p>
        </w:tc>
        <w:tc>
          <w:tcPr>
            <w:tcW w:w="86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暂估价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72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施工措施费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575"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44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7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市体育中心周边无障碍环境提升建设工程项目</w:t>
            </w:r>
          </w:p>
        </w:tc>
        <w:tc>
          <w:tcPr>
            <w:tcW w:w="90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86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72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50824.44</w:t>
            </w:r>
          </w:p>
        </w:tc>
        <w:tc>
          <w:tcPr>
            <w:tcW w:w="57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9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50824.44</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注：本表适用于单项工程招标控制价或投标价的汇总。</w:t>
            </w:r>
          </w:p>
        </w:tc>
      </w:tr>
    </w:tbl>
    <w:p>
      <w:pPr>
        <w:spacing w:before="0" w:after="0" w:line="240" w:lineRule="auto"/>
        <w:jc w:val="left"/>
        <w:outlineLvl w:val="9"/>
        <w:rPr>
          <w:rFonts w:ascii="宋体" w:hAnsi="宋体" w:eastAsia="宋体"/>
          <w:sz w:val="21"/>
          <w:szCs w:val="21"/>
        </w:rPr>
      </w:pPr>
    </w:p>
    <w:p>
      <w:pPr>
        <w:spacing w:before="0" w:after="0" w:line="240" w:lineRule="auto"/>
        <w:jc w:val="left"/>
        <w:outlineLvl w:val="9"/>
        <w:rPr>
          <w:rFonts w:ascii="宋体" w:hAnsi="宋体" w:eastAsia="宋体"/>
          <w:sz w:val="21"/>
          <w:szCs w:val="21"/>
        </w:rPr>
      </w:pPr>
    </w:p>
    <w:p>
      <w:pPr>
        <w:spacing w:before="0" w:after="0" w:line="240" w:lineRule="auto"/>
        <w:jc w:val="left"/>
        <w:outlineLvl w:val="9"/>
        <w:rPr>
          <w:rFonts w:ascii="宋体" w:hAnsi="宋体" w:eastAsia="宋体"/>
          <w:sz w:val="21"/>
          <w:szCs w:val="21"/>
        </w:rPr>
      </w:pPr>
      <w:r>
        <w:rPr>
          <w:rFonts w:ascii="宋体" w:hAnsi="宋体" w:eastAsia="宋体"/>
          <w:sz w:val="21"/>
          <w:szCs w:val="21"/>
        </w:rPr>
        <w:t>4</w:t>
      </w:r>
      <w:r>
        <w:rPr>
          <w:rFonts w:hint="eastAsia" w:ascii="宋体" w:hAnsi="宋体" w:eastAsia="宋体"/>
          <w:sz w:val="21"/>
          <w:szCs w:val="21"/>
        </w:rPr>
        <w:t>-2单项工程费汇总表</w:t>
      </w:r>
    </w:p>
    <w:tbl>
      <w:tblPr>
        <w:tblStyle w:val="4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7"/>
        <w:gridCol w:w="2722"/>
        <w:gridCol w:w="2480"/>
        <w:gridCol w:w="1029"/>
        <w:gridCol w:w="1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单位工程投标报价汇总表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2063" w:type="pct"/>
            <w:gridSpan w:val="2"/>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工程名称:市体育中心周边无障碍环境提升建设工程项目</w:t>
            </w:r>
          </w:p>
        </w:tc>
        <w:tc>
          <w:tcPr>
            <w:tcW w:w="1454" w:type="pct"/>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标段：</w:t>
            </w:r>
          </w:p>
        </w:tc>
        <w:tc>
          <w:tcPr>
            <w:tcW w:w="1482" w:type="pct"/>
            <w:gridSpan w:val="2"/>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46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 号</w:t>
            </w:r>
          </w:p>
        </w:tc>
        <w:tc>
          <w:tcPr>
            <w:tcW w:w="3050"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 总 内 容</w:t>
            </w:r>
          </w:p>
        </w:tc>
        <w:tc>
          <w:tcPr>
            <w:tcW w:w="60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c>
          <w:tcPr>
            <w:tcW w:w="87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其中：材料设备暂估价(元)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6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50"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分部分项工程费</w:t>
            </w:r>
          </w:p>
        </w:tc>
        <w:tc>
          <w:tcPr>
            <w:tcW w:w="60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6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050"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一、斜坡工程</w:t>
            </w:r>
          </w:p>
        </w:tc>
        <w:tc>
          <w:tcPr>
            <w:tcW w:w="60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6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050"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二、拆叠式与椽胶式成品斜坡</w:t>
            </w:r>
          </w:p>
        </w:tc>
        <w:tc>
          <w:tcPr>
            <w:tcW w:w="60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46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050"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三、公园出入口、公厕门口、、长安花囝、3个党群服务中心门槛落差与道路路桩清除</w:t>
            </w:r>
          </w:p>
        </w:tc>
        <w:tc>
          <w:tcPr>
            <w:tcW w:w="60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6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050"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四、无障碍公厕维修更换</w:t>
            </w:r>
          </w:p>
        </w:tc>
        <w:tc>
          <w:tcPr>
            <w:tcW w:w="60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6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050"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五、地铁出入口台阶无障碍提升及指引标识项目</w:t>
            </w:r>
          </w:p>
        </w:tc>
        <w:tc>
          <w:tcPr>
            <w:tcW w:w="60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6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050"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六、无障碍升降电梯</w:t>
            </w:r>
          </w:p>
        </w:tc>
        <w:tc>
          <w:tcPr>
            <w:tcW w:w="60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6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050"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七、无障碍综合服务亭</w:t>
            </w:r>
          </w:p>
        </w:tc>
        <w:tc>
          <w:tcPr>
            <w:tcW w:w="60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6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50"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措施项目费</w:t>
            </w:r>
          </w:p>
        </w:tc>
        <w:tc>
          <w:tcPr>
            <w:tcW w:w="60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6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050"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其中：混凝土、钢筋混凝土模板及支架费</w:t>
            </w:r>
          </w:p>
        </w:tc>
        <w:tc>
          <w:tcPr>
            <w:tcW w:w="60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6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050"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安全文明施工措施费</w:t>
            </w:r>
          </w:p>
        </w:tc>
        <w:tc>
          <w:tcPr>
            <w:tcW w:w="60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6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050"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履约担保手续费、赶工措施费</w:t>
            </w:r>
          </w:p>
        </w:tc>
        <w:tc>
          <w:tcPr>
            <w:tcW w:w="60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6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050"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其它措施项目费</w:t>
            </w:r>
          </w:p>
        </w:tc>
        <w:tc>
          <w:tcPr>
            <w:tcW w:w="60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6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050"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其他项目费</w:t>
            </w:r>
          </w:p>
        </w:tc>
        <w:tc>
          <w:tcPr>
            <w:tcW w:w="60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6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3050"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w:t>
            </w:r>
          </w:p>
        </w:tc>
        <w:tc>
          <w:tcPr>
            <w:tcW w:w="60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6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050"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总承包服务费</w:t>
            </w:r>
          </w:p>
        </w:tc>
        <w:tc>
          <w:tcPr>
            <w:tcW w:w="60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6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050"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发包人供应材料费</w:t>
            </w:r>
          </w:p>
        </w:tc>
        <w:tc>
          <w:tcPr>
            <w:tcW w:w="60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6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050"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规费</w:t>
            </w:r>
          </w:p>
        </w:tc>
        <w:tc>
          <w:tcPr>
            <w:tcW w:w="60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6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050"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不含税建安工程造价</w:t>
            </w:r>
          </w:p>
        </w:tc>
        <w:tc>
          <w:tcPr>
            <w:tcW w:w="60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6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050"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应纳税费</w:t>
            </w:r>
          </w:p>
        </w:tc>
        <w:tc>
          <w:tcPr>
            <w:tcW w:w="60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6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3050"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增值税应纳税额</w:t>
            </w:r>
          </w:p>
        </w:tc>
        <w:tc>
          <w:tcPr>
            <w:tcW w:w="60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6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3050"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城市维护建设税、教育费附加及地方教育费附加</w:t>
            </w:r>
          </w:p>
        </w:tc>
        <w:tc>
          <w:tcPr>
            <w:tcW w:w="60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351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含税建安工程造价=5+6</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注：本表适用于单位工程招标控制价或投标价的汇总，如无单位工程划分，单项工程也使用本表汇总。</w:t>
            </w:r>
          </w:p>
        </w:tc>
      </w:tr>
    </w:tbl>
    <w:p>
      <w:pPr>
        <w:spacing w:before="0" w:after="0" w:line="240" w:lineRule="auto"/>
        <w:jc w:val="left"/>
        <w:outlineLvl w:val="9"/>
        <w:rPr>
          <w:rFonts w:ascii="宋体" w:hAnsi="宋体" w:eastAsia="宋体"/>
          <w:sz w:val="21"/>
          <w:szCs w:val="21"/>
        </w:rPr>
      </w:pPr>
    </w:p>
    <w:p>
      <w:pPr>
        <w:spacing w:before="0" w:after="0" w:line="240" w:lineRule="auto"/>
        <w:jc w:val="left"/>
        <w:outlineLvl w:val="9"/>
        <w:rPr>
          <w:rFonts w:ascii="宋体" w:hAnsi="宋体" w:eastAsia="宋体"/>
          <w:sz w:val="21"/>
          <w:szCs w:val="21"/>
        </w:rPr>
      </w:pPr>
      <w:r>
        <w:rPr>
          <w:rFonts w:ascii="宋体" w:hAnsi="宋体" w:eastAsia="宋体"/>
          <w:sz w:val="21"/>
          <w:szCs w:val="21"/>
        </w:rPr>
        <w:t>4</w:t>
      </w:r>
      <w:r>
        <w:rPr>
          <w:rFonts w:hint="eastAsia" w:ascii="宋体" w:hAnsi="宋体" w:eastAsia="宋体"/>
          <w:sz w:val="21"/>
          <w:szCs w:val="21"/>
        </w:rPr>
        <w:t>-</w:t>
      </w:r>
      <w:r>
        <w:rPr>
          <w:rFonts w:hint="eastAsia" w:ascii="宋体" w:hAnsi="宋体" w:eastAsia="宋体"/>
          <w:sz w:val="21"/>
          <w:szCs w:val="21"/>
          <w:lang w:val="en-US" w:eastAsia="zh-CN"/>
        </w:rPr>
        <w:t>3</w:t>
      </w:r>
      <w:r>
        <w:rPr>
          <w:rFonts w:hint="eastAsia" w:ascii="宋体" w:hAnsi="宋体" w:eastAsia="宋体"/>
          <w:sz w:val="21"/>
          <w:szCs w:val="21"/>
        </w:rPr>
        <w:t>分部分项工程量清单与计价表</w:t>
      </w:r>
    </w:p>
    <w:p>
      <w:pPr>
        <w:spacing w:before="0" w:after="0" w:line="240" w:lineRule="auto"/>
        <w:jc w:val="left"/>
        <w:outlineLvl w:val="9"/>
        <w:rPr>
          <w:rFonts w:ascii="宋体" w:hAnsi="宋体" w:eastAsia="宋体"/>
          <w:sz w:val="21"/>
          <w:szCs w:val="21"/>
        </w:rPr>
      </w:pPr>
    </w:p>
    <w:tbl>
      <w:tblPr>
        <w:tblStyle w:val="4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8"/>
        <w:gridCol w:w="1386"/>
        <w:gridCol w:w="1206"/>
        <w:gridCol w:w="629"/>
        <w:gridCol w:w="1078"/>
        <w:gridCol w:w="471"/>
        <w:gridCol w:w="816"/>
        <w:gridCol w:w="630"/>
        <w:gridCol w:w="799"/>
        <w:gridCol w:w="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5000" w:type="pct"/>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分部分项工程量清单与计价表 </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32"/>
                <w:szCs w:val="32"/>
                <w:u w:val="none"/>
                <w:lang w:val="en-US" w:eastAsia="zh-CN" w:bidi="ar"/>
              </w:rPr>
              <w:t>（适用于工程量清单计价）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2310" w:type="pct"/>
            <w:gridSpan w:val="4"/>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工程名称:市体育中心周边无障碍环境提升建设工程项目</w:t>
            </w:r>
          </w:p>
        </w:tc>
        <w:tc>
          <w:tcPr>
            <w:tcW w:w="1330" w:type="pct"/>
            <w:gridSpan w:val="3"/>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标段：</w:t>
            </w:r>
          </w:p>
        </w:tc>
        <w:tc>
          <w:tcPr>
            <w:tcW w:w="1359" w:type="pct"/>
            <w:gridSpan w:val="3"/>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第1页 共8页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32"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799"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693"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035" w:type="pct"/>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1359" w:type="pct"/>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432"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799"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693"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1035" w:type="pct"/>
            <w:gridSpan w:val="2"/>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20"/>
                <w:szCs w:val="20"/>
                <w:u w:val="none"/>
              </w:rPr>
            </w:pPr>
          </w:p>
        </w:tc>
        <w:tc>
          <w:tcPr>
            <w:tcW w:w="385"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单价</w:t>
            </w:r>
          </w:p>
        </w:tc>
        <w:tc>
          <w:tcPr>
            <w:tcW w:w="485"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48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暂估合价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18"/>
                <w:szCs w:val="18"/>
                <w:u w:val="none"/>
              </w:rPr>
            </w:pP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hint="eastAsia" w:ascii="宋体" w:hAnsi="宋体" w:eastAsia="宋体" w:cs="宋体"/>
                <w:i w:val="0"/>
                <w:iCs w:val="0"/>
                <w:color w:val="000000"/>
                <w:sz w:val="18"/>
                <w:szCs w:val="18"/>
                <w:u w:val="none"/>
              </w:rPr>
            </w:pPr>
          </w:p>
        </w:tc>
        <w:tc>
          <w:tcPr>
            <w:tcW w:w="1728" w:type="pct"/>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一、斜坡工程</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18"/>
                <w:szCs w:val="18"/>
                <w:u w:val="none"/>
              </w:rPr>
            </w:pP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hint="eastAsia" w:ascii="宋体" w:hAnsi="宋体" w:eastAsia="宋体" w:cs="宋体"/>
                <w:i w:val="0"/>
                <w:iCs w:val="0"/>
                <w:color w:val="000000"/>
                <w:sz w:val="18"/>
                <w:szCs w:val="18"/>
                <w:u w:val="none"/>
              </w:rPr>
            </w:pPr>
          </w:p>
        </w:tc>
        <w:tc>
          <w:tcPr>
            <w:tcW w:w="1728" w:type="pct"/>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（一）、隆江猪脚饭（四家共用）</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041001008001</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拆除混凝土结构</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(1)拆除原混凝土斜坡（规格：1500*1600*300）</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0.72</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010103002001</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(1)余方弃置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(2)运距：综合考虑</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0.72</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010507001001</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坡道</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(1)斜坡做混凝土基层（规格：1500*1600*300）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(2)普通预拌混凝土 C30,骨料最大粒径31.5mm</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010501002001</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带形基础</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(1)两侧安全档做基础（规格：100*80）</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011107001001</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石材台阶面</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(1)斜坡贴烧面芝麻白大理石（规格600*300*30细点纹路）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(2)30mm1:2.5水泥砂浆</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011109B002001</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栏杆(宫、万式)</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(1)直径63mm扶手、直径50mm立柱4.0厚304#拉丝不锈钢护栏</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18"/>
                <w:szCs w:val="18"/>
                <w:u w:val="none"/>
              </w:rPr>
            </w:pP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hint="eastAsia" w:ascii="宋体" w:hAnsi="宋体" w:eastAsia="宋体" w:cs="宋体"/>
                <w:i w:val="0"/>
                <w:iCs w:val="0"/>
                <w:color w:val="000000"/>
                <w:sz w:val="18"/>
                <w:szCs w:val="18"/>
                <w:u w:val="none"/>
              </w:rPr>
            </w:pPr>
          </w:p>
        </w:tc>
        <w:tc>
          <w:tcPr>
            <w:tcW w:w="1728" w:type="pct"/>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分部小计</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18"/>
                <w:szCs w:val="18"/>
                <w:u w:val="none"/>
              </w:rPr>
            </w:pP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hint="eastAsia" w:ascii="宋体" w:hAnsi="宋体" w:eastAsia="宋体" w:cs="宋体"/>
                <w:i w:val="0"/>
                <w:iCs w:val="0"/>
                <w:color w:val="000000"/>
                <w:sz w:val="18"/>
                <w:szCs w:val="18"/>
                <w:u w:val="none"/>
              </w:rPr>
            </w:pPr>
          </w:p>
        </w:tc>
        <w:tc>
          <w:tcPr>
            <w:tcW w:w="1728" w:type="pct"/>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（二）、百果园斜坡（外）</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041001008002</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拆除混凝土结构</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(1)拆除原混凝土斜坡（规格：1500*1600*300）</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0.72</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010103002002</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(1)余方弃置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(2)运距：综合考虑</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0.72</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010507001002</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坡道</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(1)斜坡做混凝土基层（规格：1500*1600*300）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(2)普通预拌混凝土 C30,骨料最大粒径31.5mm</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010501002005</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带形基础</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(1)两侧安全档做基础（规格：100*80）</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011107001002</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石材台阶面</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(1)斜坡贴烧面芝麻白大理石（规格600*300*30细点纹路）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(2)30mm1:2.5水泥砂浆</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18"/>
                <w:szCs w:val="18"/>
                <w:u w:val="none"/>
              </w:rPr>
            </w:pP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hint="eastAsia" w:ascii="宋体" w:hAnsi="宋体" w:eastAsia="宋体" w:cs="宋体"/>
                <w:i w:val="0"/>
                <w:iCs w:val="0"/>
                <w:color w:val="000000"/>
                <w:sz w:val="18"/>
                <w:szCs w:val="18"/>
                <w:u w:val="none"/>
              </w:rPr>
            </w:pPr>
          </w:p>
        </w:tc>
        <w:tc>
          <w:tcPr>
            <w:tcW w:w="1728" w:type="pct"/>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分部小计</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18"/>
                <w:szCs w:val="18"/>
                <w:u w:val="none"/>
              </w:rPr>
            </w:pP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hint="eastAsia" w:ascii="宋体" w:hAnsi="宋体" w:eastAsia="宋体" w:cs="宋体"/>
                <w:i w:val="0"/>
                <w:iCs w:val="0"/>
                <w:color w:val="000000"/>
                <w:sz w:val="18"/>
                <w:szCs w:val="18"/>
                <w:u w:val="none"/>
              </w:rPr>
            </w:pPr>
          </w:p>
        </w:tc>
        <w:tc>
          <w:tcPr>
            <w:tcW w:w="1728" w:type="pct"/>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（三）、潮林阁（小龙茵酒家）</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041001008003</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拆除混凝土结构</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(1)拆除原混凝土台阶及地面地板砖</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02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010103002003</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(1)余方弃置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(2)运距：综合考虑</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010507001003</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坡道</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(1)斜坡做混凝土基层（规格：3500*1600*400）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(2)普通预拌混凝土 C30,骨料最大粒径31.5mm</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010501002013</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带形基础</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(1)两侧安全档做基础（规格：100*80）</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011107001003</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石材台阶面</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(1)斜坡贴烧面芝麻白大理石（规格600*300*30细点纹路）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(2)30mm1:2.5水泥砂浆</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011109B002002</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栏杆(宫、万式)</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(1)直径63mm扶手、直径50mm立柱4.0厚304#拉丝不锈钢护栏</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18"/>
                <w:szCs w:val="18"/>
                <w:u w:val="none"/>
              </w:rPr>
            </w:pP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hint="eastAsia" w:ascii="宋体" w:hAnsi="宋体" w:eastAsia="宋体" w:cs="宋体"/>
                <w:i w:val="0"/>
                <w:iCs w:val="0"/>
                <w:color w:val="000000"/>
                <w:sz w:val="18"/>
                <w:szCs w:val="18"/>
                <w:u w:val="none"/>
              </w:rPr>
            </w:pPr>
          </w:p>
        </w:tc>
        <w:tc>
          <w:tcPr>
            <w:tcW w:w="1728" w:type="pct"/>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分部小计</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18"/>
                <w:szCs w:val="18"/>
                <w:u w:val="none"/>
              </w:rPr>
            </w:pP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hint="eastAsia" w:ascii="宋体" w:hAnsi="宋体" w:eastAsia="宋体" w:cs="宋体"/>
                <w:i w:val="0"/>
                <w:iCs w:val="0"/>
                <w:color w:val="000000"/>
                <w:sz w:val="18"/>
                <w:szCs w:val="18"/>
                <w:u w:val="none"/>
              </w:rPr>
            </w:pPr>
          </w:p>
        </w:tc>
        <w:tc>
          <w:tcPr>
            <w:tcW w:w="1728" w:type="pct"/>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（四）、大自然醉鹅</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041001008004</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拆除混凝土结构</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(1)拆除原混凝土台阶及地面地板砖</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010103002004</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(1)余方弃置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(2)运距：综合考虑</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010507001004</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坡道</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(1)斜坡做混凝土基层（规格：3500*1600*400）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(2)普通预拌混凝土 C30,骨料最大粒径31.5mm</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010501002014</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带形基础</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(1)两侧安全档做基础（规格：100*80）</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011107001004</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石材台阶面</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(1)斜坡贴烧面芝麻白大理石（规格600*300*30细点纹路）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(2)30mm1:2.5水泥砂浆</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011109B002003</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栏杆(宫、万式)</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(1)直径63mm扶手、直径50mm立柱4.0厚304#拉丝不锈钢护栏</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18"/>
                <w:szCs w:val="18"/>
                <w:u w:val="none"/>
              </w:rPr>
            </w:pP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hint="eastAsia" w:ascii="宋体" w:hAnsi="宋体" w:eastAsia="宋体" w:cs="宋体"/>
                <w:i w:val="0"/>
                <w:iCs w:val="0"/>
                <w:color w:val="000000"/>
                <w:sz w:val="18"/>
                <w:szCs w:val="18"/>
                <w:u w:val="none"/>
              </w:rPr>
            </w:pPr>
          </w:p>
        </w:tc>
        <w:tc>
          <w:tcPr>
            <w:tcW w:w="1728" w:type="pct"/>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分部小计</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18"/>
                <w:szCs w:val="18"/>
                <w:u w:val="none"/>
              </w:rPr>
            </w:pP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hint="eastAsia" w:ascii="宋体" w:hAnsi="宋体" w:eastAsia="宋体" w:cs="宋体"/>
                <w:i w:val="0"/>
                <w:iCs w:val="0"/>
                <w:color w:val="000000"/>
                <w:sz w:val="18"/>
                <w:szCs w:val="18"/>
                <w:u w:val="none"/>
              </w:rPr>
            </w:pPr>
          </w:p>
        </w:tc>
        <w:tc>
          <w:tcPr>
            <w:tcW w:w="1728" w:type="pct"/>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（五）、老船长酒家</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041001008005</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拆除混凝土结构</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(1)拆除原混凝土台阶及地面地板砖</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010103002005</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(1)余方弃置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(2)运距：综合考虑</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0.96</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010507001005</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坡道</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(1)斜坡做混凝土基层（规格：300*1600*2500）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(2)普通预拌混凝土 C30,骨料最大粒径31.5mm</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011107001005</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石材台阶面</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(1)斜坡贴烧面芝麻白大理石（规格600*300*30细点纹路）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(2)30mm1:2.5水泥砂浆</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18"/>
                <w:szCs w:val="18"/>
                <w:u w:val="none"/>
              </w:rPr>
            </w:pP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hint="eastAsia" w:ascii="宋体" w:hAnsi="宋体" w:eastAsia="宋体" w:cs="宋体"/>
                <w:i w:val="0"/>
                <w:iCs w:val="0"/>
                <w:color w:val="000000"/>
                <w:sz w:val="18"/>
                <w:szCs w:val="18"/>
                <w:u w:val="none"/>
              </w:rPr>
            </w:pPr>
          </w:p>
        </w:tc>
        <w:tc>
          <w:tcPr>
            <w:tcW w:w="1728" w:type="pct"/>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分部小计</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18"/>
                <w:szCs w:val="18"/>
                <w:u w:val="none"/>
              </w:rPr>
            </w:pP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hint="eastAsia" w:ascii="宋体" w:hAnsi="宋体" w:eastAsia="宋体" w:cs="宋体"/>
                <w:i w:val="0"/>
                <w:iCs w:val="0"/>
                <w:color w:val="000000"/>
                <w:sz w:val="18"/>
                <w:szCs w:val="18"/>
                <w:u w:val="none"/>
              </w:rPr>
            </w:pPr>
          </w:p>
        </w:tc>
        <w:tc>
          <w:tcPr>
            <w:tcW w:w="1728" w:type="pct"/>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（六）、消防公园</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041001008006</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拆除混凝土结构</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(1)拆除原混凝土台阶及地面地板砖</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02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010103002006</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(1)余方弃置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(2)运距：综合考虑</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5.32</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010507001006</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坡道</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(1)斜坡做混凝土基层（规格：6500*1600*800）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(2)普通预拌混凝土 C30,骨料最大粒径31.5mm</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010501002015</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带形基础</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(1)两侧安全档做基础（规格：100*80）</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011107001006</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石材台阶面</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(1)斜坡贴烧面芝麻白大理石（规格600*300*30细点纹路）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(2)30mm1:2.5水泥砂浆</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011109B002005</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栏杆(宫、万式)</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(1)直径63mm扶手、直径50mm立柱4.0厚304#拉丝不锈钢护栏</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011406001001</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抹灰面油漆</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(1)无障碍通道两侧墙面刷油漆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(2)满刮腻子二遍、乳胶漆二遍</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18"/>
                <w:szCs w:val="18"/>
                <w:u w:val="none"/>
              </w:rPr>
            </w:pP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hint="eastAsia" w:ascii="宋体" w:hAnsi="宋体" w:eastAsia="宋体" w:cs="宋体"/>
                <w:i w:val="0"/>
                <w:iCs w:val="0"/>
                <w:color w:val="000000"/>
                <w:sz w:val="18"/>
                <w:szCs w:val="18"/>
                <w:u w:val="none"/>
              </w:rPr>
            </w:pPr>
          </w:p>
        </w:tc>
        <w:tc>
          <w:tcPr>
            <w:tcW w:w="1728" w:type="pct"/>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分部小计</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18"/>
                <w:szCs w:val="18"/>
                <w:u w:val="none"/>
              </w:rPr>
            </w:pP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hint="eastAsia" w:ascii="宋体" w:hAnsi="宋体" w:eastAsia="宋体" w:cs="宋体"/>
                <w:i w:val="0"/>
                <w:iCs w:val="0"/>
                <w:color w:val="000000"/>
                <w:sz w:val="18"/>
                <w:szCs w:val="18"/>
                <w:u w:val="none"/>
              </w:rPr>
            </w:pPr>
          </w:p>
        </w:tc>
        <w:tc>
          <w:tcPr>
            <w:tcW w:w="1728" w:type="pct"/>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（七）、麦当劳（长安花园）</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041001008007</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拆除混凝土结构</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(1)拆除原混凝土台阶及地面地板砖</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010103002007</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(1)余方弃置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(2)运距：综合考虑</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010507001007</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坡道</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(1)斜坡做混凝土基层（规格：3500*1600*400）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(2)普通预拌混凝土 C30,骨料最大粒径31.5mm</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010501002016</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带形基础</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(1)两侧安全档做基础（规格：100*80）</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011107001007</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石材台阶面</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(1)斜坡贴烧面芝麻白大理石（规格600*300*30细点纹路）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(2)30mm1:2.5水泥砂浆</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7.83</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011109B002006</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栏杆(宫、万式)</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(1)直径63mm扶手、直径50mm立柱4.0厚304#拉丝不锈钢护栏</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18"/>
                <w:szCs w:val="18"/>
                <w:u w:val="none"/>
              </w:rPr>
            </w:pP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hint="eastAsia" w:ascii="宋体" w:hAnsi="宋体" w:eastAsia="宋体" w:cs="宋体"/>
                <w:i w:val="0"/>
                <w:iCs w:val="0"/>
                <w:color w:val="000000"/>
                <w:sz w:val="18"/>
                <w:szCs w:val="18"/>
                <w:u w:val="none"/>
              </w:rPr>
            </w:pPr>
          </w:p>
        </w:tc>
        <w:tc>
          <w:tcPr>
            <w:tcW w:w="1728" w:type="pct"/>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分部小计</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18"/>
                <w:szCs w:val="18"/>
                <w:u w:val="none"/>
              </w:rPr>
            </w:pP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hint="eastAsia" w:ascii="宋体" w:hAnsi="宋体" w:eastAsia="宋体" w:cs="宋体"/>
                <w:i w:val="0"/>
                <w:iCs w:val="0"/>
                <w:color w:val="000000"/>
                <w:sz w:val="18"/>
                <w:szCs w:val="18"/>
                <w:u w:val="none"/>
              </w:rPr>
            </w:pPr>
          </w:p>
        </w:tc>
        <w:tc>
          <w:tcPr>
            <w:tcW w:w="1728" w:type="pct"/>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（八）、鹏盛党群服务中心</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041001008008</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拆除混凝土结构</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(1)拆除原混凝土台阶及地面地板砖</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010103002008</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(1)余方弃置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(2)运距：综合考虑</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010507001008</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坡道</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(1)斜坡做混凝土基层（规格：3500*1600*400）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(2)普通预拌混凝土 C30,骨料最大粒径31.5mm</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010501002017</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带形基础</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(1)两侧安全档做基础（规格：100*80）</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011107001008</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石材台阶面</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(1)斜坡贴烧面芝麻白大理石（规格600*300*30细点纹路）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(2)30mm1:2.5水泥砂浆</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02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011109B002007</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栏杆(宫、万式)</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(1)直径63mm扶手、直径50mm立柱4.0厚304#拉丝不锈钢护栏</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18"/>
                <w:szCs w:val="18"/>
                <w:u w:val="none"/>
              </w:rPr>
            </w:pP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hint="eastAsia" w:ascii="宋体" w:hAnsi="宋体" w:eastAsia="宋体" w:cs="宋体"/>
                <w:i w:val="0"/>
                <w:iCs w:val="0"/>
                <w:color w:val="000000"/>
                <w:sz w:val="18"/>
                <w:szCs w:val="18"/>
                <w:u w:val="none"/>
              </w:rPr>
            </w:pPr>
          </w:p>
        </w:tc>
        <w:tc>
          <w:tcPr>
            <w:tcW w:w="1728" w:type="pct"/>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分部小计</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18"/>
                <w:szCs w:val="18"/>
                <w:u w:val="none"/>
              </w:rPr>
            </w:pP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hint="eastAsia" w:ascii="宋体" w:hAnsi="宋体" w:eastAsia="宋体" w:cs="宋体"/>
                <w:i w:val="0"/>
                <w:iCs w:val="0"/>
                <w:color w:val="000000"/>
                <w:sz w:val="18"/>
                <w:szCs w:val="18"/>
                <w:u w:val="none"/>
              </w:rPr>
            </w:pPr>
          </w:p>
        </w:tc>
        <w:tc>
          <w:tcPr>
            <w:tcW w:w="1728" w:type="pct"/>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（九）、长城党群服务中心前门</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041001008009</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拆除混凝土结构</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(1)拆除原混凝土台阶及地面地板砖</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010103002009</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(1)余方弃置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(2)运距：综合考虑</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010507001009</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坡道</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(1)斜坡做混凝土基层（规格：2500*1600*400）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(2)普通预拌混凝土 C30,骨料最大粒径31.5mm</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010501002018</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带形基础</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(1)两侧安全档做基础（规格：100*80）</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011107001009</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石材台阶面</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(1)斜坡贴烧面芝麻白大理石（规格600*300*30细点纹路）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(2)30mm1:2.5水泥砂浆</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18"/>
                <w:szCs w:val="18"/>
                <w:u w:val="none"/>
              </w:rPr>
            </w:pP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hint="eastAsia" w:ascii="宋体" w:hAnsi="宋体" w:eastAsia="宋体" w:cs="宋体"/>
                <w:i w:val="0"/>
                <w:iCs w:val="0"/>
                <w:color w:val="000000"/>
                <w:sz w:val="18"/>
                <w:szCs w:val="18"/>
                <w:u w:val="none"/>
              </w:rPr>
            </w:pPr>
          </w:p>
        </w:tc>
        <w:tc>
          <w:tcPr>
            <w:tcW w:w="1728" w:type="pct"/>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分部小计</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18"/>
                <w:szCs w:val="18"/>
                <w:u w:val="none"/>
              </w:rPr>
            </w:pP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hint="eastAsia" w:ascii="宋体" w:hAnsi="宋体" w:eastAsia="宋体" w:cs="宋体"/>
                <w:i w:val="0"/>
                <w:iCs w:val="0"/>
                <w:color w:val="000000"/>
                <w:sz w:val="18"/>
                <w:szCs w:val="18"/>
                <w:u w:val="none"/>
              </w:rPr>
            </w:pPr>
          </w:p>
        </w:tc>
        <w:tc>
          <w:tcPr>
            <w:tcW w:w="1728" w:type="pct"/>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（十）、长城党群服务中心前门（旗杆下）</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011609001001</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栏杆、栏板拆除</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(1)栏杆(板)的高度:拆除原有护栏（高1米）</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041001008010</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拆除混凝土结构</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(1)拆除原混凝土台阶及地面地板砖（规格:1400*5500*700厚）</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010103002010</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(1)余方弃置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(2)运距：综合考虑</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010507001010</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坡道</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(1)斜坡做混凝土基层（规格：6500*1600*800）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(2)普通预拌混凝土 C30,骨料最大粒径31.5mm</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010501002019</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带形基础</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(1)两侧安全档做基础（规格：100*80）</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011107001010</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石材台阶面</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(1)斜坡贴烧面芝麻白大理石（规格600*300*30细点纹路）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(2)30mm1:2.5水泥砂浆</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011109B002008</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栏杆(宫、万式)</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(1)直径63mm扶手、直径50mm立柱4.0厚304#拉丝不锈钢护栏</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18"/>
                <w:szCs w:val="18"/>
                <w:u w:val="none"/>
              </w:rPr>
            </w:pP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hint="eastAsia" w:ascii="宋体" w:hAnsi="宋体" w:eastAsia="宋体" w:cs="宋体"/>
                <w:i w:val="0"/>
                <w:iCs w:val="0"/>
                <w:color w:val="000000"/>
                <w:sz w:val="18"/>
                <w:szCs w:val="18"/>
                <w:u w:val="none"/>
              </w:rPr>
            </w:pPr>
          </w:p>
        </w:tc>
        <w:tc>
          <w:tcPr>
            <w:tcW w:w="1728" w:type="pct"/>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分部小计</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18"/>
                <w:szCs w:val="18"/>
                <w:u w:val="none"/>
              </w:rPr>
            </w:pP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hint="eastAsia" w:ascii="宋体" w:hAnsi="宋体" w:eastAsia="宋体" w:cs="宋体"/>
                <w:i w:val="0"/>
                <w:iCs w:val="0"/>
                <w:color w:val="000000"/>
                <w:sz w:val="18"/>
                <w:szCs w:val="18"/>
                <w:u w:val="none"/>
              </w:rPr>
            </w:pPr>
          </w:p>
        </w:tc>
        <w:tc>
          <w:tcPr>
            <w:tcW w:w="1728" w:type="pct"/>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（十一）福田区园岭街道长者服务中心</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011609001002</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栏杆、栏板拆除</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(1)拆除原有护栏（高1米）</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041001008011</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拆除混凝土结构</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(1)拆除原混凝土台阶及地面地板砖（规格:2000*4500*250厚）</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6.52</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010103002011</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(1)余方弃置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(2)运距：综合考虑</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02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010507001011</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坡道</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(1)斜坡做混凝土基层（规格：2000*4500*200）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(2)普通预拌混凝土 C30,骨料最大粒径31.5mm</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010501002020</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带形基础</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(1)两侧安全档做基础（规格：100*80）</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011107001011</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石材台阶面</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(1)斜坡贴烧面芝麻白大理石（规格600*300*30细点纹路）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(2)30mm1:2.5水泥砂浆</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011109B002009</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栏杆(宫、万式)</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(1)直径63mm扶手、直径50mm立柱4.0厚304#拉丝不锈钢护栏</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18"/>
                <w:szCs w:val="18"/>
                <w:u w:val="none"/>
              </w:rPr>
            </w:pP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hint="eastAsia" w:ascii="宋体" w:hAnsi="宋体" w:eastAsia="宋体" w:cs="宋体"/>
                <w:i w:val="0"/>
                <w:iCs w:val="0"/>
                <w:color w:val="000000"/>
                <w:sz w:val="18"/>
                <w:szCs w:val="18"/>
                <w:u w:val="none"/>
              </w:rPr>
            </w:pPr>
          </w:p>
        </w:tc>
        <w:tc>
          <w:tcPr>
            <w:tcW w:w="1728" w:type="pct"/>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分部小计</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18"/>
                <w:szCs w:val="18"/>
                <w:u w:val="none"/>
              </w:rPr>
            </w:pP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hint="eastAsia" w:ascii="宋体" w:hAnsi="宋体" w:eastAsia="宋体" w:cs="宋体"/>
                <w:i w:val="0"/>
                <w:iCs w:val="0"/>
                <w:color w:val="000000"/>
                <w:sz w:val="18"/>
                <w:szCs w:val="18"/>
                <w:u w:val="none"/>
              </w:rPr>
            </w:pPr>
          </w:p>
        </w:tc>
        <w:tc>
          <w:tcPr>
            <w:tcW w:w="1728" w:type="pct"/>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（十二）、园岭街道文化站</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011609001003</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栏杆、栏板拆除</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(1)栏杆(板)的高度:拆除原有护栏（高1米）</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041001008012</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拆除混凝土结构</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(1)拆除原混凝土台阶及地面地板砖（规格:1600*3200*250厚）</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010103002012</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(1)余方弃置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(2)运距：综合考虑</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010507001012</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坡道</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(1)斜坡做混凝土基层（规格：1600*3200*250）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(2)普通预拌混凝土 C30,骨料最大粒径31.5mm</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010501002021</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带形基础</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(1)两侧安全档做基础（规格：100*80）</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011107001012</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石材台阶面</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(1)斜坡贴烧面芝麻白大理石（规格600*300*30细点纹路）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(2)30mm1:2.5水泥砂浆</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011109B002010</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栏杆(宫、万式)</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(1)直径63mm扶手、直径50mm立柱4.0厚304#拉丝不锈钢护栏</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18"/>
                <w:szCs w:val="18"/>
                <w:u w:val="none"/>
              </w:rPr>
            </w:pP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hint="eastAsia" w:ascii="宋体" w:hAnsi="宋体" w:eastAsia="宋体" w:cs="宋体"/>
                <w:i w:val="0"/>
                <w:iCs w:val="0"/>
                <w:color w:val="000000"/>
                <w:sz w:val="18"/>
                <w:szCs w:val="18"/>
                <w:u w:val="none"/>
              </w:rPr>
            </w:pPr>
          </w:p>
        </w:tc>
        <w:tc>
          <w:tcPr>
            <w:tcW w:w="1728" w:type="pct"/>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分部小计</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18"/>
                <w:szCs w:val="18"/>
                <w:u w:val="none"/>
              </w:rPr>
            </w:pP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hint="eastAsia" w:ascii="宋体" w:hAnsi="宋体" w:eastAsia="宋体" w:cs="宋体"/>
                <w:i w:val="0"/>
                <w:iCs w:val="0"/>
                <w:color w:val="000000"/>
                <w:sz w:val="18"/>
                <w:szCs w:val="18"/>
                <w:u w:val="none"/>
              </w:rPr>
            </w:pPr>
          </w:p>
        </w:tc>
        <w:tc>
          <w:tcPr>
            <w:tcW w:w="1728" w:type="pct"/>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18"/>
                <w:szCs w:val="18"/>
                <w:u w:val="none"/>
              </w:rPr>
            </w:pP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hint="eastAsia" w:ascii="宋体" w:hAnsi="宋体" w:eastAsia="宋体" w:cs="宋体"/>
                <w:i w:val="0"/>
                <w:iCs w:val="0"/>
                <w:color w:val="000000"/>
                <w:sz w:val="18"/>
                <w:szCs w:val="18"/>
                <w:u w:val="none"/>
              </w:rPr>
            </w:pPr>
          </w:p>
        </w:tc>
        <w:tc>
          <w:tcPr>
            <w:tcW w:w="1728" w:type="pct"/>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二、拆叠式与椽胶式成品斜坡</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8"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011103001001</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定做2000mm以上的折叠式斜坡</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(1)定做2000mm以上的折叠式斜坡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(2)部位：福鑫记，武功山，胜记，四川豆花，余香香，客家土菜馆，祥记，东北春饼，宽米，渝月，神秘啫爷，木屋烧烤，雪飘香，珮姐火锅，三及第汤粉，园岭食堂后门等</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011103001003</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200mm以上300mm以下宽度1200mm橡胶斜坡</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(1)200mm以上300mm以下宽度1200mm橡胶斜坡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(2)坡长与标准规格定长度</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011103001004</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100mm以上200mm以下宽度1200mm橡胶斜坡</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(1)100mm以上200mm以下宽度1200mm橡胶斜坡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(2)坡长与标准规格定长度</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02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011103001005</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20mm以上100mm以下宽度1201mm橡胶斜坡</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(1)20mm以上100mm以下宽度1201mm橡胶斜坡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(2)坡长与标准规格定长度</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18"/>
                <w:szCs w:val="18"/>
                <w:u w:val="none"/>
              </w:rPr>
            </w:pP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hint="eastAsia" w:ascii="宋体" w:hAnsi="宋体" w:eastAsia="宋体" w:cs="宋体"/>
                <w:i w:val="0"/>
                <w:iCs w:val="0"/>
                <w:color w:val="000000"/>
                <w:sz w:val="18"/>
                <w:szCs w:val="18"/>
                <w:u w:val="none"/>
              </w:rPr>
            </w:pPr>
          </w:p>
        </w:tc>
        <w:tc>
          <w:tcPr>
            <w:tcW w:w="1728" w:type="pct"/>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18"/>
                <w:szCs w:val="18"/>
                <w:u w:val="none"/>
              </w:rPr>
            </w:pP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hint="eastAsia" w:ascii="宋体" w:hAnsi="宋体" w:eastAsia="宋体" w:cs="宋体"/>
                <w:i w:val="0"/>
                <w:iCs w:val="0"/>
                <w:color w:val="000000"/>
                <w:sz w:val="18"/>
                <w:szCs w:val="18"/>
                <w:u w:val="none"/>
              </w:rPr>
            </w:pPr>
          </w:p>
        </w:tc>
        <w:tc>
          <w:tcPr>
            <w:tcW w:w="1728" w:type="pct"/>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三、公园出入口、公厕门口、、长安花囝、3个党群服务中心门槛落差与道路路桩清除</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3"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011103001006</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100mm以上200mm以下斜坡找平，大理石做斜面（规格：1400*1200）</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(1)100mm以上200mm以下斜坡找平，大理石做斜面（规格：1400*1200）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(2)坡长为1000mm左右，含打原有地面砖</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3"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011103001007</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40mm以上100mm以下斜坡找平，大理石做斜面（规格：1400*600）</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(1)40mm以上100mm以下斜坡找平，大理石做斜面（规格：1400*600）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(2)坡长为600mm左右含打原有地面砖</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011103001008</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15mm以上40mm以下斜坡找平，大理石做斜面（规格：1400*400）</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(1)15mm以上40mm以下斜坡找平，大理石做斜面（规格：1400*400）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(2)坡长为300mm左右含打原有地面砖</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011103001009</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道路路桩及石球清除</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(1)道路路桩及石球清除</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18"/>
                <w:szCs w:val="18"/>
                <w:u w:val="none"/>
              </w:rPr>
            </w:pP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hint="eastAsia" w:ascii="宋体" w:hAnsi="宋体" w:eastAsia="宋体" w:cs="宋体"/>
                <w:i w:val="0"/>
                <w:iCs w:val="0"/>
                <w:color w:val="000000"/>
                <w:sz w:val="18"/>
                <w:szCs w:val="18"/>
                <w:u w:val="none"/>
              </w:rPr>
            </w:pPr>
          </w:p>
        </w:tc>
        <w:tc>
          <w:tcPr>
            <w:tcW w:w="1728" w:type="pct"/>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18"/>
                <w:szCs w:val="18"/>
                <w:u w:val="none"/>
              </w:rPr>
            </w:pP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hint="eastAsia" w:ascii="宋体" w:hAnsi="宋体" w:eastAsia="宋体" w:cs="宋体"/>
                <w:i w:val="0"/>
                <w:iCs w:val="0"/>
                <w:color w:val="000000"/>
                <w:sz w:val="18"/>
                <w:szCs w:val="18"/>
                <w:u w:val="none"/>
              </w:rPr>
            </w:pPr>
          </w:p>
        </w:tc>
        <w:tc>
          <w:tcPr>
            <w:tcW w:w="1728" w:type="pct"/>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四、无障碍公厕维修更换</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010802001001</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原内开更换成外开</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(1)拆除原有门及门套，重新定做门套，垅溪门利旧安装其它两个更换新门（垅溪，鹏盛，园岭三个无障碍公厕</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010804005001</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新安装折叠门（铝合金材质）</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(1)新安装折叠门（铝合金材质）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(2)含拆除原有木门</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011505011001</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镜箱</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(1)镜子更换成上面往前倾斜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(2)八卦岭，垅溪，通新岭，市妇幼门口公园及鹏盛，长城，南天，红岭，园岭等无障碍公厕</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031004014001</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给、排水附(配)件</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(1)水龙头更换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(2)八卦岭，垅溪，通新岭，市妇幼门口公园及鹏盛，长城，南天，红岭，园岭等无障碍公厕</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011503005001</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金属靠墙扶手</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(1)安全扶手更换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(2)八卦岭，垅溪，通新岭，市妇幼门口公园及鹏盛，长城，南天，红岭，园岭等无障碍公厕</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011507001001</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警报面板移位</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(1)警报面板移位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(2)八卦岭，垅溪，通新岭，市妇幼门口公园及鹏盛，长城，南天，红岭，园岭等无障碍公厕</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010802001003</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门拉手</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(1)门拉手安装</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010802001004</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安全椅移位</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(1)安全椅移位</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18"/>
                <w:szCs w:val="18"/>
                <w:u w:val="none"/>
              </w:rPr>
            </w:pP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hint="eastAsia" w:ascii="宋体" w:hAnsi="宋体" w:eastAsia="宋体" w:cs="宋体"/>
                <w:i w:val="0"/>
                <w:iCs w:val="0"/>
                <w:color w:val="000000"/>
                <w:sz w:val="18"/>
                <w:szCs w:val="18"/>
                <w:u w:val="none"/>
              </w:rPr>
            </w:pPr>
          </w:p>
        </w:tc>
        <w:tc>
          <w:tcPr>
            <w:tcW w:w="1728" w:type="pct"/>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02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18"/>
                <w:szCs w:val="18"/>
                <w:u w:val="none"/>
              </w:rPr>
            </w:pP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hint="eastAsia" w:ascii="宋体" w:hAnsi="宋体" w:eastAsia="宋体" w:cs="宋体"/>
                <w:i w:val="0"/>
                <w:iCs w:val="0"/>
                <w:color w:val="000000"/>
                <w:sz w:val="18"/>
                <w:szCs w:val="18"/>
                <w:u w:val="none"/>
              </w:rPr>
            </w:pPr>
          </w:p>
        </w:tc>
        <w:tc>
          <w:tcPr>
            <w:tcW w:w="1728" w:type="pct"/>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五、地铁出入口台阶无障碍提升及指引标识项目</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040205006001</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标线</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(1)地铁口台阶画警戒标线（7个站）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(2)体育中心、黄木岗、华新、八卦岭、红岭北、园岭、通新岭</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011507001002</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完善无障碍指引标识标牌</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(1)完善无障碍指引标识标牌</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18"/>
                <w:szCs w:val="18"/>
                <w:u w:val="none"/>
              </w:rPr>
            </w:pP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hint="eastAsia" w:ascii="宋体" w:hAnsi="宋体" w:eastAsia="宋体" w:cs="宋体"/>
                <w:i w:val="0"/>
                <w:iCs w:val="0"/>
                <w:color w:val="000000"/>
                <w:sz w:val="18"/>
                <w:szCs w:val="18"/>
                <w:u w:val="none"/>
              </w:rPr>
            </w:pPr>
          </w:p>
        </w:tc>
        <w:tc>
          <w:tcPr>
            <w:tcW w:w="1728" w:type="pct"/>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18"/>
                <w:szCs w:val="18"/>
                <w:u w:val="none"/>
              </w:rPr>
            </w:pP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hint="eastAsia" w:ascii="宋体" w:hAnsi="宋体" w:eastAsia="宋体" w:cs="宋体"/>
                <w:i w:val="0"/>
                <w:iCs w:val="0"/>
                <w:color w:val="000000"/>
                <w:sz w:val="18"/>
                <w:szCs w:val="18"/>
                <w:u w:val="none"/>
              </w:rPr>
            </w:pPr>
          </w:p>
        </w:tc>
        <w:tc>
          <w:tcPr>
            <w:tcW w:w="1728" w:type="pct"/>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六、无障碍升降电梯</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011609001004</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栏杆、栏板拆除</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(1)拆除原有护栏</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011605001011</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平面块料拆除</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(1)铲除原有台阶（规格1700*2000*1200）</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041001008013</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拆除混凝土结构</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(1)拆除原混凝土台阶及地面地板砖（规格1700*2000*1200）</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010103002013</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(1)余方弃置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(2)运距：综合考虑</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010101004001</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挖基坑土方</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(1)挖电梯机坑（规格：1700*2000*800）</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4.78</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010401001001</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砖基础</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(1)砌筑基坑及基坑四周水泥沙浆打底（规格：1500*1500*800）</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011102001001</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石材楼地面</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(1)大理石平台加宽修复（规格：1200*1000）</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010802001002</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平台护栏及门制作</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(1)平台护栏及门制作</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030107002001</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小型无障碍升降电梯</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(1)小型无障碍升降电梯</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030107002002</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安装无障碍轮椅斜挂式升降电梯（轨道304不锈钢材质）</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(1)安装无障碍轮椅斜挂式升降电梯（轨道304不锈钢材质）</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030414001001</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电路布置</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18"/>
                <w:szCs w:val="18"/>
                <w:u w:val="none"/>
              </w:rPr>
            </w:pP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18"/>
                <w:szCs w:val="18"/>
                <w:u w:val="none"/>
              </w:rPr>
            </w:pP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hint="eastAsia" w:ascii="宋体" w:hAnsi="宋体" w:eastAsia="宋体" w:cs="宋体"/>
                <w:i w:val="0"/>
                <w:iCs w:val="0"/>
                <w:color w:val="000000"/>
                <w:sz w:val="18"/>
                <w:szCs w:val="18"/>
                <w:u w:val="none"/>
              </w:rPr>
            </w:pPr>
          </w:p>
        </w:tc>
        <w:tc>
          <w:tcPr>
            <w:tcW w:w="1728" w:type="pct"/>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18"/>
                <w:szCs w:val="18"/>
                <w:u w:val="none"/>
              </w:rPr>
            </w:pP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hint="eastAsia" w:ascii="宋体" w:hAnsi="宋体" w:eastAsia="宋体" w:cs="宋体"/>
                <w:i w:val="0"/>
                <w:iCs w:val="0"/>
                <w:color w:val="000000"/>
                <w:sz w:val="18"/>
                <w:szCs w:val="18"/>
                <w:u w:val="none"/>
              </w:rPr>
            </w:pPr>
          </w:p>
        </w:tc>
        <w:tc>
          <w:tcPr>
            <w:tcW w:w="1728" w:type="pct"/>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七、无障碍综合服务亭</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02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0"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050307009001</w:t>
            </w:r>
          </w:p>
        </w:tc>
        <w:tc>
          <w:tcPr>
            <w:tcW w:w="6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无障碍综合服务亭</w:t>
            </w:r>
          </w:p>
        </w:tc>
        <w:tc>
          <w:tcPr>
            <w:tcW w:w="1035"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(1)无障碍综合服务亭(主要安装于公共场所的入口处，为残障人士在进入所在服)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(2)产品描述:支持特定区域内无障碍地图渲染与显示；支持特定区域内的普通导航路径规划、模拟导航；支持无障碍相关资讯的搜索和查看；支持播放图片和视频内容；支持自定义播放列表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(3)整机壳体:尺寸: ≤长 900mm*宽 250mm*高 2100mm；主体采用镀锌钢板厚度 ≥ 1.5mm；面板玻璃 LCD 屏用 AR 夹胶防护玻璃，透光率 97%，反射率小于 3%；玻璃厚度 ≥ 6mm等等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(4)户外4K高清专用显示屏：55 寸，显示面积 1210mm*680mm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(5)系统主板：四核或以上 主频不低于 1.8GHz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(6)具体参数详见产品说明。</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3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18"/>
                <w:szCs w:val="18"/>
                <w:u w:val="none"/>
              </w:rPr>
            </w:pPr>
          </w:p>
        </w:tc>
        <w:tc>
          <w:tcPr>
            <w:tcW w:w="799"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left"/>
              <w:rPr>
                <w:rFonts w:hint="eastAsia" w:ascii="宋体" w:hAnsi="宋体" w:eastAsia="宋体" w:cs="宋体"/>
                <w:i w:val="0"/>
                <w:iCs w:val="0"/>
                <w:color w:val="000000"/>
                <w:sz w:val="18"/>
                <w:szCs w:val="18"/>
                <w:u w:val="none"/>
              </w:rPr>
            </w:pPr>
          </w:p>
        </w:tc>
        <w:tc>
          <w:tcPr>
            <w:tcW w:w="1728" w:type="pct"/>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29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02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026"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bl>
    <w:p>
      <w:pPr>
        <w:rPr>
          <w:rFonts w:hint="eastAsia" w:ascii="宋体" w:hAnsi="宋体"/>
          <w:sz w:val="21"/>
          <w:szCs w:val="21"/>
          <w:lang w:val="en-US" w:eastAsia="zh-CN"/>
        </w:rPr>
      </w:pPr>
    </w:p>
    <w:p>
      <w:pPr>
        <w:spacing w:before="0" w:after="0" w:line="240" w:lineRule="auto"/>
        <w:jc w:val="left"/>
        <w:outlineLvl w:val="9"/>
        <w:rPr>
          <w:rFonts w:ascii="宋体" w:hAnsi="宋体" w:eastAsia="宋体"/>
          <w:sz w:val="21"/>
          <w:szCs w:val="21"/>
        </w:rPr>
      </w:pPr>
      <w:r>
        <w:rPr>
          <w:rFonts w:ascii="宋体" w:hAnsi="宋体" w:eastAsia="宋体"/>
          <w:sz w:val="21"/>
          <w:szCs w:val="21"/>
        </w:rPr>
        <w:t>4</w:t>
      </w:r>
      <w:r>
        <w:rPr>
          <w:rFonts w:hint="eastAsia" w:ascii="宋体" w:hAnsi="宋体" w:eastAsia="宋体"/>
          <w:sz w:val="21"/>
          <w:szCs w:val="21"/>
        </w:rPr>
        <w:t>-</w:t>
      </w:r>
      <w:r>
        <w:rPr>
          <w:rFonts w:hint="eastAsia" w:ascii="宋体" w:hAnsi="宋体" w:eastAsia="宋体"/>
          <w:sz w:val="21"/>
          <w:szCs w:val="21"/>
          <w:lang w:val="en-US" w:eastAsia="zh-CN"/>
        </w:rPr>
        <w:t>4</w:t>
      </w:r>
      <w:r>
        <w:rPr>
          <w:rFonts w:hint="eastAsia" w:ascii="宋体" w:hAnsi="宋体" w:eastAsia="宋体"/>
          <w:sz w:val="21"/>
          <w:szCs w:val="21"/>
        </w:rPr>
        <w:t>措施项目清单与计价汇总表</w:t>
      </w:r>
    </w:p>
    <w:p>
      <w:pPr>
        <w:rPr>
          <w:rFonts w:hint="eastAsia" w:ascii="宋体" w:hAnsi="宋体"/>
          <w:sz w:val="21"/>
          <w:szCs w:val="21"/>
          <w:lang w:val="en-US" w:eastAsia="zh-CN"/>
        </w:rPr>
      </w:pPr>
    </w:p>
    <w:tbl>
      <w:tblPr>
        <w:tblStyle w:val="4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6"/>
        <w:gridCol w:w="2477"/>
        <w:gridCol w:w="3210"/>
        <w:gridCol w:w="1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5000" w:type="pct"/>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措施项目清单与计价汇总表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4" w:hRule="atLeast"/>
        </w:trPr>
        <w:tc>
          <w:tcPr>
            <w:tcW w:w="5000" w:type="pct"/>
            <w:gridSpan w:val="4"/>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9" w:hRule="atLeast"/>
        </w:trPr>
        <w:tc>
          <w:tcPr>
            <w:tcW w:w="2065" w:type="pct"/>
            <w:gridSpan w:val="2"/>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工程名称:市体育中心周边无障碍环境提升建设工程项目</w:t>
            </w:r>
          </w:p>
        </w:tc>
        <w:tc>
          <w:tcPr>
            <w:tcW w:w="1881" w:type="pct"/>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标段：</w:t>
            </w:r>
          </w:p>
        </w:tc>
        <w:tc>
          <w:tcPr>
            <w:tcW w:w="1052" w:type="pct"/>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61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33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05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61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3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安全文明施工措施费</w:t>
            </w:r>
          </w:p>
        </w:tc>
        <w:tc>
          <w:tcPr>
            <w:tcW w:w="105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50824.44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61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3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安全文明施工措施费(按费率计算)</w:t>
            </w:r>
          </w:p>
        </w:tc>
        <w:tc>
          <w:tcPr>
            <w:tcW w:w="105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61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3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其他安全文明施工措施(按清单列项)</w:t>
            </w:r>
          </w:p>
        </w:tc>
        <w:tc>
          <w:tcPr>
            <w:tcW w:w="105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61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333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施工临时围挡费</w:t>
            </w:r>
          </w:p>
        </w:tc>
        <w:tc>
          <w:tcPr>
            <w:tcW w:w="105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61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333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基坑内场地硬地化</w:t>
            </w:r>
          </w:p>
        </w:tc>
        <w:tc>
          <w:tcPr>
            <w:tcW w:w="105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61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33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产业工人职业训练专项经费</w:t>
            </w:r>
          </w:p>
        </w:tc>
        <w:tc>
          <w:tcPr>
            <w:tcW w:w="105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61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3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履约担保手续费</w:t>
            </w:r>
          </w:p>
        </w:tc>
        <w:tc>
          <w:tcPr>
            <w:tcW w:w="105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61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33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夜间施工增加费</w:t>
            </w:r>
          </w:p>
        </w:tc>
        <w:tc>
          <w:tcPr>
            <w:tcW w:w="105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2" w:hRule="atLeast"/>
        </w:trPr>
        <w:tc>
          <w:tcPr>
            <w:tcW w:w="61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3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赶工措施费</w:t>
            </w:r>
          </w:p>
        </w:tc>
        <w:tc>
          <w:tcPr>
            <w:tcW w:w="105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2" w:hRule="atLeast"/>
        </w:trPr>
        <w:tc>
          <w:tcPr>
            <w:tcW w:w="61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33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冬雨季施工费</w:t>
            </w:r>
          </w:p>
        </w:tc>
        <w:tc>
          <w:tcPr>
            <w:tcW w:w="105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61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33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已完成工程及设备保护费</w:t>
            </w:r>
          </w:p>
        </w:tc>
        <w:tc>
          <w:tcPr>
            <w:tcW w:w="105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61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33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地上地下设施及建筑物的临时保护费</w:t>
            </w:r>
          </w:p>
        </w:tc>
        <w:tc>
          <w:tcPr>
            <w:tcW w:w="105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61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33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混凝土、钢筋混凝土模板及支架费</w:t>
            </w:r>
          </w:p>
        </w:tc>
        <w:tc>
          <w:tcPr>
            <w:tcW w:w="105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61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33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105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2" w:hRule="atLeast"/>
        </w:trPr>
        <w:tc>
          <w:tcPr>
            <w:tcW w:w="61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3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脚手架费</w:t>
            </w:r>
          </w:p>
        </w:tc>
        <w:tc>
          <w:tcPr>
            <w:tcW w:w="105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2" w:hRule="atLeast"/>
        </w:trPr>
        <w:tc>
          <w:tcPr>
            <w:tcW w:w="61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3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垂直运输机械费</w:t>
            </w:r>
          </w:p>
        </w:tc>
        <w:tc>
          <w:tcPr>
            <w:tcW w:w="105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61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3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大型机械设备进出场及安拆费</w:t>
            </w:r>
          </w:p>
        </w:tc>
        <w:tc>
          <w:tcPr>
            <w:tcW w:w="105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61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33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施工排水、降水费</w:t>
            </w:r>
          </w:p>
        </w:tc>
        <w:tc>
          <w:tcPr>
            <w:tcW w:w="105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61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33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专业工程措施项目费</w:t>
            </w:r>
          </w:p>
        </w:tc>
        <w:tc>
          <w:tcPr>
            <w:tcW w:w="105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61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333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土方支护结构</w:t>
            </w:r>
          </w:p>
        </w:tc>
        <w:tc>
          <w:tcPr>
            <w:tcW w:w="105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61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333"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05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394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注：专业工程措施项目费可根据工程实际在本表中补充。</w:t>
            </w:r>
          </w:p>
        </w:tc>
      </w:tr>
    </w:tbl>
    <w:p>
      <w:pPr>
        <w:rPr>
          <w:rFonts w:hint="eastAsia" w:ascii="宋体" w:hAnsi="宋体"/>
          <w:sz w:val="21"/>
          <w:szCs w:val="21"/>
          <w:lang w:val="en-US" w:eastAsia="zh-CN"/>
        </w:rPr>
      </w:pPr>
    </w:p>
    <w:p>
      <w:pPr>
        <w:rPr>
          <w:rFonts w:hint="eastAsia" w:ascii="宋体" w:hAnsi="宋体"/>
          <w:sz w:val="21"/>
          <w:szCs w:val="21"/>
          <w:lang w:val="en-US" w:eastAsia="zh-CN"/>
        </w:rPr>
      </w:pPr>
    </w:p>
    <w:p>
      <w:pPr>
        <w:spacing w:before="0" w:after="0" w:line="240" w:lineRule="auto"/>
        <w:jc w:val="left"/>
        <w:outlineLvl w:val="9"/>
        <w:rPr>
          <w:rFonts w:ascii="宋体" w:hAnsi="宋体" w:eastAsia="宋体"/>
          <w:sz w:val="21"/>
          <w:szCs w:val="21"/>
        </w:rPr>
      </w:pPr>
      <w:r>
        <w:rPr>
          <w:rFonts w:ascii="宋体" w:hAnsi="宋体" w:eastAsia="宋体"/>
          <w:sz w:val="21"/>
          <w:szCs w:val="21"/>
        </w:rPr>
        <w:t>4</w:t>
      </w:r>
      <w:r>
        <w:rPr>
          <w:rFonts w:hint="eastAsia" w:ascii="宋体" w:hAnsi="宋体" w:eastAsia="宋体"/>
          <w:sz w:val="21"/>
          <w:szCs w:val="21"/>
        </w:rPr>
        <w:t>-</w:t>
      </w:r>
      <w:r>
        <w:rPr>
          <w:rFonts w:hint="eastAsia" w:ascii="宋体" w:hAnsi="宋体" w:eastAsia="宋体"/>
          <w:sz w:val="21"/>
          <w:szCs w:val="21"/>
          <w:lang w:val="en-US" w:eastAsia="zh-CN"/>
        </w:rPr>
        <w:t>5</w:t>
      </w:r>
      <w:r>
        <w:rPr>
          <w:rFonts w:hint="eastAsia" w:ascii="宋体" w:hAnsi="宋体" w:eastAsia="宋体"/>
          <w:sz w:val="21"/>
          <w:szCs w:val="21"/>
        </w:rPr>
        <w:t>措施项目清单与计价表</w:t>
      </w:r>
    </w:p>
    <w:p>
      <w:pPr>
        <w:rPr>
          <w:rFonts w:hint="eastAsia" w:ascii="宋体" w:hAnsi="宋体"/>
          <w:sz w:val="21"/>
          <w:szCs w:val="21"/>
          <w:lang w:val="en-US" w:eastAsia="zh-CN"/>
        </w:rPr>
      </w:pPr>
    </w:p>
    <w:tbl>
      <w:tblPr>
        <w:tblStyle w:val="4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7"/>
        <w:gridCol w:w="1386"/>
        <w:gridCol w:w="1015"/>
        <w:gridCol w:w="1742"/>
        <w:gridCol w:w="416"/>
        <w:gridCol w:w="816"/>
        <w:gridCol w:w="1016"/>
        <w:gridCol w:w="13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措施项目清单与计价表(一)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 w:hRule="atLeast"/>
        </w:trPr>
        <w:tc>
          <w:tcPr>
            <w:tcW w:w="5000" w:type="pct"/>
            <w:gridSpan w:val="8"/>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1724" w:type="pct"/>
            <w:gridSpan w:val="3"/>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工程名称:市体育中心周边无障碍环境提升建设工程项目</w:t>
            </w:r>
          </w:p>
        </w:tc>
        <w:tc>
          <w:tcPr>
            <w:tcW w:w="1904" w:type="pct"/>
            <w:gridSpan w:val="3"/>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标段：</w:t>
            </w:r>
          </w:p>
        </w:tc>
        <w:tc>
          <w:tcPr>
            <w:tcW w:w="1371" w:type="pct"/>
            <w:gridSpan w:val="2"/>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第1页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533" w:type="pct"/>
            <w:vMerge w:val="restar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号</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683"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10"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562" w:type="pct"/>
            <w:vMerge w:val="restar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1371" w:type="pct"/>
            <w:gridSpan w:val="2"/>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533" w:type="pct"/>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20"/>
                <w:szCs w:val="20"/>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683"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1110"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20"/>
                <w:szCs w:val="20"/>
                <w:u w:val="none"/>
              </w:rPr>
            </w:pPr>
          </w:p>
        </w:tc>
        <w:tc>
          <w:tcPr>
            <w:tcW w:w="468"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90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53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18"/>
                <w:szCs w:val="18"/>
                <w:u w:val="none"/>
              </w:rPr>
            </w:pPr>
          </w:p>
        </w:tc>
        <w:tc>
          <w:tcPr>
            <w:tcW w:w="68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施工临时围挡费</w:t>
            </w:r>
          </w:p>
        </w:tc>
        <w:tc>
          <w:tcPr>
            <w:tcW w:w="111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56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468"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90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rPr>
        <w:tc>
          <w:tcPr>
            <w:tcW w:w="53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0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011710B001001</w:t>
            </w:r>
          </w:p>
        </w:tc>
        <w:tc>
          <w:tcPr>
            <w:tcW w:w="68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施工围挡（水马封闭式施工）</w:t>
            </w:r>
          </w:p>
        </w:tc>
        <w:tc>
          <w:tcPr>
            <w:tcW w:w="111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(1)施工围挡（水马封闭式施工）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(2)部位：隆江猪脚饭（四家共用）</w:t>
            </w:r>
          </w:p>
        </w:tc>
        <w:tc>
          <w:tcPr>
            <w:tcW w:w="23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56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90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53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50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独立费</w:t>
            </w:r>
          </w:p>
        </w:tc>
        <w:tc>
          <w:tcPr>
            <w:tcW w:w="68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水马围挡</w:t>
            </w:r>
          </w:p>
        </w:tc>
        <w:tc>
          <w:tcPr>
            <w:tcW w:w="111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90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rPr>
        <w:tc>
          <w:tcPr>
            <w:tcW w:w="53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0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011710B001002</w:t>
            </w:r>
          </w:p>
        </w:tc>
        <w:tc>
          <w:tcPr>
            <w:tcW w:w="68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施工围挡（水马封闭式施工）</w:t>
            </w:r>
          </w:p>
        </w:tc>
        <w:tc>
          <w:tcPr>
            <w:tcW w:w="111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(1)施工围挡（水马封闭式施工）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(2)部位：百果园斜坡（外）</w:t>
            </w:r>
          </w:p>
        </w:tc>
        <w:tc>
          <w:tcPr>
            <w:tcW w:w="23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56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90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53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50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独立费</w:t>
            </w:r>
          </w:p>
        </w:tc>
        <w:tc>
          <w:tcPr>
            <w:tcW w:w="68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水马围挡</w:t>
            </w:r>
          </w:p>
        </w:tc>
        <w:tc>
          <w:tcPr>
            <w:tcW w:w="111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90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rPr>
        <w:tc>
          <w:tcPr>
            <w:tcW w:w="53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0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011710B001003</w:t>
            </w:r>
          </w:p>
        </w:tc>
        <w:tc>
          <w:tcPr>
            <w:tcW w:w="68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施工围挡（水马封闭式施工）</w:t>
            </w:r>
          </w:p>
        </w:tc>
        <w:tc>
          <w:tcPr>
            <w:tcW w:w="111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(1)施工围挡（水马封闭式施工）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(2)部位：潮林阁（小龙茵酒家）</w:t>
            </w:r>
          </w:p>
        </w:tc>
        <w:tc>
          <w:tcPr>
            <w:tcW w:w="23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56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90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53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50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独立费</w:t>
            </w:r>
          </w:p>
        </w:tc>
        <w:tc>
          <w:tcPr>
            <w:tcW w:w="68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水马围挡</w:t>
            </w:r>
          </w:p>
        </w:tc>
        <w:tc>
          <w:tcPr>
            <w:tcW w:w="111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90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53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0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011710B001004</w:t>
            </w:r>
          </w:p>
        </w:tc>
        <w:tc>
          <w:tcPr>
            <w:tcW w:w="68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施工围挡（水马封闭式施工）</w:t>
            </w:r>
          </w:p>
        </w:tc>
        <w:tc>
          <w:tcPr>
            <w:tcW w:w="111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(1)施工围挡（水马封闭式施工）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(2)部位：大自然醉鹅</w:t>
            </w:r>
          </w:p>
        </w:tc>
        <w:tc>
          <w:tcPr>
            <w:tcW w:w="23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56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90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53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50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独立费</w:t>
            </w:r>
          </w:p>
        </w:tc>
        <w:tc>
          <w:tcPr>
            <w:tcW w:w="68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水马围挡</w:t>
            </w:r>
          </w:p>
        </w:tc>
        <w:tc>
          <w:tcPr>
            <w:tcW w:w="111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90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53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0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011710B001005</w:t>
            </w:r>
          </w:p>
        </w:tc>
        <w:tc>
          <w:tcPr>
            <w:tcW w:w="68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施工围挡（水马封闭式施工）</w:t>
            </w:r>
          </w:p>
        </w:tc>
        <w:tc>
          <w:tcPr>
            <w:tcW w:w="111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(1)施工围挡（水马封闭式施工）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(2)部位：老船长酒家</w:t>
            </w:r>
          </w:p>
        </w:tc>
        <w:tc>
          <w:tcPr>
            <w:tcW w:w="23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56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90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53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50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独立费</w:t>
            </w:r>
          </w:p>
        </w:tc>
        <w:tc>
          <w:tcPr>
            <w:tcW w:w="68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水马围挡</w:t>
            </w:r>
          </w:p>
        </w:tc>
        <w:tc>
          <w:tcPr>
            <w:tcW w:w="111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90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53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0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011710B001006</w:t>
            </w:r>
          </w:p>
        </w:tc>
        <w:tc>
          <w:tcPr>
            <w:tcW w:w="68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施工围挡（水马封闭式施工）</w:t>
            </w:r>
          </w:p>
        </w:tc>
        <w:tc>
          <w:tcPr>
            <w:tcW w:w="111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(1)施工围挡（水马封闭式施工）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(2)部位：消防公园</w:t>
            </w:r>
          </w:p>
        </w:tc>
        <w:tc>
          <w:tcPr>
            <w:tcW w:w="23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56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90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53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50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独立费</w:t>
            </w:r>
          </w:p>
        </w:tc>
        <w:tc>
          <w:tcPr>
            <w:tcW w:w="68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水马围挡</w:t>
            </w:r>
          </w:p>
        </w:tc>
        <w:tc>
          <w:tcPr>
            <w:tcW w:w="111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90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rPr>
        <w:tc>
          <w:tcPr>
            <w:tcW w:w="53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0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011710B001007</w:t>
            </w:r>
          </w:p>
        </w:tc>
        <w:tc>
          <w:tcPr>
            <w:tcW w:w="68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施工围挡（水马封闭式施工）</w:t>
            </w:r>
          </w:p>
        </w:tc>
        <w:tc>
          <w:tcPr>
            <w:tcW w:w="111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(1)施工围挡（水马封闭式施工）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(2)部位：麦当劳（长安花园）</w:t>
            </w:r>
          </w:p>
        </w:tc>
        <w:tc>
          <w:tcPr>
            <w:tcW w:w="23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56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90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53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50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独立费</w:t>
            </w:r>
          </w:p>
        </w:tc>
        <w:tc>
          <w:tcPr>
            <w:tcW w:w="68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水马围挡</w:t>
            </w:r>
          </w:p>
        </w:tc>
        <w:tc>
          <w:tcPr>
            <w:tcW w:w="111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90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rPr>
        <w:tc>
          <w:tcPr>
            <w:tcW w:w="53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0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011710B001008</w:t>
            </w:r>
          </w:p>
        </w:tc>
        <w:tc>
          <w:tcPr>
            <w:tcW w:w="68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施工围挡（水马封闭式施工）</w:t>
            </w:r>
          </w:p>
        </w:tc>
        <w:tc>
          <w:tcPr>
            <w:tcW w:w="111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(1)施工围挡（水马封闭式施工）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(2)部位：鹏盛党群服务中心</w:t>
            </w:r>
          </w:p>
        </w:tc>
        <w:tc>
          <w:tcPr>
            <w:tcW w:w="23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56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90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53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50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独立费</w:t>
            </w:r>
          </w:p>
        </w:tc>
        <w:tc>
          <w:tcPr>
            <w:tcW w:w="68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水马围挡</w:t>
            </w:r>
          </w:p>
        </w:tc>
        <w:tc>
          <w:tcPr>
            <w:tcW w:w="111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90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09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rPr>
        <w:tc>
          <w:tcPr>
            <w:tcW w:w="53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0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011710B001009</w:t>
            </w:r>
          </w:p>
        </w:tc>
        <w:tc>
          <w:tcPr>
            <w:tcW w:w="68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施工围挡（水马封闭式施工）</w:t>
            </w:r>
          </w:p>
        </w:tc>
        <w:tc>
          <w:tcPr>
            <w:tcW w:w="111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(1)施工围挡（水马封闭式施工）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(2)部位：长城党群服务中心前门</w:t>
            </w:r>
          </w:p>
        </w:tc>
        <w:tc>
          <w:tcPr>
            <w:tcW w:w="23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56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90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53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w:t>
            </w:r>
          </w:p>
        </w:tc>
        <w:tc>
          <w:tcPr>
            <w:tcW w:w="50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独立费</w:t>
            </w:r>
          </w:p>
        </w:tc>
        <w:tc>
          <w:tcPr>
            <w:tcW w:w="68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水马围挡</w:t>
            </w:r>
          </w:p>
        </w:tc>
        <w:tc>
          <w:tcPr>
            <w:tcW w:w="111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90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rPr>
        <w:tc>
          <w:tcPr>
            <w:tcW w:w="53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50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011710B001010</w:t>
            </w:r>
          </w:p>
        </w:tc>
        <w:tc>
          <w:tcPr>
            <w:tcW w:w="68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施工围挡（水马封闭式施工）</w:t>
            </w:r>
          </w:p>
        </w:tc>
        <w:tc>
          <w:tcPr>
            <w:tcW w:w="111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(1)施工围挡（水马封闭式施工）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(2)部位：长城党群服务中心前门（旗杆下）</w:t>
            </w:r>
          </w:p>
        </w:tc>
        <w:tc>
          <w:tcPr>
            <w:tcW w:w="23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56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90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53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1.10.1</w:t>
            </w:r>
          </w:p>
        </w:tc>
        <w:tc>
          <w:tcPr>
            <w:tcW w:w="50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独立费</w:t>
            </w:r>
          </w:p>
        </w:tc>
        <w:tc>
          <w:tcPr>
            <w:tcW w:w="68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水马围挡</w:t>
            </w:r>
          </w:p>
        </w:tc>
        <w:tc>
          <w:tcPr>
            <w:tcW w:w="111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90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rPr>
        <w:tc>
          <w:tcPr>
            <w:tcW w:w="53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50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011710B001011</w:t>
            </w:r>
          </w:p>
        </w:tc>
        <w:tc>
          <w:tcPr>
            <w:tcW w:w="68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施工围挡（水马封闭式施工）</w:t>
            </w:r>
          </w:p>
        </w:tc>
        <w:tc>
          <w:tcPr>
            <w:tcW w:w="111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(1)施工围挡（水马封闭式施工）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(2)部位：福田区园岭街道长者服务中心</w:t>
            </w:r>
          </w:p>
        </w:tc>
        <w:tc>
          <w:tcPr>
            <w:tcW w:w="23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56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90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53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1.11.1</w:t>
            </w:r>
          </w:p>
        </w:tc>
        <w:tc>
          <w:tcPr>
            <w:tcW w:w="50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独立费</w:t>
            </w:r>
          </w:p>
        </w:tc>
        <w:tc>
          <w:tcPr>
            <w:tcW w:w="68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水马围挡</w:t>
            </w:r>
          </w:p>
        </w:tc>
        <w:tc>
          <w:tcPr>
            <w:tcW w:w="111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90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rPr>
        <w:tc>
          <w:tcPr>
            <w:tcW w:w="53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50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011710B001012</w:t>
            </w:r>
          </w:p>
        </w:tc>
        <w:tc>
          <w:tcPr>
            <w:tcW w:w="68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施工围挡（水马封闭式施工）</w:t>
            </w:r>
          </w:p>
        </w:tc>
        <w:tc>
          <w:tcPr>
            <w:tcW w:w="111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(1)施工围挡（水马封闭式施工）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(2)部位：园岭街道体育工作站</w:t>
            </w:r>
          </w:p>
        </w:tc>
        <w:tc>
          <w:tcPr>
            <w:tcW w:w="23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56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90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533"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1.12.1</w:t>
            </w:r>
          </w:p>
        </w:tc>
        <w:tc>
          <w:tcPr>
            <w:tcW w:w="50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独立费</w:t>
            </w:r>
          </w:p>
        </w:tc>
        <w:tc>
          <w:tcPr>
            <w:tcW w:w="68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水马围挡</w:t>
            </w:r>
          </w:p>
        </w:tc>
        <w:tc>
          <w:tcPr>
            <w:tcW w:w="111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18"/>
                <w:szCs w:val="18"/>
                <w:u w:val="none"/>
              </w:rPr>
            </w:pPr>
          </w:p>
        </w:tc>
        <w:tc>
          <w:tcPr>
            <w:tcW w:w="23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90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09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097"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注：本表适用于以综合单价形式计价的措施项目。</w:t>
            </w:r>
          </w:p>
        </w:tc>
      </w:tr>
    </w:tbl>
    <w:p>
      <w:pPr>
        <w:rPr>
          <w:rFonts w:hint="eastAsia" w:ascii="宋体" w:hAnsi="宋体"/>
          <w:sz w:val="21"/>
          <w:szCs w:val="21"/>
          <w:lang w:val="en-US" w:eastAsia="zh-CN"/>
        </w:rPr>
      </w:pPr>
    </w:p>
    <w:p>
      <w:pPr>
        <w:spacing w:before="0" w:after="0" w:line="240" w:lineRule="auto"/>
        <w:jc w:val="left"/>
        <w:outlineLvl w:val="9"/>
        <w:rPr>
          <w:rFonts w:ascii="宋体" w:hAnsi="宋体" w:eastAsia="宋体"/>
          <w:sz w:val="21"/>
          <w:szCs w:val="21"/>
        </w:rPr>
      </w:pPr>
      <w:r>
        <w:rPr>
          <w:rFonts w:ascii="宋体" w:hAnsi="宋体" w:eastAsia="宋体"/>
          <w:sz w:val="21"/>
          <w:szCs w:val="21"/>
        </w:rPr>
        <w:t>4</w:t>
      </w:r>
      <w:r>
        <w:rPr>
          <w:rFonts w:hint="eastAsia" w:ascii="宋体" w:hAnsi="宋体" w:eastAsia="宋体"/>
          <w:sz w:val="21"/>
          <w:szCs w:val="21"/>
        </w:rPr>
        <w:t>-</w:t>
      </w:r>
      <w:r>
        <w:rPr>
          <w:rFonts w:hint="eastAsia" w:ascii="宋体" w:hAnsi="宋体" w:eastAsia="宋体"/>
          <w:sz w:val="21"/>
          <w:szCs w:val="21"/>
          <w:lang w:val="en-US" w:eastAsia="zh-CN"/>
        </w:rPr>
        <w:t>6</w:t>
      </w:r>
      <w:r>
        <w:rPr>
          <w:rFonts w:hint="eastAsia" w:ascii="宋体" w:hAnsi="宋体" w:eastAsia="宋体"/>
          <w:sz w:val="21"/>
          <w:szCs w:val="21"/>
        </w:rPr>
        <w:t>规费、应纳税费项目清单与计价表</w:t>
      </w:r>
    </w:p>
    <w:p>
      <w:pPr>
        <w:rPr>
          <w:rFonts w:hint="eastAsia" w:ascii="宋体" w:hAnsi="宋体"/>
          <w:sz w:val="21"/>
          <w:szCs w:val="21"/>
          <w:lang w:val="en-US" w:eastAsia="zh-CN"/>
        </w:rPr>
      </w:pPr>
    </w:p>
    <w:tbl>
      <w:tblPr>
        <w:tblStyle w:val="4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3177"/>
        <w:gridCol w:w="2771"/>
        <w:gridCol w:w="809"/>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规费、应纳税费项目清单与计价表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 w:hRule="atLeast"/>
        </w:trPr>
        <w:tc>
          <w:tcPr>
            <w:tcW w:w="5000" w:type="pct"/>
            <w:gridSpan w:val="5"/>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2171" w:type="pct"/>
            <w:gridSpan w:val="2"/>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工程名称:市体育中心周边无障碍环境提升建设工程项目</w:t>
            </w:r>
          </w:p>
        </w:tc>
        <w:tc>
          <w:tcPr>
            <w:tcW w:w="1642" w:type="pct"/>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1185" w:type="pct"/>
            <w:gridSpan w:val="2"/>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291"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87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64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计算基础</w:t>
            </w:r>
          </w:p>
        </w:tc>
        <w:tc>
          <w:tcPr>
            <w:tcW w:w="49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费率(%)</w:t>
            </w:r>
          </w:p>
        </w:tc>
        <w:tc>
          <w:tcPr>
            <w:tcW w:w="69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291"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7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164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(分部分项工程费+措施项目工程费+其他项目费)中的人工费;费率参考范围11%~25%,推荐费率18%</w:t>
            </w:r>
          </w:p>
        </w:tc>
        <w:tc>
          <w:tcPr>
            <w:tcW w:w="491"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291"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7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应纳税费</w:t>
            </w:r>
          </w:p>
        </w:tc>
        <w:tc>
          <w:tcPr>
            <w:tcW w:w="164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应纳税费合计</w:t>
            </w:r>
          </w:p>
        </w:tc>
        <w:tc>
          <w:tcPr>
            <w:tcW w:w="491"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291"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87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增值税应纳税额</w:t>
            </w:r>
          </w:p>
        </w:tc>
        <w:tc>
          <w:tcPr>
            <w:tcW w:w="164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分部分项工程费+措施项目费+其他项目费+规费-发包人供应材料费</w:t>
            </w:r>
          </w:p>
        </w:tc>
        <w:tc>
          <w:tcPr>
            <w:tcW w:w="491"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91"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87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城市维护建设税、教育费附加及地方教育费附加</w:t>
            </w:r>
          </w:p>
        </w:tc>
        <w:tc>
          <w:tcPr>
            <w:tcW w:w="164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增值税应纳税额</w:t>
            </w:r>
          </w:p>
        </w:tc>
        <w:tc>
          <w:tcPr>
            <w:tcW w:w="491"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30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bl>
    <w:p>
      <w:pPr>
        <w:rPr>
          <w:rFonts w:hint="eastAsia" w:ascii="宋体" w:hAnsi="宋体"/>
          <w:sz w:val="21"/>
          <w:szCs w:val="21"/>
          <w:lang w:val="en-US" w:eastAsia="zh-CN"/>
        </w:rPr>
      </w:pPr>
    </w:p>
    <w:p>
      <w:pPr>
        <w:rPr>
          <w:rFonts w:hint="eastAsia" w:ascii="宋体" w:hAnsi="宋体"/>
          <w:sz w:val="21"/>
          <w:szCs w:val="21"/>
          <w:lang w:val="en-US" w:eastAsia="zh-CN"/>
        </w:rPr>
      </w:pPr>
    </w:p>
    <w:p>
      <w:pPr>
        <w:pStyle w:val="2"/>
        <w:ind w:firstLineChars="196"/>
      </w:pPr>
    </w:p>
    <w:p>
      <w:pPr>
        <w:pStyle w:val="2"/>
        <w:rPr>
          <w:rFonts w:hint="default"/>
          <w:lang w:val="en-US" w:eastAsia="zh-CN"/>
        </w:rPr>
      </w:pPr>
    </w:p>
    <w:p>
      <w:pPr>
        <w:tabs>
          <w:tab w:val="left" w:pos="720"/>
        </w:tabs>
        <w:jc w:val="center"/>
        <w:rPr>
          <w:b/>
          <w:sz w:val="24"/>
        </w:rPr>
      </w:pPr>
      <w:r>
        <w:rPr>
          <w:rFonts w:hint="eastAsia"/>
          <w:b/>
          <w:sz w:val="24"/>
        </w:rPr>
        <w:t>（二）</w:t>
      </w:r>
      <w:bookmarkStart w:id="38" w:name="_Hlk72073235"/>
      <w:r>
        <w:rPr>
          <w:rFonts w:hint="eastAsia"/>
          <w:b/>
          <w:sz w:val="24"/>
        </w:rPr>
        <w:t>投标人认为需要涉及的其他内容报价清单</w:t>
      </w:r>
      <w:bookmarkEnd w:id="38"/>
    </w:p>
    <w:p/>
    <w:p>
      <w:pPr>
        <w:pStyle w:val="2"/>
      </w:pPr>
    </w:p>
    <w:p>
      <w:pPr>
        <w:pStyle w:val="35"/>
      </w:pPr>
    </w:p>
    <w:p>
      <w:pPr>
        <w:pStyle w:val="35"/>
      </w:pPr>
    </w:p>
    <w:p>
      <w:pPr>
        <w:pStyle w:val="5"/>
        <w:spacing w:line="276" w:lineRule="auto"/>
        <w:jc w:val="center"/>
        <w:rPr>
          <w:rFonts w:hint="eastAsia" w:ascii="黑体" w:eastAsia="黑体"/>
          <w:b w:val="0"/>
          <w:kern w:val="0"/>
          <w:sz w:val="24"/>
          <w:szCs w:val="24"/>
        </w:rPr>
      </w:pPr>
      <w:r>
        <w:rPr>
          <w:rFonts w:hint="eastAsia" w:ascii="黑体" w:eastAsia="黑体"/>
          <w:b w:val="0"/>
          <w:kern w:val="0"/>
          <w:sz w:val="24"/>
          <w:szCs w:val="24"/>
        </w:rPr>
        <w:t>五、</w:t>
      </w:r>
      <w:r>
        <w:rPr>
          <w:rFonts w:hint="eastAsia" w:ascii="黑体" w:eastAsia="黑体"/>
          <w:b w:val="0"/>
          <w:kern w:val="0"/>
          <w:sz w:val="24"/>
          <w:szCs w:val="24"/>
          <w:lang w:val="en-US" w:eastAsia="zh-CN"/>
        </w:rPr>
        <w:t>有效</w:t>
      </w:r>
      <w:r>
        <w:rPr>
          <w:rFonts w:hint="eastAsia" w:ascii="黑体" w:eastAsia="黑体"/>
          <w:b w:val="0"/>
          <w:kern w:val="0"/>
          <w:sz w:val="24"/>
          <w:szCs w:val="24"/>
        </w:rPr>
        <w:t>业绩</w:t>
      </w:r>
    </w:p>
    <w:p/>
    <w:tbl>
      <w:tblPr>
        <w:tblStyle w:val="42"/>
        <w:tblW w:w="9015"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75"/>
        <w:gridCol w:w="1267"/>
        <w:gridCol w:w="1105"/>
        <w:gridCol w:w="1538"/>
        <w:gridCol w:w="1287"/>
        <w:gridCol w:w="1113"/>
        <w:gridCol w:w="907"/>
        <w:gridCol w:w="1123"/>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56" w:hRule="atLeast"/>
          <w:jc w:val="center"/>
        </w:trPr>
        <w:tc>
          <w:tcPr>
            <w:tcW w:w="675" w:type="dxa"/>
            <w:vAlign w:val="center"/>
          </w:tcPr>
          <w:p>
            <w:pPr>
              <w:spacing w:line="276" w:lineRule="auto"/>
              <w:jc w:val="center"/>
              <w:rPr>
                <w:rFonts w:ascii="宋体"/>
                <w:szCs w:val="21"/>
              </w:rPr>
            </w:pPr>
            <w:r>
              <w:rPr>
                <w:rFonts w:hint="eastAsia" w:ascii="宋体" w:hAnsi="宋体"/>
                <w:szCs w:val="21"/>
              </w:rPr>
              <w:t>序号</w:t>
            </w:r>
          </w:p>
        </w:tc>
        <w:tc>
          <w:tcPr>
            <w:tcW w:w="1267" w:type="dxa"/>
            <w:vAlign w:val="center"/>
          </w:tcPr>
          <w:p>
            <w:pPr>
              <w:spacing w:line="276" w:lineRule="auto"/>
              <w:jc w:val="center"/>
              <w:rPr>
                <w:rFonts w:ascii="宋体"/>
                <w:szCs w:val="21"/>
              </w:rPr>
            </w:pPr>
            <w:r>
              <w:rPr>
                <w:rFonts w:hint="eastAsia" w:ascii="宋体" w:hAnsi="宋体"/>
                <w:szCs w:val="21"/>
              </w:rPr>
              <w:t>采购人</w:t>
            </w:r>
          </w:p>
        </w:tc>
        <w:tc>
          <w:tcPr>
            <w:tcW w:w="1105" w:type="dxa"/>
            <w:vAlign w:val="center"/>
          </w:tcPr>
          <w:p>
            <w:pPr>
              <w:spacing w:line="276" w:lineRule="auto"/>
              <w:jc w:val="center"/>
              <w:rPr>
                <w:rFonts w:ascii="宋体"/>
                <w:szCs w:val="21"/>
              </w:rPr>
            </w:pPr>
            <w:r>
              <w:rPr>
                <w:rFonts w:hint="eastAsia" w:ascii="宋体" w:hAnsi="宋体"/>
                <w:szCs w:val="21"/>
              </w:rPr>
              <w:t>项目名称</w:t>
            </w:r>
          </w:p>
        </w:tc>
        <w:tc>
          <w:tcPr>
            <w:tcW w:w="1538" w:type="dxa"/>
            <w:vAlign w:val="center"/>
          </w:tcPr>
          <w:p>
            <w:pPr>
              <w:spacing w:line="276" w:lineRule="auto"/>
              <w:jc w:val="center"/>
              <w:rPr>
                <w:rFonts w:ascii="宋体"/>
                <w:szCs w:val="21"/>
              </w:rPr>
            </w:pPr>
            <w:r>
              <w:rPr>
                <w:rFonts w:hint="eastAsia" w:ascii="宋体"/>
                <w:szCs w:val="21"/>
              </w:rPr>
              <w:t>合同签订时间</w:t>
            </w:r>
          </w:p>
        </w:tc>
        <w:tc>
          <w:tcPr>
            <w:tcW w:w="1287" w:type="dxa"/>
            <w:vAlign w:val="center"/>
          </w:tcPr>
          <w:p>
            <w:pPr>
              <w:spacing w:line="276" w:lineRule="auto"/>
              <w:jc w:val="center"/>
              <w:rPr>
                <w:rFonts w:ascii="宋体"/>
                <w:szCs w:val="21"/>
              </w:rPr>
            </w:pPr>
            <w:r>
              <w:rPr>
                <w:rFonts w:hint="eastAsia" w:ascii="宋体" w:hAnsi="宋体"/>
                <w:szCs w:val="21"/>
              </w:rPr>
              <w:t>完成时间</w:t>
            </w:r>
          </w:p>
        </w:tc>
        <w:tc>
          <w:tcPr>
            <w:tcW w:w="1113" w:type="dxa"/>
            <w:vAlign w:val="center"/>
          </w:tcPr>
          <w:p>
            <w:pPr>
              <w:spacing w:line="276" w:lineRule="auto"/>
              <w:jc w:val="center"/>
              <w:rPr>
                <w:rFonts w:ascii="宋体"/>
                <w:szCs w:val="21"/>
              </w:rPr>
            </w:pPr>
            <w:r>
              <w:rPr>
                <w:rFonts w:hint="eastAsia" w:ascii="宋体" w:hAnsi="宋体"/>
                <w:szCs w:val="21"/>
              </w:rPr>
              <w:t>服务情况</w:t>
            </w:r>
          </w:p>
        </w:tc>
        <w:tc>
          <w:tcPr>
            <w:tcW w:w="907" w:type="dxa"/>
            <w:vAlign w:val="center"/>
          </w:tcPr>
          <w:p>
            <w:pPr>
              <w:spacing w:line="276" w:lineRule="auto"/>
              <w:jc w:val="center"/>
              <w:rPr>
                <w:rFonts w:ascii="宋体"/>
                <w:szCs w:val="21"/>
              </w:rPr>
            </w:pPr>
            <w:r>
              <w:rPr>
                <w:rFonts w:hint="eastAsia" w:ascii="宋体" w:hAnsi="宋体"/>
                <w:szCs w:val="21"/>
              </w:rPr>
              <w:t>联系人</w:t>
            </w:r>
          </w:p>
        </w:tc>
        <w:tc>
          <w:tcPr>
            <w:tcW w:w="1123" w:type="dxa"/>
            <w:vAlign w:val="center"/>
          </w:tcPr>
          <w:p>
            <w:pPr>
              <w:spacing w:line="276" w:lineRule="auto"/>
              <w:jc w:val="center"/>
              <w:rPr>
                <w:rFonts w:ascii="宋体"/>
                <w:szCs w:val="21"/>
              </w:rPr>
            </w:pPr>
            <w:r>
              <w:rPr>
                <w:rFonts w:hint="eastAsia" w:ascii="宋体" w:hAnsi="宋体"/>
                <w:szCs w:val="21"/>
              </w:rPr>
              <w:t>联系电话</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92" w:hRule="atLeast"/>
          <w:jc w:val="center"/>
        </w:trPr>
        <w:tc>
          <w:tcPr>
            <w:tcW w:w="675" w:type="dxa"/>
          </w:tcPr>
          <w:p>
            <w:pPr>
              <w:spacing w:line="276" w:lineRule="auto"/>
              <w:rPr>
                <w:rFonts w:ascii="宋体"/>
                <w:szCs w:val="21"/>
              </w:rPr>
            </w:pPr>
          </w:p>
        </w:tc>
        <w:tc>
          <w:tcPr>
            <w:tcW w:w="1267" w:type="dxa"/>
          </w:tcPr>
          <w:p>
            <w:pPr>
              <w:spacing w:line="276" w:lineRule="auto"/>
              <w:rPr>
                <w:rFonts w:ascii="宋体"/>
                <w:szCs w:val="21"/>
              </w:rPr>
            </w:pPr>
          </w:p>
        </w:tc>
        <w:tc>
          <w:tcPr>
            <w:tcW w:w="1105" w:type="dxa"/>
          </w:tcPr>
          <w:p>
            <w:pPr>
              <w:spacing w:line="276" w:lineRule="auto"/>
              <w:rPr>
                <w:rFonts w:ascii="宋体"/>
                <w:szCs w:val="21"/>
              </w:rPr>
            </w:pPr>
          </w:p>
        </w:tc>
        <w:tc>
          <w:tcPr>
            <w:tcW w:w="1538" w:type="dxa"/>
          </w:tcPr>
          <w:p>
            <w:pPr>
              <w:spacing w:line="276" w:lineRule="auto"/>
              <w:rPr>
                <w:rFonts w:ascii="宋体"/>
                <w:szCs w:val="21"/>
              </w:rPr>
            </w:pPr>
          </w:p>
        </w:tc>
        <w:tc>
          <w:tcPr>
            <w:tcW w:w="1287" w:type="dxa"/>
          </w:tcPr>
          <w:p>
            <w:pPr>
              <w:spacing w:line="276" w:lineRule="auto"/>
              <w:rPr>
                <w:rFonts w:ascii="宋体"/>
                <w:szCs w:val="21"/>
              </w:rPr>
            </w:pPr>
          </w:p>
        </w:tc>
        <w:tc>
          <w:tcPr>
            <w:tcW w:w="1113" w:type="dxa"/>
          </w:tcPr>
          <w:p>
            <w:pPr>
              <w:spacing w:line="276" w:lineRule="auto"/>
              <w:rPr>
                <w:rFonts w:ascii="宋体"/>
                <w:szCs w:val="21"/>
              </w:rPr>
            </w:pPr>
          </w:p>
        </w:tc>
        <w:tc>
          <w:tcPr>
            <w:tcW w:w="907" w:type="dxa"/>
          </w:tcPr>
          <w:p>
            <w:pPr>
              <w:spacing w:line="276" w:lineRule="auto"/>
              <w:rPr>
                <w:rFonts w:ascii="宋体"/>
                <w:szCs w:val="21"/>
              </w:rPr>
            </w:pPr>
          </w:p>
        </w:tc>
        <w:tc>
          <w:tcPr>
            <w:tcW w:w="1123" w:type="dxa"/>
          </w:tcPr>
          <w:p>
            <w:pPr>
              <w:spacing w:line="276" w:lineRule="auto"/>
              <w:rPr>
                <w:rFonts w:ascii="宋体"/>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92" w:hRule="atLeast"/>
          <w:jc w:val="center"/>
        </w:trPr>
        <w:tc>
          <w:tcPr>
            <w:tcW w:w="675" w:type="dxa"/>
          </w:tcPr>
          <w:p>
            <w:pPr>
              <w:spacing w:line="276" w:lineRule="auto"/>
              <w:rPr>
                <w:rFonts w:ascii="宋体"/>
                <w:szCs w:val="21"/>
              </w:rPr>
            </w:pPr>
          </w:p>
        </w:tc>
        <w:tc>
          <w:tcPr>
            <w:tcW w:w="1267" w:type="dxa"/>
          </w:tcPr>
          <w:p>
            <w:pPr>
              <w:spacing w:line="276" w:lineRule="auto"/>
              <w:rPr>
                <w:rFonts w:ascii="宋体"/>
                <w:szCs w:val="21"/>
              </w:rPr>
            </w:pPr>
          </w:p>
        </w:tc>
        <w:tc>
          <w:tcPr>
            <w:tcW w:w="1105" w:type="dxa"/>
          </w:tcPr>
          <w:p>
            <w:pPr>
              <w:spacing w:line="276" w:lineRule="auto"/>
              <w:rPr>
                <w:rFonts w:ascii="宋体"/>
                <w:szCs w:val="21"/>
              </w:rPr>
            </w:pPr>
          </w:p>
        </w:tc>
        <w:tc>
          <w:tcPr>
            <w:tcW w:w="1538" w:type="dxa"/>
          </w:tcPr>
          <w:p>
            <w:pPr>
              <w:spacing w:line="276" w:lineRule="auto"/>
              <w:rPr>
                <w:rFonts w:ascii="宋体"/>
                <w:szCs w:val="21"/>
              </w:rPr>
            </w:pPr>
          </w:p>
        </w:tc>
        <w:tc>
          <w:tcPr>
            <w:tcW w:w="1287" w:type="dxa"/>
          </w:tcPr>
          <w:p>
            <w:pPr>
              <w:spacing w:line="276" w:lineRule="auto"/>
              <w:rPr>
                <w:rFonts w:ascii="宋体"/>
                <w:szCs w:val="21"/>
              </w:rPr>
            </w:pPr>
          </w:p>
        </w:tc>
        <w:tc>
          <w:tcPr>
            <w:tcW w:w="1113" w:type="dxa"/>
          </w:tcPr>
          <w:p>
            <w:pPr>
              <w:spacing w:line="276" w:lineRule="auto"/>
              <w:rPr>
                <w:rFonts w:ascii="宋体"/>
                <w:szCs w:val="21"/>
              </w:rPr>
            </w:pPr>
          </w:p>
        </w:tc>
        <w:tc>
          <w:tcPr>
            <w:tcW w:w="907" w:type="dxa"/>
          </w:tcPr>
          <w:p>
            <w:pPr>
              <w:spacing w:line="276" w:lineRule="auto"/>
              <w:rPr>
                <w:rFonts w:ascii="宋体"/>
                <w:szCs w:val="21"/>
              </w:rPr>
            </w:pPr>
          </w:p>
        </w:tc>
        <w:tc>
          <w:tcPr>
            <w:tcW w:w="1123" w:type="dxa"/>
          </w:tcPr>
          <w:p>
            <w:pPr>
              <w:spacing w:line="276" w:lineRule="auto"/>
              <w:rPr>
                <w:rFonts w:ascii="宋体"/>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92" w:hRule="atLeast"/>
          <w:jc w:val="center"/>
        </w:trPr>
        <w:tc>
          <w:tcPr>
            <w:tcW w:w="675" w:type="dxa"/>
          </w:tcPr>
          <w:p>
            <w:pPr>
              <w:spacing w:line="276" w:lineRule="auto"/>
              <w:rPr>
                <w:rFonts w:ascii="宋体"/>
                <w:szCs w:val="21"/>
              </w:rPr>
            </w:pPr>
          </w:p>
        </w:tc>
        <w:tc>
          <w:tcPr>
            <w:tcW w:w="1267" w:type="dxa"/>
          </w:tcPr>
          <w:p>
            <w:pPr>
              <w:spacing w:line="276" w:lineRule="auto"/>
              <w:rPr>
                <w:rFonts w:ascii="宋体"/>
                <w:szCs w:val="21"/>
              </w:rPr>
            </w:pPr>
          </w:p>
        </w:tc>
        <w:tc>
          <w:tcPr>
            <w:tcW w:w="1105" w:type="dxa"/>
          </w:tcPr>
          <w:p>
            <w:pPr>
              <w:spacing w:line="276" w:lineRule="auto"/>
              <w:rPr>
                <w:rFonts w:ascii="宋体"/>
                <w:szCs w:val="21"/>
              </w:rPr>
            </w:pPr>
          </w:p>
        </w:tc>
        <w:tc>
          <w:tcPr>
            <w:tcW w:w="1538" w:type="dxa"/>
          </w:tcPr>
          <w:p>
            <w:pPr>
              <w:spacing w:line="276" w:lineRule="auto"/>
              <w:rPr>
                <w:rFonts w:ascii="宋体"/>
                <w:szCs w:val="21"/>
              </w:rPr>
            </w:pPr>
          </w:p>
        </w:tc>
        <w:tc>
          <w:tcPr>
            <w:tcW w:w="1287" w:type="dxa"/>
          </w:tcPr>
          <w:p>
            <w:pPr>
              <w:spacing w:line="276" w:lineRule="auto"/>
              <w:rPr>
                <w:rFonts w:ascii="宋体"/>
                <w:szCs w:val="21"/>
              </w:rPr>
            </w:pPr>
          </w:p>
        </w:tc>
        <w:tc>
          <w:tcPr>
            <w:tcW w:w="1113" w:type="dxa"/>
          </w:tcPr>
          <w:p>
            <w:pPr>
              <w:spacing w:line="276" w:lineRule="auto"/>
              <w:rPr>
                <w:rFonts w:ascii="宋体"/>
                <w:szCs w:val="21"/>
              </w:rPr>
            </w:pPr>
          </w:p>
        </w:tc>
        <w:tc>
          <w:tcPr>
            <w:tcW w:w="907" w:type="dxa"/>
          </w:tcPr>
          <w:p>
            <w:pPr>
              <w:spacing w:line="276" w:lineRule="auto"/>
              <w:rPr>
                <w:rFonts w:ascii="宋体"/>
                <w:szCs w:val="21"/>
              </w:rPr>
            </w:pPr>
          </w:p>
        </w:tc>
        <w:tc>
          <w:tcPr>
            <w:tcW w:w="1123" w:type="dxa"/>
          </w:tcPr>
          <w:p>
            <w:pPr>
              <w:spacing w:line="276" w:lineRule="auto"/>
              <w:rPr>
                <w:rFonts w:ascii="宋体"/>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92" w:hRule="atLeast"/>
          <w:jc w:val="center"/>
        </w:trPr>
        <w:tc>
          <w:tcPr>
            <w:tcW w:w="675" w:type="dxa"/>
          </w:tcPr>
          <w:p>
            <w:pPr>
              <w:spacing w:line="276" w:lineRule="auto"/>
              <w:rPr>
                <w:rFonts w:ascii="宋体"/>
                <w:szCs w:val="21"/>
              </w:rPr>
            </w:pPr>
          </w:p>
        </w:tc>
        <w:tc>
          <w:tcPr>
            <w:tcW w:w="1267" w:type="dxa"/>
          </w:tcPr>
          <w:p>
            <w:pPr>
              <w:spacing w:line="276" w:lineRule="auto"/>
              <w:rPr>
                <w:rFonts w:ascii="宋体"/>
                <w:szCs w:val="21"/>
              </w:rPr>
            </w:pPr>
          </w:p>
        </w:tc>
        <w:tc>
          <w:tcPr>
            <w:tcW w:w="1105" w:type="dxa"/>
          </w:tcPr>
          <w:p>
            <w:pPr>
              <w:spacing w:line="276" w:lineRule="auto"/>
              <w:rPr>
                <w:rFonts w:ascii="宋体"/>
                <w:szCs w:val="21"/>
              </w:rPr>
            </w:pPr>
          </w:p>
        </w:tc>
        <w:tc>
          <w:tcPr>
            <w:tcW w:w="1538" w:type="dxa"/>
          </w:tcPr>
          <w:p>
            <w:pPr>
              <w:spacing w:line="276" w:lineRule="auto"/>
              <w:rPr>
                <w:rFonts w:ascii="宋体"/>
                <w:szCs w:val="21"/>
              </w:rPr>
            </w:pPr>
          </w:p>
        </w:tc>
        <w:tc>
          <w:tcPr>
            <w:tcW w:w="1287" w:type="dxa"/>
          </w:tcPr>
          <w:p>
            <w:pPr>
              <w:spacing w:line="276" w:lineRule="auto"/>
              <w:rPr>
                <w:rFonts w:ascii="宋体"/>
                <w:szCs w:val="21"/>
              </w:rPr>
            </w:pPr>
          </w:p>
        </w:tc>
        <w:tc>
          <w:tcPr>
            <w:tcW w:w="1113" w:type="dxa"/>
          </w:tcPr>
          <w:p>
            <w:pPr>
              <w:spacing w:line="276" w:lineRule="auto"/>
              <w:rPr>
                <w:rFonts w:ascii="宋体"/>
                <w:szCs w:val="21"/>
              </w:rPr>
            </w:pPr>
          </w:p>
        </w:tc>
        <w:tc>
          <w:tcPr>
            <w:tcW w:w="907" w:type="dxa"/>
          </w:tcPr>
          <w:p>
            <w:pPr>
              <w:spacing w:line="276" w:lineRule="auto"/>
              <w:rPr>
                <w:rFonts w:ascii="宋体"/>
                <w:szCs w:val="21"/>
              </w:rPr>
            </w:pPr>
          </w:p>
        </w:tc>
        <w:tc>
          <w:tcPr>
            <w:tcW w:w="1123" w:type="dxa"/>
          </w:tcPr>
          <w:p>
            <w:pPr>
              <w:spacing w:line="276" w:lineRule="auto"/>
              <w:rPr>
                <w:rFonts w:ascii="宋体"/>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423" w:hRule="atLeast"/>
          <w:jc w:val="center"/>
        </w:trPr>
        <w:tc>
          <w:tcPr>
            <w:tcW w:w="675" w:type="dxa"/>
          </w:tcPr>
          <w:p>
            <w:pPr>
              <w:spacing w:line="276" w:lineRule="auto"/>
              <w:rPr>
                <w:rFonts w:ascii="宋体"/>
                <w:szCs w:val="21"/>
              </w:rPr>
            </w:pPr>
          </w:p>
        </w:tc>
        <w:tc>
          <w:tcPr>
            <w:tcW w:w="1267" w:type="dxa"/>
          </w:tcPr>
          <w:p>
            <w:pPr>
              <w:spacing w:line="276" w:lineRule="auto"/>
              <w:rPr>
                <w:rFonts w:ascii="宋体"/>
                <w:szCs w:val="21"/>
              </w:rPr>
            </w:pPr>
          </w:p>
        </w:tc>
        <w:tc>
          <w:tcPr>
            <w:tcW w:w="1105" w:type="dxa"/>
          </w:tcPr>
          <w:p>
            <w:pPr>
              <w:spacing w:line="276" w:lineRule="auto"/>
              <w:rPr>
                <w:rFonts w:ascii="宋体"/>
                <w:szCs w:val="21"/>
              </w:rPr>
            </w:pPr>
          </w:p>
        </w:tc>
        <w:tc>
          <w:tcPr>
            <w:tcW w:w="1538" w:type="dxa"/>
          </w:tcPr>
          <w:p>
            <w:pPr>
              <w:spacing w:line="276" w:lineRule="auto"/>
              <w:rPr>
                <w:rFonts w:ascii="宋体"/>
                <w:szCs w:val="21"/>
              </w:rPr>
            </w:pPr>
          </w:p>
        </w:tc>
        <w:tc>
          <w:tcPr>
            <w:tcW w:w="1287" w:type="dxa"/>
          </w:tcPr>
          <w:p>
            <w:pPr>
              <w:spacing w:line="276" w:lineRule="auto"/>
              <w:rPr>
                <w:rFonts w:ascii="宋体"/>
                <w:szCs w:val="21"/>
              </w:rPr>
            </w:pPr>
          </w:p>
        </w:tc>
        <w:tc>
          <w:tcPr>
            <w:tcW w:w="1113" w:type="dxa"/>
          </w:tcPr>
          <w:p>
            <w:pPr>
              <w:spacing w:line="276" w:lineRule="auto"/>
              <w:rPr>
                <w:rFonts w:ascii="宋体"/>
                <w:szCs w:val="21"/>
              </w:rPr>
            </w:pPr>
          </w:p>
        </w:tc>
        <w:tc>
          <w:tcPr>
            <w:tcW w:w="907" w:type="dxa"/>
          </w:tcPr>
          <w:p>
            <w:pPr>
              <w:spacing w:line="276" w:lineRule="auto"/>
              <w:rPr>
                <w:rFonts w:ascii="宋体"/>
                <w:szCs w:val="21"/>
              </w:rPr>
            </w:pPr>
          </w:p>
        </w:tc>
        <w:tc>
          <w:tcPr>
            <w:tcW w:w="1123" w:type="dxa"/>
          </w:tcPr>
          <w:p>
            <w:pPr>
              <w:spacing w:line="276" w:lineRule="auto"/>
              <w:rPr>
                <w:rFonts w:ascii="宋体"/>
                <w:szCs w:val="21"/>
              </w:rPr>
            </w:pPr>
          </w:p>
        </w:tc>
      </w:tr>
    </w:tbl>
    <w:p>
      <w:pPr>
        <w:pStyle w:val="2"/>
        <w:spacing w:line="276" w:lineRule="auto"/>
        <w:rPr>
          <w:b w:val="0"/>
          <w:bCs w:val="0"/>
          <w:sz w:val="21"/>
          <w:szCs w:val="21"/>
        </w:rPr>
      </w:pPr>
      <w:r>
        <w:rPr>
          <w:rFonts w:hint="eastAsia"/>
          <w:b w:val="0"/>
          <w:bCs w:val="0"/>
          <w:sz w:val="21"/>
          <w:szCs w:val="21"/>
        </w:rPr>
        <w:t>（特别提示：以上表格仅供参考。投标人须按本招标文件评标信息中“有效业绩”这一评分因素要求，提供证明资料）</w:t>
      </w:r>
    </w:p>
    <w:p>
      <w:pPr>
        <w:pStyle w:val="5"/>
        <w:spacing w:line="276" w:lineRule="auto"/>
        <w:jc w:val="center"/>
        <w:rPr>
          <w:rFonts w:hint="eastAsia" w:ascii="黑体" w:eastAsia="黑体"/>
          <w:b w:val="0"/>
          <w:kern w:val="0"/>
          <w:sz w:val="24"/>
          <w:szCs w:val="24"/>
          <w:lang w:eastAsia="zh-CN"/>
        </w:rPr>
      </w:pPr>
      <w:bookmarkStart w:id="39" w:name="_Toc59916729"/>
      <w:r>
        <w:rPr>
          <w:rFonts w:hint="eastAsia" w:ascii="黑体" w:eastAsia="黑体"/>
          <w:b w:val="0"/>
          <w:kern w:val="0"/>
          <w:sz w:val="24"/>
          <w:szCs w:val="24"/>
        </w:rPr>
        <w:t>六、</w:t>
      </w:r>
      <w:bookmarkEnd w:id="39"/>
      <w:r>
        <w:rPr>
          <w:rFonts w:hint="eastAsia" w:ascii="黑体" w:eastAsia="黑体"/>
          <w:b w:val="0"/>
          <w:kern w:val="0"/>
          <w:sz w:val="24"/>
          <w:szCs w:val="24"/>
          <w:lang w:val="en-US" w:eastAsia="zh-CN"/>
        </w:rPr>
        <w:t>履约评价</w:t>
      </w:r>
    </w:p>
    <w:p>
      <w:pPr>
        <w:pStyle w:val="2"/>
        <w:spacing w:line="276" w:lineRule="auto"/>
        <w:rPr>
          <w:b w:val="0"/>
          <w:bCs w:val="0"/>
          <w:sz w:val="21"/>
          <w:szCs w:val="21"/>
        </w:rPr>
      </w:pPr>
      <w:r>
        <w:rPr>
          <w:rFonts w:hint="eastAsia"/>
          <w:b w:val="0"/>
          <w:bCs w:val="0"/>
          <w:sz w:val="21"/>
          <w:szCs w:val="21"/>
        </w:rPr>
        <w:t>（特别提示：以上表格仅供参考。投标人须按本招标文件评标信息中“履约评价”这一评分因素要求，提供证明资料）</w:t>
      </w:r>
    </w:p>
    <w:p>
      <w:pPr>
        <w:pStyle w:val="5"/>
        <w:spacing w:line="276" w:lineRule="auto"/>
        <w:jc w:val="center"/>
        <w:rPr>
          <w:rFonts w:ascii="黑体" w:eastAsia="黑体"/>
          <w:b w:val="0"/>
          <w:kern w:val="0"/>
          <w:sz w:val="24"/>
          <w:szCs w:val="24"/>
        </w:rPr>
      </w:pPr>
      <w:r>
        <w:rPr>
          <w:rFonts w:hint="eastAsia" w:ascii="黑体" w:eastAsia="黑体"/>
          <w:b w:val="0"/>
          <w:kern w:val="0"/>
          <w:sz w:val="24"/>
          <w:szCs w:val="24"/>
        </w:rPr>
        <w:t>七、</w:t>
      </w:r>
      <w:r>
        <w:rPr>
          <w:rFonts w:hint="eastAsia" w:ascii="黑体" w:eastAsia="黑体"/>
          <w:b w:val="0"/>
          <w:kern w:val="0"/>
          <w:sz w:val="24"/>
          <w:szCs w:val="24"/>
          <w:lang w:val="en-US" w:eastAsia="zh-CN"/>
        </w:rPr>
        <w:t>证书或</w:t>
      </w:r>
      <w:r>
        <w:rPr>
          <w:rFonts w:hint="eastAsia" w:ascii="黑体" w:eastAsia="黑体"/>
          <w:b w:val="0"/>
          <w:kern w:val="0"/>
          <w:sz w:val="24"/>
          <w:szCs w:val="24"/>
        </w:rPr>
        <w:t>获奖情况</w:t>
      </w:r>
    </w:p>
    <w:tbl>
      <w:tblPr>
        <w:tblStyle w:val="42"/>
        <w:tblW w:w="8529"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1067"/>
        <w:gridCol w:w="2002"/>
        <w:gridCol w:w="1745"/>
        <w:gridCol w:w="1861"/>
        <w:gridCol w:w="185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69" w:hRule="atLeast"/>
          <w:jc w:val="center"/>
        </w:trPr>
        <w:tc>
          <w:tcPr>
            <w:tcW w:w="1067" w:type="dxa"/>
            <w:vAlign w:val="center"/>
          </w:tcPr>
          <w:p>
            <w:pPr>
              <w:spacing w:line="276" w:lineRule="auto"/>
              <w:jc w:val="center"/>
              <w:rPr>
                <w:rFonts w:ascii="宋体"/>
                <w:szCs w:val="21"/>
              </w:rPr>
            </w:pPr>
            <w:r>
              <w:rPr>
                <w:rFonts w:hint="eastAsia" w:ascii="宋体" w:hAnsi="宋体"/>
                <w:szCs w:val="21"/>
              </w:rPr>
              <w:t>序号</w:t>
            </w:r>
          </w:p>
        </w:tc>
        <w:tc>
          <w:tcPr>
            <w:tcW w:w="2002" w:type="dxa"/>
            <w:vAlign w:val="center"/>
          </w:tcPr>
          <w:p>
            <w:pPr>
              <w:spacing w:line="276" w:lineRule="auto"/>
              <w:jc w:val="center"/>
              <w:rPr>
                <w:rFonts w:ascii="宋体"/>
                <w:szCs w:val="21"/>
              </w:rPr>
            </w:pPr>
            <w:r>
              <w:rPr>
                <w:rFonts w:hint="eastAsia" w:ascii="宋体" w:hAnsi="宋体"/>
                <w:szCs w:val="21"/>
              </w:rPr>
              <w:t>奖项名称</w:t>
            </w:r>
          </w:p>
        </w:tc>
        <w:tc>
          <w:tcPr>
            <w:tcW w:w="1745" w:type="dxa"/>
            <w:vAlign w:val="center"/>
          </w:tcPr>
          <w:p>
            <w:pPr>
              <w:spacing w:line="276" w:lineRule="auto"/>
              <w:jc w:val="center"/>
              <w:rPr>
                <w:rFonts w:ascii="宋体"/>
                <w:szCs w:val="21"/>
              </w:rPr>
            </w:pPr>
            <w:r>
              <w:rPr>
                <w:rFonts w:hint="eastAsia" w:ascii="宋体"/>
                <w:szCs w:val="21"/>
              </w:rPr>
              <w:t>获得日期</w:t>
            </w:r>
          </w:p>
        </w:tc>
        <w:tc>
          <w:tcPr>
            <w:tcW w:w="1861" w:type="dxa"/>
            <w:vAlign w:val="center"/>
          </w:tcPr>
          <w:p>
            <w:pPr>
              <w:spacing w:line="276" w:lineRule="auto"/>
              <w:jc w:val="center"/>
              <w:rPr>
                <w:rFonts w:ascii="宋体"/>
                <w:szCs w:val="21"/>
              </w:rPr>
            </w:pPr>
            <w:r>
              <w:rPr>
                <w:rFonts w:hint="eastAsia" w:ascii="宋体" w:hAnsi="宋体"/>
                <w:szCs w:val="21"/>
              </w:rPr>
              <w:t>颁发机构</w:t>
            </w:r>
          </w:p>
        </w:tc>
        <w:tc>
          <w:tcPr>
            <w:tcW w:w="1854" w:type="dxa"/>
            <w:vAlign w:val="center"/>
          </w:tcPr>
          <w:p>
            <w:pPr>
              <w:spacing w:line="276" w:lineRule="auto"/>
              <w:jc w:val="center"/>
            </w:pPr>
            <w:r>
              <w:rPr>
                <w:rFonts w:hint="eastAsia"/>
              </w:rPr>
              <w:t>备注说明</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1067" w:type="dxa"/>
            <w:vAlign w:val="center"/>
          </w:tcPr>
          <w:p>
            <w:pPr>
              <w:spacing w:line="276" w:lineRule="auto"/>
              <w:jc w:val="center"/>
              <w:rPr>
                <w:rFonts w:ascii="宋体"/>
                <w:szCs w:val="21"/>
              </w:rPr>
            </w:pPr>
          </w:p>
        </w:tc>
        <w:tc>
          <w:tcPr>
            <w:tcW w:w="2002" w:type="dxa"/>
            <w:vAlign w:val="center"/>
          </w:tcPr>
          <w:p>
            <w:pPr>
              <w:spacing w:line="276" w:lineRule="auto"/>
              <w:jc w:val="center"/>
              <w:rPr>
                <w:rFonts w:ascii="宋体"/>
                <w:szCs w:val="21"/>
              </w:rPr>
            </w:pPr>
          </w:p>
        </w:tc>
        <w:tc>
          <w:tcPr>
            <w:tcW w:w="1745" w:type="dxa"/>
            <w:vAlign w:val="center"/>
          </w:tcPr>
          <w:p>
            <w:pPr>
              <w:spacing w:line="276" w:lineRule="auto"/>
              <w:jc w:val="center"/>
              <w:rPr>
                <w:rFonts w:ascii="宋体"/>
                <w:szCs w:val="21"/>
              </w:rPr>
            </w:pPr>
          </w:p>
        </w:tc>
        <w:tc>
          <w:tcPr>
            <w:tcW w:w="1861" w:type="dxa"/>
            <w:vAlign w:val="center"/>
          </w:tcPr>
          <w:p>
            <w:pPr>
              <w:spacing w:line="276" w:lineRule="auto"/>
              <w:jc w:val="center"/>
              <w:rPr>
                <w:rFonts w:ascii="宋体"/>
                <w:szCs w:val="21"/>
              </w:rPr>
            </w:pPr>
          </w:p>
        </w:tc>
        <w:tc>
          <w:tcPr>
            <w:tcW w:w="1854" w:type="dxa"/>
            <w:vAlign w:val="center"/>
          </w:tcPr>
          <w:p>
            <w:pPr>
              <w:spacing w:line="276" w:lineRule="auto"/>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1067" w:type="dxa"/>
            <w:vAlign w:val="center"/>
          </w:tcPr>
          <w:p>
            <w:pPr>
              <w:spacing w:line="276" w:lineRule="auto"/>
              <w:jc w:val="center"/>
              <w:rPr>
                <w:rFonts w:ascii="宋体"/>
                <w:szCs w:val="21"/>
              </w:rPr>
            </w:pPr>
          </w:p>
        </w:tc>
        <w:tc>
          <w:tcPr>
            <w:tcW w:w="2002" w:type="dxa"/>
            <w:vAlign w:val="center"/>
          </w:tcPr>
          <w:p>
            <w:pPr>
              <w:spacing w:line="276" w:lineRule="auto"/>
              <w:jc w:val="center"/>
              <w:rPr>
                <w:rFonts w:ascii="宋体"/>
                <w:szCs w:val="21"/>
              </w:rPr>
            </w:pPr>
          </w:p>
        </w:tc>
        <w:tc>
          <w:tcPr>
            <w:tcW w:w="1745" w:type="dxa"/>
            <w:vAlign w:val="center"/>
          </w:tcPr>
          <w:p>
            <w:pPr>
              <w:spacing w:line="276" w:lineRule="auto"/>
              <w:jc w:val="center"/>
              <w:rPr>
                <w:rFonts w:ascii="宋体"/>
                <w:szCs w:val="21"/>
              </w:rPr>
            </w:pPr>
          </w:p>
        </w:tc>
        <w:tc>
          <w:tcPr>
            <w:tcW w:w="1861" w:type="dxa"/>
            <w:vAlign w:val="center"/>
          </w:tcPr>
          <w:p>
            <w:pPr>
              <w:spacing w:line="276" w:lineRule="auto"/>
              <w:jc w:val="center"/>
              <w:rPr>
                <w:rFonts w:ascii="宋体"/>
                <w:szCs w:val="21"/>
              </w:rPr>
            </w:pPr>
          </w:p>
        </w:tc>
        <w:tc>
          <w:tcPr>
            <w:tcW w:w="1854" w:type="dxa"/>
            <w:vAlign w:val="center"/>
          </w:tcPr>
          <w:p>
            <w:pPr>
              <w:spacing w:line="276" w:lineRule="auto"/>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1067" w:type="dxa"/>
            <w:vAlign w:val="center"/>
          </w:tcPr>
          <w:p>
            <w:pPr>
              <w:spacing w:line="276" w:lineRule="auto"/>
              <w:jc w:val="center"/>
              <w:rPr>
                <w:rFonts w:ascii="宋体"/>
                <w:szCs w:val="21"/>
              </w:rPr>
            </w:pPr>
          </w:p>
        </w:tc>
        <w:tc>
          <w:tcPr>
            <w:tcW w:w="2002" w:type="dxa"/>
            <w:vAlign w:val="center"/>
          </w:tcPr>
          <w:p>
            <w:pPr>
              <w:spacing w:line="276" w:lineRule="auto"/>
              <w:jc w:val="center"/>
              <w:rPr>
                <w:rFonts w:ascii="宋体"/>
                <w:szCs w:val="21"/>
              </w:rPr>
            </w:pPr>
          </w:p>
        </w:tc>
        <w:tc>
          <w:tcPr>
            <w:tcW w:w="1745" w:type="dxa"/>
            <w:vAlign w:val="center"/>
          </w:tcPr>
          <w:p>
            <w:pPr>
              <w:spacing w:line="276" w:lineRule="auto"/>
              <w:jc w:val="center"/>
              <w:rPr>
                <w:rFonts w:ascii="宋体"/>
                <w:szCs w:val="21"/>
              </w:rPr>
            </w:pPr>
          </w:p>
        </w:tc>
        <w:tc>
          <w:tcPr>
            <w:tcW w:w="1861" w:type="dxa"/>
            <w:vAlign w:val="center"/>
          </w:tcPr>
          <w:p>
            <w:pPr>
              <w:spacing w:line="276" w:lineRule="auto"/>
              <w:jc w:val="center"/>
              <w:rPr>
                <w:rFonts w:ascii="宋体"/>
                <w:szCs w:val="21"/>
              </w:rPr>
            </w:pPr>
          </w:p>
        </w:tc>
        <w:tc>
          <w:tcPr>
            <w:tcW w:w="1854" w:type="dxa"/>
            <w:vAlign w:val="center"/>
          </w:tcPr>
          <w:p>
            <w:pPr>
              <w:spacing w:line="276" w:lineRule="auto"/>
              <w:jc w:val="center"/>
              <w:rPr>
                <w:rFonts w:ascii="宋体"/>
                <w:szCs w:val="21"/>
              </w:rPr>
            </w:pPr>
          </w:p>
        </w:tc>
      </w:tr>
    </w:tbl>
    <w:p>
      <w:pPr>
        <w:pStyle w:val="2"/>
        <w:spacing w:line="276" w:lineRule="auto"/>
        <w:rPr>
          <w:b w:val="0"/>
          <w:bCs w:val="0"/>
          <w:sz w:val="21"/>
          <w:szCs w:val="21"/>
        </w:rPr>
      </w:pPr>
      <w:r>
        <w:rPr>
          <w:rFonts w:hint="eastAsia"/>
          <w:b w:val="0"/>
          <w:bCs w:val="0"/>
          <w:sz w:val="21"/>
          <w:szCs w:val="21"/>
        </w:rPr>
        <w:t>（特别提示：以上表格仅供参考。投标人须按本招标文件评标信息中“证书或获奖情况”这一评分因素要求，提供证明资料）</w:t>
      </w:r>
    </w:p>
    <w:p/>
    <w:p>
      <w:pPr>
        <w:pStyle w:val="2"/>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
      <w:pPr>
        <w:ind w:firstLine="1446" w:firstLineChars="600"/>
        <w:rPr>
          <w:b/>
          <w:color w:val="FF0000"/>
          <w:sz w:val="24"/>
        </w:rPr>
      </w:pPr>
      <w:r>
        <w:rPr>
          <w:rFonts w:hint="eastAsia"/>
          <w:b/>
          <w:color w:val="FF0000"/>
          <w:sz w:val="24"/>
        </w:rPr>
        <w:t>（信息公开部分的内容到此为止！以下为信息不公开部分。）</w:t>
      </w:r>
    </w:p>
    <w:p>
      <w:pPr>
        <w:jc w:val="center"/>
        <w:rPr>
          <w:b/>
          <w:sz w:val="32"/>
          <w:szCs w:val="32"/>
        </w:rPr>
      </w:pPr>
    </w:p>
    <w:p>
      <w:pPr>
        <w:outlineLvl w:val="1"/>
        <w:rPr>
          <w:rFonts w:ascii="宋体" w:hAnsi="宋体"/>
          <w:b/>
          <w:color w:val="FF0000"/>
          <w:sz w:val="28"/>
          <w:szCs w:val="28"/>
        </w:rPr>
      </w:pPr>
      <w:r>
        <w:rPr>
          <w:rFonts w:hint="eastAsia" w:ascii="宋体" w:hAnsi="宋体"/>
          <w:b/>
          <w:color w:val="FF0000"/>
          <w:sz w:val="28"/>
          <w:szCs w:val="28"/>
        </w:rPr>
        <w:t>投标文件附件（信息不公开部分）</w:t>
      </w:r>
    </w:p>
    <w:p>
      <w:pPr>
        <w:pStyle w:val="5"/>
        <w:jc w:val="center"/>
        <w:rPr>
          <w:rFonts w:ascii="黑体" w:eastAsia="黑体"/>
          <w:b w:val="0"/>
          <w:sz w:val="24"/>
        </w:rPr>
      </w:pPr>
      <w:r>
        <w:rPr>
          <w:rFonts w:hint="eastAsia" w:ascii="黑体" w:eastAsia="黑体"/>
          <w:b w:val="0"/>
          <w:sz w:val="24"/>
        </w:rPr>
        <w:t>一、</w:t>
      </w:r>
      <w:bookmarkStart w:id="40" w:name="_Hlk72092499"/>
      <w:r>
        <w:rPr>
          <w:rFonts w:hint="eastAsia" w:ascii="黑体" w:eastAsia="黑体"/>
          <w:b w:val="0"/>
          <w:sz w:val="24"/>
        </w:rPr>
        <w:t>法定代表人（负责人）证明书</w:t>
      </w:r>
      <w:bookmarkEnd w:id="40"/>
    </w:p>
    <w:p>
      <w:pPr>
        <w:rPr>
          <w:sz w:val="24"/>
        </w:rPr>
      </w:pPr>
    </w:p>
    <w:p>
      <w:pPr>
        <w:spacing w:line="360" w:lineRule="auto"/>
        <w:ind w:firstLine="420" w:firstLineChars="200"/>
        <w:rPr>
          <w:rFonts w:hint="default" w:eastAsia="宋体"/>
          <w:szCs w:val="21"/>
          <w:lang w:val="en-US" w:eastAsia="zh-CN"/>
        </w:rPr>
      </w:pP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eastAsia="宋体"/>
          <w:szCs w:val="21"/>
          <w:u w:val="none"/>
          <w:lang w:eastAsia="zh-CN"/>
        </w:rPr>
        <w:t>（</w:t>
      </w:r>
      <w:r>
        <w:rPr>
          <w:rFonts w:hint="eastAsia" w:ascii="Times New Roman" w:eastAsia="宋体"/>
          <w:szCs w:val="21"/>
          <w:u w:val="none"/>
          <w:lang w:val="en-US" w:eastAsia="zh-CN"/>
        </w:rPr>
        <w:t>姓名</w:t>
      </w:r>
      <w:r>
        <w:rPr>
          <w:rFonts w:hint="eastAsia" w:eastAsia="宋体"/>
          <w:szCs w:val="21"/>
          <w:u w:val="none"/>
          <w:lang w:eastAsia="zh-CN"/>
        </w:rPr>
        <w:t>）</w:t>
      </w:r>
      <w:r>
        <w:rPr>
          <w:rFonts w:hint="eastAsia"/>
          <w:szCs w:val="21"/>
        </w:rPr>
        <w:t>，现任我单位</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szCs w:val="21"/>
        </w:rPr>
        <w:t>职务，为法定代表人（负责人），</w:t>
      </w:r>
      <w:r>
        <w:rPr>
          <w:rFonts w:hint="eastAsia" w:ascii="Times New Roman" w:eastAsia="宋体"/>
          <w:szCs w:val="21"/>
          <w:lang w:val="en-US" w:eastAsia="zh-CN"/>
        </w:rPr>
        <w:t>身份证件</w:t>
      </w:r>
      <w:r>
        <w:rPr>
          <w:rFonts w:hint="eastAsia"/>
          <w:szCs w:val="21"/>
        </w:rPr>
        <w:t>号</w:t>
      </w:r>
      <w:r>
        <w:rPr>
          <w:rFonts w:hint="eastAsia" w:ascii="Times New Roman" w:eastAsia="宋体"/>
          <w:szCs w:val="21"/>
          <w:lang w:val="en-US" w:eastAsia="zh-CN"/>
        </w:rPr>
        <w:t>为</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联系电话：</w:t>
      </w:r>
      <w:r>
        <w:rPr>
          <w:rFonts w:hint="eastAsia" w:ascii="Times New Roman" w:eastAsia="宋体"/>
          <w:szCs w:val="21"/>
          <w:u w:val="single"/>
          <w:lang w:val="en-US" w:eastAsia="zh-CN"/>
        </w:rPr>
        <w:t xml:space="preserve">                </w:t>
      </w:r>
      <w:r>
        <w:rPr>
          <w:rFonts w:hint="eastAsia" w:ascii="Times New Roman" w:eastAsia="宋体"/>
          <w:szCs w:val="21"/>
          <w:lang w:val="en-US" w:eastAsia="zh-CN"/>
        </w:rPr>
        <w:t>。</w:t>
      </w:r>
    </w:p>
    <w:p>
      <w:pPr>
        <w:spacing w:line="360" w:lineRule="auto"/>
        <w:ind w:firstLine="420" w:firstLineChars="200"/>
        <w:rPr>
          <w:szCs w:val="21"/>
        </w:rPr>
      </w:pPr>
      <w:r>
        <w:rPr>
          <w:rFonts w:hint="eastAsia"/>
          <w:szCs w:val="21"/>
        </w:rPr>
        <w:t>特此证明。</w:t>
      </w:r>
    </w:p>
    <w:p>
      <w:pPr>
        <w:spacing w:line="360" w:lineRule="auto"/>
        <w:ind w:firstLine="420" w:firstLineChars="200"/>
        <w:rPr>
          <w:rFonts w:hint="eastAsia"/>
          <w:szCs w:val="21"/>
        </w:rPr>
      </w:pPr>
      <w:r>
        <w:rPr>
          <w:rFonts w:hint="eastAsia"/>
          <w:szCs w:val="21"/>
        </w:rPr>
        <w:t>说明：1、法定代表人为投标人（企业事业单位、国家机关、社会团体）的主要行政负责人。</w:t>
      </w:r>
    </w:p>
    <w:p>
      <w:pPr>
        <w:numPr>
          <w:ilvl w:val="0"/>
          <w:numId w:val="9"/>
        </w:numPr>
        <w:spacing w:line="360" w:lineRule="auto"/>
        <w:ind w:firstLine="420" w:firstLineChars="200"/>
        <w:rPr>
          <w:rFonts w:hint="eastAsia"/>
          <w:color w:val="auto"/>
          <w:szCs w:val="21"/>
          <w:lang w:val="en-US" w:eastAsia="zh-CN"/>
        </w:rPr>
      </w:pPr>
      <w:r>
        <w:rPr>
          <w:rFonts w:hint="eastAsia" w:eastAsia="宋体"/>
          <w:color w:val="auto"/>
          <w:szCs w:val="21"/>
          <w:lang w:eastAsia="zh-Hans"/>
        </w:rPr>
        <w:t>本证明书要供法定代表人（负责人）</w:t>
      </w:r>
      <w:r>
        <w:rPr>
          <w:rFonts w:hint="eastAsia" w:ascii="Times New Roman" w:eastAsia="宋体"/>
          <w:color w:val="auto"/>
          <w:szCs w:val="21"/>
          <w:lang w:val="en-US" w:eastAsia="zh-CN"/>
        </w:rPr>
        <w:t>相关身份证明文件：身份证扫描件（正反两面）</w:t>
      </w:r>
      <w:r>
        <w:rPr>
          <w:rFonts w:hint="eastAsia"/>
          <w:color w:val="auto"/>
          <w:szCs w:val="21"/>
          <w:lang w:val="en-US" w:eastAsia="zh-CN"/>
        </w:rPr>
        <w:t>方为有效</w:t>
      </w:r>
      <w:r>
        <w:rPr>
          <w:rFonts w:hint="eastAsia" w:ascii="Times New Roman" w:eastAsia="宋体"/>
          <w:color w:val="auto"/>
          <w:szCs w:val="21"/>
          <w:lang w:val="en-US" w:eastAsia="zh-CN"/>
        </w:rPr>
        <w:t>；港澳台居民可提供来往通行证扫描件；非中国国籍管辖范围人员，可提供公安部门认可的身份证明材料扫描件。</w:t>
      </w:r>
    </w:p>
    <w:p>
      <w:pPr>
        <w:numPr>
          <w:ilvl w:val="0"/>
          <w:numId w:val="9"/>
        </w:numPr>
        <w:spacing w:line="360" w:lineRule="auto"/>
        <w:ind w:firstLine="420" w:firstLineChars="200"/>
        <w:rPr>
          <w:szCs w:val="21"/>
        </w:rPr>
      </w:pPr>
      <w:r>
        <w:rPr>
          <w:rFonts w:hint="eastAsia" w:eastAsia="宋体"/>
          <w:color w:val="auto"/>
          <w:szCs w:val="21"/>
          <w:lang w:eastAsia="zh-Hans"/>
        </w:rPr>
        <w:t>本项目投标授权代表为法定代表人（负责人）的，无需提供</w:t>
      </w:r>
      <w:r>
        <w:rPr>
          <w:rFonts w:hint="eastAsia"/>
          <w:color w:val="auto"/>
          <w:szCs w:val="21"/>
        </w:rPr>
        <w:t>《投标文件签署授权委托书》</w:t>
      </w:r>
      <w:r>
        <w:rPr>
          <w:rFonts w:hint="eastAsia" w:eastAsia="宋体"/>
          <w:color w:val="auto"/>
          <w:szCs w:val="21"/>
          <w:lang w:eastAsia="zh-Hans"/>
        </w:rPr>
        <w:t>。</w:t>
      </w:r>
    </w:p>
    <w:p>
      <w:pPr>
        <w:numPr>
          <w:ilvl w:val="0"/>
          <w:numId w:val="9"/>
        </w:numPr>
        <w:spacing w:line="360" w:lineRule="auto"/>
        <w:ind w:firstLine="420" w:firstLineChars="200"/>
        <w:rPr>
          <w:szCs w:val="21"/>
        </w:rPr>
      </w:pPr>
      <w:r>
        <w:rPr>
          <w:rFonts w:hint="eastAsia"/>
          <w:szCs w:val="21"/>
        </w:rPr>
        <w:t>内容必须填写真实、清楚，涂改无效，不得转让、买卖。</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pPr>
              <w:jc w:val="center"/>
              <w:rPr>
                <w:rFonts w:hint="eastAsia"/>
                <w:lang w:val="en-US" w:eastAsia="zh-CN"/>
              </w:rPr>
            </w:pPr>
            <w:r>
              <w:rPr>
                <w:rFonts w:hint="eastAsia" w:ascii="Times New Roman" w:eastAsia="宋体"/>
                <w:lang w:val="en-US" w:eastAsia="zh-CN"/>
              </w:rPr>
              <w:t>证件扫描件正面</w:t>
            </w:r>
          </w:p>
          <w:p>
            <w:pPr>
              <w:pStyle w:val="2"/>
              <w:jc w:val="center"/>
              <w:rPr>
                <w:rFonts w:hint="eastAsia"/>
                <w:lang w:val="en-US" w:eastAsia="zh-CN"/>
              </w:rPr>
            </w:pPr>
            <w:r>
              <w:rPr>
                <w:rFonts w:hint="eastAsia"/>
                <w:lang w:val="en-US" w:eastAsia="zh-CN"/>
              </w:rPr>
              <w:t xml:space="preserve"> </w:t>
            </w:r>
          </w:p>
          <w:p>
            <w:pPr>
              <w:pStyle w:val="35"/>
              <w:rPr>
                <w:rFonts w:hint="eastAsia"/>
                <w:lang w:val="en-US" w:eastAsia="zh-CN"/>
              </w:rPr>
            </w:pPr>
          </w:p>
          <w:p>
            <w:pPr>
              <w:pStyle w:val="35"/>
              <w:rPr>
                <w:rFonts w:hint="eastAsia"/>
                <w:lang w:val="en-US" w:eastAsia="zh-CN"/>
              </w:rPr>
            </w:pPr>
          </w:p>
          <w:p>
            <w:pPr>
              <w:pStyle w:val="35"/>
              <w:rPr>
                <w:rFonts w:hint="eastAsia"/>
                <w:lang w:val="en-US" w:eastAsia="zh-CN"/>
              </w:rPr>
            </w:pPr>
          </w:p>
          <w:p>
            <w:pPr>
              <w:pStyle w:val="35"/>
              <w:rPr>
                <w:rFonts w:hint="default"/>
                <w:lang w:val="en-US" w:eastAsia="zh-CN"/>
              </w:rPr>
            </w:pPr>
          </w:p>
          <w:p>
            <w:pPr>
              <w:pStyle w:val="35"/>
              <w:jc w:val="center"/>
              <w:rPr>
                <w:rFonts w:hint="default"/>
                <w:lang w:val="en-US" w:eastAsia="zh-CN"/>
              </w:rPr>
            </w:pPr>
          </w:p>
        </w:tc>
        <w:tc>
          <w:tcPr>
            <w:tcW w:w="4265" w:type="dxa"/>
            <w:vAlign w:val="top"/>
          </w:tcPr>
          <w:p>
            <w:pPr>
              <w:jc w:val="center"/>
              <w:rPr>
                <w:rFonts w:hint="eastAsia"/>
                <w:lang w:val="en-US" w:eastAsia="zh-CN"/>
              </w:rPr>
            </w:pPr>
            <w:r>
              <w:rPr>
                <w:rFonts w:hint="eastAsia" w:ascii="Times New Roman" w:eastAsia="宋体"/>
                <w:lang w:val="en-US" w:eastAsia="zh-CN"/>
              </w:rPr>
              <w:t>证件扫描件反面</w:t>
            </w:r>
          </w:p>
          <w:p>
            <w:pPr>
              <w:pStyle w:val="2"/>
              <w:jc w:val="center"/>
              <w:rPr>
                <w:rFonts w:hint="eastAsia"/>
                <w:lang w:val="en-US" w:eastAsia="zh-CN"/>
              </w:rPr>
            </w:pPr>
          </w:p>
          <w:p>
            <w:pPr>
              <w:pStyle w:val="35"/>
              <w:jc w:val="center"/>
              <w:rPr>
                <w:rFonts w:hint="eastAsia"/>
                <w:sz w:val="24"/>
                <w:vertAlign w:val="baseline"/>
                <w:lang w:val="en-US" w:eastAsia="zh-CN"/>
              </w:rPr>
            </w:pPr>
          </w:p>
        </w:tc>
      </w:tr>
    </w:tbl>
    <w:p>
      <w:pPr>
        <w:rPr>
          <w:sz w:val="24"/>
        </w:rPr>
      </w:pPr>
    </w:p>
    <w:p>
      <w:pPr>
        <w:pStyle w:val="5"/>
        <w:spacing w:before="120" w:after="120"/>
        <w:jc w:val="center"/>
        <w:rPr>
          <w:rFonts w:ascii="黑体" w:eastAsia="黑体"/>
          <w:b w:val="0"/>
          <w:sz w:val="24"/>
        </w:rPr>
      </w:pPr>
      <w:r>
        <w:rPr>
          <w:rFonts w:hint="eastAsia" w:ascii="黑体" w:eastAsia="黑体"/>
          <w:b w:val="0"/>
          <w:sz w:val="24"/>
        </w:rPr>
        <w:t>二、投标文件签署授权委托书</w:t>
      </w:r>
    </w:p>
    <w:p>
      <w:pPr>
        <w:spacing w:line="360" w:lineRule="auto"/>
        <w:ind w:firstLine="420" w:firstLineChars="200"/>
        <w:rPr>
          <w:rFonts w:hint="eastAsia"/>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spacing w:line="360" w:lineRule="auto"/>
        <w:ind w:firstLine="420" w:firstLineChars="200"/>
        <w:rPr>
          <w:rFonts w:hint="eastAsia"/>
          <w:szCs w:val="21"/>
        </w:rPr>
      </w:pPr>
      <w:r>
        <w:rPr>
          <w:rFonts w:hint="eastAsia"/>
          <w:szCs w:val="21"/>
        </w:rPr>
        <w:t>代理人无转委托权，特此委托。</w:t>
      </w:r>
    </w:p>
    <w:p>
      <w:pPr>
        <w:spacing w:line="360" w:lineRule="auto"/>
        <w:ind w:firstLine="420" w:firstLineChars="200"/>
        <w:rPr>
          <w:rFonts w:hint="eastAsia"/>
          <w:szCs w:val="21"/>
        </w:rPr>
      </w:pPr>
    </w:p>
    <w:p>
      <w:pPr>
        <w:spacing w:line="360" w:lineRule="auto"/>
        <w:ind w:firstLine="420" w:firstLineChars="200"/>
        <w:rPr>
          <w:rFonts w:hint="eastAsia"/>
          <w:szCs w:val="21"/>
          <w:u w:val="none"/>
          <w:lang w:eastAsia="zh-CN"/>
        </w:rPr>
      </w:pPr>
      <w:r>
        <w:rPr>
          <w:rFonts w:hint="eastAsia"/>
          <w:szCs w:val="21"/>
        </w:rPr>
        <w:t>代理人</w:t>
      </w:r>
      <w:r>
        <w:rPr>
          <w:rFonts w:hint="eastAsia" w:eastAsia="宋体"/>
          <w:szCs w:val="21"/>
          <w:lang w:eastAsia="zh-CN"/>
        </w:rPr>
        <w:t>：</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pPr>
        <w:spacing w:line="360" w:lineRule="auto"/>
        <w:ind w:firstLine="420" w:firstLineChars="200"/>
        <w:rPr>
          <w:rFonts w:hint="eastAsia"/>
          <w:szCs w:val="21"/>
          <w:u w:val="none"/>
          <w:lang w:eastAsia="zh-CN"/>
        </w:rPr>
      </w:pPr>
      <w:r>
        <w:rPr>
          <w:rFonts w:hint="eastAsia"/>
          <w:szCs w:val="21"/>
        </w:rPr>
        <w:t>身份</w:t>
      </w:r>
      <w:r>
        <w:rPr>
          <w:rFonts w:hint="eastAsia" w:ascii="Times New Roman" w:eastAsia="宋体"/>
          <w:szCs w:val="21"/>
          <w:lang w:val="en-US" w:eastAsia="zh-CN"/>
        </w:rPr>
        <w:t>证件号</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职务：</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pPr>
        <w:spacing w:line="360" w:lineRule="auto"/>
        <w:ind w:firstLine="420" w:firstLineChars="200"/>
        <w:rPr>
          <w:rFonts w:hint="default"/>
          <w:szCs w:val="21"/>
          <w:u w:val="none"/>
          <w:lang w:val="en-US" w:eastAsia="zh-CN"/>
        </w:rPr>
      </w:pPr>
      <w:r>
        <w:rPr>
          <w:rFonts w:hint="eastAsia"/>
          <w:szCs w:val="21"/>
        </w:rPr>
        <w:t>联系电话：</w:t>
      </w:r>
      <w:r>
        <w:rPr>
          <w:rFonts w:hint="eastAsia"/>
          <w:szCs w:val="21"/>
          <w:u w:val="single"/>
        </w:rPr>
        <w:t xml:space="preserve">         </w:t>
      </w:r>
      <w:r>
        <w:rPr>
          <w:rFonts w:hint="eastAsia" w:eastAsia="宋体"/>
          <w:szCs w:val="21"/>
          <w:lang w:eastAsia="zh-CN"/>
        </w:rPr>
        <w:t>，</w:t>
      </w:r>
      <w:r>
        <w:rPr>
          <w:rFonts w:hint="eastAsia"/>
          <w:szCs w:val="21"/>
        </w:rPr>
        <w:t>手机：</w:t>
      </w:r>
      <w:r>
        <w:rPr>
          <w:rFonts w:hint="eastAsia"/>
          <w:szCs w:val="21"/>
          <w:u w:val="single"/>
        </w:rPr>
        <w:t xml:space="preserve">                </w:t>
      </w:r>
      <w:r>
        <w:rPr>
          <w:rFonts w:hint="eastAsia" w:eastAsia="宋体"/>
          <w:szCs w:val="21"/>
          <w:u w:val="none"/>
          <w:lang w:eastAsia="zh-CN"/>
        </w:rPr>
        <w:t>，</w:t>
      </w:r>
      <w:r>
        <w:rPr>
          <w:rFonts w:hint="eastAsia" w:ascii="Times New Roman" w:eastAsia="宋体"/>
          <w:szCs w:val="21"/>
          <w:u w:val="none"/>
          <w:lang w:val="en-US" w:eastAsia="zh-CN"/>
        </w:rPr>
        <w:t>电子邮箱：</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pPr>
        <w:spacing w:line="360" w:lineRule="auto"/>
        <w:ind w:firstLine="420" w:firstLineChars="200"/>
        <w:rPr>
          <w:rFonts w:hint="eastAsia" w:eastAsia="宋体"/>
          <w:szCs w:val="21"/>
          <w:lang w:eastAsia="zh-CN"/>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r>
        <w:rPr>
          <w:rFonts w:hint="eastAsia" w:eastAsia="宋体"/>
          <w:szCs w:val="21"/>
          <w:lang w:eastAsia="zh-CN"/>
        </w:rPr>
        <w:t>。</w:t>
      </w:r>
    </w:p>
    <w:p>
      <w:pPr>
        <w:spacing w:line="360" w:lineRule="auto"/>
        <w:ind w:firstLine="422" w:firstLineChars="200"/>
        <w:rPr>
          <w:b/>
          <w:color w:val="FF0000"/>
          <w:szCs w:val="21"/>
        </w:rPr>
      </w:pPr>
      <w:r>
        <w:rPr>
          <w:rFonts w:hint="eastAsia"/>
          <w:b/>
          <w:color w:val="FF0000"/>
          <w:szCs w:val="21"/>
        </w:rPr>
        <w:t>附：请提供代理人身份证扫描件（正反两面）</w:t>
      </w:r>
      <w:r>
        <w:rPr>
          <w:rFonts w:hint="eastAsia"/>
          <w:b/>
          <w:color w:val="FF0000"/>
          <w:szCs w:val="21"/>
          <w:lang w:val="en-US" w:eastAsia="zh-CN"/>
        </w:rPr>
        <w:t>方为有效</w:t>
      </w:r>
      <w:r>
        <w:rPr>
          <w:rFonts w:hint="eastAsia"/>
          <w:b/>
          <w:color w:val="FF0000"/>
          <w:szCs w:val="21"/>
        </w:rPr>
        <w:t>；港澳台居民可提供来往通行证扫描件；非中国国籍管辖范围人员，可提供公安部门认可的身份证明材料扫描件。</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pPr>
              <w:jc w:val="center"/>
              <w:rPr>
                <w:rFonts w:hint="eastAsia"/>
                <w:lang w:val="en-US" w:eastAsia="zh-CN"/>
              </w:rPr>
            </w:pPr>
            <w:r>
              <w:rPr>
                <w:rFonts w:hint="eastAsia" w:ascii="Times New Roman" w:eastAsia="宋体"/>
                <w:lang w:val="en-US" w:eastAsia="zh-CN"/>
              </w:rPr>
              <w:t>证件扫描件正面</w:t>
            </w:r>
          </w:p>
          <w:p>
            <w:pPr>
              <w:pStyle w:val="2"/>
              <w:jc w:val="center"/>
              <w:rPr>
                <w:rFonts w:hint="eastAsia"/>
                <w:lang w:val="en-US" w:eastAsia="zh-CN"/>
              </w:rPr>
            </w:pPr>
          </w:p>
          <w:p>
            <w:pPr>
              <w:pStyle w:val="35"/>
              <w:jc w:val="center"/>
              <w:rPr>
                <w:rFonts w:hint="default"/>
                <w:lang w:val="en-US" w:eastAsia="zh-CN"/>
              </w:rPr>
            </w:pPr>
          </w:p>
        </w:tc>
        <w:tc>
          <w:tcPr>
            <w:tcW w:w="4265" w:type="dxa"/>
            <w:vAlign w:val="top"/>
          </w:tcPr>
          <w:p>
            <w:pPr>
              <w:jc w:val="center"/>
              <w:rPr>
                <w:rFonts w:hint="eastAsia"/>
                <w:lang w:val="en-US" w:eastAsia="zh-CN"/>
              </w:rPr>
            </w:pPr>
            <w:r>
              <w:rPr>
                <w:rFonts w:hint="eastAsia" w:ascii="Times New Roman" w:eastAsia="宋体"/>
                <w:lang w:val="en-US" w:eastAsia="zh-CN"/>
              </w:rPr>
              <w:t>证件扫描件反面</w:t>
            </w:r>
          </w:p>
          <w:p>
            <w:pPr>
              <w:pStyle w:val="2"/>
              <w:jc w:val="center"/>
              <w:rPr>
                <w:rFonts w:hint="eastAsia"/>
                <w:lang w:val="en-US" w:eastAsia="zh-CN"/>
              </w:rPr>
            </w:pPr>
          </w:p>
          <w:p>
            <w:pPr>
              <w:pStyle w:val="35"/>
              <w:jc w:val="center"/>
              <w:rPr>
                <w:rFonts w:hint="eastAsia"/>
                <w:sz w:val="24"/>
                <w:vertAlign w:val="baseline"/>
                <w:lang w:val="en-US" w:eastAsia="zh-CN"/>
              </w:rPr>
            </w:pPr>
          </w:p>
        </w:tc>
      </w:tr>
    </w:tbl>
    <w:p>
      <w:pPr>
        <w:pStyle w:val="5"/>
        <w:jc w:val="center"/>
        <w:rPr>
          <w:rFonts w:ascii="黑体" w:eastAsia="黑体"/>
          <w:b w:val="0"/>
          <w:kern w:val="0"/>
          <w:sz w:val="24"/>
          <w:szCs w:val="24"/>
        </w:rPr>
      </w:pPr>
      <w:r>
        <w:rPr>
          <w:rFonts w:hint="eastAsia" w:ascii="黑体" w:eastAsia="黑体"/>
          <w:b w:val="0"/>
          <w:kern w:val="0"/>
          <w:sz w:val="24"/>
          <w:szCs w:val="24"/>
        </w:rPr>
        <w:t>三、</w:t>
      </w:r>
      <w:bookmarkStart w:id="41" w:name="_Hlk72092634"/>
      <w:r>
        <w:rPr>
          <w:rFonts w:hint="eastAsia" w:ascii="黑体" w:eastAsia="黑体"/>
          <w:b w:val="0"/>
          <w:kern w:val="0"/>
          <w:sz w:val="24"/>
          <w:szCs w:val="24"/>
        </w:rPr>
        <w:t>实质性条款响应情况表</w:t>
      </w:r>
      <w:bookmarkEnd w:id="41"/>
    </w:p>
    <w:tbl>
      <w:tblPr>
        <w:tblStyle w:val="4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905"/>
        <w:gridCol w:w="1347"/>
        <w:gridCol w:w="184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pPr>
              <w:adjustRightInd w:val="0"/>
              <w:snapToGrid w:val="0"/>
              <w:spacing w:line="360" w:lineRule="auto"/>
              <w:jc w:val="center"/>
              <w:rPr>
                <w:rFonts w:ascii="宋体" w:hAnsi="宋体"/>
                <w:kern w:val="0"/>
                <w:szCs w:val="21"/>
              </w:rPr>
            </w:pPr>
            <w:bookmarkStart w:id="42" w:name="_Hlk72092651"/>
            <w:r>
              <w:rPr>
                <w:rFonts w:hint="eastAsia" w:ascii="宋体" w:hAnsi="宋体"/>
                <w:kern w:val="0"/>
                <w:szCs w:val="21"/>
              </w:rPr>
              <w:t>序号</w:t>
            </w:r>
          </w:p>
        </w:tc>
        <w:tc>
          <w:tcPr>
            <w:tcW w:w="2905"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347" w:type="dxa"/>
            <w:vAlign w:val="center"/>
          </w:tcPr>
          <w:p>
            <w:pPr>
              <w:adjustRightInd w:val="0"/>
              <w:snapToGrid w:val="0"/>
              <w:spacing w:line="360" w:lineRule="auto"/>
              <w:jc w:val="center"/>
              <w:rPr>
                <w:rFonts w:ascii="宋体" w:hAnsi="宋体"/>
                <w:kern w:val="0"/>
                <w:szCs w:val="21"/>
              </w:rPr>
            </w:pPr>
            <w:r>
              <w:rPr>
                <w:rFonts w:hint="eastAsia"/>
              </w:rPr>
              <w:t>投标响应</w:t>
            </w:r>
          </w:p>
        </w:tc>
        <w:tc>
          <w:tcPr>
            <w:tcW w:w="1842" w:type="dxa"/>
            <w:vAlign w:val="center"/>
          </w:tcPr>
          <w:p>
            <w:pPr>
              <w:adjustRightInd w:val="0"/>
              <w:snapToGrid w:val="0"/>
              <w:spacing w:line="360" w:lineRule="auto"/>
              <w:jc w:val="center"/>
              <w:rPr>
                <w:rFonts w:ascii="宋体" w:hAnsi="宋体"/>
                <w:kern w:val="0"/>
                <w:szCs w:val="21"/>
              </w:rPr>
            </w:pPr>
            <w:r>
              <w:rPr>
                <w:rFonts w:hint="eastAsia"/>
              </w:rPr>
              <w:t>偏离情况</w:t>
            </w:r>
          </w:p>
        </w:tc>
        <w:tc>
          <w:tcPr>
            <w:tcW w:w="1418" w:type="dxa"/>
            <w:vAlign w:val="center"/>
          </w:tcPr>
          <w:p>
            <w:pPr>
              <w:adjustRightInd w:val="0"/>
              <w:snapToGrid w:val="0"/>
              <w:spacing w:line="360" w:lineRule="auto"/>
              <w:jc w:val="center"/>
              <w:rPr>
                <w:rFonts w:ascii="宋体" w:hAnsi="宋体"/>
                <w:kern w:val="0"/>
                <w:szCs w:val="21"/>
              </w:rPr>
            </w:pPr>
            <w:r>
              <w:rPr>
                <w:rFonts w:hint="eastAsia"/>
              </w:rPr>
              <w:t>说明</w:t>
            </w:r>
          </w:p>
        </w:tc>
      </w:tr>
      <w:bookmarkEnd w:id="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1</w:t>
            </w:r>
          </w:p>
        </w:tc>
        <w:tc>
          <w:tcPr>
            <w:tcW w:w="2905" w:type="dxa"/>
            <w:vAlign w:val="center"/>
          </w:tcPr>
          <w:p>
            <w:pPr>
              <w:adjustRightInd w:val="0"/>
              <w:snapToGrid w:val="0"/>
              <w:spacing w:line="360" w:lineRule="auto"/>
              <w:jc w:val="center"/>
              <w:rPr>
                <w:rFonts w:hAnsi="宋体"/>
                <w:kern w:val="0"/>
                <w:szCs w:val="21"/>
              </w:rPr>
            </w:pPr>
            <w:r>
              <w:rPr>
                <w:rFonts w:hint="eastAsia" w:ascii="宋体" w:hAnsi="宋体" w:cs="宋体"/>
                <w:b/>
                <w:color w:val="FF0000"/>
                <w:kern w:val="0"/>
                <w:szCs w:val="21"/>
              </w:rPr>
              <w:t>满足本项目标★的条款要求</w:t>
            </w:r>
            <w:r>
              <w:rPr>
                <w:rFonts w:hint="eastAsia" w:ascii="宋体" w:hAnsi="宋体" w:cs="宋体"/>
                <w:b/>
                <w:color w:val="FF0000"/>
                <w:kern w:val="0"/>
                <w:szCs w:val="21"/>
                <w:lang w:eastAsia="zh-CN"/>
              </w:rPr>
              <w:t>。</w:t>
            </w:r>
          </w:p>
        </w:tc>
        <w:tc>
          <w:tcPr>
            <w:tcW w:w="1347" w:type="dxa"/>
          </w:tcPr>
          <w:p>
            <w:pPr>
              <w:adjustRightInd w:val="0"/>
              <w:snapToGrid w:val="0"/>
              <w:spacing w:line="360" w:lineRule="auto"/>
              <w:rPr>
                <w:rFonts w:ascii="宋体" w:hAnsi="宋体"/>
                <w:kern w:val="0"/>
                <w:szCs w:val="21"/>
              </w:rPr>
            </w:pPr>
          </w:p>
        </w:tc>
        <w:tc>
          <w:tcPr>
            <w:tcW w:w="1842" w:type="dxa"/>
          </w:tcPr>
          <w:p>
            <w:pPr>
              <w:adjustRightInd w:val="0"/>
              <w:snapToGrid w:val="0"/>
              <w:spacing w:line="360" w:lineRule="auto"/>
              <w:rPr>
                <w:rFonts w:ascii="宋体" w:hAnsi="宋体"/>
                <w:kern w:val="0"/>
                <w:szCs w:val="21"/>
              </w:rPr>
            </w:pPr>
          </w:p>
        </w:tc>
        <w:tc>
          <w:tcPr>
            <w:tcW w:w="1418" w:type="dxa"/>
          </w:tcPr>
          <w:p>
            <w:pPr>
              <w:adjustRightInd w:val="0"/>
              <w:snapToGrid w:val="0"/>
              <w:spacing w:line="360" w:lineRule="auto"/>
              <w:rPr>
                <w:rFonts w:ascii="宋体" w:hAnsi="宋体"/>
                <w:kern w:val="0"/>
                <w:szCs w:val="21"/>
              </w:rPr>
            </w:pPr>
          </w:p>
        </w:tc>
      </w:tr>
    </w:tbl>
    <w:p>
      <w:pPr>
        <w:ind w:firstLine="482" w:firstLineChars="200"/>
        <w:rPr>
          <w:b/>
          <w:sz w:val="24"/>
          <w:szCs w:val="22"/>
        </w:rPr>
      </w:pPr>
      <w:r>
        <w:rPr>
          <w:rFonts w:hint="eastAsia"/>
          <w:b/>
          <w:sz w:val="24"/>
          <w:szCs w:val="22"/>
        </w:rPr>
        <w:t>注：1.上表所列各项均为不可负偏离条款。</w:t>
      </w:r>
    </w:p>
    <w:p>
      <w:pPr>
        <w:ind w:firstLine="482" w:firstLineChars="200"/>
        <w:rPr>
          <w:rFonts w:hint="eastAsia" w:ascii="Times New Roman" w:hAnsi="Times New Roman" w:eastAsia="宋体" w:cs="Times New Roman"/>
          <w:b/>
          <w:sz w:val="24"/>
          <w:szCs w:val="22"/>
        </w:rPr>
      </w:pPr>
      <w:r>
        <w:rPr>
          <w:rFonts w:hint="eastAsia" w:ascii="Times New Roman" w:hAnsi="Times New Roman" w:eastAsia="宋体" w:cs="Times New Roman"/>
          <w:b/>
          <w:sz w:val="24"/>
          <w:szCs w:val="22"/>
        </w:rPr>
        <w:t>2.“投标响应”一栏应当详细填写投标人自身响应情况</w:t>
      </w:r>
      <w:r>
        <w:rPr>
          <w:rFonts w:hint="eastAsia" w:ascii="Times New Roman" w:hAnsi="Times New Roman" w:eastAsia="宋体" w:cs="Times New Roman"/>
          <w:b/>
          <w:sz w:val="24"/>
          <w:szCs w:val="22"/>
          <w:lang w:eastAsia="zh-CN"/>
        </w:rPr>
        <w:t>，</w:t>
      </w:r>
      <w:r>
        <w:rPr>
          <w:rFonts w:hint="eastAsia" w:ascii="Times New Roman" w:hAnsi="Times New Roman" w:eastAsia="宋体" w:cs="Times New Roman"/>
          <w:b/>
          <w:sz w:val="24"/>
          <w:szCs w:val="22"/>
        </w:rPr>
        <w:t>如完全满足实质性条款具体内容可填写“完全响应”。</w:t>
      </w:r>
    </w:p>
    <w:p>
      <w:pPr>
        <w:ind w:firstLine="482" w:firstLineChars="200"/>
        <w:rPr>
          <w:rFonts w:hint="eastAsia" w:ascii="Times New Roman" w:hAnsi="Times New Roman" w:eastAsia="宋体" w:cs="Times New Roman"/>
          <w:b/>
          <w:sz w:val="24"/>
          <w:szCs w:val="22"/>
        </w:rPr>
      </w:pPr>
      <w:r>
        <w:rPr>
          <w:rFonts w:hint="eastAsia" w:ascii="Times New Roman" w:hAnsi="Times New Roman" w:eastAsia="宋体" w:cs="Times New Roman"/>
          <w:b/>
          <w:sz w:val="24"/>
          <w:szCs w:val="22"/>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pPr>
        <w:ind w:firstLine="482" w:firstLineChars="200"/>
        <w:rPr>
          <w:rFonts w:hint="eastAsia" w:ascii="Times New Roman" w:hAnsi="Times New Roman" w:eastAsia="宋体" w:cs="Times New Roman"/>
          <w:b/>
          <w:sz w:val="24"/>
          <w:szCs w:val="22"/>
        </w:rPr>
      </w:pPr>
      <w:r>
        <w:rPr>
          <w:rFonts w:hint="eastAsia" w:ascii="Times New Roman" w:hAnsi="Times New Roman" w:eastAsia="宋体" w:cs="Times New Roman"/>
          <w:b/>
          <w:sz w:val="24"/>
          <w:szCs w:val="22"/>
        </w:rPr>
        <w:t>4.评审委员会有权对投标响应情况作出判断（作出评审结论）。</w:t>
      </w:r>
    </w:p>
    <w:p>
      <w:pPr>
        <w:ind w:firstLine="482" w:firstLineChars="200"/>
        <w:rPr>
          <w:rFonts w:hint="eastAsia" w:ascii="Times New Roman" w:hAnsi="Times New Roman" w:eastAsia="宋体" w:cs="Times New Roman"/>
          <w:b/>
          <w:sz w:val="24"/>
          <w:szCs w:val="22"/>
        </w:rPr>
      </w:pPr>
      <w:r>
        <w:rPr>
          <w:rFonts w:hint="eastAsia" w:ascii="Times New Roman" w:hAnsi="Times New Roman" w:eastAsia="宋体" w:cs="Times New Roman"/>
          <w:b/>
          <w:sz w:val="24"/>
          <w:szCs w:val="22"/>
        </w:rPr>
        <w:t>5.实质性响应条款“投标响应情况”与投标文件其它内容冲突的，以实质性响应条款“投标响应情况”为准。</w:t>
      </w:r>
    </w:p>
    <w:p>
      <w:pPr>
        <w:ind w:firstLine="482" w:firstLineChars="200"/>
        <w:rPr>
          <w:rFonts w:hint="eastAsia" w:ascii="Times New Roman" w:hAnsi="Times New Roman" w:eastAsia="宋体" w:cs="Times New Roman"/>
          <w:b/>
          <w:sz w:val="24"/>
          <w:szCs w:val="22"/>
        </w:rPr>
      </w:pPr>
      <w:r>
        <w:rPr>
          <w:rFonts w:hint="eastAsia" w:ascii="Times New Roman" w:hAnsi="Times New Roman" w:eastAsia="宋体" w:cs="Times New Roman"/>
          <w:b/>
          <w:sz w:val="24"/>
          <w:szCs w:val="22"/>
        </w:rPr>
        <w:t>6.要求提供证明资料，在“说明”一栏中列明证明资料的位置,以便评审；未要求提供证明材料的，投标人可以不提供。</w:t>
      </w:r>
    </w:p>
    <w:p>
      <w:pPr>
        <w:ind w:firstLine="420" w:firstLineChars="200"/>
      </w:pPr>
    </w:p>
    <w:p>
      <w:pPr>
        <w:rPr>
          <w:b/>
          <w:bCs/>
          <w:sz w:val="24"/>
        </w:rPr>
      </w:pPr>
    </w:p>
    <w:p>
      <w:pPr>
        <w:pStyle w:val="5"/>
        <w:adjustRightInd w:val="0"/>
        <w:snapToGrid w:val="0"/>
        <w:spacing w:line="276" w:lineRule="auto"/>
        <w:jc w:val="center"/>
        <w:rPr>
          <w:rFonts w:ascii="黑体" w:eastAsia="黑体"/>
          <w:b w:val="0"/>
          <w:kern w:val="0"/>
          <w:sz w:val="24"/>
          <w:szCs w:val="24"/>
        </w:rPr>
      </w:pPr>
      <w:r>
        <w:rPr>
          <w:rFonts w:hint="eastAsia" w:ascii="黑体" w:eastAsia="黑体"/>
          <w:b w:val="0"/>
          <w:kern w:val="0"/>
          <w:sz w:val="24"/>
          <w:szCs w:val="24"/>
        </w:rPr>
        <w:t>四、</w:t>
      </w:r>
      <w:r>
        <w:rPr>
          <w:rFonts w:hint="eastAsia" w:ascii="黑体" w:eastAsia="黑体"/>
          <w:b w:val="0"/>
          <w:kern w:val="0"/>
          <w:sz w:val="24"/>
          <w:szCs w:val="24"/>
          <w:lang w:val="en-US" w:eastAsia="zh-CN"/>
        </w:rPr>
        <w:t>项目施工</w:t>
      </w:r>
      <w:r>
        <w:rPr>
          <w:rFonts w:hint="eastAsia" w:ascii="黑体" w:eastAsia="黑体"/>
          <w:b w:val="0"/>
          <w:kern w:val="0"/>
          <w:sz w:val="24"/>
          <w:szCs w:val="24"/>
        </w:rPr>
        <w:t>方案</w:t>
      </w:r>
    </w:p>
    <w:p>
      <w:pPr>
        <w:pStyle w:val="2"/>
        <w:adjustRightInd w:val="0"/>
        <w:snapToGrid w:val="0"/>
        <w:spacing w:line="276" w:lineRule="auto"/>
        <w:rPr>
          <w:b w:val="0"/>
          <w:bCs w:val="0"/>
          <w:sz w:val="21"/>
          <w:szCs w:val="21"/>
        </w:rPr>
      </w:pPr>
      <w:r>
        <w:rPr>
          <w:rFonts w:hint="eastAsia"/>
          <w:b w:val="0"/>
          <w:bCs w:val="0"/>
          <w:sz w:val="21"/>
          <w:szCs w:val="21"/>
        </w:rPr>
        <w:t>（特别提示：投标人须按本招标文件评标信息中“项目</w:t>
      </w:r>
      <w:r>
        <w:rPr>
          <w:rFonts w:hint="eastAsia"/>
          <w:b w:val="0"/>
          <w:bCs w:val="0"/>
          <w:sz w:val="21"/>
          <w:szCs w:val="21"/>
          <w:lang w:val="en-US" w:eastAsia="zh-CN"/>
        </w:rPr>
        <w:t>施工</w:t>
      </w:r>
      <w:r>
        <w:rPr>
          <w:rFonts w:hint="eastAsia"/>
          <w:b w:val="0"/>
          <w:bCs w:val="0"/>
          <w:sz w:val="21"/>
          <w:szCs w:val="21"/>
        </w:rPr>
        <w:t>方案”这一评分因素要求，提供证明资料）</w:t>
      </w:r>
    </w:p>
    <w:p>
      <w:pPr>
        <w:pStyle w:val="5"/>
        <w:adjustRightInd w:val="0"/>
        <w:snapToGrid w:val="0"/>
        <w:spacing w:line="276" w:lineRule="auto"/>
        <w:jc w:val="center"/>
        <w:rPr>
          <w:rFonts w:ascii="黑体" w:eastAsia="黑体"/>
          <w:b w:val="0"/>
          <w:kern w:val="0"/>
          <w:sz w:val="24"/>
          <w:szCs w:val="24"/>
        </w:rPr>
      </w:pPr>
      <w:r>
        <w:rPr>
          <w:rFonts w:hint="eastAsia" w:ascii="黑体" w:eastAsia="黑体"/>
          <w:b w:val="0"/>
          <w:kern w:val="0"/>
          <w:sz w:val="24"/>
          <w:szCs w:val="24"/>
          <w:lang w:val="en-US" w:eastAsia="zh-CN"/>
        </w:rPr>
        <w:t>五</w:t>
      </w:r>
      <w:r>
        <w:rPr>
          <w:rFonts w:hint="eastAsia" w:ascii="黑体" w:eastAsia="黑体"/>
          <w:b w:val="0"/>
          <w:kern w:val="0"/>
          <w:sz w:val="24"/>
          <w:szCs w:val="24"/>
        </w:rPr>
        <w:t>、质量保障措施</w:t>
      </w:r>
    </w:p>
    <w:p>
      <w:pPr>
        <w:pStyle w:val="2"/>
        <w:adjustRightInd w:val="0"/>
        <w:snapToGrid w:val="0"/>
        <w:spacing w:line="276" w:lineRule="auto"/>
        <w:rPr>
          <w:rFonts w:hint="eastAsia"/>
          <w:b w:val="0"/>
          <w:bCs w:val="0"/>
          <w:sz w:val="21"/>
          <w:szCs w:val="21"/>
        </w:rPr>
      </w:pPr>
      <w:r>
        <w:rPr>
          <w:rFonts w:hint="eastAsia"/>
          <w:b w:val="0"/>
          <w:bCs w:val="0"/>
          <w:sz w:val="21"/>
          <w:szCs w:val="21"/>
        </w:rPr>
        <w:t>（特别提示：投标人须按本招标文件评标信息中“质量保障措施”这一评分因素要求，提供证明资料）</w:t>
      </w:r>
    </w:p>
    <w:p>
      <w:pPr>
        <w:pStyle w:val="5"/>
        <w:adjustRightInd w:val="0"/>
        <w:snapToGrid w:val="0"/>
        <w:spacing w:line="276" w:lineRule="auto"/>
        <w:jc w:val="center"/>
        <w:rPr>
          <w:rFonts w:ascii="黑体" w:eastAsia="黑体"/>
          <w:b w:val="0"/>
          <w:kern w:val="0"/>
          <w:sz w:val="24"/>
          <w:szCs w:val="24"/>
        </w:rPr>
      </w:pPr>
      <w:r>
        <w:rPr>
          <w:rFonts w:hint="eastAsia" w:ascii="黑体" w:eastAsia="黑体"/>
          <w:b w:val="0"/>
          <w:kern w:val="0"/>
          <w:sz w:val="24"/>
          <w:szCs w:val="24"/>
          <w:lang w:val="en-US" w:eastAsia="zh-CN"/>
        </w:rPr>
        <w:t>六</w:t>
      </w:r>
      <w:r>
        <w:rPr>
          <w:rFonts w:hint="eastAsia" w:ascii="黑体" w:eastAsia="黑体"/>
          <w:b w:val="0"/>
          <w:kern w:val="0"/>
          <w:sz w:val="24"/>
          <w:szCs w:val="24"/>
        </w:rPr>
        <w:t>、项目重点难点分析、应对措施及相关的合理化建议</w:t>
      </w:r>
    </w:p>
    <w:p>
      <w:pPr>
        <w:pStyle w:val="2"/>
        <w:adjustRightInd w:val="0"/>
        <w:snapToGrid w:val="0"/>
        <w:spacing w:line="276" w:lineRule="auto"/>
        <w:rPr>
          <w:b w:val="0"/>
          <w:bCs w:val="0"/>
          <w:sz w:val="21"/>
          <w:szCs w:val="21"/>
        </w:rPr>
      </w:pPr>
      <w:r>
        <w:rPr>
          <w:rFonts w:hint="eastAsia"/>
          <w:b w:val="0"/>
          <w:bCs w:val="0"/>
          <w:sz w:val="21"/>
          <w:szCs w:val="21"/>
        </w:rPr>
        <w:t>（特别提示：投标人须按本招标文件评标信息中“项目重点难点分析、应对措施及相关的合理化建议”这一评分因素要求，提供证明资料）</w:t>
      </w:r>
    </w:p>
    <w:p>
      <w:pPr>
        <w:pStyle w:val="35"/>
      </w:pPr>
    </w:p>
    <w:p>
      <w:pPr>
        <w:rPr>
          <w:rFonts w:ascii="黑体" w:hAnsi="宋体" w:eastAsia="黑体"/>
          <w:bCs/>
          <w:kern w:val="0"/>
          <w:sz w:val="24"/>
        </w:rPr>
      </w:pPr>
    </w:p>
    <w:p>
      <w:pPr>
        <w:pStyle w:val="5"/>
        <w:adjustRightInd w:val="0"/>
        <w:snapToGrid w:val="0"/>
        <w:spacing w:line="276" w:lineRule="auto"/>
        <w:jc w:val="center"/>
        <w:rPr>
          <w:rFonts w:ascii="黑体" w:eastAsia="黑体"/>
          <w:b w:val="0"/>
          <w:kern w:val="0"/>
          <w:sz w:val="24"/>
          <w:szCs w:val="24"/>
        </w:rPr>
      </w:pPr>
      <w:r>
        <w:rPr>
          <w:rFonts w:hint="eastAsia" w:ascii="黑体" w:eastAsia="黑体"/>
          <w:b w:val="0"/>
          <w:kern w:val="0"/>
          <w:sz w:val="24"/>
          <w:szCs w:val="24"/>
          <w:lang w:val="en-US" w:eastAsia="zh-CN"/>
        </w:rPr>
        <w:t>七</w:t>
      </w:r>
      <w:r>
        <w:rPr>
          <w:rFonts w:hint="eastAsia" w:ascii="黑体" w:eastAsia="黑体"/>
          <w:b w:val="0"/>
          <w:kern w:val="0"/>
          <w:sz w:val="24"/>
          <w:szCs w:val="24"/>
        </w:rPr>
        <w:t>、投入劳动力（项目经理、技术人员、管理班子）情况</w:t>
      </w:r>
    </w:p>
    <w:tbl>
      <w:tblPr>
        <w:tblStyle w:val="42"/>
        <w:tblW w:w="883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876"/>
        <w:gridCol w:w="877"/>
        <w:gridCol w:w="877"/>
        <w:gridCol w:w="877"/>
        <w:gridCol w:w="1151"/>
        <w:gridCol w:w="933"/>
        <w:gridCol w:w="1101"/>
        <w:gridCol w:w="10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8" w:type="dxa"/>
            <w:vMerge w:val="restart"/>
            <w:vAlign w:val="center"/>
          </w:tcPr>
          <w:p>
            <w:pPr>
              <w:spacing w:line="276" w:lineRule="auto"/>
              <w:jc w:val="center"/>
              <w:rPr>
                <w:rFonts w:ascii="宋体" w:hAnsi="宋体" w:cs="宋体"/>
                <w:szCs w:val="21"/>
              </w:rPr>
            </w:pPr>
            <w:r>
              <w:rPr>
                <w:rFonts w:hint="eastAsia" w:ascii="宋体" w:hAnsi="宋体" w:cs="宋体"/>
                <w:szCs w:val="21"/>
              </w:rPr>
              <w:t>类别</w:t>
            </w:r>
          </w:p>
        </w:tc>
        <w:tc>
          <w:tcPr>
            <w:tcW w:w="876" w:type="dxa"/>
            <w:vMerge w:val="restart"/>
            <w:vAlign w:val="center"/>
          </w:tcPr>
          <w:p>
            <w:pPr>
              <w:spacing w:line="276" w:lineRule="auto"/>
              <w:jc w:val="center"/>
              <w:rPr>
                <w:rFonts w:ascii="宋体" w:hAnsi="宋体" w:cs="宋体"/>
                <w:szCs w:val="21"/>
              </w:rPr>
            </w:pPr>
            <w:r>
              <w:rPr>
                <w:rFonts w:hint="eastAsia" w:ascii="宋体" w:hAnsi="宋体" w:cs="宋体"/>
                <w:szCs w:val="21"/>
              </w:rPr>
              <w:t>职务</w:t>
            </w:r>
          </w:p>
        </w:tc>
        <w:tc>
          <w:tcPr>
            <w:tcW w:w="877" w:type="dxa"/>
            <w:vMerge w:val="restart"/>
            <w:vAlign w:val="center"/>
          </w:tcPr>
          <w:p>
            <w:pPr>
              <w:spacing w:line="276" w:lineRule="auto"/>
              <w:jc w:val="center"/>
              <w:rPr>
                <w:rFonts w:ascii="宋体" w:hAnsi="宋体" w:cs="宋体"/>
                <w:szCs w:val="21"/>
              </w:rPr>
            </w:pPr>
            <w:r>
              <w:rPr>
                <w:rFonts w:hint="eastAsia" w:ascii="宋体" w:hAnsi="宋体" w:cs="宋体"/>
                <w:szCs w:val="21"/>
              </w:rPr>
              <w:t>姓名</w:t>
            </w:r>
          </w:p>
        </w:tc>
        <w:tc>
          <w:tcPr>
            <w:tcW w:w="877" w:type="dxa"/>
            <w:vMerge w:val="restart"/>
            <w:vAlign w:val="center"/>
          </w:tcPr>
          <w:p>
            <w:pPr>
              <w:spacing w:line="276" w:lineRule="auto"/>
              <w:jc w:val="center"/>
              <w:rPr>
                <w:rFonts w:ascii="宋体" w:hAnsi="宋体" w:cs="宋体"/>
                <w:szCs w:val="21"/>
              </w:rPr>
            </w:pPr>
            <w:r>
              <w:rPr>
                <w:rFonts w:hint="eastAsia" w:ascii="宋体" w:hAnsi="宋体" w:cs="宋体"/>
                <w:szCs w:val="21"/>
              </w:rPr>
              <w:t>职称</w:t>
            </w:r>
          </w:p>
        </w:tc>
        <w:tc>
          <w:tcPr>
            <w:tcW w:w="877" w:type="dxa"/>
            <w:vMerge w:val="restart"/>
            <w:vAlign w:val="center"/>
          </w:tcPr>
          <w:p>
            <w:pPr>
              <w:spacing w:line="276" w:lineRule="auto"/>
              <w:jc w:val="center"/>
              <w:rPr>
                <w:rFonts w:ascii="宋体" w:hAnsi="宋体" w:cs="宋体"/>
                <w:szCs w:val="21"/>
              </w:rPr>
            </w:pPr>
            <w:r>
              <w:rPr>
                <w:rFonts w:hint="eastAsia" w:ascii="宋体" w:hAnsi="宋体" w:cs="宋体"/>
                <w:szCs w:val="21"/>
              </w:rPr>
              <w:t>学历</w:t>
            </w:r>
          </w:p>
        </w:tc>
        <w:tc>
          <w:tcPr>
            <w:tcW w:w="4265" w:type="dxa"/>
            <w:gridSpan w:val="4"/>
            <w:vAlign w:val="center"/>
          </w:tcPr>
          <w:p>
            <w:pPr>
              <w:spacing w:line="276" w:lineRule="auto"/>
              <w:jc w:val="center"/>
              <w:rPr>
                <w:rFonts w:ascii="宋体" w:hAnsi="宋体" w:cs="宋体"/>
                <w:szCs w:val="21"/>
              </w:rPr>
            </w:pPr>
            <w:r>
              <w:rPr>
                <w:rFonts w:hint="eastAsia" w:ascii="宋体" w:hAnsi="宋体" w:cs="宋体"/>
                <w:szCs w:val="21"/>
              </w:rPr>
              <w:t>上岗资格证明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058" w:type="dxa"/>
            <w:vMerge w:val="continue"/>
            <w:vAlign w:val="center"/>
          </w:tcPr>
          <w:p>
            <w:pPr>
              <w:spacing w:line="276" w:lineRule="auto"/>
              <w:jc w:val="center"/>
              <w:rPr>
                <w:rFonts w:ascii="宋体" w:hAnsi="宋体" w:cs="宋体"/>
                <w:szCs w:val="21"/>
              </w:rPr>
            </w:pPr>
          </w:p>
        </w:tc>
        <w:tc>
          <w:tcPr>
            <w:tcW w:w="876" w:type="dxa"/>
            <w:vMerge w:val="continue"/>
            <w:vAlign w:val="center"/>
          </w:tcPr>
          <w:p>
            <w:pPr>
              <w:spacing w:line="276" w:lineRule="auto"/>
              <w:jc w:val="center"/>
              <w:rPr>
                <w:rFonts w:ascii="宋体" w:hAnsi="宋体" w:cs="宋体"/>
                <w:szCs w:val="21"/>
              </w:rPr>
            </w:pPr>
          </w:p>
        </w:tc>
        <w:tc>
          <w:tcPr>
            <w:tcW w:w="877" w:type="dxa"/>
            <w:vMerge w:val="continue"/>
            <w:vAlign w:val="center"/>
          </w:tcPr>
          <w:p>
            <w:pPr>
              <w:spacing w:line="276" w:lineRule="auto"/>
              <w:jc w:val="center"/>
              <w:rPr>
                <w:rFonts w:ascii="宋体" w:hAnsi="宋体" w:cs="宋体"/>
                <w:szCs w:val="21"/>
              </w:rPr>
            </w:pPr>
          </w:p>
        </w:tc>
        <w:tc>
          <w:tcPr>
            <w:tcW w:w="877" w:type="dxa"/>
            <w:vMerge w:val="continue"/>
          </w:tcPr>
          <w:p>
            <w:pPr>
              <w:spacing w:line="276" w:lineRule="auto"/>
              <w:jc w:val="center"/>
              <w:rPr>
                <w:rFonts w:ascii="宋体" w:hAnsi="宋体" w:cs="宋体"/>
                <w:szCs w:val="21"/>
              </w:rPr>
            </w:pPr>
          </w:p>
        </w:tc>
        <w:tc>
          <w:tcPr>
            <w:tcW w:w="877" w:type="dxa"/>
            <w:vMerge w:val="continue"/>
            <w:vAlign w:val="center"/>
          </w:tcPr>
          <w:p>
            <w:pPr>
              <w:spacing w:line="276" w:lineRule="auto"/>
              <w:jc w:val="center"/>
              <w:rPr>
                <w:rFonts w:ascii="宋体" w:hAnsi="宋体" w:cs="宋体"/>
                <w:szCs w:val="21"/>
              </w:rPr>
            </w:pPr>
          </w:p>
        </w:tc>
        <w:tc>
          <w:tcPr>
            <w:tcW w:w="1151" w:type="dxa"/>
            <w:vAlign w:val="center"/>
          </w:tcPr>
          <w:p>
            <w:pPr>
              <w:spacing w:line="276" w:lineRule="auto"/>
              <w:jc w:val="center"/>
              <w:rPr>
                <w:rFonts w:ascii="宋体" w:hAnsi="宋体" w:cs="宋体"/>
                <w:szCs w:val="21"/>
              </w:rPr>
            </w:pPr>
            <w:r>
              <w:rPr>
                <w:rFonts w:hint="eastAsia" w:ascii="宋体" w:hAnsi="宋体" w:cs="宋体"/>
                <w:szCs w:val="21"/>
              </w:rPr>
              <w:t>证书名称</w:t>
            </w:r>
          </w:p>
        </w:tc>
        <w:tc>
          <w:tcPr>
            <w:tcW w:w="933" w:type="dxa"/>
            <w:vAlign w:val="center"/>
          </w:tcPr>
          <w:p>
            <w:pPr>
              <w:spacing w:line="276" w:lineRule="auto"/>
              <w:jc w:val="center"/>
              <w:rPr>
                <w:rFonts w:ascii="宋体" w:hAnsi="宋体" w:cs="宋体"/>
                <w:szCs w:val="21"/>
              </w:rPr>
            </w:pPr>
            <w:r>
              <w:rPr>
                <w:rFonts w:hint="eastAsia" w:ascii="宋体" w:hAnsi="宋体" w:cs="宋体"/>
                <w:szCs w:val="21"/>
              </w:rPr>
              <w:t>级别</w:t>
            </w:r>
          </w:p>
        </w:tc>
        <w:tc>
          <w:tcPr>
            <w:tcW w:w="1101" w:type="dxa"/>
            <w:vAlign w:val="center"/>
          </w:tcPr>
          <w:p>
            <w:pPr>
              <w:spacing w:line="276" w:lineRule="auto"/>
              <w:jc w:val="center"/>
              <w:rPr>
                <w:rFonts w:ascii="宋体" w:hAnsi="宋体" w:cs="宋体"/>
                <w:szCs w:val="21"/>
              </w:rPr>
            </w:pPr>
            <w:r>
              <w:rPr>
                <w:rFonts w:hint="eastAsia" w:ascii="宋体" w:hAnsi="宋体" w:cs="宋体"/>
                <w:szCs w:val="21"/>
              </w:rPr>
              <w:t>证号</w:t>
            </w:r>
          </w:p>
        </w:tc>
        <w:tc>
          <w:tcPr>
            <w:tcW w:w="1080" w:type="dxa"/>
            <w:vAlign w:val="center"/>
          </w:tcPr>
          <w:p>
            <w:pPr>
              <w:spacing w:line="276" w:lineRule="auto"/>
              <w:jc w:val="center"/>
              <w:rPr>
                <w:rFonts w:ascii="宋体" w:hAnsi="宋体" w:cs="宋体"/>
                <w:szCs w:val="21"/>
              </w:rPr>
            </w:pPr>
            <w:r>
              <w:rPr>
                <w:rFonts w:hint="eastAsia" w:ascii="宋体" w:hAnsi="宋体" w:cs="宋体"/>
                <w:szCs w:val="21"/>
              </w:rPr>
              <w:t>专业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058" w:type="dxa"/>
            <w:vAlign w:val="center"/>
          </w:tcPr>
          <w:p>
            <w:pPr>
              <w:spacing w:line="276" w:lineRule="auto"/>
              <w:jc w:val="center"/>
              <w:rPr>
                <w:rFonts w:hint="eastAsia" w:ascii="宋体" w:hAnsi="宋体" w:cs="宋体"/>
                <w:szCs w:val="21"/>
              </w:rPr>
            </w:pPr>
            <w:r>
              <w:rPr>
                <w:rFonts w:hint="eastAsia" w:ascii="宋体" w:hAnsi="宋体"/>
                <w:szCs w:val="21"/>
              </w:rPr>
              <w:t>拟派项目负责人</w:t>
            </w:r>
          </w:p>
        </w:tc>
        <w:tc>
          <w:tcPr>
            <w:tcW w:w="876" w:type="dxa"/>
            <w:vAlign w:val="center"/>
          </w:tcPr>
          <w:p>
            <w:pPr>
              <w:spacing w:line="276" w:lineRule="auto"/>
              <w:jc w:val="center"/>
              <w:rPr>
                <w:rFonts w:ascii="宋体" w:hAnsi="宋体" w:cs="宋体"/>
                <w:szCs w:val="21"/>
              </w:rPr>
            </w:pPr>
          </w:p>
        </w:tc>
        <w:tc>
          <w:tcPr>
            <w:tcW w:w="877" w:type="dxa"/>
            <w:vAlign w:val="center"/>
          </w:tcPr>
          <w:p>
            <w:pPr>
              <w:spacing w:line="276" w:lineRule="auto"/>
              <w:jc w:val="center"/>
              <w:rPr>
                <w:rFonts w:ascii="宋体" w:hAnsi="宋体" w:cs="宋体"/>
                <w:szCs w:val="21"/>
              </w:rPr>
            </w:pPr>
          </w:p>
        </w:tc>
        <w:tc>
          <w:tcPr>
            <w:tcW w:w="877" w:type="dxa"/>
          </w:tcPr>
          <w:p>
            <w:pPr>
              <w:spacing w:line="276" w:lineRule="auto"/>
              <w:jc w:val="center"/>
              <w:rPr>
                <w:rFonts w:ascii="宋体" w:hAnsi="宋体" w:cs="宋体"/>
                <w:szCs w:val="21"/>
              </w:rPr>
            </w:pPr>
          </w:p>
        </w:tc>
        <w:tc>
          <w:tcPr>
            <w:tcW w:w="877" w:type="dxa"/>
            <w:vAlign w:val="center"/>
          </w:tcPr>
          <w:p>
            <w:pPr>
              <w:spacing w:line="276" w:lineRule="auto"/>
              <w:jc w:val="center"/>
              <w:rPr>
                <w:rFonts w:ascii="宋体" w:hAnsi="宋体" w:cs="宋体"/>
                <w:szCs w:val="21"/>
              </w:rPr>
            </w:pPr>
          </w:p>
        </w:tc>
        <w:tc>
          <w:tcPr>
            <w:tcW w:w="1151" w:type="dxa"/>
            <w:vAlign w:val="center"/>
          </w:tcPr>
          <w:p>
            <w:pPr>
              <w:spacing w:line="276" w:lineRule="auto"/>
              <w:jc w:val="center"/>
              <w:rPr>
                <w:rFonts w:ascii="宋体" w:hAnsi="宋体" w:cs="宋体"/>
                <w:szCs w:val="21"/>
              </w:rPr>
            </w:pPr>
          </w:p>
        </w:tc>
        <w:tc>
          <w:tcPr>
            <w:tcW w:w="933" w:type="dxa"/>
            <w:vAlign w:val="center"/>
          </w:tcPr>
          <w:p>
            <w:pPr>
              <w:spacing w:line="276" w:lineRule="auto"/>
              <w:jc w:val="center"/>
              <w:rPr>
                <w:rFonts w:ascii="宋体" w:hAnsi="宋体" w:cs="宋体"/>
                <w:szCs w:val="21"/>
              </w:rPr>
            </w:pPr>
          </w:p>
        </w:tc>
        <w:tc>
          <w:tcPr>
            <w:tcW w:w="1101" w:type="dxa"/>
            <w:vAlign w:val="center"/>
          </w:tcPr>
          <w:p>
            <w:pPr>
              <w:spacing w:line="276" w:lineRule="auto"/>
              <w:jc w:val="center"/>
              <w:rPr>
                <w:rFonts w:ascii="宋体" w:hAnsi="宋体" w:cs="宋体"/>
                <w:szCs w:val="21"/>
              </w:rPr>
            </w:pPr>
          </w:p>
        </w:tc>
        <w:tc>
          <w:tcPr>
            <w:tcW w:w="1080" w:type="dxa"/>
            <w:vAlign w:val="center"/>
          </w:tcPr>
          <w:p>
            <w:pPr>
              <w:spacing w:line="276"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058" w:type="dxa"/>
            <w:vMerge w:val="restart"/>
            <w:vAlign w:val="center"/>
          </w:tcPr>
          <w:p>
            <w:pPr>
              <w:spacing w:line="276" w:lineRule="auto"/>
              <w:jc w:val="center"/>
              <w:rPr>
                <w:rFonts w:ascii="宋体" w:hAnsi="宋体" w:cs="宋体"/>
                <w:szCs w:val="21"/>
              </w:rPr>
            </w:pPr>
            <w:r>
              <w:rPr>
                <w:rFonts w:hint="eastAsia" w:ascii="宋体" w:hAnsi="宋体" w:cs="宋体"/>
                <w:szCs w:val="21"/>
              </w:rPr>
              <w:t>拟安排的项目团队成员</w:t>
            </w:r>
          </w:p>
        </w:tc>
        <w:tc>
          <w:tcPr>
            <w:tcW w:w="876" w:type="dxa"/>
            <w:vAlign w:val="center"/>
          </w:tcPr>
          <w:p>
            <w:pPr>
              <w:spacing w:line="276" w:lineRule="auto"/>
              <w:jc w:val="center"/>
              <w:rPr>
                <w:rFonts w:ascii="宋体" w:hAnsi="宋体" w:cs="宋体"/>
                <w:szCs w:val="21"/>
              </w:rPr>
            </w:pPr>
          </w:p>
        </w:tc>
        <w:tc>
          <w:tcPr>
            <w:tcW w:w="877" w:type="dxa"/>
            <w:vAlign w:val="center"/>
          </w:tcPr>
          <w:p>
            <w:pPr>
              <w:spacing w:line="276" w:lineRule="auto"/>
              <w:jc w:val="center"/>
              <w:rPr>
                <w:rFonts w:ascii="宋体" w:hAnsi="宋体" w:cs="宋体"/>
                <w:szCs w:val="21"/>
              </w:rPr>
            </w:pPr>
          </w:p>
        </w:tc>
        <w:tc>
          <w:tcPr>
            <w:tcW w:w="877" w:type="dxa"/>
          </w:tcPr>
          <w:p>
            <w:pPr>
              <w:spacing w:line="276" w:lineRule="auto"/>
              <w:jc w:val="center"/>
              <w:rPr>
                <w:rFonts w:ascii="宋体" w:hAnsi="宋体" w:cs="宋体"/>
                <w:szCs w:val="21"/>
              </w:rPr>
            </w:pPr>
          </w:p>
        </w:tc>
        <w:tc>
          <w:tcPr>
            <w:tcW w:w="877" w:type="dxa"/>
            <w:vAlign w:val="center"/>
          </w:tcPr>
          <w:p>
            <w:pPr>
              <w:spacing w:line="276" w:lineRule="auto"/>
              <w:jc w:val="center"/>
              <w:rPr>
                <w:rFonts w:ascii="宋体" w:hAnsi="宋体" w:cs="宋体"/>
                <w:szCs w:val="21"/>
              </w:rPr>
            </w:pPr>
          </w:p>
        </w:tc>
        <w:tc>
          <w:tcPr>
            <w:tcW w:w="1151" w:type="dxa"/>
            <w:vAlign w:val="center"/>
          </w:tcPr>
          <w:p>
            <w:pPr>
              <w:spacing w:line="276" w:lineRule="auto"/>
              <w:jc w:val="center"/>
              <w:rPr>
                <w:rFonts w:ascii="宋体" w:hAnsi="宋体" w:cs="宋体"/>
                <w:szCs w:val="21"/>
              </w:rPr>
            </w:pPr>
          </w:p>
        </w:tc>
        <w:tc>
          <w:tcPr>
            <w:tcW w:w="933" w:type="dxa"/>
            <w:vAlign w:val="center"/>
          </w:tcPr>
          <w:p>
            <w:pPr>
              <w:spacing w:line="276" w:lineRule="auto"/>
              <w:jc w:val="center"/>
              <w:rPr>
                <w:rFonts w:ascii="宋体" w:hAnsi="宋体" w:cs="宋体"/>
                <w:szCs w:val="21"/>
              </w:rPr>
            </w:pPr>
          </w:p>
        </w:tc>
        <w:tc>
          <w:tcPr>
            <w:tcW w:w="1101" w:type="dxa"/>
            <w:vAlign w:val="center"/>
          </w:tcPr>
          <w:p>
            <w:pPr>
              <w:spacing w:line="276" w:lineRule="auto"/>
              <w:jc w:val="center"/>
              <w:rPr>
                <w:rFonts w:ascii="宋体" w:hAnsi="宋体" w:cs="宋体"/>
                <w:szCs w:val="21"/>
              </w:rPr>
            </w:pPr>
          </w:p>
        </w:tc>
        <w:tc>
          <w:tcPr>
            <w:tcW w:w="1080" w:type="dxa"/>
            <w:vAlign w:val="center"/>
          </w:tcPr>
          <w:p>
            <w:pPr>
              <w:spacing w:line="276"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058" w:type="dxa"/>
            <w:vMerge w:val="continue"/>
            <w:vAlign w:val="center"/>
          </w:tcPr>
          <w:p>
            <w:pPr>
              <w:spacing w:line="276" w:lineRule="auto"/>
              <w:jc w:val="center"/>
              <w:rPr>
                <w:rFonts w:ascii="宋体" w:hAnsi="宋体" w:cs="宋体"/>
                <w:szCs w:val="21"/>
              </w:rPr>
            </w:pPr>
          </w:p>
        </w:tc>
        <w:tc>
          <w:tcPr>
            <w:tcW w:w="876" w:type="dxa"/>
            <w:vAlign w:val="center"/>
          </w:tcPr>
          <w:p>
            <w:pPr>
              <w:spacing w:line="276" w:lineRule="auto"/>
              <w:jc w:val="center"/>
              <w:rPr>
                <w:rFonts w:ascii="宋体" w:hAnsi="宋体" w:cs="宋体"/>
                <w:szCs w:val="21"/>
              </w:rPr>
            </w:pPr>
          </w:p>
        </w:tc>
        <w:tc>
          <w:tcPr>
            <w:tcW w:w="877" w:type="dxa"/>
            <w:vAlign w:val="center"/>
          </w:tcPr>
          <w:p>
            <w:pPr>
              <w:spacing w:line="276" w:lineRule="auto"/>
              <w:jc w:val="center"/>
              <w:rPr>
                <w:rFonts w:ascii="宋体" w:hAnsi="宋体" w:cs="宋体"/>
                <w:szCs w:val="21"/>
              </w:rPr>
            </w:pPr>
          </w:p>
        </w:tc>
        <w:tc>
          <w:tcPr>
            <w:tcW w:w="877" w:type="dxa"/>
          </w:tcPr>
          <w:p>
            <w:pPr>
              <w:spacing w:line="276" w:lineRule="auto"/>
              <w:jc w:val="center"/>
              <w:rPr>
                <w:rFonts w:ascii="宋体" w:hAnsi="宋体" w:cs="宋体"/>
                <w:szCs w:val="21"/>
              </w:rPr>
            </w:pPr>
          </w:p>
        </w:tc>
        <w:tc>
          <w:tcPr>
            <w:tcW w:w="877" w:type="dxa"/>
            <w:vAlign w:val="center"/>
          </w:tcPr>
          <w:p>
            <w:pPr>
              <w:spacing w:line="276" w:lineRule="auto"/>
              <w:jc w:val="center"/>
              <w:rPr>
                <w:rFonts w:ascii="宋体" w:hAnsi="宋体" w:cs="宋体"/>
                <w:szCs w:val="21"/>
              </w:rPr>
            </w:pPr>
          </w:p>
        </w:tc>
        <w:tc>
          <w:tcPr>
            <w:tcW w:w="1151" w:type="dxa"/>
            <w:vAlign w:val="center"/>
          </w:tcPr>
          <w:p>
            <w:pPr>
              <w:spacing w:line="276" w:lineRule="auto"/>
              <w:jc w:val="center"/>
              <w:rPr>
                <w:rFonts w:ascii="宋体" w:hAnsi="宋体" w:cs="宋体"/>
                <w:szCs w:val="21"/>
              </w:rPr>
            </w:pPr>
          </w:p>
        </w:tc>
        <w:tc>
          <w:tcPr>
            <w:tcW w:w="933" w:type="dxa"/>
            <w:vAlign w:val="center"/>
          </w:tcPr>
          <w:p>
            <w:pPr>
              <w:spacing w:line="276" w:lineRule="auto"/>
              <w:jc w:val="center"/>
              <w:rPr>
                <w:rFonts w:ascii="宋体" w:hAnsi="宋体" w:cs="宋体"/>
                <w:szCs w:val="21"/>
              </w:rPr>
            </w:pPr>
          </w:p>
        </w:tc>
        <w:tc>
          <w:tcPr>
            <w:tcW w:w="1101" w:type="dxa"/>
            <w:vAlign w:val="center"/>
          </w:tcPr>
          <w:p>
            <w:pPr>
              <w:spacing w:line="276" w:lineRule="auto"/>
              <w:jc w:val="center"/>
              <w:rPr>
                <w:rFonts w:ascii="宋体" w:hAnsi="宋体" w:cs="宋体"/>
                <w:szCs w:val="21"/>
              </w:rPr>
            </w:pPr>
          </w:p>
        </w:tc>
        <w:tc>
          <w:tcPr>
            <w:tcW w:w="1080" w:type="dxa"/>
            <w:vAlign w:val="center"/>
          </w:tcPr>
          <w:p>
            <w:pPr>
              <w:spacing w:line="276"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058" w:type="dxa"/>
            <w:vMerge w:val="continue"/>
            <w:vAlign w:val="center"/>
          </w:tcPr>
          <w:p>
            <w:pPr>
              <w:spacing w:line="276" w:lineRule="auto"/>
              <w:jc w:val="center"/>
              <w:rPr>
                <w:rFonts w:ascii="宋体" w:hAnsi="宋体" w:cs="宋体"/>
                <w:szCs w:val="21"/>
              </w:rPr>
            </w:pPr>
          </w:p>
        </w:tc>
        <w:tc>
          <w:tcPr>
            <w:tcW w:w="876" w:type="dxa"/>
            <w:vAlign w:val="center"/>
          </w:tcPr>
          <w:p>
            <w:pPr>
              <w:spacing w:line="276" w:lineRule="auto"/>
              <w:jc w:val="center"/>
              <w:rPr>
                <w:rFonts w:ascii="宋体" w:hAnsi="宋体" w:cs="宋体"/>
                <w:szCs w:val="21"/>
              </w:rPr>
            </w:pPr>
          </w:p>
        </w:tc>
        <w:tc>
          <w:tcPr>
            <w:tcW w:w="877" w:type="dxa"/>
            <w:vAlign w:val="center"/>
          </w:tcPr>
          <w:p>
            <w:pPr>
              <w:spacing w:line="276" w:lineRule="auto"/>
              <w:jc w:val="center"/>
              <w:rPr>
                <w:rFonts w:ascii="宋体" w:hAnsi="宋体" w:cs="宋体"/>
                <w:szCs w:val="21"/>
              </w:rPr>
            </w:pPr>
          </w:p>
        </w:tc>
        <w:tc>
          <w:tcPr>
            <w:tcW w:w="877" w:type="dxa"/>
          </w:tcPr>
          <w:p>
            <w:pPr>
              <w:spacing w:line="276" w:lineRule="auto"/>
              <w:jc w:val="center"/>
              <w:rPr>
                <w:rFonts w:ascii="宋体" w:hAnsi="宋体" w:cs="宋体"/>
                <w:szCs w:val="21"/>
              </w:rPr>
            </w:pPr>
          </w:p>
        </w:tc>
        <w:tc>
          <w:tcPr>
            <w:tcW w:w="877" w:type="dxa"/>
            <w:vAlign w:val="center"/>
          </w:tcPr>
          <w:p>
            <w:pPr>
              <w:spacing w:line="276" w:lineRule="auto"/>
              <w:jc w:val="center"/>
              <w:rPr>
                <w:rFonts w:ascii="宋体" w:hAnsi="宋体" w:cs="宋体"/>
                <w:szCs w:val="21"/>
              </w:rPr>
            </w:pPr>
          </w:p>
        </w:tc>
        <w:tc>
          <w:tcPr>
            <w:tcW w:w="1151" w:type="dxa"/>
            <w:vAlign w:val="center"/>
          </w:tcPr>
          <w:p>
            <w:pPr>
              <w:spacing w:line="276" w:lineRule="auto"/>
              <w:jc w:val="center"/>
              <w:rPr>
                <w:rFonts w:ascii="宋体" w:hAnsi="宋体" w:cs="宋体"/>
                <w:szCs w:val="21"/>
              </w:rPr>
            </w:pPr>
          </w:p>
        </w:tc>
        <w:tc>
          <w:tcPr>
            <w:tcW w:w="933" w:type="dxa"/>
            <w:vAlign w:val="center"/>
          </w:tcPr>
          <w:p>
            <w:pPr>
              <w:spacing w:line="276" w:lineRule="auto"/>
              <w:jc w:val="center"/>
              <w:rPr>
                <w:rFonts w:ascii="宋体" w:hAnsi="宋体" w:cs="宋体"/>
                <w:szCs w:val="21"/>
              </w:rPr>
            </w:pPr>
          </w:p>
        </w:tc>
        <w:tc>
          <w:tcPr>
            <w:tcW w:w="1101" w:type="dxa"/>
            <w:vAlign w:val="center"/>
          </w:tcPr>
          <w:p>
            <w:pPr>
              <w:spacing w:line="276" w:lineRule="auto"/>
              <w:jc w:val="center"/>
              <w:rPr>
                <w:rFonts w:ascii="宋体" w:hAnsi="宋体" w:cs="宋体"/>
                <w:szCs w:val="21"/>
              </w:rPr>
            </w:pPr>
          </w:p>
        </w:tc>
        <w:tc>
          <w:tcPr>
            <w:tcW w:w="1080" w:type="dxa"/>
            <w:vAlign w:val="center"/>
          </w:tcPr>
          <w:p>
            <w:pPr>
              <w:spacing w:line="276"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8" w:type="dxa"/>
            <w:vMerge w:val="restart"/>
            <w:vAlign w:val="center"/>
          </w:tcPr>
          <w:p>
            <w:pPr>
              <w:spacing w:line="276" w:lineRule="auto"/>
              <w:jc w:val="center"/>
              <w:rPr>
                <w:rFonts w:ascii="宋体" w:hAnsi="宋体" w:cs="宋体"/>
                <w:szCs w:val="21"/>
              </w:rPr>
            </w:pPr>
            <w:r>
              <w:rPr>
                <w:rFonts w:hint="eastAsia" w:ascii="宋体" w:hAnsi="宋体" w:cs="宋体"/>
                <w:szCs w:val="21"/>
              </w:rPr>
              <w:t>其他</w:t>
            </w:r>
          </w:p>
        </w:tc>
        <w:tc>
          <w:tcPr>
            <w:tcW w:w="876" w:type="dxa"/>
          </w:tcPr>
          <w:p>
            <w:pPr>
              <w:spacing w:line="276" w:lineRule="auto"/>
              <w:rPr>
                <w:rFonts w:ascii="宋体" w:hAnsi="宋体" w:cs="宋体"/>
                <w:szCs w:val="21"/>
              </w:rPr>
            </w:pPr>
          </w:p>
        </w:tc>
        <w:tc>
          <w:tcPr>
            <w:tcW w:w="877" w:type="dxa"/>
          </w:tcPr>
          <w:p>
            <w:pPr>
              <w:spacing w:line="276" w:lineRule="auto"/>
              <w:rPr>
                <w:rFonts w:ascii="宋体" w:hAnsi="宋体" w:cs="宋体"/>
                <w:szCs w:val="21"/>
              </w:rPr>
            </w:pPr>
          </w:p>
        </w:tc>
        <w:tc>
          <w:tcPr>
            <w:tcW w:w="877" w:type="dxa"/>
          </w:tcPr>
          <w:p>
            <w:pPr>
              <w:spacing w:line="276" w:lineRule="auto"/>
              <w:rPr>
                <w:rFonts w:ascii="宋体" w:hAnsi="宋体" w:cs="宋体"/>
                <w:szCs w:val="21"/>
              </w:rPr>
            </w:pPr>
          </w:p>
        </w:tc>
        <w:tc>
          <w:tcPr>
            <w:tcW w:w="877" w:type="dxa"/>
          </w:tcPr>
          <w:p>
            <w:pPr>
              <w:spacing w:line="276" w:lineRule="auto"/>
              <w:rPr>
                <w:rFonts w:ascii="宋体" w:hAnsi="宋体" w:cs="宋体"/>
                <w:szCs w:val="21"/>
              </w:rPr>
            </w:pPr>
          </w:p>
        </w:tc>
        <w:tc>
          <w:tcPr>
            <w:tcW w:w="1151" w:type="dxa"/>
          </w:tcPr>
          <w:p>
            <w:pPr>
              <w:spacing w:line="276" w:lineRule="auto"/>
              <w:rPr>
                <w:rFonts w:ascii="宋体" w:hAnsi="宋体" w:cs="宋体"/>
                <w:szCs w:val="21"/>
              </w:rPr>
            </w:pPr>
          </w:p>
        </w:tc>
        <w:tc>
          <w:tcPr>
            <w:tcW w:w="933" w:type="dxa"/>
          </w:tcPr>
          <w:p>
            <w:pPr>
              <w:spacing w:line="276" w:lineRule="auto"/>
              <w:rPr>
                <w:rFonts w:ascii="宋体" w:hAnsi="宋体" w:cs="宋体"/>
                <w:szCs w:val="21"/>
              </w:rPr>
            </w:pPr>
          </w:p>
        </w:tc>
        <w:tc>
          <w:tcPr>
            <w:tcW w:w="1101" w:type="dxa"/>
          </w:tcPr>
          <w:p>
            <w:pPr>
              <w:spacing w:line="276" w:lineRule="auto"/>
              <w:rPr>
                <w:rFonts w:ascii="宋体" w:hAnsi="宋体" w:cs="宋体"/>
                <w:szCs w:val="21"/>
              </w:rPr>
            </w:pPr>
          </w:p>
        </w:tc>
        <w:tc>
          <w:tcPr>
            <w:tcW w:w="1080" w:type="dxa"/>
          </w:tcPr>
          <w:p>
            <w:pPr>
              <w:spacing w:line="276" w:lineRule="auto"/>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8" w:type="dxa"/>
            <w:vMerge w:val="continue"/>
          </w:tcPr>
          <w:p>
            <w:pPr>
              <w:spacing w:line="276" w:lineRule="auto"/>
              <w:rPr>
                <w:rFonts w:ascii="宋体" w:hAnsi="宋体" w:cs="宋体"/>
                <w:szCs w:val="21"/>
              </w:rPr>
            </w:pPr>
          </w:p>
        </w:tc>
        <w:tc>
          <w:tcPr>
            <w:tcW w:w="876" w:type="dxa"/>
          </w:tcPr>
          <w:p>
            <w:pPr>
              <w:spacing w:line="276" w:lineRule="auto"/>
              <w:rPr>
                <w:rFonts w:ascii="宋体" w:hAnsi="宋体" w:cs="宋体"/>
                <w:szCs w:val="21"/>
              </w:rPr>
            </w:pPr>
          </w:p>
        </w:tc>
        <w:tc>
          <w:tcPr>
            <w:tcW w:w="877" w:type="dxa"/>
          </w:tcPr>
          <w:p>
            <w:pPr>
              <w:spacing w:line="276" w:lineRule="auto"/>
              <w:rPr>
                <w:rFonts w:ascii="宋体" w:hAnsi="宋体" w:cs="宋体"/>
                <w:szCs w:val="21"/>
              </w:rPr>
            </w:pPr>
          </w:p>
        </w:tc>
        <w:tc>
          <w:tcPr>
            <w:tcW w:w="877" w:type="dxa"/>
          </w:tcPr>
          <w:p>
            <w:pPr>
              <w:spacing w:line="276" w:lineRule="auto"/>
              <w:rPr>
                <w:rFonts w:ascii="宋体" w:hAnsi="宋体" w:cs="宋体"/>
                <w:szCs w:val="21"/>
              </w:rPr>
            </w:pPr>
          </w:p>
        </w:tc>
        <w:tc>
          <w:tcPr>
            <w:tcW w:w="877" w:type="dxa"/>
          </w:tcPr>
          <w:p>
            <w:pPr>
              <w:spacing w:line="276" w:lineRule="auto"/>
              <w:rPr>
                <w:rFonts w:ascii="宋体" w:hAnsi="宋体" w:cs="宋体"/>
                <w:szCs w:val="21"/>
              </w:rPr>
            </w:pPr>
          </w:p>
        </w:tc>
        <w:tc>
          <w:tcPr>
            <w:tcW w:w="1151" w:type="dxa"/>
          </w:tcPr>
          <w:p>
            <w:pPr>
              <w:spacing w:line="276" w:lineRule="auto"/>
              <w:rPr>
                <w:rFonts w:ascii="宋体" w:hAnsi="宋体" w:cs="宋体"/>
                <w:szCs w:val="21"/>
              </w:rPr>
            </w:pPr>
          </w:p>
        </w:tc>
        <w:tc>
          <w:tcPr>
            <w:tcW w:w="933" w:type="dxa"/>
          </w:tcPr>
          <w:p>
            <w:pPr>
              <w:spacing w:line="276" w:lineRule="auto"/>
              <w:rPr>
                <w:rFonts w:ascii="宋体" w:hAnsi="宋体" w:cs="宋体"/>
                <w:szCs w:val="21"/>
              </w:rPr>
            </w:pPr>
          </w:p>
        </w:tc>
        <w:tc>
          <w:tcPr>
            <w:tcW w:w="1101" w:type="dxa"/>
          </w:tcPr>
          <w:p>
            <w:pPr>
              <w:spacing w:line="276" w:lineRule="auto"/>
              <w:rPr>
                <w:rFonts w:ascii="宋体" w:hAnsi="宋体" w:cs="宋体"/>
                <w:szCs w:val="21"/>
              </w:rPr>
            </w:pPr>
          </w:p>
        </w:tc>
        <w:tc>
          <w:tcPr>
            <w:tcW w:w="1080" w:type="dxa"/>
          </w:tcPr>
          <w:p>
            <w:pPr>
              <w:spacing w:line="276" w:lineRule="auto"/>
              <w:rPr>
                <w:rFonts w:ascii="宋体" w:hAnsi="宋体" w:cs="宋体"/>
                <w:szCs w:val="21"/>
              </w:rPr>
            </w:pPr>
          </w:p>
        </w:tc>
      </w:tr>
    </w:tbl>
    <w:p>
      <w:pPr>
        <w:pStyle w:val="2"/>
        <w:spacing w:line="276" w:lineRule="auto"/>
        <w:rPr>
          <w:b w:val="0"/>
          <w:bCs w:val="0"/>
          <w:sz w:val="21"/>
          <w:szCs w:val="21"/>
        </w:rPr>
      </w:pPr>
      <w:r>
        <w:rPr>
          <w:rFonts w:hint="eastAsia"/>
          <w:b w:val="0"/>
          <w:bCs w:val="0"/>
          <w:sz w:val="21"/>
          <w:szCs w:val="21"/>
        </w:rPr>
        <w:t>（特别提示：以上表格仅供参考。投标人须按本招标文件评标信息中“投入劳动力（项目经理、技术人员、管理班子）情况”这一评分因素要求，提供证明资料）</w:t>
      </w:r>
    </w:p>
    <w:p>
      <w:pPr>
        <w:pStyle w:val="8"/>
        <w:spacing w:before="60" w:beforeLines="25" w:after="60" w:afterLines="25"/>
        <w:ind w:firstLine="0"/>
        <w:rPr>
          <w:rFonts w:ascii="黑体" w:hAnsi="宋体" w:eastAsia="黑体"/>
          <w:sz w:val="24"/>
        </w:rPr>
      </w:pPr>
    </w:p>
    <w:p>
      <w:pPr>
        <w:rPr>
          <w:rFonts w:ascii="黑体" w:hAnsi="宋体" w:eastAsia="黑体"/>
          <w:sz w:val="24"/>
        </w:rPr>
      </w:pPr>
    </w:p>
    <w:p>
      <w:pPr>
        <w:pStyle w:val="5"/>
        <w:jc w:val="center"/>
        <w:rPr>
          <w:rFonts w:ascii="黑体" w:eastAsia="黑体"/>
          <w:b w:val="0"/>
          <w:bCs w:val="0"/>
          <w:sz w:val="24"/>
          <w:szCs w:val="20"/>
        </w:rPr>
      </w:pPr>
      <w:r>
        <w:rPr>
          <w:rFonts w:hint="eastAsia" w:ascii="黑体" w:eastAsia="黑体"/>
          <w:b w:val="0"/>
          <w:bCs w:val="0"/>
          <w:sz w:val="24"/>
          <w:szCs w:val="20"/>
          <w:lang w:val="en-US" w:eastAsia="zh-CN"/>
        </w:rPr>
        <w:t>八</w:t>
      </w:r>
      <w:r>
        <w:rPr>
          <w:rFonts w:hint="eastAsia" w:ascii="黑体" w:eastAsia="黑体"/>
          <w:b w:val="0"/>
          <w:bCs w:val="0"/>
          <w:sz w:val="24"/>
          <w:szCs w:val="20"/>
        </w:rPr>
        <w:t>、</w:t>
      </w:r>
      <w:bookmarkStart w:id="43" w:name="_Hlk72062872"/>
      <w:r>
        <w:rPr>
          <w:rFonts w:hint="eastAsia" w:ascii="黑体" w:eastAsia="黑体"/>
          <w:b w:val="0"/>
          <w:bCs w:val="0"/>
          <w:sz w:val="24"/>
          <w:szCs w:val="20"/>
        </w:rPr>
        <w:t>投标人认为需要加以说明的其他内容</w:t>
      </w:r>
      <w:bookmarkEnd w:id="43"/>
    </w:p>
    <w:p>
      <w:pPr>
        <w:widowControl/>
        <w:jc w:val="center"/>
        <w:rPr>
          <w:rFonts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rPr>
        <w:t>政府采购违法行为风险知悉确认书</w:t>
      </w:r>
    </w:p>
    <w:p>
      <w:pPr>
        <w:widowControl/>
        <w:jc w:val="center"/>
        <w:rPr>
          <w:rFonts w:ascii="黑体" w:hAnsi="宋体" w:eastAsia="黑体"/>
          <w:kern w:val="0"/>
          <w:sz w:val="24"/>
          <w:szCs w:val="20"/>
        </w:rPr>
      </w:pPr>
    </w:p>
    <w:p>
      <w:pPr>
        <w:ind w:firstLine="420" w:firstLineChars="200"/>
      </w:pPr>
      <w:r>
        <w:rPr>
          <w:rFonts w:hint="eastAsia"/>
        </w:rPr>
        <w:t>本公司在投标前已充分知悉以下情形为参与政府采购活动时的重大风险事项，并承诺已对下述风险提示事项重点排查，做到严谨、诚信、依法依规参与政府采购活动。</w:t>
      </w:r>
    </w:p>
    <w:p>
      <w:pPr>
        <w:ind w:firstLine="422" w:firstLineChars="200"/>
        <w:rPr>
          <w:b/>
        </w:rPr>
      </w:pPr>
      <w:r>
        <w:rPr>
          <w:rFonts w:hint="eastAsia"/>
          <w:b/>
        </w:rPr>
        <w:t>一、本公司已充分知悉“隐瞒真实情况，提供虚假资料”的法定情形，相关情形包括但不限于：</w:t>
      </w:r>
    </w:p>
    <w:p>
      <w:pPr>
        <w:ind w:firstLine="420" w:firstLineChars="200"/>
      </w:pPr>
      <w:r>
        <w:rPr>
          <w:rFonts w:hint="eastAsia"/>
        </w:rPr>
        <w:t>（一）通过转让或者租借等方式从其他单位获取资格或者资质证书投标的。</w:t>
      </w:r>
    </w:p>
    <w:p>
      <w:pPr>
        <w:ind w:firstLine="420" w:firstLineChars="200"/>
      </w:pPr>
      <w:r>
        <w:rPr>
          <w:rFonts w:hint="eastAsia"/>
        </w:rPr>
        <w:t>（二）由其他单位或者其他单位负责人在投标供应商编制的投标文件上加盖印章或者签字的。</w:t>
      </w:r>
    </w:p>
    <w:p>
      <w:pPr>
        <w:ind w:firstLine="420" w:firstLineChars="200"/>
      </w:pPr>
      <w:r>
        <w:rPr>
          <w:rFonts w:hint="eastAsia"/>
        </w:rPr>
        <w:t>（三）项目负责人或者主要技术人员不是本单位人员的。</w:t>
      </w:r>
    </w:p>
    <w:p>
      <w:pPr>
        <w:ind w:firstLine="420" w:firstLineChars="200"/>
      </w:pPr>
      <w:r>
        <w:rPr>
          <w:rFonts w:hint="eastAsia"/>
        </w:rPr>
        <w:t>（四）投标保证金不是从投标供应商基本账户转出的。</w:t>
      </w:r>
    </w:p>
    <w:p>
      <w:pPr>
        <w:ind w:firstLine="420" w:firstLineChars="200"/>
      </w:pPr>
      <w:r>
        <w:rPr>
          <w:rFonts w:hint="eastAsia"/>
        </w:rPr>
        <w:t>（五）其他隐瞒真实情况、提供虚假资料的行为。</w:t>
      </w:r>
    </w:p>
    <w:p>
      <w:pPr>
        <w:ind w:firstLine="422" w:firstLineChars="200"/>
        <w:rPr>
          <w:b/>
        </w:rPr>
      </w:pPr>
      <w:r>
        <w:rPr>
          <w:rFonts w:hint="eastAsia"/>
          <w:b/>
        </w:rPr>
        <w:t>二、本公司已充分知悉“与其他采购参加人串通投标”的法定情形，相关情形包括但不限于：</w:t>
      </w:r>
    </w:p>
    <w:p>
      <w:pPr>
        <w:ind w:firstLine="420" w:firstLineChars="200"/>
      </w:pPr>
      <w:r>
        <w:rPr>
          <w:rFonts w:hint="eastAsia"/>
        </w:rPr>
        <w:t>（一）投标供应商之间相互约定给予未中标的供应商利益补偿。</w:t>
      </w:r>
    </w:p>
    <w:p>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pPr>
        <w:ind w:firstLine="420" w:firstLineChars="200"/>
      </w:pPr>
      <w:r>
        <w:rPr>
          <w:rFonts w:hint="eastAsia"/>
        </w:rPr>
        <w:t>（三）不同投标供应商的投标文件由同一单位或者同一人编制，或者由同一人分阶段参与编制的。</w:t>
      </w:r>
    </w:p>
    <w:p>
      <w:pPr>
        <w:ind w:firstLine="420" w:firstLineChars="200"/>
      </w:pPr>
      <w:r>
        <w:rPr>
          <w:rFonts w:hint="eastAsia"/>
        </w:rPr>
        <w:t>（四）不同投标供应商的投标文件或部分投标文件相互混装。</w:t>
      </w:r>
    </w:p>
    <w:p>
      <w:pPr>
        <w:ind w:firstLine="420" w:firstLineChars="200"/>
      </w:pPr>
      <w:r>
        <w:rPr>
          <w:rFonts w:hint="eastAsia"/>
        </w:rPr>
        <w:t>（五）不同投标供应商的投标文件内容存在非正常一致。</w:t>
      </w:r>
    </w:p>
    <w:p>
      <w:pPr>
        <w:ind w:firstLine="420" w:firstLineChars="200"/>
      </w:pPr>
      <w:r>
        <w:rPr>
          <w:rFonts w:hint="eastAsia"/>
        </w:rPr>
        <w:t>（六）由同一单位工作人员为两家以上（含两家）供应商进行同一项投标活动的。</w:t>
      </w:r>
    </w:p>
    <w:p>
      <w:pPr>
        <w:ind w:firstLine="420" w:firstLineChars="200"/>
      </w:pPr>
      <w:r>
        <w:rPr>
          <w:rFonts w:hint="eastAsia"/>
        </w:rPr>
        <w:t>（七）不同投标人的投标报价呈规律性差异。</w:t>
      </w:r>
    </w:p>
    <w:p>
      <w:pPr>
        <w:ind w:firstLine="420" w:firstLineChars="200"/>
      </w:pPr>
      <w:r>
        <w:rPr>
          <w:rFonts w:hint="eastAsia"/>
        </w:rPr>
        <w:t>（八）不同投标人的投标保证金从同一单位或者个人的账户转出。</w:t>
      </w:r>
    </w:p>
    <w:p>
      <w:pPr>
        <w:ind w:firstLine="420" w:firstLineChars="200"/>
      </w:pPr>
      <w:r>
        <w:rPr>
          <w:rFonts w:hint="eastAsia"/>
        </w:rPr>
        <w:t>（九）主管部门依照法律、法规认定的其他情形。</w:t>
      </w:r>
    </w:p>
    <w:p>
      <w:pPr>
        <w:ind w:firstLine="422" w:firstLineChars="200"/>
        <w:rPr>
          <w:b/>
        </w:rPr>
      </w:pPr>
      <w:r>
        <w:rPr>
          <w:rFonts w:hint="eastAsia"/>
          <w:b/>
        </w:rPr>
        <w:t>三、本公司已充分知悉下列情形所对应的法律风险，并在投标前已对相关风险事项进行排查。</w:t>
      </w:r>
    </w:p>
    <w:p>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pPr>
      <w:r>
        <w:rPr>
          <w:rFonts w:hint="eastAsia"/>
        </w:rPr>
        <w:t>（三）对于涉及安全生产、特种作业、抢险救灾、防疫等政府采购项目，供应商实施提供虚假资料、串通投标等违法行为的，主管部门将依法从严处理。</w:t>
      </w:r>
    </w:p>
    <w:p>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ind w:firstLine="420" w:firstLineChars="200"/>
      </w:pPr>
      <w:r>
        <w:rPr>
          <w:rFonts w:hint="eastAsia"/>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ind w:firstLine="420" w:firstLineChars="200"/>
      </w:pPr>
      <w:r>
        <w:rPr>
          <w:rFonts w:hint="eastAsia"/>
        </w:rPr>
        <w:t>（六）单位负责人为同一人或者存在直接控股、管理关系的不同供应商，不得参加同一合同项下的政府采购活动。相关情形如查实，依法作投标无效处理；涉嫌串通投标等违法行为的，主管部门将依法调查处理。</w:t>
      </w:r>
    </w:p>
    <w:p>
      <w:pPr>
        <w:ind w:firstLine="422" w:firstLineChars="200"/>
        <w:rPr>
          <w:b/>
        </w:rPr>
      </w:pPr>
      <w:r>
        <w:rPr>
          <w:rFonts w:hint="eastAsia"/>
          <w:b/>
        </w:rPr>
        <w:t>四、本公司已充分知悉政府采购违法、违规行为的法律后果。</w:t>
      </w:r>
    </w:p>
    <w:p>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420" w:firstLineChars="200"/>
      </w:pPr>
      <w:r>
        <w:rPr>
          <w:rFonts w:hint="eastAsia"/>
          <w:highlight w:val="yellow"/>
        </w:rPr>
        <w:t>以下文字请投标供应商抄写并确认：“本公司已仔细阅读《政府采购违法行为风险知悉确认书》，充分知悉违法行为的法律后果，并承诺将严谨、诚信、依法依规参与政府采购活动”。</w:t>
      </w:r>
    </w:p>
    <w:tbl>
      <w:tblPr>
        <w:tblStyle w:val="190"/>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autoSpaceDE w:val="0"/>
              <w:autoSpaceDN w:val="0"/>
              <w:spacing w:line="400" w:lineRule="exact"/>
              <w:ind w:firstLine="1866"/>
              <w:rPr>
                <w:rFonts w:ascii="宋体" w:hAnsi="宋体" w:eastAsiaTheme="minorEastAsia"/>
                <w:spacing w:val="-4"/>
                <w:kern w:val="0"/>
                <w:szCs w:val="21"/>
              </w:rPr>
            </w:pPr>
          </w:p>
        </w:tc>
      </w:tr>
    </w:tbl>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1414" w:firstLine="404" w:firstLineChars="200"/>
        <w:jc w:val="right"/>
        <w:rPr>
          <w:rFonts w:ascii="宋体" w:hAnsi="宋体" w:eastAsiaTheme="minorEastAsia"/>
          <w:spacing w:val="-4"/>
          <w:kern w:val="0"/>
          <w:szCs w:val="21"/>
        </w:rPr>
      </w:pPr>
      <w:r>
        <w:rPr>
          <w:rFonts w:hint="eastAsia" w:ascii="宋体" w:hAnsi="宋体" w:eastAsiaTheme="minorEastAsia"/>
          <w:spacing w:val="-4"/>
          <w:kern w:val="0"/>
          <w:szCs w:val="21"/>
        </w:rPr>
        <w:t xml:space="preserve">     </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06" w:firstLineChars="200"/>
        <w:jc w:val="left"/>
        <w:rPr>
          <w:rFonts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2.投标供应商负责人或投标授权代表签字</w:t>
      </w:r>
      <w:r>
        <w:rPr>
          <w:rFonts w:hint="eastAsia" w:ascii="宋体" w:hAnsi="宋体" w:eastAsiaTheme="minorEastAsia"/>
          <w:b/>
          <w:bCs/>
          <w:color w:val="FF0000"/>
          <w:spacing w:val="-4"/>
          <w:kern w:val="0"/>
          <w:szCs w:val="21"/>
          <w:highlight w:val="yellow"/>
        </w:rPr>
        <w:t>并加盖单位公章</w:t>
      </w:r>
      <w:r>
        <w:rPr>
          <w:rFonts w:hint="eastAsia" w:ascii="宋体" w:hAnsi="宋体" w:eastAsiaTheme="minorEastAsia"/>
          <w:b/>
          <w:bCs/>
          <w:color w:val="FF0000"/>
          <w:spacing w:val="-4"/>
          <w:kern w:val="0"/>
          <w:szCs w:val="21"/>
        </w:rPr>
        <w:t>后，扫描上传至投标文件一并提交。</w:t>
      </w:r>
    </w:p>
    <w:p>
      <w:pPr>
        <w:widowControl/>
        <w:autoSpaceDE w:val="0"/>
        <w:autoSpaceDN w:val="0"/>
        <w:spacing w:line="400" w:lineRule="exact"/>
        <w:ind w:right="1414" w:firstLine="480" w:firstLineChars="200"/>
        <w:jc w:val="right"/>
        <w:rPr>
          <w:rFonts w:eastAsiaTheme="minorEastAsia"/>
          <w:kern w:val="0"/>
          <w:sz w:val="24"/>
        </w:rPr>
      </w:pPr>
    </w:p>
    <w:p>
      <w:pPr>
        <w:jc w:val="center"/>
        <w:rPr>
          <w:rFonts w:hint="eastAsia" w:ascii="黑体" w:eastAsia="黑体"/>
          <w:b w:val="0"/>
          <w:bCs w:val="0"/>
          <w:sz w:val="24"/>
          <w:szCs w:val="20"/>
          <w:lang w:val="en-US" w:eastAsia="zh-CN"/>
        </w:rPr>
      </w:pPr>
      <w:r>
        <w:rPr>
          <w:rFonts w:hint="eastAsia" w:ascii="黑体" w:eastAsia="黑体"/>
          <w:b w:val="0"/>
          <w:bCs w:val="0"/>
          <w:sz w:val="24"/>
          <w:szCs w:val="20"/>
          <w:lang w:val="en-US" w:eastAsia="zh-CN"/>
        </w:rPr>
        <w:t>（二）订单融资情况</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宋体" w:hAnsi="宋体" w:cs="宋体"/>
          <w:b/>
          <w:bCs/>
        </w:rPr>
      </w:pPr>
      <w:r>
        <w:rPr>
          <w:rFonts w:hint="eastAsia" w:ascii="宋体" w:hAnsi="宋体" w:cs="宋体"/>
          <w:b/>
          <w:bCs/>
          <w:lang w:val="en-US" w:eastAsia="zh-CN"/>
        </w:rPr>
        <w:t>1</w:t>
      </w:r>
      <w:r>
        <w:rPr>
          <w:rFonts w:hint="eastAsia" w:ascii="宋体" w:hAnsi="宋体" w:cs="宋体"/>
          <w:b/>
          <w:bCs/>
          <w:lang w:eastAsia="zh-CN"/>
        </w:rPr>
        <w:t>、</w:t>
      </w:r>
      <w:r>
        <w:rPr>
          <w:rFonts w:hint="eastAsia" w:ascii="宋体" w:hAnsi="宋体" w:cs="宋体"/>
          <w:b/>
          <w:bCs/>
        </w:rPr>
        <w:t>关于政府采购订单融资政策</w:t>
      </w:r>
    </w:p>
    <w:p>
      <w:pPr>
        <w:pStyle w:val="2"/>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lang w:val="en-US" w:eastAsia="zh-CN"/>
        </w:rPr>
      </w:pPr>
      <w:r>
        <w:rPr>
          <w:rFonts w:hint="eastAsia" w:ascii="宋体" w:hAnsi="宋体" w:cs="宋体"/>
          <w:b/>
          <w:bCs/>
          <w:lang w:val="en-US" w:eastAsia="zh-CN"/>
        </w:rPr>
        <w:t>2</w:t>
      </w:r>
      <w:r>
        <w:rPr>
          <w:rFonts w:hint="eastAsia" w:ascii="宋体" w:hAnsi="宋体" w:cs="宋体"/>
          <w:b/>
          <w:bCs/>
          <w:lang w:eastAsia="zh-CN"/>
        </w:rPr>
        <w:t>、</w:t>
      </w:r>
      <w:r>
        <w:rPr>
          <w:rFonts w:hint="eastAsia" w:ascii="宋体" w:hAnsi="宋体" w:cs="宋体"/>
          <w:b/>
          <w:bCs/>
          <w:lang w:val="en-US" w:eastAsia="zh-CN"/>
        </w:rPr>
        <w:t>供应商账户信息</w:t>
      </w:r>
    </w:p>
    <w:p>
      <w:pPr>
        <w:ind w:left="420" w:leftChars="200" w:firstLine="210" w:firstLineChars="100"/>
        <w:rPr>
          <w:rFonts w:hint="eastAsia"/>
          <w:szCs w:val="21"/>
        </w:rPr>
      </w:pPr>
      <w:r>
        <w:rPr>
          <w:rFonts w:hint="eastAsia"/>
          <w:szCs w:val="21"/>
        </w:rPr>
        <w:t>投标人</w:t>
      </w:r>
      <w:r>
        <w:rPr>
          <w:rFonts w:hint="eastAsia"/>
          <w:szCs w:val="21"/>
          <w:lang w:eastAsia="zh-CN"/>
        </w:rPr>
        <w:t>（</w:t>
      </w:r>
      <w:r>
        <w:rPr>
          <w:rFonts w:hint="eastAsia"/>
          <w:szCs w:val="21"/>
          <w:lang w:val="en-US" w:eastAsia="zh-CN"/>
        </w:rPr>
        <w:t>单位全称</w:t>
      </w:r>
      <w:r>
        <w:rPr>
          <w:rFonts w:hint="eastAsia"/>
          <w:szCs w:val="21"/>
          <w:lang w:eastAsia="zh-CN"/>
        </w:rPr>
        <w:t>）</w:t>
      </w:r>
      <w:r>
        <w:rPr>
          <w:rFonts w:hint="eastAsia"/>
          <w:szCs w:val="21"/>
        </w:rPr>
        <w:t>：</w:t>
      </w:r>
      <w:r>
        <w:rPr>
          <w:rFonts w:hint="eastAsia"/>
          <w:szCs w:val="21"/>
          <w:u w:val="thick"/>
        </w:rPr>
        <w:t xml:space="preserve">       </w:t>
      </w:r>
      <w:r>
        <w:rPr>
          <w:rFonts w:hint="eastAsia"/>
          <w:szCs w:val="21"/>
          <w:u w:val="thick"/>
          <w:lang w:val="en-US" w:eastAsia="zh-CN"/>
        </w:rPr>
        <w:t xml:space="preserve">                    </w:t>
      </w:r>
      <w:r>
        <w:rPr>
          <w:rFonts w:hint="eastAsia" w:eastAsia="宋体"/>
          <w:szCs w:val="21"/>
          <w:lang w:eastAsia="zh-CN"/>
        </w:rPr>
        <w:t>；</w:t>
      </w:r>
      <w:r>
        <w:rPr>
          <w:rFonts w:hint="eastAsia"/>
          <w:szCs w:val="21"/>
        </w:rPr>
        <w:t xml:space="preserve">  </w:t>
      </w:r>
    </w:p>
    <w:p>
      <w:pPr>
        <w:ind w:left="420" w:leftChars="200" w:firstLine="210" w:firstLineChars="100"/>
        <w:rPr>
          <w:rFonts w:hint="eastAsia"/>
          <w:szCs w:val="21"/>
          <w:u w:val="none"/>
          <w:lang w:eastAsia="zh-CN"/>
        </w:rPr>
      </w:pPr>
      <w:r>
        <w:rPr>
          <w:rFonts w:hint="eastAsia"/>
          <w:szCs w:val="21"/>
          <w:lang w:val="en-US" w:eastAsia="zh-CN"/>
        </w:rPr>
        <w:t>投标人</w:t>
      </w:r>
      <w:r>
        <w:rPr>
          <w:rFonts w:hint="eastAsia"/>
          <w:szCs w:val="21"/>
        </w:rPr>
        <w:t>单位地址：</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pPr>
        <w:ind w:left="420" w:leftChars="200" w:firstLine="210" w:firstLineChars="100"/>
        <w:rPr>
          <w:rFonts w:hint="eastAsia"/>
          <w:szCs w:val="21"/>
          <w:u w:val="none"/>
          <w:lang w:eastAsia="zh-CN"/>
        </w:rPr>
      </w:pPr>
      <w:r>
        <w:rPr>
          <w:rFonts w:hint="eastAsia"/>
          <w:szCs w:val="21"/>
        </w:rPr>
        <w:t>法定代表人（负责人）或其</w:t>
      </w:r>
      <w:r>
        <w:rPr>
          <w:rFonts w:hint="eastAsia" w:ascii="Times New Roman" w:eastAsia="宋体"/>
          <w:szCs w:val="21"/>
          <w:lang w:val="en-US" w:eastAsia="zh-CN"/>
        </w:rPr>
        <w:t>授权</w:t>
      </w:r>
      <w:r>
        <w:rPr>
          <w:rFonts w:hint="eastAsia"/>
          <w:szCs w:val="21"/>
        </w:rPr>
        <w:t>委托代理人：</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pPr>
        <w:ind w:left="420" w:leftChars="200" w:firstLine="210" w:firstLineChars="100"/>
        <w:rPr>
          <w:rFonts w:hint="eastAsia"/>
          <w:szCs w:val="21"/>
          <w:u w:val="thick"/>
        </w:rPr>
      </w:pPr>
      <w:r>
        <w:rPr>
          <w:rFonts w:hint="eastAsia"/>
          <w:szCs w:val="21"/>
          <w:lang w:val="en-US" w:eastAsia="zh-CN"/>
        </w:rPr>
        <w:t>联系</w:t>
      </w:r>
      <w:r>
        <w:rPr>
          <w:rFonts w:hint="eastAsia"/>
          <w:szCs w:val="21"/>
        </w:rPr>
        <w:t>电话</w:t>
      </w:r>
      <w:r>
        <w:rPr>
          <w:rFonts w:hint="eastAsia"/>
          <w:szCs w:val="21"/>
          <w:u w:val="none"/>
        </w:rPr>
        <w:t>：</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pPr>
        <w:ind w:left="420" w:leftChars="200" w:firstLine="210" w:firstLineChars="100"/>
        <w:rPr>
          <w:rFonts w:hint="eastAsia"/>
          <w:szCs w:val="21"/>
          <w:u w:val="none"/>
          <w:lang w:eastAsia="zh-CN"/>
        </w:rPr>
      </w:pPr>
      <w:r>
        <w:rPr>
          <w:rFonts w:hint="eastAsia" w:ascii="Times New Roman" w:eastAsia="宋体"/>
          <w:szCs w:val="21"/>
          <w:lang w:val="en-US" w:eastAsia="zh-CN"/>
        </w:rPr>
        <w:t>开户银行名称：</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pPr>
        <w:ind w:left="420" w:leftChars="200" w:firstLine="210" w:firstLineChars="100"/>
        <w:rPr>
          <w:rFonts w:hint="eastAsia"/>
          <w:szCs w:val="21"/>
          <w:u w:val="thick"/>
          <w:lang w:eastAsia="zh-CN"/>
        </w:rPr>
      </w:pPr>
      <w:r>
        <w:rPr>
          <w:rFonts w:hint="eastAsia"/>
          <w:szCs w:val="21"/>
          <w:u w:val="none"/>
          <w:lang w:val="en-US" w:eastAsia="zh-CN"/>
        </w:rPr>
        <w:t>开户银行账号：</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none"/>
          <w:lang w:eastAsia="zh-CN"/>
        </w:rPr>
        <w:t>；</w:t>
      </w:r>
    </w:p>
    <w:p>
      <w:pPr>
        <w:ind w:left="420" w:leftChars="200" w:firstLine="210" w:firstLineChars="100"/>
        <w:rPr>
          <w:rFonts w:hint="eastAsia"/>
          <w:szCs w:val="21"/>
          <w:u w:val="none"/>
          <w:lang w:eastAsia="zh-CN"/>
        </w:rPr>
      </w:pPr>
      <w:r>
        <w:rPr>
          <w:rFonts w:hint="eastAsia"/>
          <w:szCs w:val="21"/>
          <w:u w:val="none"/>
          <w:lang w:val="en-US" w:eastAsia="zh-CN"/>
        </w:rPr>
        <w:t>开户银行地址：</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none"/>
          <w:lang w:eastAsia="zh-CN"/>
        </w:rPr>
        <w:t>。</w:t>
      </w:r>
    </w:p>
    <w:p>
      <w:pPr>
        <w:ind w:left="420" w:leftChars="200" w:firstLine="210" w:firstLineChars="100"/>
        <w:rPr>
          <w:rFonts w:hint="eastAsia"/>
          <w:szCs w:val="21"/>
          <w:u w:val="none"/>
        </w:rPr>
      </w:pPr>
      <w:r>
        <w:rPr>
          <w:rFonts w:hint="eastAsia"/>
          <w:szCs w:val="21"/>
          <w:u w:val="none"/>
        </w:rPr>
        <w:t xml:space="preserve"> </w:t>
      </w:r>
      <w:r>
        <w:rPr>
          <w:rFonts w:hint="eastAsia" w:ascii="宋体" w:hAnsi="宋体" w:eastAsiaTheme="minorEastAsia"/>
          <w:b/>
          <w:bCs/>
          <w:color w:val="FF0000"/>
          <w:spacing w:val="-4"/>
          <w:kern w:val="0"/>
          <w:szCs w:val="21"/>
          <w:lang w:val="en-US" w:eastAsia="zh-CN"/>
        </w:rPr>
        <w:t>注：本项填写内容作为订单融资开展的参考信息，</w:t>
      </w:r>
      <w:r>
        <w:rPr>
          <w:rFonts w:hint="eastAsia" w:ascii="宋体" w:hAnsi="宋体" w:eastAsiaTheme="minorEastAsia"/>
          <w:b/>
          <w:bCs/>
          <w:color w:val="FF0000"/>
          <w:spacing w:val="-4"/>
          <w:kern w:val="0"/>
          <w:szCs w:val="21"/>
        </w:rPr>
        <w:t>不作为供应商资格性审查及符合性审查条件。</w:t>
      </w:r>
    </w:p>
    <w:p>
      <w:pPr>
        <w:widowControl/>
        <w:autoSpaceDE w:val="0"/>
        <w:autoSpaceDN w:val="0"/>
        <w:spacing w:line="400" w:lineRule="exact"/>
        <w:ind w:right="1414" w:firstLine="480" w:firstLineChars="200"/>
        <w:jc w:val="right"/>
        <w:rPr>
          <w:rFonts w:eastAsiaTheme="minorEastAsia"/>
          <w:kern w:val="0"/>
          <w:sz w:val="24"/>
        </w:rPr>
      </w:pPr>
    </w:p>
    <w:p>
      <w:pPr>
        <w:widowControl/>
        <w:autoSpaceDE w:val="0"/>
        <w:autoSpaceDN w:val="0"/>
        <w:spacing w:line="400" w:lineRule="exact"/>
        <w:ind w:right="1414" w:firstLine="480" w:firstLineChars="200"/>
        <w:jc w:val="right"/>
        <w:rPr>
          <w:rFonts w:eastAsiaTheme="minorEastAsia"/>
          <w:kern w:val="0"/>
          <w:sz w:val="24"/>
        </w:rPr>
      </w:pPr>
    </w:p>
    <w:p>
      <w:pPr>
        <w:ind w:firstLine="630" w:firstLineChars="300"/>
        <w:rPr>
          <w:rFonts w:ascii="宋体" w:hAnsi="宋体"/>
        </w:rPr>
      </w:pPr>
      <w:r>
        <w:t xml:space="preserve">  </w:t>
      </w:r>
      <w:r>
        <w:rPr>
          <w:rFonts w:hint="eastAsia" w:ascii="宋体" w:hAnsi="宋体"/>
        </w:rPr>
        <w:t>………………（根据项目具体情况增加与综合实力评审相关的节点）</w:t>
      </w:r>
    </w:p>
    <w:p>
      <w:pPr>
        <w:ind w:firstLine="720" w:firstLineChars="300"/>
        <w:rPr>
          <w:sz w:val="24"/>
        </w:rPr>
      </w:pPr>
    </w:p>
    <w:p>
      <w:pPr>
        <w:widowControl/>
        <w:spacing w:line="360" w:lineRule="auto"/>
        <w:jc w:val="left"/>
        <w:rPr>
          <w:rFonts w:eastAsiaTheme="minorEastAsia"/>
          <w:b/>
          <w:bCs/>
          <w:kern w:val="0"/>
          <w:sz w:val="24"/>
        </w:rPr>
      </w:pPr>
    </w:p>
    <w:p>
      <w:pPr>
        <w:widowControl/>
        <w:jc w:val="center"/>
        <w:rPr>
          <w:rFonts w:ascii="黑体" w:hAnsi="宋体" w:eastAsia="黑体"/>
          <w:kern w:val="0"/>
          <w:sz w:val="24"/>
          <w:szCs w:val="20"/>
        </w:rPr>
      </w:pPr>
      <w:r>
        <w:rPr>
          <w:rFonts w:hint="eastAsia" w:ascii="黑体" w:hAnsi="宋体" w:eastAsia="黑体"/>
          <w:kern w:val="0"/>
          <w:sz w:val="24"/>
          <w:szCs w:val="20"/>
        </w:rPr>
        <w:t>（</w:t>
      </w:r>
      <w:r>
        <w:rPr>
          <w:rFonts w:hint="eastAsia" w:ascii="黑体" w:hAnsi="宋体" w:eastAsia="黑体"/>
          <w:kern w:val="0"/>
          <w:sz w:val="24"/>
          <w:szCs w:val="20"/>
          <w:lang w:val="en-US" w:eastAsia="zh-CN"/>
        </w:rPr>
        <w:t>三</w:t>
      </w:r>
      <w:r>
        <w:rPr>
          <w:rFonts w:hint="eastAsia" w:ascii="黑体" w:hAnsi="宋体" w:eastAsia="黑体"/>
          <w:kern w:val="0"/>
          <w:sz w:val="24"/>
          <w:szCs w:val="20"/>
        </w:rPr>
        <w:t>）投标人认为需要加以说明的其他内容（格式自定）</w:t>
      </w:r>
    </w:p>
    <w:p/>
    <w:p>
      <w:pPr>
        <w:pStyle w:val="2"/>
        <w:sectPr>
          <w:pgSz w:w="11907" w:h="16840"/>
          <w:pgMar w:top="1440" w:right="1797" w:bottom="1440" w:left="1797" w:header="851" w:footer="992" w:gutter="0"/>
          <w:cols w:space="425" w:num="1"/>
          <w:titlePg/>
          <w:docGrid w:linePitch="462" w:charSpace="0"/>
        </w:sectPr>
      </w:pPr>
    </w:p>
    <w:p>
      <w:pPr>
        <w:pStyle w:val="2"/>
      </w:pPr>
    </w:p>
    <w:p>
      <w:pPr>
        <w:pStyle w:val="4"/>
      </w:pPr>
      <w:r>
        <w:rPr>
          <w:rFonts w:hint="eastAsia"/>
        </w:rPr>
        <w:t>第五章  合同条款及格式</w:t>
      </w:r>
    </w:p>
    <w:p>
      <w:pPr>
        <w:ind w:firstLine="411" w:firstLineChars="196"/>
      </w:pPr>
    </w:p>
    <w:p>
      <w:pPr>
        <w:jc w:val="center"/>
        <w:outlineLvl w:val="9"/>
      </w:pPr>
      <w:r>
        <w:rPr>
          <w:rFonts w:hint="eastAsia"/>
          <w:b/>
          <w:sz w:val="24"/>
        </w:rPr>
        <w:t>（仅供参考，具体以项目需求及采购结果为准）</w:t>
      </w:r>
    </w:p>
    <w:p>
      <w:pPr>
        <w:rPr>
          <w:rFonts w:ascii="宋体" w:hAnsi="宋体"/>
          <w:b/>
          <w:bCs/>
          <w:szCs w:val="21"/>
        </w:rPr>
      </w:pPr>
      <w:r>
        <w:rPr>
          <w:rFonts w:hint="eastAsia" w:ascii="宋体" w:hAnsi="宋体"/>
          <w:b/>
          <w:bCs/>
          <w:szCs w:val="21"/>
        </w:rPr>
        <w:t>甲方：</w:t>
      </w:r>
    </w:p>
    <w:p>
      <w:pPr>
        <w:rPr>
          <w:rFonts w:ascii="宋体" w:hAnsi="宋体"/>
          <w:szCs w:val="21"/>
        </w:rPr>
      </w:pPr>
      <w:r>
        <w:rPr>
          <w:rFonts w:hint="eastAsia" w:ascii="宋体" w:hAnsi="宋体"/>
          <w:szCs w:val="21"/>
        </w:rPr>
        <w:t>地址：</w:t>
      </w:r>
    </w:p>
    <w:p>
      <w:pPr>
        <w:rPr>
          <w:rFonts w:ascii="宋体" w:hAnsi="宋体"/>
          <w:szCs w:val="21"/>
        </w:rPr>
      </w:pPr>
      <w:r>
        <w:rPr>
          <w:rFonts w:hint="eastAsia" w:ascii="宋体" w:hAnsi="宋体"/>
          <w:szCs w:val="21"/>
        </w:rPr>
        <w:t>联系人：</w:t>
      </w:r>
      <w:r>
        <w:rPr>
          <w:rFonts w:ascii="宋体" w:hAnsi="宋体"/>
          <w:szCs w:val="21"/>
        </w:rPr>
        <w:t xml:space="preserve">                          </w:t>
      </w:r>
    </w:p>
    <w:p>
      <w:pPr>
        <w:rPr>
          <w:rFonts w:ascii="宋体" w:hAnsi="宋体"/>
          <w:b/>
          <w:bCs/>
          <w:szCs w:val="21"/>
        </w:rPr>
      </w:pPr>
      <w:r>
        <w:rPr>
          <w:rFonts w:hint="eastAsia" w:ascii="宋体" w:hAnsi="宋体"/>
          <w:szCs w:val="21"/>
        </w:rPr>
        <w:t>联系电话：</w:t>
      </w:r>
    </w:p>
    <w:p>
      <w:pPr>
        <w:rPr>
          <w:rFonts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pPr>
        <w:rPr>
          <w:rFonts w:ascii="宋体" w:hAnsi="宋体"/>
          <w:b/>
          <w:bCs/>
          <w:szCs w:val="21"/>
        </w:rPr>
      </w:pPr>
      <w:r>
        <w:rPr>
          <w:rFonts w:hint="eastAsia" w:ascii="宋体" w:hAnsi="宋体"/>
          <w:b/>
          <w:bCs/>
          <w:szCs w:val="21"/>
        </w:rPr>
        <w:t>乙方：</w:t>
      </w:r>
    </w:p>
    <w:p>
      <w:pPr>
        <w:rPr>
          <w:rFonts w:ascii="宋体" w:hAnsi="宋体"/>
          <w:szCs w:val="21"/>
        </w:rPr>
      </w:pPr>
      <w:r>
        <w:rPr>
          <w:rFonts w:hint="eastAsia" w:ascii="宋体" w:hAnsi="宋体"/>
          <w:szCs w:val="21"/>
        </w:rPr>
        <w:t>地址：</w:t>
      </w:r>
    </w:p>
    <w:p>
      <w:pPr>
        <w:rPr>
          <w:rFonts w:ascii="宋体" w:hAnsi="宋体"/>
          <w:szCs w:val="21"/>
        </w:rPr>
      </w:pPr>
      <w:r>
        <w:rPr>
          <w:rFonts w:hint="eastAsia" w:ascii="宋体" w:hAnsi="宋体"/>
          <w:szCs w:val="21"/>
        </w:rPr>
        <w:t>联系人：</w:t>
      </w:r>
      <w:r>
        <w:rPr>
          <w:rFonts w:ascii="宋体" w:hAnsi="宋体"/>
          <w:szCs w:val="21"/>
        </w:rPr>
        <w:t xml:space="preserve">                          </w:t>
      </w:r>
    </w:p>
    <w:p>
      <w:pPr>
        <w:rPr>
          <w:rFonts w:ascii="宋体" w:hAnsi="宋体"/>
          <w:b/>
          <w:bCs/>
          <w:szCs w:val="21"/>
        </w:rPr>
      </w:pPr>
      <w:r>
        <w:rPr>
          <w:rFonts w:hint="eastAsia" w:ascii="宋体" w:hAnsi="宋体"/>
          <w:szCs w:val="21"/>
        </w:rPr>
        <w:t>联系电话：</w:t>
      </w:r>
    </w:p>
    <w:p>
      <w:pPr>
        <w:rPr>
          <w:rFonts w:ascii="宋体" w:hAnsi="宋体"/>
          <w:szCs w:val="21"/>
        </w:rPr>
      </w:pPr>
      <w:r>
        <w:rPr>
          <w:rFonts w:ascii="宋体" w:hAnsi="宋体"/>
          <w:b/>
          <w:bCs/>
          <w:szCs w:val="21"/>
        </w:rPr>
        <w:t xml:space="preserve">            </w:t>
      </w:r>
      <w:r>
        <w:rPr>
          <w:rFonts w:hint="eastAsia" w:ascii="宋体" w:hAnsi="宋体"/>
          <w:b/>
          <w:bCs/>
          <w:szCs w:val="21"/>
        </w:rPr>
        <w:t xml:space="preserve">          </w:t>
      </w:r>
    </w:p>
    <w:p>
      <w:pPr>
        <w:rPr>
          <w:rFonts w:ascii="宋体" w:hAnsi="宋体"/>
          <w:szCs w:val="21"/>
        </w:rPr>
      </w:pPr>
    </w:p>
    <w:p>
      <w:pPr>
        <w:ind w:firstLine="420" w:firstLineChars="200"/>
        <w:rPr>
          <w:rFonts w:ascii="宋体" w:hAnsi="宋体"/>
          <w:szCs w:val="21"/>
        </w:rPr>
      </w:pPr>
      <w:r>
        <w:rPr>
          <w:rFonts w:hint="eastAsia" w:ascii="宋体" w:hAnsi="宋体"/>
          <w:szCs w:val="21"/>
        </w:rPr>
        <w:t>根据深圳公共资源交易中心（深圳交易集团有限公司</w:t>
      </w:r>
      <w:r>
        <w:rPr>
          <w:rFonts w:hint="eastAsia" w:ascii="宋体" w:hAnsi="宋体"/>
          <w:szCs w:val="21"/>
          <w:lang w:val="en-US" w:eastAsia="zh-CN"/>
        </w:rPr>
        <w:t>福田</w:t>
      </w:r>
      <w:r>
        <w:rPr>
          <w:rFonts w:hint="eastAsia" w:ascii="宋体" w:hAnsi="宋体"/>
          <w:szCs w:val="21"/>
        </w:rPr>
        <w:t>分公司）*</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w:t>
      </w:r>
      <w:r>
        <w:rPr>
          <w:rFonts w:hint="eastAsia" w:ascii="宋体" w:hAnsi="宋体"/>
          <w:b/>
          <w:bCs/>
          <w:snapToGrid w:val="0"/>
          <w:kern w:val="0"/>
          <w:szCs w:val="21"/>
          <w:u w:val="single"/>
          <w:lang w:val="en-US" w:eastAsia="zh-CN"/>
        </w:rPr>
        <w:t>工程</w:t>
      </w:r>
      <w:r>
        <w:rPr>
          <w:rFonts w:hint="eastAsia" w:ascii="宋体" w:hAnsi="宋体"/>
          <w:b/>
          <w:bCs/>
          <w:snapToGrid w:val="0"/>
          <w:kern w:val="0"/>
          <w:szCs w:val="21"/>
          <w:u w:val="single"/>
          <w:lang w:val="zh-CN"/>
        </w:rPr>
        <w:t>项目</w:t>
      </w:r>
      <w:r>
        <w:rPr>
          <w:rFonts w:hint="eastAsia" w:ascii="宋体" w:hAnsi="宋体"/>
          <w:szCs w:val="21"/>
        </w:rPr>
        <w:t>，达成以下合同条款：</w:t>
      </w:r>
    </w:p>
    <w:p>
      <w:pPr>
        <w:ind w:firstLine="422" w:firstLineChars="200"/>
        <w:rPr>
          <w:rFonts w:ascii="宋体" w:hAnsi="宋体"/>
          <w:b/>
          <w:bCs/>
          <w:szCs w:val="21"/>
        </w:rPr>
      </w:pPr>
      <w:r>
        <w:rPr>
          <w:rFonts w:hint="eastAsia" w:ascii="宋体" w:hAnsi="宋体"/>
          <w:b/>
          <w:bCs/>
          <w:szCs w:val="21"/>
        </w:rPr>
        <w:t>第一条　项目概况</w:t>
      </w:r>
    </w:p>
    <w:p>
      <w:pPr>
        <w:ind w:firstLine="420" w:firstLineChars="200"/>
        <w:rPr>
          <w:rFonts w:ascii="宋体" w:hAnsi="宋体"/>
          <w:szCs w:val="21"/>
        </w:rPr>
      </w:pPr>
      <w:r>
        <w:rPr>
          <w:rFonts w:hint="eastAsia" w:ascii="宋体" w:hAnsi="宋体"/>
          <w:szCs w:val="21"/>
        </w:rPr>
        <w:t xml:space="preserve">项目名称： </w:t>
      </w:r>
    </w:p>
    <w:p>
      <w:pPr>
        <w:ind w:firstLine="420" w:firstLineChars="200"/>
        <w:rPr>
          <w:rFonts w:ascii="宋体" w:hAnsi="宋体"/>
          <w:szCs w:val="21"/>
        </w:rPr>
      </w:pPr>
      <w:r>
        <w:rPr>
          <w:rFonts w:hint="eastAsia" w:ascii="宋体" w:hAnsi="宋体"/>
          <w:szCs w:val="21"/>
        </w:rPr>
        <w:t xml:space="preserve">项目内容： </w:t>
      </w:r>
    </w:p>
    <w:p>
      <w:pPr>
        <w:ind w:firstLine="420" w:firstLineChars="200"/>
        <w:rPr>
          <w:rFonts w:ascii="宋体" w:hAnsi="宋体"/>
          <w:szCs w:val="21"/>
        </w:rPr>
      </w:pPr>
      <w:r>
        <w:rPr>
          <w:rFonts w:hint="eastAsia" w:ascii="宋体" w:hAnsi="宋体"/>
          <w:szCs w:val="21"/>
          <w:lang w:val="en-US" w:eastAsia="zh-CN"/>
        </w:rPr>
        <w:t>工程</w:t>
      </w:r>
      <w:r>
        <w:rPr>
          <w:rFonts w:hint="eastAsia" w:ascii="宋体" w:hAnsi="宋体"/>
          <w:szCs w:val="21"/>
        </w:rPr>
        <w:t xml:space="preserve">时间： </w:t>
      </w:r>
    </w:p>
    <w:p>
      <w:pPr>
        <w:ind w:firstLine="420" w:firstLineChars="200"/>
        <w:rPr>
          <w:rFonts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pPr>
        <w:pStyle w:val="8"/>
        <w:rPr>
          <w:rFonts w:ascii="宋体" w:hAnsi="宋体"/>
          <w:szCs w:val="21"/>
        </w:rPr>
      </w:pPr>
      <w:r>
        <w:rPr>
          <w:rFonts w:hint="eastAsia" w:ascii="宋体" w:hAnsi="宋体"/>
          <w:szCs w:val="21"/>
        </w:rPr>
        <w:t>支付方式：分期支付。</w:t>
      </w:r>
    </w:p>
    <w:p>
      <w:pPr>
        <w:ind w:firstLine="422" w:firstLineChars="200"/>
        <w:rPr>
          <w:rFonts w:ascii="宋体" w:hAnsi="宋体"/>
          <w:b/>
          <w:bCs/>
          <w:szCs w:val="21"/>
        </w:rPr>
      </w:pPr>
      <w:r>
        <w:rPr>
          <w:rFonts w:hint="eastAsia" w:ascii="宋体" w:hAnsi="宋体"/>
          <w:b/>
          <w:bCs/>
          <w:szCs w:val="21"/>
        </w:rPr>
        <w:t xml:space="preserve">第二条  </w:t>
      </w:r>
      <w:r>
        <w:rPr>
          <w:rFonts w:hint="eastAsia" w:ascii="宋体" w:hAnsi="宋体"/>
          <w:b/>
          <w:bCs/>
          <w:szCs w:val="21"/>
          <w:lang w:val="en-US" w:eastAsia="zh-CN"/>
        </w:rPr>
        <w:t>工程</w:t>
      </w:r>
      <w:r>
        <w:rPr>
          <w:rFonts w:hint="eastAsia" w:ascii="宋体" w:hAnsi="宋体"/>
          <w:b/>
          <w:bCs/>
          <w:szCs w:val="21"/>
        </w:rPr>
        <w:t>范围</w:t>
      </w:r>
    </w:p>
    <w:p>
      <w:pPr>
        <w:ind w:firstLine="420" w:firstLineChars="200"/>
        <w:rPr>
          <w:rFonts w:ascii="宋体" w:hAnsi="宋体"/>
          <w:szCs w:val="21"/>
        </w:rPr>
      </w:pPr>
      <w:r>
        <w:rPr>
          <w:rFonts w:hint="eastAsia" w:ascii="宋体" w:hAnsi="宋体"/>
          <w:szCs w:val="21"/>
        </w:rPr>
        <w:t xml:space="preserve">1、  </w:t>
      </w:r>
    </w:p>
    <w:p>
      <w:pPr>
        <w:ind w:firstLine="420" w:firstLineChars="200"/>
        <w:rPr>
          <w:rFonts w:ascii="宋体" w:hAnsi="宋体"/>
          <w:szCs w:val="21"/>
        </w:rPr>
      </w:pPr>
      <w:r>
        <w:rPr>
          <w:rFonts w:hint="eastAsia" w:ascii="宋体" w:hAnsi="宋体"/>
          <w:szCs w:val="21"/>
        </w:rPr>
        <w:t xml:space="preserve">2、  </w:t>
      </w:r>
    </w:p>
    <w:p>
      <w:pPr>
        <w:ind w:firstLine="420" w:firstLineChars="200"/>
        <w:rPr>
          <w:rFonts w:ascii="宋体" w:hAnsi="宋体"/>
          <w:szCs w:val="21"/>
        </w:rPr>
      </w:pPr>
      <w:r>
        <w:rPr>
          <w:rFonts w:hint="eastAsia" w:ascii="宋体" w:hAnsi="宋体"/>
          <w:szCs w:val="21"/>
        </w:rPr>
        <w:t xml:space="preserve">3、  </w:t>
      </w:r>
    </w:p>
    <w:p>
      <w:pPr>
        <w:ind w:firstLine="420" w:firstLineChars="200"/>
        <w:rPr>
          <w:rFonts w:ascii="宋体" w:hAnsi="宋体"/>
          <w:szCs w:val="21"/>
        </w:rPr>
      </w:pPr>
      <w:r>
        <w:rPr>
          <w:rFonts w:hint="eastAsia" w:ascii="宋体" w:hAnsi="宋体"/>
          <w:szCs w:val="21"/>
        </w:rPr>
        <w:t>4、 其他合同未明示的相关工作。</w:t>
      </w:r>
    </w:p>
    <w:p>
      <w:pPr>
        <w:ind w:firstLine="422" w:firstLineChars="200"/>
        <w:rPr>
          <w:rFonts w:ascii="宋体" w:hAnsi="宋体"/>
          <w:b/>
          <w:bCs/>
          <w:szCs w:val="21"/>
        </w:rPr>
      </w:pPr>
      <w:r>
        <w:rPr>
          <w:rFonts w:hint="eastAsia" w:ascii="宋体" w:hAnsi="宋体"/>
          <w:b/>
          <w:bCs/>
          <w:szCs w:val="21"/>
        </w:rPr>
        <w:t>第三条  时间要求及阶段成果</w:t>
      </w:r>
    </w:p>
    <w:p>
      <w:pPr>
        <w:ind w:firstLine="420" w:firstLineChars="200"/>
        <w:rPr>
          <w:rFonts w:ascii="宋体" w:hAnsi="宋体"/>
          <w:szCs w:val="21"/>
        </w:rPr>
      </w:pPr>
      <w:r>
        <w:rPr>
          <w:rFonts w:hint="eastAsia" w:ascii="宋体" w:hAnsi="宋体"/>
          <w:szCs w:val="21"/>
        </w:rPr>
        <w:t>1、合同签订天内完成项目实施的准备工作，包括工作大纲和试验细则的编制；</w:t>
      </w:r>
    </w:p>
    <w:p>
      <w:pPr>
        <w:ind w:firstLine="420" w:firstLineChars="200"/>
        <w:rPr>
          <w:rFonts w:ascii="宋体" w:hAnsi="宋体"/>
          <w:szCs w:val="21"/>
        </w:rPr>
      </w:pPr>
      <w:r>
        <w:rPr>
          <w:rFonts w:hint="eastAsia" w:ascii="宋体" w:hAnsi="宋体"/>
          <w:szCs w:val="21"/>
        </w:rPr>
        <w:t xml:space="preserve">2、 </w:t>
      </w:r>
    </w:p>
    <w:p>
      <w:pPr>
        <w:ind w:firstLine="420" w:firstLineChars="200"/>
        <w:rPr>
          <w:rFonts w:ascii="宋体" w:hAnsi="宋体"/>
          <w:szCs w:val="21"/>
        </w:rPr>
      </w:pPr>
      <w:r>
        <w:rPr>
          <w:rFonts w:hint="eastAsia" w:ascii="宋体" w:hAnsi="宋体"/>
          <w:szCs w:val="21"/>
        </w:rPr>
        <w:t>3、</w:t>
      </w:r>
    </w:p>
    <w:p>
      <w:pPr>
        <w:ind w:firstLine="420" w:firstLineChars="200"/>
        <w:rPr>
          <w:rFonts w:ascii="宋体" w:hAnsi="宋体"/>
          <w:szCs w:val="21"/>
        </w:rPr>
      </w:pPr>
      <w:r>
        <w:rPr>
          <w:rFonts w:hint="eastAsia" w:ascii="宋体" w:hAnsi="宋体"/>
          <w:szCs w:val="21"/>
        </w:rPr>
        <w:t>4、</w:t>
      </w:r>
    </w:p>
    <w:p>
      <w:pPr>
        <w:ind w:firstLine="422" w:firstLineChars="200"/>
        <w:rPr>
          <w:rFonts w:ascii="宋体" w:hAnsi="宋体"/>
          <w:b/>
          <w:bCs/>
          <w:szCs w:val="21"/>
        </w:rPr>
      </w:pPr>
      <w:r>
        <w:rPr>
          <w:rFonts w:hint="eastAsia" w:ascii="宋体" w:hAnsi="宋体"/>
          <w:b/>
          <w:bCs/>
          <w:szCs w:val="21"/>
        </w:rPr>
        <w:t xml:space="preserve">第四条  </w:t>
      </w:r>
      <w:r>
        <w:rPr>
          <w:rFonts w:hint="eastAsia" w:ascii="宋体" w:hAnsi="宋体"/>
          <w:b/>
          <w:bCs/>
          <w:szCs w:val="21"/>
          <w:lang w:val="en-US" w:eastAsia="zh-CN"/>
        </w:rPr>
        <w:t>工程</w:t>
      </w:r>
      <w:r>
        <w:rPr>
          <w:rFonts w:hint="eastAsia" w:ascii="宋体" w:hAnsi="宋体"/>
          <w:b/>
          <w:bCs/>
          <w:szCs w:val="21"/>
        </w:rPr>
        <w:t>资料归属</w:t>
      </w:r>
    </w:p>
    <w:p>
      <w:pPr>
        <w:ind w:firstLine="420" w:firstLineChars="200"/>
      </w:pPr>
      <w:r>
        <w:t>1</w:t>
      </w:r>
      <w:r>
        <w:rPr>
          <w:rFonts w:hint="eastAsia"/>
        </w:rPr>
        <w:t>、</w:t>
      </w:r>
      <w:r>
        <w:t>所有提交给</w:t>
      </w:r>
      <w:r>
        <w:rPr>
          <w:rFonts w:hint="eastAsia"/>
        </w:rPr>
        <w:t>甲</w:t>
      </w:r>
      <w:r>
        <w:t>方的</w:t>
      </w:r>
      <w:r>
        <w:rPr>
          <w:rFonts w:hint="eastAsia"/>
          <w:lang w:val="en-US" w:eastAsia="zh-CN"/>
        </w:rPr>
        <w:t>工程</w:t>
      </w:r>
      <w:r>
        <w:rPr>
          <w:rFonts w:hint="eastAsia"/>
        </w:rPr>
        <w:t>文件</w:t>
      </w:r>
      <w:r>
        <w:t>及相关的资料的最后文本，包括为履行技术</w:t>
      </w:r>
      <w:r>
        <w:rPr>
          <w:rFonts w:hint="eastAsia"/>
          <w:lang w:val="en-US" w:eastAsia="zh-CN"/>
        </w:rPr>
        <w:t>工程</w:t>
      </w:r>
      <w:r>
        <w:t>范围所编制的图纸、计划和证明资料等，都属于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w:t>
      </w:r>
      <w:r>
        <w:rPr>
          <w:rFonts w:hint="eastAsia"/>
          <w:lang w:val="en-US" w:eastAsia="zh-CN"/>
        </w:rPr>
        <w:t>工程</w:t>
      </w:r>
      <w:r>
        <w:t>项目之外的任何项目</w:t>
      </w:r>
      <w:r>
        <w:rPr>
          <w:rFonts w:hint="eastAsia"/>
        </w:rPr>
        <w:t>。</w:t>
      </w:r>
    </w:p>
    <w:p>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pPr>
        <w:ind w:firstLine="422" w:firstLineChars="200"/>
        <w:rPr>
          <w:rFonts w:ascii="宋体" w:hAnsi="宋体"/>
          <w:b/>
          <w:bCs/>
          <w:szCs w:val="21"/>
        </w:rPr>
      </w:pPr>
      <w:r>
        <w:rPr>
          <w:rFonts w:hint="eastAsia" w:ascii="宋体" w:hAnsi="宋体"/>
          <w:b/>
          <w:bCs/>
          <w:szCs w:val="21"/>
        </w:rPr>
        <w:t>第五条  甲方的义务</w:t>
      </w:r>
    </w:p>
    <w:p>
      <w:pPr>
        <w:ind w:firstLine="420" w:firstLineChars="200"/>
        <w:rPr>
          <w:rFonts w:ascii="宋体" w:hAnsi="宋体"/>
          <w:szCs w:val="21"/>
        </w:rPr>
      </w:pPr>
      <w:r>
        <w:rPr>
          <w:rFonts w:hint="eastAsia" w:ascii="宋体" w:hAnsi="宋体"/>
          <w:szCs w:val="21"/>
        </w:rPr>
        <w:t>1、负责与本</w:t>
      </w:r>
      <w:r>
        <w:rPr>
          <w:rFonts w:hint="eastAsia" w:ascii="宋体" w:hAnsi="宋体"/>
          <w:szCs w:val="21"/>
          <w:lang w:val="en-US" w:eastAsia="zh-CN"/>
        </w:rPr>
        <w:t>工程</w:t>
      </w:r>
      <w:r>
        <w:rPr>
          <w:rFonts w:hint="eastAsia" w:ascii="宋体" w:hAnsi="宋体"/>
          <w:szCs w:val="21"/>
        </w:rPr>
        <w:t>项目有关的第三方的协调，提供开展</w:t>
      </w:r>
      <w:r>
        <w:rPr>
          <w:rFonts w:hint="eastAsia" w:ascii="宋体" w:hAnsi="宋体"/>
          <w:szCs w:val="21"/>
          <w:lang w:val="en-US" w:eastAsia="zh-CN"/>
        </w:rPr>
        <w:t>工程</w:t>
      </w:r>
      <w:r>
        <w:rPr>
          <w:rFonts w:hint="eastAsia" w:ascii="宋体" w:hAnsi="宋体"/>
          <w:szCs w:val="21"/>
        </w:rPr>
        <w:t>工作的外部条件。</w:t>
      </w:r>
    </w:p>
    <w:p>
      <w:pPr>
        <w:ind w:firstLine="420" w:firstLineChars="200"/>
        <w:rPr>
          <w:rFonts w:ascii="宋体" w:hAnsi="宋体"/>
          <w:szCs w:val="21"/>
        </w:rPr>
      </w:pPr>
      <w:r>
        <w:rPr>
          <w:rFonts w:hint="eastAsia" w:ascii="宋体" w:hAnsi="宋体"/>
          <w:szCs w:val="21"/>
        </w:rPr>
        <w:t>2、向乙方提供与本项目</w:t>
      </w:r>
      <w:r>
        <w:rPr>
          <w:rFonts w:hint="eastAsia" w:ascii="宋体" w:hAnsi="宋体"/>
          <w:szCs w:val="21"/>
          <w:lang w:val="en-US" w:eastAsia="zh-CN"/>
        </w:rPr>
        <w:t>工程</w:t>
      </w:r>
      <w:r>
        <w:rPr>
          <w:rFonts w:hint="eastAsia" w:ascii="宋体" w:hAnsi="宋体"/>
          <w:szCs w:val="21"/>
        </w:rPr>
        <w:t>工作有关的资料。</w:t>
      </w:r>
    </w:p>
    <w:p>
      <w:pPr>
        <w:ind w:firstLine="420" w:firstLineChars="200"/>
        <w:rPr>
          <w:rFonts w:ascii="宋体" w:hAnsi="宋体"/>
          <w:szCs w:val="21"/>
        </w:rPr>
      </w:pPr>
      <w:r>
        <w:rPr>
          <w:rFonts w:hint="eastAsia" w:ascii="宋体" w:hAnsi="宋体"/>
          <w:szCs w:val="21"/>
        </w:rPr>
        <w:t>3、负责组织有关专家对项目试验成果评估报告的评审。</w:t>
      </w:r>
    </w:p>
    <w:p>
      <w:pPr>
        <w:ind w:firstLine="422" w:firstLineChars="200"/>
        <w:rPr>
          <w:rFonts w:ascii="宋体" w:hAnsi="宋体"/>
          <w:b/>
          <w:bCs/>
          <w:szCs w:val="21"/>
        </w:rPr>
      </w:pPr>
      <w:r>
        <w:rPr>
          <w:rFonts w:hint="eastAsia" w:ascii="宋体" w:hAnsi="宋体"/>
          <w:b/>
          <w:bCs/>
          <w:szCs w:val="21"/>
        </w:rPr>
        <w:t>第六条　乙方的义务</w:t>
      </w:r>
    </w:p>
    <w:p>
      <w:pPr>
        <w:ind w:firstLine="420" w:firstLineChars="200"/>
        <w:rPr>
          <w:rFonts w:ascii="宋体" w:hAnsi="宋体"/>
          <w:szCs w:val="21"/>
        </w:rPr>
      </w:pPr>
      <w:r>
        <w:rPr>
          <w:rFonts w:hint="eastAsia" w:ascii="宋体" w:hAnsi="宋体"/>
          <w:szCs w:val="21"/>
        </w:rPr>
        <w:t>１、应按照招标文件、投标文件要求按期完成本项目</w:t>
      </w:r>
      <w:r>
        <w:rPr>
          <w:rFonts w:hint="eastAsia" w:ascii="宋体" w:hAnsi="宋体"/>
          <w:szCs w:val="21"/>
          <w:lang w:val="en-US" w:eastAsia="zh-CN"/>
        </w:rPr>
        <w:t>工程</w:t>
      </w:r>
      <w:r>
        <w:rPr>
          <w:rFonts w:hint="eastAsia" w:ascii="宋体" w:hAnsi="宋体"/>
          <w:szCs w:val="21"/>
        </w:rPr>
        <w:t>工作。</w:t>
      </w:r>
    </w:p>
    <w:p>
      <w:pPr>
        <w:ind w:firstLine="420" w:firstLineChars="200"/>
        <w:rPr>
          <w:rFonts w:ascii="宋体" w:hAnsi="宋体"/>
          <w:szCs w:val="21"/>
        </w:rPr>
      </w:pPr>
      <w:r>
        <w:rPr>
          <w:rFonts w:hint="eastAsia" w:ascii="宋体" w:hAnsi="宋体"/>
          <w:szCs w:val="21"/>
        </w:rPr>
        <w:t>2、负责组织项目的实施，保证工程进度和成桥荷载试验工作质量，并满足交通部交工验收相关标准。</w:t>
      </w:r>
    </w:p>
    <w:p>
      <w:pPr>
        <w:ind w:firstLine="420" w:firstLineChars="200"/>
        <w:rPr>
          <w:rFonts w:ascii="宋体" w:hAnsi="宋体"/>
          <w:szCs w:val="21"/>
        </w:rPr>
      </w:pPr>
      <w:r>
        <w:rPr>
          <w:rFonts w:hint="eastAsia" w:ascii="宋体" w:hAnsi="宋体"/>
          <w:szCs w:val="21"/>
        </w:rPr>
        <w:t>3、</w:t>
      </w:r>
      <w:r>
        <w:rPr>
          <w:rFonts w:hint="eastAsia" w:ascii="宋体" w:hAnsi="宋体"/>
        </w:rPr>
        <w:t>向甲方提交检测资料等各套，一套电子版文件。</w:t>
      </w:r>
    </w:p>
    <w:p>
      <w:pPr>
        <w:ind w:firstLine="420" w:firstLineChars="200"/>
        <w:rPr>
          <w:rFonts w:ascii="宋体" w:hAnsi="宋体"/>
          <w:szCs w:val="21"/>
        </w:rPr>
      </w:pPr>
      <w:r>
        <w:rPr>
          <w:rFonts w:hint="eastAsia" w:ascii="宋体" w:hAnsi="宋体"/>
          <w:szCs w:val="21"/>
        </w:rPr>
        <w:t>4、在履行合同期间或合同规定期限内，不得泄露与本合同规定业务活动有关的保密资料。</w:t>
      </w:r>
    </w:p>
    <w:p>
      <w:pPr>
        <w:ind w:firstLine="422" w:firstLineChars="200"/>
        <w:rPr>
          <w:rFonts w:ascii="宋体" w:hAnsi="宋体"/>
          <w:b/>
          <w:bCs/>
          <w:szCs w:val="21"/>
        </w:rPr>
      </w:pPr>
      <w:r>
        <w:rPr>
          <w:rFonts w:hint="eastAsia" w:ascii="宋体" w:hAnsi="宋体"/>
          <w:b/>
          <w:bCs/>
          <w:szCs w:val="21"/>
        </w:rPr>
        <w:t>第七条  甲方的权利</w:t>
      </w:r>
    </w:p>
    <w:p>
      <w:pPr>
        <w:ind w:firstLine="420" w:firstLineChars="200"/>
        <w:rPr>
          <w:rFonts w:ascii="宋体" w:hAnsi="宋体"/>
          <w:szCs w:val="21"/>
        </w:rPr>
      </w:pPr>
      <w:r>
        <w:rPr>
          <w:rFonts w:ascii="宋体" w:hAnsi="宋体"/>
          <w:szCs w:val="21"/>
        </w:rPr>
        <w:t>1</w:t>
      </w:r>
      <w:r>
        <w:rPr>
          <w:rFonts w:hint="eastAsia" w:ascii="宋体" w:hAnsi="宋体"/>
          <w:szCs w:val="21"/>
        </w:rPr>
        <w:t>、有权向乙方询问工作进展情况及相关的内容。</w:t>
      </w:r>
    </w:p>
    <w:p>
      <w:pPr>
        <w:ind w:firstLine="420" w:firstLineChars="200"/>
        <w:rPr>
          <w:rFonts w:ascii="宋体" w:hAnsi="宋体"/>
          <w:szCs w:val="21"/>
        </w:rPr>
      </w:pPr>
      <w:r>
        <w:rPr>
          <w:rFonts w:ascii="宋体" w:hAnsi="宋体"/>
          <w:szCs w:val="21"/>
        </w:rPr>
        <w:t>2</w:t>
      </w:r>
      <w:r>
        <w:rPr>
          <w:rFonts w:hint="eastAsia" w:ascii="宋体" w:hAnsi="宋体"/>
          <w:szCs w:val="21"/>
        </w:rPr>
        <w:t>、有权阐述对具体问题的意见和建议。</w:t>
      </w:r>
    </w:p>
    <w:p>
      <w:pPr>
        <w:ind w:firstLine="420" w:firstLineChars="200"/>
        <w:rPr>
          <w:rFonts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pPr>
        <w:ind w:firstLine="422" w:firstLineChars="200"/>
        <w:rPr>
          <w:rFonts w:ascii="宋体" w:hAnsi="宋体"/>
          <w:b/>
          <w:bCs/>
          <w:szCs w:val="21"/>
        </w:rPr>
      </w:pPr>
      <w:r>
        <w:rPr>
          <w:rFonts w:hint="eastAsia" w:ascii="宋体" w:hAnsi="宋体"/>
          <w:b/>
          <w:bCs/>
          <w:szCs w:val="21"/>
        </w:rPr>
        <w:t>第八条  乙方的权利</w:t>
      </w:r>
    </w:p>
    <w:p>
      <w:pPr>
        <w:ind w:firstLine="420" w:firstLineChars="200"/>
        <w:rPr>
          <w:rFonts w:ascii="宋体" w:hAnsi="宋体"/>
          <w:szCs w:val="21"/>
        </w:rPr>
      </w:pPr>
      <w:r>
        <w:rPr>
          <w:rFonts w:ascii="宋体" w:hAnsi="宋体"/>
          <w:szCs w:val="21"/>
        </w:rPr>
        <w:t>1</w:t>
      </w:r>
      <w:r>
        <w:rPr>
          <w:rFonts w:hint="eastAsia" w:ascii="宋体" w:hAnsi="宋体"/>
          <w:szCs w:val="21"/>
        </w:rPr>
        <w:t>、乙方在本项目</w:t>
      </w:r>
      <w:r>
        <w:rPr>
          <w:rFonts w:hint="eastAsia" w:ascii="宋体" w:hAnsi="宋体"/>
          <w:szCs w:val="21"/>
          <w:lang w:val="en-US" w:eastAsia="zh-CN"/>
        </w:rPr>
        <w:t>工程</w:t>
      </w:r>
      <w:r>
        <w:rPr>
          <w:rFonts w:hint="eastAsia" w:ascii="宋体" w:hAnsi="宋体"/>
          <w:szCs w:val="21"/>
        </w:rPr>
        <w:t>过程中，如甲方提供的资料不明确时可向甲方提出书面报告。</w:t>
      </w:r>
    </w:p>
    <w:p>
      <w:pPr>
        <w:ind w:firstLine="420" w:firstLineChars="200"/>
        <w:rPr>
          <w:rFonts w:ascii="宋体" w:hAnsi="宋体"/>
          <w:szCs w:val="21"/>
        </w:rPr>
      </w:pPr>
      <w:r>
        <w:rPr>
          <w:rFonts w:ascii="宋体" w:hAnsi="宋体"/>
          <w:szCs w:val="21"/>
        </w:rPr>
        <w:t>2</w:t>
      </w:r>
      <w:r>
        <w:rPr>
          <w:rFonts w:hint="eastAsia" w:ascii="宋体" w:hAnsi="宋体"/>
          <w:szCs w:val="21"/>
        </w:rPr>
        <w:t>、乙方在本项目</w:t>
      </w:r>
      <w:r>
        <w:rPr>
          <w:rFonts w:hint="eastAsia" w:ascii="宋体" w:hAnsi="宋体"/>
          <w:szCs w:val="21"/>
          <w:lang w:val="en-US" w:eastAsia="zh-CN"/>
        </w:rPr>
        <w:t>工程</w:t>
      </w:r>
      <w:r>
        <w:rPr>
          <w:rFonts w:hint="eastAsia" w:ascii="宋体" w:hAnsi="宋体"/>
          <w:szCs w:val="21"/>
        </w:rPr>
        <w:t>过程中，有权对第三方提出与本</w:t>
      </w:r>
      <w:r>
        <w:rPr>
          <w:rFonts w:hint="eastAsia" w:ascii="宋体" w:hAnsi="宋体"/>
          <w:szCs w:val="21"/>
          <w:lang w:val="en-US" w:eastAsia="zh-CN"/>
        </w:rPr>
        <w:t>工程</w:t>
      </w:r>
      <w:r>
        <w:rPr>
          <w:rFonts w:hint="eastAsia" w:ascii="宋体" w:hAnsi="宋体"/>
          <w:szCs w:val="21"/>
        </w:rPr>
        <w:t>业务有关的问题进行核对或查问。</w:t>
      </w:r>
    </w:p>
    <w:p>
      <w:pPr>
        <w:ind w:firstLine="420" w:firstLineChars="200"/>
        <w:rPr>
          <w:rFonts w:ascii="宋体" w:hAnsi="宋体"/>
          <w:szCs w:val="21"/>
        </w:rPr>
      </w:pPr>
      <w:r>
        <w:rPr>
          <w:rFonts w:ascii="宋体" w:hAnsi="宋体"/>
          <w:szCs w:val="21"/>
        </w:rPr>
        <w:t>3</w:t>
      </w:r>
      <w:r>
        <w:rPr>
          <w:rFonts w:hint="eastAsia" w:ascii="宋体" w:hAnsi="宋体"/>
          <w:szCs w:val="21"/>
        </w:rPr>
        <w:t>、乙方在本项目</w:t>
      </w:r>
      <w:r>
        <w:rPr>
          <w:rFonts w:hint="eastAsia" w:ascii="宋体" w:hAnsi="宋体"/>
          <w:szCs w:val="21"/>
          <w:lang w:val="en-US" w:eastAsia="zh-CN"/>
        </w:rPr>
        <w:t>工程</w:t>
      </w:r>
      <w:r>
        <w:rPr>
          <w:rFonts w:hint="eastAsia" w:ascii="宋体" w:hAnsi="宋体"/>
          <w:szCs w:val="21"/>
        </w:rPr>
        <w:t>过程中，有到工程现场勘察的权利。</w:t>
      </w:r>
    </w:p>
    <w:p>
      <w:pPr>
        <w:ind w:firstLine="422" w:firstLineChars="200"/>
        <w:rPr>
          <w:rFonts w:ascii="宋体" w:hAnsi="宋体"/>
          <w:b/>
          <w:bCs/>
          <w:szCs w:val="21"/>
        </w:rPr>
      </w:pPr>
      <w:r>
        <w:rPr>
          <w:rFonts w:hint="eastAsia" w:ascii="宋体" w:hAnsi="宋体"/>
          <w:b/>
          <w:bCs/>
          <w:szCs w:val="21"/>
        </w:rPr>
        <w:t>第九条  甲方的责任</w:t>
      </w:r>
    </w:p>
    <w:p>
      <w:pPr>
        <w:ind w:firstLine="420" w:firstLineChars="200"/>
        <w:rPr>
          <w:rFonts w:ascii="宋体" w:hAnsi="宋体"/>
          <w:szCs w:val="21"/>
        </w:rPr>
      </w:pPr>
      <w:r>
        <w:rPr>
          <w:rFonts w:hint="eastAsia" w:ascii="宋体" w:hAnsi="宋体"/>
          <w:szCs w:val="21"/>
        </w:rPr>
        <w:t>1、应当履行本合同约定的义务，如有违反则应当承担违约责任，赔偿给乙方造成的损失。</w:t>
      </w:r>
    </w:p>
    <w:p>
      <w:pPr>
        <w:ind w:firstLine="420" w:firstLineChars="200"/>
        <w:rPr>
          <w:rFonts w:ascii="宋体" w:hAnsi="宋体"/>
          <w:szCs w:val="21"/>
        </w:rPr>
      </w:pPr>
      <w:r>
        <w:rPr>
          <w:rFonts w:hint="eastAsia" w:ascii="宋体" w:hAnsi="宋体"/>
          <w:szCs w:val="21"/>
        </w:rPr>
        <w:t>2、甲方向乙方提出赔偿要求不能成立时，则应补偿由于该赔偿或其他要求所导致乙方的各种费用的支出。</w:t>
      </w:r>
    </w:p>
    <w:p>
      <w:pPr>
        <w:ind w:firstLine="422" w:firstLineChars="200"/>
        <w:rPr>
          <w:rFonts w:ascii="宋体" w:hAnsi="宋体"/>
          <w:b/>
          <w:bCs/>
          <w:szCs w:val="21"/>
        </w:rPr>
      </w:pPr>
      <w:r>
        <w:rPr>
          <w:rFonts w:hint="eastAsia" w:ascii="宋体" w:hAnsi="宋体"/>
          <w:b/>
          <w:bCs/>
          <w:szCs w:val="21"/>
        </w:rPr>
        <w:t>第十条  乙方的责任</w:t>
      </w:r>
    </w:p>
    <w:p>
      <w:pPr>
        <w:ind w:firstLine="420" w:firstLineChars="200"/>
        <w:rPr>
          <w:rFonts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pPr>
        <w:ind w:firstLine="420" w:firstLineChars="200"/>
        <w:rPr>
          <w:rFonts w:ascii="宋体" w:hAnsi="宋体"/>
          <w:szCs w:val="21"/>
        </w:rPr>
      </w:pPr>
      <w:r>
        <w:rPr>
          <w:rFonts w:hint="eastAsia" w:ascii="宋体" w:hAnsi="宋体"/>
          <w:szCs w:val="21"/>
        </w:rPr>
        <w:t>2、乙方的责任期内，应当履行本合同中约定的义务，因乙方的单方过失造成的经济损失，应当向甲方进行赔偿。</w:t>
      </w:r>
    </w:p>
    <w:p>
      <w:pPr>
        <w:ind w:firstLine="420" w:firstLineChars="200"/>
        <w:rPr>
          <w:rFonts w:ascii="宋体" w:hAnsi="宋体"/>
          <w:szCs w:val="21"/>
        </w:rPr>
      </w:pPr>
      <w:r>
        <w:rPr>
          <w:rFonts w:hint="eastAsia" w:ascii="宋体" w:hAnsi="宋体"/>
          <w:szCs w:val="21"/>
        </w:rPr>
        <w:t>3、乙方对甲方或第三方所提出的问题不能及时核对或答复，导致合同不能全部或部分履行，乙方应承担责任。</w:t>
      </w:r>
    </w:p>
    <w:p>
      <w:pPr>
        <w:ind w:firstLine="420" w:firstLineChars="200"/>
        <w:rPr>
          <w:rFonts w:ascii="宋体" w:hAnsi="宋体"/>
          <w:szCs w:val="21"/>
        </w:rPr>
      </w:pPr>
      <w:r>
        <w:rPr>
          <w:rFonts w:hint="eastAsia" w:ascii="宋体" w:hAnsi="宋体"/>
          <w:szCs w:val="21"/>
        </w:rPr>
        <w:t>4、乙方向甲方提出赔偿要求不能成立时，则应补偿由于该赔偿或其他要求所导致甲方的各种费用的支出。</w:t>
      </w:r>
    </w:p>
    <w:p>
      <w:pPr>
        <w:ind w:firstLine="422" w:firstLineChars="200"/>
        <w:rPr>
          <w:rFonts w:ascii="宋体" w:hAnsi="宋体"/>
          <w:b/>
          <w:bCs/>
          <w:szCs w:val="21"/>
        </w:rPr>
      </w:pPr>
      <w:r>
        <w:rPr>
          <w:rFonts w:hint="eastAsia" w:ascii="宋体" w:hAnsi="宋体"/>
          <w:b/>
          <w:bCs/>
          <w:szCs w:val="21"/>
        </w:rPr>
        <w:t>第十一条  人员要求</w:t>
      </w:r>
    </w:p>
    <w:p>
      <w:pPr>
        <w:ind w:firstLine="420" w:firstLineChars="200"/>
        <w:rPr>
          <w:rFonts w:ascii="宋体" w:hAnsi="宋体"/>
          <w:szCs w:val="21"/>
        </w:rPr>
      </w:pPr>
      <w:r>
        <w:rPr>
          <w:rFonts w:hint="eastAsia" w:ascii="宋体" w:hAnsi="宋体"/>
          <w:szCs w:val="21"/>
        </w:rPr>
        <w:t>1、参加本项目试验的人员必须具有国家和有关部门规定的相应资质。</w:t>
      </w:r>
    </w:p>
    <w:p>
      <w:pPr>
        <w:ind w:firstLine="420" w:firstLineChars="200"/>
        <w:rPr>
          <w:rFonts w:ascii="宋体" w:hAnsi="宋体"/>
          <w:szCs w:val="21"/>
        </w:rPr>
      </w:pPr>
      <w:r>
        <w:rPr>
          <w:rFonts w:hint="eastAsia" w:ascii="宋体" w:hAnsi="宋体"/>
          <w:szCs w:val="21"/>
        </w:rPr>
        <w:t>2、 参加本项目的试验人员的配置必须与投标文件中的</w:t>
      </w:r>
      <w:r>
        <w:rPr>
          <w:rFonts w:hint="eastAsia" w:ascii="宋体" w:hAnsi="宋体"/>
          <w:szCs w:val="21"/>
          <w:lang w:val="en-US" w:eastAsia="zh-CN"/>
        </w:rPr>
        <w:t>工程</w:t>
      </w:r>
      <w:r>
        <w:rPr>
          <w:rFonts w:hint="eastAsia" w:ascii="宋体" w:hAnsi="宋体"/>
          <w:szCs w:val="21"/>
        </w:rPr>
        <w:t>承诺书和试验</w:t>
      </w:r>
      <w:r>
        <w:rPr>
          <w:rFonts w:hint="eastAsia" w:ascii="宋体" w:hAnsi="宋体"/>
          <w:szCs w:val="21"/>
          <w:lang w:val="en-US" w:eastAsia="zh-CN"/>
        </w:rPr>
        <w:t>工程</w:t>
      </w:r>
      <w:r>
        <w:rPr>
          <w:rFonts w:hint="eastAsia" w:ascii="宋体" w:hAnsi="宋体"/>
          <w:szCs w:val="21"/>
        </w:rPr>
        <w:t>组织实施方案一致。</w:t>
      </w:r>
    </w:p>
    <w:p>
      <w:pPr>
        <w:ind w:firstLine="420" w:firstLineChars="200"/>
        <w:rPr>
          <w:rFonts w:ascii="宋体" w:hAnsi="宋体"/>
          <w:szCs w:val="21"/>
        </w:rPr>
      </w:pPr>
      <w:r>
        <w:rPr>
          <w:rFonts w:hint="eastAsia" w:ascii="宋体" w:hAnsi="宋体"/>
          <w:szCs w:val="21"/>
        </w:rPr>
        <w:t>3、必须以直属试验人员参与本项目</w:t>
      </w:r>
      <w:r>
        <w:rPr>
          <w:rFonts w:hint="eastAsia" w:ascii="宋体" w:hAnsi="宋体"/>
          <w:szCs w:val="21"/>
          <w:lang w:val="en-US" w:eastAsia="zh-CN"/>
        </w:rPr>
        <w:t>工程</w:t>
      </w:r>
      <w:r>
        <w:rPr>
          <w:rFonts w:hint="eastAsia" w:ascii="宋体" w:hAnsi="宋体"/>
          <w:szCs w:val="21"/>
        </w:rPr>
        <w:t>，不得使用挂靠队伍。</w:t>
      </w:r>
    </w:p>
    <w:p>
      <w:pPr>
        <w:ind w:firstLine="422" w:firstLineChars="200"/>
        <w:rPr>
          <w:rFonts w:ascii="宋体" w:hAnsi="宋体"/>
          <w:b/>
          <w:bCs/>
          <w:szCs w:val="21"/>
        </w:rPr>
      </w:pPr>
      <w:r>
        <w:rPr>
          <w:rFonts w:hint="eastAsia" w:ascii="宋体" w:hAnsi="宋体"/>
          <w:b/>
          <w:bCs/>
          <w:szCs w:val="21"/>
        </w:rPr>
        <w:t>第十二条  乙方</w:t>
      </w:r>
      <w:r>
        <w:rPr>
          <w:rFonts w:hint="eastAsia" w:ascii="宋体" w:hAnsi="宋体"/>
          <w:szCs w:val="21"/>
          <w:lang w:val="en-US" w:eastAsia="zh-CN"/>
        </w:rPr>
        <w:t>工程</w:t>
      </w:r>
      <w:r>
        <w:rPr>
          <w:rFonts w:hint="eastAsia" w:ascii="宋体" w:hAnsi="宋体"/>
          <w:b/>
          <w:bCs/>
          <w:szCs w:val="21"/>
        </w:rPr>
        <w:t>工具要求</w:t>
      </w:r>
    </w:p>
    <w:p>
      <w:pPr>
        <w:ind w:firstLine="420" w:firstLineChars="200"/>
        <w:rPr>
          <w:rFonts w:ascii="宋体" w:hAnsi="宋体"/>
          <w:szCs w:val="21"/>
        </w:rPr>
      </w:pPr>
      <w:r>
        <w:rPr>
          <w:rFonts w:hint="eastAsia" w:ascii="宋体" w:hAnsi="宋体"/>
          <w:szCs w:val="21"/>
        </w:rPr>
        <w:t>1、乙方应配备中标项目所需的足够数量的仪器、仪表以及工具等设备。用户不需向乙方提供施工工具和仪器、仪表。</w:t>
      </w:r>
    </w:p>
    <w:p>
      <w:pPr>
        <w:ind w:firstLine="420" w:firstLineChars="200"/>
        <w:rPr>
          <w:rFonts w:ascii="宋体" w:hAnsi="宋体"/>
          <w:szCs w:val="21"/>
        </w:rPr>
      </w:pPr>
      <w:r>
        <w:rPr>
          <w:rFonts w:hint="eastAsia" w:ascii="宋体" w:hAnsi="宋体"/>
          <w:szCs w:val="21"/>
        </w:rPr>
        <w:t>2、乙方在提供</w:t>
      </w:r>
      <w:r>
        <w:rPr>
          <w:rFonts w:hint="eastAsia" w:ascii="宋体" w:hAnsi="宋体"/>
          <w:szCs w:val="21"/>
          <w:lang w:val="en-US" w:eastAsia="zh-CN"/>
        </w:rPr>
        <w:t>工程</w:t>
      </w:r>
      <w:r>
        <w:rPr>
          <w:rFonts w:hint="eastAsia" w:ascii="宋体" w:hAnsi="宋体"/>
          <w:szCs w:val="21"/>
        </w:rPr>
        <w:t>过程中应自备车辆。</w:t>
      </w:r>
    </w:p>
    <w:p>
      <w:pPr>
        <w:ind w:firstLine="422" w:firstLineChars="200"/>
        <w:rPr>
          <w:rFonts w:ascii="宋体" w:hAnsi="宋体"/>
          <w:b/>
          <w:bCs/>
          <w:szCs w:val="21"/>
        </w:rPr>
      </w:pPr>
      <w:r>
        <w:rPr>
          <w:rFonts w:hint="eastAsia" w:ascii="宋体" w:hAnsi="宋体"/>
          <w:b/>
          <w:bCs/>
          <w:szCs w:val="21"/>
        </w:rPr>
        <w:t>第十三条  保密要求</w:t>
      </w:r>
    </w:p>
    <w:p>
      <w:pPr>
        <w:ind w:firstLine="420" w:firstLineChars="200"/>
        <w:rPr>
          <w:rFonts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ind w:firstLine="420" w:firstLineChars="200"/>
        <w:rPr>
          <w:rFonts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pPr>
        <w:ind w:firstLine="420" w:firstLineChars="200"/>
        <w:rPr>
          <w:rFonts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pPr>
        <w:ind w:firstLine="420" w:firstLineChars="200"/>
        <w:rPr>
          <w:rFonts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pPr>
        <w:ind w:firstLine="422" w:firstLineChars="200"/>
        <w:rPr>
          <w:rFonts w:ascii="宋体" w:hAnsi="宋体"/>
          <w:b/>
          <w:bCs/>
          <w:szCs w:val="21"/>
        </w:rPr>
      </w:pPr>
      <w:r>
        <w:rPr>
          <w:rFonts w:hint="eastAsia" w:ascii="宋体" w:hAnsi="宋体"/>
          <w:b/>
          <w:bCs/>
          <w:szCs w:val="21"/>
        </w:rPr>
        <w:t xml:space="preserve">第十四条  验收     </w:t>
      </w:r>
    </w:p>
    <w:p>
      <w:pPr>
        <w:ind w:firstLine="420" w:firstLineChars="200"/>
        <w:rPr>
          <w:rFonts w:ascii="宋体" w:hAnsi="宋体"/>
          <w:szCs w:val="21"/>
        </w:rPr>
      </w:pPr>
      <w:r>
        <w:rPr>
          <w:rFonts w:hint="eastAsia" w:ascii="宋体" w:hAnsi="宋体"/>
          <w:szCs w:val="21"/>
        </w:rPr>
        <w:t>1、下列文件的验收分为</w:t>
      </w:r>
      <w:r>
        <w:rPr>
          <w:rFonts w:hint="eastAsia" w:ascii="宋体" w:hAnsi="宋体"/>
          <w:szCs w:val="21"/>
          <w:u w:val="single"/>
        </w:rPr>
        <w:t xml:space="preserve">          三</w:t>
      </w:r>
      <w:r>
        <w:rPr>
          <w:rFonts w:hint="eastAsia" w:ascii="宋体" w:hAnsi="宋体"/>
          <w:szCs w:val="21"/>
        </w:rPr>
        <w:t>个阶段:</w:t>
      </w:r>
    </w:p>
    <w:p>
      <w:pPr>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pPr>
        <w:ind w:firstLine="420" w:firstLineChars="200"/>
        <w:rPr>
          <w:rFonts w:ascii="宋体" w:hAnsi="宋体"/>
          <w:szCs w:val="21"/>
        </w:rPr>
      </w:pPr>
      <w:r>
        <w:rPr>
          <w:rFonts w:hint="eastAsia" w:ascii="宋体" w:hAnsi="宋体"/>
          <w:szCs w:val="21"/>
        </w:rPr>
        <w:t>3、验收依据为招标文件、投标文件，国家和行业有关规范、规程和标准。</w:t>
      </w:r>
    </w:p>
    <w:p>
      <w:pPr>
        <w:ind w:firstLine="422" w:firstLineChars="200"/>
        <w:rPr>
          <w:rFonts w:ascii="宋体" w:hAnsi="宋体"/>
          <w:b/>
          <w:bCs/>
          <w:szCs w:val="21"/>
        </w:rPr>
      </w:pPr>
      <w:r>
        <w:rPr>
          <w:rFonts w:hint="eastAsia" w:ascii="宋体" w:hAnsi="宋体"/>
          <w:b/>
          <w:bCs/>
          <w:szCs w:val="21"/>
        </w:rPr>
        <w:t>第十五条  付款方式</w:t>
      </w:r>
    </w:p>
    <w:p>
      <w:pPr>
        <w:ind w:firstLine="420" w:firstLineChars="200"/>
        <w:rPr>
          <w:rFonts w:ascii="宋体" w:hAnsi="宋体"/>
          <w:szCs w:val="21"/>
        </w:rPr>
      </w:pPr>
      <w:r>
        <w:rPr>
          <w:rFonts w:hint="eastAsia" w:ascii="宋体" w:hAnsi="宋体"/>
          <w:szCs w:val="21"/>
        </w:rPr>
        <w:t>1、合同签订后   天内乙方向甲方开具合法有效的发票后，甲方于   天内向乙方支付合同总价%的款项。</w:t>
      </w:r>
    </w:p>
    <w:p>
      <w:pPr>
        <w:ind w:firstLine="420" w:firstLineChars="200"/>
        <w:rPr>
          <w:rFonts w:ascii="宋体" w:hAnsi="宋体"/>
          <w:szCs w:val="21"/>
        </w:rPr>
      </w:pPr>
      <w:r>
        <w:rPr>
          <w:rFonts w:hint="eastAsia" w:ascii="宋体" w:hAnsi="宋体"/>
          <w:szCs w:val="21"/>
        </w:rPr>
        <w:t>2、检测完成并提交评估报告后  天内，乙方向甲方开具合法有效发票后 天，甲方向乙方支付合同总价%的款项。</w:t>
      </w:r>
    </w:p>
    <w:p>
      <w:pPr>
        <w:ind w:firstLine="420" w:firstLineChars="200"/>
        <w:rPr>
          <w:rFonts w:ascii="宋体" w:hAnsi="宋体"/>
          <w:szCs w:val="21"/>
        </w:rPr>
      </w:pPr>
      <w:r>
        <w:rPr>
          <w:rFonts w:hint="eastAsia" w:ascii="宋体" w:hAnsi="宋体"/>
          <w:szCs w:val="21"/>
        </w:rPr>
        <w:t>3、报告通过专家评审后，甲方向乙方支付合同总价%的款项。</w:t>
      </w:r>
    </w:p>
    <w:p>
      <w:pPr>
        <w:ind w:firstLine="422" w:firstLineChars="200"/>
        <w:rPr>
          <w:rFonts w:ascii="宋体" w:hAnsi="宋体"/>
          <w:b/>
          <w:bCs/>
          <w:szCs w:val="21"/>
        </w:rPr>
      </w:pPr>
      <w:r>
        <w:rPr>
          <w:rFonts w:hint="eastAsia" w:ascii="宋体" w:hAnsi="宋体"/>
          <w:b/>
          <w:bCs/>
          <w:szCs w:val="21"/>
        </w:rPr>
        <w:t>第十六条  争议解决办法</w:t>
      </w:r>
    </w:p>
    <w:p>
      <w:pPr>
        <w:ind w:firstLine="420" w:firstLineChars="200"/>
        <w:rPr>
          <w:rFonts w:ascii="宋体" w:hAnsi="宋体"/>
          <w:szCs w:val="21"/>
        </w:rPr>
      </w:pPr>
      <w:r>
        <w:rPr>
          <w:rFonts w:hint="eastAsia" w:ascii="宋体" w:hAnsi="宋体"/>
          <w:szCs w:val="21"/>
        </w:rPr>
        <w:t>执行本合同发生的争议，由甲乙双方协商解决，如协商不成的，应提交甲方所在地人民法院诉讼解决。</w:t>
      </w:r>
    </w:p>
    <w:p>
      <w:pPr>
        <w:ind w:firstLine="422" w:firstLineChars="200"/>
        <w:rPr>
          <w:rFonts w:ascii="宋体" w:hAnsi="宋体"/>
          <w:b/>
          <w:bCs/>
          <w:szCs w:val="21"/>
        </w:rPr>
      </w:pPr>
      <w:r>
        <w:rPr>
          <w:rFonts w:hint="eastAsia" w:ascii="宋体" w:hAnsi="宋体"/>
          <w:b/>
          <w:bCs/>
          <w:szCs w:val="21"/>
        </w:rPr>
        <w:t>第十七条  风险责任</w:t>
      </w:r>
    </w:p>
    <w:p>
      <w:pPr>
        <w:ind w:firstLine="420" w:firstLineChars="200"/>
        <w:rPr>
          <w:rFonts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pPr>
        <w:ind w:firstLine="420" w:firstLineChars="200"/>
        <w:rPr>
          <w:rFonts w:ascii="宋体" w:hAnsi="宋体"/>
          <w:szCs w:val="21"/>
        </w:rPr>
      </w:pPr>
      <w:r>
        <w:rPr>
          <w:rFonts w:hint="eastAsia" w:ascii="宋体" w:hAnsi="宋体"/>
          <w:szCs w:val="21"/>
        </w:rPr>
        <w:t>2、乙方在实施荷载试验过程中应对自身的安全生产负责，若非因甲方原因发生的各种事故甲方不承担任何责任。</w:t>
      </w:r>
    </w:p>
    <w:p>
      <w:pPr>
        <w:ind w:firstLine="422" w:firstLineChars="200"/>
        <w:rPr>
          <w:rFonts w:ascii="宋体" w:hAnsi="宋体"/>
          <w:b/>
          <w:bCs/>
          <w:szCs w:val="21"/>
        </w:rPr>
      </w:pPr>
      <w:r>
        <w:rPr>
          <w:rFonts w:hint="eastAsia" w:ascii="宋体" w:hAnsi="宋体"/>
          <w:b/>
          <w:bCs/>
          <w:szCs w:val="21"/>
        </w:rPr>
        <w:t>第十八条  违约责任</w:t>
      </w:r>
    </w:p>
    <w:p>
      <w:pPr>
        <w:pStyle w:val="19"/>
        <w:spacing w:line="240" w:lineRule="auto"/>
        <w:rPr>
          <w:rFonts w:ascii="宋体" w:hAnsi="宋体"/>
          <w:szCs w:val="21"/>
        </w:rPr>
      </w:pPr>
      <w:r>
        <w:rPr>
          <w:rFonts w:hint="eastAsia" w:ascii="宋体" w:hAnsi="宋体"/>
          <w:szCs w:val="21"/>
        </w:rPr>
        <w:t>１、因乙方原因，未能按规定时间完成有关工作的，每延误一天，甲方可在支付合同余款中扣除合同价款千分之一。</w:t>
      </w:r>
    </w:p>
    <w:p>
      <w:pPr>
        <w:ind w:firstLine="420" w:firstLineChars="200"/>
        <w:rPr>
          <w:rFonts w:ascii="宋体" w:hAnsi="宋体"/>
          <w:szCs w:val="21"/>
        </w:rPr>
      </w:pPr>
      <w:r>
        <w:rPr>
          <w:rFonts w:hint="eastAsia" w:ascii="宋体" w:hAnsi="宋体"/>
          <w:szCs w:val="21"/>
        </w:rPr>
        <w:t>2、由于乙方原因造成试验成果质量低劣，不能满足大纲要求时，应继续完善试验工作，其费用由乙方承担。</w:t>
      </w:r>
    </w:p>
    <w:p>
      <w:pPr>
        <w:ind w:firstLine="420" w:firstLineChars="200"/>
        <w:rPr>
          <w:rFonts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pPr>
        <w:ind w:firstLine="420" w:firstLineChars="200"/>
        <w:rPr>
          <w:rFonts w:ascii="宋体" w:hAnsi="宋体"/>
          <w:szCs w:val="21"/>
        </w:rPr>
      </w:pPr>
      <w:r>
        <w:rPr>
          <w:rFonts w:hint="eastAsia" w:ascii="宋体" w:hAnsi="宋体"/>
          <w:szCs w:val="21"/>
        </w:rPr>
        <w:t>4、若甲方发现乙方派出的试验</w:t>
      </w:r>
      <w:r>
        <w:rPr>
          <w:rFonts w:hint="eastAsia" w:ascii="宋体" w:hAnsi="宋体"/>
          <w:szCs w:val="21"/>
          <w:lang w:val="en-US" w:eastAsia="zh-CN"/>
        </w:rPr>
        <w:t>工程</w:t>
      </w:r>
      <w:r>
        <w:rPr>
          <w:rFonts w:hint="eastAsia" w:ascii="宋体" w:hAnsi="宋体"/>
          <w:szCs w:val="21"/>
        </w:rPr>
        <w:t>人员或提供的试验仪器设备不符合合同要求，乙方应在3天之内按要求派出人员或提供满足投标文件承诺的仪器设备，否则甲方有权终止合同，并保留追究乙方责任及要求赔偿损失的权利。</w:t>
      </w:r>
    </w:p>
    <w:p>
      <w:pPr>
        <w:ind w:firstLine="420" w:firstLineChars="200"/>
        <w:rPr>
          <w:rFonts w:ascii="宋体" w:hAnsi="宋体"/>
          <w:szCs w:val="21"/>
        </w:rPr>
      </w:pPr>
      <w:r>
        <w:rPr>
          <w:rFonts w:hint="eastAsia" w:ascii="宋体" w:hAnsi="宋体"/>
          <w:szCs w:val="21"/>
        </w:rPr>
        <w:t>5、乙方或其工作人员违反本合同约定的保密义务，甲方有权要求乙方按合同总额   %支付违约金；造成不良影响或对甲方造成损失的，甲方有权要求乙方消除影响，承担赔偿责任，并有权解除合同。</w:t>
      </w:r>
    </w:p>
    <w:p>
      <w:pPr>
        <w:ind w:firstLine="420" w:firstLineChars="200"/>
        <w:rPr>
          <w:rFonts w:ascii="宋体" w:hAnsi="宋体"/>
          <w:szCs w:val="21"/>
        </w:rPr>
      </w:pPr>
      <w:r>
        <w:rPr>
          <w:rFonts w:hint="eastAsia" w:ascii="宋体" w:hAnsi="宋体"/>
          <w:szCs w:val="21"/>
        </w:rPr>
        <w:t>6、因乙方提供的</w:t>
      </w:r>
      <w:r>
        <w:rPr>
          <w:rFonts w:hint="eastAsia" w:ascii="宋体" w:hAnsi="宋体"/>
          <w:szCs w:val="21"/>
          <w:lang w:val="en-US" w:eastAsia="zh-CN"/>
        </w:rPr>
        <w:t>工程</w:t>
      </w:r>
      <w:r>
        <w:rPr>
          <w:rFonts w:hint="eastAsia" w:ascii="宋体" w:hAnsi="宋体"/>
          <w:szCs w:val="21"/>
        </w:rPr>
        <w:t>成果受到侵权指控或者引发法律纠纷，影响甲方使用</w:t>
      </w:r>
      <w:r>
        <w:rPr>
          <w:rFonts w:hint="eastAsia" w:ascii="宋体" w:hAnsi="宋体"/>
          <w:szCs w:val="21"/>
          <w:lang w:val="en-US" w:eastAsia="zh-CN"/>
        </w:rPr>
        <w:t>工程</w:t>
      </w:r>
      <w:r>
        <w:rPr>
          <w:rFonts w:hint="eastAsia" w:ascii="宋体" w:hAnsi="宋体"/>
          <w:szCs w:val="21"/>
        </w:rPr>
        <w:t>成果或者导致合同目的不能实现的，甲方有权要求乙方按合同总额   %支付违约金，并有权解除合同。</w:t>
      </w:r>
    </w:p>
    <w:p>
      <w:pPr>
        <w:ind w:firstLine="422" w:firstLineChars="200"/>
        <w:rPr>
          <w:rFonts w:ascii="宋体" w:hAnsi="宋体"/>
          <w:b/>
          <w:bCs/>
          <w:szCs w:val="21"/>
        </w:rPr>
      </w:pPr>
      <w:r>
        <w:rPr>
          <w:rFonts w:hint="eastAsia" w:ascii="宋体" w:hAnsi="宋体"/>
          <w:b/>
          <w:bCs/>
          <w:szCs w:val="21"/>
        </w:rPr>
        <w:t>第十九条  其他</w:t>
      </w:r>
    </w:p>
    <w:p>
      <w:pPr>
        <w:ind w:firstLine="420" w:firstLineChars="200"/>
        <w:rPr>
          <w:rFonts w:hint="eastAsia" w:ascii="宋体" w:hAnsi="宋体"/>
          <w:szCs w:val="21"/>
        </w:rPr>
      </w:pPr>
      <w:r>
        <w:rPr>
          <w:rFonts w:hint="eastAsia" w:ascii="宋体" w:hAnsi="宋体"/>
          <w:szCs w:val="21"/>
        </w:rPr>
        <w:t>1、本协议书与下列文件一起构成合同文件，如下述文件之间有任何抵触、矛盾或歧义，应按以下顺序解释：</w:t>
      </w:r>
    </w:p>
    <w:p>
      <w:pPr>
        <w:ind w:firstLine="420" w:firstLineChars="200"/>
        <w:rPr>
          <w:rFonts w:hint="eastAsia" w:ascii="宋体" w:hAnsi="宋体"/>
          <w:szCs w:val="21"/>
        </w:rPr>
      </w:pPr>
      <w:r>
        <w:rPr>
          <w:rFonts w:hint="eastAsia" w:ascii="宋体" w:hAnsi="宋体"/>
          <w:szCs w:val="21"/>
        </w:rPr>
        <w:t>（1）政府采购合同协议书及其变更、补充协议</w:t>
      </w:r>
    </w:p>
    <w:p>
      <w:pPr>
        <w:ind w:firstLine="420" w:firstLineChars="200"/>
        <w:rPr>
          <w:rFonts w:hint="eastAsia" w:ascii="宋体" w:hAnsi="宋体"/>
          <w:szCs w:val="21"/>
        </w:rPr>
      </w:pPr>
      <w:r>
        <w:rPr>
          <w:rFonts w:hint="eastAsia" w:ascii="宋体" w:hAnsi="宋体"/>
          <w:szCs w:val="21"/>
        </w:rPr>
        <w:t>（2）政府采购合同专用条款</w:t>
      </w:r>
    </w:p>
    <w:p>
      <w:pPr>
        <w:ind w:firstLine="420" w:firstLineChars="200"/>
        <w:rPr>
          <w:rFonts w:hint="eastAsia" w:ascii="宋体" w:hAnsi="宋体"/>
          <w:szCs w:val="21"/>
        </w:rPr>
      </w:pPr>
      <w:r>
        <w:rPr>
          <w:rFonts w:hint="eastAsia" w:ascii="宋体" w:hAnsi="宋体"/>
          <w:szCs w:val="21"/>
        </w:rPr>
        <w:t>（3）政府采购合同通用条款</w:t>
      </w:r>
    </w:p>
    <w:p>
      <w:pPr>
        <w:ind w:firstLine="420" w:firstLineChars="200"/>
        <w:rPr>
          <w:rFonts w:hint="eastAsia" w:ascii="宋体" w:hAnsi="宋体"/>
          <w:szCs w:val="21"/>
        </w:rPr>
      </w:pPr>
      <w:r>
        <w:rPr>
          <w:rFonts w:hint="eastAsia" w:ascii="宋体" w:hAnsi="宋体"/>
          <w:szCs w:val="21"/>
        </w:rPr>
        <w:t>（4）中标（成交）通知书</w:t>
      </w:r>
    </w:p>
    <w:p>
      <w:pPr>
        <w:ind w:firstLine="420" w:firstLineChars="200"/>
        <w:rPr>
          <w:rFonts w:hint="eastAsia" w:ascii="宋体" w:hAnsi="宋体"/>
          <w:szCs w:val="21"/>
        </w:rPr>
      </w:pPr>
      <w:r>
        <w:rPr>
          <w:rFonts w:hint="eastAsia" w:ascii="宋体" w:hAnsi="宋体"/>
          <w:szCs w:val="21"/>
        </w:rPr>
        <w:t>（5）投标（响应）文件</w:t>
      </w:r>
    </w:p>
    <w:p>
      <w:pPr>
        <w:ind w:firstLine="420" w:firstLineChars="200"/>
        <w:rPr>
          <w:rFonts w:hint="eastAsia" w:ascii="宋体" w:hAnsi="宋体"/>
          <w:szCs w:val="21"/>
        </w:rPr>
      </w:pPr>
      <w:r>
        <w:rPr>
          <w:rFonts w:hint="eastAsia" w:ascii="宋体" w:hAnsi="宋体"/>
          <w:szCs w:val="21"/>
        </w:rPr>
        <w:t>（6）采购文件</w:t>
      </w:r>
    </w:p>
    <w:p>
      <w:pPr>
        <w:ind w:firstLine="420" w:firstLineChars="200"/>
        <w:rPr>
          <w:rFonts w:hint="eastAsia" w:ascii="宋体" w:hAnsi="宋体"/>
          <w:szCs w:val="21"/>
        </w:rPr>
      </w:pPr>
      <w:r>
        <w:rPr>
          <w:rFonts w:hint="eastAsia" w:ascii="宋体" w:hAnsi="宋体"/>
          <w:szCs w:val="21"/>
        </w:rPr>
        <w:t>（7）有关技术文件，图纸</w:t>
      </w:r>
    </w:p>
    <w:p>
      <w:pPr>
        <w:ind w:firstLine="420" w:firstLineChars="200"/>
        <w:rPr>
          <w:rFonts w:ascii="宋体" w:hAnsi="宋体"/>
          <w:szCs w:val="21"/>
        </w:rPr>
      </w:pPr>
      <w:r>
        <w:rPr>
          <w:rFonts w:hint="eastAsia" w:ascii="宋体" w:hAnsi="宋体"/>
          <w:szCs w:val="21"/>
        </w:rPr>
        <w:t>（8）国家法律、行政法规和规章制度规定或合同约定的作为合同组成部分的其他文件。</w:t>
      </w:r>
    </w:p>
    <w:p>
      <w:pPr>
        <w:ind w:firstLine="420" w:firstLineChars="200"/>
        <w:rPr>
          <w:rFonts w:ascii="宋体" w:hAnsi="宋体"/>
          <w:szCs w:val="21"/>
        </w:rPr>
      </w:pPr>
      <w:r>
        <w:rPr>
          <w:rFonts w:hint="eastAsia" w:ascii="宋体" w:hAnsi="宋体"/>
          <w:szCs w:val="21"/>
        </w:rPr>
        <w:t>2、下列文件均为本合同的组成部分：</w:t>
      </w:r>
    </w:p>
    <w:p>
      <w:pPr>
        <w:ind w:firstLine="420" w:firstLineChars="200"/>
        <w:rPr>
          <w:rFonts w:ascii="宋体" w:hAnsi="宋体"/>
          <w:szCs w:val="21"/>
        </w:rPr>
      </w:pPr>
      <w:r>
        <w:rPr>
          <w:rFonts w:hint="eastAsia" w:ascii="宋体" w:hAnsi="宋体"/>
          <w:szCs w:val="21"/>
        </w:rPr>
        <w:t>（1）号招标文件、答疑及补充通知；</w:t>
      </w:r>
    </w:p>
    <w:p>
      <w:pPr>
        <w:ind w:firstLine="420" w:firstLineChars="200"/>
        <w:rPr>
          <w:rFonts w:ascii="宋体" w:hAnsi="宋体"/>
          <w:szCs w:val="21"/>
        </w:rPr>
      </w:pPr>
      <w:r>
        <w:rPr>
          <w:rFonts w:hint="eastAsia" w:ascii="宋体" w:hAnsi="宋体"/>
          <w:szCs w:val="21"/>
        </w:rPr>
        <w:t>（2）投标文件；</w:t>
      </w:r>
    </w:p>
    <w:p>
      <w:pPr>
        <w:ind w:firstLine="420" w:firstLineChars="200"/>
        <w:rPr>
          <w:rFonts w:ascii="宋体" w:hAnsi="宋体"/>
          <w:szCs w:val="21"/>
        </w:rPr>
      </w:pPr>
      <w:r>
        <w:rPr>
          <w:rFonts w:hint="eastAsia" w:ascii="宋体" w:hAnsi="宋体"/>
          <w:szCs w:val="21"/>
        </w:rPr>
        <w:t>（3）本合同执行中共同签署的补充与修正文件。</w:t>
      </w:r>
    </w:p>
    <w:p>
      <w:pPr>
        <w:ind w:firstLine="420" w:firstLineChars="200"/>
        <w:rPr>
          <w:rFonts w:ascii="宋体" w:hAnsi="宋体"/>
          <w:szCs w:val="21"/>
        </w:rPr>
      </w:pPr>
      <w:r>
        <w:rPr>
          <w:rFonts w:hint="eastAsia" w:ascii="宋体" w:hAnsi="宋体"/>
          <w:szCs w:val="21"/>
        </w:rPr>
        <w:t>本合同一式份，甲、乙方双方各执份，具有同等法律效力。本合同自双方法人代表签字（盖章）认可之日起生效。</w:t>
      </w:r>
    </w:p>
    <w:p>
      <w:pPr>
        <w:ind w:firstLine="420" w:firstLineChars="200"/>
        <w:rPr>
          <w:rFonts w:ascii="宋体" w:hAnsi="宋体"/>
          <w:szCs w:val="21"/>
        </w:rPr>
      </w:pPr>
      <w:r>
        <w:rPr>
          <w:rFonts w:hint="eastAsia" w:ascii="宋体" w:hAnsi="宋体"/>
          <w:szCs w:val="21"/>
        </w:rPr>
        <w:t>本合同未尽事宜，双方友好协商，达成解决方案，经双方签字后，可作为本合同的有效附件。</w:t>
      </w:r>
    </w:p>
    <w:p>
      <w:pPr>
        <w:ind w:firstLine="420" w:firstLineChars="200"/>
        <w:rPr>
          <w:rFonts w:ascii="宋体" w:hAnsi="宋体"/>
          <w:szCs w:val="21"/>
        </w:rPr>
      </w:pPr>
    </w:p>
    <w:p>
      <w:pPr>
        <w:ind w:firstLine="420" w:firstLineChars="200"/>
        <w:rPr>
          <w:rFonts w:ascii="宋体" w:hAnsi="宋体"/>
          <w:szCs w:val="21"/>
        </w:rPr>
      </w:pPr>
    </w:p>
    <w:p>
      <w:pPr>
        <w:spacing w:line="360" w:lineRule="auto"/>
        <w:ind w:firstLine="560"/>
        <w:jc w:val="left"/>
        <w:rPr>
          <w:rFonts w:ascii="宋体" w:hAnsi="宋体"/>
          <w:szCs w:val="21"/>
        </w:rPr>
      </w:pPr>
      <w:r>
        <w:rPr>
          <w:rFonts w:hint="eastAsia" w:ascii="宋体" w:hAnsi="宋体"/>
          <w:szCs w:val="21"/>
        </w:rPr>
        <w:t>甲方（采购人）：   （盖章）       乙方（供应商）：    （盖章）</w:t>
      </w:r>
    </w:p>
    <w:p>
      <w:pPr>
        <w:spacing w:line="360" w:lineRule="auto"/>
        <w:ind w:firstLine="560"/>
        <w:jc w:val="left"/>
        <w:rPr>
          <w:rFonts w:ascii="宋体" w:hAnsi="宋体"/>
          <w:szCs w:val="21"/>
        </w:rPr>
      </w:pPr>
      <w:r>
        <w:rPr>
          <w:rFonts w:hint="eastAsia" w:ascii="宋体" w:hAnsi="宋体"/>
          <w:szCs w:val="21"/>
        </w:rPr>
        <w:t xml:space="preserve">法定代表人：                     法定代表人： </w:t>
      </w:r>
    </w:p>
    <w:p>
      <w:pPr>
        <w:spacing w:line="360" w:lineRule="auto"/>
        <w:ind w:firstLine="560"/>
        <w:jc w:val="left"/>
        <w:rPr>
          <w:rFonts w:ascii="宋体" w:hAnsi="宋体"/>
          <w:szCs w:val="21"/>
        </w:rPr>
      </w:pPr>
      <w:r>
        <w:rPr>
          <w:rFonts w:hint="eastAsia" w:ascii="宋体" w:hAnsi="宋体"/>
          <w:szCs w:val="21"/>
        </w:rPr>
        <w:t>委托代理人：                     委托代理人：</w:t>
      </w:r>
    </w:p>
    <w:p>
      <w:pPr>
        <w:ind w:firstLine="420" w:firstLineChars="200"/>
        <w:rPr>
          <w:rFonts w:ascii="宋体" w:hAnsi="宋体"/>
          <w:szCs w:val="21"/>
        </w:rPr>
      </w:pPr>
      <w:r>
        <w:rPr>
          <w:rFonts w:hint="eastAsia" w:ascii="宋体" w:hAnsi="宋体"/>
          <w:szCs w:val="21"/>
        </w:rPr>
        <w:t>日期：   年     月    日         日期：   年     月    日</w:t>
      </w: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widowControl/>
        <w:jc w:val="left"/>
        <w:rPr>
          <w:rFonts w:ascii="宋体" w:hAnsi="宋体"/>
          <w:szCs w:val="21"/>
        </w:rPr>
      </w:pPr>
      <w:r>
        <w:rPr>
          <w:rFonts w:ascii="宋体" w:hAnsi="宋体"/>
          <w:szCs w:val="21"/>
        </w:rPr>
        <w:br w:type="page"/>
      </w:r>
    </w:p>
    <w:p>
      <w:pPr>
        <w:pStyle w:val="4"/>
        <w:spacing w:before="120" w:beforeLines="50" w:after="120" w:afterLines="50"/>
        <w:ind w:left="562"/>
        <w:rPr>
          <w:sz w:val="28"/>
          <w:szCs w:val="28"/>
        </w:rPr>
      </w:pPr>
      <w:r>
        <w:rPr>
          <w:rFonts w:hint="eastAsia"/>
          <w:sz w:val="28"/>
          <w:szCs w:val="28"/>
        </w:rPr>
        <w:t>第二册  通用条款（公开招标）</w:t>
      </w:r>
    </w:p>
    <w:p>
      <w:pPr>
        <w:pStyle w:val="4"/>
        <w:numPr>
          <w:ilvl w:val="0"/>
          <w:numId w:val="10"/>
        </w:numPr>
        <w:spacing w:before="120" w:beforeLines="50" w:after="120" w:afterLines="50"/>
        <w:ind w:left="562" w:hanging="562"/>
        <w:rPr>
          <w:sz w:val="28"/>
          <w:szCs w:val="28"/>
        </w:rPr>
      </w:pPr>
      <w:bookmarkStart w:id="44" w:name="_Hlk72399513"/>
      <w:r>
        <w:rPr>
          <w:rFonts w:hint="eastAsia"/>
          <w:sz w:val="28"/>
          <w:szCs w:val="28"/>
        </w:rPr>
        <w:t>总则</w:t>
      </w:r>
    </w:p>
    <w:bookmarkEnd w:id="44"/>
    <w:p>
      <w:pPr>
        <w:rPr>
          <w:rFonts w:ascii="黑体" w:hAnsi="宋体" w:eastAsia="黑体"/>
          <w:sz w:val="24"/>
        </w:rPr>
      </w:pPr>
      <w:r>
        <w:rPr>
          <w:rFonts w:hint="eastAsia" w:ascii="黑体" w:hAnsi="宋体" w:eastAsia="黑体"/>
          <w:sz w:val="24"/>
        </w:rPr>
        <w:t>1. 通用条款说明</w:t>
      </w:r>
    </w:p>
    <w:p>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45" w:name="_Hlk72399729"/>
      <w:r>
        <w:rPr>
          <w:rFonts w:hint="eastAsia" w:ascii="宋体" w:hAnsi="宋体"/>
          <w:szCs w:val="21"/>
        </w:rPr>
        <w:t>如有需要，政府集中采购机构可以对通用条款的内容进行补充。</w:t>
      </w:r>
      <w:bookmarkEnd w:id="45"/>
    </w:p>
    <w:p>
      <w:pPr>
        <w:ind w:firstLine="411" w:firstLineChars="196"/>
        <w:rPr>
          <w:rFonts w:ascii="宋体" w:hAnsi="宋体"/>
          <w:szCs w:val="21"/>
        </w:rPr>
      </w:pPr>
      <w:r>
        <w:rPr>
          <w:rFonts w:hint="eastAsia" w:ascii="宋体" w:hAnsi="宋体"/>
          <w:szCs w:val="21"/>
        </w:rPr>
        <w:t>1.2招标文件分为第一册“专用条款”和第二册“通用条款”。</w:t>
      </w:r>
    </w:p>
    <w:p>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pPr>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pPr>
        <w:ind w:firstLine="411" w:firstLineChars="196"/>
        <w:rPr>
          <w:rFonts w:ascii="宋体" w:hAnsi="宋体"/>
          <w:szCs w:val="21"/>
        </w:rPr>
      </w:pPr>
      <w:r>
        <w:rPr>
          <w:rFonts w:hint="eastAsia" w:ascii="宋体" w:hAnsi="宋体"/>
          <w:szCs w:val="21"/>
        </w:rPr>
        <w:t>1.5 “专用条款”和“通用条款”表述不一致或有冲突时，以“专用条款”为准。</w:t>
      </w:r>
    </w:p>
    <w:p>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pPr>
        <w:ind w:firstLine="411" w:firstLineChars="196"/>
        <w:rPr>
          <w:rFonts w:ascii="宋体" w:hAnsi="宋体"/>
          <w:szCs w:val="21"/>
        </w:rPr>
      </w:pPr>
      <w:r>
        <w:rPr>
          <w:rFonts w:hint="eastAsia" w:ascii="宋体" w:hAnsi="宋体"/>
          <w:szCs w:val="21"/>
        </w:rPr>
        <w:t>本项目按照《深圳经济特区政府采购条例》、《深圳经济特区政府采购条例实施细则》及政府采购其他法律法规，通过公开招标方式确定中标供应商。</w:t>
      </w:r>
    </w:p>
    <w:p>
      <w:pPr>
        <w:rPr>
          <w:rFonts w:ascii="黑体" w:hAnsi="宋体" w:eastAsia="黑体"/>
          <w:sz w:val="24"/>
        </w:rPr>
      </w:pPr>
      <w:r>
        <w:rPr>
          <w:rFonts w:hint="eastAsia" w:ascii="黑体" w:hAnsi="宋体" w:eastAsia="黑体"/>
          <w:sz w:val="24"/>
        </w:rPr>
        <w:t>3．定义</w:t>
      </w:r>
    </w:p>
    <w:p>
      <w:pPr>
        <w:ind w:firstLine="420" w:firstLineChars="200"/>
        <w:rPr>
          <w:rFonts w:ascii="宋体" w:hAnsi="宋体"/>
          <w:szCs w:val="21"/>
        </w:rPr>
      </w:pPr>
      <w:r>
        <w:rPr>
          <w:rFonts w:ascii="宋体" w:hAnsi="宋体"/>
          <w:szCs w:val="21"/>
        </w:rPr>
        <w:t>招标文件中下列术语应解释为：</w:t>
      </w:r>
    </w:p>
    <w:p>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w:t>
      </w:r>
      <w:r>
        <w:rPr>
          <w:rFonts w:hint="eastAsia" w:ascii="宋体" w:hAnsi="宋体"/>
          <w:szCs w:val="21"/>
          <w:lang w:val="en-US" w:eastAsia="zh-CN"/>
        </w:rPr>
        <w:t>工程</w:t>
      </w:r>
      <w:r>
        <w:rPr>
          <w:rFonts w:hint="eastAsia" w:ascii="Arial" w:hAnsi="Arial" w:cs="Arial"/>
          <w:szCs w:val="21"/>
          <w:shd w:val="clear" w:color="auto" w:fill="FFFFFF"/>
        </w:rPr>
        <w:t>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pPr>
        <w:ind w:firstLine="411" w:firstLineChars="196"/>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pPr>
        <w:ind w:firstLine="411" w:firstLineChars="196"/>
        <w:rPr>
          <w:rFonts w:ascii="宋体" w:hAnsi="宋体"/>
          <w:szCs w:val="21"/>
        </w:rPr>
      </w:pPr>
      <w:r>
        <w:rPr>
          <w:rFonts w:hint="eastAsia" w:ascii="宋体" w:hAnsi="宋体"/>
          <w:szCs w:val="21"/>
        </w:rPr>
        <w:t>3.6“合同”指由本次招标所产生的合同或合约文件；</w:t>
      </w:r>
    </w:p>
    <w:p>
      <w:pPr>
        <w:ind w:firstLine="411" w:firstLineChars="196"/>
        <w:rPr>
          <w:rFonts w:ascii="宋体" w:hAnsi="宋体"/>
          <w:szCs w:val="21"/>
        </w:rPr>
      </w:pPr>
      <w:r>
        <w:rPr>
          <w:rFonts w:hint="eastAsia" w:ascii="宋体" w:hAnsi="宋体"/>
          <w:szCs w:val="21"/>
        </w:rPr>
        <w:t>3.7“电子投标文件”指利用</w:t>
      </w:r>
      <w:r>
        <w:rPr>
          <w:b/>
          <w:bCs/>
          <w:color w:val="FF0000"/>
          <w:szCs w:val="21"/>
        </w:rPr>
        <w:t>深圳公共资源交易中心（深圳交易集团有限公司</w:t>
      </w:r>
      <w:r>
        <w:rPr>
          <w:rFonts w:hint="eastAsia"/>
          <w:b/>
          <w:bCs/>
          <w:color w:val="FF0000"/>
          <w:szCs w:val="21"/>
        </w:rPr>
        <w:t>福田</w:t>
      </w:r>
      <w:r>
        <w:rPr>
          <w:b/>
          <w:bCs/>
          <w:color w:val="FF0000"/>
          <w:szCs w:val="21"/>
        </w:rPr>
        <w:t>分公司）</w:t>
      </w:r>
      <w:r>
        <w:rPr>
          <w:rFonts w:ascii="Times New Roman" w:hAnsi="Times New Roman" w:eastAsia="宋体" w:cs="Times New Roman"/>
          <w:b/>
          <w:bCs/>
          <w:szCs w:val="21"/>
        </w:rPr>
        <w:t>网站提供的</w:t>
      </w:r>
      <w:r>
        <w:rPr>
          <w:rFonts w:hint="eastAsia" w:ascii="Times New Roman" w:hAnsi="Times New Roman" w:eastAsia="宋体" w:cs="Times New Roman"/>
          <w:b/>
          <w:bCs/>
          <w:szCs w:val="24"/>
        </w:rPr>
        <w:t>深圳市自行采购系统投标文件制作专用软件（以下简称：投标文件制作软件）制作并加密的投标文件，适用于网上投标；（投标文件制作软件可从“下载地址：</w:t>
      </w:r>
      <w:r>
        <w:rPr>
          <w:rFonts w:ascii="Times New Roman" w:hAnsi="Times New Roman" w:eastAsia="宋体" w:cs="Times New Roman"/>
          <w:b/>
          <w:bCs/>
          <w:szCs w:val="24"/>
        </w:rPr>
        <w:t>https://www.szggzy.com/jyfw/details.html?contentId=2053275</w:t>
      </w:r>
      <w:r>
        <w:rPr>
          <w:rFonts w:hint="eastAsia" w:ascii="Times New Roman" w:hAnsi="Times New Roman" w:eastAsia="宋体" w:cs="Times New Roman"/>
          <w:b/>
          <w:bCs/>
          <w:szCs w:val="24"/>
        </w:rPr>
        <w:t>深圳市自行采购系统投标文件编制工具”下载）</w:t>
      </w:r>
      <w:r>
        <w:rPr>
          <w:rFonts w:ascii="Times New Roman" w:hAnsi="Times New Roman" w:eastAsia="宋体" w:cs="Times New Roman"/>
          <w:b/>
          <w:bCs/>
          <w:szCs w:val="21"/>
        </w:rPr>
        <w:t>；</w:t>
      </w:r>
    </w:p>
    <w:p>
      <w:pPr>
        <w:ind w:firstLine="411" w:firstLineChars="196"/>
        <w:rPr>
          <w:rFonts w:ascii="宋体" w:hAnsi="宋体"/>
          <w:szCs w:val="21"/>
        </w:rPr>
      </w:pPr>
      <w:r>
        <w:rPr>
          <w:rFonts w:hint="eastAsia" w:ascii="宋体" w:hAnsi="宋体"/>
          <w:szCs w:val="21"/>
        </w:rPr>
        <w:t>3.8“网上投标”指通过</w:t>
      </w:r>
      <w:r>
        <w:rPr>
          <w:rFonts w:hint="eastAsia" w:ascii="宋体" w:hAnsi="宋体"/>
          <w:b/>
          <w:bCs/>
          <w:color w:val="FF0000"/>
          <w:szCs w:val="21"/>
        </w:rPr>
        <w:t>深圳公共资源交易中心（深圳交易集团有限公司</w:t>
      </w:r>
      <w:r>
        <w:rPr>
          <w:rFonts w:hint="eastAsia" w:ascii="宋体" w:hAnsi="宋体"/>
          <w:b/>
          <w:bCs/>
          <w:color w:val="FF0000"/>
          <w:szCs w:val="21"/>
          <w:lang w:val="en-US" w:eastAsia="zh-CN"/>
        </w:rPr>
        <w:t>福田</w:t>
      </w:r>
      <w:r>
        <w:rPr>
          <w:rFonts w:hint="eastAsia" w:ascii="宋体" w:hAnsi="宋体"/>
          <w:b/>
          <w:bCs/>
          <w:color w:val="FF0000"/>
          <w:szCs w:val="21"/>
        </w:rPr>
        <w:t>分公司）</w:t>
      </w:r>
      <w:r>
        <w:rPr>
          <w:rFonts w:hint="eastAsia" w:ascii="宋体" w:hAnsi="宋体"/>
          <w:szCs w:val="21"/>
        </w:rPr>
        <w:t>网站上传电子投标文件；</w:t>
      </w:r>
    </w:p>
    <w:p>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pPr>
        <w:rPr>
          <w:rFonts w:ascii="黑体" w:hAnsi="宋体" w:eastAsia="黑体"/>
          <w:sz w:val="24"/>
        </w:rPr>
      </w:pPr>
      <w:r>
        <w:rPr>
          <w:rFonts w:hint="eastAsia" w:ascii="黑体" w:hAnsi="宋体" w:eastAsia="黑体"/>
          <w:sz w:val="24"/>
        </w:rPr>
        <w:t xml:space="preserve">4. </w:t>
      </w:r>
      <w:bookmarkStart w:id="46" w:name="_Hlk72398643"/>
      <w:r>
        <w:rPr>
          <w:rFonts w:hint="eastAsia" w:ascii="黑体" w:hAnsi="宋体" w:eastAsia="黑体"/>
          <w:sz w:val="24"/>
        </w:rPr>
        <w:t>政府采购供应商责任</w:t>
      </w:r>
    </w:p>
    <w:p>
      <w:pPr>
        <w:ind w:firstLine="411" w:firstLineChars="196"/>
        <w:rPr>
          <w:rFonts w:ascii="宋体" w:hAnsi="宋体"/>
          <w:szCs w:val="21"/>
        </w:rPr>
      </w:pPr>
      <w:r>
        <w:rPr>
          <w:rFonts w:hint="eastAsia" w:ascii="宋体" w:hAnsi="宋体"/>
          <w:szCs w:val="21"/>
        </w:rPr>
        <w:t>4.1欢迎诚信、有实力和有社会责任心的供应商参与政府采购事业。</w:t>
      </w:r>
    </w:p>
    <w:p>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rPr>
          <w:rFonts w:ascii="黑体" w:hAnsi="宋体" w:eastAsia="黑体"/>
          <w:sz w:val="24"/>
        </w:rPr>
      </w:pPr>
      <w:r>
        <w:rPr>
          <w:rFonts w:hint="eastAsia" w:ascii="黑体" w:hAnsi="宋体" w:eastAsia="黑体"/>
          <w:sz w:val="24"/>
        </w:rPr>
        <w:t>5．投标人参加政府采购的条件</w:t>
      </w:r>
    </w:p>
    <w:p>
      <w:pPr>
        <w:ind w:firstLine="411" w:firstLineChars="196"/>
        <w:rPr>
          <w:rFonts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r>
        <w:rPr>
          <w:rFonts w:hint="eastAsia" w:ascii="宋体" w:hAnsi="宋体"/>
          <w:szCs w:val="21"/>
          <w:lang w:val="en-US" w:eastAsia="zh-CN"/>
        </w:rPr>
        <w:t>。</w:t>
      </w:r>
      <w:r>
        <w:rPr>
          <w:rFonts w:hint="eastAsia" w:ascii="宋体" w:hAnsi="宋体"/>
          <w:szCs w:val="21"/>
        </w:rPr>
        <w:t>。</w:t>
      </w:r>
    </w:p>
    <w:p>
      <w:pPr>
        <w:ind w:firstLine="411" w:firstLineChars="196"/>
        <w:rPr>
          <w:rFonts w:ascii="宋体" w:hAnsi="宋体"/>
          <w:szCs w:val="21"/>
        </w:rPr>
      </w:pPr>
      <w:r>
        <w:rPr>
          <w:rFonts w:hint="eastAsia" w:ascii="宋体" w:hAnsi="宋体"/>
          <w:szCs w:val="21"/>
        </w:rPr>
        <w:t>5.2投标人资格要求</w:t>
      </w:r>
    </w:p>
    <w:p>
      <w:pPr>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“投标人资格要求”（即申请人的资格要求）的内容。</w:t>
      </w:r>
    </w:p>
    <w:p>
      <w:pPr>
        <w:ind w:firstLine="411" w:firstLineChars="196"/>
        <w:rPr>
          <w:rFonts w:ascii="宋体" w:hAnsi="宋体"/>
          <w:szCs w:val="21"/>
        </w:rPr>
      </w:pPr>
      <w:r>
        <w:rPr>
          <w:rFonts w:hint="eastAsia" w:ascii="宋体" w:hAnsi="宋体"/>
          <w:szCs w:val="21"/>
        </w:rPr>
        <w:t>5.3联合体投标</w:t>
      </w:r>
    </w:p>
    <w:p>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ind w:firstLine="411" w:firstLineChars="196"/>
        <w:rPr>
          <w:rFonts w:ascii="宋体" w:hAnsi="宋体"/>
        </w:rPr>
      </w:pPr>
      <w:r>
        <w:rPr>
          <w:rFonts w:hint="eastAsia" w:ascii="宋体" w:hAnsi="宋体"/>
        </w:rPr>
        <w:t>（1）投标联合体各方参加政府采购活动应当具备下列条件：</w:t>
      </w:r>
      <w:r>
        <w:rPr>
          <w:rFonts w:ascii="宋体" w:hAnsi="宋体"/>
        </w:rPr>
        <w:t xml:space="preserve"> </w:t>
      </w:r>
    </w:p>
    <w:p>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pPr>
        <w:ind w:left="420" w:leftChars="200" w:firstLine="411" w:firstLineChars="196"/>
        <w:rPr>
          <w:rFonts w:ascii="宋体" w:hAnsi="宋体"/>
        </w:rPr>
      </w:pPr>
      <w:r>
        <w:rPr>
          <w:rFonts w:hint="eastAsia" w:ascii="宋体" w:hAnsi="宋体"/>
        </w:rPr>
        <w:t>5、参加政府采购活动前三年内，在经营活动中没有重大违法记录；</w:t>
      </w:r>
      <w:r>
        <w:rPr>
          <w:rFonts w:ascii="宋体" w:hAnsi="宋体"/>
        </w:rPr>
        <w:t xml:space="preserve"> </w:t>
      </w:r>
    </w:p>
    <w:p>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pPr>
        <w:ind w:firstLine="411" w:firstLineChars="196"/>
        <w:rPr>
          <w:rFonts w:ascii="宋体" w:hAnsi="宋体"/>
        </w:rPr>
      </w:pPr>
      <w:r>
        <w:rPr>
          <w:rFonts w:hint="eastAsia" w:ascii="宋体" w:hAnsi="宋体"/>
        </w:rPr>
        <w:t>（2）在投标截止前，投标联合体各方均应注册成政府集中采购机构供应商；</w:t>
      </w:r>
    </w:p>
    <w:p>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pPr>
        <w:ind w:firstLine="411" w:firstLineChars="196"/>
        <w:rPr>
          <w:rFonts w:ascii="宋体" w:hAnsi="宋体"/>
        </w:rPr>
      </w:pPr>
      <w:r>
        <w:rPr>
          <w:rFonts w:hint="eastAsia" w:ascii="宋体" w:hAnsi="宋体"/>
        </w:rPr>
        <w:t>（5）投标人的投标文件及中标后签署的合同协议对联合体各方均具法律约束力；</w:t>
      </w:r>
    </w:p>
    <w:p>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11" w:firstLineChars="196"/>
        <w:rPr>
          <w:rFonts w:ascii="宋体" w:hAnsi="宋体"/>
          <w:szCs w:val="21"/>
        </w:rPr>
      </w:pPr>
      <w:r>
        <w:rPr>
          <w:rFonts w:hint="eastAsia" w:ascii="宋体" w:hAnsi="宋体"/>
        </w:rPr>
        <w:t>（9）本通用条款中“投标人”一词亦指联合体各方，专用条款另有规定或说明的除外。</w:t>
      </w:r>
    </w:p>
    <w:p>
      <w:pPr>
        <w:rPr>
          <w:rFonts w:ascii="黑体" w:hAnsi="宋体" w:eastAsia="黑体"/>
          <w:sz w:val="24"/>
        </w:rPr>
      </w:pPr>
      <w:r>
        <w:rPr>
          <w:rFonts w:hint="eastAsia" w:ascii="黑体" w:hAnsi="宋体" w:eastAsia="黑体"/>
          <w:sz w:val="24"/>
        </w:rPr>
        <w:t>6．政策导向</w:t>
      </w:r>
    </w:p>
    <w:p>
      <w:pPr>
        <w:ind w:firstLine="411" w:firstLineChars="196"/>
        <w:rPr>
          <w:rFonts w:ascii="宋体" w:hAnsi="宋体"/>
        </w:rPr>
      </w:pPr>
      <w:r>
        <w:rPr>
          <w:rFonts w:hint="eastAsia" w:ascii="宋体" w:hAnsi="宋体"/>
        </w:rPr>
        <w:t>6.1</w:t>
      </w:r>
      <w:r>
        <w:rPr>
          <w:rFonts w:ascii="宋体" w:hAnsi="宋体"/>
        </w:rPr>
        <w:t xml:space="preserve">  </w:t>
      </w:r>
      <w:r>
        <w:rPr>
          <w:rFonts w:hint="eastAsia" w:ascii="宋体" w:hAnsi="宋体"/>
        </w:rPr>
        <w:t>政府采购扶持贫困地区、中小企业、监狱企业和残疾人福利性单位发展，支持节能减排、环境保护。</w:t>
      </w:r>
    </w:p>
    <w:p>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pPr>
        <w:ind w:firstLine="405"/>
        <w:rPr>
          <w:rFonts w:hint="default" w:eastAsia="宋体"/>
          <w:lang w:val="en-US" w:eastAsia="zh-CN"/>
        </w:rPr>
      </w:pPr>
      <w:r>
        <w:rPr>
          <w:rFonts w:hint="eastAsia" w:ascii="宋体" w:hAnsi="宋体"/>
          <w:lang w:val="en-US" w:eastAsia="zh-CN"/>
        </w:rPr>
        <w:t>6.3  本项目支持投标人性别平等的相关政策。</w:t>
      </w:r>
    </w:p>
    <w:p>
      <w:pPr>
        <w:rPr>
          <w:rFonts w:ascii="黑体" w:hAnsi="宋体" w:eastAsia="黑体"/>
          <w:sz w:val="24"/>
        </w:rPr>
      </w:pPr>
      <w:r>
        <w:rPr>
          <w:rFonts w:hint="eastAsia" w:ascii="黑体" w:hAnsi="宋体" w:eastAsia="黑体"/>
          <w:sz w:val="24"/>
        </w:rPr>
        <w:t>7. 本项目若涉及采购货物，则合格的货物及相应服务应满足以下要求：</w:t>
      </w:r>
    </w:p>
    <w:p>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47"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47"/>
    </w:p>
    <w:p>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pPr>
        <w:rPr>
          <w:rFonts w:ascii="黑体" w:hAnsi="宋体" w:eastAsia="黑体"/>
          <w:sz w:val="24"/>
        </w:rPr>
      </w:pPr>
      <w:r>
        <w:rPr>
          <w:rFonts w:hint="eastAsia" w:ascii="黑体" w:hAnsi="宋体" w:eastAsia="黑体"/>
          <w:sz w:val="24"/>
        </w:rPr>
        <w:t>8．投标费用</w:t>
      </w:r>
    </w:p>
    <w:p>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pPr>
        <w:rPr>
          <w:rFonts w:ascii="黑体" w:hAnsi="宋体" w:eastAsia="黑体"/>
          <w:sz w:val="24"/>
        </w:rPr>
      </w:pPr>
      <w:r>
        <w:rPr>
          <w:rFonts w:hint="eastAsia" w:ascii="黑体" w:hAnsi="宋体" w:eastAsia="黑体"/>
          <w:sz w:val="24"/>
        </w:rPr>
        <w:t>9．踏勘现场</w:t>
      </w:r>
    </w:p>
    <w:p>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rPr>
      </w:pPr>
      <w:r>
        <w:rPr>
          <w:rFonts w:hint="eastAsia" w:ascii="宋体" w:hAnsi="宋体"/>
        </w:rPr>
        <w:t>9.3采购人应当通过政府集中采购机构向投标人提供有关现场的书面资料和数据。</w:t>
      </w:r>
    </w:p>
    <w:p>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pPr>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46"/>
    <w:p>
      <w:pPr>
        <w:ind w:firstLine="411" w:firstLineChars="196"/>
        <w:rPr>
          <w:rFonts w:ascii="宋体" w:hAnsi="宋体"/>
        </w:rPr>
      </w:pPr>
    </w:p>
    <w:p>
      <w:pPr>
        <w:pStyle w:val="4"/>
        <w:numPr>
          <w:ilvl w:val="0"/>
          <w:numId w:val="10"/>
        </w:numPr>
        <w:spacing w:before="120" w:beforeLines="50" w:after="120" w:afterLines="50"/>
        <w:ind w:left="562" w:hanging="562"/>
        <w:rPr>
          <w:sz w:val="28"/>
          <w:szCs w:val="28"/>
        </w:rPr>
      </w:pPr>
      <w:r>
        <w:rPr>
          <w:rFonts w:hint="eastAsia"/>
          <w:sz w:val="28"/>
          <w:szCs w:val="28"/>
        </w:rPr>
        <w:t>招标文件</w:t>
      </w:r>
    </w:p>
    <w:p>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48" w:name="_Hlk72399819"/>
      <w:r>
        <w:rPr>
          <w:rFonts w:hint="eastAsia" w:ascii="黑体" w:hAnsi="宋体" w:eastAsia="黑体"/>
          <w:sz w:val="24"/>
        </w:rPr>
        <w:t>招标文件的编制与组成</w:t>
      </w:r>
    </w:p>
    <w:p>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pPr>
        <w:ind w:firstLine="411" w:firstLineChars="196"/>
        <w:rPr>
          <w:rFonts w:ascii="宋体" w:hAnsi="宋体"/>
          <w:szCs w:val="21"/>
        </w:rPr>
      </w:pPr>
      <w:r>
        <w:rPr>
          <w:rFonts w:hint="eastAsia" w:ascii="宋体" w:hAnsi="宋体"/>
          <w:szCs w:val="21"/>
        </w:rPr>
        <w:t>招标文件包括下列内容：</w:t>
      </w:r>
    </w:p>
    <w:p>
      <w:pPr>
        <w:ind w:left="420" w:leftChars="200" w:firstLine="413" w:firstLineChars="196"/>
        <w:rPr>
          <w:rFonts w:ascii="宋体" w:hAnsi="宋体"/>
          <w:b/>
          <w:szCs w:val="21"/>
        </w:rPr>
      </w:pPr>
      <w:r>
        <w:rPr>
          <w:rFonts w:hint="eastAsia" w:ascii="宋体" w:hAnsi="宋体"/>
          <w:b/>
          <w:szCs w:val="21"/>
        </w:rPr>
        <w:t>第一册  专用条款</w:t>
      </w:r>
    </w:p>
    <w:p>
      <w:pPr>
        <w:ind w:left="1079" w:leftChars="514"/>
        <w:rPr>
          <w:rFonts w:ascii="宋体" w:hAnsi="宋体"/>
          <w:b/>
          <w:szCs w:val="21"/>
        </w:rPr>
      </w:pPr>
      <w:r>
        <w:rPr>
          <w:rFonts w:hint="eastAsia" w:ascii="宋体" w:hAnsi="宋体"/>
          <w:b/>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对通用条款的补充内容及其他关键信息</w:t>
      </w:r>
    </w:p>
    <w:p>
      <w:pPr>
        <w:ind w:left="630" w:leftChars="300" w:firstLine="411" w:firstLineChars="196"/>
        <w:rPr>
          <w:rFonts w:ascii="宋体" w:hAnsi="宋体"/>
          <w:szCs w:val="21"/>
        </w:rPr>
      </w:pPr>
      <w:r>
        <w:rPr>
          <w:rFonts w:hint="eastAsia" w:ascii="宋体" w:hAnsi="宋体"/>
          <w:szCs w:val="21"/>
        </w:rPr>
        <w:t>第三章  用户需求书</w:t>
      </w:r>
    </w:p>
    <w:p>
      <w:pPr>
        <w:ind w:left="630" w:leftChars="300" w:firstLine="411" w:firstLineChars="196"/>
        <w:rPr>
          <w:rFonts w:ascii="宋体" w:hAnsi="宋体"/>
          <w:szCs w:val="21"/>
        </w:rPr>
      </w:pPr>
      <w:r>
        <w:rPr>
          <w:rFonts w:hint="eastAsia"/>
        </w:rPr>
        <w:t xml:space="preserve">第四章 </w:t>
      </w:r>
      <w:r>
        <w:t xml:space="preserve"> </w:t>
      </w:r>
      <w:r>
        <w:rPr>
          <w:rFonts w:hint="eastAsia"/>
        </w:rPr>
        <w:t>投标文件格式及附件</w:t>
      </w:r>
    </w:p>
    <w:p>
      <w:pPr>
        <w:ind w:left="630" w:leftChars="300" w:firstLine="411" w:firstLineChars="196"/>
        <w:rPr>
          <w:rFonts w:ascii="宋体" w:hAnsi="宋体"/>
          <w:szCs w:val="21"/>
        </w:rPr>
      </w:pPr>
      <w:r>
        <w:rPr>
          <w:rFonts w:hint="eastAsia" w:ascii="宋体" w:hAnsi="宋体"/>
          <w:szCs w:val="21"/>
        </w:rPr>
        <w:t>第五章  合同条款及格式</w:t>
      </w:r>
    </w:p>
    <w:p>
      <w:pPr>
        <w:ind w:left="420" w:leftChars="200" w:firstLine="413" w:firstLineChars="196"/>
        <w:rPr>
          <w:rFonts w:ascii="宋体" w:hAnsi="宋体"/>
          <w:b/>
          <w:szCs w:val="21"/>
        </w:rPr>
      </w:pPr>
      <w:r>
        <w:rPr>
          <w:rFonts w:hint="eastAsia" w:ascii="宋体" w:hAnsi="宋体"/>
          <w:b/>
          <w:szCs w:val="21"/>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评审要求</w:t>
      </w:r>
    </w:p>
    <w:p>
      <w:pPr>
        <w:ind w:left="630" w:leftChars="300" w:firstLine="411" w:firstLineChars="196"/>
        <w:rPr>
          <w:rFonts w:ascii="宋体" w:hAnsi="宋体"/>
          <w:szCs w:val="21"/>
        </w:rPr>
      </w:pPr>
      <w:r>
        <w:rPr>
          <w:rFonts w:hint="eastAsia" w:ascii="宋体" w:hAnsi="宋体"/>
          <w:szCs w:val="21"/>
        </w:rPr>
        <w:t>第七章  评审程序及评审方法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公开招标失败的后续处理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pPr>
        <w:ind w:left="630" w:leftChars="300" w:firstLine="411" w:firstLineChars="196"/>
        <w:rPr>
          <w:rFonts w:ascii="宋体" w:hAnsi="宋体"/>
          <w:szCs w:val="21"/>
        </w:rPr>
      </w:pPr>
      <w:r>
        <w:rPr>
          <w:rFonts w:hint="eastAsia" w:ascii="宋体" w:hAnsi="宋体"/>
          <w:szCs w:val="21"/>
        </w:rPr>
        <w:t>第十一章  质疑处理</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11" w:firstLineChars="196"/>
        <w:rPr>
          <w:rFonts w:hint="eastAsia" w:ascii="宋体" w:hAnsi="宋体"/>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pStyle w:val="2"/>
        <w:ind w:firstLine="420" w:firstLineChars="200"/>
      </w:pPr>
      <w:r>
        <w:rPr>
          <w:rFonts w:hint="eastAsia" w:ascii="宋体" w:hAnsi="宋体" w:eastAsia="宋体" w:cs="Times New Roman"/>
          <w:b w:val="0"/>
          <w:bCs w:val="0"/>
          <w:kern w:val="2"/>
          <w:sz w:val="21"/>
          <w:szCs w:val="24"/>
          <w:lang w:val="en-US" w:eastAsia="zh-CN" w:bidi="ar-SA"/>
        </w:rPr>
        <w:t>11.4</w:t>
      </w:r>
      <w:r>
        <w:rPr>
          <w:rFonts w:hint="eastAsia" w:ascii="宋体" w:hAnsi="宋体" w:cs="Times New Roman"/>
          <w:b w:val="0"/>
          <w:bCs w:val="0"/>
          <w:kern w:val="2"/>
          <w:sz w:val="21"/>
          <w:szCs w:val="24"/>
          <w:lang w:val="en-US" w:eastAsia="zh-CN" w:bidi="ar-SA"/>
        </w:rPr>
        <w:t>招标文件所称“原件</w:t>
      </w:r>
      <w:r>
        <w:rPr>
          <w:rFonts w:hint="eastAsia" w:ascii="宋体" w:hAnsi="宋体" w:eastAsia="宋体" w:cs="Times New Roman"/>
          <w:b w:val="0"/>
          <w:bCs w:val="0"/>
          <w:kern w:val="2"/>
          <w:sz w:val="21"/>
          <w:szCs w:val="24"/>
          <w:lang w:val="en-US" w:eastAsia="zh-CN" w:bidi="ar-SA"/>
        </w:rPr>
        <w:t>备查</w:t>
      </w:r>
      <w:r>
        <w:rPr>
          <w:rFonts w:hint="eastAsia" w:ascii="宋体" w:hAnsi="宋体" w:cs="Times New Roman"/>
          <w:b w:val="0"/>
          <w:bCs w:val="0"/>
          <w:kern w:val="2"/>
          <w:sz w:val="21"/>
          <w:szCs w:val="24"/>
          <w:lang w:val="en-US" w:eastAsia="zh-CN" w:bidi="ar-SA"/>
        </w:rPr>
        <w:t>”，</w:t>
      </w:r>
      <w:r>
        <w:rPr>
          <w:rFonts w:hint="eastAsia" w:ascii="宋体" w:hAnsi="宋体" w:eastAsia="宋体" w:cs="Times New Roman"/>
          <w:b w:val="0"/>
          <w:bCs w:val="0"/>
          <w:kern w:val="2"/>
          <w:sz w:val="21"/>
          <w:szCs w:val="24"/>
          <w:lang w:val="en-US" w:eastAsia="zh-CN" w:bidi="ar-SA"/>
        </w:rPr>
        <w:t>是指在项目产生质疑、投诉等阶段，主管部门、采购人、代理机构、评审委员会等可以要求供应商提供原件进行核查。</w:t>
      </w:r>
    </w:p>
    <w:p>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48"/>
    </w:p>
    <w:p>
      <w:pPr>
        <w:rPr>
          <w:rFonts w:ascii="宋体" w:hAnsi="宋体"/>
          <w:szCs w:val="21"/>
        </w:rPr>
      </w:pPr>
    </w:p>
    <w:p>
      <w:pPr>
        <w:pStyle w:val="4"/>
        <w:numPr>
          <w:ilvl w:val="0"/>
          <w:numId w:val="10"/>
        </w:numPr>
        <w:spacing w:before="120" w:beforeLines="50" w:after="120" w:afterLines="50"/>
        <w:ind w:left="562" w:hanging="562"/>
        <w:rPr>
          <w:sz w:val="28"/>
          <w:szCs w:val="28"/>
        </w:rPr>
      </w:pPr>
      <w:r>
        <w:rPr>
          <w:rFonts w:hint="eastAsia"/>
          <w:sz w:val="28"/>
          <w:szCs w:val="28"/>
        </w:rPr>
        <w:t>投标文件的编制</w:t>
      </w:r>
    </w:p>
    <w:p>
      <w:pPr>
        <w:rPr>
          <w:rFonts w:ascii="黑体" w:hAnsi="宋体" w:eastAsia="黑体"/>
          <w:sz w:val="24"/>
        </w:rPr>
      </w:pPr>
      <w:r>
        <w:rPr>
          <w:rFonts w:hint="eastAsia" w:ascii="黑体" w:hAnsi="宋体" w:eastAsia="黑体"/>
          <w:sz w:val="24"/>
        </w:rPr>
        <w:t>14．</w:t>
      </w:r>
      <w:bookmarkStart w:id="49" w:name="_Hlk72400236"/>
      <w:r>
        <w:rPr>
          <w:rFonts w:hint="eastAsia" w:ascii="黑体" w:hAnsi="宋体" w:eastAsia="黑体"/>
          <w:sz w:val="24"/>
        </w:rPr>
        <w:t>投标文件的语言及度量单位</w:t>
      </w:r>
    </w:p>
    <w:p>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w:t>
      </w:r>
    </w:p>
    <w:p>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49"/>
    <w:p>
      <w:pPr>
        <w:rPr>
          <w:rFonts w:ascii="黑体" w:hAnsi="宋体" w:eastAsia="黑体"/>
          <w:sz w:val="24"/>
        </w:rPr>
      </w:pPr>
      <w:r>
        <w:rPr>
          <w:rFonts w:hint="eastAsia" w:ascii="黑体" w:hAnsi="宋体" w:eastAsia="黑体"/>
          <w:sz w:val="24"/>
        </w:rPr>
        <w:t>15．</w:t>
      </w:r>
      <w:bookmarkStart w:id="50" w:name="_Hlk72401567"/>
      <w:r>
        <w:rPr>
          <w:rFonts w:hint="eastAsia" w:ascii="黑体" w:hAnsi="宋体" w:eastAsia="黑体"/>
          <w:sz w:val="24"/>
        </w:rPr>
        <w:t>投标文件的组成</w:t>
      </w:r>
    </w:p>
    <w:p>
      <w:pPr>
        <w:ind w:firstLine="411" w:firstLineChars="196"/>
        <w:rPr>
          <w:rFonts w:ascii="宋体" w:hAnsi="宋体"/>
          <w:szCs w:val="21"/>
        </w:rPr>
      </w:pPr>
      <w:r>
        <w:rPr>
          <w:rFonts w:hint="eastAsia" w:ascii="宋体" w:hAnsi="宋体"/>
          <w:szCs w:val="21"/>
        </w:rPr>
        <w:t>具体内容在招标文件专用条款中进行规定。</w:t>
      </w:r>
    </w:p>
    <w:p>
      <w:pPr>
        <w:rPr>
          <w:rFonts w:ascii="黑体" w:hAnsi="宋体" w:eastAsia="黑体"/>
          <w:sz w:val="24"/>
        </w:rPr>
      </w:pPr>
      <w:r>
        <w:rPr>
          <w:rFonts w:ascii="黑体" w:hAnsi="宋体" w:eastAsia="黑体"/>
          <w:sz w:val="24"/>
        </w:rPr>
        <w:t>16．投标文件格式</w:t>
      </w:r>
    </w:p>
    <w:p>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pPr>
        <w:rPr>
          <w:rFonts w:ascii="黑体" w:hAnsi="宋体" w:eastAsia="黑体"/>
          <w:sz w:val="24"/>
        </w:rPr>
      </w:pPr>
      <w:r>
        <w:rPr>
          <w:rFonts w:hint="eastAsia" w:ascii="黑体" w:hAnsi="宋体" w:eastAsia="黑体"/>
          <w:sz w:val="24"/>
        </w:rPr>
        <w:t>17．投标货币</w:t>
      </w:r>
    </w:p>
    <w:p>
      <w:pPr>
        <w:ind w:firstLine="411" w:firstLineChars="196"/>
        <w:rPr>
          <w:rFonts w:ascii="宋体" w:hAnsi="宋体"/>
          <w:szCs w:val="21"/>
        </w:rPr>
      </w:pPr>
      <w:r>
        <w:rPr>
          <w:rFonts w:hint="eastAsia" w:ascii="宋体" w:hAnsi="宋体"/>
          <w:szCs w:val="21"/>
        </w:rPr>
        <w:t>本项目的投标报价应以人民币计。</w:t>
      </w:r>
    </w:p>
    <w:bookmarkEnd w:id="50"/>
    <w:p>
      <w:pPr>
        <w:rPr>
          <w:rFonts w:ascii="黑体" w:hAnsi="宋体" w:eastAsia="黑体"/>
          <w:sz w:val="24"/>
        </w:rPr>
      </w:pPr>
      <w:r>
        <w:rPr>
          <w:rFonts w:hint="eastAsia" w:ascii="黑体" w:hAnsi="宋体" w:eastAsia="黑体"/>
          <w:sz w:val="24"/>
        </w:rPr>
        <w:t>18．</w:t>
      </w:r>
      <w:bookmarkStart w:id="51" w:name="_Hlk72401735"/>
      <w:r>
        <w:rPr>
          <w:rFonts w:hint="eastAsia" w:ascii="黑体" w:hAnsi="宋体" w:eastAsia="黑体"/>
          <w:sz w:val="24"/>
        </w:rPr>
        <w:t>证明投标文件投标技术方案的合格性和符合招标文件规定的文件要求</w:t>
      </w:r>
    </w:p>
    <w:p>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ascii="宋体" w:hAnsi="宋体"/>
          <w:szCs w:val="21"/>
        </w:rPr>
      </w:pPr>
      <w:r>
        <w:rPr>
          <w:rFonts w:hint="eastAsia" w:ascii="宋体" w:hAnsi="宋体"/>
          <w:szCs w:val="21"/>
        </w:rPr>
        <w:t>18.2.1主要技术指标和性能的详细说明。</w:t>
      </w:r>
    </w:p>
    <w:p>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51"/>
    <w:p>
      <w:pPr>
        <w:rPr>
          <w:rFonts w:ascii="黑体" w:hAnsi="宋体" w:eastAsia="黑体"/>
          <w:sz w:val="24"/>
        </w:rPr>
      </w:pPr>
      <w:r>
        <w:rPr>
          <w:rFonts w:hint="eastAsia" w:ascii="黑体" w:hAnsi="宋体" w:eastAsia="黑体"/>
          <w:sz w:val="24"/>
        </w:rPr>
        <w:t>19．</w:t>
      </w:r>
      <w:bookmarkStart w:id="52" w:name="_Hlk72402034"/>
      <w:r>
        <w:rPr>
          <w:rFonts w:hint="eastAsia" w:ascii="黑体" w:hAnsi="宋体" w:eastAsia="黑体"/>
          <w:sz w:val="24"/>
        </w:rPr>
        <w:t>投标文件其他证明文件的要求</w:t>
      </w:r>
    </w:p>
    <w:p>
      <w:pPr>
        <w:rPr>
          <w:rFonts w:ascii="宋体" w:hAnsi="宋体"/>
          <w:color w:val="FF0000"/>
          <w:szCs w:val="21"/>
        </w:rPr>
      </w:pPr>
      <w:r>
        <w:rPr>
          <w:rFonts w:hint="eastAsia" w:ascii="黑体" w:hAnsi="宋体" w:eastAsia="黑体"/>
          <w:sz w:val="24"/>
        </w:rPr>
        <w:t xml:space="preserve">    </w:t>
      </w: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w:t>
      </w:r>
      <w:bookmarkStart w:id="53" w:name="_Hlk71407299"/>
      <w:r>
        <w:rPr>
          <w:rFonts w:hint="eastAsia" w:ascii="宋体" w:hAnsi="宋体"/>
          <w:szCs w:val="21"/>
        </w:rPr>
        <w:t>若投标人未按要求提供证明材料或提供的是部分证明材料或提供不清晰的扫描件（或照片）的，采购人</w:t>
      </w:r>
      <w:r>
        <w:rPr>
          <w:rFonts w:hint="eastAsia" w:ascii="宋体" w:hAnsi="宋体"/>
          <w:szCs w:val="21"/>
          <w:lang w:eastAsia="zh-CN"/>
        </w:rPr>
        <w:t>、</w:t>
      </w:r>
      <w:r>
        <w:rPr>
          <w:rFonts w:hint="eastAsia" w:ascii="宋体" w:hAnsi="宋体"/>
          <w:szCs w:val="21"/>
        </w:rPr>
        <w:t>代理机构</w:t>
      </w:r>
      <w:r>
        <w:rPr>
          <w:rFonts w:hint="eastAsia" w:ascii="宋体" w:hAnsi="宋体"/>
          <w:szCs w:val="21"/>
          <w:lang w:val="en-US" w:eastAsia="zh-CN"/>
        </w:rPr>
        <w:t>以及</w:t>
      </w:r>
      <w:r>
        <w:rPr>
          <w:rFonts w:hint="eastAsia" w:ascii="宋体" w:hAnsi="宋体"/>
          <w:szCs w:val="21"/>
        </w:rPr>
        <w:t>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53"/>
    <w:p>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黑体" w:hAnsi="宋体" w:eastAsia="黑体"/>
          <w:sz w:val="24"/>
        </w:rPr>
      </w:pPr>
      <w:r>
        <w:rPr>
          <w:rFonts w:hint="eastAsia" w:ascii="黑体" w:hAnsi="宋体" w:eastAsia="黑体"/>
          <w:sz w:val="24"/>
        </w:rPr>
        <w:t>20．投标有效期</w:t>
      </w:r>
    </w:p>
    <w:bookmarkEnd w:id="52"/>
    <w:p>
      <w:pPr>
        <w:ind w:firstLine="411" w:firstLineChars="196"/>
        <w:rPr>
          <w:rFonts w:ascii="宋体" w:hAnsi="宋体"/>
          <w:szCs w:val="21"/>
        </w:rPr>
      </w:pPr>
      <w:bookmarkStart w:id="54"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54"/>
    <w:p>
      <w:pPr>
        <w:rPr>
          <w:rFonts w:ascii="黑体" w:hAnsi="宋体" w:eastAsia="黑体"/>
          <w:sz w:val="24"/>
        </w:rPr>
      </w:pPr>
      <w:r>
        <w:rPr>
          <w:rFonts w:hint="eastAsia" w:ascii="黑体" w:hAnsi="宋体" w:eastAsia="黑体"/>
          <w:sz w:val="24"/>
        </w:rPr>
        <w:t>21．</w:t>
      </w:r>
      <w:bookmarkStart w:id="55" w:name="_Hlk72402325"/>
      <w:r>
        <w:rPr>
          <w:rFonts w:hint="eastAsia" w:ascii="黑体" w:hAnsi="宋体" w:eastAsia="黑体"/>
          <w:sz w:val="24"/>
        </w:rPr>
        <w:t xml:space="preserve">关于投标保证金 </w:t>
      </w:r>
    </w:p>
    <w:p>
      <w:pPr>
        <w:rPr>
          <w:rFonts w:ascii="宋体" w:hAnsi="宋体"/>
          <w:szCs w:val="21"/>
        </w:rPr>
      </w:pPr>
      <w:r>
        <w:rPr>
          <w:rFonts w:hint="eastAsia" w:ascii="宋体" w:hAnsi="宋体"/>
          <w:szCs w:val="21"/>
        </w:rPr>
        <w:t xml:space="preserve">    21.1 </w:t>
      </w:r>
      <w:r>
        <w:rPr>
          <w:rFonts w:hint="eastAsia"/>
        </w:rPr>
        <w:t>根据《深圳市财政局关于调整政府采购投标（响应）保证金管理政策的通知》（深财购〔2021〕51号）文的规定，本项目不收取投标保证金。</w:t>
      </w:r>
    </w:p>
    <w:p>
      <w:pPr>
        <w:rPr>
          <w:rFonts w:ascii="黑体" w:hAnsi="宋体" w:eastAsia="黑体"/>
          <w:sz w:val="24"/>
        </w:rPr>
      </w:pPr>
      <w:r>
        <w:rPr>
          <w:rFonts w:hint="eastAsia" w:ascii="黑体" w:hAnsi="宋体" w:eastAsia="黑体"/>
          <w:sz w:val="24"/>
        </w:rPr>
        <w:t>22．投标人的替代方案</w:t>
      </w:r>
    </w:p>
    <w:p>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55"/>
    <w:p>
      <w:pPr>
        <w:rPr>
          <w:rFonts w:ascii="黑体" w:hAnsi="宋体" w:eastAsia="黑体"/>
          <w:sz w:val="24"/>
        </w:rPr>
      </w:pPr>
      <w:r>
        <w:rPr>
          <w:rFonts w:hint="eastAsia" w:ascii="黑体" w:hAnsi="宋体" w:eastAsia="黑体"/>
          <w:sz w:val="24"/>
        </w:rPr>
        <w:t>23．</w:t>
      </w:r>
      <w:bookmarkStart w:id="56"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pPr>
        <w:ind w:firstLine="411" w:firstLineChars="196"/>
        <w:rPr>
          <w:rFonts w:hint="eastAsia" w:ascii="宋体" w:hAnsi="宋体"/>
        </w:rPr>
      </w:pPr>
      <w:r>
        <w:rPr>
          <w:rFonts w:hint="eastAsia" w:ascii="宋体" w:hAnsi="宋体"/>
        </w:rPr>
        <w:t>23.1投标人应准备所投项目的电子投标文件一份。此电子投标文件须由投标人根据政府集中采购机构提供的后缀名为</w:t>
      </w:r>
      <w:r>
        <w:rPr>
          <w:rFonts w:ascii="宋体" w:hAnsi="宋体" w:eastAsia="宋体" w:cs="宋体"/>
          <w:sz w:val="24"/>
          <w:szCs w:val="24"/>
        </w:rPr>
        <w:t>.TYZB</w:t>
      </w:r>
      <w:r>
        <w:rPr>
          <w:rFonts w:hint="eastAsia" w:ascii="宋体" w:hAnsi="宋体"/>
          <w:highlight w:val="none"/>
        </w:rPr>
        <w:t>的电子招标文件，下载并使用相应的深圳政府采购自行采购系统投标文件制作专用软件打开招标文件（</w:t>
      </w:r>
      <w:r>
        <w:rPr>
          <w:rFonts w:ascii="宋体" w:hAnsi="宋体" w:eastAsia="宋体" w:cs="宋体"/>
          <w:sz w:val="24"/>
          <w:szCs w:val="24"/>
        </w:rPr>
        <w:t>.TYZB</w:t>
      </w:r>
      <w:r>
        <w:rPr>
          <w:rFonts w:hint="eastAsia" w:ascii="宋体" w:hAnsi="宋体"/>
          <w:highlight w:val="none"/>
        </w:rPr>
        <w:t>格式）【下载地址：</w:t>
      </w:r>
      <w:r>
        <w:rPr>
          <w:rFonts w:hint="eastAsia" w:ascii="宋体" w:hAnsi="宋体"/>
          <w:highlight w:val="none"/>
        </w:rPr>
        <w:fldChar w:fldCharType="begin"/>
      </w:r>
      <w:r>
        <w:rPr>
          <w:rFonts w:hint="eastAsia" w:ascii="宋体" w:hAnsi="宋体"/>
          <w:highlight w:val="none"/>
        </w:rPr>
        <w:instrText xml:space="preserve"> HYPERLINK "https://www.szggzy.com/jyfw/details.html?contentId=2053275】。" </w:instrText>
      </w:r>
      <w:r>
        <w:rPr>
          <w:rFonts w:hint="eastAsia" w:ascii="宋体" w:hAnsi="宋体"/>
          <w:highlight w:val="none"/>
        </w:rPr>
        <w:fldChar w:fldCharType="separate"/>
      </w:r>
      <w:r>
        <w:rPr>
          <w:rStyle w:val="48"/>
          <w:rFonts w:hint="eastAsia" w:ascii="宋体" w:hAnsi="宋体"/>
          <w:highlight w:val="none"/>
        </w:rPr>
        <w:t>https://www.szggzy.com/jyfw/details.html?contentId=2053275】。</w:t>
      </w:r>
      <w:r>
        <w:rPr>
          <w:rFonts w:hint="eastAsia" w:ascii="宋体" w:hAnsi="宋体"/>
          <w:highlight w:val="none"/>
        </w:rPr>
        <w:fldChar w:fldCharType="end"/>
      </w:r>
    </w:p>
    <w:p>
      <w:pPr>
        <w:ind w:firstLine="411" w:firstLineChars="196"/>
        <w:rPr>
          <w:rFonts w:ascii="宋体" w:hAnsi="宋体"/>
        </w:rPr>
      </w:pPr>
      <w:r>
        <w:rPr>
          <w:rFonts w:hint="eastAsia" w:ascii="宋体" w:hAnsi="宋体"/>
        </w:rPr>
        <w:t>23.2投标人在使用《投标书编制软件》编制投标书时须注意：</w:t>
      </w:r>
    </w:p>
    <w:p>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pPr>
        <w:ind w:firstLine="411" w:firstLineChars="196"/>
        <w:rPr>
          <w:rFonts w:ascii="宋体" w:hAnsi="宋体"/>
        </w:rPr>
      </w:pPr>
      <w:r>
        <w:rPr>
          <w:rFonts w:hint="eastAsia" w:ascii="宋体" w:hAnsi="宋体"/>
        </w:rPr>
        <w:t>23.2.5完整填写“投标关键信息”</w:t>
      </w:r>
      <w:r>
        <w:rPr>
          <w:rFonts w:hint="eastAsia" w:ascii="宋体" w:hAnsi="宋体"/>
          <w:lang w:eastAsia="zh-CN"/>
        </w:rPr>
        <w:t>。</w:t>
      </w:r>
    </w:p>
    <w:p>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pPr>
        <w:ind w:firstLine="411" w:firstLineChars="196"/>
        <w:rPr>
          <w:rFonts w:ascii="宋体" w:hAnsi="宋体"/>
        </w:rPr>
      </w:pPr>
      <w:r>
        <w:rPr>
          <w:rFonts w:hint="eastAsia" w:ascii="宋体" w:hAnsi="宋体"/>
        </w:rPr>
        <w:t>23.2.7投标文件编写完成后，</w:t>
      </w:r>
      <w:r>
        <w:rPr>
          <w:rFonts w:hint="eastAsia" w:ascii="宋体" w:hAnsi="宋体"/>
          <w:b/>
        </w:rPr>
        <w:t>必须用属于投标人的电子密钥</w:t>
      </w:r>
      <w:r>
        <w:rPr>
          <w:rFonts w:hint="eastAsia" w:ascii="宋体" w:hAnsi="宋体"/>
          <w:b/>
          <w:lang w:val="en-US" w:eastAsia="zh-CN"/>
        </w:rPr>
        <w:t>或电子营业执照</w:t>
      </w:r>
      <w:r>
        <w:rPr>
          <w:rFonts w:hint="eastAsia" w:ascii="宋体" w:hAnsi="宋体"/>
          <w:b/>
        </w:rPr>
        <w:t>进行加密，否则视同未盖公章，将导致投标文件无效。</w:t>
      </w:r>
    </w:p>
    <w:p>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pPr>
        <w:ind w:firstLine="411" w:firstLineChars="196"/>
        <w:rPr>
          <w:rFonts w:ascii="宋体" w:hAnsi="宋体"/>
        </w:rPr>
      </w:pPr>
      <w:r>
        <w:rPr>
          <w:rFonts w:hint="eastAsia" w:ascii="宋体" w:hAnsi="宋体"/>
        </w:rPr>
        <w:t>23.3电报、电话、传真形式的投标概不接受。</w:t>
      </w:r>
    </w:p>
    <w:p>
      <w:pPr>
        <w:ind w:firstLine="413" w:firstLineChars="196"/>
        <w:rPr>
          <w:rFonts w:ascii="宋体" w:hAnsi="宋体"/>
          <w:b/>
        </w:rPr>
      </w:pPr>
      <w:r>
        <w:rPr>
          <w:rFonts w:hint="eastAsia" w:ascii="宋体" w:hAnsi="宋体"/>
          <w:b/>
        </w:rPr>
        <w:t>23.4经投标人电子密钥</w:t>
      </w:r>
      <w:r>
        <w:rPr>
          <w:rFonts w:hint="eastAsia" w:ascii="宋体" w:hAnsi="宋体"/>
          <w:b/>
          <w:lang w:val="en-US" w:eastAsia="zh-CN"/>
        </w:rPr>
        <w:t>或电子营业执照</w:t>
      </w:r>
      <w:r>
        <w:rPr>
          <w:rFonts w:hint="eastAsia" w:ascii="宋体" w:hAnsi="宋体"/>
          <w:b/>
        </w:rPr>
        <w:t>加密的投标文件无须盖章或签字，</w:t>
      </w:r>
      <w:r>
        <w:rPr>
          <w:rFonts w:hint="eastAsia" w:ascii="宋体" w:hAnsi="宋体"/>
        </w:rPr>
        <w:t>专用条款另有要求的除外。</w:t>
      </w:r>
    </w:p>
    <w:p>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56"/>
    </w:p>
    <w:p>
      <w:pPr>
        <w:ind w:firstLine="411" w:firstLineChars="196"/>
        <w:rPr>
          <w:rFonts w:ascii="宋体" w:hAnsi="宋体"/>
          <w:szCs w:val="21"/>
        </w:rPr>
      </w:pPr>
    </w:p>
    <w:p>
      <w:pPr>
        <w:pStyle w:val="4"/>
        <w:numPr>
          <w:ilvl w:val="0"/>
          <w:numId w:val="10"/>
        </w:numPr>
        <w:spacing w:before="120" w:beforeLines="50" w:after="120" w:afterLines="50"/>
        <w:ind w:left="562" w:hanging="562"/>
        <w:rPr>
          <w:sz w:val="28"/>
          <w:szCs w:val="28"/>
        </w:rPr>
      </w:pPr>
      <w:r>
        <w:rPr>
          <w:rFonts w:hint="eastAsia"/>
          <w:sz w:val="28"/>
          <w:szCs w:val="28"/>
        </w:rPr>
        <w:t>投标文件的递交</w:t>
      </w:r>
    </w:p>
    <w:p>
      <w:pPr>
        <w:rPr>
          <w:rFonts w:ascii="黑体" w:hAnsi="宋体" w:eastAsia="黑体"/>
          <w:sz w:val="24"/>
        </w:rPr>
      </w:pPr>
      <w:bookmarkStart w:id="57" w:name="_Hlk72405459"/>
      <w:r>
        <w:rPr>
          <w:rFonts w:hint="eastAsia" w:ascii="黑体" w:hAnsi="宋体" w:eastAsia="黑体"/>
          <w:sz w:val="24"/>
        </w:rPr>
        <w:t>24．投标文件的保密</w:t>
      </w:r>
    </w:p>
    <w:p>
      <w:pPr>
        <w:spacing w:line="276" w:lineRule="auto"/>
        <w:ind w:firstLine="422" w:firstLineChars="200"/>
        <w:rPr>
          <w:rFonts w:hint="eastAsia"/>
          <w:b/>
          <w:bCs/>
        </w:rPr>
      </w:pPr>
      <w:r>
        <w:rPr>
          <w:rFonts w:hint="eastAsia"/>
          <w:b/>
          <w:bCs/>
        </w:rPr>
        <w:t xml:space="preserve">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 </w:t>
      </w:r>
    </w:p>
    <w:p>
      <w:pPr>
        <w:spacing w:line="276" w:lineRule="auto"/>
        <w:ind w:firstLine="422" w:firstLineChars="200"/>
        <w:rPr>
          <w:b/>
        </w:rPr>
      </w:pPr>
      <w:r>
        <w:rPr>
          <w:b/>
        </w:rPr>
        <w:t>24.2若采购项目出现延期情况：</w:t>
      </w:r>
    </w:p>
    <w:p>
      <w:pPr>
        <w:spacing w:line="276" w:lineRule="auto"/>
        <w:ind w:firstLine="422" w:firstLineChars="200"/>
        <w:rPr>
          <w:rFonts w:ascii="Times New Roman" w:hAnsi="Times New Roman" w:eastAsia="黑体" w:cs="Times New Roman"/>
          <w:b/>
          <w:sz w:val="24"/>
          <w:szCs w:val="24"/>
        </w:rPr>
      </w:pPr>
      <w:r>
        <w:rPr>
          <w:rFonts w:ascii="Times New Roman" w:hAnsi="Times New Roman" w:eastAsia="宋体" w:cs="Times New Roman"/>
          <w:b/>
          <w:szCs w:val="24"/>
        </w:rPr>
        <w:t>如果供下载的招标文件有更新，投标人必须重新下载招标文件、重新制作投标文件、重新加密投标文件、重新上传投标文件。</w:t>
      </w:r>
    </w:p>
    <w:p>
      <w:pPr>
        <w:spacing w:line="276" w:lineRule="auto"/>
        <w:rPr>
          <w:rFonts w:eastAsia="黑体"/>
          <w:sz w:val="24"/>
        </w:rPr>
      </w:pPr>
      <w:r>
        <w:rPr>
          <w:rFonts w:eastAsia="黑体"/>
          <w:sz w:val="24"/>
        </w:rPr>
        <w:t>25．上传投标文件及投标截止日期</w:t>
      </w:r>
    </w:p>
    <w:p>
      <w:pPr>
        <w:ind w:firstLine="411" w:firstLineChars="196"/>
        <w:rPr>
          <w:rFonts w:hint="eastAsia" w:ascii="宋体" w:hAnsi="宋体"/>
        </w:rPr>
      </w:pPr>
      <w:r>
        <w:t>25.1</w:t>
      </w:r>
      <w:r>
        <w:rPr>
          <w:b/>
          <w:bCs/>
        </w:rPr>
        <w:t>实行网上投标，</w:t>
      </w:r>
      <w:r>
        <w:rPr>
          <w:rFonts w:hint="eastAsia"/>
          <w:b/>
          <w:bCs/>
        </w:rPr>
        <w:t>投标人必须在招标文件规定的投标截止时间前用电子密钥登录“深圳市自行采购系统（https://trade.szggzy.com/ggzy/center/#/login）”上传投标文件。如上传过程中遇到问题，可拨打采购公告中的技术支持电话，联系方式：0755-36568999 1转7（按1再转7）。</w:t>
      </w:r>
    </w:p>
    <w:p>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pPr>
        <w:ind w:firstLine="411" w:firstLineChars="196"/>
        <w:rPr>
          <w:rFonts w:ascii="宋体" w:hAnsi="宋体"/>
        </w:rPr>
      </w:pPr>
    </w:p>
    <w:bookmarkEnd w:id="57"/>
    <w:p>
      <w:pPr>
        <w:rPr>
          <w:rFonts w:ascii="黑体" w:hAnsi="宋体" w:eastAsia="黑体"/>
          <w:sz w:val="24"/>
        </w:rPr>
      </w:pPr>
      <w:r>
        <w:rPr>
          <w:rFonts w:hint="eastAsia" w:ascii="黑体" w:hAnsi="宋体" w:eastAsia="黑体"/>
          <w:sz w:val="24"/>
        </w:rPr>
        <w:t>26. 样品、现场演示、方案讲解</w:t>
      </w:r>
    </w:p>
    <w:p>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pPr>
        <w:rPr>
          <w:rFonts w:ascii="黑体" w:hAnsi="宋体" w:eastAsia="黑体"/>
          <w:sz w:val="24"/>
        </w:rPr>
      </w:pPr>
      <w:bookmarkStart w:id="58"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58"/>
    <w:p>
      <w:pPr>
        <w:pStyle w:val="4"/>
        <w:numPr>
          <w:ilvl w:val="0"/>
          <w:numId w:val="10"/>
        </w:numPr>
        <w:spacing w:before="120" w:beforeLines="50" w:after="120" w:afterLines="50"/>
        <w:ind w:left="562" w:hanging="562"/>
        <w:rPr>
          <w:sz w:val="28"/>
          <w:szCs w:val="28"/>
        </w:rPr>
      </w:pPr>
      <w:r>
        <w:rPr>
          <w:rFonts w:hint="eastAsia"/>
          <w:sz w:val="28"/>
          <w:szCs w:val="28"/>
        </w:rPr>
        <w:t>开标</w:t>
      </w:r>
    </w:p>
    <w:p>
      <w:pPr>
        <w:rPr>
          <w:rFonts w:ascii="黑体" w:hAnsi="宋体" w:eastAsia="黑体"/>
          <w:sz w:val="24"/>
        </w:rPr>
      </w:pPr>
      <w:r>
        <w:rPr>
          <w:rFonts w:hint="eastAsia" w:ascii="黑体" w:hAnsi="宋体" w:eastAsia="黑体"/>
          <w:sz w:val="24"/>
        </w:rPr>
        <w:t>28．开标</w:t>
      </w:r>
    </w:p>
    <w:p>
      <w:pPr>
        <w:ind w:firstLine="315" w:firstLineChars="150"/>
        <w:rPr>
          <w:rFonts w:hint="eastAsia" w:ascii="宋体" w:hAnsi="宋体"/>
          <w:szCs w:val="21"/>
        </w:rPr>
      </w:pPr>
      <w:r>
        <w:rPr>
          <w:szCs w:val="21"/>
        </w:rPr>
        <w:t>28.1</w:t>
      </w:r>
      <w:r>
        <w:rPr>
          <w:rFonts w:hint="eastAsia"/>
          <w:b/>
          <w:bCs/>
        </w:rPr>
        <w:t>投标人须在开标当日的开标时间至解密截止时间内进行解密，逾期未解密的作无效处理。解密方法：登录“深圳市自行采购系统（https://trade.szggzy.com/ggzy/center/#/login）”，使用本单位制作电子投标文件同一个电子密钥进行在线解密、查询开标情况。</w:t>
      </w:r>
    </w:p>
    <w:p>
      <w:pPr>
        <w:ind w:firstLine="315" w:firstLineChars="150"/>
        <w:rPr>
          <w:rFonts w:ascii="宋体" w:hAnsi="宋体"/>
          <w:szCs w:val="21"/>
        </w:rPr>
      </w:pPr>
      <w:r>
        <w:rPr>
          <w:rFonts w:hint="eastAsia" w:ascii="宋体" w:hAnsi="宋体"/>
          <w:szCs w:val="21"/>
        </w:rPr>
        <w:t>28.2 政府集中采购机构将在满足开标条件（①解密时间结束，解密后的投标供应商数量满足开标要求或②解密时间结束前所有投标供应商均完成投标文件解密）后，对投标文件进行开标，并在网上公布开标结果。</w:t>
      </w:r>
    </w:p>
    <w:p>
      <w:pPr>
        <w:ind w:firstLine="315" w:firstLineChars="150"/>
        <w:rPr>
          <w:rFonts w:ascii="宋体" w:hAnsi="宋体"/>
          <w:szCs w:val="21"/>
        </w:rPr>
      </w:pPr>
    </w:p>
    <w:p>
      <w:pPr>
        <w:pStyle w:val="4"/>
        <w:numPr>
          <w:ilvl w:val="0"/>
          <w:numId w:val="10"/>
        </w:numPr>
        <w:spacing w:before="120" w:beforeLines="50" w:after="120" w:afterLines="50"/>
        <w:ind w:left="562" w:hanging="562"/>
        <w:rPr>
          <w:sz w:val="28"/>
          <w:szCs w:val="28"/>
        </w:rPr>
      </w:pPr>
      <w:r>
        <w:rPr>
          <w:rFonts w:hint="eastAsia"/>
          <w:sz w:val="28"/>
          <w:szCs w:val="28"/>
        </w:rPr>
        <w:t>评审要求</w:t>
      </w:r>
    </w:p>
    <w:p>
      <w:pPr>
        <w:rPr>
          <w:rFonts w:ascii="黑体" w:hAnsi="宋体" w:eastAsia="黑体"/>
          <w:sz w:val="24"/>
        </w:rPr>
      </w:pPr>
      <w:r>
        <w:rPr>
          <w:rFonts w:hint="eastAsia" w:ascii="黑体" w:hAnsi="宋体" w:eastAsia="黑体"/>
          <w:sz w:val="24"/>
        </w:rPr>
        <w:t>29．评审委员会组成</w:t>
      </w:r>
    </w:p>
    <w:p>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pPr>
        <w:ind w:firstLine="411" w:firstLineChars="196"/>
        <w:rPr>
          <w:rFonts w:hint="eastAsia" w:ascii="宋体" w:hAnsi="宋体"/>
        </w:rPr>
      </w:pPr>
      <w:bookmarkStart w:id="59"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59"/>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pPr>
        <w:pStyle w:val="2"/>
        <w:ind w:firstLine="422" w:firstLineChars="200"/>
      </w:pPr>
      <w:r>
        <w:rPr>
          <w:rFonts w:hint="eastAsia" w:ascii="宋体" w:hAnsi="宋体" w:eastAsia="宋体" w:cs="Times New Roman"/>
          <w:b/>
          <w:bCs/>
          <w:color w:val="FF0000"/>
          <w:kern w:val="2"/>
          <w:sz w:val="21"/>
          <w:szCs w:val="24"/>
          <w:lang w:val="en-US" w:eastAsia="zh-CN" w:bidi="ar-SA"/>
        </w:rPr>
        <w:t>根据财政部门要求，将食材、物业管理、清扫保洁、保安服务、家具、窗帘、园林绿化、社工服务、“城市管家”九类采购项目作为严管项目，实行“通用品目+专业品目”组合抽取制。严管项目的范围由市财政部门根据监管需要适时调整。上述所称专业品目是指，与项目采购标的相对应的品目，具体由采购人商采购代理机构根据项目需求自主确定。通用品目具体由会计、审计、法律、人力资源管理、资产评估、金融服务品目下的所有专家合并组成。专业品目下产生的专家人数占抽取总人数的比例不得超过50%（含本数），除此之外的专家均从通用品目库中随机抽取。注：属于严管项目，论证及评审抽取专家的规则均按此要求执行。</w:t>
      </w:r>
    </w:p>
    <w:p>
      <w:pPr>
        <w:ind w:firstLine="411" w:firstLineChars="196"/>
        <w:rPr>
          <w:rFonts w:ascii="宋体" w:hAnsi="宋体"/>
        </w:rPr>
      </w:pPr>
      <w:r>
        <w:rPr>
          <w:rFonts w:hint="eastAsia" w:ascii="宋体" w:hAnsi="宋体"/>
        </w:rPr>
        <w:t>29.2评审定标应当遵循公平、公正、科学、择优的原则。</w:t>
      </w:r>
    </w:p>
    <w:p>
      <w:pPr>
        <w:ind w:firstLine="411" w:firstLineChars="196"/>
        <w:rPr>
          <w:rFonts w:ascii="宋体" w:hAnsi="宋体"/>
        </w:rPr>
      </w:pPr>
      <w:r>
        <w:rPr>
          <w:rFonts w:hint="eastAsia" w:ascii="宋体" w:hAnsi="宋体"/>
        </w:rPr>
        <w:t>29.3评审活动依法进行，任何单位和个人不得非法干预评标过程和结果。</w:t>
      </w:r>
    </w:p>
    <w:p>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pPr>
        <w:rPr>
          <w:rFonts w:ascii="黑体" w:hAnsi="宋体" w:eastAsia="黑体"/>
          <w:sz w:val="24"/>
        </w:rPr>
      </w:pPr>
      <w:r>
        <w:rPr>
          <w:rFonts w:hint="eastAsia" w:ascii="黑体" w:hAnsi="宋体" w:eastAsia="黑体"/>
          <w:sz w:val="24"/>
        </w:rPr>
        <w:t>30．向评审委员会提供的资料</w:t>
      </w:r>
    </w:p>
    <w:p>
      <w:pPr>
        <w:ind w:firstLine="411" w:firstLineChars="196"/>
        <w:rPr>
          <w:rFonts w:ascii="宋体" w:hAnsi="宋体"/>
        </w:rPr>
      </w:pPr>
      <w:r>
        <w:rPr>
          <w:rFonts w:hint="eastAsia" w:ascii="宋体" w:hAnsi="宋体"/>
        </w:rPr>
        <w:t>30.1公开发布的招标文件，包括图纸、服务清单、答疑文件等；</w:t>
      </w:r>
    </w:p>
    <w:p>
      <w:pPr>
        <w:ind w:firstLine="411" w:firstLineChars="196"/>
        <w:rPr>
          <w:rFonts w:ascii="宋体" w:hAnsi="宋体"/>
        </w:rPr>
      </w:pPr>
      <w:r>
        <w:rPr>
          <w:rFonts w:hint="eastAsia" w:ascii="宋体" w:hAnsi="宋体"/>
        </w:rPr>
        <w:t>30.2其他评标必须的资料。</w:t>
      </w:r>
    </w:p>
    <w:p>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pPr>
        <w:ind w:firstLine="411" w:firstLineChars="196"/>
        <w:rPr>
          <w:rFonts w:ascii="宋体" w:hAnsi="宋体"/>
        </w:rPr>
      </w:pPr>
      <w:r>
        <w:rPr>
          <w:rFonts w:hint="eastAsia" w:ascii="宋体" w:hAnsi="宋体"/>
        </w:rPr>
        <w:t>（1）招标的目的；</w:t>
      </w:r>
    </w:p>
    <w:p>
      <w:pPr>
        <w:ind w:firstLine="411" w:firstLineChars="196"/>
        <w:rPr>
          <w:rFonts w:ascii="宋体" w:hAnsi="宋体"/>
        </w:rPr>
      </w:pPr>
      <w:r>
        <w:rPr>
          <w:rFonts w:hint="eastAsia" w:ascii="宋体" w:hAnsi="宋体"/>
        </w:rPr>
        <w:t>（2）招标项目需求的范围和性质；</w:t>
      </w:r>
    </w:p>
    <w:p>
      <w:pPr>
        <w:ind w:firstLine="411" w:firstLineChars="196"/>
        <w:rPr>
          <w:rFonts w:ascii="宋体" w:hAnsi="宋体"/>
        </w:rPr>
      </w:pPr>
      <w:r>
        <w:rPr>
          <w:rFonts w:hint="eastAsia" w:ascii="宋体" w:hAnsi="宋体"/>
        </w:rPr>
        <w:t>（3）招标文件规定的投标人的资格、财政预算限额、商务条款；</w:t>
      </w:r>
    </w:p>
    <w:p>
      <w:pPr>
        <w:ind w:firstLine="411" w:firstLineChars="196"/>
        <w:rPr>
          <w:rFonts w:ascii="宋体" w:hAnsi="宋体"/>
        </w:rPr>
      </w:pPr>
      <w:r>
        <w:rPr>
          <w:rFonts w:hint="eastAsia" w:ascii="宋体" w:hAnsi="宋体"/>
        </w:rPr>
        <w:t>（4）招标文件规定的评标程序、评标方法和评标因素；</w:t>
      </w:r>
    </w:p>
    <w:p>
      <w:pPr>
        <w:ind w:firstLine="411" w:firstLineChars="196"/>
        <w:rPr>
          <w:rFonts w:ascii="宋体" w:hAnsi="宋体"/>
        </w:rPr>
      </w:pPr>
      <w:r>
        <w:rPr>
          <w:rFonts w:hint="eastAsia" w:ascii="宋体" w:hAnsi="宋体"/>
        </w:rPr>
        <w:t>（5）招标文件所列示的资格性审查表及符合性审查表。</w:t>
      </w:r>
    </w:p>
    <w:p>
      <w:pPr>
        <w:rPr>
          <w:rFonts w:ascii="黑体" w:hAnsi="宋体" w:eastAsia="黑体"/>
          <w:sz w:val="24"/>
        </w:rPr>
      </w:pPr>
      <w:r>
        <w:rPr>
          <w:rFonts w:hint="eastAsia" w:ascii="黑体" w:hAnsi="宋体" w:eastAsia="黑体"/>
          <w:sz w:val="24"/>
        </w:rPr>
        <w:t>31．独立评审</w:t>
      </w:r>
    </w:p>
    <w:p>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pPr>
        <w:ind w:firstLine="411" w:firstLineChars="196"/>
        <w:rPr>
          <w:rFonts w:ascii="宋体" w:hAnsi="宋体"/>
          <w:bCs/>
          <w:szCs w:val="21"/>
        </w:rPr>
      </w:pPr>
    </w:p>
    <w:p>
      <w:pPr>
        <w:pStyle w:val="4"/>
        <w:numPr>
          <w:ilvl w:val="0"/>
          <w:numId w:val="10"/>
        </w:numPr>
        <w:spacing w:before="120" w:beforeLines="50" w:after="120" w:afterLines="50"/>
        <w:ind w:left="562" w:hanging="562"/>
        <w:rPr>
          <w:sz w:val="28"/>
          <w:szCs w:val="28"/>
        </w:rPr>
      </w:pPr>
      <w:r>
        <w:rPr>
          <w:rFonts w:hint="eastAsia"/>
          <w:sz w:val="28"/>
          <w:szCs w:val="28"/>
        </w:rPr>
        <w:t>评审程序及评审方法</w:t>
      </w:r>
    </w:p>
    <w:p>
      <w:pPr>
        <w:rPr>
          <w:rFonts w:ascii="黑体" w:hAnsi="宋体" w:eastAsia="黑体"/>
          <w:sz w:val="24"/>
        </w:rPr>
      </w:pPr>
      <w:r>
        <w:rPr>
          <w:rFonts w:hint="eastAsia" w:ascii="黑体" w:hAnsi="宋体" w:eastAsia="黑体"/>
          <w:sz w:val="24"/>
        </w:rPr>
        <w:t>32．投标文件初审</w:t>
      </w:r>
    </w:p>
    <w:p>
      <w:pPr>
        <w:ind w:firstLine="411" w:firstLineChars="196"/>
        <w:rPr>
          <w:rFonts w:ascii="宋体" w:hAnsi="宋体"/>
        </w:rPr>
      </w:pPr>
      <w:r>
        <w:rPr>
          <w:rFonts w:hint="eastAsia" w:ascii="宋体" w:hAnsi="宋体"/>
        </w:rPr>
        <w:t>32.1投标文件初审包括资格性审查和符合性审查。</w:t>
      </w:r>
    </w:p>
    <w:p>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pPr>
        <w:ind w:firstLine="411" w:firstLineChars="196"/>
        <w:rPr>
          <w:rFonts w:ascii="宋体" w:hAnsi="宋体"/>
          <w:bCs/>
        </w:rPr>
      </w:pPr>
      <w:r>
        <w:rPr>
          <w:rFonts w:hint="eastAsia" w:ascii="宋体" w:hAnsi="宋体"/>
          <w:bCs/>
        </w:rPr>
        <w:t>32.3 投标文件初审中关于供应商家数的计算:</w:t>
      </w:r>
    </w:p>
    <w:p>
      <w:pPr>
        <w:ind w:firstLine="411" w:firstLineChars="196"/>
        <w:rPr>
          <w:rFonts w:ascii="宋体" w:hAnsi="宋体"/>
          <w:bCs/>
        </w:rPr>
      </w:pPr>
      <w:r>
        <w:rPr>
          <w:rFonts w:hint="eastAsia" w:ascii="宋体" w:hAnsi="宋体"/>
          <w:bCs/>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rPr>
      </w:pPr>
      <w:r>
        <w:rPr>
          <w:rFonts w:hint="eastAsia" w:ascii="宋体" w:hAnsi="宋体"/>
        </w:rPr>
        <w:t>32.4投标人投标文件作无效处理的情形，具体包括但不限于以下：</w:t>
      </w:r>
    </w:p>
    <w:p>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pPr>
        <w:ind w:firstLine="411" w:firstLineChars="196"/>
        <w:rPr>
          <w:rFonts w:ascii="宋体" w:hAnsi="宋体"/>
        </w:rPr>
      </w:pPr>
      <w:r>
        <w:rPr>
          <w:rFonts w:hint="eastAsia" w:ascii="宋体" w:hAnsi="宋体"/>
        </w:rPr>
        <w:t>32.4.3不同投标人的投标文件载明的项目管理成员或者联系人员为同一人；</w:t>
      </w:r>
    </w:p>
    <w:p>
      <w:pPr>
        <w:ind w:firstLine="411" w:firstLineChars="196"/>
        <w:rPr>
          <w:rFonts w:ascii="宋体" w:hAnsi="宋体"/>
        </w:rPr>
      </w:pPr>
      <w:r>
        <w:rPr>
          <w:rFonts w:hint="eastAsia" w:ascii="宋体" w:hAnsi="宋体"/>
        </w:rPr>
        <w:t>32.4.4不同投标人的投标文件异常一致或者投标报价呈规律性差异；</w:t>
      </w:r>
    </w:p>
    <w:p>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pPr>
        <w:ind w:firstLine="411" w:firstLineChars="196"/>
        <w:rPr>
          <w:rFonts w:ascii="宋体" w:hAnsi="宋体"/>
        </w:rPr>
      </w:pPr>
      <w:r>
        <w:rPr>
          <w:rFonts w:hint="eastAsia" w:ascii="宋体" w:hAnsi="宋体"/>
        </w:rPr>
        <w:t>32.4.6投标供应商之间相互约定给予未中标的供应商利益补偿；</w:t>
      </w:r>
    </w:p>
    <w:p>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pPr>
        <w:ind w:firstLine="411" w:firstLineChars="196"/>
        <w:rPr>
          <w:rFonts w:ascii="宋体" w:hAnsi="宋体"/>
        </w:rPr>
      </w:pPr>
      <w:r>
        <w:rPr>
          <w:rFonts w:hint="eastAsia" w:ascii="宋体" w:hAnsi="宋体"/>
        </w:rPr>
        <w:t>32.4.8不同投标供应商的投标文件内容存在非正常一致；</w:t>
      </w:r>
    </w:p>
    <w:p>
      <w:pPr>
        <w:ind w:firstLine="411" w:firstLineChars="196"/>
        <w:rPr>
          <w:rFonts w:ascii="宋体" w:hAnsi="宋体"/>
        </w:rPr>
      </w:pPr>
      <w:r>
        <w:rPr>
          <w:rFonts w:hint="eastAsia" w:ascii="宋体" w:hAnsi="宋体"/>
        </w:rPr>
        <w:t>32.4.9在同一单位工作人员为两家以上（含两家）供应商进行同一项投标活动；</w:t>
      </w:r>
    </w:p>
    <w:p>
      <w:pPr>
        <w:ind w:firstLine="411" w:firstLineChars="196"/>
        <w:rPr>
          <w:rFonts w:ascii="宋体" w:hAnsi="宋体"/>
        </w:rPr>
      </w:pPr>
      <w:r>
        <w:rPr>
          <w:rFonts w:hint="eastAsia" w:ascii="宋体" w:hAnsi="宋体"/>
        </w:rPr>
        <w:t>32.4.10主管部门依照法律、法规认定的其他情形。</w:t>
      </w:r>
    </w:p>
    <w:p>
      <w:pPr>
        <w:ind w:firstLine="411" w:firstLineChars="196"/>
        <w:rPr>
          <w:rFonts w:ascii="宋体" w:hAnsi="宋体"/>
        </w:rPr>
      </w:pPr>
      <w:r>
        <w:rPr>
          <w:rFonts w:hint="eastAsia" w:ascii="宋体" w:hAnsi="宋体"/>
        </w:rPr>
        <w:t>32.5对不属于《资格性审查表》和《符合性审查表》所列的其他情形，除专用条款另有规定和32.4条款所列情形外，不得作为投标无效的理由。</w:t>
      </w:r>
    </w:p>
    <w:p>
      <w:pPr>
        <w:rPr>
          <w:rFonts w:ascii="黑体" w:hAnsi="宋体" w:eastAsia="黑体"/>
          <w:sz w:val="24"/>
        </w:rPr>
      </w:pPr>
      <w:r>
        <w:rPr>
          <w:rFonts w:hint="eastAsia" w:ascii="黑体" w:hAnsi="宋体" w:eastAsia="黑体"/>
          <w:sz w:val="24"/>
        </w:rPr>
        <w:t>33．澄清有关问题</w:t>
      </w:r>
    </w:p>
    <w:p>
      <w:pPr>
        <w:ind w:firstLine="411" w:firstLineChars="196"/>
        <w:rPr>
          <w:rFonts w:ascii="宋体" w:hAnsi="宋体"/>
        </w:rPr>
      </w:pPr>
      <w:bookmarkStart w:id="60"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60"/>
    </w:p>
    <w:p>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pPr>
        <w:ind w:firstLine="411" w:firstLineChars="196"/>
        <w:rPr>
          <w:rFonts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pPr>
        <w:rPr>
          <w:rFonts w:ascii="黑体" w:hAnsi="宋体" w:eastAsia="黑体"/>
          <w:sz w:val="24"/>
        </w:rPr>
      </w:pPr>
      <w:bookmarkStart w:id="61" w:name="_Toc73521669"/>
      <w:bookmarkStart w:id="62" w:name="_Toc73521581"/>
      <w:bookmarkStart w:id="63" w:name="_Toc73517673"/>
      <w:bookmarkStart w:id="64" w:name="_Toc100052400"/>
      <w:bookmarkStart w:id="65" w:name="_Toc73518151"/>
      <w:r>
        <w:rPr>
          <w:rFonts w:hint="eastAsia" w:ascii="黑体" w:hAnsi="宋体" w:eastAsia="黑体"/>
          <w:sz w:val="24"/>
        </w:rPr>
        <w:t>34．错误的修正</w:t>
      </w:r>
      <w:bookmarkEnd w:id="61"/>
      <w:bookmarkEnd w:id="62"/>
      <w:bookmarkEnd w:id="63"/>
      <w:bookmarkEnd w:id="64"/>
      <w:bookmarkEnd w:id="65"/>
    </w:p>
    <w:p>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pPr>
        <w:ind w:firstLine="411" w:firstLineChars="196"/>
        <w:rPr>
          <w:rFonts w:ascii="宋体" w:hAnsi="宋体"/>
          <w:szCs w:val="21"/>
        </w:rPr>
      </w:pPr>
      <w:r>
        <w:rPr>
          <w:rFonts w:hint="eastAsia" w:ascii="宋体" w:hAnsi="宋体"/>
          <w:szCs w:val="21"/>
        </w:rPr>
        <w:t>34.2大写金额和小写金额不一致的，以大写金额为准；</w:t>
      </w:r>
    </w:p>
    <w:p>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ascii="宋体" w:hAnsi="宋体"/>
          <w:szCs w:val="21"/>
        </w:rPr>
      </w:pPr>
      <w:r>
        <w:rPr>
          <w:rFonts w:hint="eastAsia" w:ascii="宋体" w:hAnsi="宋体"/>
          <w:szCs w:val="21"/>
        </w:rPr>
        <w:t>34.4总价金额与按单价汇总金额不一致的，以单价金额计算结果为准。</w:t>
      </w:r>
    </w:p>
    <w:p>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rPr>
          <w:rFonts w:ascii="黑体" w:hAnsi="宋体" w:eastAsia="黑体"/>
          <w:sz w:val="24"/>
        </w:rPr>
      </w:pPr>
      <w:r>
        <w:rPr>
          <w:rFonts w:hint="eastAsia" w:ascii="黑体" w:hAnsi="宋体" w:eastAsia="黑体"/>
          <w:sz w:val="24"/>
        </w:rPr>
        <w:t>35．投标文件的比较与评价</w:t>
      </w:r>
    </w:p>
    <w:p>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rPr>
          <w:rFonts w:ascii="黑体" w:hAnsi="宋体" w:eastAsia="黑体"/>
          <w:sz w:val="24"/>
        </w:rPr>
      </w:pPr>
      <w:r>
        <w:rPr>
          <w:rFonts w:hint="eastAsia" w:ascii="黑体" w:hAnsi="宋体" w:eastAsia="黑体"/>
          <w:sz w:val="24"/>
        </w:rPr>
        <w:t>36. 实地考察</w:t>
      </w:r>
    </w:p>
    <w:p>
      <w:pPr>
        <w:ind w:firstLine="411" w:firstLineChars="196"/>
        <w:rPr>
          <w:rFonts w:ascii="宋体" w:hAnsi="宋体"/>
          <w:szCs w:val="21"/>
        </w:rPr>
      </w:pPr>
      <w:r>
        <w:rPr>
          <w:rFonts w:hint="eastAsia" w:ascii="宋体" w:hAnsi="宋体"/>
          <w:szCs w:val="21"/>
        </w:rPr>
        <w:t>36.1</w:t>
      </w:r>
      <w:r>
        <w:rPr>
          <w:rFonts w:hint="eastAsia" w:ascii="宋体" w:hAnsi="宋体"/>
          <w:szCs w:val="21"/>
          <w:lang w:val="en-US" w:eastAsia="zh-CN"/>
        </w:rPr>
        <w:t>在评审期间，评审委员会根据招标文件规定（详见“一、对通用条款的补充内容”），有权对本项目的投标人开展实地考察，投标人需时刻做好接收实地考察的准备。</w:t>
      </w:r>
    </w:p>
    <w:p>
      <w:pPr>
        <w:rPr>
          <w:rFonts w:ascii="黑体" w:hAnsi="宋体" w:eastAsia="黑体"/>
          <w:sz w:val="24"/>
        </w:rPr>
      </w:pPr>
      <w:r>
        <w:rPr>
          <w:rFonts w:hint="eastAsia" w:ascii="黑体" w:hAnsi="宋体" w:eastAsia="黑体"/>
          <w:sz w:val="24"/>
        </w:rPr>
        <w:t>37．评审方法</w:t>
      </w:r>
    </w:p>
    <w:p>
      <w:pPr>
        <w:ind w:firstLine="413" w:firstLineChars="196"/>
        <w:rPr>
          <w:rFonts w:ascii="宋体" w:hAnsi="宋体"/>
          <w:b/>
          <w:bCs/>
          <w:szCs w:val="21"/>
        </w:rPr>
      </w:pPr>
      <w:r>
        <w:rPr>
          <w:rFonts w:hint="eastAsia" w:ascii="宋体" w:hAnsi="宋体"/>
          <w:b/>
          <w:bCs/>
          <w:szCs w:val="21"/>
        </w:rPr>
        <w:t>37.1.1最低价法</w:t>
      </w:r>
    </w:p>
    <w:p>
      <w:pPr>
        <w:ind w:firstLine="411" w:firstLineChars="196"/>
        <w:rPr>
          <w:rFonts w:ascii="ˎ̥" w:hAnsi="ˎ̥"/>
        </w:rPr>
      </w:pPr>
      <w:bookmarkStart w:id="66"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pPr>
        <w:ind w:firstLine="413" w:firstLineChars="196"/>
        <w:rPr>
          <w:rFonts w:ascii="宋体" w:hAnsi="宋体"/>
          <w:b/>
          <w:bCs/>
          <w:szCs w:val="21"/>
        </w:rPr>
      </w:pPr>
      <w:r>
        <w:rPr>
          <w:rFonts w:hint="eastAsia" w:ascii="宋体" w:hAnsi="宋体"/>
          <w:b/>
          <w:bCs/>
          <w:szCs w:val="21"/>
        </w:rPr>
        <w:t>37.1.2综合评分法</w:t>
      </w:r>
    </w:p>
    <w:p>
      <w:pPr>
        <w:ind w:firstLine="411" w:firstLineChars="196"/>
        <w:rPr>
          <w:rFonts w:hint="eastAsia"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66"/>
    </w:p>
    <w:p>
      <w:pPr>
        <w:ind w:firstLine="411" w:firstLineChars="196"/>
        <w:rPr>
          <w:rFonts w:ascii="宋体" w:hAnsi="宋体"/>
          <w:b/>
          <w:bCs/>
          <w:szCs w:val="21"/>
        </w:rPr>
      </w:pPr>
      <w:r>
        <w:rPr>
          <w:rFonts w:hint="eastAsia" w:ascii="ˎ̥" w:hAnsi="ˎ̥"/>
          <w:lang w:val="en-US" w:eastAsia="zh-CN"/>
        </w:rPr>
        <w:t>3</w:t>
      </w:r>
      <w:r>
        <w:rPr>
          <w:rFonts w:hint="eastAsia" w:ascii="宋体" w:hAnsi="宋体"/>
          <w:b/>
          <w:bCs/>
          <w:szCs w:val="21"/>
        </w:rPr>
        <w:t>7.2 本项目采用的评审方法见本项目招标文件第一册“专用条款”的相关内容。</w:t>
      </w:r>
    </w:p>
    <w:p>
      <w:pPr>
        <w:ind w:firstLine="413" w:firstLineChars="196"/>
        <w:rPr>
          <w:rFonts w:ascii="宋体" w:hAnsi="宋体"/>
          <w:b/>
          <w:bCs/>
          <w:szCs w:val="21"/>
        </w:rPr>
      </w:pPr>
      <w:r>
        <w:rPr>
          <w:rFonts w:hint="eastAsia" w:ascii="宋体" w:hAnsi="宋体"/>
          <w:b/>
          <w:bCs/>
          <w:szCs w:val="21"/>
        </w:rPr>
        <w:t>37.3重新评审的情形</w:t>
      </w:r>
    </w:p>
    <w:p>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pPr>
        <w:ind w:firstLine="411" w:firstLineChars="196"/>
        <w:rPr>
          <w:rFonts w:ascii="宋体" w:hAnsi="宋体" w:cs="宋体"/>
          <w:kern w:val="0"/>
          <w:szCs w:val="21"/>
        </w:rPr>
      </w:pPr>
      <w:r>
        <w:rPr>
          <w:rFonts w:hint="eastAsia" w:ascii="宋体" w:hAnsi="宋体" w:cs="宋体"/>
          <w:kern w:val="0"/>
          <w:szCs w:val="21"/>
        </w:rPr>
        <w:t>37.3.1分值汇总计算错误的；</w:t>
      </w:r>
    </w:p>
    <w:p>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13" w:firstLineChars="196"/>
        <w:rPr>
          <w:rFonts w:ascii="宋体" w:hAnsi="宋体"/>
          <w:b/>
          <w:bCs/>
          <w:szCs w:val="21"/>
        </w:rPr>
      </w:pPr>
      <w:r>
        <w:rPr>
          <w:rFonts w:hint="eastAsia" w:ascii="宋体" w:hAnsi="宋体"/>
          <w:b/>
          <w:bCs/>
          <w:szCs w:val="21"/>
        </w:rPr>
        <w:t>37.4重新组建评审委员会的情形</w:t>
      </w:r>
    </w:p>
    <w:p>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pPr>
        <w:ind w:firstLine="411" w:firstLineChars="196"/>
        <w:rPr>
          <w:rFonts w:ascii="宋体" w:hAnsi="宋体"/>
          <w:szCs w:val="21"/>
        </w:rPr>
      </w:pPr>
    </w:p>
    <w:p>
      <w:pPr>
        <w:pStyle w:val="4"/>
        <w:numPr>
          <w:ilvl w:val="0"/>
          <w:numId w:val="10"/>
        </w:numPr>
        <w:spacing w:before="120" w:beforeLines="50" w:after="120" w:afterLines="50"/>
        <w:ind w:left="562" w:hanging="562"/>
        <w:rPr>
          <w:sz w:val="28"/>
          <w:szCs w:val="28"/>
        </w:rPr>
      </w:pPr>
      <w:r>
        <w:rPr>
          <w:rFonts w:hint="eastAsia"/>
          <w:sz w:val="28"/>
          <w:szCs w:val="28"/>
        </w:rPr>
        <w:t>定标及公示</w:t>
      </w:r>
    </w:p>
    <w:p>
      <w:pPr>
        <w:rPr>
          <w:rFonts w:ascii="黑体" w:hAnsi="宋体" w:eastAsia="黑体"/>
          <w:sz w:val="24"/>
        </w:rPr>
      </w:pPr>
      <w:r>
        <w:rPr>
          <w:rFonts w:hint="eastAsia" w:ascii="黑体" w:hAnsi="宋体" w:eastAsia="黑体"/>
          <w:sz w:val="24"/>
        </w:rPr>
        <w:t>38．定标方法</w:t>
      </w:r>
    </w:p>
    <w:p>
      <w:pPr>
        <w:ind w:firstLine="411" w:firstLineChars="196"/>
        <w:rPr>
          <w:rFonts w:ascii="宋体" w:hAnsi="宋体"/>
          <w:szCs w:val="21"/>
        </w:rPr>
      </w:pPr>
      <w:r>
        <w:rPr>
          <w:rFonts w:hint="eastAsia" w:ascii="宋体" w:hAnsi="宋体"/>
          <w:szCs w:val="21"/>
        </w:rPr>
        <w:t>38.1非评定分离项目定标方法</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p>
    <w:p>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rPr>
        <w:t>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p>
    <w:p>
      <w:pPr>
        <w:ind w:firstLine="411" w:firstLineChars="196"/>
        <w:rPr>
          <w:rFonts w:ascii="宋体" w:hAnsi="宋体"/>
          <w:szCs w:val="21"/>
        </w:rPr>
      </w:pPr>
      <w:r>
        <w:rPr>
          <w:rFonts w:hint="eastAsia" w:ascii="宋体" w:hAnsi="宋体"/>
          <w:szCs w:val="21"/>
        </w:rPr>
        <w:t>38.2评定分离项目定标方法</w:t>
      </w:r>
    </w:p>
    <w:p>
      <w:pPr>
        <w:ind w:firstLine="411" w:firstLineChars="196"/>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11" w:firstLineChars="196"/>
      </w:pPr>
      <w:r>
        <w:rPr>
          <w:rFonts w:ascii="宋体" w:hAnsi="宋体"/>
          <w:szCs w:val="21"/>
        </w:rPr>
        <w:t xml:space="preserve">38.2.2 </w:t>
      </w:r>
      <w:bookmarkStart w:id="67"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pPr>
        <w:ind w:firstLine="411" w:firstLineChars="196"/>
        <w:rPr>
          <w:rFonts w:ascii="宋体" w:hAnsi="宋体"/>
          <w:szCs w:val="21"/>
        </w:rPr>
      </w:pPr>
      <w:r>
        <w:rPr>
          <w:rFonts w:hint="eastAsia" w:ascii="宋体" w:hAnsi="宋体"/>
          <w:szCs w:val="21"/>
        </w:rPr>
        <w:t>38.2.3</w:t>
      </w:r>
      <w:bookmarkStart w:id="68"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67"/>
      <w:bookmarkEnd w:id="68"/>
    </w:p>
    <w:p>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政府集中采购机构。具体定标程序及相关要求以按照《深圳市财政局关于</w:t>
      </w:r>
      <w:r>
        <w:rPr>
          <w:rFonts w:hint="eastAsia" w:ascii="Times New Roman" w:eastAsia="宋体"/>
          <w:lang w:val="en-US" w:eastAsia="zh-CN"/>
        </w:rPr>
        <w:t>&lt;</w:t>
      </w:r>
      <w:r>
        <w:rPr>
          <w:rFonts w:hint="eastAsia"/>
        </w:rPr>
        <w:t>深圳市政府采购评标定标分离管理办法</w:t>
      </w:r>
      <w:r>
        <w:rPr>
          <w:rFonts w:hint="eastAsia" w:ascii="Times New Roman" w:eastAsia="宋体"/>
          <w:lang w:val="en-US" w:eastAsia="zh-CN"/>
        </w:rPr>
        <w:t>&gt;</w:t>
      </w:r>
      <w:r>
        <w:rPr>
          <w:rFonts w:hint="eastAsia"/>
        </w:rPr>
        <w:t>续期的通知》（深财规〔2023〕1号）执行。</w:t>
      </w:r>
    </w:p>
    <w:p>
      <w:pPr>
        <w:ind w:firstLine="411" w:firstLineChars="196"/>
        <w:rPr>
          <w:rFonts w:ascii="宋体" w:hAnsi="宋体"/>
          <w:szCs w:val="21"/>
        </w:rPr>
      </w:pPr>
      <w:r>
        <w:rPr>
          <w:rFonts w:hint="eastAsia" w:ascii="宋体" w:hAnsi="宋体"/>
          <w:szCs w:val="21"/>
        </w:rPr>
        <w:t>说明：采购人及投标供应商应按照上述方法提前做好相关准备。</w:t>
      </w:r>
    </w:p>
    <w:p>
      <w:pPr>
        <w:ind w:firstLine="411" w:firstLineChars="196"/>
        <w:rPr>
          <w:rFonts w:ascii="宋体" w:hAnsi="宋体"/>
          <w:szCs w:val="21"/>
        </w:rPr>
      </w:pPr>
      <w:r>
        <w:rPr>
          <w:rFonts w:hint="eastAsia" w:ascii="宋体" w:hAnsi="宋体"/>
          <w:szCs w:val="21"/>
        </w:rPr>
        <w:t>38.3专用条款另有规定的，按专用条款相关要求定标。</w:t>
      </w:r>
    </w:p>
    <w:p>
      <w:pPr>
        <w:rPr>
          <w:rFonts w:ascii="黑体" w:hAnsi="宋体" w:eastAsia="黑体"/>
          <w:sz w:val="24"/>
        </w:rPr>
      </w:pPr>
      <w:r>
        <w:rPr>
          <w:rFonts w:hint="eastAsia" w:ascii="黑体" w:hAnsi="宋体" w:eastAsia="黑体"/>
          <w:sz w:val="24"/>
        </w:rPr>
        <w:t>39．编写评审报告</w:t>
      </w:r>
    </w:p>
    <w:p>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黑体" w:hAnsi="宋体" w:eastAsia="黑体"/>
          <w:sz w:val="24"/>
        </w:rPr>
      </w:pPr>
      <w:r>
        <w:rPr>
          <w:rFonts w:hint="eastAsia" w:ascii="黑体" w:hAnsi="宋体" w:eastAsia="黑体"/>
          <w:sz w:val="24"/>
        </w:rPr>
        <w:t>40．中标公告</w:t>
      </w:r>
    </w:p>
    <w:p>
      <w:pPr>
        <w:ind w:firstLine="411" w:firstLineChars="196"/>
        <w:rPr>
          <w:rFonts w:ascii="宋体" w:hAnsi="宋体"/>
          <w:szCs w:val="21"/>
        </w:rPr>
      </w:pPr>
      <w:r>
        <w:rPr>
          <w:rFonts w:hint="eastAsia" w:ascii="宋体" w:hAnsi="宋体"/>
          <w:szCs w:val="21"/>
        </w:rPr>
        <w:t>40.1</w:t>
      </w:r>
      <w:bookmarkStart w:id="69"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“深圳公共资源交易网（https://szggzy.com/）”</w:t>
      </w:r>
      <w:r>
        <w:rPr>
          <w:rFonts w:hint="eastAsia" w:ascii="宋体" w:hAnsi="宋体"/>
          <w:szCs w:val="21"/>
        </w:rPr>
        <w:t>上发布中标结果公告。</w:t>
      </w:r>
      <w:bookmarkEnd w:id="69"/>
      <w:bookmarkStart w:id="70"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70"/>
    <w:p>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pPr>
        <w:rPr>
          <w:rFonts w:ascii="黑体" w:hAnsi="宋体" w:eastAsia="黑体"/>
          <w:sz w:val="24"/>
        </w:rPr>
      </w:pPr>
      <w:r>
        <w:rPr>
          <w:rFonts w:hint="eastAsia" w:ascii="黑体" w:hAnsi="宋体" w:eastAsia="黑体"/>
          <w:sz w:val="24"/>
        </w:rPr>
        <w:t>41．中标通知书</w:t>
      </w:r>
    </w:p>
    <w:p>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71"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b/>
          <w:bCs/>
        </w:rPr>
        <w:t>“深圳市自行采购系统（https://trade.szggzy.com/ggzy/center/#/login）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71"/>
    </w:p>
    <w:p>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11" w:firstLineChars="196"/>
        <w:rPr>
          <w:rFonts w:ascii="宋体" w:hAnsi="宋体"/>
          <w:szCs w:val="21"/>
        </w:rPr>
      </w:pPr>
      <w:bookmarkStart w:id="72" w:name="_Hlk71407340"/>
      <w:r>
        <w:rPr>
          <w:rFonts w:hint="eastAsia" w:ascii="宋体" w:hAnsi="宋体"/>
          <w:szCs w:val="21"/>
        </w:rPr>
        <w:t>41.3因质疑投诉或其它原因导致项目结果变更或采购终止的，政府集中采购机构有权吊销中标通知书。</w:t>
      </w:r>
    </w:p>
    <w:bookmarkEnd w:id="72"/>
    <w:p>
      <w:pPr>
        <w:ind w:firstLine="411" w:firstLineChars="196"/>
        <w:rPr>
          <w:rFonts w:ascii="宋体" w:hAnsi="宋体"/>
          <w:szCs w:val="21"/>
        </w:rPr>
      </w:pPr>
    </w:p>
    <w:p>
      <w:pPr>
        <w:pStyle w:val="4"/>
        <w:numPr>
          <w:ilvl w:val="0"/>
          <w:numId w:val="10"/>
        </w:numPr>
        <w:spacing w:before="120" w:beforeLines="50" w:after="120" w:afterLines="50"/>
        <w:ind w:left="562" w:hanging="562"/>
        <w:rPr>
          <w:sz w:val="28"/>
          <w:szCs w:val="28"/>
        </w:rPr>
      </w:pPr>
      <w:r>
        <w:rPr>
          <w:rFonts w:hint="eastAsia"/>
          <w:sz w:val="28"/>
          <w:szCs w:val="28"/>
        </w:rPr>
        <w:t>公开招标失败的后续处理</w:t>
      </w:r>
    </w:p>
    <w:p>
      <w:pPr>
        <w:rPr>
          <w:rFonts w:ascii="黑体" w:hAnsi="宋体" w:eastAsia="黑体"/>
          <w:sz w:val="24"/>
        </w:rPr>
      </w:pPr>
      <w:r>
        <w:rPr>
          <w:rFonts w:hint="eastAsia" w:ascii="黑体" w:hAnsi="宋体" w:eastAsia="黑体"/>
          <w:sz w:val="24"/>
        </w:rPr>
        <w:t>42．公开招标失败的处理</w:t>
      </w:r>
    </w:p>
    <w:p>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rPr>
      </w:pPr>
      <w:r>
        <w:rPr>
          <w:rFonts w:hint="eastAsia" w:ascii="宋体" w:hAnsi="宋体"/>
        </w:rPr>
        <w:t>（1）由政府集中采购机构重新组织公开招标；</w:t>
      </w:r>
    </w:p>
    <w:p>
      <w:pPr>
        <w:ind w:firstLine="411" w:firstLineChars="196"/>
        <w:rPr>
          <w:rFonts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pPr>
        <w:rPr>
          <w:rFonts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pPr>
        <w:rPr>
          <w:rFonts w:ascii="黑体" w:hAnsi="宋体" w:eastAsia="黑体"/>
          <w:sz w:val="24"/>
        </w:rPr>
      </w:pPr>
    </w:p>
    <w:p>
      <w:pPr>
        <w:pStyle w:val="4"/>
        <w:numPr>
          <w:ilvl w:val="0"/>
          <w:numId w:val="10"/>
        </w:numPr>
        <w:spacing w:before="120" w:beforeLines="50" w:after="120" w:afterLines="50"/>
        <w:ind w:left="562" w:hanging="562"/>
        <w:rPr>
          <w:sz w:val="28"/>
          <w:szCs w:val="28"/>
        </w:rPr>
      </w:pPr>
      <w:bookmarkStart w:id="73" w:name="_Hlk72439043"/>
      <w:r>
        <w:rPr>
          <w:rFonts w:hint="eastAsia"/>
          <w:sz w:val="28"/>
          <w:szCs w:val="28"/>
        </w:rPr>
        <w:t>合同的授予与备案</w:t>
      </w:r>
      <w:bookmarkEnd w:id="73"/>
    </w:p>
    <w:p>
      <w:pPr>
        <w:rPr>
          <w:rFonts w:ascii="黑体" w:hAnsi="宋体" w:eastAsia="黑体"/>
          <w:sz w:val="24"/>
        </w:rPr>
      </w:pPr>
      <w:bookmarkStart w:id="74" w:name="_Toc73517679"/>
      <w:bookmarkStart w:id="75" w:name="_Toc73518157"/>
      <w:bookmarkStart w:id="76" w:name="_Toc73521586"/>
      <w:bookmarkStart w:id="77" w:name="_Toc73521674"/>
      <w:bookmarkStart w:id="78" w:name="_Toc100052408"/>
      <w:bookmarkStart w:id="79" w:name="_Hlk72439088"/>
      <w:r>
        <w:rPr>
          <w:rFonts w:hint="eastAsia" w:ascii="黑体" w:hAnsi="宋体" w:eastAsia="黑体"/>
          <w:sz w:val="24"/>
        </w:rPr>
        <w:t>43．合同授予标准</w:t>
      </w:r>
      <w:bookmarkEnd w:id="74"/>
      <w:bookmarkEnd w:id="75"/>
      <w:bookmarkEnd w:id="76"/>
      <w:bookmarkEnd w:id="77"/>
      <w:bookmarkEnd w:id="78"/>
    </w:p>
    <w:p>
      <w:pPr>
        <w:ind w:firstLine="411" w:firstLineChars="196"/>
        <w:rPr>
          <w:rFonts w:ascii="宋体" w:hAnsi="宋体"/>
          <w:szCs w:val="21"/>
        </w:rPr>
      </w:pPr>
      <w:r>
        <w:rPr>
          <w:rFonts w:hint="eastAsia" w:ascii="宋体" w:hAnsi="宋体"/>
          <w:szCs w:val="21"/>
        </w:rPr>
        <w:t>本项目的合同将授予经本招标文件规定评审确定的中标供应商。</w:t>
      </w:r>
    </w:p>
    <w:p>
      <w:pPr>
        <w:rPr>
          <w:rFonts w:ascii="黑体" w:hAnsi="宋体" w:eastAsia="黑体"/>
          <w:sz w:val="24"/>
        </w:rPr>
      </w:pPr>
      <w:bookmarkStart w:id="80" w:name="_Toc73521587"/>
      <w:bookmarkStart w:id="81" w:name="_Toc100052409"/>
      <w:bookmarkStart w:id="82" w:name="_Toc73521675"/>
      <w:bookmarkStart w:id="83" w:name="_Toc73517680"/>
      <w:bookmarkStart w:id="84" w:name="_Toc73518158"/>
      <w:r>
        <w:rPr>
          <w:rFonts w:hint="eastAsia" w:ascii="黑体" w:hAnsi="宋体" w:eastAsia="黑体"/>
          <w:sz w:val="24"/>
        </w:rPr>
        <w:t>44．</w:t>
      </w:r>
      <w:bookmarkEnd w:id="80"/>
      <w:bookmarkEnd w:id="81"/>
      <w:bookmarkEnd w:id="82"/>
      <w:bookmarkEnd w:id="83"/>
      <w:bookmarkEnd w:id="84"/>
      <w:r>
        <w:rPr>
          <w:rFonts w:hint="eastAsia" w:ascii="黑体" w:hAnsi="宋体" w:eastAsia="黑体"/>
          <w:sz w:val="24"/>
        </w:rPr>
        <w:t>接受和拒绝任何或所有投标的权力</w:t>
      </w:r>
    </w:p>
    <w:p>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ascii="黑体" w:hAnsi="宋体" w:eastAsia="黑体"/>
          <w:sz w:val="24"/>
        </w:rPr>
      </w:pPr>
      <w:bookmarkStart w:id="85" w:name="_Toc73517682"/>
      <w:bookmarkStart w:id="86" w:name="_Toc73521589"/>
      <w:bookmarkStart w:id="87" w:name="_Toc100052410"/>
      <w:bookmarkStart w:id="88" w:name="_Toc73518160"/>
      <w:bookmarkStart w:id="89" w:name="_Toc73521677"/>
      <w:r>
        <w:rPr>
          <w:rFonts w:hint="eastAsia" w:ascii="黑体" w:hAnsi="宋体" w:eastAsia="黑体"/>
          <w:sz w:val="24"/>
        </w:rPr>
        <w:t>45．合同的签订</w:t>
      </w:r>
      <w:bookmarkEnd w:id="85"/>
      <w:bookmarkEnd w:id="86"/>
      <w:bookmarkEnd w:id="87"/>
      <w:bookmarkEnd w:id="88"/>
      <w:bookmarkEnd w:id="89"/>
    </w:p>
    <w:p>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pPr>
        <w:rPr>
          <w:rFonts w:ascii="黑体" w:hAnsi="宋体" w:eastAsia="黑体"/>
          <w:sz w:val="24"/>
        </w:rPr>
      </w:pPr>
      <w:bookmarkStart w:id="90" w:name="_Toc100052411"/>
      <w:bookmarkStart w:id="91" w:name="_Toc73521590"/>
      <w:bookmarkStart w:id="92" w:name="_Toc73518161"/>
      <w:bookmarkStart w:id="93" w:name="_Toc73517683"/>
      <w:bookmarkStart w:id="94" w:name="_Toc73521678"/>
      <w:r>
        <w:rPr>
          <w:rFonts w:hint="eastAsia" w:ascii="黑体" w:hAnsi="宋体" w:eastAsia="黑体"/>
          <w:sz w:val="24"/>
        </w:rPr>
        <w:t>46．履约担保</w:t>
      </w:r>
      <w:bookmarkEnd w:id="90"/>
      <w:bookmarkEnd w:id="91"/>
      <w:bookmarkEnd w:id="92"/>
      <w:bookmarkEnd w:id="93"/>
      <w:bookmarkEnd w:id="94"/>
    </w:p>
    <w:p>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pPr>
        <w:rPr>
          <w:rFonts w:ascii="黑体" w:hAnsi="宋体" w:eastAsia="黑体"/>
          <w:sz w:val="24"/>
        </w:rPr>
      </w:pPr>
      <w:r>
        <w:rPr>
          <w:rFonts w:hint="eastAsia" w:ascii="黑体" w:hAnsi="宋体" w:eastAsia="黑体"/>
          <w:sz w:val="24"/>
        </w:rPr>
        <w:t>47. 合同备案</w:t>
      </w:r>
    </w:p>
    <w:p>
      <w:pPr>
        <w:ind w:firstLine="411" w:firstLineChars="196"/>
        <w:rPr>
          <w:rFonts w:ascii="宋体" w:hAnsi="宋体"/>
          <w:szCs w:val="21"/>
        </w:rPr>
      </w:pPr>
      <w:r>
        <w:rPr>
          <w:rFonts w:hint="eastAsia" w:ascii="宋体" w:hAnsi="宋体" w:eastAsia="宋体" w:cs="Times New Roman"/>
          <w:kern w:val="2"/>
          <w:sz w:val="21"/>
          <w:szCs w:val="21"/>
          <w:lang w:eastAsia="zh-Hans"/>
        </w:rPr>
        <w:t>采购人与中标供应商自中标通知书发出之日起10个工作日内签订政府采购合同，</w:t>
      </w:r>
      <w:r>
        <w:rPr>
          <w:rFonts w:hint="eastAsia" w:ascii="宋体" w:hAnsi="宋体" w:eastAsia="宋体" w:cs="Times New Roman"/>
          <w:kern w:val="2"/>
          <w:sz w:val="21"/>
          <w:szCs w:val="21"/>
          <w:lang w:val="en-US" w:eastAsia="zh-CN"/>
        </w:rPr>
        <w:t>并按财政部门规定提交备案。</w:t>
      </w:r>
    </w:p>
    <w:p>
      <w:pPr>
        <w:rPr>
          <w:rFonts w:ascii="黑体" w:hAnsi="宋体" w:eastAsia="黑体"/>
          <w:sz w:val="24"/>
        </w:rPr>
      </w:pPr>
      <w:r>
        <w:rPr>
          <w:rFonts w:hint="eastAsia" w:ascii="黑体" w:hAnsi="宋体" w:eastAsia="黑体"/>
          <w:sz w:val="24"/>
        </w:rPr>
        <w:t>48. 合同变更</w:t>
      </w:r>
    </w:p>
    <w:p>
      <w:pPr>
        <w:ind w:firstLine="411" w:firstLineChars="196"/>
        <w:rPr>
          <w:rFonts w:ascii="宋体" w:hAnsi="宋体"/>
          <w:szCs w:val="21"/>
        </w:rPr>
      </w:pPr>
      <w:r>
        <w:rPr>
          <w:rFonts w:hint="eastAsia" w:ascii="宋体" w:hAnsi="宋体"/>
          <w:szCs w:val="21"/>
        </w:rPr>
        <w:t>合同变更事宜按《深圳市财政局关于优化政府采购合同备案的通知》（深财发保〔2022〕2号）相关规定执行。</w:t>
      </w:r>
    </w:p>
    <w:p>
      <w:pPr>
        <w:rPr>
          <w:rFonts w:ascii="黑体" w:hAnsi="宋体" w:eastAsia="黑体"/>
          <w:sz w:val="24"/>
        </w:rPr>
      </w:pPr>
      <w:r>
        <w:rPr>
          <w:rFonts w:hint="eastAsia" w:ascii="黑体" w:hAnsi="宋体" w:eastAsia="黑体"/>
          <w:sz w:val="24"/>
        </w:rPr>
        <w:t>49. 项目验收</w:t>
      </w:r>
    </w:p>
    <w:p>
      <w:pPr>
        <w:widowControl/>
        <w:ind w:right="176" w:firstLine="420"/>
        <w:jc w:val="left"/>
        <w:rPr>
          <w:rFonts w:ascii="宋体" w:hAnsi="宋体"/>
        </w:rPr>
      </w:pPr>
      <w:r>
        <w:rPr>
          <w:rFonts w:hint="eastAsia" w:ascii="宋体" w:hAnsi="宋体"/>
        </w:rPr>
        <w:t>49.1采购人应当按照招标文件和合同规定的标准和方法，及时组织验收。</w:t>
      </w:r>
      <w:r>
        <w:rPr>
          <w:rFonts w:ascii="宋体" w:hAnsi="宋体"/>
        </w:rPr>
        <w:t xml:space="preserve"> </w:t>
      </w:r>
    </w:p>
    <w:p>
      <w:pPr>
        <w:rPr>
          <w:rFonts w:ascii="黑体" w:hAnsi="宋体" w:eastAsia="黑体"/>
          <w:sz w:val="24"/>
        </w:rPr>
      </w:pPr>
      <w:r>
        <w:rPr>
          <w:rFonts w:hint="eastAsia" w:ascii="黑体" w:hAnsi="宋体" w:eastAsia="黑体"/>
          <w:sz w:val="24"/>
        </w:rPr>
        <w:t>50. 宣传</w:t>
      </w:r>
    </w:p>
    <w:p>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pPr>
        <w:ind w:left="210" w:leftChars="100" w:firstLine="411" w:firstLineChars="196"/>
        <w:rPr>
          <w:rFonts w:ascii="宋体" w:hAnsi="宋体"/>
        </w:rPr>
      </w:pPr>
      <w:r>
        <w:rPr>
          <w:rFonts w:ascii="宋体" w:hAnsi="宋体"/>
        </w:rPr>
        <w:t>a.名片、宣传册、广告标语等；</w:t>
      </w:r>
    </w:p>
    <w:p>
      <w:pPr>
        <w:ind w:left="210" w:leftChars="100" w:firstLine="411" w:firstLineChars="196"/>
        <w:rPr>
          <w:rFonts w:ascii="宋体" w:hAnsi="宋体"/>
        </w:rPr>
      </w:pPr>
      <w:r>
        <w:rPr>
          <w:rFonts w:ascii="宋体" w:hAnsi="宋体"/>
        </w:rPr>
        <w:t>b.案例介绍、推广等；</w:t>
      </w:r>
    </w:p>
    <w:p>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pPr>
        <w:rPr>
          <w:rFonts w:ascii="黑体" w:hAnsi="宋体" w:eastAsia="黑体"/>
          <w:sz w:val="24"/>
        </w:rPr>
      </w:pPr>
      <w:r>
        <w:rPr>
          <w:rFonts w:hint="eastAsia" w:ascii="黑体" w:hAnsi="宋体" w:eastAsia="黑体"/>
          <w:sz w:val="24"/>
        </w:rPr>
        <w:t>51. 供应商违法责任</w:t>
      </w:r>
    </w:p>
    <w:p>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1" w:firstLineChars="196"/>
        <w:rPr>
          <w:rFonts w:ascii="宋体" w:hAnsi="宋体"/>
          <w:szCs w:val="21"/>
        </w:rPr>
      </w:pPr>
      <w:r>
        <w:rPr>
          <w:rFonts w:hint="eastAsia" w:ascii="宋体" w:hAnsi="宋体"/>
          <w:szCs w:val="21"/>
        </w:rPr>
        <w:t>（1）在采购活动中应当回避而未回避的；</w:t>
      </w:r>
    </w:p>
    <w:p>
      <w:pPr>
        <w:ind w:firstLine="411" w:firstLineChars="196"/>
        <w:rPr>
          <w:rFonts w:ascii="宋体" w:hAnsi="宋体"/>
          <w:szCs w:val="21"/>
        </w:rPr>
      </w:pPr>
      <w:r>
        <w:rPr>
          <w:rFonts w:hint="eastAsia" w:ascii="宋体" w:hAnsi="宋体"/>
          <w:szCs w:val="21"/>
        </w:rPr>
        <w:t>（2）未按本条例规定签订、履行采购合同，造成严重后果的；</w:t>
      </w:r>
    </w:p>
    <w:p>
      <w:pPr>
        <w:ind w:firstLine="411" w:firstLineChars="196"/>
        <w:rPr>
          <w:rFonts w:ascii="宋体" w:hAnsi="宋体"/>
          <w:szCs w:val="21"/>
        </w:rPr>
      </w:pPr>
      <w:r>
        <w:rPr>
          <w:rFonts w:hint="eastAsia" w:ascii="宋体" w:hAnsi="宋体"/>
          <w:szCs w:val="21"/>
        </w:rPr>
        <w:t>（3）隐瞒真实情况，提供虚假资料的；</w:t>
      </w:r>
    </w:p>
    <w:p>
      <w:pPr>
        <w:ind w:firstLine="411" w:firstLineChars="196"/>
        <w:rPr>
          <w:rFonts w:ascii="宋体" w:hAnsi="宋体"/>
          <w:szCs w:val="21"/>
        </w:rPr>
      </w:pPr>
      <w:r>
        <w:rPr>
          <w:rFonts w:hint="eastAsia" w:ascii="宋体" w:hAnsi="宋体"/>
          <w:szCs w:val="21"/>
        </w:rPr>
        <w:t>（4）以非法手段排斥其他供应商参与竞争的；</w:t>
      </w:r>
    </w:p>
    <w:p>
      <w:pPr>
        <w:ind w:firstLine="411" w:firstLineChars="196"/>
        <w:rPr>
          <w:rFonts w:ascii="宋体" w:hAnsi="宋体"/>
          <w:szCs w:val="21"/>
        </w:rPr>
      </w:pPr>
      <w:r>
        <w:rPr>
          <w:rFonts w:hint="eastAsia" w:ascii="宋体" w:hAnsi="宋体"/>
          <w:szCs w:val="21"/>
        </w:rPr>
        <w:t>（5）与其他采购参加人串通投标的；</w:t>
      </w:r>
    </w:p>
    <w:p>
      <w:pPr>
        <w:ind w:firstLine="411" w:firstLineChars="196"/>
        <w:rPr>
          <w:rFonts w:ascii="宋体" w:hAnsi="宋体"/>
          <w:szCs w:val="21"/>
        </w:rPr>
      </w:pPr>
      <w:r>
        <w:rPr>
          <w:rFonts w:hint="eastAsia" w:ascii="宋体" w:hAnsi="宋体"/>
          <w:szCs w:val="21"/>
        </w:rPr>
        <w:t>（6）恶意投诉的；</w:t>
      </w:r>
    </w:p>
    <w:p>
      <w:pPr>
        <w:ind w:firstLine="411" w:firstLineChars="196"/>
        <w:rPr>
          <w:rFonts w:ascii="宋体" w:hAnsi="宋体"/>
          <w:szCs w:val="21"/>
        </w:rPr>
      </w:pPr>
      <w:r>
        <w:rPr>
          <w:rFonts w:hint="eastAsia" w:ascii="宋体" w:hAnsi="宋体"/>
          <w:szCs w:val="21"/>
        </w:rPr>
        <w:t>（7）向采购项目相关人行贿或者提供其他不当利益的；</w:t>
      </w:r>
    </w:p>
    <w:p>
      <w:pPr>
        <w:ind w:firstLine="411" w:firstLineChars="196"/>
        <w:rPr>
          <w:rFonts w:ascii="宋体" w:hAnsi="宋体"/>
          <w:szCs w:val="21"/>
        </w:rPr>
      </w:pPr>
      <w:r>
        <w:rPr>
          <w:rFonts w:hint="eastAsia" w:ascii="宋体" w:hAnsi="宋体"/>
          <w:szCs w:val="21"/>
        </w:rPr>
        <w:t>（8）阻碍、抗拒主管部门监督检查的；</w:t>
      </w:r>
    </w:p>
    <w:p>
      <w:pPr>
        <w:ind w:firstLine="411" w:firstLineChars="196"/>
        <w:rPr>
          <w:rFonts w:ascii="宋体" w:hAnsi="宋体"/>
          <w:szCs w:val="21"/>
        </w:rPr>
      </w:pPr>
      <w:r>
        <w:rPr>
          <w:rFonts w:hint="eastAsia" w:ascii="宋体" w:hAnsi="宋体"/>
          <w:szCs w:val="21"/>
        </w:rPr>
        <w:t>（9）其他违反本条例规定的行为。</w:t>
      </w:r>
    </w:p>
    <w:p>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》（深财购〔2021〕51号）的要求，供应商在政府采购活动中出现《深圳经济特区政府采购条例实施细则》第八十条所列情形的，</w:t>
      </w:r>
      <w:bookmarkStart w:id="95" w:name="_Hlk72440769"/>
      <w:r>
        <w:rPr>
          <w:rFonts w:hint="eastAsia" w:ascii="宋体" w:hAnsi="宋体"/>
          <w:szCs w:val="21"/>
        </w:rPr>
        <w:t>政府集中采购机构或采购人不予退还其交纳的谈判保证金，情节严重的，并由主管部门</w:t>
      </w:r>
      <w:bookmarkEnd w:id="95"/>
      <w:r>
        <w:rPr>
          <w:rFonts w:hint="eastAsia" w:ascii="宋体" w:hAnsi="宋体"/>
          <w:szCs w:val="21"/>
        </w:rPr>
        <w:t>记入供应商诚信档案，予以通报：</w:t>
      </w:r>
    </w:p>
    <w:p>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79"/>
    <w:p>
      <w:pPr>
        <w:pStyle w:val="4"/>
        <w:numPr>
          <w:ilvl w:val="0"/>
          <w:numId w:val="10"/>
        </w:numPr>
        <w:spacing w:before="120" w:beforeLines="50" w:after="120" w:afterLines="50"/>
        <w:ind w:left="562" w:hanging="562"/>
        <w:rPr>
          <w:sz w:val="28"/>
          <w:szCs w:val="28"/>
        </w:rPr>
      </w:pPr>
      <w:r>
        <w:rPr>
          <w:rFonts w:hint="eastAsia"/>
          <w:sz w:val="28"/>
          <w:szCs w:val="28"/>
        </w:rPr>
        <w:t>质疑处理</w:t>
      </w:r>
    </w:p>
    <w:p>
      <w:pPr>
        <w:rPr>
          <w:rFonts w:ascii="黑体" w:hAnsi="宋体" w:eastAsia="黑体"/>
          <w:sz w:val="24"/>
        </w:rPr>
      </w:pPr>
      <w:bookmarkStart w:id="96" w:name="_Hlk72439706"/>
      <w:r>
        <w:rPr>
          <w:rFonts w:hint="eastAsia" w:ascii="黑体" w:hAnsi="宋体" w:eastAsia="黑体"/>
          <w:sz w:val="24"/>
        </w:rPr>
        <w:t>52.质疑提出与答复</w:t>
      </w:r>
    </w:p>
    <w:p>
      <w:pPr>
        <w:rPr>
          <w:rFonts w:ascii="宋体" w:hAnsi="宋体"/>
          <w:szCs w:val="21"/>
        </w:rPr>
      </w:pPr>
      <w:r>
        <w:rPr>
          <w:rFonts w:hint="eastAsia" w:ascii="宋体" w:hAnsi="宋体"/>
          <w:szCs w:val="21"/>
        </w:rPr>
        <w:t xml:space="preserve">    52.1提出质疑</w:t>
      </w:r>
    </w:p>
    <w:p>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pPr>
        <w:rPr>
          <w:rFonts w:ascii="宋体" w:hAnsi="宋体"/>
          <w:szCs w:val="21"/>
        </w:rPr>
      </w:pPr>
      <w:r>
        <w:rPr>
          <w:rFonts w:hint="eastAsia" w:ascii="宋体" w:hAnsi="宋体"/>
          <w:szCs w:val="21"/>
        </w:rPr>
        <w:t xml:space="preserve">    52.2</w:t>
      </w:r>
      <w:r>
        <w:rPr>
          <w:rFonts w:ascii="宋体" w:hAnsi="宋体"/>
          <w:szCs w:val="21"/>
        </w:rPr>
        <w:t>法律依据</w:t>
      </w:r>
    </w:p>
    <w:p>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pPr>
        <w:rPr>
          <w:rFonts w:ascii="宋体" w:hAnsi="宋体"/>
          <w:szCs w:val="21"/>
        </w:rPr>
      </w:pPr>
      <w:r>
        <w:rPr>
          <w:rFonts w:hint="eastAsia" w:ascii="宋体" w:hAnsi="宋体"/>
          <w:szCs w:val="21"/>
        </w:rPr>
        <w:t xml:space="preserve">    52.3.1提出质疑的供应商应当是参与所质疑项目采购活动的供应商；以联合体形式参与的，质疑应当由组成联合体的所有成员共同提出；</w:t>
      </w:r>
    </w:p>
    <w:p>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w:t>
      </w:r>
      <w:r>
        <w:rPr>
          <w:rFonts w:hint="eastAsia" w:ascii="宋体" w:hAnsi="宋体"/>
          <w:szCs w:val="21"/>
          <w:lang w:val="en-US" w:eastAsia="zh-CN"/>
        </w:rPr>
        <w:t>采购</w:t>
      </w:r>
      <w:r>
        <w:rPr>
          <w:rFonts w:hint="eastAsia" w:ascii="宋体" w:hAnsi="宋体"/>
          <w:szCs w:val="21"/>
        </w:rPr>
        <w:t>文件的质疑，为</w:t>
      </w:r>
      <w:r>
        <w:rPr>
          <w:rFonts w:hint="eastAsia" w:ascii="宋体" w:hAnsi="宋体"/>
          <w:szCs w:val="21"/>
          <w:lang w:val="en-US" w:eastAsia="zh-CN"/>
        </w:rPr>
        <w:t>采购</w:t>
      </w:r>
      <w:r>
        <w:rPr>
          <w:rFonts w:hint="eastAsia" w:ascii="宋体" w:hAnsi="宋体"/>
          <w:szCs w:val="21"/>
        </w:rPr>
        <w:t>文件公布之日；对采购过程的质疑，为各采购程序环节结束之日；对中标</w:t>
      </w:r>
      <w:r>
        <w:rPr>
          <w:rFonts w:hint="eastAsia" w:ascii="宋体" w:hAnsi="宋体"/>
          <w:szCs w:val="21"/>
          <w:lang w:eastAsia="zh-CN"/>
        </w:rPr>
        <w:t>（</w:t>
      </w:r>
      <w:r>
        <w:rPr>
          <w:rFonts w:hint="eastAsia" w:ascii="宋体" w:hAnsi="宋体"/>
          <w:szCs w:val="21"/>
          <w:lang w:val="en-US" w:eastAsia="zh-CN"/>
        </w:rPr>
        <w:t>成交</w:t>
      </w:r>
      <w:r>
        <w:rPr>
          <w:rFonts w:hint="eastAsia" w:ascii="宋体" w:hAnsi="宋体"/>
          <w:szCs w:val="21"/>
          <w:lang w:eastAsia="zh-CN"/>
        </w:rPr>
        <w:t>）</w:t>
      </w:r>
      <w:r>
        <w:rPr>
          <w:rFonts w:hint="eastAsia" w:ascii="宋体" w:hAnsi="宋体"/>
          <w:szCs w:val="21"/>
        </w:rPr>
        <w:t>结果以及评审委员会组成人员的质疑，为中标</w:t>
      </w:r>
      <w:r>
        <w:rPr>
          <w:rFonts w:hint="eastAsia" w:ascii="宋体" w:hAnsi="宋体"/>
          <w:szCs w:val="21"/>
          <w:lang w:eastAsia="zh-CN"/>
        </w:rPr>
        <w:t>（</w:t>
      </w:r>
      <w:r>
        <w:rPr>
          <w:rFonts w:hint="eastAsia" w:ascii="宋体" w:hAnsi="宋体"/>
          <w:szCs w:val="21"/>
          <w:lang w:val="en-US" w:eastAsia="zh-CN"/>
        </w:rPr>
        <w:t>成交</w:t>
      </w:r>
      <w:r>
        <w:rPr>
          <w:rFonts w:hint="eastAsia" w:ascii="宋体" w:hAnsi="宋体"/>
          <w:szCs w:val="21"/>
          <w:lang w:eastAsia="zh-CN"/>
        </w:rPr>
        <w:t>）</w:t>
      </w:r>
      <w:r>
        <w:rPr>
          <w:rFonts w:hint="eastAsia" w:ascii="宋体" w:hAnsi="宋体"/>
          <w:szCs w:val="21"/>
        </w:rPr>
        <w:t>结果公示之日；</w:t>
      </w:r>
    </w:p>
    <w:p>
      <w:pPr>
        <w:ind w:firstLine="42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pPr>
        <w:ind w:firstLine="420"/>
        <w:rPr>
          <w:rFonts w:ascii="宋体" w:hAnsi="宋体"/>
          <w:szCs w:val="21"/>
        </w:rPr>
      </w:pPr>
      <w:r>
        <w:rPr>
          <w:rFonts w:hint="eastAsia" w:ascii="宋体" w:hAnsi="宋体"/>
          <w:szCs w:val="21"/>
        </w:rPr>
        <w:t>（1）供应商的名称（或者姓名）、地址、邮编、邮箱、联系人及联系电话；</w:t>
      </w:r>
    </w:p>
    <w:p>
      <w:pPr>
        <w:ind w:firstLine="420" w:firstLineChars="200"/>
        <w:rPr>
          <w:rFonts w:ascii="宋体" w:hAnsi="宋体"/>
          <w:szCs w:val="21"/>
        </w:rPr>
      </w:pPr>
      <w:r>
        <w:rPr>
          <w:rFonts w:hint="eastAsia" w:ascii="宋体" w:hAnsi="宋体"/>
          <w:szCs w:val="21"/>
        </w:rPr>
        <w:t>（2）质疑项目的名称、编号；</w:t>
      </w:r>
    </w:p>
    <w:p>
      <w:pPr>
        <w:ind w:firstLine="420" w:firstLineChars="200"/>
        <w:rPr>
          <w:rFonts w:ascii="宋体" w:hAnsi="宋体"/>
          <w:szCs w:val="21"/>
        </w:rPr>
      </w:pPr>
      <w:r>
        <w:rPr>
          <w:rFonts w:hint="eastAsia" w:ascii="宋体" w:hAnsi="宋体"/>
          <w:szCs w:val="21"/>
        </w:rPr>
        <w:t>（3）具体、明确的质疑对象、质疑事项和质疑请求；</w:t>
      </w:r>
    </w:p>
    <w:p>
      <w:pPr>
        <w:ind w:firstLine="420" w:firstLineChars="200"/>
        <w:rPr>
          <w:rFonts w:ascii="宋体" w:hAnsi="宋体"/>
          <w:szCs w:val="21"/>
        </w:rPr>
      </w:pPr>
      <w:r>
        <w:rPr>
          <w:rFonts w:hint="eastAsia" w:ascii="宋体" w:hAnsi="宋体"/>
          <w:szCs w:val="21"/>
        </w:rPr>
        <w:t>（4）因质疑事项而受损害的权益；</w:t>
      </w:r>
    </w:p>
    <w:p>
      <w:pPr>
        <w:ind w:firstLine="420" w:firstLineChars="200"/>
        <w:rPr>
          <w:rFonts w:ascii="宋体" w:hAnsi="宋体"/>
          <w:szCs w:val="21"/>
        </w:rPr>
      </w:pPr>
      <w:r>
        <w:rPr>
          <w:rFonts w:hint="eastAsia" w:ascii="宋体" w:hAnsi="宋体"/>
          <w:szCs w:val="21"/>
        </w:rPr>
        <w:t>（5）事实依据；</w:t>
      </w:r>
    </w:p>
    <w:p>
      <w:pPr>
        <w:ind w:firstLine="420" w:firstLineChars="200"/>
        <w:rPr>
          <w:rFonts w:ascii="宋体" w:hAnsi="宋体"/>
          <w:szCs w:val="21"/>
        </w:rPr>
      </w:pPr>
      <w:r>
        <w:rPr>
          <w:rFonts w:hint="eastAsia" w:ascii="宋体" w:hAnsi="宋体"/>
          <w:szCs w:val="21"/>
        </w:rPr>
        <w:t>（6）必要的法律依据；</w:t>
      </w:r>
    </w:p>
    <w:p>
      <w:pPr>
        <w:ind w:firstLine="420" w:firstLineChars="200"/>
        <w:rPr>
          <w:rFonts w:ascii="宋体" w:hAnsi="宋体"/>
          <w:szCs w:val="21"/>
        </w:rPr>
      </w:pPr>
      <w:r>
        <w:rPr>
          <w:rFonts w:hint="eastAsia" w:ascii="宋体" w:hAnsi="宋体"/>
          <w:szCs w:val="21"/>
        </w:rPr>
        <w:t>（7）提出质疑的日期。</w:t>
      </w:r>
    </w:p>
    <w:p>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ascii="宋体" w:hAnsi="宋体"/>
          <w:szCs w:val="21"/>
        </w:rPr>
      </w:pPr>
      <w:r>
        <w:rPr>
          <w:rFonts w:hint="eastAsia" w:ascii="宋体" w:hAnsi="宋体"/>
          <w:szCs w:val="21"/>
        </w:rPr>
        <w:t>52.4提交</w:t>
      </w:r>
      <w:r>
        <w:rPr>
          <w:rFonts w:ascii="宋体" w:hAnsi="宋体"/>
          <w:szCs w:val="21"/>
        </w:rPr>
        <w:t>材料</w:t>
      </w:r>
    </w:p>
    <w:p>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szCs w:val="21"/>
        </w:rPr>
      </w:pPr>
      <w:r>
        <w:rPr>
          <w:rFonts w:hint="eastAsia" w:ascii="宋体" w:hAnsi="宋体"/>
          <w:szCs w:val="21"/>
        </w:rPr>
        <w:t>52.5收文地点</w:t>
      </w:r>
    </w:p>
    <w:p>
      <w:pPr>
        <w:ind w:firstLine="422" w:firstLineChars="200"/>
        <w:rPr>
          <w:rFonts w:hint="eastAsia" w:ascii="宋体" w:hAnsi="宋体"/>
          <w:szCs w:val="21"/>
        </w:rPr>
      </w:pPr>
      <w:r>
        <w:rPr>
          <w:b/>
          <w:bCs/>
          <w:szCs w:val="21"/>
          <w:highlight w:val="none"/>
        </w:rPr>
        <w:t>地址：</w:t>
      </w:r>
      <w:r>
        <w:rPr>
          <w:rFonts w:hint="eastAsia"/>
          <w:b/>
          <w:bCs/>
          <w:szCs w:val="21"/>
          <w:highlight w:val="none"/>
        </w:rPr>
        <w:t>深圳市福田区深南大道1006号深圳国际创新中心-f座5楼</w:t>
      </w:r>
      <w:r>
        <w:rPr>
          <w:b/>
          <w:bCs/>
          <w:szCs w:val="21"/>
          <w:highlight w:val="none"/>
        </w:rPr>
        <w:t>，质疑咨询电话：0755-</w:t>
      </w:r>
      <w:r>
        <w:rPr>
          <w:rFonts w:hint="eastAsia"/>
          <w:b/>
          <w:bCs/>
          <w:szCs w:val="21"/>
          <w:highlight w:val="none"/>
        </w:rPr>
        <w:t>23884457</w:t>
      </w:r>
      <w:r>
        <w:rPr>
          <w:b/>
          <w:bCs/>
          <w:szCs w:val="21"/>
          <w:highlight w:val="none"/>
        </w:rPr>
        <w:t>。</w:t>
      </w:r>
    </w:p>
    <w:p>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ind w:firstLine="420" w:firstLineChars="200"/>
        <w:rPr>
          <w:rFonts w:ascii="宋体" w:hAnsi="宋体"/>
          <w:szCs w:val="21"/>
        </w:rPr>
      </w:pPr>
      <w:r>
        <w:rPr>
          <w:rFonts w:hint="eastAsia" w:ascii="宋体" w:hAnsi="宋体"/>
          <w:szCs w:val="21"/>
        </w:rPr>
        <w:t>供应商提交的质疑存在下列情形之一的，不予受理：</w:t>
      </w:r>
    </w:p>
    <w:p>
      <w:pPr>
        <w:ind w:firstLine="420" w:firstLineChars="200"/>
        <w:rPr>
          <w:rFonts w:ascii="宋体" w:hAnsi="宋体"/>
          <w:szCs w:val="21"/>
        </w:rPr>
      </w:pPr>
      <w:r>
        <w:rPr>
          <w:rFonts w:hint="eastAsia" w:ascii="宋体" w:hAnsi="宋体"/>
          <w:szCs w:val="21"/>
        </w:rPr>
        <w:t>（1）质疑主体不满足要求的；</w:t>
      </w:r>
    </w:p>
    <w:p>
      <w:pPr>
        <w:ind w:firstLine="420" w:firstLineChars="200"/>
        <w:rPr>
          <w:rFonts w:ascii="宋体" w:hAnsi="宋体"/>
          <w:szCs w:val="21"/>
        </w:rPr>
      </w:pPr>
      <w:r>
        <w:rPr>
          <w:rFonts w:hint="eastAsia" w:ascii="宋体" w:hAnsi="宋体"/>
          <w:szCs w:val="21"/>
        </w:rPr>
        <w:t>（2）供应商自身权益未受到损害的；</w:t>
      </w:r>
    </w:p>
    <w:p>
      <w:pPr>
        <w:ind w:firstLine="420" w:firstLineChars="200"/>
        <w:rPr>
          <w:rFonts w:ascii="宋体" w:hAnsi="宋体"/>
          <w:szCs w:val="21"/>
        </w:rPr>
      </w:pPr>
      <w:r>
        <w:rPr>
          <w:rFonts w:hint="eastAsia" w:ascii="宋体" w:hAnsi="宋体"/>
          <w:szCs w:val="21"/>
        </w:rPr>
        <w:t>（3）供应商未在法定质疑期限内提出质疑的；</w:t>
      </w:r>
    </w:p>
    <w:p>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ascii="宋体" w:hAnsi="宋体"/>
          <w:szCs w:val="21"/>
        </w:rPr>
      </w:pPr>
      <w:r>
        <w:rPr>
          <w:rFonts w:hint="eastAsia" w:ascii="宋体" w:hAnsi="宋体"/>
          <w:szCs w:val="21"/>
        </w:rPr>
        <w:t>（5）其他不符合受理条件情形的。</w:t>
      </w:r>
    </w:p>
    <w:p>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pPr>
        <w:rPr>
          <w:rFonts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pPr>
        <w:rPr>
          <w:rFonts w:ascii="宋体" w:hAnsi="宋体"/>
          <w:szCs w:val="21"/>
        </w:rPr>
      </w:pPr>
      <w:r>
        <w:rPr>
          <w:rFonts w:hint="eastAsia" w:ascii="宋体" w:hAnsi="宋体"/>
          <w:szCs w:val="21"/>
        </w:rPr>
        <w:t xml:space="preserve">    自收文之日起七个工作日内。</w:t>
      </w:r>
    </w:p>
    <w:p>
      <w:pPr>
        <w:rPr>
          <w:rFonts w:ascii="宋体" w:hAnsi="宋体"/>
          <w:szCs w:val="21"/>
        </w:rPr>
      </w:pPr>
      <w:r>
        <w:rPr>
          <w:rFonts w:hint="eastAsia" w:ascii="宋体" w:hAnsi="宋体"/>
          <w:szCs w:val="21"/>
        </w:rPr>
        <w:t xml:space="preserve">    52.8投诉</w:t>
      </w:r>
    </w:p>
    <w:p>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对质疑答复不满意或者未在规定时间内答复的，提出质疑的供应商可以在答复期满后15个工作日内向同级财政部门投诉。</w:t>
      </w:r>
    </w:p>
    <w:p>
      <w:pPr>
        <w:rPr>
          <w:rFonts w:ascii="黑体" w:hAnsi="宋体" w:eastAsia="黑体"/>
          <w:sz w:val="24"/>
        </w:rPr>
      </w:pPr>
      <w:r>
        <w:rPr>
          <w:rFonts w:hint="eastAsia" w:ascii="黑体" w:hAnsi="宋体" w:eastAsia="黑体"/>
          <w:sz w:val="24"/>
        </w:rPr>
        <w:t>53. 质疑后续处理</w:t>
      </w:r>
    </w:p>
    <w:p>
      <w:pPr>
        <w:rPr>
          <w:rFonts w:ascii="宋体" w:hAnsi="宋体"/>
          <w:szCs w:val="21"/>
        </w:rPr>
      </w:pPr>
      <w:r>
        <w:rPr>
          <w:rFonts w:hint="eastAsia" w:ascii="宋体" w:hAnsi="宋体"/>
          <w:szCs w:val="21"/>
        </w:rPr>
        <w:t xml:space="preserve">    53.1供应商质疑不成立，或者成立但未对中标、成交结果构成影响的，继续开展采购活动。</w:t>
      </w:r>
    </w:p>
    <w:p>
      <w:pPr>
        <w:rPr>
          <w:rFonts w:ascii="宋体" w:hAnsi="宋体"/>
          <w:szCs w:val="21"/>
        </w:rPr>
      </w:pPr>
      <w:r>
        <w:rPr>
          <w:rFonts w:hint="eastAsia" w:ascii="宋体" w:hAnsi="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jc w:val="center"/>
      </w:pPr>
      <w:r>
        <w:t>---- END ----</w:t>
      </w:r>
    </w:p>
    <w:bookmarkEnd w:id="96"/>
    <w:p/>
    <w:p>
      <w:pPr>
        <w:ind w:firstLine="420" w:firstLineChars="200"/>
        <w:rPr>
          <w:rFonts w:ascii="宋体" w:hAnsi="宋体"/>
          <w:szCs w:val="21"/>
        </w:rPr>
      </w:pPr>
    </w:p>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t xml:space="preserve">- </w:t>
    </w:r>
    <w:r>
      <w:fldChar w:fldCharType="begin"/>
    </w:r>
    <w:r>
      <w:instrText xml:space="preserve"> PAGE </w:instrText>
    </w:r>
    <w:r>
      <w:fldChar w:fldCharType="separate"/>
    </w:r>
    <w:r>
      <w:t>29</w:t>
    </w:r>
    <w:r>
      <w:fldChar w:fldCharType="end"/>
    </w:r>
    <w:r>
      <w:t xml:space="preserve"> -</w:t>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rPr>
        <w:rStyle w:val="46"/>
      </w:rPr>
      <w:fldChar w:fldCharType="begin"/>
    </w:r>
    <w:r>
      <w:rPr>
        <w:rStyle w:val="46"/>
      </w:rPr>
      <w:instrText xml:space="preserve">PAGE  </w:instrText>
    </w:r>
    <w:r>
      <w:rPr>
        <w:rStyle w:val="46"/>
      </w:rP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none" w:color="auto" w:sz="0" w:space="0"/>
        <w:left w:val="none" w:color="auto" w:sz="0" w:space="0"/>
        <w:bottom w:val="none" w:color="auto" w:sz="0" w:space="1"/>
        <w:right w:val="none" w:color="auto" w:sz="0" w:space="0"/>
        <w:between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2A6DD"/>
    <w:multiLevelType w:val="singleLevel"/>
    <w:tmpl w:val="A702A6DD"/>
    <w:lvl w:ilvl="0" w:tentative="0">
      <w:start w:val="1"/>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FFFFFF7C"/>
    <w:multiLevelType w:val="singleLevel"/>
    <w:tmpl w:val="FFFFFF7C"/>
    <w:lvl w:ilvl="0" w:tentative="0">
      <w:start w:val="1"/>
      <w:numFmt w:val="decimal"/>
      <w:pStyle w:val="56"/>
      <w:lvlText w:val="%1."/>
      <w:lvlJc w:val="left"/>
      <w:pPr>
        <w:tabs>
          <w:tab w:val="left" w:pos="2040"/>
        </w:tabs>
        <w:ind w:left="2040" w:leftChars="800" w:hanging="360" w:hangingChars="200"/>
      </w:pPr>
    </w:lvl>
  </w:abstractNum>
  <w:abstractNum w:abstractNumId="3">
    <w:nsid w:val="FFFFFF89"/>
    <w:multiLevelType w:val="singleLevel"/>
    <w:tmpl w:val="FFFFFF89"/>
    <w:lvl w:ilvl="0" w:tentative="0">
      <w:start w:val="1"/>
      <w:numFmt w:val="bullet"/>
      <w:pStyle w:val="15"/>
      <w:lvlText w:val=""/>
      <w:lvlJc w:val="left"/>
      <w:pPr>
        <w:tabs>
          <w:tab w:val="left" w:pos="360"/>
        </w:tabs>
        <w:ind w:left="360" w:hanging="360" w:hangingChars="200"/>
      </w:pPr>
      <w:rPr>
        <w:rFonts w:hint="default" w:ascii="Wingdings" w:hAnsi="Wingdings"/>
      </w:rPr>
    </w:lvl>
  </w:abstractNum>
  <w:abstractNum w:abstractNumId="4">
    <w:nsid w:val="00000016"/>
    <w:multiLevelType w:val="multilevel"/>
    <w:tmpl w:val="00000016"/>
    <w:lvl w:ilvl="0" w:tentative="0">
      <w:start w:val="1"/>
      <w:numFmt w:val="decimal"/>
      <w:lvlText w:val="%1)"/>
      <w:lvlJc w:val="left"/>
      <w:pPr>
        <w:ind w:left="360" w:hanging="360"/>
      </w:pPr>
      <w:rPr>
        <w:rFonts w:hint="default"/>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503483"/>
    <w:multiLevelType w:val="multilevel"/>
    <w:tmpl w:val="12503483"/>
    <w:lvl w:ilvl="0" w:tentative="0">
      <w:start w:val="1"/>
      <w:numFmt w:val="bullet"/>
      <w:pStyle w:val="104"/>
      <w:lvlText w:val=""/>
      <w:lvlJc w:val="left"/>
      <w:pPr>
        <w:tabs>
          <w:tab w:val="left" w:pos="420"/>
        </w:tabs>
        <w:ind w:left="420" w:hanging="420"/>
      </w:pPr>
      <w:rPr>
        <w:rFonts w:hint="default" w:ascii="Wingdings" w:hAnsi="Wingdings"/>
      </w:rPr>
    </w:lvl>
    <w:lvl w:ilvl="1" w:tentative="0">
      <w:start w:val="1"/>
      <w:numFmt w:val="bullet"/>
      <w:pStyle w:val="103"/>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160D20D0"/>
    <w:multiLevelType w:val="multilevel"/>
    <w:tmpl w:val="160D20D0"/>
    <w:lvl w:ilvl="0" w:tentative="0">
      <w:start w:val="1"/>
      <w:numFmt w:val="bullet"/>
      <w:pStyle w:val="72"/>
      <w:lvlText w:val=""/>
      <w:lvlJc w:val="left"/>
      <w:pPr>
        <w:tabs>
          <w:tab w:val="left" w:pos="840"/>
        </w:tabs>
        <w:ind w:left="840" w:hanging="420"/>
      </w:pPr>
      <w:rPr>
        <w:rFonts w:hint="default" w:ascii="Wingdings" w:hAnsi="Wingdings"/>
      </w:rPr>
    </w:lvl>
    <w:lvl w:ilvl="1" w:tentative="0">
      <w:start w:val="1"/>
      <w:numFmt w:val="bullet"/>
      <w:pStyle w:val="73"/>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8">
    <w:nsid w:val="2F395B7B"/>
    <w:multiLevelType w:val="multilevel"/>
    <w:tmpl w:val="2F395B7B"/>
    <w:lvl w:ilvl="0" w:tentative="0">
      <w:start w:val="1"/>
      <w:numFmt w:val="bullet"/>
      <w:pStyle w:val="164"/>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9">
    <w:nsid w:val="7AEF7716"/>
    <w:multiLevelType w:val="multilevel"/>
    <w:tmpl w:val="7AEF7716"/>
    <w:lvl w:ilvl="0" w:tentative="0">
      <w:start w:val="1"/>
      <w:numFmt w:val="chineseCountingThousand"/>
      <w:pStyle w:val="117"/>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7"/>
  </w:num>
  <w:num w:numId="4">
    <w:abstractNumId w:val="6"/>
  </w:num>
  <w:num w:numId="5">
    <w:abstractNumId w:val="9"/>
  </w:num>
  <w:num w:numId="6">
    <w:abstractNumId w:val="8"/>
  </w:num>
  <w:num w:numId="7">
    <w:abstractNumId w:val="4"/>
  </w:num>
  <w:num w:numId="8">
    <w:abstractNumId w:val="0"/>
  </w:num>
  <w:num w:numId="9">
    <w:abstractNumId w:val="1"/>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5OTcwMzQxZDVkODc4NGRlNTVhYjhlMWUxM2VjMzY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300F"/>
    <w:rsid w:val="00013262"/>
    <w:rsid w:val="0001480D"/>
    <w:rsid w:val="00014A5C"/>
    <w:rsid w:val="00015388"/>
    <w:rsid w:val="00015BDD"/>
    <w:rsid w:val="00015C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CD1"/>
    <w:rsid w:val="00036A2B"/>
    <w:rsid w:val="000377D2"/>
    <w:rsid w:val="00040D3C"/>
    <w:rsid w:val="00040E5A"/>
    <w:rsid w:val="00042897"/>
    <w:rsid w:val="00042C84"/>
    <w:rsid w:val="00043739"/>
    <w:rsid w:val="00043A89"/>
    <w:rsid w:val="00045739"/>
    <w:rsid w:val="00046D30"/>
    <w:rsid w:val="000510B6"/>
    <w:rsid w:val="00051133"/>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335B"/>
    <w:rsid w:val="00063C25"/>
    <w:rsid w:val="00064231"/>
    <w:rsid w:val="00064892"/>
    <w:rsid w:val="00064C7A"/>
    <w:rsid w:val="00066026"/>
    <w:rsid w:val="000661FF"/>
    <w:rsid w:val="00066537"/>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0D4"/>
    <w:rsid w:val="00084857"/>
    <w:rsid w:val="00084F26"/>
    <w:rsid w:val="0008503C"/>
    <w:rsid w:val="000850AF"/>
    <w:rsid w:val="000852EB"/>
    <w:rsid w:val="00086539"/>
    <w:rsid w:val="000869D8"/>
    <w:rsid w:val="00086CA6"/>
    <w:rsid w:val="00090213"/>
    <w:rsid w:val="000903AC"/>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9D3"/>
    <w:rsid w:val="000B05E2"/>
    <w:rsid w:val="000B0C99"/>
    <w:rsid w:val="000B0F8B"/>
    <w:rsid w:val="000B2213"/>
    <w:rsid w:val="000B2568"/>
    <w:rsid w:val="000B41BB"/>
    <w:rsid w:val="000B5357"/>
    <w:rsid w:val="000B5853"/>
    <w:rsid w:val="000B597F"/>
    <w:rsid w:val="000B634D"/>
    <w:rsid w:val="000B7465"/>
    <w:rsid w:val="000C14CB"/>
    <w:rsid w:val="000C18BC"/>
    <w:rsid w:val="000C1EE4"/>
    <w:rsid w:val="000C1FF9"/>
    <w:rsid w:val="000C21C4"/>
    <w:rsid w:val="000C4151"/>
    <w:rsid w:val="000C4425"/>
    <w:rsid w:val="000C4B12"/>
    <w:rsid w:val="000C4FCB"/>
    <w:rsid w:val="000C5EA0"/>
    <w:rsid w:val="000C5FA7"/>
    <w:rsid w:val="000C7E71"/>
    <w:rsid w:val="000D16AA"/>
    <w:rsid w:val="000D1A7D"/>
    <w:rsid w:val="000D2309"/>
    <w:rsid w:val="000D2CCA"/>
    <w:rsid w:val="000D366B"/>
    <w:rsid w:val="000D38F9"/>
    <w:rsid w:val="000D5D6B"/>
    <w:rsid w:val="000D62C8"/>
    <w:rsid w:val="000D7A20"/>
    <w:rsid w:val="000E0BFC"/>
    <w:rsid w:val="000E161C"/>
    <w:rsid w:val="000E266E"/>
    <w:rsid w:val="000E2B61"/>
    <w:rsid w:val="000E470B"/>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425"/>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2FD3"/>
    <w:rsid w:val="00133A61"/>
    <w:rsid w:val="001341E8"/>
    <w:rsid w:val="001362BD"/>
    <w:rsid w:val="0013673A"/>
    <w:rsid w:val="00137F86"/>
    <w:rsid w:val="001410EB"/>
    <w:rsid w:val="00141B41"/>
    <w:rsid w:val="00143554"/>
    <w:rsid w:val="00143653"/>
    <w:rsid w:val="00143934"/>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96C"/>
    <w:rsid w:val="00191EA7"/>
    <w:rsid w:val="00192164"/>
    <w:rsid w:val="00193EB7"/>
    <w:rsid w:val="00194ACA"/>
    <w:rsid w:val="00194C98"/>
    <w:rsid w:val="00194FB7"/>
    <w:rsid w:val="00196B4E"/>
    <w:rsid w:val="001975A1"/>
    <w:rsid w:val="001A027A"/>
    <w:rsid w:val="001A08E4"/>
    <w:rsid w:val="001A0D2C"/>
    <w:rsid w:val="001A11D8"/>
    <w:rsid w:val="001A12B5"/>
    <w:rsid w:val="001A174B"/>
    <w:rsid w:val="001A1C72"/>
    <w:rsid w:val="001A2976"/>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4BB2"/>
    <w:rsid w:val="001B6FAD"/>
    <w:rsid w:val="001C04B2"/>
    <w:rsid w:val="001C1FDE"/>
    <w:rsid w:val="001C2063"/>
    <w:rsid w:val="001C21E1"/>
    <w:rsid w:val="001C3426"/>
    <w:rsid w:val="001C4768"/>
    <w:rsid w:val="001C5839"/>
    <w:rsid w:val="001C6431"/>
    <w:rsid w:val="001C6AF6"/>
    <w:rsid w:val="001C7129"/>
    <w:rsid w:val="001C77E1"/>
    <w:rsid w:val="001C7ADA"/>
    <w:rsid w:val="001D0FD3"/>
    <w:rsid w:val="001D121D"/>
    <w:rsid w:val="001D1C29"/>
    <w:rsid w:val="001D3543"/>
    <w:rsid w:val="001D35FD"/>
    <w:rsid w:val="001D3B85"/>
    <w:rsid w:val="001D3DF1"/>
    <w:rsid w:val="001D4151"/>
    <w:rsid w:val="001D4BB9"/>
    <w:rsid w:val="001D501B"/>
    <w:rsid w:val="001D58E5"/>
    <w:rsid w:val="001D5EAE"/>
    <w:rsid w:val="001E07AA"/>
    <w:rsid w:val="001E0FAB"/>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03B"/>
    <w:rsid w:val="00203267"/>
    <w:rsid w:val="00203897"/>
    <w:rsid w:val="0020391D"/>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67D"/>
    <w:rsid w:val="002166A1"/>
    <w:rsid w:val="002166A6"/>
    <w:rsid w:val="00216BB6"/>
    <w:rsid w:val="0022048B"/>
    <w:rsid w:val="0022175C"/>
    <w:rsid w:val="00221D76"/>
    <w:rsid w:val="00222261"/>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4711"/>
    <w:rsid w:val="00244AE4"/>
    <w:rsid w:val="00245EBE"/>
    <w:rsid w:val="00246C63"/>
    <w:rsid w:val="002472C1"/>
    <w:rsid w:val="002473F4"/>
    <w:rsid w:val="00250600"/>
    <w:rsid w:val="002506E1"/>
    <w:rsid w:val="00250F42"/>
    <w:rsid w:val="00252934"/>
    <w:rsid w:val="00252EBA"/>
    <w:rsid w:val="0025361A"/>
    <w:rsid w:val="002545EF"/>
    <w:rsid w:val="00254B44"/>
    <w:rsid w:val="00254E99"/>
    <w:rsid w:val="00255B9B"/>
    <w:rsid w:val="002562E9"/>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2AC"/>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4E82"/>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B0660"/>
    <w:rsid w:val="002B1286"/>
    <w:rsid w:val="002B18D6"/>
    <w:rsid w:val="002B1B98"/>
    <w:rsid w:val="002B22D4"/>
    <w:rsid w:val="002B3259"/>
    <w:rsid w:val="002B3984"/>
    <w:rsid w:val="002B4595"/>
    <w:rsid w:val="002B45EE"/>
    <w:rsid w:val="002B4BF3"/>
    <w:rsid w:val="002B55C8"/>
    <w:rsid w:val="002B5E4B"/>
    <w:rsid w:val="002B660D"/>
    <w:rsid w:val="002B7969"/>
    <w:rsid w:val="002C0031"/>
    <w:rsid w:val="002C0485"/>
    <w:rsid w:val="002C0762"/>
    <w:rsid w:val="002C0C86"/>
    <w:rsid w:val="002C1397"/>
    <w:rsid w:val="002C257A"/>
    <w:rsid w:val="002C2BEC"/>
    <w:rsid w:val="002C30C0"/>
    <w:rsid w:val="002C4F4B"/>
    <w:rsid w:val="002C6EC0"/>
    <w:rsid w:val="002C7A58"/>
    <w:rsid w:val="002D0356"/>
    <w:rsid w:val="002D07C0"/>
    <w:rsid w:val="002D0F98"/>
    <w:rsid w:val="002D1DFB"/>
    <w:rsid w:val="002D45BF"/>
    <w:rsid w:val="002D4A85"/>
    <w:rsid w:val="002D4B65"/>
    <w:rsid w:val="002D6162"/>
    <w:rsid w:val="002D64DF"/>
    <w:rsid w:val="002D71EF"/>
    <w:rsid w:val="002E00F3"/>
    <w:rsid w:val="002E242E"/>
    <w:rsid w:val="002E255F"/>
    <w:rsid w:val="002E2CED"/>
    <w:rsid w:val="002E2FEC"/>
    <w:rsid w:val="002E38DB"/>
    <w:rsid w:val="002E4AB1"/>
    <w:rsid w:val="002E4F8A"/>
    <w:rsid w:val="002E505D"/>
    <w:rsid w:val="002E73B8"/>
    <w:rsid w:val="002F0823"/>
    <w:rsid w:val="002F0F0F"/>
    <w:rsid w:val="002F113B"/>
    <w:rsid w:val="002F2471"/>
    <w:rsid w:val="002F2B7A"/>
    <w:rsid w:val="002F3105"/>
    <w:rsid w:val="002F4864"/>
    <w:rsid w:val="002F5E6C"/>
    <w:rsid w:val="002F6DD7"/>
    <w:rsid w:val="002F72FF"/>
    <w:rsid w:val="002F7987"/>
    <w:rsid w:val="002F79D4"/>
    <w:rsid w:val="003005C9"/>
    <w:rsid w:val="00300BF3"/>
    <w:rsid w:val="0030143F"/>
    <w:rsid w:val="00301BCD"/>
    <w:rsid w:val="003024C7"/>
    <w:rsid w:val="00303636"/>
    <w:rsid w:val="00303ACF"/>
    <w:rsid w:val="0030463E"/>
    <w:rsid w:val="003047AB"/>
    <w:rsid w:val="00304ED6"/>
    <w:rsid w:val="0030661C"/>
    <w:rsid w:val="00306D5D"/>
    <w:rsid w:val="00306FF4"/>
    <w:rsid w:val="003074C6"/>
    <w:rsid w:val="00307A08"/>
    <w:rsid w:val="0031060A"/>
    <w:rsid w:val="00310EE1"/>
    <w:rsid w:val="003122B0"/>
    <w:rsid w:val="00312390"/>
    <w:rsid w:val="003138EB"/>
    <w:rsid w:val="003139DD"/>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18A6"/>
    <w:rsid w:val="00331D51"/>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494"/>
    <w:rsid w:val="00360C00"/>
    <w:rsid w:val="00360E7E"/>
    <w:rsid w:val="00361935"/>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FA4"/>
    <w:rsid w:val="003756C6"/>
    <w:rsid w:val="00375EFF"/>
    <w:rsid w:val="00376E35"/>
    <w:rsid w:val="003773E4"/>
    <w:rsid w:val="00377F6C"/>
    <w:rsid w:val="00380094"/>
    <w:rsid w:val="00380256"/>
    <w:rsid w:val="0038165D"/>
    <w:rsid w:val="00381812"/>
    <w:rsid w:val="00383071"/>
    <w:rsid w:val="00383BBC"/>
    <w:rsid w:val="0038418D"/>
    <w:rsid w:val="003849DF"/>
    <w:rsid w:val="00385444"/>
    <w:rsid w:val="00385717"/>
    <w:rsid w:val="00385C8D"/>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298"/>
    <w:rsid w:val="003A3304"/>
    <w:rsid w:val="003A3551"/>
    <w:rsid w:val="003A38F0"/>
    <w:rsid w:val="003A443D"/>
    <w:rsid w:val="003A4708"/>
    <w:rsid w:val="003A4BAB"/>
    <w:rsid w:val="003A6A5A"/>
    <w:rsid w:val="003A72E9"/>
    <w:rsid w:val="003B06AD"/>
    <w:rsid w:val="003B06B9"/>
    <w:rsid w:val="003B0979"/>
    <w:rsid w:val="003B15E9"/>
    <w:rsid w:val="003B175A"/>
    <w:rsid w:val="003B3231"/>
    <w:rsid w:val="003B357A"/>
    <w:rsid w:val="003B4714"/>
    <w:rsid w:val="003B499C"/>
    <w:rsid w:val="003B4CCD"/>
    <w:rsid w:val="003B53D4"/>
    <w:rsid w:val="003B7298"/>
    <w:rsid w:val="003C0036"/>
    <w:rsid w:val="003C0FF8"/>
    <w:rsid w:val="003C43DA"/>
    <w:rsid w:val="003C4FD5"/>
    <w:rsid w:val="003C5585"/>
    <w:rsid w:val="003C57DD"/>
    <w:rsid w:val="003C582B"/>
    <w:rsid w:val="003C614D"/>
    <w:rsid w:val="003C77E9"/>
    <w:rsid w:val="003D152F"/>
    <w:rsid w:val="003D19EE"/>
    <w:rsid w:val="003D2333"/>
    <w:rsid w:val="003D2374"/>
    <w:rsid w:val="003D2B3A"/>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96"/>
    <w:rsid w:val="00411B37"/>
    <w:rsid w:val="004125ED"/>
    <w:rsid w:val="00412B4D"/>
    <w:rsid w:val="00413B39"/>
    <w:rsid w:val="00413D4D"/>
    <w:rsid w:val="0041450E"/>
    <w:rsid w:val="0041456E"/>
    <w:rsid w:val="00414BE5"/>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78"/>
    <w:rsid w:val="004B1CAB"/>
    <w:rsid w:val="004B2FF9"/>
    <w:rsid w:val="004B3506"/>
    <w:rsid w:val="004B36ED"/>
    <w:rsid w:val="004B3D73"/>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49EE"/>
    <w:rsid w:val="004D4AE0"/>
    <w:rsid w:val="004D4C0B"/>
    <w:rsid w:val="004D512D"/>
    <w:rsid w:val="004D6042"/>
    <w:rsid w:val="004D62C0"/>
    <w:rsid w:val="004D69FC"/>
    <w:rsid w:val="004D77BD"/>
    <w:rsid w:val="004D77DE"/>
    <w:rsid w:val="004D7BF4"/>
    <w:rsid w:val="004D7C92"/>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1923"/>
    <w:rsid w:val="005622F8"/>
    <w:rsid w:val="0056310A"/>
    <w:rsid w:val="00563236"/>
    <w:rsid w:val="0056336F"/>
    <w:rsid w:val="005636C6"/>
    <w:rsid w:val="00565366"/>
    <w:rsid w:val="00565AF7"/>
    <w:rsid w:val="00570C34"/>
    <w:rsid w:val="00571020"/>
    <w:rsid w:val="0057189C"/>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1482"/>
    <w:rsid w:val="005B152C"/>
    <w:rsid w:val="005B1C64"/>
    <w:rsid w:val="005B1DE8"/>
    <w:rsid w:val="005B2590"/>
    <w:rsid w:val="005B25BC"/>
    <w:rsid w:val="005B2807"/>
    <w:rsid w:val="005B3606"/>
    <w:rsid w:val="005B3BFF"/>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B55"/>
    <w:rsid w:val="005D160D"/>
    <w:rsid w:val="005D356C"/>
    <w:rsid w:val="005D4A04"/>
    <w:rsid w:val="005D4CF7"/>
    <w:rsid w:val="005D5347"/>
    <w:rsid w:val="005D5CC5"/>
    <w:rsid w:val="005D5FE6"/>
    <w:rsid w:val="005D61EA"/>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5573"/>
    <w:rsid w:val="005F5D1D"/>
    <w:rsid w:val="005F60C9"/>
    <w:rsid w:val="005F64C6"/>
    <w:rsid w:val="005F6F05"/>
    <w:rsid w:val="006008F1"/>
    <w:rsid w:val="00601714"/>
    <w:rsid w:val="00601735"/>
    <w:rsid w:val="00602BD2"/>
    <w:rsid w:val="00604980"/>
    <w:rsid w:val="00605BDB"/>
    <w:rsid w:val="0060614D"/>
    <w:rsid w:val="0061005A"/>
    <w:rsid w:val="006101C5"/>
    <w:rsid w:val="00610871"/>
    <w:rsid w:val="00610E48"/>
    <w:rsid w:val="0061160D"/>
    <w:rsid w:val="0061286C"/>
    <w:rsid w:val="00612E83"/>
    <w:rsid w:val="00613C47"/>
    <w:rsid w:val="00615086"/>
    <w:rsid w:val="00615B0A"/>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1"/>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2DFC"/>
    <w:rsid w:val="00672F5B"/>
    <w:rsid w:val="00673BD7"/>
    <w:rsid w:val="00673DEE"/>
    <w:rsid w:val="00674E69"/>
    <w:rsid w:val="00675A33"/>
    <w:rsid w:val="0067602A"/>
    <w:rsid w:val="006763ED"/>
    <w:rsid w:val="00676433"/>
    <w:rsid w:val="006767FD"/>
    <w:rsid w:val="0067720F"/>
    <w:rsid w:val="0067738E"/>
    <w:rsid w:val="00677F23"/>
    <w:rsid w:val="00680936"/>
    <w:rsid w:val="00680BBE"/>
    <w:rsid w:val="00680D8C"/>
    <w:rsid w:val="00680D99"/>
    <w:rsid w:val="006821B2"/>
    <w:rsid w:val="00682725"/>
    <w:rsid w:val="00682A1B"/>
    <w:rsid w:val="00682D73"/>
    <w:rsid w:val="00682ED3"/>
    <w:rsid w:val="006846E8"/>
    <w:rsid w:val="0068541E"/>
    <w:rsid w:val="00685E9D"/>
    <w:rsid w:val="00685EBD"/>
    <w:rsid w:val="0068605C"/>
    <w:rsid w:val="006861C3"/>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A01FB"/>
    <w:rsid w:val="006A07DF"/>
    <w:rsid w:val="006A1093"/>
    <w:rsid w:val="006A1D3D"/>
    <w:rsid w:val="006A2150"/>
    <w:rsid w:val="006A2216"/>
    <w:rsid w:val="006A241D"/>
    <w:rsid w:val="006A3288"/>
    <w:rsid w:val="006A43E6"/>
    <w:rsid w:val="006A4AEE"/>
    <w:rsid w:val="006A526F"/>
    <w:rsid w:val="006A70BE"/>
    <w:rsid w:val="006A7934"/>
    <w:rsid w:val="006B0001"/>
    <w:rsid w:val="006B04AF"/>
    <w:rsid w:val="006B059F"/>
    <w:rsid w:val="006B0A56"/>
    <w:rsid w:val="006B2048"/>
    <w:rsid w:val="006B20A6"/>
    <w:rsid w:val="006B32D5"/>
    <w:rsid w:val="006B342E"/>
    <w:rsid w:val="006B3812"/>
    <w:rsid w:val="006B3B80"/>
    <w:rsid w:val="006B6870"/>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B97"/>
    <w:rsid w:val="006F1DE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4BF"/>
    <w:rsid w:val="00706A58"/>
    <w:rsid w:val="00707517"/>
    <w:rsid w:val="007078ED"/>
    <w:rsid w:val="00710187"/>
    <w:rsid w:val="007110E1"/>
    <w:rsid w:val="00711B18"/>
    <w:rsid w:val="00714394"/>
    <w:rsid w:val="00714ED6"/>
    <w:rsid w:val="007151B7"/>
    <w:rsid w:val="00715E8D"/>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34510"/>
    <w:rsid w:val="00734887"/>
    <w:rsid w:val="007365B6"/>
    <w:rsid w:val="007373C8"/>
    <w:rsid w:val="007401E2"/>
    <w:rsid w:val="00740205"/>
    <w:rsid w:val="00740D67"/>
    <w:rsid w:val="007411E5"/>
    <w:rsid w:val="00741605"/>
    <w:rsid w:val="00742AD3"/>
    <w:rsid w:val="00742F72"/>
    <w:rsid w:val="007436F2"/>
    <w:rsid w:val="0074436D"/>
    <w:rsid w:val="007446DA"/>
    <w:rsid w:val="007462C2"/>
    <w:rsid w:val="00746772"/>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0C9"/>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606"/>
    <w:rsid w:val="007908ED"/>
    <w:rsid w:val="00790F74"/>
    <w:rsid w:val="007912E8"/>
    <w:rsid w:val="00792288"/>
    <w:rsid w:val="00792447"/>
    <w:rsid w:val="007928C6"/>
    <w:rsid w:val="007929C0"/>
    <w:rsid w:val="00794F7C"/>
    <w:rsid w:val="007951F4"/>
    <w:rsid w:val="0079694C"/>
    <w:rsid w:val="00797AF9"/>
    <w:rsid w:val="00797FBD"/>
    <w:rsid w:val="007A0187"/>
    <w:rsid w:val="007A19AC"/>
    <w:rsid w:val="007A2640"/>
    <w:rsid w:val="007A268F"/>
    <w:rsid w:val="007A4A53"/>
    <w:rsid w:val="007A4C93"/>
    <w:rsid w:val="007A4E17"/>
    <w:rsid w:val="007A5AC6"/>
    <w:rsid w:val="007A6A01"/>
    <w:rsid w:val="007A7D0A"/>
    <w:rsid w:val="007A7F6D"/>
    <w:rsid w:val="007B0799"/>
    <w:rsid w:val="007B0FBD"/>
    <w:rsid w:val="007B1BAF"/>
    <w:rsid w:val="007B2393"/>
    <w:rsid w:val="007B2FE8"/>
    <w:rsid w:val="007B30DB"/>
    <w:rsid w:val="007B35F7"/>
    <w:rsid w:val="007B4DD5"/>
    <w:rsid w:val="007B4F72"/>
    <w:rsid w:val="007B5148"/>
    <w:rsid w:val="007B5A16"/>
    <w:rsid w:val="007B660D"/>
    <w:rsid w:val="007B721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53B"/>
    <w:rsid w:val="007D1E37"/>
    <w:rsid w:val="007D2256"/>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3A4"/>
    <w:rsid w:val="00807C6C"/>
    <w:rsid w:val="00807C7A"/>
    <w:rsid w:val="008115ED"/>
    <w:rsid w:val="00811A42"/>
    <w:rsid w:val="0081254B"/>
    <w:rsid w:val="008132BB"/>
    <w:rsid w:val="0081340B"/>
    <w:rsid w:val="00813788"/>
    <w:rsid w:val="00813F40"/>
    <w:rsid w:val="00814FED"/>
    <w:rsid w:val="00815822"/>
    <w:rsid w:val="00815B93"/>
    <w:rsid w:val="00815BA2"/>
    <w:rsid w:val="00816585"/>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6F4C"/>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1C1"/>
    <w:rsid w:val="00876C1B"/>
    <w:rsid w:val="00876E70"/>
    <w:rsid w:val="008804E1"/>
    <w:rsid w:val="00880E30"/>
    <w:rsid w:val="008815B6"/>
    <w:rsid w:val="008818F6"/>
    <w:rsid w:val="00881D45"/>
    <w:rsid w:val="008829F8"/>
    <w:rsid w:val="0088398E"/>
    <w:rsid w:val="00885182"/>
    <w:rsid w:val="0088647E"/>
    <w:rsid w:val="00887E02"/>
    <w:rsid w:val="00890382"/>
    <w:rsid w:val="0089046A"/>
    <w:rsid w:val="00891106"/>
    <w:rsid w:val="00892833"/>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2A60"/>
    <w:rsid w:val="008F310D"/>
    <w:rsid w:val="008F3888"/>
    <w:rsid w:val="008F3A90"/>
    <w:rsid w:val="008F3B22"/>
    <w:rsid w:val="008F43C7"/>
    <w:rsid w:val="008F4823"/>
    <w:rsid w:val="008F551B"/>
    <w:rsid w:val="008F606D"/>
    <w:rsid w:val="008F6597"/>
    <w:rsid w:val="008F7150"/>
    <w:rsid w:val="008F71CC"/>
    <w:rsid w:val="008F721C"/>
    <w:rsid w:val="008F757D"/>
    <w:rsid w:val="00900662"/>
    <w:rsid w:val="00901953"/>
    <w:rsid w:val="00901DF8"/>
    <w:rsid w:val="00902166"/>
    <w:rsid w:val="00902A0C"/>
    <w:rsid w:val="009040A1"/>
    <w:rsid w:val="009043AA"/>
    <w:rsid w:val="0090473B"/>
    <w:rsid w:val="0090487F"/>
    <w:rsid w:val="00905282"/>
    <w:rsid w:val="00905908"/>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1743"/>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4BF0"/>
    <w:rsid w:val="00946136"/>
    <w:rsid w:val="00946CD9"/>
    <w:rsid w:val="00947046"/>
    <w:rsid w:val="00947A00"/>
    <w:rsid w:val="009505F4"/>
    <w:rsid w:val="00951216"/>
    <w:rsid w:val="0095279B"/>
    <w:rsid w:val="0095316C"/>
    <w:rsid w:val="00954282"/>
    <w:rsid w:val="00954427"/>
    <w:rsid w:val="009545B9"/>
    <w:rsid w:val="009564ED"/>
    <w:rsid w:val="00956CA2"/>
    <w:rsid w:val="00960385"/>
    <w:rsid w:val="0096079B"/>
    <w:rsid w:val="00960CA9"/>
    <w:rsid w:val="0096218D"/>
    <w:rsid w:val="00964509"/>
    <w:rsid w:val="00964525"/>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B5F"/>
    <w:rsid w:val="00995768"/>
    <w:rsid w:val="00996326"/>
    <w:rsid w:val="00996B7D"/>
    <w:rsid w:val="00996F95"/>
    <w:rsid w:val="00997745"/>
    <w:rsid w:val="00997EA5"/>
    <w:rsid w:val="009A07D5"/>
    <w:rsid w:val="009A1303"/>
    <w:rsid w:val="009A1BC9"/>
    <w:rsid w:val="009A1FE7"/>
    <w:rsid w:val="009A2967"/>
    <w:rsid w:val="009A36B7"/>
    <w:rsid w:val="009A3720"/>
    <w:rsid w:val="009A42CF"/>
    <w:rsid w:val="009A44E8"/>
    <w:rsid w:val="009A4A49"/>
    <w:rsid w:val="009A581E"/>
    <w:rsid w:val="009A679E"/>
    <w:rsid w:val="009B0460"/>
    <w:rsid w:val="009B13AF"/>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4BB"/>
    <w:rsid w:val="009E0525"/>
    <w:rsid w:val="009E05A9"/>
    <w:rsid w:val="009E1370"/>
    <w:rsid w:val="009E20A6"/>
    <w:rsid w:val="009E233F"/>
    <w:rsid w:val="009E2F30"/>
    <w:rsid w:val="009E323A"/>
    <w:rsid w:val="009E328B"/>
    <w:rsid w:val="009E4130"/>
    <w:rsid w:val="009E6122"/>
    <w:rsid w:val="009E6DD0"/>
    <w:rsid w:val="009E6DEE"/>
    <w:rsid w:val="009E6E87"/>
    <w:rsid w:val="009E700C"/>
    <w:rsid w:val="009E7F79"/>
    <w:rsid w:val="009F082A"/>
    <w:rsid w:val="009F0BD9"/>
    <w:rsid w:val="009F12B4"/>
    <w:rsid w:val="009F33FA"/>
    <w:rsid w:val="009F347C"/>
    <w:rsid w:val="009F4D19"/>
    <w:rsid w:val="009F54D7"/>
    <w:rsid w:val="009F6619"/>
    <w:rsid w:val="009F68FF"/>
    <w:rsid w:val="009F6FEE"/>
    <w:rsid w:val="009F768E"/>
    <w:rsid w:val="009F7F88"/>
    <w:rsid w:val="00A00E77"/>
    <w:rsid w:val="00A01A4C"/>
    <w:rsid w:val="00A01C1F"/>
    <w:rsid w:val="00A01C98"/>
    <w:rsid w:val="00A04B6F"/>
    <w:rsid w:val="00A054CB"/>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67968"/>
    <w:rsid w:val="00A7040E"/>
    <w:rsid w:val="00A70D5A"/>
    <w:rsid w:val="00A734F2"/>
    <w:rsid w:val="00A73DEE"/>
    <w:rsid w:val="00A74678"/>
    <w:rsid w:val="00A75AEA"/>
    <w:rsid w:val="00A75EA3"/>
    <w:rsid w:val="00A76063"/>
    <w:rsid w:val="00A767EB"/>
    <w:rsid w:val="00A771BF"/>
    <w:rsid w:val="00A77299"/>
    <w:rsid w:val="00A803C1"/>
    <w:rsid w:val="00A805F1"/>
    <w:rsid w:val="00A815B6"/>
    <w:rsid w:val="00A81953"/>
    <w:rsid w:val="00A827C9"/>
    <w:rsid w:val="00A83BF3"/>
    <w:rsid w:val="00A85B31"/>
    <w:rsid w:val="00A860FD"/>
    <w:rsid w:val="00A861F3"/>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5F1A"/>
    <w:rsid w:val="00AA6916"/>
    <w:rsid w:val="00AB022F"/>
    <w:rsid w:val="00AB110E"/>
    <w:rsid w:val="00AB11CF"/>
    <w:rsid w:val="00AB1287"/>
    <w:rsid w:val="00AB1CE8"/>
    <w:rsid w:val="00AB2470"/>
    <w:rsid w:val="00AB3FCD"/>
    <w:rsid w:val="00AB4506"/>
    <w:rsid w:val="00AB5190"/>
    <w:rsid w:val="00AB5513"/>
    <w:rsid w:val="00AB6DFC"/>
    <w:rsid w:val="00AB6E0F"/>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330"/>
    <w:rsid w:val="00AE27D6"/>
    <w:rsid w:val="00AE55BC"/>
    <w:rsid w:val="00AE5A99"/>
    <w:rsid w:val="00AE62E7"/>
    <w:rsid w:val="00AE686D"/>
    <w:rsid w:val="00AE6B27"/>
    <w:rsid w:val="00AE77AC"/>
    <w:rsid w:val="00AF0DC0"/>
    <w:rsid w:val="00AF0F96"/>
    <w:rsid w:val="00AF17E4"/>
    <w:rsid w:val="00AF21D7"/>
    <w:rsid w:val="00AF282C"/>
    <w:rsid w:val="00AF28EB"/>
    <w:rsid w:val="00AF31BA"/>
    <w:rsid w:val="00AF36B6"/>
    <w:rsid w:val="00AF4803"/>
    <w:rsid w:val="00AF4D10"/>
    <w:rsid w:val="00AF58CB"/>
    <w:rsid w:val="00AF7217"/>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4AA"/>
    <w:rsid w:val="00B147C9"/>
    <w:rsid w:val="00B15BB2"/>
    <w:rsid w:val="00B1666B"/>
    <w:rsid w:val="00B16EBE"/>
    <w:rsid w:val="00B20655"/>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6B6"/>
    <w:rsid w:val="00B42C20"/>
    <w:rsid w:val="00B43AD9"/>
    <w:rsid w:val="00B443D5"/>
    <w:rsid w:val="00B44482"/>
    <w:rsid w:val="00B45012"/>
    <w:rsid w:val="00B450D9"/>
    <w:rsid w:val="00B45D36"/>
    <w:rsid w:val="00B46FF2"/>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3D1E"/>
    <w:rsid w:val="00B74530"/>
    <w:rsid w:val="00B74E4D"/>
    <w:rsid w:val="00B75D3F"/>
    <w:rsid w:val="00B75D4C"/>
    <w:rsid w:val="00B76F2C"/>
    <w:rsid w:val="00B774EE"/>
    <w:rsid w:val="00B77723"/>
    <w:rsid w:val="00B77863"/>
    <w:rsid w:val="00B80008"/>
    <w:rsid w:val="00B801AC"/>
    <w:rsid w:val="00B809E2"/>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556B"/>
    <w:rsid w:val="00B96069"/>
    <w:rsid w:val="00B968F3"/>
    <w:rsid w:val="00BA0A76"/>
    <w:rsid w:val="00BA11A9"/>
    <w:rsid w:val="00BA30C2"/>
    <w:rsid w:val="00BA31C6"/>
    <w:rsid w:val="00BA4B0A"/>
    <w:rsid w:val="00BA699B"/>
    <w:rsid w:val="00BA76AB"/>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6FE"/>
    <w:rsid w:val="00BC1221"/>
    <w:rsid w:val="00BC1765"/>
    <w:rsid w:val="00BC1FD6"/>
    <w:rsid w:val="00BC25D7"/>
    <w:rsid w:val="00BC320C"/>
    <w:rsid w:val="00BC43C2"/>
    <w:rsid w:val="00BC464D"/>
    <w:rsid w:val="00BC4883"/>
    <w:rsid w:val="00BC5454"/>
    <w:rsid w:val="00BC5F7F"/>
    <w:rsid w:val="00BC72BA"/>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A5B"/>
    <w:rsid w:val="00BE5B7C"/>
    <w:rsid w:val="00BE61C4"/>
    <w:rsid w:val="00BE72FD"/>
    <w:rsid w:val="00BE733C"/>
    <w:rsid w:val="00BE73D4"/>
    <w:rsid w:val="00BE791F"/>
    <w:rsid w:val="00BE7AF2"/>
    <w:rsid w:val="00BF1EF8"/>
    <w:rsid w:val="00BF25A9"/>
    <w:rsid w:val="00BF2DE5"/>
    <w:rsid w:val="00BF39B7"/>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439"/>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2772B"/>
    <w:rsid w:val="00C30615"/>
    <w:rsid w:val="00C30715"/>
    <w:rsid w:val="00C30D84"/>
    <w:rsid w:val="00C3131B"/>
    <w:rsid w:val="00C317A7"/>
    <w:rsid w:val="00C33383"/>
    <w:rsid w:val="00C33614"/>
    <w:rsid w:val="00C33AEC"/>
    <w:rsid w:val="00C35493"/>
    <w:rsid w:val="00C35C8E"/>
    <w:rsid w:val="00C361E9"/>
    <w:rsid w:val="00C3671E"/>
    <w:rsid w:val="00C36B1D"/>
    <w:rsid w:val="00C3742C"/>
    <w:rsid w:val="00C410D2"/>
    <w:rsid w:val="00C41363"/>
    <w:rsid w:val="00C42209"/>
    <w:rsid w:val="00C429D5"/>
    <w:rsid w:val="00C42A78"/>
    <w:rsid w:val="00C42DC9"/>
    <w:rsid w:val="00C437D6"/>
    <w:rsid w:val="00C45897"/>
    <w:rsid w:val="00C4601D"/>
    <w:rsid w:val="00C470F6"/>
    <w:rsid w:val="00C47B1C"/>
    <w:rsid w:val="00C504EF"/>
    <w:rsid w:val="00C509D2"/>
    <w:rsid w:val="00C51CCA"/>
    <w:rsid w:val="00C53131"/>
    <w:rsid w:val="00C54473"/>
    <w:rsid w:val="00C55945"/>
    <w:rsid w:val="00C55D94"/>
    <w:rsid w:val="00C55DCB"/>
    <w:rsid w:val="00C55FBB"/>
    <w:rsid w:val="00C57582"/>
    <w:rsid w:val="00C608EF"/>
    <w:rsid w:val="00C60E9C"/>
    <w:rsid w:val="00C612BB"/>
    <w:rsid w:val="00C612BF"/>
    <w:rsid w:val="00C61338"/>
    <w:rsid w:val="00C6207E"/>
    <w:rsid w:val="00C6324D"/>
    <w:rsid w:val="00C64773"/>
    <w:rsid w:val="00C64FAE"/>
    <w:rsid w:val="00C653CC"/>
    <w:rsid w:val="00C66344"/>
    <w:rsid w:val="00C66EDC"/>
    <w:rsid w:val="00C674F7"/>
    <w:rsid w:val="00C67D05"/>
    <w:rsid w:val="00C714EE"/>
    <w:rsid w:val="00C731E1"/>
    <w:rsid w:val="00C7335A"/>
    <w:rsid w:val="00C741A7"/>
    <w:rsid w:val="00C745D7"/>
    <w:rsid w:val="00C74F7C"/>
    <w:rsid w:val="00C75F87"/>
    <w:rsid w:val="00C7702A"/>
    <w:rsid w:val="00C773C8"/>
    <w:rsid w:val="00C806B8"/>
    <w:rsid w:val="00C80A25"/>
    <w:rsid w:val="00C80E5E"/>
    <w:rsid w:val="00C82930"/>
    <w:rsid w:val="00C82C9E"/>
    <w:rsid w:val="00C83945"/>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6A0A"/>
    <w:rsid w:val="00CD6EF2"/>
    <w:rsid w:val="00CD786B"/>
    <w:rsid w:val="00CD7B8B"/>
    <w:rsid w:val="00CE01F8"/>
    <w:rsid w:val="00CE08BB"/>
    <w:rsid w:val="00CE24B9"/>
    <w:rsid w:val="00CE2ADD"/>
    <w:rsid w:val="00CE2B04"/>
    <w:rsid w:val="00CE2C27"/>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9E0"/>
    <w:rsid w:val="00D27131"/>
    <w:rsid w:val="00D31AD0"/>
    <w:rsid w:val="00D31B9E"/>
    <w:rsid w:val="00D31BBD"/>
    <w:rsid w:val="00D32658"/>
    <w:rsid w:val="00D34E83"/>
    <w:rsid w:val="00D35189"/>
    <w:rsid w:val="00D352D0"/>
    <w:rsid w:val="00D3701D"/>
    <w:rsid w:val="00D37354"/>
    <w:rsid w:val="00D404B1"/>
    <w:rsid w:val="00D40C33"/>
    <w:rsid w:val="00D4104F"/>
    <w:rsid w:val="00D4313E"/>
    <w:rsid w:val="00D43988"/>
    <w:rsid w:val="00D4707E"/>
    <w:rsid w:val="00D47238"/>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4E38"/>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679"/>
    <w:rsid w:val="00D90F8A"/>
    <w:rsid w:val="00D91621"/>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87B"/>
    <w:rsid w:val="00D97BA1"/>
    <w:rsid w:val="00D97F28"/>
    <w:rsid w:val="00DA09FC"/>
    <w:rsid w:val="00DA28A7"/>
    <w:rsid w:val="00DA2BB0"/>
    <w:rsid w:val="00DA2BCC"/>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F57"/>
    <w:rsid w:val="00DD60E3"/>
    <w:rsid w:val="00DD7F9B"/>
    <w:rsid w:val="00DE3385"/>
    <w:rsid w:val="00DE3503"/>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0BF"/>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F49"/>
    <w:rsid w:val="00E67F4F"/>
    <w:rsid w:val="00E721A9"/>
    <w:rsid w:val="00E72ABF"/>
    <w:rsid w:val="00E73549"/>
    <w:rsid w:val="00E74861"/>
    <w:rsid w:val="00E748DD"/>
    <w:rsid w:val="00E74EC9"/>
    <w:rsid w:val="00E750A5"/>
    <w:rsid w:val="00E75733"/>
    <w:rsid w:val="00E75A9D"/>
    <w:rsid w:val="00E76B19"/>
    <w:rsid w:val="00E80CF7"/>
    <w:rsid w:val="00E81B8E"/>
    <w:rsid w:val="00E81ED7"/>
    <w:rsid w:val="00E82FC0"/>
    <w:rsid w:val="00E8369B"/>
    <w:rsid w:val="00E8377F"/>
    <w:rsid w:val="00E83850"/>
    <w:rsid w:val="00E85244"/>
    <w:rsid w:val="00E86159"/>
    <w:rsid w:val="00E86741"/>
    <w:rsid w:val="00E87AE4"/>
    <w:rsid w:val="00E90C1F"/>
    <w:rsid w:val="00E9124A"/>
    <w:rsid w:val="00E91A8F"/>
    <w:rsid w:val="00E9222C"/>
    <w:rsid w:val="00E92AA5"/>
    <w:rsid w:val="00E9314A"/>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AF"/>
    <w:rsid w:val="00EB57BD"/>
    <w:rsid w:val="00EB623E"/>
    <w:rsid w:val="00EB6502"/>
    <w:rsid w:val="00EB7D9C"/>
    <w:rsid w:val="00EC1076"/>
    <w:rsid w:val="00EC1406"/>
    <w:rsid w:val="00EC1526"/>
    <w:rsid w:val="00EC16C0"/>
    <w:rsid w:val="00EC23F3"/>
    <w:rsid w:val="00EC2677"/>
    <w:rsid w:val="00EC2AB5"/>
    <w:rsid w:val="00EC36F2"/>
    <w:rsid w:val="00EC46CC"/>
    <w:rsid w:val="00EC4856"/>
    <w:rsid w:val="00EC4B79"/>
    <w:rsid w:val="00EC4F33"/>
    <w:rsid w:val="00EC5115"/>
    <w:rsid w:val="00EC7E82"/>
    <w:rsid w:val="00EC7E91"/>
    <w:rsid w:val="00ED0B81"/>
    <w:rsid w:val="00ED166B"/>
    <w:rsid w:val="00ED1A64"/>
    <w:rsid w:val="00ED28DD"/>
    <w:rsid w:val="00ED2E31"/>
    <w:rsid w:val="00ED3133"/>
    <w:rsid w:val="00ED35A0"/>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7063"/>
    <w:rsid w:val="00F11635"/>
    <w:rsid w:val="00F12D86"/>
    <w:rsid w:val="00F131AA"/>
    <w:rsid w:val="00F131FD"/>
    <w:rsid w:val="00F1350B"/>
    <w:rsid w:val="00F13B05"/>
    <w:rsid w:val="00F13B5A"/>
    <w:rsid w:val="00F13EA5"/>
    <w:rsid w:val="00F13EED"/>
    <w:rsid w:val="00F14263"/>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21EF"/>
    <w:rsid w:val="00F72AAF"/>
    <w:rsid w:val="00F72AC2"/>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2021"/>
    <w:rsid w:val="00F82080"/>
    <w:rsid w:val="00F82566"/>
    <w:rsid w:val="00F82A7B"/>
    <w:rsid w:val="00F8476C"/>
    <w:rsid w:val="00F850A1"/>
    <w:rsid w:val="00F855B8"/>
    <w:rsid w:val="00F85CBD"/>
    <w:rsid w:val="00F86B84"/>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6970"/>
    <w:rsid w:val="00FC072E"/>
    <w:rsid w:val="00FC3497"/>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3256"/>
    <w:rsid w:val="00FE3B9B"/>
    <w:rsid w:val="00FE3F8E"/>
    <w:rsid w:val="00FE47ED"/>
    <w:rsid w:val="00FE5101"/>
    <w:rsid w:val="00FE61DC"/>
    <w:rsid w:val="00FE67D0"/>
    <w:rsid w:val="00FE689B"/>
    <w:rsid w:val="00FE79CE"/>
    <w:rsid w:val="00FF02D0"/>
    <w:rsid w:val="00FF081E"/>
    <w:rsid w:val="00FF1406"/>
    <w:rsid w:val="00FF145C"/>
    <w:rsid w:val="00FF26EE"/>
    <w:rsid w:val="00FF28EC"/>
    <w:rsid w:val="00FF47A3"/>
    <w:rsid w:val="00FF4B3F"/>
    <w:rsid w:val="00FF4B43"/>
    <w:rsid w:val="00FF574F"/>
    <w:rsid w:val="00FF6146"/>
    <w:rsid w:val="00FF7956"/>
    <w:rsid w:val="018F4DD0"/>
    <w:rsid w:val="02034A18"/>
    <w:rsid w:val="02A37291"/>
    <w:rsid w:val="02C8355A"/>
    <w:rsid w:val="03613039"/>
    <w:rsid w:val="036202D4"/>
    <w:rsid w:val="038A236C"/>
    <w:rsid w:val="03D07714"/>
    <w:rsid w:val="03EC6FAB"/>
    <w:rsid w:val="04B94B88"/>
    <w:rsid w:val="05262D76"/>
    <w:rsid w:val="056F462F"/>
    <w:rsid w:val="05B45F67"/>
    <w:rsid w:val="06270849"/>
    <w:rsid w:val="06552DE0"/>
    <w:rsid w:val="067D4F9E"/>
    <w:rsid w:val="06D71535"/>
    <w:rsid w:val="07515FD1"/>
    <w:rsid w:val="07991A83"/>
    <w:rsid w:val="087B2F8F"/>
    <w:rsid w:val="08CA370B"/>
    <w:rsid w:val="09F07824"/>
    <w:rsid w:val="0A0932C7"/>
    <w:rsid w:val="0A506477"/>
    <w:rsid w:val="0A8A4C86"/>
    <w:rsid w:val="0C8D726E"/>
    <w:rsid w:val="0CE05750"/>
    <w:rsid w:val="0D1077DD"/>
    <w:rsid w:val="0EA162F1"/>
    <w:rsid w:val="0F4F55B5"/>
    <w:rsid w:val="0F523385"/>
    <w:rsid w:val="10907D14"/>
    <w:rsid w:val="110658A6"/>
    <w:rsid w:val="114A387E"/>
    <w:rsid w:val="11A5684D"/>
    <w:rsid w:val="120E7E09"/>
    <w:rsid w:val="123D4E07"/>
    <w:rsid w:val="12562AA0"/>
    <w:rsid w:val="128C51F9"/>
    <w:rsid w:val="1478143A"/>
    <w:rsid w:val="15525935"/>
    <w:rsid w:val="156B7273"/>
    <w:rsid w:val="159B504D"/>
    <w:rsid w:val="167F40D4"/>
    <w:rsid w:val="169B65A7"/>
    <w:rsid w:val="16CB4F50"/>
    <w:rsid w:val="17853B61"/>
    <w:rsid w:val="17A710C7"/>
    <w:rsid w:val="17CB121D"/>
    <w:rsid w:val="183A1C0C"/>
    <w:rsid w:val="18B310B8"/>
    <w:rsid w:val="199E5A21"/>
    <w:rsid w:val="19D2715C"/>
    <w:rsid w:val="1B942A09"/>
    <w:rsid w:val="1BB61013"/>
    <w:rsid w:val="1BCE272A"/>
    <w:rsid w:val="1BDF7E16"/>
    <w:rsid w:val="1C4C11C0"/>
    <w:rsid w:val="1C675334"/>
    <w:rsid w:val="1D035455"/>
    <w:rsid w:val="1D2B1804"/>
    <w:rsid w:val="1D2D465B"/>
    <w:rsid w:val="1E3950C5"/>
    <w:rsid w:val="1E4808ED"/>
    <w:rsid w:val="20637C67"/>
    <w:rsid w:val="20913CBA"/>
    <w:rsid w:val="20DB5404"/>
    <w:rsid w:val="210118AD"/>
    <w:rsid w:val="25B12A01"/>
    <w:rsid w:val="25C31279"/>
    <w:rsid w:val="26101C34"/>
    <w:rsid w:val="27034AD1"/>
    <w:rsid w:val="280C250B"/>
    <w:rsid w:val="28CF69C0"/>
    <w:rsid w:val="28DD6E23"/>
    <w:rsid w:val="2A4F0167"/>
    <w:rsid w:val="2AD91221"/>
    <w:rsid w:val="2ADE7026"/>
    <w:rsid w:val="2B023B9A"/>
    <w:rsid w:val="2B057693"/>
    <w:rsid w:val="2CDD21EA"/>
    <w:rsid w:val="2D8206C8"/>
    <w:rsid w:val="2EEC40A0"/>
    <w:rsid w:val="2FD74BE1"/>
    <w:rsid w:val="307410C2"/>
    <w:rsid w:val="308D0856"/>
    <w:rsid w:val="31121EF5"/>
    <w:rsid w:val="31EF7704"/>
    <w:rsid w:val="332F716C"/>
    <w:rsid w:val="33305B83"/>
    <w:rsid w:val="338B6C3E"/>
    <w:rsid w:val="35AF558A"/>
    <w:rsid w:val="381E1741"/>
    <w:rsid w:val="39E14173"/>
    <w:rsid w:val="3A660185"/>
    <w:rsid w:val="3B111D6C"/>
    <w:rsid w:val="3BDD4E74"/>
    <w:rsid w:val="3C7E4EDD"/>
    <w:rsid w:val="3D303E99"/>
    <w:rsid w:val="3E824310"/>
    <w:rsid w:val="3EB53DB8"/>
    <w:rsid w:val="3F2415CF"/>
    <w:rsid w:val="405C2C22"/>
    <w:rsid w:val="40B97C69"/>
    <w:rsid w:val="40D92FB2"/>
    <w:rsid w:val="41103AB3"/>
    <w:rsid w:val="411A2A57"/>
    <w:rsid w:val="4185067D"/>
    <w:rsid w:val="41A2641C"/>
    <w:rsid w:val="426828AB"/>
    <w:rsid w:val="42A11473"/>
    <w:rsid w:val="42D24149"/>
    <w:rsid w:val="42E51F94"/>
    <w:rsid w:val="44502E5B"/>
    <w:rsid w:val="44C558EE"/>
    <w:rsid w:val="45882058"/>
    <w:rsid w:val="45E17242"/>
    <w:rsid w:val="46CF4FC2"/>
    <w:rsid w:val="46EC288D"/>
    <w:rsid w:val="47B6656B"/>
    <w:rsid w:val="48C170B3"/>
    <w:rsid w:val="49574862"/>
    <w:rsid w:val="4A5406A2"/>
    <w:rsid w:val="4AA13BA6"/>
    <w:rsid w:val="4AC519F6"/>
    <w:rsid w:val="4B110B90"/>
    <w:rsid w:val="4B2E0642"/>
    <w:rsid w:val="4D4B1098"/>
    <w:rsid w:val="4D624570"/>
    <w:rsid w:val="4E444B87"/>
    <w:rsid w:val="4FB34218"/>
    <w:rsid w:val="503333E6"/>
    <w:rsid w:val="53083749"/>
    <w:rsid w:val="5355411C"/>
    <w:rsid w:val="53590226"/>
    <w:rsid w:val="54803EF9"/>
    <w:rsid w:val="55FD133D"/>
    <w:rsid w:val="561244DD"/>
    <w:rsid w:val="562B3B54"/>
    <w:rsid w:val="563A27AE"/>
    <w:rsid w:val="563E276B"/>
    <w:rsid w:val="56BD644F"/>
    <w:rsid w:val="56F15429"/>
    <w:rsid w:val="573F362D"/>
    <w:rsid w:val="57752C31"/>
    <w:rsid w:val="5879650B"/>
    <w:rsid w:val="58B205DA"/>
    <w:rsid w:val="59562254"/>
    <w:rsid w:val="5AA23067"/>
    <w:rsid w:val="5AB92201"/>
    <w:rsid w:val="5B847B74"/>
    <w:rsid w:val="5CED3FF9"/>
    <w:rsid w:val="5D3D4165"/>
    <w:rsid w:val="5D4476FB"/>
    <w:rsid w:val="5E8B3C4B"/>
    <w:rsid w:val="5ED8763C"/>
    <w:rsid w:val="5EE80ED1"/>
    <w:rsid w:val="5F771986"/>
    <w:rsid w:val="5FC96642"/>
    <w:rsid w:val="60032513"/>
    <w:rsid w:val="601574AE"/>
    <w:rsid w:val="60257F58"/>
    <w:rsid w:val="604F1A3A"/>
    <w:rsid w:val="61250170"/>
    <w:rsid w:val="614B2DC9"/>
    <w:rsid w:val="620F09DD"/>
    <w:rsid w:val="62111B39"/>
    <w:rsid w:val="634925E3"/>
    <w:rsid w:val="65735661"/>
    <w:rsid w:val="665E5750"/>
    <w:rsid w:val="66DC2EB8"/>
    <w:rsid w:val="678877B3"/>
    <w:rsid w:val="67E1648C"/>
    <w:rsid w:val="67EE261E"/>
    <w:rsid w:val="68DA5D31"/>
    <w:rsid w:val="69A9410F"/>
    <w:rsid w:val="6B100175"/>
    <w:rsid w:val="6D0E2679"/>
    <w:rsid w:val="6D4621DE"/>
    <w:rsid w:val="6DE55656"/>
    <w:rsid w:val="6E261BA7"/>
    <w:rsid w:val="6E660432"/>
    <w:rsid w:val="6E681C31"/>
    <w:rsid w:val="6E8D3E82"/>
    <w:rsid w:val="6ED7625C"/>
    <w:rsid w:val="6F135292"/>
    <w:rsid w:val="70F50EBA"/>
    <w:rsid w:val="71266569"/>
    <w:rsid w:val="717C6A58"/>
    <w:rsid w:val="71D60130"/>
    <w:rsid w:val="73A155A6"/>
    <w:rsid w:val="73FA5E27"/>
    <w:rsid w:val="741E4FC3"/>
    <w:rsid w:val="7447637A"/>
    <w:rsid w:val="74C667AB"/>
    <w:rsid w:val="74C876B4"/>
    <w:rsid w:val="75256148"/>
    <w:rsid w:val="757440A2"/>
    <w:rsid w:val="75F73A2A"/>
    <w:rsid w:val="75FC7405"/>
    <w:rsid w:val="769958F2"/>
    <w:rsid w:val="76E96805"/>
    <w:rsid w:val="770266B0"/>
    <w:rsid w:val="770D144B"/>
    <w:rsid w:val="77E577FB"/>
    <w:rsid w:val="78174C2D"/>
    <w:rsid w:val="784576F8"/>
    <w:rsid w:val="78767A5E"/>
    <w:rsid w:val="793D0B51"/>
    <w:rsid w:val="7B471C92"/>
    <w:rsid w:val="7CFE3D1B"/>
    <w:rsid w:val="7DEB27D3"/>
    <w:rsid w:val="7E816BC7"/>
    <w:rsid w:val="7EF402AF"/>
    <w:rsid w:val="7F2E3DC9"/>
    <w:rsid w:val="7FF037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3"/>
    <w:qFormat/>
    <w:uiPriority w:val="0"/>
    <w:pPr>
      <w:spacing w:before="340" w:after="330" w:line="360" w:lineRule="auto"/>
      <w:jc w:val="center"/>
      <w:outlineLvl w:val="0"/>
    </w:pPr>
    <w:rPr>
      <w:rFonts w:eastAsia="黑体"/>
      <w:kern w:val="44"/>
      <w:szCs w:val="44"/>
    </w:rPr>
  </w:style>
  <w:style w:type="paragraph" w:styleId="4">
    <w:name w:val="heading 2"/>
    <w:basedOn w:val="5"/>
    <w:next w:val="6"/>
    <w:link w:val="68"/>
    <w:qFormat/>
    <w:uiPriority w:val="0"/>
    <w:pPr>
      <w:adjustRightInd w:val="0"/>
      <w:jc w:val="center"/>
      <w:textAlignment w:val="baseline"/>
      <w:outlineLvl w:val="1"/>
    </w:pPr>
    <w:rPr>
      <w:kern w:val="0"/>
      <w:sz w:val="24"/>
      <w:szCs w:val="20"/>
    </w:rPr>
  </w:style>
  <w:style w:type="paragraph" w:styleId="5">
    <w:name w:val="heading 3"/>
    <w:basedOn w:val="6"/>
    <w:next w:val="1"/>
    <w:link w:val="52"/>
    <w:qFormat/>
    <w:uiPriority w:val="9"/>
    <w:pPr>
      <w:spacing w:before="260" w:after="260" w:line="240" w:lineRule="auto"/>
      <w:outlineLvl w:val="2"/>
    </w:pPr>
    <w:rPr>
      <w:rFonts w:ascii="宋体" w:hAnsi="宋体" w:eastAsia="宋体"/>
      <w:szCs w:val="32"/>
    </w:rPr>
  </w:style>
  <w:style w:type="paragraph" w:styleId="6">
    <w:name w:val="heading 4"/>
    <w:basedOn w:val="1"/>
    <w:next w:val="1"/>
    <w:link w:val="50"/>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77"/>
    <w:qFormat/>
    <w:uiPriority w:val="0"/>
    <w:pPr>
      <w:keepNext/>
      <w:keepLines/>
      <w:spacing w:before="280" w:after="290" w:line="376" w:lineRule="auto"/>
      <w:outlineLvl w:val="4"/>
    </w:pPr>
    <w:rPr>
      <w:b/>
      <w:sz w:val="28"/>
      <w:szCs w:val="20"/>
    </w:rPr>
  </w:style>
  <w:style w:type="paragraph" w:styleId="9">
    <w:name w:val="heading 6"/>
    <w:basedOn w:val="1"/>
    <w:next w:val="8"/>
    <w:link w:val="80"/>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8"/>
    <w:link w:val="81"/>
    <w:qFormat/>
    <w:uiPriority w:val="0"/>
    <w:pPr>
      <w:keepNext/>
      <w:keepLines/>
      <w:spacing w:before="240" w:after="64" w:line="320" w:lineRule="auto"/>
      <w:outlineLvl w:val="6"/>
    </w:pPr>
    <w:rPr>
      <w:b/>
      <w:sz w:val="24"/>
      <w:szCs w:val="20"/>
    </w:rPr>
  </w:style>
  <w:style w:type="paragraph" w:styleId="11">
    <w:name w:val="heading 8"/>
    <w:basedOn w:val="1"/>
    <w:next w:val="8"/>
    <w:link w:val="82"/>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8"/>
    <w:link w:val="83"/>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9"/>
    <w:qFormat/>
    <w:uiPriority w:val="0"/>
    <w:pPr>
      <w:spacing w:line="360" w:lineRule="auto"/>
    </w:pPr>
    <w:rPr>
      <w:b/>
      <w:bCs/>
      <w:sz w:val="24"/>
    </w:rPr>
  </w:style>
  <w:style w:type="paragraph" w:styleId="8">
    <w:name w:val="Normal Indent"/>
    <w:basedOn w:val="1"/>
    <w:next w:val="2"/>
    <w:link w:val="54"/>
    <w:qFormat/>
    <w:uiPriority w:val="0"/>
    <w:pPr>
      <w:ind w:firstLine="420"/>
    </w:pPr>
    <w:rPr>
      <w:szCs w:val="20"/>
    </w:rPr>
  </w:style>
  <w:style w:type="paragraph" w:styleId="13">
    <w:name w:val="toc 7"/>
    <w:basedOn w:val="1"/>
    <w:next w:val="1"/>
    <w:semiHidden/>
    <w:qFormat/>
    <w:uiPriority w:val="0"/>
    <w:pPr>
      <w:ind w:left="1260"/>
      <w:jc w:val="left"/>
    </w:pPr>
    <w:rPr>
      <w:szCs w:val="21"/>
    </w:rPr>
  </w:style>
  <w:style w:type="paragraph" w:styleId="14">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5">
    <w:name w:val="List Bullet"/>
    <w:basedOn w:val="1"/>
    <w:qFormat/>
    <w:uiPriority w:val="0"/>
    <w:pPr>
      <w:numPr>
        <w:ilvl w:val="0"/>
        <w:numId w:val="1"/>
      </w:numPr>
    </w:pPr>
    <w:rPr>
      <w:szCs w:val="20"/>
    </w:rPr>
  </w:style>
  <w:style w:type="paragraph" w:styleId="16">
    <w:name w:val="Document Map"/>
    <w:basedOn w:val="1"/>
    <w:semiHidden/>
    <w:qFormat/>
    <w:uiPriority w:val="0"/>
    <w:pPr>
      <w:shd w:val="clear" w:color="auto" w:fill="000080"/>
    </w:pPr>
  </w:style>
  <w:style w:type="paragraph" w:styleId="17">
    <w:name w:val="annotation text"/>
    <w:basedOn w:val="1"/>
    <w:link w:val="181"/>
    <w:qFormat/>
    <w:uiPriority w:val="99"/>
    <w:pPr>
      <w:autoSpaceDE w:val="0"/>
      <w:autoSpaceDN w:val="0"/>
      <w:adjustRightInd w:val="0"/>
      <w:jc w:val="left"/>
      <w:textAlignment w:val="baseline"/>
    </w:pPr>
    <w:rPr>
      <w:rFonts w:ascii="宋体"/>
      <w:kern w:val="0"/>
      <w:sz w:val="34"/>
      <w:szCs w:val="20"/>
    </w:rPr>
  </w:style>
  <w:style w:type="paragraph" w:styleId="18">
    <w:name w:val="Body Text 3"/>
    <w:basedOn w:val="1"/>
    <w:link w:val="95"/>
    <w:qFormat/>
    <w:uiPriority w:val="0"/>
    <w:pPr>
      <w:spacing w:after="120"/>
    </w:pPr>
    <w:rPr>
      <w:sz w:val="16"/>
      <w:szCs w:val="16"/>
    </w:rPr>
  </w:style>
  <w:style w:type="paragraph" w:styleId="19">
    <w:name w:val="Body Text Indent"/>
    <w:basedOn w:val="1"/>
    <w:link w:val="76"/>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87"/>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85"/>
    <w:qFormat/>
    <w:uiPriority w:val="0"/>
    <w:rPr>
      <w:rFonts w:ascii="宋体" w:hAnsi="Courier New"/>
      <w:sz w:val="32"/>
      <w:szCs w:val="20"/>
    </w:rPr>
  </w:style>
  <w:style w:type="paragraph" w:styleId="25">
    <w:name w:val="Body Text Indent 2"/>
    <w:basedOn w:val="1"/>
    <w:link w:val="90"/>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96"/>
    <w:semiHidden/>
    <w:qFormat/>
    <w:uiPriority w:val="99"/>
    <w:rPr>
      <w:sz w:val="18"/>
      <w:szCs w:val="18"/>
    </w:rPr>
  </w:style>
  <w:style w:type="paragraph" w:styleId="27">
    <w:name w:val="footer"/>
    <w:basedOn w:val="1"/>
    <w:link w:val="94"/>
    <w:qFormat/>
    <w:uiPriority w:val="0"/>
    <w:pPr>
      <w:tabs>
        <w:tab w:val="center" w:pos="4153"/>
        <w:tab w:val="right" w:pos="8306"/>
      </w:tabs>
      <w:snapToGrid w:val="0"/>
      <w:jc w:val="left"/>
    </w:pPr>
    <w:rPr>
      <w:sz w:val="18"/>
      <w:szCs w:val="18"/>
    </w:rPr>
  </w:style>
  <w:style w:type="paragraph" w:styleId="28">
    <w:name w:val="header"/>
    <w:basedOn w:val="1"/>
    <w:link w:val="91"/>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toc 6"/>
    <w:basedOn w:val="1"/>
    <w:next w:val="1"/>
    <w:semiHidden/>
    <w:qFormat/>
    <w:uiPriority w:val="0"/>
    <w:pPr>
      <w:ind w:left="1050"/>
      <w:jc w:val="left"/>
    </w:pPr>
    <w:rPr>
      <w:szCs w:val="21"/>
    </w:rPr>
  </w:style>
  <w:style w:type="paragraph" w:styleId="32">
    <w:name w:val="Body Text Indent 3"/>
    <w:basedOn w:val="1"/>
    <w:link w:val="92"/>
    <w:qFormat/>
    <w:uiPriority w:val="0"/>
    <w:pPr>
      <w:spacing w:line="360" w:lineRule="auto"/>
      <w:ind w:firstLine="482" w:firstLineChars="200"/>
    </w:pPr>
    <w:rPr>
      <w:rFonts w:ascii="宋体"/>
      <w:b/>
      <w:bCs/>
      <w:sz w:val="24"/>
    </w:rPr>
  </w:style>
  <w:style w:type="paragraph" w:styleId="33">
    <w:name w:val="toc 2"/>
    <w:basedOn w:val="1"/>
    <w:next w:val="1"/>
    <w:semiHidden/>
    <w:qFormat/>
    <w:uiPriority w:val="0"/>
    <w:pPr>
      <w:tabs>
        <w:tab w:val="right" w:leader="dot" w:pos="8296"/>
      </w:tabs>
      <w:ind w:left="210"/>
      <w:jc w:val="left"/>
    </w:pPr>
    <w:rPr>
      <w:smallCaps/>
    </w:rPr>
  </w:style>
  <w:style w:type="paragraph" w:styleId="34">
    <w:name w:val="toc 9"/>
    <w:basedOn w:val="1"/>
    <w:next w:val="1"/>
    <w:semiHidden/>
    <w:qFormat/>
    <w:uiPriority w:val="0"/>
    <w:pPr>
      <w:ind w:left="1680"/>
      <w:jc w:val="left"/>
    </w:pPr>
    <w:rPr>
      <w:szCs w:val="21"/>
    </w:rPr>
  </w:style>
  <w:style w:type="paragraph" w:styleId="35">
    <w:name w:val="Body Text 2"/>
    <w:basedOn w:val="1"/>
    <w:link w:val="93"/>
    <w:qFormat/>
    <w:uiPriority w:val="0"/>
    <w:pPr>
      <w:spacing w:line="360" w:lineRule="auto"/>
    </w:pPr>
    <w:rPr>
      <w:sz w:val="24"/>
    </w:rPr>
  </w:style>
  <w:style w:type="paragraph" w:styleId="36">
    <w:name w:val="HTML Preformatted"/>
    <w:basedOn w:val="1"/>
    <w:link w:val="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87"/>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84"/>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7"/>
    <w:next w:val="17"/>
    <w:link w:val="182"/>
    <w:qFormat/>
    <w:uiPriority w:val="99"/>
    <w:pPr>
      <w:autoSpaceDE/>
      <w:autoSpaceDN/>
      <w:adjustRightInd/>
      <w:textAlignment w:val="auto"/>
    </w:pPr>
    <w:rPr>
      <w:rFonts w:ascii="Times New Roman"/>
      <w:b/>
      <w:bCs/>
      <w:kern w:val="2"/>
      <w:sz w:val="21"/>
      <w:szCs w:val="24"/>
    </w:rPr>
  </w:style>
  <w:style w:type="paragraph" w:styleId="41">
    <w:name w:val="Body Text First Indent"/>
    <w:basedOn w:val="2"/>
    <w:link w:val="127"/>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yperlink"/>
    <w:qFormat/>
    <w:uiPriority w:val="0"/>
    <w:rPr>
      <w:color w:val="0000FF"/>
      <w:u w:val="single"/>
    </w:rPr>
  </w:style>
  <w:style w:type="character" w:styleId="49">
    <w:name w:val="annotation reference"/>
    <w:basedOn w:val="44"/>
    <w:qFormat/>
    <w:uiPriority w:val="99"/>
    <w:rPr>
      <w:sz w:val="21"/>
      <w:szCs w:val="21"/>
    </w:rPr>
  </w:style>
  <w:style w:type="character" w:customStyle="1" w:styleId="50">
    <w:name w:val="标题 4 Char"/>
    <w:link w:val="6"/>
    <w:qFormat/>
    <w:uiPriority w:val="9"/>
    <w:rPr>
      <w:rFonts w:ascii="Arial" w:hAnsi="Arial" w:eastAsia="黑体"/>
      <w:b/>
      <w:bCs/>
      <w:kern w:val="2"/>
      <w:sz w:val="28"/>
      <w:szCs w:val="28"/>
      <w:lang w:val="en-US" w:eastAsia="zh-CN" w:bidi="ar-SA"/>
    </w:rPr>
  </w:style>
  <w:style w:type="paragraph" w:customStyle="1" w:styleId="5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2">
    <w:name w:val="标题 3 Char1"/>
    <w:link w:val="5"/>
    <w:qFormat/>
    <w:uiPriority w:val="9"/>
    <w:rPr>
      <w:rFonts w:ascii="宋体" w:hAnsi="宋体" w:eastAsia="宋体"/>
      <w:b/>
      <w:bCs/>
      <w:kern w:val="2"/>
      <w:sz w:val="28"/>
      <w:szCs w:val="32"/>
      <w:lang w:val="en-US" w:eastAsia="zh-CN" w:bidi="ar-SA"/>
    </w:rPr>
  </w:style>
  <w:style w:type="character" w:customStyle="1" w:styleId="53">
    <w:name w:val="标题 1 Char"/>
    <w:link w:val="3"/>
    <w:qFormat/>
    <w:uiPriority w:val="0"/>
    <w:rPr>
      <w:rFonts w:ascii="宋体" w:hAnsi="宋体" w:eastAsia="黑体"/>
      <w:b/>
      <w:bCs/>
      <w:kern w:val="44"/>
      <w:sz w:val="28"/>
      <w:szCs w:val="44"/>
      <w:lang w:val="en-US" w:eastAsia="zh-CN" w:bidi="ar-SA"/>
    </w:rPr>
  </w:style>
  <w:style w:type="character" w:customStyle="1" w:styleId="54">
    <w:name w:val="正文缩进 Char"/>
    <w:link w:val="8"/>
    <w:qFormat/>
    <w:uiPriority w:val="0"/>
    <w:rPr>
      <w:rFonts w:eastAsia="宋体"/>
      <w:kern w:val="2"/>
      <w:sz w:val="21"/>
      <w:lang w:val="en-US" w:eastAsia="zh-CN" w:bidi="ar-SA"/>
    </w:rPr>
  </w:style>
  <w:style w:type="character" w:customStyle="1" w:styleId="55">
    <w:name w:val="标题 3 Char"/>
    <w:qFormat/>
    <w:uiPriority w:val="0"/>
    <w:rPr>
      <w:rFonts w:ascii="黑体" w:eastAsia="黑体"/>
      <w:bCs/>
      <w:sz w:val="30"/>
    </w:rPr>
  </w:style>
  <w:style w:type="paragraph" w:customStyle="1" w:styleId="56">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5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58">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5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0">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3">
    <w:name w:val="自定义正文"/>
    <w:basedOn w:val="1"/>
    <w:qFormat/>
    <w:uiPriority w:val="0"/>
    <w:pPr>
      <w:spacing w:afterLines="50"/>
      <w:ind w:left="600" w:leftChars="600"/>
    </w:pPr>
  </w:style>
  <w:style w:type="paragraph" w:customStyle="1" w:styleId="64">
    <w:name w:val="Char Char Char Char Char"/>
    <w:basedOn w:val="1"/>
    <w:qFormat/>
    <w:uiPriority w:val="0"/>
    <w:rPr>
      <w:rFonts w:ascii="Tahoma" w:hAnsi="Tahoma"/>
      <w:sz w:val="24"/>
      <w:szCs w:val="20"/>
    </w:rPr>
  </w:style>
  <w:style w:type="paragraph" w:customStyle="1" w:styleId="65">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6">
    <w:name w:val="Char Char"/>
    <w:basedOn w:val="1"/>
    <w:qFormat/>
    <w:uiPriority w:val="0"/>
    <w:rPr>
      <w:rFonts w:ascii="Tahoma" w:hAnsi="Tahoma"/>
      <w:sz w:val="24"/>
      <w:szCs w:val="20"/>
    </w:rPr>
  </w:style>
  <w:style w:type="paragraph" w:customStyle="1" w:styleId="67">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68">
    <w:name w:val="标题 2 Char"/>
    <w:link w:val="4"/>
    <w:qFormat/>
    <w:uiPriority w:val="0"/>
    <w:rPr>
      <w:rFonts w:ascii="宋体" w:hAnsi="宋体" w:eastAsia="宋体"/>
      <w:b/>
      <w:bCs/>
      <w:sz w:val="24"/>
      <w:lang w:val="en-US" w:eastAsia="zh-CN" w:bidi="ar-SA"/>
    </w:rPr>
  </w:style>
  <w:style w:type="paragraph" w:customStyle="1" w:styleId="6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0">
    <w:name w:val="List Paragraph"/>
    <w:basedOn w:val="1"/>
    <w:qFormat/>
    <w:uiPriority w:val="34"/>
    <w:pPr>
      <w:ind w:firstLine="420" w:firstLineChars="200"/>
    </w:pPr>
    <w:rPr>
      <w:rFonts w:ascii="Calibri" w:hAnsi="Calibri"/>
      <w:szCs w:val="22"/>
    </w:rPr>
  </w:style>
  <w:style w:type="paragraph" w:customStyle="1" w:styleId="71">
    <w:name w:val="USE 1"/>
    <w:basedOn w:val="1"/>
    <w:qFormat/>
    <w:uiPriority w:val="0"/>
    <w:pPr>
      <w:spacing w:line="200" w:lineRule="atLeast"/>
      <w:jc w:val="left"/>
    </w:pPr>
    <w:rPr>
      <w:rFonts w:ascii="宋体" w:hAnsi="宋体"/>
      <w:b/>
      <w:sz w:val="24"/>
      <w:szCs w:val="28"/>
    </w:rPr>
  </w:style>
  <w:style w:type="paragraph" w:customStyle="1" w:styleId="72">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3">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4">
    <w:name w:val="样式 标题 2 + 段前: 13 磅 段后: 13 磅 行距: 单倍行距"/>
    <w:basedOn w:val="4"/>
    <w:qFormat/>
    <w:uiPriority w:val="0"/>
    <w:pPr>
      <w:adjustRightInd/>
      <w:spacing w:before="0" w:after="0"/>
      <w:jc w:val="both"/>
      <w:textAlignment w:val="auto"/>
    </w:pPr>
    <w:rPr>
      <w:rFonts w:ascii="Cambria" w:hAnsi="Cambria" w:cs="宋体"/>
      <w:kern w:val="2"/>
      <w:sz w:val="32"/>
    </w:rPr>
  </w:style>
  <w:style w:type="character" w:customStyle="1" w:styleId="75">
    <w:name w:val="H4 Char2"/>
    <w:qFormat/>
    <w:uiPriority w:val="0"/>
    <w:rPr>
      <w:rFonts w:ascii="Arial" w:hAnsi="Arial" w:eastAsia="黑体"/>
      <w:b/>
      <w:bCs/>
      <w:kern w:val="2"/>
      <w:sz w:val="28"/>
      <w:szCs w:val="28"/>
      <w:lang w:val="en-US" w:eastAsia="zh-CN" w:bidi="ar-SA"/>
    </w:rPr>
  </w:style>
  <w:style w:type="character" w:customStyle="1" w:styleId="76">
    <w:name w:val="正文文本缩进 Char"/>
    <w:link w:val="19"/>
    <w:qFormat/>
    <w:uiPriority w:val="0"/>
    <w:rPr>
      <w:rFonts w:eastAsia="宋体"/>
      <w:kern w:val="2"/>
      <w:sz w:val="21"/>
      <w:szCs w:val="24"/>
      <w:lang w:val="en-US" w:eastAsia="zh-CN" w:bidi="ar-SA"/>
    </w:rPr>
  </w:style>
  <w:style w:type="character" w:customStyle="1" w:styleId="77">
    <w:name w:val="标题 5 Char"/>
    <w:link w:val="7"/>
    <w:qFormat/>
    <w:uiPriority w:val="0"/>
    <w:rPr>
      <w:rFonts w:eastAsia="宋体"/>
      <w:b/>
      <w:kern w:val="2"/>
      <w:sz w:val="28"/>
      <w:lang w:val="en-US" w:eastAsia="zh-CN" w:bidi="ar-SA"/>
    </w:rPr>
  </w:style>
  <w:style w:type="character" w:customStyle="1" w:styleId="78">
    <w:name w:val="第*章 Char"/>
    <w:qFormat/>
    <w:uiPriority w:val="0"/>
    <w:rPr>
      <w:rFonts w:ascii="Arial" w:hAnsi="Arial" w:eastAsia="黑体"/>
      <w:b/>
      <w:bCs/>
      <w:kern w:val="2"/>
      <w:sz w:val="32"/>
      <w:szCs w:val="32"/>
    </w:rPr>
  </w:style>
  <w:style w:type="character" w:customStyle="1" w:styleId="79">
    <w:name w:val="章标题1 Char"/>
    <w:qFormat/>
    <w:uiPriority w:val="0"/>
    <w:rPr>
      <w:rFonts w:eastAsia="宋体"/>
      <w:b/>
      <w:bCs/>
      <w:kern w:val="2"/>
      <w:sz w:val="32"/>
      <w:szCs w:val="32"/>
      <w:lang w:val="en-US" w:eastAsia="zh-CN" w:bidi="ar-SA"/>
    </w:rPr>
  </w:style>
  <w:style w:type="character" w:customStyle="1" w:styleId="80">
    <w:name w:val="标题 6 Char"/>
    <w:link w:val="9"/>
    <w:qFormat/>
    <w:uiPriority w:val="0"/>
    <w:rPr>
      <w:rFonts w:ascii="Arial" w:hAnsi="Arial" w:eastAsia="黑体"/>
      <w:b/>
      <w:kern w:val="2"/>
      <w:sz w:val="24"/>
      <w:lang w:val="en-US" w:eastAsia="zh-CN" w:bidi="ar-SA"/>
    </w:rPr>
  </w:style>
  <w:style w:type="character" w:customStyle="1" w:styleId="81">
    <w:name w:val="标题 7 Char"/>
    <w:link w:val="10"/>
    <w:qFormat/>
    <w:uiPriority w:val="0"/>
    <w:rPr>
      <w:rFonts w:eastAsia="宋体"/>
      <w:b/>
      <w:kern w:val="2"/>
      <w:sz w:val="24"/>
      <w:lang w:val="en-US" w:eastAsia="zh-CN" w:bidi="ar-SA"/>
    </w:rPr>
  </w:style>
  <w:style w:type="character" w:customStyle="1" w:styleId="82">
    <w:name w:val="标题 8 Char"/>
    <w:link w:val="11"/>
    <w:qFormat/>
    <w:uiPriority w:val="0"/>
    <w:rPr>
      <w:rFonts w:ascii="Arial" w:hAnsi="Arial" w:eastAsia="黑体"/>
      <w:kern w:val="2"/>
      <w:sz w:val="24"/>
      <w:lang w:val="en-US" w:eastAsia="zh-CN" w:bidi="ar-SA"/>
    </w:rPr>
  </w:style>
  <w:style w:type="character" w:customStyle="1" w:styleId="83">
    <w:name w:val="标题 9 Char"/>
    <w:link w:val="12"/>
    <w:qFormat/>
    <w:uiPriority w:val="0"/>
    <w:rPr>
      <w:rFonts w:ascii="Arial" w:hAnsi="Arial" w:eastAsia="黑体"/>
      <w:kern w:val="2"/>
      <w:sz w:val="21"/>
      <w:lang w:val="en-US" w:eastAsia="zh-CN" w:bidi="ar-SA"/>
    </w:rPr>
  </w:style>
  <w:style w:type="character" w:customStyle="1" w:styleId="84">
    <w:name w:val="标题 Char"/>
    <w:link w:val="39"/>
    <w:qFormat/>
    <w:uiPriority w:val="0"/>
    <w:rPr>
      <w:rFonts w:ascii="Arial" w:hAnsi="Arial" w:eastAsia="隶书" w:cs="Arial"/>
      <w:b/>
      <w:bCs/>
      <w:kern w:val="2"/>
      <w:sz w:val="32"/>
      <w:szCs w:val="32"/>
      <w:lang w:val="en-US" w:eastAsia="zh-CN" w:bidi="ar-SA"/>
    </w:rPr>
  </w:style>
  <w:style w:type="character" w:customStyle="1" w:styleId="85">
    <w:name w:val="日期 Char"/>
    <w:link w:val="24"/>
    <w:qFormat/>
    <w:uiPriority w:val="0"/>
    <w:rPr>
      <w:rFonts w:ascii="宋体" w:hAnsi="Courier New" w:eastAsia="宋体"/>
      <w:kern w:val="2"/>
      <w:sz w:val="32"/>
      <w:lang w:val="en-US" w:eastAsia="zh-CN" w:bidi="ar-SA"/>
    </w:rPr>
  </w:style>
  <w:style w:type="character" w:customStyle="1" w:styleId="86">
    <w:name w:val="HTML 预设格式 Char"/>
    <w:link w:val="36"/>
    <w:qFormat/>
    <w:uiPriority w:val="0"/>
    <w:rPr>
      <w:rFonts w:ascii="Arial Unicode MS" w:hAnsi="Arial Unicode MS" w:eastAsia="Arial Unicode MS"/>
      <w:color w:val="000000"/>
      <w:lang w:val="en-US" w:eastAsia="zh-CN" w:bidi="ar-SA"/>
    </w:rPr>
  </w:style>
  <w:style w:type="character" w:customStyle="1" w:styleId="87">
    <w:name w:val="纯文本 Char"/>
    <w:link w:val="22"/>
    <w:qFormat/>
    <w:uiPriority w:val="0"/>
    <w:rPr>
      <w:rFonts w:ascii="宋体" w:hAnsi="Courier New" w:eastAsia="宋体"/>
      <w:kern w:val="2"/>
      <w:sz w:val="21"/>
      <w:lang w:val="en-US" w:eastAsia="zh-CN" w:bidi="ar-SA"/>
    </w:rPr>
  </w:style>
  <w:style w:type="character" w:customStyle="1" w:styleId="88">
    <w:name w:val="正文文字首行缩进 Char"/>
    <w:qFormat/>
    <w:uiPriority w:val="0"/>
    <w:rPr>
      <w:kern w:val="2"/>
      <w:sz w:val="21"/>
      <w:szCs w:val="24"/>
    </w:rPr>
  </w:style>
  <w:style w:type="character" w:customStyle="1" w:styleId="89">
    <w:name w:val="正文文本 Char"/>
    <w:link w:val="2"/>
    <w:qFormat/>
    <w:uiPriority w:val="0"/>
    <w:rPr>
      <w:rFonts w:eastAsia="宋体"/>
      <w:b/>
      <w:bCs/>
      <w:kern w:val="2"/>
      <w:sz w:val="24"/>
      <w:szCs w:val="24"/>
      <w:lang w:val="en-US" w:eastAsia="zh-CN" w:bidi="ar-SA"/>
    </w:rPr>
  </w:style>
  <w:style w:type="character" w:customStyle="1" w:styleId="90">
    <w:name w:val="正文文本缩进 2 Char"/>
    <w:link w:val="25"/>
    <w:qFormat/>
    <w:uiPriority w:val="0"/>
    <w:rPr>
      <w:rFonts w:ascii="宋体" w:hAnsi="宋体" w:eastAsia="宋体"/>
      <w:kern w:val="2"/>
      <w:sz w:val="21"/>
      <w:szCs w:val="24"/>
      <w:lang w:val="en-US" w:eastAsia="zh-CN" w:bidi="ar-SA"/>
    </w:rPr>
  </w:style>
  <w:style w:type="character" w:customStyle="1" w:styleId="91">
    <w:name w:val="页眉 Char"/>
    <w:link w:val="28"/>
    <w:qFormat/>
    <w:uiPriority w:val="99"/>
    <w:rPr>
      <w:rFonts w:eastAsia="宋体"/>
      <w:kern w:val="2"/>
      <w:sz w:val="18"/>
      <w:szCs w:val="18"/>
      <w:lang w:val="en-US" w:eastAsia="zh-CN" w:bidi="ar-SA"/>
    </w:rPr>
  </w:style>
  <w:style w:type="character" w:customStyle="1" w:styleId="92">
    <w:name w:val="正文文本缩进 3 Char"/>
    <w:link w:val="32"/>
    <w:qFormat/>
    <w:uiPriority w:val="0"/>
    <w:rPr>
      <w:rFonts w:ascii="宋体" w:eastAsia="宋体"/>
      <w:b/>
      <w:bCs/>
      <w:kern w:val="2"/>
      <w:sz w:val="24"/>
      <w:szCs w:val="24"/>
      <w:lang w:val="en-US" w:eastAsia="zh-CN" w:bidi="ar-SA"/>
    </w:rPr>
  </w:style>
  <w:style w:type="character" w:customStyle="1" w:styleId="93">
    <w:name w:val="正文文本 2 Char"/>
    <w:link w:val="35"/>
    <w:qFormat/>
    <w:uiPriority w:val="0"/>
    <w:rPr>
      <w:rFonts w:eastAsia="宋体"/>
      <w:kern w:val="2"/>
      <w:sz w:val="24"/>
      <w:szCs w:val="24"/>
      <w:lang w:val="en-US" w:eastAsia="zh-CN" w:bidi="ar-SA"/>
    </w:rPr>
  </w:style>
  <w:style w:type="character" w:customStyle="1" w:styleId="94">
    <w:name w:val="页脚 Char"/>
    <w:link w:val="27"/>
    <w:qFormat/>
    <w:uiPriority w:val="0"/>
    <w:rPr>
      <w:rFonts w:eastAsia="宋体"/>
      <w:kern w:val="2"/>
      <w:sz w:val="18"/>
      <w:szCs w:val="18"/>
      <w:lang w:val="en-US" w:eastAsia="zh-CN" w:bidi="ar-SA"/>
    </w:rPr>
  </w:style>
  <w:style w:type="character" w:customStyle="1" w:styleId="95">
    <w:name w:val="正文文本 3 Char"/>
    <w:link w:val="18"/>
    <w:qFormat/>
    <w:uiPriority w:val="0"/>
    <w:rPr>
      <w:rFonts w:eastAsia="宋体"/>
      <w:kern w:val="2"/>
      <w:sz w:val="16"/>
      <w:szCs w:val="16"/>
      <w:lang w:val="en-US" w:eastAsia="zh-CN" w:bidi="ar-SA"/>
    </w:rPr>
  </w:style>
  <w:style w:type="character" w:customStyle="1" w:styleId="96">
    <w:name w:val="批注框文本 Char"/>
    <w:link w:val="26"/>
    <w:semiHidden/>
    <w:qFormat/>
    <w:uiPriority w:val="99"/>
    <w:rPr>
      <w:rFonts w:eastAsia="宋体"/>
      <w:kern w:val="2"/>
      <w:sz w:val="18"/>
      <w:szCs w:val="18"/>
      <w:lang w:val="en-US" w:eastAsia="zh-CN" w:bidi="ar-SA"/>
    </w:rPr>
  </w:style>
  <w:style w:type="paragraph" w:customStyle="1" w:styleId="97">
    <w:name w:val="样式1"/>
    <w:basedOn w:val="39"/>
    <w:qFormat/>
    <w:uiPriority w:val="0"/>
    <w:pPr>
      <w:spacing w:before="120" w:after="120"/>
    </w:pPr>
    <w:rPr>
      <w:rFonts w:eastAsia="黑体"/>
      <w:b w:val="0"/>
      <w:sz w:val="30"/>
      <w:szCs w:val="21"/>
    </w:rPr>
  </w:style>
  <w:style w:type="paragraph" w:customStyle="1" w:styleId="98">
    <w:name w:val="样式2"/>
    <w:basedOn w:val="39"/>
    <w:next w:val="97"/>
    <w:qFormat/>
    <w:uiPriority w:val="0"/>
    <w:pPr>
      <w:spacing w:before="120" w:after="120"/>
    </w:pPr>
    <w:rPr>
      <w:rFonts w:eastAsia="黑体"/>
      <w:b w:val="0"/>
      <w:sz w:val="30"/>
      <w:szCs w:val="30"/>
    </w:rPr>
  </w:style>
  <w:style w:type="character" w:customStyle="1" w:styleId="99">
    <w:name w:val="标题 3 Char Char"/>
    <w:qFormat/>
    <w:uiPriority w:val="0"/>
    <w:rPr>
      <w:rFonts w:eastAsia="宋体"/>
      <w:b/>
      <w:bCs/>
      <w:kern w:val="2"/>
      <w:sz w:val="32"/>
      <w:szCs w:val="32"/>
      <w:lang w:val="en-US" w:eastAsia="zh-CN" w:bidi="ar-SA"/>
    </w:rPr>
  </w:style>
  <w:style w:type="paragraph" w:customStyle="1" w:styleId="100">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1">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2">
    <w:name w:val="--规划正文"/>
    <w:basedOn w:val="1"/>
    <w:qFormat/>
    <w:uiPriority w:val="0"/>
    <w:pPr>
      <w:spacing w:line="360" w:lineRule="auto"/>
      <w:ind w:firstLine="200" w:firstLineChars="200"/>
    </w:pPr>
    <w:rPr>
      <w:szCs w:val="20"/>
    </w:rPr>
  </w:style>
  <w:style w:type="paragraph" w:customStyle="1" w:styleId="103">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4">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5">
    <w:name w:val="样式4"/>
    <w:basedOn w:val="1"/>
    <w:qFormat/>
    <w:uiPriority w:val="0"/>
    <w:pPr>
      <w:tabs>
        <w:tab w:val="left" w:pos="842"/>
      </w:tabs>
      <w:spacing w:line="360" w:lineRule="auto"/>
      <w:ind w:left="842" w:hanging="420"/>
    </w:pPr>
    <w:rPr>
      <w:sz w:val="24"/>
    </w:rPr>
  </w:style>
  <w:style w:type="paragraph" w:customStyle="1" w:styleId="106">
    <w:name w:val="文字"/>
    <w:basedOn w:val="1"/>
    <w:qFormat/>
    <w:uiPriority w:val="0"/>
    <w:pPr>
      <w:tabs>
        <w:tab w:val="left" w:pos="8520"/>
      </w:tabs>
      <w:spacing w:line="312" w:lineRule="auto"/>
      <w:ind w:right="-210" w:firstLine="556"/>
    </w:pPr>
    <w:rPr>
      <w:rFonts w:ascii="宋体"/>
      <w:sz w:val="28"/>
      <w:szCs w:val="20"/>
    </w:rPr>
  </w:style>
  <w:style w:type="paragraph" w:customStyle="1" w:styleId="107">
    <w:name w:val="--规划-表格-居左"/>
    <w:basedOn w:val="102"/>
    <w:qFormat/>
    <w:uiPriority w:val="0"/>
    <w:pPr>
      <w:spacing w:line="240" w:lineRule="auto"/>
      <w:ind w:firstLine="0" w:firstLineChars="0"/>
    </w:pPr>
    <w:rPr>
      <w:sz w:val="20"/>
    </w:rPr>
  </w:style>
  <w:style w:type="paragraph" w:customStyle="1" w:styleId="108">
    <w:name w:val="--规划-表格-居中"/>
    <w:basedOn w:val="102"/>
    <w:qFormat/>
    <w:uiPriority w:val="0"/>
    <w:pPr>
      <w:spacing w:line="240" w:lineRule="auto"/>
      <w:ind w:firstLine="0" w:firstLineChars="0"/>
      <w:jc w:val="center"/>
    </w:pPr>
    <w:rPr>
      <w:sz w:val="20"/>
    </w:rPr>
  </w:style>
  <w:style w:type="paragraph" w:customStyle="1" w:styleId="109">
    <w:name w:val="--编号内缩进"/>
    <w:basedOn w:val="1"/>
    <w:qFormat/>
    <w:uiPriority w:val="0"/>
    <w:pPr>
      <w:spacing w:line="360" w:lineRule="auto"/>
      <w:ind w:left="420" w:firstLine="200" w:firstLineChars="200"/>
    </w:pPr>
    <w:rPr>
      <w:szCs w:val="21"/>
    </w:rPr>
  </w:style>
  <w:style w:type="paragraph" w:customStyle="1" w:styleId="110">
    <w:name w:val="--规划-题注"/>
    <w:basedOn w:val="1"/>
    <w:next w:val="102"/>
    <w:qFormat/>
    <w:uiPriority w:val="0"/>
    <w:pPr>
      <w:spacing w:line="360" w:lineRule="auto"/>
      <w:jc w:val="center"/>
    </w:pPr>
    <w:rPr>
      <w:rFonts w:eastAsia="黑体"/>
    </w:rPr>
  </w:style>
  <w:style w:type="paragraph" w:customStyle="1" w:styleId="111">
    <w:name w:val="--规划-图和表"/>
    <w:next w:val="102"/>
    <w:qFormat/>
    <w:uiPriority w:val="0"/>
    <w:pPr>
      <w:jc w:val="center"/>
    </w:pPr>
    <w:rPr>
      <w:rFonts w:ascii="Times New Roman" w:hAnsi="Times New Roman" w:eastAsia="宋体" w:cs="Times New Roman"/>
      <w:kern w:val="2"/>
      <w:sz w:val="21"/>
      <w:lang w:val="en-US" w:eastAsia="zh-CN" w:bidi="ar-SA"/>
    </w:rPr>
  </w:style>
  <w:style w:type="paragraph" w:customStyle="1" w:styleId="112">
    <w:name w:val="--规划-小标题"/>
    <w:basedOn w:val="1"/>
    <w:next w:val="102"/>
    <w:qFormat/>
    <w:uiPriority w:val="0"/>
    <w:pPr>
      <w:keepNext/>
      <w:keepLines/>
      <w:spacing w:line="360" w:lineRule="auto"/>
      <w:outlineLvl w:val="4"/>
    </w:pPr>
    <w:rPr>
      <w:rFonts w:eastAsia="黑体"/>
    </w:rPr>
  </w:style>
  <w:style w:type="paragraph" w:customStyle="1" w:styleId="113">
    <w:name w:val="--规划正文 Char"/>
    <w:basedOn w:val="1"/>
    <w:qFormat/>
    <w:uiPriority w:val="0"/>
    <w:pPr>
      <w:spacing w:line="360" w:lineRule="auto"/>
      <w:ind w:firstLine="200" w:firstLineChars="200"/>
    </w:pPr>
    <w:rPr>
      <w:sz w:val="24"/>
    </w:rPr>
  </w:style>
  <w:style w:type="paragraph" w:customStyle="1" w:styleId="114">
    <w:name w:val="缺省文本"/>
    <w:basedOn w:val="1"/>
    <w:qFormat/>
    <w:uiPriority w:val="0"/>
    <w:pPr>
      <w:autoSpaceDE w:val="0"/>
      <w:autoSpaceDN w:val="0"/>
      <w:adjustRightInd w:val="0"/>
      <w:jc w:val="left"/>
    </w:pPr>
    <w:rPr>
      <w:kern w:val="0"/>
    </w:rPr>
  </w:style>
  <w:style w:type="paragraph" w:customStyle="1" w:styleId="115">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6">
    <w:name w:val="--规划正文 Char Char"/>
    <w:qFormat/>
    <w:uiPriority w:val="0"/>
    <w:rPr>
      <w:rFonts w:eastAsia="宋体"/>
      <w:kern w:val="2"/>
      <w:sz w:val="24"/>
      <w:szCs w:val="24"/>
      <w:lang w:val="en-US" w:eastAsia="zh-CN" w:bidi="ar-SA"/>
    </w:rPr>
  </w:style>
  <w:style w:type="paragraph" w:customStyle="1" w:styleId="117">
    <w:name w:val="样式3"/>
    <w:basedOn w:val="3"/>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18">
    <w:name w:val="--规划正文 Char1"/>
    <w:qFormat/>
    <w:uiPriority w:val="0"/>
    <w:rPr>
      <w:rFonts w:eastAsia="宋体"/>
      <w:kern w:val="2"/>
      <w:sz w:val="21"/>
      <w:lang w:val="en-US" w:eastAsia="zh-CN" w:bidi="ar-SA"/>
    </w:rPr>
  </w:style>
  <w:style w:type="paragraph" w:customStyle="1" w:styleId="119">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0">
    <w:name w:val="列表项目"/>
    <w:basedOn w:val="1"/>
    <w:qFormat/>
    <w:uiPriority w:val="0"/>
    <w:pPr>
      <w:tabs>
        <w:tab w:val="left" w:pos="420"/>
        <w:tab w:val="left" w:pos="1080"/>
      </w:tabs>
      <w:spacing w:line="288" w:lineRule="auto"/>
      <w:ind w:left="1080" w:hanging="360"/>
    </w:pPr>
    <w:rPr>
      <w:sz w:val="24"/>
      <w:szCs w:val="20"/>
    </w:rPr>
  </w:style>
  <w:style w:type="character" w:customStyle="1" w:styleId="121">
    <w:name w:val="content1"/>
    <w:qFormat/>
    <w:uiPriority w:val="0"/>
    <w:rPr>
      <w:rFonts w:hint="default" w:ascii="??" w:hAnsi="??"/>
      <w:sz w:val="16"/>
      <w:szCs w:val="16"/>
      <w:u w:val="none"/>
    </w:rPr>
  </w:style>
  <w:style w:type="character" w:customStyle="1" w:styleId="122">
    <w:name w:val="unnamed4"/>
    <w:basedOn w:val="44"/>
    <w:qFormat/>
    <w:uiPriority w:val="0"/>
  </w:style>
  <w:style w:type="character" w:customStyle="1" w:styleId="123">
    <w:name w:val="font2"/>
    <w:basedOn w:val="44"/>
    <w:qFormat/>
    <w:uiPriority w:val="0"/>
  </w:style>
  <w:style w:type="character" w:customStyle="1" w:styleId="124">
    <w:name w:val="font41"/>
    <w:qFormat/>
    <w:uiPriority w:val="0"/>
    <w:rPr>
      <w:color w:val="000000"/>
      <w:spacing w:val="260"/>
      <w:sz w:val="18"/>
      <w:szCs w:val="18"/>
      <w:u w:val="none"/>
    </w:rPr>
  </w:style>
  <w:style w:type="paragraph" w:customStyle="1" w:styleId="125">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6">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27">
    <w:name w:val="正文首行缩进 Char"/>
    <w:link w:val="41"/>
    <w:qFormat/>
    <w:uiPriority w:val="0"/>
    <w:rPr>
      <w:rFonts w:eastAsia="宋体"/>
      <w:b/>
      <w:bCs/>
      <w:kern w:val="2"/>
      <w:sz w:val="21"/>
      <w:szCs w:val="24"/>
      <w:lang w:val="en-US" w:eastAsia="zh-CN" w:bidi="ar-SA"/>
    </w:rPr>
  </w:style>
  <w:style w:type="paragraph" w:customStyle="1" w:styleId="128">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29">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0">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1">
    <w:name w:val="mode"/>
    <w:basedOn w:val="44"/>
    <w:qFormat/>
    <w:uiPriority w:val="0"/>
  </w:style>
  <w:style w:type="paragraph" w:customStyle="1" w:styleId="132">
    <w:name w:val="9"/>
    <w:basedOn w:val="1"/>
    <w:next w:val="8"/>
    <w:qFormat/>
    <w:uiPriority w:val="0"/>
    <w:pPr>
      <w:autoSpaceDE w:val="0"/>
      <w:autoSpaceDN w:val="0"/>
      <w:adjustRightInd w:val="0"/>
      <w:ind w:firstLine="420"/>
      <w:jc w:val="left"/>
      <w:textAlignment w:val="baseline"/>
    </w:pPr>
    <w:rPr>
      <w:rFonts w:ascii="宋体"/>
      <w:kern w:val="0"/>
      <w:sz w:val="34"/>
      <w:szCs w:val="20"/>
    </w:rPr>
  </w:style>
  <w:style w:type="character" w:customStyle="1" w:styleId="133">
    <w:name w:val="unnamed3"/>
    <w:basedOn w:val="44"/>
    <w:qFormat/>
    <w:uiPriority w:val="0"/>
  </w:style>
  <w:style w:type="paragraph" w:customStyle="1" w:styleId="134">
    <w:name w:val="8"/>
    <w:basedOn w:val="1"/>
    <w:next w:val="19"/>
    <w:qFormat/>
    <w:uiPriority w:val="0"/>
    <w:pPr>
      <w:spacing w:after="120"/>
      <w:ind w:left="420" w:leftChars="200"/>
    </w:pPr>
  </w:style>
  <w:style w:type="paragraph" w:customStyle="1" w:styleId="135">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6">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37">
    <w:name w:val="5"/>
    <w:basedOn w:val="1"/>
    <w:qFormat/>
    <w:uiPriority w:val="0"/>
    <w:pPr>
      <w:autoSpaceDE w:val="0"/>
      <w:autoSpaceDN w:val="0"/>
      <w:adjustRightInd w:val="0"/>
      <w:jc w:val="left"/>
    </w:pPr>
    <w:rPr>
      <w:rFonts w:ascii="宋体"/>
      <w:b/>
      <w:bCs/>
      <w:kern w:val="0"/>
      <w:sz w:val="18"/>
      <w:szCs w:val="18"/>
    </w:rPr>
  </w:style>
  <w:style w:type="paragraph" w:customStyle="1" w:styleId="138">
    <w:name w:val="6"/>
    <w:basedOn w:val="137"/>
    <w:qFormat/>
    <w:uiPriority w:val="0"/>
    <w:pPr>
      <w:spacing w:line="270" w:lineRule="atLeast"/>
      <w:jc w:val="both"/>
    </w:pPr>
    <w:rPr>
      <w:b w:val="0"/>
      <w:bCs w:val="0"/>
    </w:rPr>
  </w:style>
  <w:style w:type="paragraph" w:customStyle="1" w:styleId="139">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0">
    <w:name w:val="姜文清定义的正文"/>
    <w:basedOn w:val="1"/>
    <w:qFormat/>
    <w:uiPriority w:val="0"/>
    <w:pPr>
      <w:spacing w:line="240" w:lineRule="atLeast"/>
      <w:ind w:firstLine="567"/>
    </w:pPr>
    <w:rPr>
      <w:szCs w:val="20"/>
    </w:rPr>
  </w:style>
  <w:style w:type="paragraph" w:customStyle="1" w:styleId="14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2">
    <w:name w:val="CM2"/>
    <w:basedOn w:val="141"/>
    <w:next w:val="141"/>
    <w:qFormat/>
    <w:uiPriority w:val="0"/>
    <w:pPr>
      <w:spacing w:line="200" w:lineRule="atLeast"/>
    </w:pPr>
    <w:rPr>
      <w:rFonts w:ascii="Arial" w:hAnsi="Arial" w:eastAsia="宋体" w:cs="Times New Roman"/>
      <w:color w:val="auto"/>
    </w:rPr>
  </w:style>
  <w:style w:type="paragraph" w:customStyle="1" w:styleId="143">
    <w:name w:val="Normal Paragraph"/>
    <w:basedOn w:val="1"/>
    <w:qFormat/>
    <w:uiPriority w:val="0"/>
    <w:pPr>
      <w:widowControl/>
      <w:spacing w:before="120" w:line="360" w:lineRule="auto"/>
      <w:ind w:firstLine="425"/>
    </w:pPr>
    <w:rPr>
      <w:kern w:val="0"/>
      <w:sz w:val="24"/>
    </w:rPr>
  </w:style>
  <w:style w:type="character" w:customStyle="1" w:styleId="144">
    <w:name w:val="blue"/>
    <w:basedOn w:val="44"/>
    <w:qFormat/>
    <w:uiPriority w:val="0"/>
  </w:style>
  <w:style w:type="paragraph" w:customStyle="1" w:styleId="145">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6">
    <w:name w:val="font"/>
    <w:basedOn w:val="44"/>
    <w:qFormat/>
    <w:uiPriority w:val="0"/>
  </w:style>
  <w:style w:type="character" w:customStyle="1" w:styleId="147">
    <w:name w:val="font11"/>
    <w:qFormat/>
    <w:uiPriority w:val="0"/>
    <w:rPr>
      <w:rFonts w:hint="default" w:ascii="ˎ̥" w:hAnsi="ˎ̥"/>
    </w:rPr>
  </w:style>
  <w:style w:type="paragraph" w:customStyle="1" w:styleId="148">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49">
    <w:name w:val="proddescription"/>
    <w:basedOn w:val="44"/>
    <w:qFormat/>
    <w:uiPriority w:val="0"/>
  </w:style>
  <w:style w:type="character" w:customStyle="1" w:styleId="150">
    <w:name w:val="prodheadlines"/>
    <w:basedOn w:val="44"/>
    <w:qFormat/>
    <w:uiPriority w:val="0"/>
  </w:style>
  <w:style w:type="character" w:customStyle="1" w:styleId="151">
    <w:name w:val="text"/>
    <w:basedOn w:val="44"/>
    <w:qFormat/>
    <w:uiPriority w:val="0"/>
  </w:style>
  <w:style w:type="paragraph" w:customStyle="1" w:styleId="152">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3">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4">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5">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6">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57">
    <w:name w:val="段落正文"/>
    <w:basedOn w:val="22"/>
    <w:qFormat/>
    <w:uiPriority w:val="0"/>
    <w:pPr>
      <w:ind w:firstLine="560" w:firstLineChars="200"/>
    </w:pPr>
    <w:rPr>
      <w:sz w:val="28"/>
    </w:rPr>
  </w:style>
  <w:style w:type="character" w:customStyle="1" w:styleId="158">
    <w:name w:val="gray6"/>
    <w:basedOn w:val="44"/>
    <w:qFormat/>
    <w:uiPriority w:val="0"/>
  </w:style>
  <w:style w:type="character" w:customStyle="1" w:styleId="159">
    <w:name w:val="style9"/>
    <w:basedOn w:val="44"/>
    <w:qFormat/>
    <w:uiPriority w:val="0"/>
  </w:style>
  <w:style w:type="paragraph" w:customStyle="1" w:styleId="160">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1">
    <w:name w:val="grame"/>
    <w:basedOn w:val="44"/>
    <w:qFormat/>
    <w:uiPriority w:val="0"/>
  </w:style>
  <w:style w:type="paragraph" w:customStyle="1" w:styleId="162">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3">
    <w:name w:val="Char1"/>
    <w:basedOn w:val="1"/>
    <w:qFormat/>
    <w:uiPriority w:val="0"/>
    <w:pPr>
      <w:jc w:val="left"/>
    </w:pPr>
    <w:rPr>
      <w:rFonts w:ascii="Tahoma" w:hAnsi="Tahoma"/>
      <w:sz w:val="24"/>
      <w:szCs w:val="20"/>
    </w:rPr>
  </w:style>
  <w:style w:type="paragraph" w:customStyle="1" w:styleId="164">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5">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6">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68">
    <w:name w:val="font6"/>
    <w:basedOn w:val="1"/>
    <w:qFormat/>
    <w:uiPriority w:val="0"/>
    <w:pPr>
      <w:widowControl/>
      <w:spacing w:before="100" w:beforeAutospacing="1" w:after="100" w:afterAutospacing="1"/>
      <w:jc w:val="left"/>
    </w:pPr>
    <w:rPr>
      <w:kern w:val="0"/>
      <w:sz w:val="24"/>
    </w:rPr>
  </w:style>
  <w:style w:type="paragraph" w:customStyle="1" w:styleId="16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1">
    <w:name w:val="表格字"/>
    <w:basedOn w:val="1"/>
    <w:qFormat/>
    <w:uiPriority w:val="0"/>
    <w:pPr>
      <w:adjustRightInd w:val="0"/>
      <w:jc w:val="center"/>
    </w:pPr>
    <w:rPr>
      <w:rFonts w:ascii="宋体"/>
      <w:sz w:val="24"/>
      <w:szCs w:val="20"/>
    </w:rPr>
  </w:style>
  <w:style w:type="character" w:customStyle="1" w:styleId="172">
    <w:name w:val="样式 小三 加粗"/>
    <w:qFormat/>
    <w:uiPriority w:val="0"/>
    <w:rPr>
      <w:rFonts w:eastAsia="宋体"/>
      <w:b/>
      <w:bCs/>
      <w:sz w:val="32"/>
    </w:rPr>
  </w:style>
  <w:style w:type="paragraph" w:customStyle="1" w:styleId="17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4">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5">
    <w:name w:val="Char Char Char"/>
    <w:basedOn w:val="1"/>
    <w:qFormat/>
    <w:uiPriority w:val="0"/>
    <w:rPr>
      <w:rFonts w:ascii="Tahoma" w:hAnsi="Tahoma"/>
      <w:sz w:val="24"/>
      <w:szCs w:val="20"/>
    </w:rPr>
  </w:style>
  <w:style w:type="paragraph" w:customStyle="1" w:styleId="176">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77">
    <w:name w:val="info4"/>
    <w:basedOn w:val="44"/>
    <w:qFormat/>
    <w:uiPriority w:val="0"/>
  </w:style>
  <w:style w:type="paragraph" w:customStyle="1" w:styleId="178">
    <w:name w:val="缩进正文"/>
    <w:basedOn w:val="1"/>
    <w:link w:val="179"/>
    <w:qFormat/>
    <w:uiPriority w:val="0"/>
    <w:pPr>
      <w:ind w:firstLine="560" w:firstLineChars="200"/>
    </w:pPr>
    <w:rPr>
      <w:rFonts w:eastAsia="仿宋_GB2312" w:cs="宋体"/>
      <w:sz w:val="28"/>
      <w:szCs w:val="20"/>
    </w:rPr>
  </w:style>
  <w:style w:type="character" w:customStyle="1" w:styleId="179">
    <w:name w:val="缩进正文 Char"/>
    <w:link w:val="178"/>
    <w:qFormat/>
    <w:uiPriority w:val="0"/>
    <w:rPr>
      <w:rFonts w:eastAsia="仿宋_GB2312" w:cs="宋体"/>
      <w:kern w:val="2"/>
      <w:sz w:val="28"/>
      <w:lang w:val="en-US" w:eastAsia="zh-CN" w:bidi="ar-SA"/>
    </w:rPr>
  </w:style>
  <w:style w:type="paragraph" w:customStyle="1" w:styleId="180">
    <w:name w:val="列出段落1"/>
    <w:basedOn w:val="1"/>
    <w:qFormat/>
    <w:uiPriority w:val="0"/>
    <w:pPr>
      <w:ind w:firstLine="420" w:firstLineChars="200"/>
    </w:pPr>
    <w:rPr>
      <w:rFonts w:ascii="Calibri" w:hAnsi="Calibri" w:cs="Calibri"/>
      <w:szCs w:val="21"/>
    </w:rPr>
  </w:style>
  <w:style w:type="character" w:customStyle="1" w:styleId="181">
    <w:name w:val="批注文字 Char"/>
    <w:basedOn w:val="44"/>
    <w:link w:val="17"/>
    <w:qFormat/>
    <w:uiPriority w:val="99"/>
    <w:rPr>
      <w:rFonts w:ascii="宋体"/>
      <w:sz w:val="34"/>
    </w:rPr>
  </w:style>
  <w:style w:type="character" w:customStyle="1" w:styleId="182">
    <w:name w:val="批注主题 Char"/>
    <w:basedOn w:val="181"/>
    <w:link w:val="40"/>
    <w:qFormat/>
    <w:uiPriority w:val="99"/>
    <w:rPr>
      <w:rFonts w:ascii="宋体"/>
      <w:sz w:val="34"/>
    </w:rPr>
  </w:style>
  <w:style w:type="paragraph" w:customStyle="1" w:styleId="183">
    <w:name w:val="评价"/>
    <w:basedOn w:val="1"/>
    <w:qFormat/>
    <w:uiPriority w:val="0"/>
    <w:pPr>
      <w:spacing w:afterLines="20"/>
      <w:ind w:firstLine="1446" w:firstLineChars="200"/>
    </w:pPr>
    <w:rPr>
      <w:rFonts w:ascii="Calibri" w:hAnsi="Calibri"/>
      <w:sz w:val="24"/>
    </w:rPr>
  </w:style>
  <w:style w:type="paragraph" w:customStyle="1" w:styleId="18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5">
    <w:name w:val="alt-edited1"/>
    <w:qFormat/>
    <w:uiPriority w:val="0"/>
    <w:rPr>
      <w:color w:val="4D90F0"/>
    </w:rPr>
  </w:style>
  <w:style w:type="character" w:customStyle="1" w:styleId="186">
    <w:name w:val="body text Char1"/>
    <w:qFormat/>
    <w:uiPriority w:val="0"/>
    <w:rPr>
      <w:rFonts w:eastAsia="宋体"/>
      <w:kern w:val="2"/>
      <w:sz w:val="21"/>
      <w:lang w:val="en-US" w:eastAsia="zh-CN" w:bidi="ar-SA"/>
    </w:rPr>
  </w:style>
  <w:style w:type="character" w:customStyle="1" w:styleId="187">
    <w:name w:val="普通(网站) Char"/>
    <w:link w:val="37"/>
    <w:qFormat/>
    <w:uiPriority w:val="0"/>
    <w:rPr>
      <w:kern w:val="2"/>
      <w:sz w:val="24"/>
      <w:szCs w:val="24"/>
    </w:rPr>
  </w:style>
  <w:style w:type="character" w:customStyle="1" w:styleId="188">
    <w:name w:val="批注文字 Char1"/>
    <w:qFormat/>
    <w:uiPriority w:val="99"/>
    <w:rPr>
      <w:rFonts w:ascii="宋体"/>
      <w:sz w:val="34"/>
    </w:rPr>
  </w:style>
  <w:style w:type="character" w:customStyle="1" w:styleId="189">
    <w:name w:val="正文缩进 Char1"/>
    <w:qFormat/>
    <w:uiPriority w:val="0"/>
    <w:rPr>
      <w:rFonts w:eastAsia="宋体"/>
      <w:kern w:val="2"/>
      <w:sz w:val="21"/>
      <w:lang w:val="en-US" w:eastAsia="zh-CN" w:bidi="ar-SA"/>
    </w:rPr>
  </w:style>
  <w:style w:type="table" w:customStyle="1" w:styleId="190">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F8195-465B-44FE-B08A-3EF6B09C32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3124</Words>
  <Characters>3359</Characters>
  <Lines>332</Lines>
  <Paragraphs>93</Paragraphs>
  <TotalTime>55</TotalTime>
  <ScaleCrop>false</ScaleCrop>
  <LinksUpToDate>false</LinksUpToDate>
  <CharactersWithSpaces>3371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2021-04-19T08:29:00Z</dcterms:created>
  <dc:creator>thsware</dc:creator>
  <cp:lastModifiedBy>Administrator</cp:lastModifiedBy>
  <cp:lastPrinted>2021-05-09T08:02:00Z</cp:lastPrinted>
  <dcterms:modified xsi:type="dcterms:W3CDTF">2024-11-13T03:10:02Z</dcterms:modified>
  <dc:title>招  标　文　件</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A60C894050B348BA8D0EBE357E758C1F</vt:lpwstr>
  </property>
</Properties>
</file>