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Autospacing="1" w:afterAutospacing="1"/>
        <w:jc w:val="center"/>
        <w:outlineLvl w:val="1"/>
        <w:rPr>
          <w:rFonts w:hint="eastAsia" w:ascii="黑体" w:hAnsi="宋体" w:eastAsia="黑体" w:cs="黑体"/>
          <w:kern w:val="0"/>
          <w:sz w:val="40"/>
          <w:szCs w:val="40"/>
          <w:highlight w:val="none"/>
        </w:rPr>
      </w:pPr>
    </w:p>
    <w:p>
      <w:pPr>
        <w:widowControl/>
        <w:spacing w:beforeAutospacing="1" w:afterAutospacing="1"/>
        <w:jc w:val="center"/>
        <w:outlineLvl w:val="1"/>
        <w:rPr>
          <w:rFonts w:hint="eastAsia" w:ascii="黑体" w:hAnsi="宋体" w:eastAsia="黑体" w:cs="黑体"/>
          <w:kern w:val="0"/>
          <w:sz w:val="40"/>
          <w:szCs w:val="40"/>
          <w:highlight w:val="none"/>
        </w:rPr>
      </w:pPr>
    </w:p>
    <w:p>
      <w:pPr>
        <w:widowControl/>
        <w:spacing w:beforeAutospacing="1" w:afterAutospacing="1"/>
        <w:jc w:val="center"/>
        <w:outlineLvl w:val="1"/>
        <w:rPr>
          <w:rFonts w:hint="eastAsia" w:ascii="黑体" w:hAnsi="宋体" w:eastAsia="黑体" w:cs="黑体"/>
          <w:kern w:val="0"/>
          <w:sz w:val="40"/>
          <w:szCs w:val="40"/>
          <w:highlight w:val="none"/>
        </w:rPr>
      </w:pPr>
    </w:p>
    <w:p>
      <w:pPr>
        <w:widowControl/>
        <w:spacing w:beforeAutospacing="1" w:afterAutospacing="1"/>
        <w:jc w:val="center"/>
        <w:outlineLvl w:val="1"/>
        <w:rPr>
          <w:rFonts w:ascii="黑体" w:hAnsi="宋体" w:eastAsia="黑体" w:cs="黑体"/>
          <w:kern w:val="0"/>
          <w:sz w:val="40"/>
          <w:szCs w:val="40"/>
          <w:highlight w:val="none"/>
        </w:rPr>
      </w:pPr>
      <w:r>
        <w:rPr>
          <w:rFonts w:hint="eastAsia" w:ascii="黑体" w:hAnsi="宋体" w:eastAsia="黑体" w:cs="黑体"/>
          <w:kern w:val="0"/>
          <w:sz w:val="40"/>
          <w:szCs w:val="40"/>
          <w:highlight w:val="none"/>
        </w:rPr>
        <w:t>招标文件信息</w:t>
      </w:r>
    </w:p>
    <w:p>
      <w:pPr>
        <w:pStyle w:val="37"/>
        <w:widowControl/>
        <w:ind w:firstLine="2400" w:firstLineChars="800"/>
        <w:jc w:val="both"/>
        <w:outlineLvl w:val="1"/>
        <w:rPr>
          <w:rFonts w:hint="default" w:asciiTheme="minorEastAsia" w:hAnsiTheme="minorEastAsia" w:eastAsiaTheme="minorEastAsia" w:cstheme="minorEastAsia"/>
          <w:b w:val="0"/>
          <w:bCs w:val="0"/>
          <w:sz w:val="30"/>
          <w:szCs w:val="30"/>
          <w:highlight w:val="none"/>
          <w:lang w:val="en-US" w:eastAsia="zh-CN"/>
        </w:rPr>
      </w:pPr>
      <w:r>
        <w:rPr>
          <w:rFonts w:hint="eastAsia" w:asciiTheme="minorEastAsia" w:hAnsiTheme="minorEastAsia" w:eastAsiaTheme="minorEastAsia" w:cstheme="minorEastAsia"/>
          <w:b w:val="0"/>
          <w:bCs w:val="0"/>
          <w:sz w:val="30"/>
          <w:szCs w:val="30"/>
          <w:highlight w:val="none"/>
        </w:rPr>
        <w:t>项目编号：FTZXCG-2024-000</w:t>
      </w:r>
      <w:r>
        <w:rPr>
          <w:rFonts w:hint="eastAsia" w:asciiTheme="minorEastAsia" w:hAnsiTheme="minorEastAsia" w:eastAsiaTheme="minorEastAsia" w:cstheme="minorEastAsia"/>
          <w:b w:val="0"/>
          <w:bCs w:val="0"/>
          <w:sz w:val="30"/>
          <w:szCs w:val="30"/>
          <w:highlight w:val="none"/>
          <w:lang w:val="en-US" w:eastAsia="zh-CN"/>
        </w:rPr>
        <w:t>47</w:t>
      </w:r>
    </w:p>
    <w:p>
      <w:pPr>
        <w:pStyle w:val="37"/>
        <w:widowControl/>
        <w:jc w:val="center"/>
        <w:outlineLvl w:val="1"/>
        <w:rPr>
          <w:rFonts w:hint="eastAsia" w:asciiTheme="minorEastAsia" w:hAnsiTheme="minorEastAsia" w:eastAsiaTheme="minorEastAsia" w:cstheme="minorEastAsia"/>
          <w:b w:val="0"/>
          <w:bCs w:val="0"/>
          <w:sz w:val="30"/>
          <w:szCs w:val="30"/>
          <w:highlight w:val="none"/>
          <w:lang w:val="en-US" w:eastAsia="zh-CN"/>
        </w:rPr>
      </w:pPr>
    </w:p>
    <w:p>
      <w:pPr>
        <w:pStyle w:val="37"/>
        <w:widowControl/>
        <w:ind w:left="3886" w:leftChars="1136" w:hanging="1500" w:hangingChars="500"/>
        <w:jc w:val="both"/>
        <w:outlineLvl w:val="1"/>
        <w:rPr>
          <w:rFonts w:hint="default" w:asciiTheme="minorEastAsia" w:hAnsiTheme="minorEastAsia" w:eastAsiaTheme="minorEastAsia" w:cstheme="minorEastAsia"/>
          <w:b w:val="0"/>
          <w:bCs w:val="0"/>
          <w:sz w:val="30"/>
          <w:szCs w:val="30"/>
          <w:highlight w:val="none"/>
          <w:lang w:val="en-US"/>
        </w:rPr>
      </w:pPr>
      <w:r>
        <w:rPr>
          <w:rFonts w:hint="eastAsia" w:asciiTheme="minorEastAsia" w:hAnsiTheme="minorEastAsia" w:eastAsiaTheme="minorEastAsia" w:cstheme="minorEastAsia"/>
          <w:b w:val="0"/>
          <w:bCs w:val="0"/>
          <w:sz w:val="30"/>
          <w:szCs w:val="30"/>
          <w:highlight w:val="none"/>
        </w:rPr>
        <w:t>项目名称：</w:t>
      </w:r>
      <w:bookmarkStart w:id="99" w:name="_GoBack"/>
      <w:r>
        <w:rPr>
          <w:rFonts w:hint="eastAsia" w:asciiTheme="minorEastAsia" w:hAnsiTheme="minorEastAsia" w:eastAsiaTheme="minorEastAsia" w:cstheme="minorEastAsia"/>
          <w:b w:val="0"/>
          <w:bCs w:val="0"/>
          <w:sz w:val="30"/>
          <w:szCs w:val="30"/>
          <w:highlight w:val="none"/>
          <w:lang w:val="en-US" w:eastAsia="zh-CN"/>
        </w:rPr>
        <w:t>深圳市福田区第一幼儿园购买服务课时及工勤项目</w:t>
      </w:r>
      <w:bookmarkEnd w:id="99"/>
    </w:p>
    <w:p>
      <w:pPr>
        <w:pStyle w:val="37"/>
        <w:widowControl/>
        <w:ind w:firstLine="2400" w:firstLineChars="800"/>
        <w:jc w:val="both"/>
        <w:outlineLvl w:val="1"/>
        <w:rPr>
          <w:rFonts w:hint="eastAsia" w:asciiTheme="minorEastAsia" w:hAnsiTheme="minorEastAsia" w:eastAsiaTheme="minorEastAsia" w:cstheme="minorEastAsia"/>
          <w:b w:val="0"/>
          <w:bCs w:val="0"/>
          <w:sz w:val="30"/>
          <w:szCs w:val="30"/>
          <w:highlight w:val="none"/>
        </w:rPr>
      </w:pPr>
    </w:p>
    <w:p>
      <w:pPr>
        <w:pStyle w:val="37"/>
        <w:widowControl/>
        <w:ind w:firstLine="2400" w:firstLineChars="800"/>
        <w:jc w:val="both"/>
        <w:outlineLvl w:val="1"/>
        <w:rPr>
          <w:rFonts w:hint="eastAsia" w:asciiTheme="minorEastAsia" w:hAnsiTheme="minorEastAsia" w:eastAsiaTheme="minorEastAsia" w:cstheme="minorEastAsia"/>
          <w:b w:val="0"/>
          <w:bCs w:val="0"/>
          <w:sz w:val="30"/>
          <w:szCs w:val="30"/>
          <w:highlight w:val="none"/>
        </w:rPr>
      </w:pPr>
      <w:r>
        <w:rPr>
          <w:rFonts w:hint="eastAsia" w:asciiTheme="minorEastAsia" w:hAnsiTheme="minorEastAsia" w:eastAsiaTheme="minorEastAsia" w:cstheme="minorEastAsia"/>
          <w:b w:val="0"/>
          <w:bCs w:val="0"/>
          <w:sz w:val="30"/>
          <w:szCs w:val="30"/>
          <w:highlight w:val="none"/>
        </w:rPr>
        <w:t>包 号：</w:t>
      </w:r>
      <w:r>
        <w:rPr>
          <w:rFonts w:hint="eastAsia" w:asciiTheme="minorEastAsia" w:hAnsiTheme="minorEastAsia" w:eastAsiaTheme="minorEastAsia" w:cstheme="minorEastAsia"/>
          <w:b w:val="0"/>
          <w:bCs w:val="0"/>
          <w:sz w:val="30"/>
          <w:szCs w:val="30"/>
          <w:highlight w:val="none"/>
        </w:rPr>
        <w:tab/>
      </w:r>
      <w:r>
        <w:rPr>
          <w:rFonts w:hint="eastAsia" w:asciiTheme="minorEastAsia" w:hAnsiTheme="minorEastAsia" w:eastAsiaTheme="minorEastAsia" w:cstheme="minorEastAsia"/>
          <w:b w:val="0"/>
          <w:bCs w:val="0"/>
          <w:sz w:val="30"/>
          <w:szCs w:val="30"/>
          <w:highlight w:val="none"/>
        </w:rPr>
        <w:t>A</w:t>
      </w:r>
    </w:p>
    <w:p>
      <w:pPr>
        <w:pStyle w:val="37"/>
        <w:widowControl/>
        <w:ind w:firstLine="2400" w:firstLineChars="800"/>
        <w:jc w:val="both"/>
        <w:outlineLvl w:val="1"/>
        <w:rPr>
          <w:rFonts w:hint="eastAsia" w:asciiTheme="minorEastAsia" w:hAnsiTheme="minorEastAsia" w:eastAsiaTheme="minorEastAsia" w:cstheme="minorEastAsia"/>
          <w:b w:val="0"/>
          <w:bCs w:val="0"/>
          <w:sz w:val="30"/>
          <w:szCs w:val="30"/>
          <w:highlight w:val="none"/>
        </w:rPr>
      </w:pPr>
    </w:p>
    <w:p>
      <w:pPr>
        <w:pStyle w:val="37"/>
        <w:widowControl/>
        <w:ind w:firstLine="2400" w:firstLineChars="800"/>
        <w:jc w:val="both"/>
        <w:outlineLvl w:val="1"/>
        <w:rPr>
          <w:rFonts w:hint="eastAsia" w:asciiTheme="minorEastAsia" w:hAnsiTheme="minorEastAsia" w:eastAsiaTheme="minorEastAsia" w:cstheme="minorEastAsia"/>
          <w:b w:val="0"/>
          <w:bCs w:val="0"/>
          <w:sz w:val="30"/>
          <w:szCs w:val="30"/>
          <w:highlight w:val="none"/>
        </w:rPr>
      </w:pPr>
      <w:r>
        <w:rPr>
          <w:rFonts w:hint="eastAsia" w:asciiTheme="minorEastAsia" w:hAnsiTheme="minorEastAsia" w:eastAsiaTheme="minorEastAsia" w:cstheme="minorEastAsia"/>
          <w:b w:val="0"/>
          <w:bCs w:val="0"/>
          <w:sz w:val="30"/>
          <w:szCs w:val="30"/>
          <w:highlight w:val="none"/>
        </w:rPr>
        <w:t>项目类型：</w:t>
      </w:r>
      <w:r>
        <w:rPr>
          <w:rFonts w:hint="eastAsia" w:asciiTheme="minorEastAsia" w:hAnsiTheme="minorEastAsia" w:eastAsiaTheme="minorEastAsia" w:cstheme="minorEastAsia"/>
          <w:b w:val="0"/>
          <w:bCs w:val="0"/>
          <w:sz w:val="30"/>
          <w:szCs w:val="30"/>
          <w:highlight w:val="none"/>
        </w:rPr>
        <w:tab/>
      </w:r>
      <w:r>
        <w:rPr>
          <w:rFonts w:hint="eastAsia" w:asciiTheme="minorEastAsia" w:hAnsiTheme="minorEastAsia" w:eastAsiaTheme="minorEastAsia" w:cstheme="minorEastAsia"/>
          <w:b w:val="0"/>
          <w:bCs w:val="0"/>
          <w:sz w:val="30"/>
          <w:szCs w:val="30"/>
          <w:highlight w:val="none"/>
          <w:lang w:val="en-US" w:eastAsia="zh-CN"/>
        </w:rPr>
        <w:t>服务</w:t>
      </w:r>
      <w:r>
        <w:rPr>
          <w:rFonts w:hint="eastAsia" w:asciiTheme="minorEastAsia" w:hAnsiTheme="minorEastAsia" w:eastAsiaTheme="minorEastAsia" w:cstheme="minorEastAsia"/>
          <w:b w:val="0"/>
          <w:bCs w:val="0"/>
          <w:sz w:val="30"/>
          <w:szCs w:val="30"/>
          <w:highlight w:val="none"/>
        </w:rPr>
        <w:t>类</w:t>
      </w:r>
    </w:p>
    <w:p>
      <w:pPr>
        <w:pStyle w:val="37"/>
        <w:widowControl/>
        <w:ind w:firstLine="2400" w:firstLineChars="800"/>
        <w:jc w:val="both"/>
        <w:outlineLvl w:val="1"/>
        <w:rPr>
          <w:rFonts w:hint="eastAsia" w:asciiTheme="minorEastAsia" w:hAnsiTheme="minorEastAsia" w:eastAsiaTheme="minorEastAsia" w:cstheme="minorEastAsia"/>
          <w:b w:val="0"/>
          <w:bCs w:val="0"/>
          <w:sz w:val="30"/>
          <w:szCs w:val="30"/>
          <w:highlight w:val="none"/>
        </w:rPr>
      </w:pPr>
    </w:p>
    <w:p>
      <w:pPr>
        <w:pStyle w:val="37"/>
        <w:widowControl/>
        <w:ind w:firstLine="2400" w:firstLineChars="800"/>
        <w:jc w:val="both"/>
        <w:outlineLvl w:val="1"/>
        <w:rPr>
          <w:rFonts w:hint="eastAsia" w:asciiTheme="minorEastAsia" w:hAnsiTheme="minorEastAsia" w:eastAsiaTheme="minorEastAsia" w:cstheme="minorEastAsia"/>
          <w:b w:val="0"/>
          <w:bCs w:val="0"/>
          <w:sz w:val="30"/>
          <w:szCs w:val="30"/>
          <w:highlight w:val="none"/>
        </w:rPr>
      </w:pPr>
      <w:r>
        <w:rPr>
          <w:rFonts w:hint="eastAsia" w:asciiTheme="minorEastAsia" w:hAnsiTheme="minorEastAsia" w:eastAsiaTheme="minorEastAsia" w:cstheme="minorEastAsia"/>
          <w:b w:val="0"/>
          <w:bCs w:val="0"/>
          <w:sz w:val="30"/>
          <w:szCs w:val="30"/>
          <w:highlight w:val="none"/>
        </w:rPr>
        <w:t>采购方式：</w:t>
      </w:r>
      <w:r>
        <w:rPr>
          <w:rFonts w:hint="eastAsia" w:asciiTheme="minorEastAsia" w:hAnsiTheme="minorEastAsia" w:eastAsiaTheme="minorEastAsia" w:cstheme="minorEastAsia"/>
          <w:b w:val="0"/>
          <w:bCs w:val="0"/>
          <w:sz w:val="30"/>
          <w:szCs w:val="30"/>
          <w:highlight w:val="none"/>
        </w:rPr>
        <w:tab/>
      </w:r>
      <w:r>
        <w:rPr>
          <w:rFonts w:hint="eastAsia" w:asciiTheme="minorEastAsia" w:hAnsiTheme="minorEastAsia" w:eastAsiaTheme="minorEastAsia" w:cstheme="minorEastAsia"/>
          <w:b w:val="0"/>
          <w:bCs w:val="0"/>
          <w:sz w:val="30"/>
          <w:szCs w:val="30"/>
          <w:highlight w:val="none"/>
        </w:rPr>
        <w:t>公开招标</w:t>
      </w:r>
    </w:p>
    <w:p>
      <w:pPr>
        <w:pStyle w:val="37"/>
        <w:widowControl/>
        <w:ind w:firstLine="2400" w:firstLineChars="800"/>
        <w:jc w:val="both"/>
        <w:outlineLvl w:val="1"/>
        <w:rPr>
          <w:rFonts w:hint="eastAsia" w:asciiTheme="minorEastAsia" w:hAnsiTheme="minorEastAsia" w:eastAsiaTheme="minorEastAsia" w:cstheme="minorEastAsia"/>
          <w:b w:val="0"/>
          <w:bCs w:val="0"/>
          <w:sz w:val="30"/>
          <w:szCs w:val="30"/>
          <w:highlight w:val="none"/>
        </w:rPr>
      </w:pPr>
    </w:p>
    <w:p>
      <w:pPr>
        <w:pStyle w:val="37"/>
        <w:widowControl/>
        <w:ind w:firstLine="2400" w:firstLineChars="800"/>
        <w:jc w:val="both"/>
        <w:outlineLvl w:val="1"/>
        <w:rPr>
          <w:rFonts w:hint="eastAsia" w:asciiTheme="minorEastAsia" w:hAnsiTheme="minorEastAsia" w:eastAsiaTheme="minorEastAsia" w:cstheme="minorEastAsia"/>
          <w:b w:val="0"/>
          <w:bCs w:val="0"/>
          <w:sz w:val="30"/>
          <w:szCs w:val="30"/>
          <w:highlight w:val="none"/>
        </w:rPr>
      </w:pPr>
      <w:r>
        <w:rPr>
          <w:rFonts w:hint="eastAsia" w:asciiTheme="minorEastAsia" w:hAnsiTheme="minorEastAsia" w:eastAsiaTheme="minorEastAsia" w:cstheme="minorEastAsia"/>
          <w:b w:val="0"/>
          <w:bCs w:val="0"/>
          <w:sz w:val="30"/>
          <w:szCs w:val="30"/>
          <w:highlight w:val="none"/>
        </w:rPr>
        <w:t>货币类型：</w:t>
      </w:r>
      <w:r>
        <w:rPr>
          <w:rFonts w:hint="eastAsia" w:asciiTheme="minorEastAsia" w:hAnsiTheme="minorEastAsia" w:eastAsiaTheme="minorEastAsia" w:cstheme="minorEastAsia"/>
          <w:b w:val="0"/>
          <w:bCs w:val="0"/>
          <w:sz w:val="30"/>
          <w:szCs w:val="30"/>
          <w:highlight w:val="none"/>
        </w:rPr>
        <w:tab/>
      </w:r>
      <w:r>
        <w:rPr>
          <w:rFonts w:hint="eastAsia" w:asciiTheme="minorEastAsia" w:hAnsiTheme="minorEastAsia" w:eastAsiaTheme="minorEastAsia" w:cstheme="minorEastAsia"/>
          <w:b w:val="0"/>
          <w:bCs w:val="0"/>
          <w:sz w:val="30"/>
          <w:szCs w:val="30"/>
          <w:highlight w:val="none"/>
        </w:rPr>
        <w:t>人民币</w:t>
      </w:r>
    </w:p>
    <w:p>
      <w:pPr>
        <w:pStyle w:val="37"/>
        <w:widowControl/>
        <w:ind w:firstLine="2400" w:firstLineChars="800"/>
        <w:jc w:val="both"/>
        <w:outlineLvl w:val="1"/>
        <w:rPr>
          <w:rFonts w:hint="eastAsia" w:asciiTheme="minorEastAsia" w:hAnsiTheme="minorEastAsia" w:eastAsiaTheme="minorEastAsia" w:cstheme="minorEastAsia"/>
          <w:b w:val="0"/>
          <w:bCs w:val="0"/>
          <w:sz w:val="30"/>
          <w:szCs w:val="30"/>
          <w:highlight w:val="none"/>
        </w:rPr>
      </w:pPr>
    </w:p>
    <w:p>
      <w:pPr>
        <w:pStyle w:val="37"/>
        <w:widowControl/>
        <w:ind w:firstLine="2400" w:firstLineChars="800"/>
        <w:jc w:val="both"/>
        <w:outlineLvl w:val="1"/>
        <w:rPr>
          <w:rFonts w:eastAsia="黑体"/>
          <w:sz w:val="40"/>
          <w:szCs w:val="40"/>
          <w:highlight w:val="none"/>
        </w:rPr>
      </w:pPr>
      <w:r>
        <w:rPr>
          <w:rFonts w:hint="eastAsia" w:asciiTheme="minorEastAsia" w:hAnsiTheme="minorEastAsia" w:eastAsiaTheme="minorEastAsia" w:cstheme="minorEastAsia"/>
          <w:b w:val="0"/>
          <w:bCs w:val="0"/>
          <w:sz w:val="30"/>
          <w:szCs w:val="30"/>
          <w:highlight w:val="none"/>
        </w:rPr>
        <w:t>评标方法：</w:t>
      </w:r>
      <w:r>
        <w:rPr>
          <w:rFonts w:hint="eastAsia" w:asciiTheme="minorEastAsia" w:hAnsiTheme="minorEastAsia" w:eastAsiaTheme="minorEastAsia" w:cstheme="minorEastAsia"/>
          <w:b w:val="0"/>
          <w:bCs w:val="0"/>
          <w:sz w:val="30"/>
          <w:szCs w:val="30"/>
          <w:highlight w:val="none"/>
        </w:rPr>
        <w:tab/>
      </w:r>
      <w:r>
        <w:rPr>
          <w:rFonts w:hint="eastAsia" w:asciiTheme="minorEastAsia" w:hAnsiTheme="minorEastAsia" w:eastAsiaTheme="minorEastAsia" w:cstheme="minorEastAsia"/>
          <w:b w:val="0"/>
          <w:bCs w:val="0"/>
          <w:sz w:val="30"/>
          <w:szCs w:val="30"/>
          <w:highlight w:val="none"/>
        </w:rPr>
        <w:t>综合评分法</w:t>
      </w:r>
    </w:p>
    <w:p>
      <w:pPr>
        <w:pStyle w:val="37"/>
        <w:jc w:val="center"/>
        <w:outlineLvl w:val="1"/>
        <w:rPr>
          <w:rFonts w:hint="eastAsia" w:ascii="黑体" w:hAnsi="黑体" w:eastAsia="黑体"/>
          <w:sz w:val="40"/>
          <w:szCs w:val="40"/>
          <w:highlight w:val="none"/>
        </w:rPr>
      </w:pPr>
    </w:p>
    <w:p>
      <w:pPr>
        <w:pStyle w:val="37"/>
        <w:jc w:val="center"/>
        <w:outlineLvl w:val="1"/>
        <w:rPr>
          <w:rFonts w:hint="eastAsia" w:ascii="黑体" w:hAnsi="黑体" w:eastAsia="黑体"/>
          <w:sz w:val="40"/>
          <w:szCs w:val="40"/>
          <w:highlight w:val="none"/>
        </w:rPr>
        <w:sectPr>
          <w:headerReference r:id="rId3" w:type="first"/>
          <w:footerReference r:id="rId4" w:type="default"/>
          <w:footerReference r:id="rId5" w:type="even"/>
          <w:pgSz w:w="11907" w:h="16840"/>
          <w:pgMar w:top="1440" w:right="1417" w:bottom="1440" w:left="1417" w:header="851" w:footer="992" w:gutter="0"/>
          <w:cols w:space="425" w:num="1"/>
          <w:titlePg/>
          <w:docGrid w:linePitch="462" w:charSpace="0"/>
        </w:sectPr>
      </w:pPr>
    </w:p>
    <w:p>
      <w:pPr>
        <w:pStyle w:val="37"/>
        <w:jc w:val="center"/>
        <w:outlineLvl w:val="1"/>
        <w:rPr>
          <w:rFonts w:ascii="黑体" w:hAnsi="黑体" w:eastAsia="黑体"/>
          <w:sz w:val="40"/>
          <w:szCs w:val="40"/>
          <w:highlight w:val="none"/>
        </w:rPr>
      </w:pPr>
      <w:r>
        <w:rPr>
          <w:rFonts w:hint="eastAsia" w:ascii="黑体" w:hAnsi="黑体" w:eastAsia="黑体"/>
          <w:sz w:val="40"/>
          <w:szCs w:val="40"/>
          <w:highlight w:val="none"/>
        </w:rPr>
        <w:t>资格性审查表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highlight w:val="none"/>
              </w:rPr>
            </w:pPr>
            <w:r>
              <w:rPr>
                <w:sz w:val="28"/>
                <w:szCs w:val="28"/>
                <w:highlight w:val="none"/>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highlight w:val="none"/>
              </w:rPr>
            </w:pPr>
            <w:r>
              <w:rPr>
                <w:sz w:val="28"/>
                <w:szCs w:val="28"/>
                <w:highlight w:val="none"/>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highlight w:val="none"/>
              </w:rPr>
            </w:pPr>
            <w:r>
              <w:rPr>
                <w:szCs w:val="21"/>
                <w:highlight w:val="none"/>
              </w:rPr>
              <w:t>1</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highlight w:val="none"/>
              </w:rPr>
            </w:pPr>
            <w:r>
              <w:rPr>
                <w:rFonts w:ascii="宋体" w:hAnsi="宋体" w:cs="宋体"/>
                <w:kern w:val="0"/>
                <w:szCs w:val="21"/>
                <w:highlight w:val="none"/>
                <w:lang w:bidi="ar"/>
              </w:rPr>
              <w:t>投标人不</w:t>
            </w:r>
            <w:r>
              <w:rPr>
                <w:rFonts w:hint="eastAsia" w:ascii="宋体" w:hAnsi="宋体" w:cs="宋体"/>
                <w:kern w:val="0"/>
                <w:szCs w:val="21"/>
                <w:highlight w:val="none"/>
                <w:lang w:bidi="ar"/>
              </w:rPr>
              <w:t>符合</w:t>
            </w:r>
            <w:r>
              <w:rPr>
                <w:rFonts w:ascii="宋体" w:hAnsi="宋体" w:cs="宋体"/>
                <w:kern w:val="0"/>
                <w:szCs w:val="21"/>
                <w:highlight w:val="none"/>
                <w:lang w:bidi="ar"/>
              </w:rPr>
              <w:t>资格要求，或未提交相应的资格证明资料（详见招标公告</w:t>
            </w:r>
            <w:r>
              <w:rPr>
                <w:rFonts w:hint="eastAsia" w:ascii="宋体" w:hAnsi="宋体"/>
                <w:szCs w:val="21"/>
                <w:highlight w:val="none"/>
              </w:rPr>
              <w:t>投标人资格要求，即申请人的资格要求</w:t>
            </w:r>
            <w:r>
              <w:rPr>
                <w:rFonts w:ascii="宋体" w:hAnsi="宋体" w:cs="宋体"/>
                <w:kern w:val="0"/>
                <w:szCs w:val="21"/>
                <w:highlight w:val="none"/>
                <w:lang w:bidi="ar"/>
              </w:rPr>
              <w:t>）</w:t>
            </w:r>
          </w:p>
        </w:tc>
      </w:tr>
    </w:tbl>
    <w:p>
      <w:pPr>
        <w:pStyle w:val="37"/>
        <w:spacing w:before="280"/>
        <w:jc w:val="center"/>
        <w:outlineLvl w:val="1"/>
        <w:rPr>
          <w:rFonts w:ascii="黑体" w:hAnsi="黑体" w:eastAsia="黑体"/>
          <w:sz w:val="40"/>
          <w:szCs w:val="40"/>
          <w:highlight w:val="none"/>
        </w:rPr>
      </w:pPr>
      <w:r>
        <w:rPr>
          <w:rFonts w:hint="eastAsia" w:ascii="黑体" w:hAnsi="黑体" w:eastAsia="黑体"/>
          <w:sz w:val="40"/>
          <w:szCs w:val="40"/>
          <w:highlight w:val="none"/>
        </w:rPr>
        <w:t>符合性审查表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highlight w:val="none"/>
              </w:rPr>
            </w:pPr>
            <w:r>
              <w:rPr>
                <w:sz w:val="28"/>
                <w:szCs w:val="28"/>
                <w:highlight w:val="none"/>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highlight w:val="none"/>
              </w:rPr>
            </w:pPr>
            <w:r>
              <w:rPr>
                <w:sz w:val="28"/>
                <w:szCs w:val="28"/>
                <w:highlight w:val="none"/>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highlight w:val="none"/>
              </w:rPr>
            </w:pPr>
            <w:r>
              <w:rPr>
                <w:szCs w:val="21"/>
                <w:highlight w:val="none"/>
              </w:rPr>
              <w:t>1</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highlight w:val="none"/>
              </w:rPr>
            </w:pPr>
            <w:r>
              <w:rPr>
                <w:rFonts w:hint="eastAsia"/>
                <w:highlight w:val="none"/>
                <w:lang w:val="en-US" w:eastAsia="zh-CN"/>
              </w:rPr>
              <w:t>不得</w:t>
            </w:r>
            <w:r>
              <w:rPr>
                <w:rFonts w:hint="eastAsia"/>
                <w:highlight w:val="none"/>
              </w:rPr>
              <w:t>将一个包的内容拆开投标；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highlight w:val="none"/>
              </w:rPr>
            </w:pPr>
            <w:r>
              <w:rPr>
                <w:szCs w:val="21"/>
                <w:highlight w:val="none"/>
              </w:rPr>
              <w:t>2</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highlight w:val="none"/>
              </w:rPr>
            </w:pPr>
            <w:r>
              <w:rPr>
                <w:rFonts w:hint="eastAsia"/>
                <w:highlight w:val="none"/>
              </w:rPr>
              <w:t>对同一项目投标时，</w:t>
            </w:r>
            <w:r>
              <w:rPr>
                <w:rFonts w:hint="eastAsia"/>
                <w:highlight w:val="none"/>
                <w:lang w:val="en-US" w:eastAsia="zh-CN"/>
              </w:rPr>
              <w:t>不得</w:t>
            </w:r>
            <w:r>
              <w:rPr>
                <w:rFonts w:hint="eastAsia"/>
                <w:highlight w:val="none"/>
              </w:rPr>
              <w:t>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highlight w:val="none"/>
              </w:rPr>
            </w:pPr>
            <w:r>
              <w:rPr>
                <w:szCs w:val="21"/>
                <w:highlight w:val="none"/>
              </w:rPr>
              <w:t>3</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highlight w:val="none"/>
              </w:rPr>
            </w:pPr>
            <w:r>
              <w:rPr>
                <w:rFonts w:hint="eastAsia"/>
                <w:highlight w:val="none"/>
              </w:rPr>
              <w:t>分项报价或投标总价</w:t>
            </w:r>
            <w:r>
              <w:rPr>
                <w:rFonts w:hint="eastAsia"/>
                <w:highlight w:val="none"/>
                <w:lang w:val="en-US" w:eastAsia="zh-CN"/>
              </w:rPr>
              <w:t>不得</w:t>
            </w:r>
            <w:r>
              <w:rPr>
                <w:rFonts w:hint="eastAsia"/>
                <w:highlight w:val="none"/>
              </w:rPr>
              <w:t>高于相应预算金额（或设定的预算金额下的最高限价）；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highlight w:val="none"/>
              </w:rPr>
            </w:pPr>
            <w:r>
              <w:rPr>
                <w:szCs w:val="21"/>
                <w:highlight w:val="none"/>
              </w:rPr>
              <w:t>4</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highlight w:val="none"/>
              </w:rPr>
            </w:pPr>
            <w:r>
              <w:rPr>
                <w:rFonts w:hint="eastAsia"/>
                <w:highlight w:val="none"/>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highlight w:val="none"/>
              </w:rPr>
            </w:pPr>
            <w:r>
              <w:rPr>
                <w:szCs w:val="21"/>
                <w:highlight w:val="none"/>
              </w:rPr>
              <w:t>5</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highlight w:val="none"/>
              </w:rPr>
            </w:pPr>
            <w:r>
              <w:rPr>
                <w:rFonts w:hint="eastAsia"/>
                <w:highlight w:val="none"/>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highlight w:val="none"/>
              </w:rPr>
            </w:pPr>
            <w:r>
              <w:rPr>
                <w:szCs w:val="21"/>
                <w:highlight w:val="none"/>
              </w:rPr>
              <w:t>6</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highlight w:val="none"/>
              </w:rPr>
            </w:pPr>
            <w:r>
              <w:rPr>
                <w:rFonts w:hint="eastAsia"/>
                <w:highlight w:val="none"/>
              </w:rPr>
              <w:t>未按招标文件所提供的样式填写《投标函》；未按招标文件所提供的《政府采购投标及履约承诺函》进行承诺；未按招标文件对投标文件组成的要求提供投标文件；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highlight w:val="none"/>
              </w:rPr>
            </w:pPr>
            <w:r>
              <w:rPr>
                <w:szCs w:val="21"/>
                <w:highlight w:val="none"/>
              </w:rPr>
              <w:t>7</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highlight w:val="none"/>
              </w:rPr>
            </w:pPr>
            <w:r>
              <w:rPr>
                <w:rFonts w:hint="eastAsia"/>
                <w:color w:val="FF0000"/>
                <w:highlight w:val="none"/>
                <w:lang w:val="en-US" w:eastAsia="zh-CN"/>
              </w:rPr>
              <w:t>采购标的/服务</w:t>
            </w:r>
            <w:r>
              <w:rPr>
                <w:rFonts w:hint="eastAsia" w:ascii="Times New Roman" w:eastAsia="宋体"/>
                <w:color w:val="FF0000"/>
                <w:highlight w:val="none"/>
                <w:lang w:val="en-US" w:eastAsia="zh-CN"/>
              </w:rPr>
              <w:t>清单</w:t>
            </w:r>
            <w:r>
              <w:rPr>
                <w:rFonts w:hint="eastAsia"/>
                <w:color w:val="FF0000"/>
                <w:highlight w:val="none"/>
                <w:lang w:val="en-US" w:eastAsia="zh-CN"/>
              </w:rPr>
              <w:t>/报价等任意一类</w:t>
            </w:r>
            <w:r>
              <w:rPr>
                <w:rFonts w:hint="eastAsia" w:ascii="Times New Roman" w:eastAsia="宋体"/>
                <w:color w:val="FF0000"/>
                <w:highlight w:val="none"/>
                <w:lang w:val="en-US" w:eastAsia="zh-CN"/>
              </w:rPr>
              <w:t>有缺漏项或响应不全</w:t>
            </w:r>
            <w:r>
              <w:rPr>
                <w:rFonts w:hint="eastAsia"/>
                <w:color w:val="FF0000"/>
                <w:highlight w:val="none"/>
                <w:lang w:val="en-US" w:eastAsia="zh-CN"/>
              </w:rPr>
              <w:t>，</w:t>
            </w:r>
            <w:r>
              <w:rPr>
                <w:rFonts w:hint="eastAsia"/>
                <w:highlight w:val="none"/>
              </w:rPr>
              <w:t>或者对招标文件规定的项目需求内容或者需求数量进行修改</w:t>
            </w:r>
            <w:r>
              <w:rPr>
                <w:rFonts w:hint="eastAsia"/>
                <w:szCs w:val="21"/>
                <w:highlight w:val="none"/>
              </w:rPr>
              <w:t>，评审委员会判定投标响应不满足采购需求</w:t>
            </w:r>
            <w:r>
              <w:rPr>
                <w:rFonts w:hint="eastAsia"/>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highlight w:val="none"/>
              </w:rPr>
            </w:pPr>
            <w:r>
              <w:rPr>
                <w:szCs w:val="21"/>
                <w:highlight w:val="none"/>
              </w:rPr>
              <w:t>8</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highlight w:val="none"/>
              </w:rPr>
            </w:pPr>
            <w:r>
              <w:rPr>
                <w:rFonts w:hint="eastAsia"/>
                <w:highlight w:val="none"/>
              </w:rPr>
              <w:t>投标文件存在列放位置错误，导致属于信息公开情形的没有被公开；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highlight w:val="none"/>
              </w:rPr>
            </w:pPr>
            <w:r>
              <w:rPr>
                <w:szCs w:val="21"/>
                <w:highlight w:val="none"/>
              </w:rPr>
              <w:t>9</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highlight w:val="none"/>
              </w:rPr>
            </w:pPr>
            <w:r>
              <w:rPr>
                <w:rFonts w:hint="eastAsia"/>
                <w:highlight w:val="none"/>
              </w:rPr>
              <w:t>投标文件电子文档</w:t>
            </w:r>
            <w:r>
              <w:rPr>
                <w:rFonts w:hint="eastAsia"/>
                <w:highlight w:val="none"/>
                <w:lang w:val="en-US" w:eastAsia="zh-CN"/>
              </w:rPr>
              <w:t>不得</w:t>
            </w:r>
            <w:r>
              <w:rPr>
                <w:rFonts w:hint="eastAsia"/>
                <w:highlight w:val="none"/>
              </w:rPr>
              <w:t>带病毒；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highlight w:val="none"/>
              </w:rPr>
            </w:pPr>
            <w:r>
              <w:rPr>
                <w:szCs w:val="21"/>
                <w:highlight w:val="none"/>
              </w:rPr>
              <w:t>10</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highlight w:val="none"/>
              </w:rPr>
            </w:pPr>
            <w:r>
              <w:rPr>
                <w:rFonts w:hint="eastAsia"/>
                <w:highlight w:val="none"/>
              </w:rPr>
              <w:t>投标文件用不属于本公司的电子密钥或电子营业执照进行加密的；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top"/>
          </w:tcPr>
          <w:p>
            <w:pPr>
              <w:widowControl/>
              <w:jc w:val="center"/>
              <w:textAlignment w:val="top"/>
              <w:rPr>
                <w:rFonts w:ascii="宋体" w:hAnsi="宋体" w:cs="宋体"/>
                <w:szCs w:val="21"/>
                <w:highlight w:val="none"/>
              </w:rPr>
            </w:pPr>
            <w:r>
              <w:rPr>
                <w:rFonts w:hint="eastAsia"/>
                <w:szCs w:val="24"/>
                <w:highlight w:val="none"/>
                <w:lang w:val="en-US" w:eastAsia="zh-CN"/>
              </w:rPr>
              <w:t>11</w:t>
            </w:r>
          </w:p>
        </w:tc>
        <w:tc>
          <w:tcPr>
            <w:tcW w:w="8278" w:type="dxa"/>
            <w:tcBorders>
              <w:top w:val="single" w:color="000000" w:sz="8" w:space="0"/>
              <w:left w:val="single" w:color="000000" w:sz="8" w:space="0"/>
              <w:bottom w:val="single" w:color="000000" w:sz="8" w:space="0"/>
              <w:right w:val="single" w:color="000000" w:sz="8" w:space="0"/>
            </w:tcBorders>
            <w:vAlign w:val="top"/>
          </w:tcPr>
          <w:p>
            <w:pPr>
              <w:widowControl/>
              <w:jc w:val="left"/>
              <w:textAlignment w:val="top"/>
              <w:rPr>
                <w:highlight w:val="none"/>
              </w:rPr>
            </w:pPr>
            <w:r>
              <w:rPr>
                <w:rFonts w:hint="eastAsia" w:ascii="Times New Roman" w:hAnsi="Times New Roman" w:eastAsia="宋体" w:cs="Times New Roman"/>
                <w:szCs w:val="24"/>
                <w:highlight w:val="none"/>
              </w:rPr>
              <w:t>如投标供应商存在“不同供应商的董事、股东或其他高级管理人员为同一人的”情形的，应承诺不存在串通投标、恶意串通或者视为串通投标的情形（在《政府采购投标及履约承诺函》中作出声明）；经核实，不同投标供应商的投标文件由同一电子设备编制、加密或者上传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top"/>
          </w:tcPr>
          <w:p>
            <w:pPr>
              <w:widowControl/>
              <w:jc w:val="center"/>
              <w:textAlignment w:val="top"/>
              <w:rPr>
                <w:rFonts w:ascii="宋体" w:hAnsi="宋体" w:cs="宋体"/>
                <w:szCs w:val="21"/>
                <w:highlight w:val="none"/>
              </w:rPr>
            </w:pPr>
            <w:r>
              <w:rPr>
                <w:rFonts w:hint="eastAsia"/>
                <w:szCs w:val="24"/>
                <w:highlight w:val="none"/>
                <w:lang w:val="en-US" w:eastAsia="zh-CN"/>
              </w:rPr>
              <w:t>12</w:t>
            </w:r>
          </w:p>
        </w:tc>
        <w:tc>
          <w:tcPr>
            <w:tcW w:w="8278" w:type="dxa"/>
            <w:tcBorders>
              <w:top w:val="single" w:color="000000" w:sz="8" w:space="0"/>
              <w:left w:val="single" w:color="000000" w:sz="8" w:space="0"/>
              <w:bottom w:val="single" w:color="000000" w:sz="8" w:space="0"/>
              <w:right w:val="single" w:color="000000" w:sz="8" w:space="0"/>
            </w:tcBorders>
            <w:vAlign w:val="top"/>
          </w:tcPr>
          <w:p>
            <w:pPr>
              <w:widowControl/>
              <w:jc w:val="left"/>
              <w:textAlignment w:val="top"/>
              <w:rPr>
                <w:highlight w:val="none"/>
              </w:rPr>
            </w:pPr>
            <w:r>
              <w:rPr>
                <w:rFonts w:hint="eastAsia"/>
                <w:highlight w:val="none"/>
              </w:rPr>
              <w:t>法律、法规、规章、规范性文件规定的其他情形。</w:t>
            </w:r>
          </w:p>
        </w:tc>
      </w:tr>
    </w:tbl>
    <w:p>
      <w:pPr>
        <w:pStyle w:val="37"/>
        <w:jc w:val="center"/>
        <w:outlineLvl w:val="1"/>
        <w:rPr>
          <w:rFonts w:hint="eastAsia" w:ascii="黑体" w:hAnsi="黑体" w:eastAsia="黑体"/>
          <w:sz w:val="40"/>
          <w:szCs w:val="40"/>
          <w:highlight w:val="none"/>
        </w:rPr>
      </w:pPr>
    </w:p>
    <w:p>
      <w:pPr>
        <w:pStyle w:val="37"/>
        <w:jc w:val="center"/>
        <w:outlineLvl w:val="1"/>
        <w:rPr>
          <w:rFonts w:hint="eastAsia" w:ascii="黑体" w:hAnsi="黑体" w:eastAsia="黑体"/>
          <w:sz w:val="40"/>
          <w:szCs w:val="40"/>
          <w:highlight w:val="none"/>
        </w:rPr>
        <w:sectPr>
          <w:pgSz w:w="11907" w:h="16840"/>
          <w:pgMar w:top="1440" w:right="1417" w:bottom="1440" w:left="1417" w:header="851" w:footer="992" w:gutter="0"/>
          <w:cols w:space="425" w:num="1"/>
          <w:titlePg/>
          <w:docGrid w:linePitch="462" w:charSpace="0"/>
        </w:sectPr>
      </w:pPr>
    </w:p>
    <w:p>
      <w:pPr>
        <w:pStyle w:val="37"/>
        <w:jc w:val="center"/>
        <w:outlineLvl w:val="1"/>
        <w:rPr>
          <w:rFonts w:hint="eastAsia" w:ascii="黑体" w:hAnsi="黑体" w:eastAsia="黑体"/>
          <w:sz w:val="40"/>
          <w:szCs w:val="40"/>
          <w:highlight w:val="none"/>
        </w:rPr>
      </w:pPr>
      <w:r>
        <w:rPr>
          <w:rFonts w:hint="eastAsia" w:ascii="黑体" w:hAnsi="黑体" w:eastAsia="黑体"/>
          <w:sz w:val="40"/>
          <w:szCs w:val="40"/>
          <w:highlight w:val="none"/>
        </w:rPr>
        <w:t>评标信息</w:t>
      </w:r>
    </w:p>
    <w:tbl>
      <w:tblPr>
        <w:tblStyle w:val="42"/>
        <w:tblW w:w="907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5" w:type="dxa"/>
          <w:left w:w="45" w:type="dxa"/>
          <w:bottom w:w="45" w:type="dxa"/>
          <w:right w:w="45"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072" w:type="dxa"/>
            <w:vAlign w:val="center"/>
          </w:tcPr>
          <w:p>
            <w:pPr>
              <w:jc w:val="left"/>
              <w:rPr>
                <w:rFonts w:hint="eastAsia" w:ascii="宋体" w:hAnsi="宋体" w:eastAsia="宋体" w:cs="宋体"/>
                <w:b/>
                <w:bCs/>
                <w:sz w:val="24"/>
                <w:highlight w:val="none"/>
                <w:lang w:eastAsia="zh-CN"/>
              </w:rPr>
            </w:pPr>
            <w:r>
              <w:rPr>
                <w:b/>
                <w:bCs/>
                <w:highlight w:val="none"/>
              </w:rPr>
              <w:t>评标方法：</w:t>
            </w:r>
            <w:r>
              <w:rPr>
                <w:b/>
                <w:bCs/>
                <w:strike w:val="0"/>
                <w:dstrike w:val="0"/>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072"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rFonts w:hint="eastAsia" w:eastAsia="宋体"/>
                <w:sz w:val="21"/>
                <w:szCs w:val="21"/>
                <w:highlight w:val="none"/>
                <w:lang w:eastAsia="zh-CN"/>
              </w:rPr>
            </w:pPr>
            <w:r>
              <w:rPr>
                <w:sz w:val="21"/>
                <w:szCs w:val="21"/>
                <w:highlight w:val="none"/>
              </w:rPr>
              <w:t>综合评分法，是指</w:t>
            </w:r>
            <w:r>
              <w:rPr>
                <w:rFonts w:hint="eastAsia" w:ascii="Times New Roman" w:hAnsi="Times New Roman" w:eastAsia="宋体" w:cs="Times New Roman"/>
                <w:kern w:val="0"/>
                <w:sz w:val="21"/>
                <w:szCs w:val="21"/>
                <w:highlight w:val="none"/>
                <w:lang w:val="en-US" w:eastAsia="zh-CN" w:bidi="ar-SA"/>
              </w:rPr>
              <w:t>投标文件满足招标文件全部实质性要求</w:t>
            </w:r>
            <w:r>
              <w:rPr>
                <w:sz w:val="21"/>
                <w:szCs w:val="21"/>
                <w:highlight w:val="none"/>
              </w:rPr>
              <w:t>，且按照</w:t>
            </w:r>
            <w:r>
              <w:rPr>
                <w:rFonts w:hint="eastAsia" w:ascii="Times New Roman" w:eastAsia="宋体"/>
                <w:sz w:val="21"/>
                <w:szCs w:val="21"/>
                <w:highlight w:val="none"/>
                <w:lang w:val="en-US" w:eastAsia="zh-CN"/>
              </w:rPr>
              <w:t>招标文件规定的各项因素进行综合评审，评标总得分排名前列</w:t>
            </w:r>
            <w:r>
              <w:rPr>
                <w:sz w:val="21"/>
                <w:szCs w:val="21"/>
                <w:highlight w:val="none"/>
              </w:rPr>
              <w:t>的投标人为中标候选人的评标方法。</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sz w:val="21"/>
                <w:szCs w:val="21"/>
                <w:highlight w:val="none"/>
              </w:rPr>
            </w:pP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sz w:val="21"/>
                <w:szCs w:val="21"/>
                <w:highlight w:val="none"/>
              </w:rPr>
            </w:pPr>
            <w:r>
              <w:rPr>
                <w:sz w:val="21"/>
                <w:szCs w:val="21"/>
                <w:highlight w:val="none"/>
              </w:rPr>
              <w:t>价格分计算方法：</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2"/>
                <w:sz w:val="21"/>
                <w:szCs w:val="21"/>
                <w:highlight w:val="none"/>
                <w:lang w:val="en-US" w:eastAsia="zh-CN" w:bidi="ar-SA"/>
              </w:rPr>
            </w:pPr>
            <w:r>
              <w:rPr>
                <w:rFonts w:ascii="Times New Roman" w:hAnsi="Times New Roman" w:eastAsia="宋体" w:cs="Times New Roman"/>
                <w:kern w:val="2"/>
                <w:sz w:val="21"/>
                <w:szCs w:val="21"/>
                <w:highlight w:val="none"/>
                <w:lang w:val="en-US" w:eastAsia="zh-CN" w:bidi="ar-SA"/>
              </w:rPr>
              <w:t xml:space="preserve">采用低价优先法计算，即满足招标文件要求且投标价格最低的投标报价为评标基准价，其价格分为满分。其他投标人的价格分统一按照下列公式计算： </w:t>
            </w:r>
            <w:r>
              <w:rPr>
                <w:rFonts w:ascii="Times New Roman" w:hAnsi="Times New Roman" w:eastAsia="宋体" w:cs="Times New Roman"/>
                <w:kern w:val="2"/>
                <w:sz w:val="21"/>
                <w:szCs w:val="21"/>
                <w:highlight w:val="none"/>
                <w:lang w:val="en-US" w:eastAsia="zh-CN" w:bidi="ar-SA"/>
              </w:rPr>
              <w:br w:type="textWrapping"/>
            </w:r>
            <w:r>
              <w:rPr>
                <w:rFonts w:ascii="Times New Roman" w:hAnsi="Times New Roman" w:eastAsia="宋体" w:cs="Times New Roman"/>
                <w:kern w:val="2"/>
                <w:sz w:val="21"/>
                <w:szCs w:val="21"/>
                <w:highlight w:val="none"/>
                <w:lang w:val="en-US" w:eastAsia="zh-CN" w:bidi="ar-SA"/>
              </w:rPr>
              <w:t xml:space="preserve">投标报价得分=(评标基准价／投标报价)×100 </w:t>
            </w:r>
            <w:r>
              <w:rPr>
                <w:rFonts w:ascii="Times New Roman" w:hAnsi="Times New Roman" w:eastAsia="宋体" w:cs="Times New Roman"/>
                <w:kern w:val="2"/>
                <w:sz w:val="21"/>
                <w:szCs w:val="21"/>
                <w:highlight w:val="none"/>
                <w:lang w:val="en-US" w:eastAsia="zh-CN" w:bidi="ar-SA"/>
              </w:rPr>
              <w:br w:type="textWrapping"/>
            </w:r>
            <w:r>
              <w:rPr>
                <w:rFonts w:ascii="Times New Roman" w:hAnsi="Times New Roman" w:eastAsia="宋体" w:cs="Times New Roman"/>
                <w:kern w:val="2"/>
                <w:sz w:val="21"/>
                <w:szCs w:val="21"/>
                <w:highlight w:val="none"/>
                <w:lang w:val="en-US" w:eastAsia="zh-CN" w:bidi="ar-SA"/>
              </w:rPr>
              <w:t xml:space="preserve">评标总得分＝F1×A1＋F2×A2＋……＋Fn×An </w:t>
            </w:r>
            <w:r>
              <w:rPr>
                <w:rFonts w:ascii="Times New Roman" w:hAnsi="Times New Roman" w:eastAsia="宋体" w:cs="Times New Roman"/>
                <w:kern w:val="2"/>
                <w:sz w:val="21"/>
                <w:szCs w:val="21"/>
                <w:highlight w:val="none"/>
                <w:lang w:val="en-US" w:eastAsia="zh-CN" w:bidi="ar-SA"/>
              </w:rPr>
              <w:br w:type="textWrapping"/>
            </w:r>
            <w:r>
              <w:rPr>
                <w:rFonts w:ascii="Times New Roman" w:hAnsi="Times New Roman" w:eastAsia="宋体" w:cs="Times New Roman"/>
                <w:kern w:val="2"/>
                <w:sz w:val="21"/>
                <w:szCs w:val="21"/>
                <w:highlight w:val="none"/>
                <w:lang w:val="en-US" w:eastAsia="zh-CN" w:bidi="ar-SA"/>
              </w:rPr>
              <w:t xml:space="preserve">F1、F2……Fn分别为各项评审因素的得分； </w:t>
            </w:r>
            <w:r>
              <w:rPr>
                <w:rFonts w:ascii="Times New Roman" w:hAnsi="Times New Roman" w:eastAsia="宋体" w:cs="Times New Roman"/>
                <w:kern w:val="2"/>
                <w:sz w:val="21"/>
                <w:szCs w:val="21"/>
                <w:highlight w:val="none"/>
                <w:lang w:val="en-US" w:eastAsia="zh-CN" w:bidi="ar-SA"/>
              </w:rPr>
              <w:br w:type="textWrapping"/>
            </w:r>
            <w:r>
              <w:rPr>
                <w:rFonts w:ascii="Times New Roman" w:hAnsi="Times New Roman" w:eastAsia="宋体" w:cs="Times New Roman"/>
                <w:kern w:val="2"/>
                <w:sz w:val="21"/>
                <w:szCs w:val="21"/>
                <w:highlight w:val="none"/>
                <w:lang w:val="en-US" w:eastAsia="zh-CN" w:bidi="ar-SA"/>
              </w:rPr>
              <w:t xml:space="preserve">A1、A2、……An 分别为各项评审因素所占的权重(A1＋A2＋……＋An＝1)。 </w:t>
            </w:r>
            <w:r>
              <w:rPr>
                <w:rFonts w:ascii="Times New Roman" w:hAnsi="Times New Roman" w:eastAsia="宋体" w:cs="Times New Roman"/>
                <w:kern w:val="2"/>
                <w:sz w:val="21"/>
                <w:szCs w:val="21"/>
                <w:highlight w:val="none"/>
                <w:lang w:val="en-US" w:eastAsia="zh-CN" w:bidi="ar-SA"/>
              </w:rPr>
              <w:br w:type="textWrapping"/>
            </w:r>
            <w:r>
              <w:rPr>
                <w:rFonts w:ascii="Times New Roman" w:hAnsi="Times New Roman" w:eastAsia="宋体" w:cs="Times New Roman"/>
                <w:kern w:val="2"/>
                <w:sz w:val="21"/>
                <w:szCs w:val="21"/>
                <w:highlight w:val="none"/>
                <w:lang w:val="en-US" w:eastAsia="zh-CN" w:bidi="ar-SA"/>
              </w:rPr>
              <w:t>评标过程中，不得去掉报价中的最高报价和最低报价。</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sz w:val="21"/>
                <w:szCs w:val="21"/>
                <w:highlight w:val="none"/>
              </w:rPr>
            </w:pPr>
            <w:r>
              <w:rPr>
                <w:rFonts w:hint="eastAsia" w:ascii="Times New Roman" w:hAnsi="Times New Roman" w:eastAsia="宋体" w:cs="Times New Roman"/>
                <w:kern w:val="2"/>
                <w:sz w:val="21"/>
                <w:szCs w:val="21"/>
                <w:highlight w:val="none"/>
                <w:lang w:val="en-US" w:eastAsia="zh-CN" w:bidi="ar-SA"/>
              </w:rPr>
              <w:t>因落实政府采购政策进行价格调整的，以调整后的价格计算评标基准价和投标报价。</w:t>
            </w:r>
          </w:p>
        </w:tc>
      </w:tr>
    </w:tbl>
    <w:p>
      <w:pPr>
        <w:pStyle w:val="37"/>
        <w:jc w:val="both"/>
        <w:outlineLvl w:val="1"/>
        <w:rPr>
          <w:rFonts w:hint="eastAsia" w:ascii="黑体" w:hAnsi="黑体" w:eastAsia="黑体"/>
          <w:sz w:val="10"/>
          <w:szCs w:val="10"/>
          <w:highlight w:val="none"/>
        </w:rPr>
      </w:pPr>
    </w:p>
    <w:p>
      <w:pPr>
        <w:rPr>
          <w:vanish/>
          <w:highlight w:val="none"/>
        </w:rPr>
      </w:pPr>
    </w:p>
    <w:tbl>
      <w:tblPr>
        <w:tblStyle w:val="42"/>
        <w:tblpPr w:leftFromText="180" w:rightFromText="180" w:vertAnchor="text" w:horzAnchor="page" w:tblpX="1509" w:tblpY="228"/>
        <w:tblOverlap w:val="never"/>
        <w:tblW w:w="9049"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0" w:type="dxa"/>
          <w:left w:w="108" w:type="dxa"/>
          <w:bottom w:w="20" w:type="dxa"/>
          <w:right w:w="108" w:type="dxa"/>
        </w:tblCellMar>
      </w:tblPr>
      <w:tblGrid>
        <w:gridCol w:w="685"/>
        <w:gridCol w:w="548"/>
        <w:gridCol w:w="2264"/>
        <w:gridCol w:w="696"/>
        <w:gridCol w:w="4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tcBorders>
              <w:tl2br w:val="nil"/>
              <w:tr2bl w:val="nil"/>
            </w:tcBorders>
            <w:shd w:val="clear" w:color="auto" w:fill="E6EFFA"/>
            <w:vAlign w:val="center"/>
          </w:tcPr>
          <w:p>
            <w:pPr>
              <w:wordWrap w:val="0"/>
              <w:adjustRightInd w:val="0"/>
              <w:snapToGrid w:val="0"/>
              <w:spacing w:line="320" w:lineRule="exact"/>
              <w:jc w:val="center"/>
              <w:rPr>
                <w:rFonts w:ascii="宋体" w:hAnsi="宋体" w:cs="宋体"/>
                <w:b/>
                <w:bCs/>
                <w:szCs w:val="21"/>
                <w:highlight w:val="none"/>
              </w:rPr>
            </w:pPr>
            <w:r>
              <w:rPr>
                <w:rFonts w:hint="eastAsia" w:ascii="宋体" w:hAnsi="宋体" w:cs="宋体"/>
                <w:b/>
                <w:bCs/>
                <w:szCs w:val="21"/>
                <w:highlight w:val="none"/>
              </w:rPr>
              <w:t>序号</w:t>
            </w:r>
          </w:p>
        </w:tc>
        <w:tc>
          <w:tcPr>
            <w:tcW w:w="3508" w:type="dxa"/>
            <w:gridSpan w:val="3"/>
            <w:tcBorders>
              <w:tl2br w:val="nil"/>
              <w:tr2bl w:val="nil"/>
            </w:tcBorders>
            <w:shd w:val="clear" w:color="auto" w:fill="E6EFFA"/>
            <w:vAlign w:val="center"/>
          </w:tcPr>
          <w:p>
            <w:pPr>
              <w:wordWrap w:val="0"/>
              <w:adjustRightInd w:val="0"/>
              <w:snapToGrid w:val="0"/>
              <w:spacing w:line="320" w:lineRule="exact"/>
              <w:jc w:val="center"/>
              <w:rPr>
                <w:rFonts w:ascii="宋体" w:hAnsi="宋体" w:cs="宋体"/>
                <w:b/>
                <w:bCs/>
                <w:szCs w:val="21"/>
                <w:highlight w:val="none"/>
              </w:rPr>
            </w:pPr>
            <w:r>
              <w:rPr>
                <w:rFonts w:hint="eastAsia" w:ascii="宋体" w:hAnsi="宋体" w:cs="宋体"/>
                <w:b/>
                <w:bCs/>
                <w:szCs w:val="21"/>
                <w:highlight w:val="none"/>
              </w:rPr>
              <w:t>评分项</w:t>
            </w:r>
          </w:p>
        </w:tc>
        <w:tc>
          <w:tcPr>
            <w:tcW w:w="4856" w:type="dxa"/>
            <w:tcBorders>
              <w:tl2br w:val="nil"/>
              <w:tr2bl w:val="nil"/>
            </w:tcBorders>
            <w:shd w:val="clear" w:color="auto" w:fill="E6EFFA"/>
            <w:vAlign w:val="center"/>
          </w:tcPr>
          <w:p>
            <w:pPr>
              <w:wordWrap w:val="0"/>
              <w:adjustRightInd w:val="0"/>
              <w:snapToGrid w:val="0"/>
              <w:spacing w:line="320" w:lineRule="exact"/>
              <w:jc w:val="center"/>
              <w:rPr>
                <w:rFonts w:ascii="宋体" w:hAnsi="宋体" w:cs="宋体"/>
                <w:b/>
                <w:bCs/>
                <w:szCs w:val="21"/>
                <w:highlight w:val="none"/>
              </w:rPr>
            </w:pPr>
            <w:r>
              <w:rPr>
                <w:rFonts w:hint="eastAsia" w:ascii="宋体" w:hAnsi="宋体" w:cs="宋体"/>
                <w:b/>
                <w:bCs/>
                <w:szCs w:val="21"/>
                <w:highlight w:val="none"/>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restart"/>
            <w:tcBorders>
              <w:tl2br w:val="nil"/>
              <w:tr2bl w:val="nil"/>
            </w:tcBorders>
          </w:tcPr>
          <w:p>
            <w:pPr>
              <w:wordWrap w:val="0"/>
              <w:adjustRightInd w:val="0"/>
              <w:snapToGrid w:val="0"/>
              <w:spacing w:line="320" w:lineRule="exact"/>
              <w:jc w:val="center"/>
              <w:rPr>
                <w:rFonts w:ascii="宋体" w:hAnsi="宋体" w:cs="宋体"/>
                <w:b/>
                <w:bCs/>
                <w:color w:val="0000FF"/>
                <w:szCs w:val="21"/>
                <w:highlight w:val="none"/>
              </w:rPr>
            </w:pPr>
            <w:r>
              <w:rPr>
                <w:rFonts w:hint="eastAsia" w:ascii="宋体" w:hAnsi="宋体" w:cs="宋体"/>
                <w:b/>
                <w:bCs/>
                <w:color w:val="0000FF"/>
                <w:szCs w:val="21"/>
                <w:highlight w:val="none"/>
              </w:rPr>
              <w:t>1</w:t>
            </w:r>
          </w:p>
        </w:tc>
        <w:tc>
          <w:tcPr>
            <w:tcW w:w="3508" w:type="dxa"/>
            <w:gridSpan w:val="3"/>
            <w:tcBorders>
              <w:tl2br w:val="nil"/>
              <w:tr2bl w:val="nil"/>
            </w:tcBorders>
          </w:tcPr>
          <w:p>
            <w:pPr>
              <w:wordWrap w:val="0"/>
              <w:adjustRightInd w:val="0"/>
              <w:snapToGrid w:val="0"/>
              <w:spacing w:line="320" w:lineRule="exact"/>
              <w:jc w:val="center"/>
              <w:rPr>
                <w:rFonts w:ascii="宋体" w:hAnsi="宋体" w:cs="宋体"/>
                <w:b/>
                <w:bCs/>
                <w:color w:val="0000FF"/>
                <w:szCs w:val="21"/>
                <w:highlight w:val="none"/>
              </w:rPr>
            </w:pPr>
            <w:r>
              <w:rPr>
                <w:rFonts w:hint="eastAsia" w:ascii="宋体" w:hAnsi="宋体" w:cs="宋体"/>
                <w:b/>
                <w:bCs/>
                <w:color w:val="0000FF"/>
                <w:szCs w:val="21"/>
                <w:highlight w:val="none"/>
              </w:rPr>
              <w:t>价格</w:t>
            </w:r>
          </w:p>
        </w:tc>
        <w:tc>
          <w:tcPr>
            <w:tcW w:w="4856" w:type="dxa"/>
            <w:tcBorders>
              <w:tl2br w:val="nil"/>
              <w:tr2bl w:val="nil"/>
            </w:tcBorders>
          </w:tcPr>
          <w:p>
            <w:pPr>
              <w:wordWrap w:val="0"/>
              <w:adjustRightInd w:val="0"/>
              <w:snapToGrid w:val="0"/>
              <w:spacing w:line="320" w:lineRule="exact"/>
              <w:jc w:val="center"/>
              <w:rPr>
                <w:rFonts w:ascii="宋体" w:hAnsi="宋体" w:cs="宋体"/>
                <w:b/>
                <w:bCs/>
                <w:color w:val="0000FF"/>
                <w:szCs w:val="21"/>
                <w:highlight w:val="none"/>
              </w:rPr>
            </w:pPr>
            <w:r>
              <w:rPr>
                <w:rFonts w:hint="eastAsia" w:ascii="宋体" w:hAnsi="宋体" w:cs="宋体"/>
                <w:b/>
                <w:bCs/>
                <w:color w:val="0000FF"/>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pPr>
              <w:adjustRightInd w:val="0"/>
              <w:snapToGrid w:val="0"/>
              <w:spacing w:line="320" w:lineRule="exact"/>
              <w:rPr>
                <w:rFonts w:ascii="宋体" w:hAnsi="宋体" w:cs="宋体"/>
                <w:b/>
                <w:bCs/>
                <w:color w:val="0000FF"/>
                <w:szCs w:val="21"/>
                <w:highlight w:val="none"/>
              </w:rPr>
            </w:pPr>
          </w:p>
        </w:tc>
        <w:tc>
          <w:tcPr>
            <w:tcW w:w="8364" w:type="dxa"/>
            <w:gridSpan w:val="4"/>
            <w:tcBorders>
              <w:tl2br w:val="nil"/>
              <w:tr2bl w:val="nil"/>
            </w:tcBorders>
          </w:tcPr>
          <w:p>
            <w:pPr>
              <w:wordWrap w:val="0"/>
              <w:adjustRightInd w:val="0"/>
              <w:snapToGrid w:val="0"/>
              <w:spacing w:line="32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90" w:hRule="atLeast"/>
          <w:tblCellSpacing w:w="0" w:type="dxa"/>
        </w:trPr>
        <w:tc>
          <w:tcPr>
            <w:tcW w:w="685" w:type="dxa"/>
            <w:vMerge w:val="restart"/>
            <w:tcBorders>
              <w:tl2br w:val="nil"/>
              <w:tr2bl w:val="nil"/>
            </w:tcBorders>
          </w:tcPr>
          <w:p>
            <w:pPr>
              <w:wordWrap w:val="0"/>
              <w:adjustRightInd w:val="0"/>
              <w:snapToGrid w:val="0"/>
              <w:spacing w:line="320" w:lineRule="exact"/>
              <w:jc w:val="center"/>
              <w:rPr>
                <w:rFonts w:ascii="宋体" w:hAnsi="宋体" w:cs="宋体"/>
                <w:b/>
                <w:bCs/>
                <w:color w:val="0000FF"/>
                <w:szCs w:val="21"/>
                <w:highlight w:val="none"/>
              </w:rPr>
            </w:pPr>
            <w:r>
              <w:rPr>
                <w:rFonts w:hint="eastAsia" w:ascii="宋体" w:hAnsi="宋体" w:cs="宋体"/>
                <w:b/>
                <w:bCs/>
                <w:color w:val="0000FF"/>
                <w:szCs w:val="21"/>
                <w:highlight w:val="none"/>
              </w:rPr>
              <w:t>2</w:t>
            </w:r>
          </w:p>
        </w:tc>
        <w:tc>
          <w:tcPr>
            <w:tcW w:w="3508" w:type="dxa"/>
            <w:gridSpan w:val="3"/>
            <w:tcBorders>
              <w:tl2br w:val="nil"/>
              <w:tr2bl w:val="nil"/>
            </w:tcBorders>
          </w:tcPr>
          <w:p>
            <w:pPr>
              <w:wordWrap w:val="0"/>
              <w:adjustRightInd w:val="0"/>
              <w:snapToGrid w:val="0"/>
              <w:spacing w:line="320" w:lineRule="exact"/>
              <w:jc w:val="center"/>
              <w:rPr>
                <w:rFonts w:ascii="宋体" w:hAnsi="宋体" w:cs="宋体"/>
                <w:b/>
                <w:bCs/>
                <w:color w:val="0000FF"/>
                <w:szCs w:val="21"/>
                <w:highlight w:val="none"/>
              </w:rPr>
            </w:pPr>
            <w:r>
              <w:rPr>
                <w:rFonts w:hint="eastAsia" w:ascii="宋体" w:hAnsi="宋体" w:cs="宋体"/>
                <w:b/>
                <w:bCs/>
                <w:color w:val="0000FF"/>
                <w:szCs w:val="21"/>
                <w:highlight w:val="none"/>
              </w:rPr>
              <w:t>技术部分</w:t>
            </w:r>
          </w:p>
        </w:tc>
        <w:tc>
          <w:tcPr>
            <w:tcW w:w="4856" w:type="dxa"/>
            <w:tcBorders>
              <w:tl2br w:val="nil"/>
              <w:tr2bl w:val="nil"/>
            </w:tcBorders>
          </w:tcPr>
          <w:p>
            <w:pPr>
              <w:wordWrap w:val="0"/>
              <w:adjustRightInd w:val="0"/>
              <w:snapToGrid w:val="0"/>
              <w:spacing w:line="320" w:lineRule="exact"/>
              <w:jc w:val="center"/>
              <w:rPr>
                <w:rFonts w:hint="default" w:ascii="宋体" w:hAnsi="宋体" w:eastAsia="宋体" w:cs="宋体"/>
                <w:b/>
                <w:bCs/>
                <w:color w:val="0000FF"/>
                <w:szCs w:val="21"/>
                <w:highlight w:val="none"/>
                <w:lang w:val="en-US" w:eastAsia="zh-CN"/>
              </w:rPr>
            </w:pPr>
            <w:r>
              <w:rPr>
                <w:rFonts w:hint="eastAsia" w:ascii="宋体" w:hAnsi="宋体" w:cs="宋体"/>
                <w:b/>
                <w:bCs/>
                <w:color w:val="0000FF"/>
                <w:szCs w:val="21"/>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pPr>
              <w:adjustRightInd w:val="0"/>
              <w:snapToGrid w:val="0"/>
              <w:spacing w:line="320" w:lineRule="exact"/>
              <w:rPr>
                <w:rFonts w:ascii="宋体" w:hAnsi="宋体" w:cs="宋体"/>
                <w:b/>
                <w:bCs/>
                <w:color w:val="0000FF"/>
                <w:szCs w:val="21"/>
                <w:highlight w:val="none"/>
              </w:rPr>
            </w:pPr>
          </w:p>
        </w:tc>
        <w:tc>
          <w:tcPr>
            <w:tcW w:w="8364" w:type="dxa"/>
            <w:gridSpan w:val="4"/>
            <w:tcBorders>
              <w:tl2br w:val="nil"/>
              <w:tr2bl w:val="nil"/>
            </w:tcBorders>
          </w:tcPr>
          <w:p>
            <w:pPr>
              <w:wordWrap w:val="0"/>
              <w:adjustRightInd w:val="0"/>
              <w:snapToGrid w:val="0"/>
              <w:spacing w:line="32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shd w:val="clear" w:color="auto" w:fill="E6EFFA"/>
            <w:vAlign w:val="center"/>
          </w:tcPr>
          <w:p>
            <w:pPr>
              <w:adjustRightInd w:val="0"/>
              <w:snapToGrid w:val="0"/>
              <w:spacing w:line="320" w:lineRule="exact"/>
              <w:rPr>
                <w:rFonts w:ascii="宋体" w:hAnsi="宋体" w:cs="宋体"/>
                <w:b/>
                <w:bCs/>
                <w:color w:val="0000FF"/>
                <w:szCs w:val="21"/>
                <w:highlight w:val="none"/>
              </w:rPr>
            </w:pPr>
          </w:p>
        </w:tc>
        <w:tc>
          <w:tcPr>
            <w:tcW w:w="548" w:type="dxa"/>
            <w:tcBorders>
              <w:tl2br w:val="nil"/>
              <w:tr2bl w:val="nil"/>
            </w:tcBorders>
            <w:shd w:val="clear" w:color="auto" w:fill="E6EFFA"/>
            <w:vAlign w:val="center"/>
          </w:tcPr>
          <w:p>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序号</w:t>
            </w:r>
          </w:p>
        </w:tc>
        <w:tc>
          <w:tcPr>
            <w:tcW w:w="2264" w:type="dxa"/>
            <w:tcBorders>
              <w:tl2br w:val="nil"/>
              <w:tr2bl w:val="nil"/>
            </w:tcBorders>
            <w:shd w:val="clear" w:color="auto" w:fill="E6EFFA"/>
            <w:vAlign w:val="center"/>
          </w:tcPr>
          <w:p>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评分因素</w:t>
            </w:r>
          </w:p>
        </w:tc>
        <w:tc>
          <w:tcPr>
            <w:tcW w:w="696" w:type="dxa"/>
            <w:tcBorders>
              <w:tl2br w:val="nil"/>
              <w:tr2bl w:val="nil"/>
            </w:tcBorders>
            <w:shd w:val="clear" w:color="auto" w:fill="E6EFFA"/>
            <w:vAlign w:val="center"/>
          </w:tcPr>
          <w:p>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权重(%)</w:t>
            </w:r>
          </w:p>
        </w:tc>
        <w:tc>
          <w:tcPr>
            <w:tcW w:w="4856" w:type="dxa"/>
            <w:tcBorders>
              <w:tl2br w:val="nil"/>
              <w:tr2bl w:val="nil"/>
            </w:tcBorders>
            <w:shd w:val="clear" w:color="auto" w:fill="E6EFFA"/>
            <w:vAlign w:val="center"/>
          </w:tcPr>
          <w:p>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pPr>
              <w:adjustRightInd w:val="0"/>
              <w:snapToGrid w:val="0"/>
              <w:spacing w:line="320" w:lineRule="exact"/>
              <w:rPr>
                <w:rFonts w:ascii="宋体" w:hAnsi="宋体" w:cs="宋体"/>
                <w:b/>
                <w:bCs/>
                <w:color w:val="0000FF"/>
                <w:szCs w:val="21"/>
                <w:highlight w:val="none"/>
              </w:rPr>
            </w:pPr>
          </w:p>
        </w:tc>
        <w:tc>
          <w:tcPr>
            <w:tcW w:w="548" w:type="dxa"/>
            <w:tcBorders>
              <w:tl2br w:val="nil"/>
              <w:tr2bl w:val="nil"/>
            </w:tcBorders>
            <w:vAlign w:val="center"/>
          </w:tcPr>
          <w:p>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1</w:t>
            </w:r>
          </w:p>
        </w:tc>
        <w:tc>
          <w:tcPr>
            <w:tcW w:w="2264" w:type="dxa"/>
            <w:tcBorders>
              <w:tl2br w:val="nil"/>
              <w:tr2bl w:val="nil"/>
            </w:tcBorders>
            <w:vAlign w:val="center"/>
          </w:tcPr>
          <w:p>
            <w:pPr>
              <w:wordWrap w:val="0"/>
              <w:adjustRightInd w:val="0"/>
              <w:snapToGrid w:val="0"/>
              <w:spacing w:line="320" w:lineRule="exact"/>
              <w:jc w:val="center"/>
              <w:rPr>
                <w:rFonts w:ascii="宋体" w:hAnsi="宋体" w:cs="宋体"/>
                <w:szCs w:val="21"/>
                <w:highlight w:val="none"/>
              </w:rPr>
            </w:pPr>
            <w:r>
              <w:rPr>
                <w:rFonts w:hint="eastAsia" w:ascii="宋体" w:hAnsi="宋体" w:eastAsia="宋体" w:cs="宋体"/>
                <w:color w:val="000000"/>
                <w:sz w:val="21"/>
                <w:szCs w:val="21"/>
                <w:highlight w:val="none"/>
              </w:rPr>
              <w:t>服务方案</w:t>
            </w:r>
          </w:p>
        </w:tc>
        <w:tc>
          <w:tcPr>
            <w:tcW w:w="696" w:type="dxa"/>
            <w:tcBorders>
              <w:tl2br w:val="nil"/>
              <w:tr2bl w:val="nil"/>
            </w:tcBorders>
            <w:vAlign w:val="center"/>
          </w:tcPr>
          <w:p>
            <w:pPr>
              <w:wordWrap w:val="0"/>
              <w:adjustRightInd w:val="0"/>
              <w:snapToGrid w:val="0"/>
              <w:spacing w:line="32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10</w:t>
            </w:r>
          </w:p>
        </w:tc>
        <w:tc>
          <w:tcPr>
            <w:tcW w:w="4856" w:type="dxa"/>
            <w:tcBorders>
              <w:tl2br w:val="nil"/>
              <w:tr2bl w:val="nil"/>
            </w:tcBorders>
          </w:tcPr>
          <w:p>
            <w:pPr>
              <w:wordWrap w:val="0"/>
              <w:adjustRightInd w:val="0"/>
              <w:snapToGrid w:val="0"/>
              <w:spacing w:line="320" w:lineRule="exact"/>
              <w:rPr>
                <w:rFonts w:ascii="宋体" w:hAnsi="宋体" w:cs="宋体"/>
                <w:b/>
                <w:bCs/>
                <w:szCs w:val="21"/>
                <w:highlight w:val="none"/>
              </w:rPr>
            </w:pPr>
            <w:r>
              <w:rPr>
                <w:rFonts w:hint="eastAsia" w:ascii="宋体" w:hAnsi="宋体" w:cs="宋体"/>
                <w:b/>
                <w:bCs/>
                <w:szCs w:val="21"/>
                <w:highlight w:val="none"/>
              </w:rPr>
              <w:t>（一）评分内容：</w:t>
            </w:r>
          </w:p>
          <w:p>
            <w:pPr>
              <w:widowControl/>
              <w:wordWrap w:val="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投标人须针对本项目需求提供服务方案，包括下述内容：</w:t>
            </w:r>
          </w:p>
          <w:p>
            <w:pPr>
              <w:widowControl/>
              <w:wordWrap w:val="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1.对项目的整体设想及规划；</w:t>
            </w:r>
          </w:p>
          <w:p>
            <w:pPr>
              <w:widowControl/>
              <w:wordWrap w:val="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2.管理目标；</w:t>
            </w:r>
          </w:p>
          <w:p>
            <w:pPr>
              <w:widowControl/>
              <w:wordWrap w:val="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3.管理制度；</w:t>
            </w:r>
          </w:p>
          <w:p>
            <w:pPr>
              <w:widowControl/>
              <w:wordWrap w:val="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4.管理方式。</w:t>
            </w:r>
          </w:p>
          <w:p>
            <w:pPr>
              <w:wordWrap w:val="0"/>
              <w:adjustRightInd w:val="0"/>
              <w:snapToGrid w:val="0"/>
              <w:spacing w:line="320" w:lineRule="exact"/>
              <w:rPr>
                <w:rFonts w:ascii="宋体" w:hAnsi="宋体" w:cs="宋体"/>
                <w:b/>
                <w:bCs/>
                <w:szCs w:val="21"/>
                <w:highlight w:val="none"/>
              </w:rPr>
            </w:pPr>
            <w:r>
              <w:rPr>
                <w:rFonts w:hint="eastAsia" w:ascii="宋体" w:hAnsi="宋体" w:cs="宋体"/>
                <w:b/>
                <w:bCs/>
                <w:szCs w:val="21"/>
                <w:highlight w:val="none"/>
              </w:rPr>
              <w:t>（二）评分依据：</w:t>
            </w:r>
          </w:p>
          <w:p>
            <w:pPr>
              <w:widowControl/>
              <w:wordWrap w:val="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考察投标人以上方案，满足以上四项要求得40分，满足三项要求得30分，满足两项要求得20分，满足一项要求得10分，未满足不得分。</w:t>
            </w:r>
          </w:p>
          <w:p>
            <w:pPr>
              <w:widowControl/>
              <w:wordWrap w:val="0"/>
              <w:jc w:val="left"/>
              <w:rPr>
                <w:rFonts w:hint="eastAsia" w:ascii="宋体" w:hAnsi="宋体" w:eastAsia="宋体" w:cs="宋体"/>
                <w:color w:val="000000"/>
                <w:kern w:val="0"/>
                <w:sz w:val="21"/>
                <w:szCs w:val="21"/>
                <w:highlight w:val="none"/>
              </w:rPr>
            </w:pPr>
            <w:r>
              <w:rPr>
                <w:rFonts w:hint="eastAsia" w:ascii="宋体" w:hAnsi="宋体" w:eastAsia="宋体" w:cs="宋体"/>
                <w:b/>
                <w:bCs/>
                <w:color w:val="000000"/>
                <w:kern w:val="0"/>
                <w:sz w:val="21"/>
                <w:szCs w:val="21"/>
                <w:highlight w:val="none"/>
              </w:rPr>
              <w:t>在此基础上，专家根据各供应商的具体响应内容进一步评审。</w:t>
            </w:r>
          </w:p>
          <w:p>
            <w:pPr>
              <w:widowControl/>
              <w:wordWrap w:val="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评审为优：方案内容全面、具体，科学合理，针对性和可操作性强的，加60分；</w:t>
            </w:r>
          </w:p>
          <w:p>
            <w:pPr>
              <w:widowControl/>
              <w:wordWrap w:val="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评审为良：方案内容较全面、具体，较科学合理，针对性和可操作性较强的，加40分；</w:t>
            </w:r>
          </w:p>
          <w:p>
            <w:pPr>
              <w:widowControl/>
              <w:wordWrap w:val="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评审为中：方案内容一般，针对性和可操作性一般的，加20分；</w:t>
            </w:r>
          </w:p>
          <w:p>
            <w:pPr>
              <w:widowControl/>
              <w:wordWrap w:val="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评审为差：方案内容差的，不加分。</w:t>
            </w:r>
          </w:p>
          <w:p>
            <w:pPr>
              <w:wordWrap w:val="0"/>
              <w:adjustRightInd w:val="0"/>
              <w:snapToGrid w:val="0"/>
              <w:spacing w:line="320" w:lineRule="exact"/>
              <w:rPr>
                <w:rFonts w:ascii="宋体" w:hAnsi="宋体" w:cs="宋体"/>
                <w:szCs w:val="21"/>
                <w:highlight w:val="none"/>
              </w:rPr>
            </w:pPr>
            <w:r>
              <w:rPr>
                <w:rFonts w:hint="eastAsia" w:ascii="宋体" w:hAnsi="宋体" w:eastAsia="宋体" w:cs="宋体"/>
                <w:color w:val="000000"/>
                <w:kern w:val="0"/>
                <w:sz w:val="21"/>
                <w:szCs w:val="21"/>
                <w:highlight w:val="none"/>
              </w:rPr>
              <w:t>本项最高得100分，未按要求提供或提供不清晰导致评审无法判别的不得分。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pPr>
              <w:adjustRightInd w:val="0"/>
              <w:snapToGrid w:val="0"/>
              <w:spacing w:line="320" w:lineRule="exact"/>
              <w:rPr>
                <w:rFonts w:ascii="宋体" w:hAnsi="宋体" w:cs="宋体"/>
                <w:b/>
                <w:bCs/>
                <w:color w:val="0000FF"/>
                <w:szCs w:val="21"/>
                <w:highlight w:val="none"/>
              </w:rPr>
            </w:pPr>
          </w:p>
        </w:tc>
        <w:tc>
          <w:tcPr>
            <w:tcW w:w="548" w:type="dxa"/>
            <w:tcBorders>
              <w:tl2br w:val="nil"/>
              <w:tr2bl w:val="nil"/>
            </w:tcBorders>
            <w:vAlign w:val="center"/>
          </w:tcPr>
          <w:p>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2</w:t>
            </w:r>
          </w:p>
        </w:tc>
        <w:tc>
          <w:tcPr>
            <w:tcW w:w="2264" w:type="dxa"/>
            <w:tcBorders>
              <w:tl2br w:val="nil"/>
              <w:tr2bl w:val="nil"/>
            </w:tcBorders>
            <w:vAlign w:val="center"/>
          </w:tcPr>
          <w:p>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项目重点难点分析、应对措施及相关的合理化建议</w:t>
            </w:r>
          </w:p>
        </w:tc>
        <w:tc>
          <w:tcPr>
            <w:tcW w:w="696" w:type="dxa"/>
            <w:tcBorders>
              <w:tl2br w:val="nil"/>
              <w:tr2bl w:val="nil"/>
            </w:tcBorders>
            <w:vAlign w:val="center"/>
          </w:tcPr>
          <w:p>
            <w:pPr>
              <w:wordWrap w:val="0"/>
              <w:adjustRightInd w:val="0"/>
              <w:snapToGrid w:val="0"/>
              <w:spacing w:line="32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10</w:t>
            </w:r>
          </w:p>
        </w:tc>
        <w:tc>
          <w:tcPr>
            <w:tcW w:w="4856" w:type="dxa"/>
            <w:tcBorders>
              <w:tl2br w:val="nil"/>
              <w:tr2bl w:val="nil"/>
            </w:tcBorders>
            <w:vAlign w:val="center"/>
          </w:tcPr>
          <w:p>
            <w:pPr>
              <w:wordWrap w:val="0"/>
              <w:adjustRightInd w:val="0"/>
              <w:snapToGrid w:val="0"/>
              <w:spacing w:line="320" w:lineRule="exact"/>
              <w:rPr>
                <w:rFonts w:ascii="宋体" w:hAnsi="宋体" w:cs="宋体"/>
                <w:b/>
                <w:bCs/>
                <w:szCs w:val="21"/>
                <w:highlight w:val="none"/>
              </w:rPr>
            </w:pPr>
            <w:r>
              <w:rPr>
                <w:rFonts w:hint="eastAsia" w:ascii="宋体" w:hAnsi="宋体" w:cs="宋体"/>
                <w:b/>
                <w:bCs/>
                <w:szCs w:val="21"/>
                <w:highlight w:val="none"/>
              </w:rPr>
              <w:t>（一）评分内容：</w:t>
            </w:r>
          </w:p>
          <w:p>
            <w:pPr>
              <w:widowControl/>
              <w:wordWrap w:val="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投标人须针对本项目需求提供对项目重点难点分析、应对措施及相关的合理化建议，包括下述内容：</w:t>
            </w:r>
          </w:p>
          <w:p>
            <w:pPr>
              <w:widowControl/>
              <w:wordWrap w:val="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1.项目重点难点分析；</w:t>
            </w:r>
          </w:p>
          <w:p>
            <w:pPr>
              <w:widowControl/>
              <w:wordWrap w:val="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2.应对措施；</w:t>
            </w:r>
          </w:p>
          <w:p>
            <w:pPr>
              <w:widowControl/>
              <w:wordWrap w:val="0"/>
              <w:jc w:val="left"/>
              <w:rPr>
                <w:highlight w:val="none"/>
              </w:rPr>
            </w:pPr>
            <w:r>
              <w:rPr>
                <w:rFonts w:hint="eastAsia" w:ascii="宋体" w:hAnsi="宋体" w:eastAsia="宋体" w:cs="宋体"/>
                <w:color w:val="000000"/>
                <w:kern w:val="0"/>
                <w:sz w:val="21"/>
                <w:szCs w:val="21"/>
                <w:highlight w:val="none"/>
              </w:rPr>
              <w:t>3.相关的合理化建议。</w:t>
            </w:r>
          </w:p>
          <w:p>
            <w:pPr>
              <w:wordWrap w:val="0"/>
              <w:adjustRightInd w:val="0"/>
              <w:snapToGrid w:val="0"/>
              <w:spacing w:line="320" w:lineRule="exact"/>
              <w:rPr>
                <w:rFonts w:ascii="宋体" w:hAnsi="宋体" w:cs="宋体"/>
                <w:b/>
                <w:bCs/>
                <w:szCs w:val="21"/>
                <w:highlight w:val="none"/>
              </w:rPr>
            </w:pPr>
            <w:r>
              <w:rPr>
                <w:rFonts w:hint="eastAsia" w:ascii="宋体" w:hAnsi="宋体" w:cs="宋体"/>
                <w:b/>
                <w:bCs/>
                <w:szCs w:val="21"/>
                <w:highlight w:val="none"/>
              </w:rPr>
              <w:t>（二）评分依据：</w:t>
            </w:r>
          </w:p>
          <w:p>
            <w:pPr>
              <w:widowControl/>
              <w:wordWrap w:val="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满足以上3项要求得40分，满足以上</w:t>
            </w:r>
            <w:r>
              <w:rPr>
                <w:rFonts w:hint="eastAsia" w:ascii="宋体" w:hAnsi="宋体" w:eastAsia="宋体" w:cs="宋体"/>
                <w:color w:val="000000"/>
                <w:kern w:val="0"/>
                <w:sz w:val="21"/>
                <w:szCs w:val="21"/>
                <w:highlight w:val="none"/>
                <w:lang w:val="en-US" w:eastAsia="zh-CN"/>
              </w:rPr>
              <w:t>任意</w:t>
            </w:r>
            <w:r>
              <w:rPr>
                <w:rFonts w:hint="eastAsia" w:ascii="宋体" w:hAnsi="宋体" w:eastAsia="宋体" w:cs="宋体"/>
                <w:color w:val="000000"/>
                <w:kern w:val="0"/>
                <w:sz w:val="21"/>
                <w:szCs w:val="21"/>
                <w:highlight w:val="none"/>
              </w:rPr>
              <w:t>2项要求得30分，满足以上</w:t>
            </w:r>
            <w:r>
              <w:rPr>
                <w:rFonts w:hint="eastAsia" w:ascii="宋体" w:hAnsi="宋体" w:eastAsia="宋体" w:cs="宋体"/>
                <w:color w:val="000000"/>
                <w:kern w:val="0"/>
                <w:sz w:val="21"/>
                <w:szCs w:val="21"/>
                <w:highlight w:val="none"/>
                <w:lang w:val="en-US" w:eastAsia="zh-CN"/>
              </w:rPr>
              <w:t>任意</w:t>
            </w:r>
            <w:r>
              <w:rPr>
                <w:rFonts w:hint="eastAsia" w:ascii="宋体" w:hAnsi="宋体" w:eastAsia="宋体" w:cs="宋体"/>
                <w:color w:val="000000"/>
                <w:kern w:val="0"/>
                <w:sz w:val="21"/>
                <w:szCs w:val="21"/>
                <w:highlight w:val="none"/>
              </w:rPr>
              <w:t>1项要求得20分，其他不得分。</w:t>
            </w:r>
          </w:p>
          <w:p>
            <w:pPr>
              <w:widowControl/>
              <w:wordWrap w:val="0"/>
              <w:jc w:val="left"/>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在此基础上，专家根据各供应商的具体响应内容进一步评审。</w:t>
            </w:r>
          </w:p>
          <w:p>
            <w:pPr>
              <w:widowControl/>
              <w:wordWrap w:val="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评审为优：重难点分析内容详实，应对措施针对性强，合理化建议科学合理的，加60分；</w:t>
            </w:r>
          </w:p>
          <w:p>
            <w:pPr>
              <w:widowControl/>
              <w:wordWrap w:val="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评审为良：重难点分析内容较详实，应对措施针对性较强，合理化建议较科学合理的，加40分；</w:t>
            </w:r>
          </w:p>
          <w:p>
            <w:pPr>
              <w:widowControl/>
              <w:wordWrap w:val="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评审为中：重难点分析内容一般，应对措施针对性一般，合理化建议一般的，加20分；</w:t>
            </w:r>
          </w:p>
          <w:p>
            <w:pPr>
              <w:widowControl/>
              <w:wordWrap w:val="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评审为差：重难点分析内容差，应对措施针对性差，合理化建议差的，不加分。</w:t>
            </w:r>
          </w:p>
          <w:p>
            <w:pPr>
              <w:wordWrap w:val="0"/>
              <w:adjustRightInd w:val="0"/>
              <w:snapToGrid w:val="0"/>
              <w:spacing w:line="320" w:lineRule="exact"/>
              <w:jc w:val="left"/>
              <w:rPr>
                <w:rFonts w:ascii="宋体" w:hAnsi="宋体" w:cs="宋体"/>
                <w:szCs w:val="21"/>
                <w:highlight w:val="none"/>
              </w:rPr>
            </w:pPr>
            <w:r>
              <w:rPr>
                <w:rFonts w:hint="eastAsia" w:ascii="宋体" w:hAnsi="宋体" w:eastAsia="宋体" w:cs="宋体"/>
                <w:color w:val="000000"/>
                <w:kern w:val="0"/>
                <w:sz w:val="21"/>
                <w:szCs w:val="21"/>
                <w:highlight w:val="none"/>
              </w:rPr>
              <w:t>本项最高得100分，未按要求提供或提供不清晰导致评审无法判别的不得分。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pPr>
              <w:adjustRightInd w:val="0"/>
              <w:snapToGrid w:val="0"/>
              <w:spacing w:line="320" w:lineRule="exact"/>
              <w:rPr>
                <w:rFonts w:ascii="宋体" w:hAnsi="宋体" w:cs="宋体"/>
                <w:b/>
                <w:bCs/>
                <w:color w:val="0000FF"/>
                <w:szCs w:val="21"/>
                <w:highlight w:val="none"/>
              </w:rPr>
            </w:pPr>
          </w:p>
        </w:tc>
        <w:tc>
          <w:tcPr>
            <w:tcW w:w="548" w:type="dxa"/>
            <w:tcBorders>
              <w:tl2br w:val="nil"/>
              <w:tr2bl w:val="nil"/>
            </w:tcBorders>
            <w:vAlign w:val="center"/>
          </w:tcPr>
          <w:p>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3</w:t>
            </w:r>
          </w:p>
        </w:tc>
        <w:tc>
          <w:tcPr>
            <w:tcW w:w="2264" w:type="dxa"/>
            <w:tcBorders>
              <w:tl2br w:val="nil"/>
              <w:tr2bl w:val="nil"/>
            </w:tcBorders>
            <w:vAlign w:val="center"/>
          </w:tcPr>
          <w:p>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质量（完成时间、安全、环保）保障措施及方案</w:t>
            </w:r>
          </w:p>
        </w:tc>
        <w:tc>
          <w:tcPr>
            <w:tcW w:w="696" w:type="dxa"/>
            <w:tcBorders>
              <w:tl2br w:val="nil"/>
              <w:tr2bl w:val="nil"/>
            </w:tcBorders>
            <w:vAlign w:val="center"/>
          </w:tcPr>
          <w:p>
            <w:pPr>
              <w:wordWrap w:val="0"/>
              <w:adjustRightInd w:val="0"/>
              <w:snapToGrid w:val="0"/>
              <w:spacing w:line="32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10</w:t>
            </w:r>
          </w:p>
        </w:tc>
        <w:tc>
          <w:tcPr>
            <w:tcW w:w="4856" w:type="dxa"/>
            <w:tcBorders>
              <w:tl2br w:val="nil"/>
              <w:tr2bl w:val="nil"/>
            </w:tcBorders>
            <w:vAlign w:val="center"/>
          </w:tcPr>
          <w:p>
            <w:pPr>
              <w:wordWrap w:val="0"/>
              <w:adjustRightInd w:val="0"/>
              <w:snapToGrid w:val="0"/>
              <w:spacing w:line="320" w:lineRule="exact"/>
              <w:rPr>
                <w:rFonts w:ascii="宋体" w:hAnsi="宋体" w:cs="宋体"/>
                <w:b/>
                <w:bCs/>
                <w:szCs w:val="21"/>
                <w:highlight w:val="none"/>
              </w:rPr>
            </w:pPr>
            <w:r>
              <w:rPr>
                <w:rFonts w:hint="eastAsia" w:ascii="宋体" w:hAnsi="宋体" w:cs="宋体"/>
                <w:b/>
                <w:bCs/>
                <w:szCs w:val="21"/>
                <w:highlight w:val="none"/>
              </w:rPr>
              <w:t>（一）评分内容：</w:t>
            </w:r>
          </w:p>
          <w:p>
            <w:pPr>
              <w:widowControl/>
              <w:wordWrap w:val="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投标人须针对本项目需求提供对项目重点难点分析、应对措施及相关的合理化建议，包括下述内容：</w:t>
            </w:r>
          </w:p>
          <w:p>
            <w:pPr>
              <w:widowControl/>
              <w:wordWrap w:val="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1.项目重点难点分析；</w:t>
            </w:r>
          </w:p>
          <w:p>
            <w:pPr>
              <w:widowControl/>
              <w:wordWrap w:val="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2.应对措施；</w:t>
            </w:r>
          </w:p>
          <w:p>
            <w:pPr>
              <w:widowControl/>
              <w:wordWrap w:val="0"/>
              <w:jc w:val="left"/>
              <w:rPr>
                <w:highlight w:val="none"/>
              </w:rPr>
            </w:pPr>
            <w:r>
              <w:rPr>
                <w:rFonts w:hint="eastAsia" w:ascii="宋体" w:hAnsi="宋体" w:eastAsia="宋体" w:cs="宋体"/>
                <w:color w:val="000000"/>
                <w:kern w:val="0"/>
                <w:sz w:val="21"/>
                <w:szCs w:val="21"/>
                <w:highlight w:val="none"/>
              </w:rPr>
              <w:t>3.相关的合理化建议。</w:t>
            </w:r>
          </w:p>
          <w:p>
            <w:pPr>
              <w:wordWrap w:val="0"/>
              <w:adjustRightInd w:val="0"/>
              <w:snapToGrid w:val="0"/>
              <w:spacing w:line="320" w:lineRule="exact"/>
              <w:rPr>
                <w:rFonts w:ascii="宋体" w:hAnsi="宋体" w:cs="宋体"/>
                <w:b/>
                <w:bCs/>
                <w:szCs w:val="21"/>
                <w:highlight w:val="none"/>
              </w:rPr>
            </w:pPr>
            <w:r>
              <w:rPr>
                <w:rFonts w:hint="eastAsia" w:ascii="宋体" w:hAnsi="宋体" w:cs="宋体"/>
                <w:b/>
                <w:bCs/>
                <w:szCs w:val="21"/>
                <w:highlight w:val="none"/>
              </w:rPr>
              <w:t>（二）评分依据：</w:t>
            </w:r>
          </w:p>
          <w:p>
            <w:pPr>
              <w:widowControl/>
              <w:wordWrap w:val="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满足以上3项要求得40分，满足以上</w:t>
            </w:r>
            <w:r>
              <w:rPr>
                <w:rFonts w:hint="eastAsia" w:ascii="宋体" w:hAnsi="宋体" w:eastAsia="宋体" w:cs="宋体"/>
                <w:color w:val="000000"/>
                <w:kern w:val="0"/>
                <w:sz w:val="21"/>
                <w:szCs w:val="21"/>
                <w:highlight w:val="none"/>
                <w:lang w:val="en-US" w:eastAsia="zh-CN"/>
              </w:rPr>
              <w:t>任意</w:t>
            </w:r>
            <w:r>
              <w:rPr>
                <w:rFonts w:hint="eastAsia" w:ascii="宋体" w:hAnsi="宋体" w:eastAsia="宋体" w:cs="宋体"/>
                <w:color w:val="000000"/>
                <w:kern w:val="0"/>
                <w:sz w:val="21"/>
                <w:szCs w:val="21"/>
                <w:highlight w:val="none"/>
              </w:rPr>
              <w:t>2项要求得30分，满足以上</w:t>
            </w:r>
            <w:r>
              <w:rPr>
                <w:rFonts w:hint="eastAsia" w:ascii="宋体" w:hAnsi="宋体" w:eastAsia="宋体" w:cs="宋体"/>
                <w:color w:val="000000"/>
                <w:kern w:val="0"/>
                <w:sz w:val="21"/>
                <w:szCs w:val="21"/>
                <w:highlight w:val="none"/>
                <w:lang w:val="en-US" w:eastAsia="zh-CN"/>
              </w:rPr>
              <w:t>任意</w:t>
            </w:r>
            <w:r>
              <w:rPr>
                <w:rFonts w:hint="eastAsia" w:ascii="宋体" w:hAnsi="宋体" w:eastAsia="宋体" w:cs="宋体"/>
                <w:color w:val="000000"/>
                <w:kern w:val="0"/>
                <w:sz w:val="21"/>
                <w:szCs w:val="21"/>
                <w:highlight w:val="none"/>
              </w:rPr>
              <w:t>1项要求得20分，其他不得分。</w:t>
            </w:r>
          </w:p>
          <w:p>
            <w:pPr>
              <w:widowControl/>
              <w:wordWrap w:val="0"/>
              <w:jc w:val="left"/>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在此基础上，专家根据各供应商的具体响应内容进一步评审。</w:t>
            </w:r>
          </w:p>
          <w:p>
            <w:pPr>
              <w:widowControl/>
              <w:wordWrap w:val="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评审为优：重难点分析内容详实，应对措施针对性强，合理化建议科学合理的，加60分；</w:t>
            </w:r>
          </w:p>
          <w:p>
            <w:pPr>
              <w:widowControl/>
              <w:wordWrap w:val="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评审为良：重难点分析内容较详实，应对措施针对性较强，合理化建议较科学合理的，加40分；</w:t>
            </w:r>
          </w:p>
          <w:p>
            <w:pPr>
              <w:widowControl/>
              <w:wordWrap w:val="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评审为中：重难点分析内容一般，应对措施针对性一般，合理化建议一般的，加20分；</w:t>
            </w:r>
          </w:p>
          <w:p>
            <w:pPr>
              <w:widowControl/>
              <w:wordWrap w:val="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评审为差：重难点分析内容差，应对措施针对性差，合理化建议差的，不加分。</w:t>
            </w:r>
          </w:p>
          <w:p>
            <w:pPr>
              <w:wordWrap w:val="0"/>
              <w:adjustRightInd w:val="0"/>
              <w:snapToGrid w:val="0"/>
              <w:spacing w:line="320" w:lineRule="exact"/>
              <w:jc w:val="left"/>
              <w:rPr>
                <w:rFonts w:ascii="宋体" w:hAnsi="宋体" w:cs="宋体"/>
                <w:szCs w:val="21"/>
                <w:highlight w:val="none"/>
              </w:rPr>
            </w:pPr>
            <w:r>
              <w:rPr>
                <w:rFonts w:hint="eastAsia" w:ascii="宋体" w:hAnsi="宋体" w:eastAsia="宋体" w:cs="宋体"/>
                <w:color w:val="000000"/>
                <w:kern w:val="0"/>
                <w:sz w:val="21"/>
                <w:szCs w:val="21"/>
                <w:highlight w:val="none"/>
              </w:rPr>
              <w:t>本项最高得100分，未按要求提供或提供不清晰导致评审无法判别的不得分。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pPr>
              <w:adjustRightInd w:val="0"/>
              <w:snapToGrid w:val="0"/>
              <w:spacing w:line="320" w:lineRule="exact"/>
              <w:rPr>
                <w:rFonts w:ascii="宋体" w:hAnsi="宋体" w:cs="宋体"/>
                <w:b/>
                <w:bCs/>
                <w:color w:val="0000FF"/>
                <w:szCs w:val="21"/>
                <w:highlight w:val="none"/>
              </w:rPr>
            </w:pPr>
          </w:p>
        </w:tc>
        <w:tc>
          <w:tcPr>
            <w:tcW w:w="548" w:type="dxa"/>
            <w:tcBorders>
              <w:tl2br w:val="nil"/>
              <w:tr2bl w:val="nil"/>
            </w:tcBorders>
            <w:vAlign w:val="center"/>
          </w:tcPr>
          <w:p>
            <w:pPr>
              <w:wordWrap w:val="0"/>
              <w:adjustRightInd w:val="0"/>
              <w:snapToGrid w:val="0"/>
              <w:spacing w:line="32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4</w:t>
            </w:r>
          </w:p>
        </w:tc>
        <w:tc>
          <w:tcPr>
            <w:tcW w:w="2264" w:type="dxa"/>
            <w:tcBorders>
              <w:tl2br w:val="nil"/>
              <w:tr2bl w:val="nil"/>
            </w:tcBorders>
            <w:vAlign w:val="center"/>
          </w:tcPr>
          <w:p>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拟安排的项目负责人情况（仅限一人）</w:t>
            </w:r>
          </w:p>
        </w:tc>
        <w:tc>
          <w:tcPr>
            <w:tcW w:w="696" w:type="dxa"/>
            <w:tcBorders>
              <w:tl2br w:val="nil"/>
              <w:tr2bl w:val="nil"/>
            </w:tcBorders>
            <w:vAlign w:val="center"/>
          </w:tcPr>
          <w:p>
            <w:pPr>
              <w:wordWrap w:val="0"/>
              <w:adjustRightInd w:val="0"/>
              <w:snapToGrid w:val="0"/>
              <w:spacing w:line="32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15</w:t>
            </w:r>
          </w:p>
        </w:tc>
        <w:tc>
          <w:tcPr>
            <w:tcW w:w="4856" w:type="dxa"/>
            <w:tcBorders>
              <w:tl2br w:val="nil"/>
              <w:tr2bl w:val="nil"/>
            </w:tcBorders>
          </w:tcPr>
          <w:p>
            <w:pPr>
              <w:adjustRightInd w:val="0"/>
              <w:snapToGrid w:val="0"/>
              <w:spacing w:line="320" w:lineRule="exact"/>
              <w:rPr>
                <w:rFonts w:ascii="宋体" w:hAnsi="宋体" w:cs="宋体"/>
                <w:b/>
                <w:bCs/>
                <w:szCs w:val="21"/>
                <w:highlight w:val="none"/>
              </w:rPr>
            </w:pPr>
            <w:r>
              <w:rPr>
                <w:rFonts w:hint="eastAsia" w:ascii="宋体" w:hAnsi="宋体" w:cs="宋体"/>
                <w:b/>
                <w:bCs/>
                <w:szCs w:val="21"/>
                <w:highlight w:val="none"/>
              </w:rPr>
              <w:t>（一）评分内容：</w:t>
            </w:r>
          </w:p>
          <w:p>
            <w:pPr>
              <w:widowControl/>
              <w:wordWrap w:val="0"/>
              <w:jc w:val="left"/>
              <w:rPr>
                <w:rFonts w:hint="default" w:ascii="宋体" w:hAnsi="宋体" w:eastAsia="宋体" w:cs="宋体"/>
                <w:b/>
                <w:bCs/>
                <w:color w:val="000000"/>
                <w:kern w:val="0"/>
                <w:sz w:val="21"/>
                <w:szCs w:val="21"/>
                <w:highlight w:val="none"/>
                <w:lang w:val="en-US"/>
              </w:rPr>
            </w:pPr>
            <w:r>
              <w:rPr>
                <w:rFonts w:hint="eastAsia" w:ascii="宋体" w:hAnsi="宋体" w:eastAsia="宋体" w:cs="宋体"/>
                <w:b/>
                <w:bCs/>
                <w:kern w:val="0"/>
                <w:sz w:val="21"/>
                <w:szCs w:val="21"/>
                <w:highlight w:val="none"/>
                <w:lang w:val="en-US" w:eastAsia="zh-CN" w:bidi="ar"/>
              </w:rPr>
              <w:t>必须满足招标文件“人员要求”，须提供《服务人员要求承诺函》，（即按招标文件格式</w:t>
            </w:r>
            <w:r>
              <w:rPr>
                <w:rFonts w:hint="eastAsia" w:ascii="宋体" w:hAnsi="宋体" w:cs="宋体"/>
                <w:b/>
                <w:bCs/>
                <w:kern w:val="0"/>
                <w:sz w:val="21"/>
                <w:szCs w:val="21"/>
                <w:highlight w:val="none"/>
                <w:lang w:val="en-US" w:eastAsia="zh-CN" w:bidi="ar"/>
              </w:rPr>
              <w:t>7</w:t>
            </w:r>
            <w:r>
              <w:rPr>
                <w:rFonts w:hint="eastAsia" w:ascii="宋体" w:hAnsi="宋体" w:eastAsia="宋体" w:cs="宋体"/>
                <w:b/>
                <w:bCs/>
                <w:kern w:val="0"/>
                <w:sz w:val="21"/>
                <w:szCs w:val="21"/>
                <w:highlight w:val="none"/>
                <w:lang w:val="en-US" w:eastAsia="zh-CN" w:bidi="ar"/>
              </w:rPr>
              <w:t>-1提供“服务人员要求承诺函”，详见附件），否则本项不得分。</w:t>
            </w:r>
            <w:r>
              <w:rPr>
                <w:rFonts w:hint="eastAsia" w:ascii="宋体" w:hAnsi="宋体" w:cs="宋体"/>
                <w:b/>
                <w:bCs/>
                <w:kern w:val="0"/>
                <w:sz w:val="21"/>
                <w:szCs w:val="21"/>
                <w:highlight w:val="none"/>
                <w:lang w:val="en-US" w:eastAsia="zh-CN" w:bidi="ar"/>
              </w:rPr>
              <w:t>在此基础上，负责人：</w:t>
            </w:r>
          </w:p>
          <w:p>
            <w:pPr>
              <w:widowControl/>
              <w:numPr>
                <w:ilvl w:val="0"/>
                <w:numId w:val="7"/>
              </w:numPr>
              <w:wordWrap w:val="0"/>
              <w:jc w:val="left"/>
              <w:rPr>
                <w:rFonts w:hint="eastAsia" w:ascii="宋体" w:hAnsi="宋体" w:eastAsia="宋体" w:cs="宋体"/>
                <w:kern w:val="0"/>
                <w:sz w:val="21"/>
                <w:szCs w:val="21"/>
                <w:highlight w:val="none"/>
              </w:rPr>
            </w:pPr>
            <w:r>
              <w:rPr>
                <w:rFonts w:hint="eastAsia" w:ascii="宋体" w:hAnsi="宋体" w:cs="宋体"/>
                <w:kern w:val="0"/>
                <w:sz w:val="21"/>
                <w:szCs w:val="21"/>
                <w:highlight w:val="none"/>
                <w:lang w:val="en-US" w:eastAsia="zh-CN"/>
              </w:rPr>
              <w:t>具有本科</w:t>
            </w:r>
            <w:r>
              <w:rPr>
                <w:rFonts w:hint="eastAsia"/>
                <w:highlight w:val="none"/>
                <w:lang w:eastAsia="zh-CN"/>
              </w:rPr>
              <w:t>或</w:t>
            </w:r>
            <w:r>
              <w:rPr>
                <w:rFonts w:hint="eastAsia" w:ascii="宋体" w:hAnsi="宋体" w:eastAsia="宋体" w:cs="宋体"/>
                <w:kern w:val="0"/>
                <w:sz w:val="21"/>
                <w:szCs w:val="21"/>
                <w:highlight w:val="none"/>
              </w:rPr>
              <w:t>以上学历，得</w:t>
            </w:r>
            <w:r>
              <w:rPr>
                <w:rFonts w:hint="eastAsia" w:ascii="宋体" w:hAnsi="宋体" w:cs="宋体"/>
                <w:kern w:val="0"/>
                <w:sz w:val="21"/>
                <w:szCs w:val="21"/>
                <w:highlight w:val="none"/>
                <w:lang w:val="en-US" w:eastAsia="zh-CN"/>
              </w:rPr>
              <w:t>50</w:t>
            </w:r>
            <w:r>
              <w:rPr>
                <w:rFonts w:hint="eastAsia" w:ascii="宋体" w:hAnsi="宋体" w:eastAsia="宋体" w:cs="宋体"/>
                <w:kern w:val="0"/>
                <w:sz w:val="21"/>
                <w:szCs w:val="21"/>
                <w:highlight w:val="none"/>
              </w:rPr>
              <w:t>分；</w:t>
            </w:r>
          </w:p>
          <w:p>
            <w:pPr>
              <w:pStyle w:val="2"/>
              <w:numPr>
                <w:ilvl w:val="0"/>
                <w:numId w:val="7"/>
              </w:numPr>
              <w:rPr>
                <w:rFonts w:hint="eastAsia"/>
                <w:highlight w:val="none"/>
              </w:rPr>
            </w:pPr>
            <w:r>
              <w:rPr>
                <w:rFonts w:hint="eastAsia" w:ascii="宋体" w:hAnsi="宋体" w:eastAsia="宋体" w:cs="宋体"/>
                <w:kern w:val="0"/>
                <w:sz w:val="21"/>
                <w:szCs w:val="21"/>
                <w:highlight w:val="none"/>
              </w:rPr>
              <w:t>具有具有</w:t>
            </w:r>
            <w:r>
              <w:rPr>
                <w:rFonts w:hint="eastAsia" w:cs="宋体"/>
                <w:kern w:val="0"/>
                <w:sz w:val="21"/>
                <w:szCs w:val="21"/>
                <w:highlight w:val="none"/>
                <w:lang w:val="en-US" w:eastAsia="zh-CN"/>
              </w:rPr>
              <w:t>广东省人事厅颁发的</w:t>
            </w:r>
            <w:r>
              <w:rPr>
                <w:rFonts w:hint="eastAsia" w:ascii="Times New Roman" w:hAnsi="Times New Roman" w:cs="Times New Roman"/>
                <w:b w:val="0"/>
                <w:bCs w:val="0"/>
                <w:sz w:val="21"/>
                <w:szCs w:val="21"/>
                <w:highlight w:val="none"/>
                <w:lang w:val="en-US" w:eastAsia="zh-CN"/>
              </w:rPr>
              <w:t>高级教师资格证书</w:t>
            </w:r>
            <w:r>
              <w:rPr>
                <w:rFonts w:hint="eastAsia" w:ascii="宋体" w:hAnsi="宋体" w:eastAsia="宋体" w:cs="宋体"/>
                <w:kern w:val="0"/>
                <w:sz w:val="21"/>
                <w:szCs w:val="21"/>
                <w:highlight w:val="none"/>
              </w:rPr>
              <w:t>，得</w:t>
            </w:r>
            <w:r>
              <w:rPr>
                <w:rFonts w:hint="eastAsia" w:cs="宋体"/>
                <w:kern w:val="0"/>
                <w:sz w:val="21"/>
                <w:szCs w:val="21"/>
                <w:highlight w:val="none"/>
                <w:lang w:val="en-US" w:eastAsia="zh-CN"/>
              </w:rPr>
              <w:t>5</w:t>
            </w:r>
            <w:r>
              <w:rPr>
                <w:rFonts w:hint="eastAsia" w:ascii="宋体" w:hAnsi="宋体" w:eastAsia="宋体" w:cs="宋体"/>
                <w:kern w:val="0"/>
                <w:sz w:val="21"/>
                <w:szCs w:val="21"/>
                <w:highlight w:val="none"/>
              </w:rPr>
              <w:t>0分；</w:t>
            </w:r>
          </w:p>
          <w:p>
            <w:pPr>
              <w:wordWrap w:val="0"/>
              <w:rPr>
                <w:rFonts w:hint="eastAsia" w:ascii="宋体" w:hAnsi="宋体" w:eastAsia="宋体" w:cs="宋体"/>
                <w:kern w:val="0"/>
                <w:sz w:val="21"/>
                <w:szCs w:val="21"/>
                <w:highlight w:val="none"/>
              </w:rPr>
            </w:pPr>
            <w:r>
              <w:rPr>
                <w:rFonts w:hint="eastAsia"/>
                <w:szCs w:val="21"/>
                <w:highlight w:val="none"/>
                <w:lang w:val="en-US" w:eastAsia="zh-CN"/>
              </w:rPr>
              <w:t>3、</w:t>
            </w:r>
            <w:r>
              <w:rPr>
                <w:rFonts w:hint="eastAsia"/>
                <w:szCs w:val="21"/>
                <w:highlight w:val="none"/>
              </w:rPr>
              <w:t>不提供或者不能有效证明的，得0分。</w:t>
            </w:r>
          </w:p>
          <w:p>
            <w:pPr>
              <w:widowControl/>
              <w:wordWrap w:val="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以上</w:t>
            </w:r>
            <w:r>
              <w:rPr>
                <w:rFonts w:hint="eastAsia" w:ascii="宋体" w:hAnsi="宋体" w:cs="宋体"/>
                <w:kern w:val="0"/>
                <w:sz w:val="21"/>
                <w:szCs w:val="21"/>
                <w:highlight w:val="none"/>
                <w:lang w:val="en-US" w:eastAsia="zh-CN"/>
              </w:rPr>
              <w:t>二</w:t>
            </w:r>
            <w:r>
              <w:rPr>
                <w:rFonts w:hint="eastAsia" w:ascii="宋体" w:hAnsi="宋体" w:eastAsia="宋体" w:cs="宋体"/>
                <w:kern w:val="0"/>
                <w:sz w:val="21"/>
                <w:szCs w:val="21"/>
                <w:highlight w:val="none"/>
              </w:rPr>
              <w:t>项累加计分，最高得100分。</w:t>
            </w:r>
          </w:p>
          <w:p>
            <w:pPr>
              <w:numPr>
                <w:ilvl w:val="0"/>
                <w:numId w:val="8"/>
              </w:numPr>
              <w:adjustRightInd w:val="0"/>
              <w:snapToGrid w:val="0"/>
              <w:spacing w:line="320" w:lineRule="exact"/>
              <w:jc w:val="left"/>
              <w:rPr>
                <w:rFonts w:ascii="宋体" w:hAnsi="宋体" w:cs="宋体"/>
                <w:b/>
                <w:bCs/>
                <w:szCs w:val="21"/>
                <w:highlight w:val="none"/>
              </w:rPr>
            </w:pPr>
            <w:r>
              <w:rPr>
                <w:rFonts w:hint="eastAsia" w:ascii="宋体" w:hAnsi="宋体" w:cs="宋体"/>
                <w:b/>
                <w:bCs/>
                <w:szCs w:val="21"/>
                <w:highlight w:val="none"/>
              </w:rPr>
              <w:t>评分依据：</w:t>
            </w:r>
          </w:p>
          <w:p>
            <w:pPr>
              <w:wordWrap w:val="0"/>
              <w:adjustRightInd w:val="0"/>
              <w:snapToGrid w:val="0"/>
              <w:spacing w:line="320" w:lineRule="exact"/>
              <w:jc w:val="left"/>
              <w:rPr>
                <w:rFonts w:ascii="宋体" w:hAnsi="宋体" w:cs="宋体"/>
                <w:szCs w:val="21"/>
                <w:highlight w:val="none"/>
              </w:rPr>
            </w:pPr>
            <w:r>
              <w:rPr>
                <w:rFonts w:hint="eastAsia" w:ascii="宋体" w:hAnsi="宋体" w:cs="宋体"/>
                <w:szCs w:val="21"/>
                <w:highlight w:val="none"/>
              </w:rPr>
              <w:t>1.提供通过投标人缴纳的近三个月（2024年6月-2024年8月）的任意一个月的社保证明作为本单位员工的证明依据。若供应商成立不足三个月的，需提供成立情况说明函(格式自拟)，无需提供相关人员社保，亦可得分。</w:t>
            </w:r>
          </w:p>
          <w:p>
            <w:pPr>
              <w:wordWrap w:val="0"/>
              <w:adjustRightInd w:val="0"/>
              <w:snapToGrid w:val="0"/>
              <w:spacing w:line="320" w:lineRule="exact"/>
              <w:jc w:val="left"/>
              <w:rPr>
                <w:rFonts w:ascii="宋体" w:hAnsi="宋体" w:cs="宋体"/>
                <w:szCs w:val="21"/>
                <w:highlight w:val="none"/>
              </w:rPr>
            </w:pPr>
            <w:r>
              <w:rPr>
                <w:rFonts w:hint="eastAsia" w:ascii="宋体" w:hAnsi="宋体" w:cs="宋体"/>
                <w:szCs w:val="21"/>
                <w:highlight w:val="none"/>
              </w:rPr>
              <w:t>2、针对学历的评审项，提供学历证书扫描件和学信网查询记录（如学信网无法查询的，还需提供毕业院校、人社部门等颁发机构或监管机构等单位出具的证明）；留学归国人员如无法提供学信网查询记录截图，提供国（境）外学历证书扫描件（以及中文翻译件）和教育部留学服务中心出具的国外学历学位认证书扫描件【或教育部留学服务中心网站（http://zwfw.cscse.edu.cn/）在线查询截图】也予以认可；</w:t>
            </w:r>
          </w:p>
          <w:p>
            <w:pPr>
              <w:widowControl/>
              <w:wordWrap w:val="0"/>
              <w:adjustRightInd w:val="0"/>
              <w:snapToGrid w:val="0"/>
              <w:spacing w:line="320" w:lineRule="exact"/>
              <w:jc w:val="left"/>
              <w:rPr>
                <w:rFonts w:ascii="宋体" w:hAnsi="宋体" w:cs="宋体"/>
                <w:szCs w:val="21"/>
                <w:highlight w:val="none"/>
              </w:rPr>
            </w:pPr>
            <w:r>
              <w:rPr>
                <w:rFonts w:hint="eastAsia" w:ascii="宋体" w:hAnsi="宋体" w:cs="宋体"/>
                <w:szCs w:val="21"/>
                <w:highlight w:val="none"/>
              </w:rPr>
              <w:t>3、针对职业资格的评审项，提供相关职业资格证书（或职业技能等级证书）扫描件；若证书属于社会机构颁发的则还需要额外提供该机构在“全国社会组织信用信息公示平台（试运行）”（网址：https://xxgs.chinanpo.mca.gov.cn/gsxt/newList）”已合法登记且状态正常的截图，否则不予认可；</w:t>
            </w:r>
          </w:p>
          <w:p>
            <w:pPr>
              <w:wordWrap w:val="0"/>
              <w:snapToGrid w:val="0"/>
              <w:spacing w:line="320" w:lineRule="exact"/>
              <w:rPr>
                <w:rFonts w:hint="eastAsia" w:ascii="宋体" w:hAnsi="宋体" w:cs="宋体"/>
                <w:szCs w:val="21"/>
                <w:highlight w:val="none"/>
              </w:rPr>
            </w:pPr>
            <w:r>
              <w:rPr>
                <w:rFonts w:hint="eastAsia" w:ascii="宋体" w:hAnsi="宋体" w:cs="宋体"/>
                <w:szCs w:val="21"/>
                <w:highlight w:val="none"/>
              </w:rPr>
              <w:t>4、未提供证明材料或者提供的证明材料不符合要求或提供的证明材料不清晰导致评审专家无法辨认的，不得分。</w:t>
            </w:r>
          </w:p>
          <w:p>
            <w:pPr>
              <w:wordWrap w:val="0"/>
              <w:adjustRightInd w:val="0"/>
              <w:snapToGrid w:val="0"/>
              <w:spacing w:line="320" w:lineRule="exact"/>
              <w:jc w:val="lef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pPr>
              <w:adjustRightInd w:val="0"/>
              <w:snapToGrid w:val="0"/>
              <w:spacing w:line="320" w:lineRule="exact"/>
              <w:rPr>
                <w:rFonts w:ascii="宋体" w:hAnsi="宋体" w:cs="宋体"/>
                <w:b/>
                <w:bCs/>
                <w:color w:val="0000FF"/>
                <w:szCs w:val="21"/>
                <w:highlight w:val="none"/>
              </w:rPr>
            </w:pPr>
          </w:p>
        </w:tc>
        <w:tc>
          <w:tcPr>
            <w:tcW w:w="548" w:type="dxa"/>
            <w:tcBorders>
              <w:tl2br w:val="nil"/>
              <w:tr2bl w:val="nil"/>
            </w:tcBorders>
            <w:vAlign w:val="center"/>
          </w:tcPr>
          <w:p>
            <w:pPr>
              <w:wordWrap w:val="0"/>
              <w:adjustRightInd w:val="0"/>
              <w:snapToGrid w:val="0"/>
              <w:spacing w:line="32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5</w:t>
            </w:r>
          </w:p>
        </w:tc>
        <w:tc>
          <w:tcPr>
            <w:tcW w:w="2264" w:type="dxa"/>
            <w:tcBorders>
              <w:tl2br w:val="nil"/>
              <w:tr2bl w:val="nil"/>
            </w:tcBorders>
            <w:vAlign w:val="center"/>
          </w:tcPr>
          <w:p>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拟安排的项目主要团队成员（主要技术人员）情况（项目负责人除外）</w:t>
            </w:r>
          </w:p>
        </w:tc>
        <w:tc>
          <w:tcPr>
            <w:tcW w:w="696" w:type="dxa"/>
            <w:tcBorders>
              <w:tl2br w:val="nil"/>
              <w:tr2bl w:val="nil"/>
            </w:tcBorders>
            <w:vAlign w:val="center"/>
          </w:tcPr>
          <w:p>
            <w:pPr>
              <w:wordWrap w:val="0"/>
              <w:adjustRightInd w:val="0"/>
              <w:snapToGrid w:val="0"/>
              <w:spacing w:line="32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15</w:t>
            </w:r>
          </w:p>
        </w:tc>
        <w:tc>
          <w:tcPr>
            <w:tcW w:w="4856" w:type="dxa"/>
            <w:tcBorders>
              <w:tl2br w:val="nil"/>
              <w:tr2bl w:val="nil"/>
            </w:tcBorders>
          </w:tcPr>
          <w:p>
            <w:pPr>
              <w:wordWrap w:val="0"/>
              <w:adjustRightInd/>
              <w:snapToGrid w:val="0"/>
              <w:spacing w:line="320" w:lineRule="exact"/>
              <w:rPr>
                <w:rFonts w:ascii="宋体" w:hAnsi="宋体" w:cs="宋体"/>
                <w:b/>
                <w:bCs/>
                <w:szCs w:val="21"/>
                <w:highlight w:val="none"/>
              </w:rPr>
            </w:pPr>
            <w:r>
              <w:rPr>
                <w:rFonts w:hint="eastAsia" w:ascii="宋体" w:hAnsi="宋体" w:cs="宋体"/>
                <w:b/>
                <w:bCs/>
                <w:szCs w:val="21"/>
                <w:highlight w:val="none"/>
              </w:rPr>
              <w:t>（一）评分内容：</w:t>
            </w:r>
          </w:p>
          <w:p>
            <w:pPr>
              <w:keepNext w:val="0"/>
              <w:keepLines w:val="0"/>
              <w:pageBreakBefore w:val="0"/>
              <w:widowControl/>
              <w:kinsoku/>
              <w:wordWrap w:val="0"/>
              <w:overflowPunct/>
              <w:topLinePunct w:val="0"/>
              <w:autoSpaceDE/>
              <w:autoSpaceDN/>
              <w:bidi w:val="0"/>
              <w:snapToGrid w:val="0"/>
              <w:spacing w:line="320" w:lineRule="exact"/>
              <w:jc w:val="left"/>
              <w:textAlignment w:val="auto"/>
              <w:rPr>
                <w:rFonts w:hint="eastAsia" w:ascii="宋体" w:hAnsi="Times New Roman" w:cs="宋体"/>
                <w:kern w:val="0"/>
                <w:szCs w:val="21"/>
                <w:highlight w:val="none"/>
              </w:rPr>
            </w:pPr>
            <w:r>
              <w:rPr>
                <w:rFonts w:hint="eastAsia" w:ascii="宋体" w:hAnsi="宋体" w:eastAsia="宋体" w:cs="宋体"/>
                <w:b/>
                <w:bCs/>
                <w:color w:val="000000"/>
                <w:kern w:val="0"/>
                <w:sz w:val="21"/>
                <w:szCs w:val="21"/>
                <w:highlight w:val="none"/>
                <w:lang w:val="en-US" w:eastAsia="zh-CN"/>
              </w:rPr>
              <w:t>按招标文件要求提供《服务要求承诺函》（即按招标文件格式 7-1 提供“服务要求承诺函”，详见附件）</w:t>
            </w:r>
            <w:r>
              <w:rPr>
                <w:rFonts w:hint="eastAsia" w:ascii="宋体" w:hAnsi="宋体" w:cs="宋体"/>
                <w:b/>
                <w:bCs/>
                <w:color w:val="000000"/>
                <w:kern w:val="0"/>
                <w:sz w:val="21"/>
                <w:szCs w:val="21"/>
                <w:highlight w:val="none"/>
                <w:lang w:val="en-US" w:eastAsia="zh-CN"/>
              </w:rPr>
              <w:t>。</w:t>
            </w:r>
          </w:p>
          <w:p>
            <w:pPr>
              <w:keepNext w:val="0"/>
              <w:keepLines w:val="0"/>
              <w:pageBreakBefore w:val="0"/>
              <w:kinsoku/>
              <w:wordWrap w:val="0"/>
              <w:overflowPunct/>
              <w:topLinePunct w:val="0"/>
              <w:autoSpaceDE/>
              <w:autoSpaceDN/>
              <w:bidi w:val="0"/>
              <w:snapToGrid w:val="0"/>
              <w:spacing w:line="320" w:lineRule="exact"/>
              <w:textAlignment w:val="auto"/>
              <w:rPr>
                <w:rFonts w:ascii="宋体" w:hAnsi="Times New Roman" w:cs="宋体"/>
                <w:b/>
                <w:bCs/>
                <w:szCs w:val="21"/>
                <w:highlight w:val="none"/>
              </w:rPr>
            </w:pPr>
            <w:r>
              <w:rPr>
                <w:rFonts w:hint="eastAsia" w:ascii="宋体" w:hAnsi="宋体" w:cs="宋体"/>
                <w:b/>
                <w:bCs/>
                <w:szCs w:val="21"/>
                <w:highlight w:val="none"/>
              </w:rPr>
              <w:t>在此基础上，对以下评审项进行评分：</w:t>
            </w:r>
          </w:p>
          <w:p>
            <w:pPr>
              <w:shd w:val="clear" w:color="auto" w:fill="auto"/>
              <w:wordWrap w:val="0"/>
              <w:snapToGrid w:val="0"/>
              <w:spacing w:line="320" w:lineRule="exact"/>
              <w:rPr>
                <w:rFonts w:hint="eastAsia" w:ascii="Times New Roman" w:hAnsi="Times New Roman" w:cs="Times New Roman"/>
                <w:b w:val="0"/>
                <w:bCs w:val="0"/>
                <w:sz w:val="21"/>
                <w:szCs w:val="21"/>
                <w:highlight w:val="none"/>
                <w:lang w:val="en-US" w:eastAsia="zh-CN"/>
              </w:rPr>
            </w:pPr>
            <w:r>
              <w:rPr>
                <w:rFonts w:ascii="宋体" w:hAnsi="宋体" w:cs="宋体"/>
                <w:szCs w:val="21"/>
                <w:highlight w:val="none"/>
              </w:rPr>
              <w:t>1.</w:t>
            </w:r>
            <w:r>
              <w:rPr>
                <w:rFonts w:hint="eastAsia" w:ascii="Times New Roman" w:hAnsi="Times New Roman" w:cs="Times New Roman"/>
                <w:b w:val="0"/>
                <w:bCs w:val="0"/>
                <w:sz w:val="21"/>
                <w:szCs w:val="21"/>
                <w:highlight w:val="none"/>
                <w:lang w:val="en-US" w:eastAsia="zh-CN"/>
              </w:rPr>
              <w:t>（1）投标人每提供一个硕士（研究生）</w:t>
            </w:r>
            <w:r>
              <w:rPr>
                <w:rFonts w:hint="eastAsia" w:cs="Times New Roman"/>
                <w:b w:val="0"/>
                <w:bCs w:val="0"/>
                <w:sz w:val="21"/>
                <w:szCs w:val="21"/>
                <w:highlight w:val="none"/>
                <w:lang w:val="en-US" w:eastAsia="zh-CN"/>
              </w:rPr>
              <w:t>学</w:t>
            </w:r>
            <w:r>
              <w:rPr>
                <w:rFonts w:hint="eastAsia" w:ascii="Times New Roman" w:hAnsi="Times New Roman" w:cs="Times New Roman"/>
                <w:b w:val="0"/>
                <w:bCs w:val="0"/>
                <w:sz w:val="21"/>
                <w:szCs w:val="21"/>
                <w:highlight w:val="none"/>
                <w:lang w:val="en-US" w:eastAsia="zh-CN"/>
              </w:rPr>
              <w:t>历（学位），得</w:t>
            </w:r>
            <w:r>
              <w:rPr>
                <w:rFonts w:hint="eastAsia" w:cs="Times New Roman"/>
                <w:b w:val="0"/>
                <w:bCs w:val="0"/>
                <w:sz w:val="21"/>
                <w:szCs w:val="21"/>
                <w:highlight w:val="none"/>
                <w:lang w:val="en-US" w:eastAsia="zh-CN"/>
              </w:rPr>
              <w:t>25</w:t>
            </w:r>
            <w:r>
              <w:rPr>
                <w:rFonts w:hint="eastAsia" w:ascii="Times New Roman" w:hAnsi="Times New Roman" w:cs="Times New Roman"/>
                <w:b w:val="0"/>
                <w:bCs w:val="0"/>
                <w:sz w:val="21"/>
                <w:szCs w:val="21"/>
                <w:highlight w:val="none"/>
                <w:lang w:val="en-US" w:eastAsia="zh-CN"/>
              </w:rPr>
              <w:t>分，本小项最高得</w:t>
            </w:r>
            <w:r>
              <w:rPr>
                <w:rFonts w:hint="eastAsia" w:cs="Times New Roman"/>
                <w:b w:val="0"/>
                <w:bCs w:val="0"/>
                <w:sz w:val="21"/>
                <w:szCs w:val="21"/>
                <w:highlight w:val="none"/>
                <w:lang w:val="en-US" w:eastAsia="zh-CN"/>
              </w:rPr>
              <w:t>50</w:t>
            </w:r>
            <w:r>
              <w:rPr>
                <w:rFonts w:hint="eastAsia" w:ascii="Times New Roman" w:hAnsi="Times New Roman" w:cs="Times New Roman"/>
                <w:b w:val="0"/>
                <w:bCs w:val="0"/>
                <w:sz w:val="21"/>
                <w:szCs w:val="21"/>
                <w:highlight w:val="none"/>
                <w:lang w:val="en-US" w:eastAsia="zh-CN"/>
              </w:rPr>
              <w:t>分。</w:t>
            </w:r>
          </w:p>
          <w:p>
            <w:pPr>
              <w:wordWrap w:val="0"/>
              <w:snapToGrid w:val="0"/>
              <w:spacing w:line="320" w:lineRule="exact"/>
              <w:ind w:left="0" w:leftChars="0" w:firstLineChars="0"/>
              <w:rPr>
                <w:rFonts w:hint="eastAsia" w:ascii="Times New Roman" w:hAnsi="Times New Roman" w:cs="Times New Roman"/>
                <w:b w:val="0"/>
                <w:bCs w:val="0"/>
                <w:sz w:val="21"/>
                <w:szCs w:val="21"/>
                <w:highlight w:val="none"/>
                <w:lang w:val="en-US" w:eastAsia="zh-CN"/>
              </w:rPr>
            </w:pPr>
            <w:r>
              <w:rPr>
                <w:rFonts w:hint="eastAsia" w:cs="Times New Roman"/>
                <w:b w:val="0"/>
                <w:bCs w:val="0"/>
                <w:sz w:val="21"/>
                <w:szCs w:val="21"/>
                <w:highlight w:val="none"/>
                <w:lang w:val="en-US" w:eastAsia="zh-CN"/>
              </w:rPr>
              <w:t>（3）</w:t>
            </w:r>
            <w:r>
              <w:rPr>
                <w:rFonts w:hint="eastAsia" w:ascii="Times New Roman" w:hAnsi="Times New Roman" w:cs="Times New Roman"/>
                <w:b w:val="0"/>
                <w:bCs w:val="0"/>
                <w:sz w:val="21"/>
                <w:szCs w:val="21"/>
                <w:highlight w:val="none"/>
                <w:lang w:val="en-US" w:eastAsia="zh-CN"/>
              </w:rPr>
              <w:t>投标人每提供一个</w:t>
            </w:r>
            <w:r>
              <w:rPr>
                <w:rFonts w:hint="eastAsia" w:cs="Times New Roman"/>
                <w:b w:val="0"/>
                <w:bCs w:val="0"/>
                <w:sz w:val="21"/>
                <w:szCs w:val="21"/>
                <w:highlight w:val="none"/>
                <w:lang w:val="en-US" w:eastAsia="zh-CN"/>
              </w:rPr>
              <w:t>企业人力资源管理师资格证</w:t>
            </w:r>
            <w:r>
              <w:rPr>
                <w:rFonts w:hint="eastAsia" w:ascii="Times New Roman" w:hAnsi="Times New Roman" w:cs="Times New Roman"/>
                <w:b w:val="0"/>
                <w:bCs w:val="0"/>
                <w:sz w:val="21"/>
                <w:szCs w:val="21"/>
                <w:highlight w:val="none"/>
                <w:lang w:val="en-US" w:eastAsia="zh-CN"/>
              </w:rPr>
              <w:t>的，得</w:t>
            </w:r>
            <w:r>
              <w:rPr>
                <w:rFonts w:hint="eastAsia" w:cs="Times New Roman"/>
                <w:b w:val="0"/>
                <w:bCs w:val="0"/>
                <w:sz w:val="21"/>
                <w:szCs w:val="21"/>
                <w:highlight w:val="none"/>
                <w:lang w:val="en-US" w:eastAsia="zh-CN"/>
              </w:rPr>
              <w:t>25</w:t>
            </w:r>
            <w:r>
              <w:rPr>
                <w:rFonts w:hint="eastAsia" w:ascii="Times New Roman" w:hAnsi="Times New Roman" w:cs="Times New Roman"/>
                <w:b w:val="0"/>
                <w:bCs w:val="0"/>
                <w:sz w:val="21"/>
                <w:szCs w:val="21"/>
                <w:highlight w:val="none"/>
                <w:lang w:val="en-US" w:eastAsia="zh-CN"/>
              </w:rPr>
              <w:t>分，本小项最高</w:t>
            </w:r>
            <w:r>
              <w:rPr>
                <w:rFonts w:hint="eastAsia" w:cs="Times New Roman"/>
                <w:b w:val="0"/>
                <w:bCs w:val="0"/>
                <w:sz w:val="21"/>
                <w:szCs w:val="21"/>
                <w:highlight w:val="none"/>
                <w:lang w:val="en-US" w:eastAsia="zh-CN"/>
              </w:rPr>
              <w:t>50</w:t>
            </w:r>
            <w:r>
              <w:rPr>
                <w:rFonts w:hint="eastAsia" w:ascii="Times New Roman" w:hAnsi="Times New Roman" w:cs="Times New Roman"/>
                <w:b w:val="0"/>
                <w:bCs w:val="0"/>
                <w:sz w:val="21"/>
                <w:szCs w:val="21"/>
                <w:highlight w:val="none"/>
                <w:lang w:val="en-US" w:eastAsia="zh-CN"/>
              </w:rPr>
              <w:t>分</w:t>
            </w:r>
          </w:p>
          <w:p>
            <w:pPr>
              <w:wordWrap w:val="0"/>
              <w:snapToGrid w:val="0"/>
              <w:spacing w:line="320" w:lineRule="exact"/>
              <w:rPr>
                <w:rFonts w:hint="eastAsia"/>
                <w:highlight w:val="none"/>
                <w:lang w:val="en-US" w:eastAsia="zh-CN"/>
              </w:rPr>
            </w:pPr>
            <w:r>
              <w:rPr>
                <w:rFonts w:hint="eastAsia" w:ascii="Times New Roman" w:hAnsi="Times New Roman" w:cs="Times New Roman"/>
                <w:b w:val="0"/>
                <w:bCs w:val="0"/>
                <w:sz w:val="21"/>
                <w:szCs w:val="21"/>
                <w:highlight w:val="none"/>
                <w:lang w:val="en-US" w:eastAsia="zh-CN"/>
              </w:rPr>
              <w:t>以上1至</w:t>
            </w:r>
            <w:r>
              <w:rPr>
                <w:rFonts w:hint="eastAsia" w:cs="Times New Roman"/>
                <w:b w:val="0"/>
                <w:bCs w:val="0"/>
                <w:sz w:val="21"/>
                <w:szCs w:val="21"/>
                <w:highlight w:val="none"/>
                <w:lang w:val="en-US" w:eastAsia="zh-CN"/>
              </w:rPr>
              <w:t>2</w:t>
            </w:r>
            <w:r>
              <w:rPr>
                <w:rFonts w:hint="eastAsia" w:ascii="Times New Roman" w:hAnsi="Times New Roman" w:cs="Times New Roman"/>
                <w:b w:val="0"/>
                <w:bCs w:val="0"/>
                <w:sz w:val="21"/>
                <w:szCs w:val="21"/>
                <w:highlight w:val="none"/>
                <w:lang w:val="en-US" w:eastAsia="zh-CN"/>
              </w:rPr>
              <w:t>项累计得分，但最多不超过100分。</w:t>
            </w:r>
          </w:p>
          <w:p>
            <w:pPr>
              <w:numPr>
                <w:ilvl w:val="-1"/>
                <w:numId w:val="0"/>
              </w:numPr>
              <w:wordWrap w:val="0"/>
              <w:adjustRightInd/>
              <w:snapToGrid w:val="0"/>
              <w:spacing w:line="320" w:lineRule="exact"/>
              <w:jc w:val="left"/>
              <w:rPr>
                <w:rFonts w:ascii="宋体" w:hAnsi="宋体" w:cs="宋体"/>
                <w:b/>
                <w:bCs/>
                <w:szCs w:val="21"/>
                <w:highlight w:val="none"/>
              </w:rPr>
            </w:pPr>
            <w:r>
              <w:rPr>
                <w:rFonts w:hint="eastAsia" w:ascii="宋体" w:hAnsi="宋体" w:cs="宋体"/>
                <w:b/>
                <w:bCs/>
                <w:szCs w:val="21"/>
                <w:highlight w:val="none"/>
              </w:rPr>
              <w:t>评分依据：</w:t>
            </w:r>
          </w:p>
          <w:p>
            <w:pPr>
              <w:wordWrap w:val="0"/>
              <w:adjustRightInd/>
              <w:snapToGrid w:val="0"/>
              <w:spacing w:line="320" w:lineRule="exact"/>
              <w:jc w:val="left"/>
              <w:rPr>
                <w:rFonts w:ascii="宋体" w:hAnsi="宋体" w:cs="宋体"/>
                <w:szCs w:val="21"/>
                <w:highlight w:val="none"/>
              </w:rPr>
            </w:pPr>
            <w:r>
              <w:rPr>
                <w:rFonts w:hint="eastAsia" w:ascii="宋体" w:hAnsi="宋体" w:cs="宋体"/>
                <w:szCs w:val="21"/>
                <w:highlight w:val="none"/>
              </w:rPr>
              <w:t>1.提供通过投标人缴纳的近三个月（2024年6月-2024年8月）的任意一个月的社保证明作为本单位员工的证明依据。若供应商成立不足三个月的，需提供成立情况说明函(格式自拟)，无需提供相关人员社保，亦可得分。</w:t>
            </w:r>
          </w:p>
          <w:p>
            <w:pPr>
              <w:wordWrap w:val="0"/>
              <w:adjustRightInd/>
              <w:snapToGrid w:val="0"/>
              <w:spacing w:line="320" w:lineRule="exact"/>
              <w:jc w:val="left"/>
              <w:rPr>
                <w:rFonts w:ascii="宋体" w:hAnsi="宋体" w:cs="宋体"/>
                <w:szCs w:val="21"/>
                <w:highlight w:val="none"/>
              </w:rPr>
            </w:pPr>
            <w:r>
              <w:rPr>
                <w:rFonts w:hint="eastAsia" w:ascii="宋体" w:hAnsi="宋体" w:cs="宋体"/>
                <w:szCs w:val="21"/>
                <w:highlight w:val="none"/>
              </w:rPr>
              <w:t>2、针对学历的评审项，提供学历证书扫描件和学信网查询记录（如学信网无法查询的，还需提供毕业院校、人社部门等颁发机构或监管机构等单位出具的证明）；留学归国人员如无法提供学信网查询记录截图，提供国（境）外学历证书扫描件（以及中文翻译件）和教育部留学服务中心出具的国外学历学位认证书扫描件【或教育部留学服务中心网站（http://zwfw.cscse.edu.cn/）在线查询截图】也予以认可；</w:t>
            </w:r>
          </w:p>
          <w:p>
            <w:pPr>
              <w:widowControl/>
              <w:wordWrap w:val="0"/>
              <w:adjustRightInd/>
              <w:snapToGrid w:val="0"/>
              <w:spacing w:line="320" w:lineRule="exact"/>
              <w:jc w:val="left"/>
              <w:rPr>
                <w:rFonts w:ascii="宋体" w:hAnsi="宋体" w:cs="宋体"/>
                <w:szCs w:val="21"/>
                <w:highlight w:val="none"/>
              </w:rPr>
            </w:pPr>
            <w:r>
              <w:rPr>
                <w:rFonts w:hint="eastAsia" w:ascii="宋体" w:hAnsi="宋体" w:cs="宋体"/>
                <w:szCs w:val="21"/>
                <w:highlight w:val="none"/>
              </w:rPr>
              <w:t>3、针对职业资格的评审项，提供相关职业资格证书（或职业技能等级证书）扫描件；若证书属于社会机构颁发的则还需要额外提供该机构在“全国社会组织信用信息公示平台（试运行）”（网址：https://xxgs.chinanpo.mca.gov.cn/gsxt/newList）”已合法登记且状态正常的截图，否则不予认可；</w:t>
            </w:r>
          </w:p>
          <w:p>
            <w:pPr>
              <w:wordWrap w:val="0"/>
              <w:adjustRightInd w:val="0"/>
              <w:snapToGrid w:val="0"/>
              <w:spacing w:line="320" w:lineRule="exact"/>
              <w:rPr>
                <w:rFonts w:ascii="宋体" w:hAnsi="宋体" w:cs="宋体"/>
                <w:szCs w:val="21"/>
                <w:highlight w:val="none"/>
              </w:rPr>
            </w:pPr>
            <w:r>
              <w:rPr>
                <w:rFonts w:hint="eastAsia" w:ascii="宋体" w:hAnsi="宋体" w:cs="宋体"/>
                <w:szCs w:val="21"/>
                <w:highlight w:val="none"/>
              </w:rPr>
              <w:t>4、未提供证明材料或者提供的证明材料不符合要求或提供的证明材料不清晰导致评审专家无法辨认的，不得分。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restart"/>
            <w:tcBorders>
              <w:tl2br w:val="nil"/>
              <w:tr2bl w:val="nil"/>
            </w:tcBorders>
          </w:tcPr>
          <w:p>
            <w:pPr>
              <w:wordWrap w:val="0"/>
              <w:adjustRightInd w:val="0"/>
              <w:snapToGrid w:val="0"/>
              <w:spacing w:line="320" w:lineRule="exact"/>
              <w:jc w:val="center"/>
              <w:rPr>
                <w:rFonts w:ascii="宋体" w:hAnsi="宋体" w:cs="宋体"/>
                <w:b/>
                <w:bCs/>
                <w:color w:val="0000FF"/>
                <w:szCs w:val="21"/>
                <w:highlight w:val="none"/>
              </w:rPr>
            </w:pPr>
            <w:r>
              <w:rPr>
                <w:rFonts w:hint="eastAsia" w:ascii="宋体" w:hAnsi="宋体" w:cs="宋体"/>
                <w:b/>
                <w:bCs/>
                <w:color w:val="0000FF"/>
                <w:szCs w:val="21"/>
                <w:highlight w:val="none"/>
              </w:rPr>
              <w:t>3</w:t>
            </w:r>
          </w:p>
        </w:tc>
        <w:tc>
          <w:tcPr>
            <w:tcW w:w="3508" w:type="dxa"/>
            <w:gridSpan w:val="3"/>
            <w:tcBorders>
              <w:tl2br w:val="nil"/>
              <w:tr2bl w:val="nil"/>
            </w:tcBorders>
            <w:vAlign w:val="center"/>
          </w:tcPr>
          <w:p>
            <w:pPr>
              <w:wordWrap w:val="0"/>
              <w:adjustRightInd w:val="0"/>
              <w:snapToGrid w:val="0"/>
              <w:spacing w:line="320" w:lineRule="exact"/>
              <w:jc w:val="center"/>
              <w:rPr>
                <w:rFonts w:ascii="宋体" w:hAnsi="宋体" w:cs="宋体"/>
                <w:b/>
                <w:bCs/>
                <w:color w:val="0000FF"/>
                <w:szCs w:val="21"/>
                <w:highlight w:val="none"/>
              </w:rPr>
            </w:pPr>
            <w:r>
              <w:rPr>
                <w:rFonts w:hint="eastAsia" w:ascii="宋体" w:hAnsi="宋体" w:cs="宋体"/>
                <w:b/>
                <w:bCs/>
                <w:color w:val="0000FF"/>
                <w:szCs w:val="21"/>
                <w:highlight w:val="none"/>
              </w:rPr>
              <w:t>综合实力部分</w:t>
            </w:r>
          </w:p>
        </w:tc>
        <w:tc>
          <w:tcPr>
            <w:tcW w:w="4856" w:type="dxa"/>
            <w:tcBorders>
              <w:tl2br w:val="nil"/>
              <w:tr2bl w:val="nil"/>
            </w:tcBorders>
          </w:tcPr>
          <w:p>
            <w:pPr>
              <w:wordWrap w:val="0"/>
              <w:adjustRightInd w:val="0"/>
              <w:snapToGrid w:val="0"/>
              <w:spacing w:line="320" w:lineRule="exact"/>
              <w:jc w:val="center"/>
              <w:rPr>
                <w:rFonts w:hint="default" w:ascii="宋体" w:hAnsi="宋体" w:eastAsia="宋体" w:cs="宋体"/>
                <w:b/>
                <w:bCs/>
                <w:color w:val="0000FF"/>
                <w:szCs w:val="21"/>
                <w:highlight w:val="none"/>
                <w:lang w:val="en-US" w:eastAsia="zh-CN"/>
              </w:rPr>
            </w:pPr>
            <w:r>
              <w:rPr>
                <w:rFonts w:hint="eastAsia" w:ascii="宋体" w:hAnsi="宋体" w:cs="宋体"/>
                <w:b/>
                <w:bCs/>
                <w:color w:val="0000FF"/>
                <w:szCs w:val="21"/>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pPr>
              <w:adjustRightInd w:val="0"/>
              <w:snapToGrid w:val="0"/>
              <w:spacing w:line="320" w:lineRule="exact"/>
              <w:rPr>
                <w:rFonts w:ascii="宋体" w:hAnsi="宋体" w:cs="宋体"/>
                <w:b/>
                <w:bCs/>
                <w:color w:val="0000FF"/>
                <w:szCs w:val="21"/>
                <w:highlight w:val="none"/>
              </w:rPr>
            </w:pPr>
          </w:p>
        </w:tc>
        <w:tc>
          <w:tcPr>
            <w:tcW w:w="8364" w:type="dxa"/>
            <w:gridSpan w:val="4"/>
            <w:tcBorders>
              <w:tl2br w:val="nil"/>
              <w:tr2bl w:val="nil"/>
            </w:tcBorders>
            <w:vAlign w:val="center"/>
          </w:tcPr>
          <w:p>
            <w:pPr>
              <w:wordWrap w:val="0"/>
              <w:adjustRightInd w:val="0"/>
              <w:snapToGrid w:val="0"/>
              <w:spacing w:line="32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shd w:val="clear" w:color="auto" w:fill="E6EFFA"/>
            <w:vAlign w:val="center"/>
          </w:tcPr>
          <w:p>
            <w:pPr>
              <w:adjustRightInd w:val="0"/>
              <w:snapToGrid w:val="0"/>
              <w:spacing w:line="320" w:lineRule="exact"/>
              <w:rPr>
                <w:rFonts w:ascii="宋体" w:hAnsi="宋体" w:cs="宋体"/>
                <w:b/>
                <w:bCs/>
                <w:color w:val="0000FF"/>
                <w:szCs w:val="21"/>
                <w:highlight w:val="none"/>
              </w:rPr>
            </w:pPr>
          </w:p>
        </w:tc>
        <w:tc>
          <w:tcPr>
            <w:tcW w:w="548" w:type="dxa"/>
            <w:tcBorders>
              <w:tl2br w:val="nil"/>
              <w:tr2bl w:val="nil"/>
            </w:tcBorders>
            <w:shd w:val="clear" w:color="auto" w:fill="E6EFFA"/>
            <w:vAlign w:val="center"/>
          </w:tcPr>
          <w:p>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序号</w:t>
            </w:r>
          </w:p>
        </w:tc>
        <w:tc>
          <w:tcPr>
            <w:tcW w:w="2264" w:type="dxa"/>
            <w:tcBorders>
              <w:tl2br w:val="nil"/>
              <w:tr2bl w:val="nil"/>
            </w:tcBorders>
            <w:shd w:val="clear" w:color="auto" w:fill="E6EFFA"/>
            <w:vAlign w:val="center"/>
          </w:tcPr>
          <w:p>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评分因素</w:t>
            </w:r>
          </w:p>
        </w:tc>
        <w:tc>
          <w:tcPr>
            <w:tcW w:w="696" w:type="dxa"/>
            <w:tcBorders>
              <w:tl2br w:val="nil"/>
              <w:tr2bl w:val="nil"/>
            </w:tcBorders>
            <w:shd w:val="clear" w:color="auto" w:fill="E6EFFA"/>
            <w:vAlign w:val="center"/>
          </w:tcPr>
          <w:p>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权重(%)</w:t>
            </w:r>
          </w:p>
        </w:tc>
        <w:tc>
          <w:tcPr>
            <w:tcW w:w="4856" w:type="dxa"/>
            <w:tcBorders>
              <w:tl2br w:val="nil"/>
              <w:tr2bl w:val="nil"/>
            </w:tcBorders>
            <w:shd w:val="clear" w:color="auto" w:fill="E6EFFA"/>
            <w:vAlign w:val="center"/>
          </w:tcPr>
          <w:p>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pPr>
              <w:adjustRightInd w:val="0"/>
              <w:snapToGrid w:val="0"/>
              <w:spacing w:line="320" w:lineRule="exact"/>
              <w:rPr>
                <w:rFonts w:ascii="宋体" w:hAnsi="宋体" w:cs="宋体"/>
                <w:b/>
                <w:bCs/>
                <w:color w:val="0000FF"/>
                <w:szCs w:val="21"/>
                <w:highlight w:val="none"/>
              </w:rPr>
            </w:pPr>
          </w:p>
        </w:tc>
        <w:tc>
          <w:tcPr>
            <w:tcW w:w="548" w:type="dxa"/>
            <w:tcBorders>
              <w:tl2br w:val="nil"/>
              <w:tr2bl w:val="nil"/>
            </w:tcBorders>
            <w:vAlign w:val="center"/>
          </w:tcPr>
          <w:p>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1</w:t>
            </w:r>
          </w:p>
        </w:tc>
        <w:tc>
          <w:tcPr>
            <w:tcW w:w="2264" w:type="dxa"/>
            <w:tcBorders>
              <w:tl2br w:val="nil"/>
              <w:tr2bl w:val="nil"/>
            </w:tcBorders>
            <w:vAlign w:val="center"/>
          </w:tcPr>
          <w:p>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同类项目业绩</w:t>
            </w:r>
          </w:p>
        </w:tc>
        <w:tc>
          <w:tcPr>
            <w:tcW w:w="696" w:type="dxa"/>
            <w:tcBorders>
              <w:tl2br w:val="nil"/>
              <w:tr2bl w:val="nil"/>
            </w:tcBorders>
            <w:vAlign w:val="center"/>
          </w:tcPr>
          <w:p>
            <w:pPr>
              <w:wordWrap w:val="0"/>
              <w:adjustRightInd w:val="0"/>
              <w:snapToGrid w:val="0"/>
              <w:spacing w:line="32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15</w:t>
            </w:r>
          </w:p>
        </w:tc>
        <w:tc>
          <w:tcPr>
            <w:tcW w:w="4856" w:type="dxa"/>
            <w:tcBorders>
              <w:tl2br w:val="nil"/>
              <w:tr2bl w:val="nil"/>
            </w:tcBorders>
          </w:tcPr>
          <w:p>
            <w:pPr>
              <w:pStyle w:val="18"/>
              <w:snapToGrid w:val="0"/>
              <w:spacing w:line="320" w:lineRule="exact"/>
              <w:rPr>
                <w:rFonts w:hAnsi="宋体" w:cs="宋体"/>
                <w:b/>
                <w:bCs/>
                <w:sz w:val="21"/>
                <w:szCs w:val="21"/>
                <w:highlight w:val="none"/>
              </w:rPr>
            </w:pPr>
            <w:r>
              <w:rPr>
                <w:rFonts w:hint="eastAsia" w:hAnsi="宋体" w:cs="宋体"/>
                <w:b/>
                <w:bCs/>
                <w:sz w:val="21"/>
                <w:szCs w:val="21"/>
                <w:highlight w:val="none"/>
              </w:rPr>
              <w:t>（一）评分内容：</w:t>
            </w:r>
          </w:p>
          <w:p>
            <w:pPr>
              <w:shd w:val="clear" w:color="auto" w:fill="FFFFFF"/>
              <w:spacing w:line="276" w:lineRule="auto"/>
              <w:rPr>
                <w:rFonts w:hint="eastAsia" w:eastAsia="宋体"/>
                <w:b w:val="0"/>
                <w:bCs w:val="0"/>
                <w:color w:val="000000"/>
                <w:sz w:val="21"/>
                <w:szCs w:val="21"/>
                <w:highlight w:val="none"/>
                <w:lang w:val="en-US" w:eastAsia="zh-CN"/>
              </w:rPr>
            </w:pPr>
            <w:r>
              <w:rPr>
                <w:rFonts w:hint="eastAsia" w:eastAsia="宋体"/>
                <w:b w:val="0"/>
                <w:bCs w:val="0"/>
                <w:color w:val="000000"/>
                <w:sz w:val="21"/>
                <w:szCs w:val="21"/>
                <w:highlight w:val="none"/>
                <w:lang w:val="en-US" w:eastAsia="zh-CN"/>
              </w:rPr>
              <w:t>投标人自2019年1月1日至投标截止之日，投标人承接过政府部门或事业单位或群众组织机构的</w:t>
            </w:r>
            <w:r>
              <w:rPr>
                <w:rFonts w:hint="eastAsia"/>
                <w:b w:val="0"/>
                <w:bCs w:val="0"/>
                <w:color w:val="000000"/>
                <w:sz w:val="21"/>
                <w:szCs w:val="21"/>
                <w:highlight w:val="none"/>
                <w:lang w:val="en-US" w:eastAsia="zh-CN"/>
              </w:rPr>
              <w:t>劳务派遣或人力资源外包服务</w:t>
            </w:r>
            <w:r>
              <w:rPr>
                <w:rFonts w:hint="eastAsia" w:eastAsia="宋体"/>
                <w:b w:val="0"/>
                <w:bCs w:val="0"/>
                <w:color w:val="000000"/>
                <w:sz w:val="21"/>
                <w:szCs w:val="21"/>
                <w:highlight w:val="none"/>
                <w:lang w:val="en-US" w:eastAsia="zh-CN"/>
              </w:rPr>
              <w:t>项目：</w:t>
            </w:r>
          </w:p>
          <w:p>
            <w:pPr>
              <w:shd w:val="clear" w:color="auto" w:fill="FFFFFF"/>
              <w:spacing w:line="276" w:lineRule="auto"/>
              <w:rPr>
                <w:rFonts w:hint="eastAsia" w:eastAsia="宋体"/>
                <w:b w:val="0"/>
                <w:bCs w:val="0"/>
                <w:color w:val="000000"/>
                <w:sz w:val="21"/>
                <w:szCs w:val="21"/>
                <w:highlight w:val="none"/>
                <w:lang w:val="en-US" w:eastAsia="zh-CN"/>
              </w:rPr>
            </w:pPr>
            <w:r>
              <w:rPr>
                <w:rFonts w:hint="eastAsia" w:eastAsia="宋体"/>
                <w:b w:val="0"/>
                <w:bCs w:val="0"/>
                <w:color w:val="000000"/>
                <w:sz w:val="21"/>
                <w:szCs w:val="21"/>
                <w:highlight w:val="none"/>
                <w:lang w:val="en-US" w:eastAsia="zh-CN"/>
              </w:rPr>
              <w:t>每提供一个得3</w:t>
            </w:r>
            <w:r>
              <w:rPr>
                <w:rFonts w:hint="eastAsia"/>
                <w:b w:val="0"/>
                <w:bCs w:val="0"/>
                <w:color w:val="000000"/>
                <w:sz w:val="21"/>
                <w:szCs w:val="21"/>
                <w:highlight w:val="none"/>
                <w:lang w:val="en-US" w:eastAsia="zh-CN"/>
              </w:rPr>
              <w:t>5</w:t>
            </w:r>
            <w:r>
              <w:rPr>
                <w:rFonts w:hint="eastAsia" w:eastAsia="宋体"/>
                <w:b w:val="0"/>
                <w:bCs w:val="0"/>
                <w:color w:val="000000"/>
                <w:sz w:val="21"/>
                <w:szCs w:val="21"/>
                <w:highlight w:val="none"/>
                <w:lang w:val="en-US" w:eastAsia="zh-CN"/>
              </w:rPr>
              <w:t>分，本小项最高得100分。</w:t>
            </w:r>
          </w:p>
          <w:p>
            <w:pPr>
              <w:pStyle w:val="2"/>
              <w:adjustRightInd w:val="0"/>
              <w:snapToGrid w:val="0"/>
              <w:spacing w:line="320" w:lineRule="exact"/>
              <w:rPr>
                <w:rFonts w:ascii="宋体" w:hAnsi="宋体" w:cs="宋体"/>
                <w:sz w:val="21"/>
                <w:szCs w:val="21"/>
                <w:highlight w:val="none"/>
              </w:rPr>
            </w:pPr>
            <w:r>
              <w:rPr>
                <w:rFonts w:hint="eastAsia" w:ascii="宋体" w:hAnsi="宋体" w:cs="宋体"/>
                <w:sz w:val="21"/>
                <w:szCs w:val="21"/>
                <w:highlight w:val="none"/>
              </w:rPr>
              <w:t>（二）评分依据：</w:t>
            </w:r>
          </w:p>
          <w:p>
            <w:pPr>
              <w:pStyle w:val="18"/>
              <w:rPr>
                <w:rFonts w:hint="eastAsia" w:eastAsia="宋体"/>
                <w:b w:val="0"/>
                <w:bCs w:val="0"/>
                <w:color w:val="000000"/>
                <w:sz w:val="21"/>
                <w:szCs w:val="21"/>
                <w:highlight w:val="none"/>
                <w:lang w:val="en-US" w:eastAsia="zh-CN"/>
              </w:rPr>
            </w:pPr>
            <w:r>
              <w:rPr>
                <w:rFonts w:hint="eastAsia" w:eastAsia="宋体"/>
                <w:b w:val="0"/>
                <w:bCs w:val="0"/>
                <w:color w:val="000000"/>
                <w:sz w:val="21"/>
                <w:szCs w:val="21"/>
                <w:highlight w:val="none"/>
                <w:lang w:val="en-US" w:eastAsia="zh-CN"/>
              </w:rPr>
              <w:t>1.投标人必须提供项目合同关键页（首页、体现采购内容页、签字盖章页及签订时间页）扫描件 。</w:t>
            </w:r>
          </w:p>
          <w:p>
            <w:pPr>
              <w:adjustRightInd w:val="0"/>
              <w:snapToGrid w:val="0"/>
              <w:spacing w:line="320" w:lineRule="exact"/>
              <w:rPr>
                <w:rFonts w:ascii="宋体" w:hAnsi="宋体" w:cs="宋体"/>
                <w:szCs w:val="21"/>
                <w:highlight w:val="none"/>
              </w:rPr>
            </w:pPr>
            <w:r>
              <w:rPr>
                <w:rFonts w:hint="eastAsia" w:eastAsia="宋体"/>
                <w:b w:val="0"/>
                <w:bCs w:val="0"/>
                <w:color w:val="000000"/>
                <w:sz w:val="21"/>
                <w:szCs w:val="21"/>
                <w:highlight w:val="none"/>
                <w:lang w:val="en-US" w:eastAsia="zh-CN"/>
              </w:rPr>
              <w:t>2.如未按要求提供证明材料，或所提供的证明材料未能体现上述评分内容的，视为该证明材料无效。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pPr>
              <w:adjustRightInd w:val="0"/>
              <w:snapToGrid w:val="0"/>
              <w:spacing w:line="320" w:lineRule="exact"/>
              <w:rPr>
                <w:rFonts w:ascii="宋体" w:hAnsi="宋体" w:cs="宋体"/>
                <w:b/>
                <w:bCs/>
                <w:color w:val="0000FF"/>
                <w:szCs w:val="21"/>
                <w:highlight w:val="none"/>
              </w:rPr>
            </w:pPr>
          </w:p>
        </w:tc>
        <w:tc>
          <w:tcPr>
            <w:tcW w:w="548" w:type="dxa"/>
            <w:tcBorders>
              <w:tl2br w:val="nil"/>
              <w:tr2bl w:val="nil"/>
            </w:tcBorders>
            <w:vAlign w:val="center"/>
          </w:tcPr>
          <w:p>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2</w:t>
            </w:r>
          </w:p>
        </w:tc>
        <w:tc>
          <w:tcPr>
            <w:tcW w:w="2264" w:type="dxa"/>
            <w:tcBorders>
              <w:tl2br w:val="nil"/>
              <w:tr2bl w:val="nil"/>
            </w:tcBorders>
            <w:vAlign w:val="center"/>
          </w:tcPr>
          <w:p>
            <w:pPr>
              <w:jc w:val="center"/>
              <w:rPr>
                <w:rFonts w:ascii="宋体" w:hAnsi="宋体"/>
                <w:color w:val="000000"/>
                <w:szCs w:val="21"/>
                <w:highlight w:val="none"/>
              </w:rPr>
            </w:pPr>
            <w:r>
              <w:rPr>
                <w:rFonts w:hint="eastAsia" w:ascii="宋体" w:hAnsi="宋体"/>
                <w:color w:val="000000"/>
                <w:szCs w:val="21"/>
                <w:highlight w:val="none"/>
              </w:rPr>
              <w:t>履约评价</w:t>
            </w:r>
          </w:p>
          <w:p>
            <w:pPr>
              <w:wordWrap w:val="0"/>
              <w:adjustRightInd w:val="0"/>
              <w:snapToGrid w:val="0"/>
              <w:spacing w:line="320" w:lineRule="exact"/>
              <w:jc w:val="center"/>
              <w:rPr>
                <w:rFonts w:ascii="宋体" w:hAnsi="宋体" w:cs="宋体"/>
                <w:szCs w:val="21"/>
                <w:highlight w:val="none"/>
              </w:rPr>
            </w:pPr>
          </w:p>
        </w:tc>
        <w:tc>
          <w:tcPr>
            <w:tcW w:w="696" w:type="dxa"/>
            <w:tcBorders>
              <w:tl2br w:val="nil"/>
              <w:tr2bl w:val="nil"/>
            </w:tcBorders>
            <w:vAlign w:val="center"/>
          </w:tcPr>
          <w:p>
            <w:pPr>
              <w:wordWrap w:val="0"/>
              <w:adjustRightInd w:val="0"/>
              <w:snapToGrid w:val="0"/>
              <w:spacing w:line="32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5</w:t>
            </w:r>
          </w:p>
        </w:tc>
        <w:tc>
          <w:tcPr>
            <w:tcW w:w="4856" w:type="dxa"/>
            <w:tcBorders>
              <w:tl2br w:val="nil"/>
              <w:tr2bl w:val="nil"/>
            </w:tcBorders>
          </w:tcPr>
          <w:p>
            <w:pPr>
              <w:pStyle w:val="18"/>
              <w:numPr>
                <w:ilvl w:val="0"/>
                <w:numId w:val="9"/>
              </w:numPr>
              <w:snapToGrid w:val="0"/>
              <w:spacing w:line="320" w:lineRule="exact"/>
              <w:rPr>
                <w:rFonts w:hAnsi="宋体" w:cs="宋体"/>
                <w:b/>
                <w:bCs/>
                <w:sz w:val="21"/>
                <w:szCs w:val="21"/>
                <w:highlight w:val="none"/>
              </w:rPr>
            </w:pPr>
            <w:r>
              <w:rPr>
                <w:rFonts w:hint="eastAsia" w:hAnsi="宋体" w:cs="宋体"/>
                <w:b/>
                <w:bCs/>
                <w:sz w:val="21"/>
                <w:szCs w:val="21"/>
                <w:highlight w:val="none"/>
              </w:rPr>
              <w:t>评分内容：</w:t>
            </w:r>
          </w:p>
          <w:p>
            <w:pPr>
              <w:spacing w:line="312" w:lineRule="auto"/>
              <w:rPr>
                <w:rFonts w:hint="eastAsia" w:ascii="宋体" w:hAnsi="宋体" w:cs="宋体"/>
                <w:color w:val="000000"/>
                <w:szCs w:val="21"/>
                <w:highlight w:val="none"/>
              </w:rPr>
            </w:pPr>
            <w:r>
              <w:rPr>
                <w:rFonts w:hint="eastAsia" w:ascii="宋体" w:hAnsi="宋体" w:cs="宋体"/>
                <w:color w:val="000000"/>
                <w:szCs w:val="21"/>
                <w:highlight w:val="none"/>
              </w:rPr>
              <w:t>供应商在上述“有效业绩”评审项中参加评审并被认定有效的业绩（且获得评分），能够提供用户出具的履约评价书，且评价为优或者合格的，每份评价书得</w:t>
            </w:r>
            <w:r>
              <w:rPr>
                <w:rFonts w:hint="eastAsia" w:ascii="宋体" w:hAnsi="宋体" w:cs="宋体"/>
                <w:color w:val="000000"/>
                <w:szCs w:val="21"/>
                <w:highlight w:val="none"/>
                <w:lang w:val="en-US" w:eastAsia="zh-CN"/>
              </w:rPr>
              <w:t>35</w:t>
            </w:r>
            <w:r>
              <w:rPr>
                <w:rFonts w:hint="eastAsia" w:ascii="宋体" w:hAnsi="宋体" w:cs="宋体"/>
                <w:color w:val="000000"/>
                <w:szCs w:val="21"/>
                <w:highlight w:val="none"/>
              </w:rPr>
              <w:t>分，其他情况得0分；最高得100分。</w:t>
            </w:r>
          </w:p>
          <w:p>
            <w:pPr>
              <w:spacing w:line="312" w:lineRule="auto"/>
              <w:rPr>
                <w:rFonts w:hint="eastAsia" w:ascii="宋体" w:hAnsi="宋体" w:cs="宋体"/>
                <w:color w:val="000000"/>
                <w:szCs w:val="21"/>
                <w:highlight w:val="none"/>
              </w:rPr>
            </w:pPr>
            <w:r>
              <w:rPr>
                <w:rFonts w:hint="eastAsia" w:ascii="宋体" w:hAnsi="宋体" w:cs="宋体"/>
                <w:color w:val="000000"/>
                <w:szCs w:val="21"/>
                <w:highlight w:val="none"/>
              </w:rPr>
              <w:t>不提供或者不能有效证明的，得0分。</w:t>
            </w:r>
          </w:p>
          <w:p>
            <w:pPr>
              <w:pStyle w:val="18"/>
              <w:numPr>
                <w:ilvl w:val="0"/>
                <w:numId w:val="9"/>
              </w:numPr>
              <w:snapToGrid w:val="0"/>
              <w:spacing w:line="320" w:lineRule="exact"/>
              <w:rPr>
                <w:rFonts w:hAnsi="宋体" w:cs="宋体"/>
                <w:b/>
                <w:bCs/>
                <w:sz w:val="21"/>
                <w:szCs w:val="21"/>
                <w:highlight w:val="none"/>
              </w:rPr>
            </w:pPr>
            <w:r>
              <w:rPr>
                <w:rFonts w:hint="eastAsia" w:hAnsi="宋体" w:cs="宋体"/>
                <w:b/>
                <w:bCs/>
                <w:sz w:val="21"/>
                <w:szCs w:val="21"/>
                <w:highlight w:val="none"/>
              </w:rPr>
              <w:t>评分依据：</w:t>
            </w:r>
          </w:p>
          <w:p>
            <w:pPr>
              <w:pStyle w:val="2"/>
              <w:wordWrap w:val="0"/>
              <w:adjustRightInd w:val="0"/>
              <w:snapToGrid w:val="0"/>
              <w:spacing w:line="320" w:lineRule="exact"/>
              <w:rPr>
                <w:rFonts w:hint="eastAsia" w:ascii="宋体" w:hAnsi="宋体" w:cs="宋体"/>
                <w:color w:val="000000"/>
                <w:szCs w:val="21"/>
                <w:highlight w:val="none"/>
              </w:rPr>
            </w:pPr>
            <w:r>
              <w:rPr>
                <w:rFonts w:hint="eastAsia" w:ascii="宋体" w:hAnsi="宋体" w:cs="宋体"/>
                <w:b w:val="0"/>
                <w:bCs w:val="0"/>
                <w:color w:val="000000"/>
                <w:szCs w:val="21"/>
                <w:highlight w:val="none"/>
                <w:lang w:val="en-US" w:eastAsia="zh-CN"/>
              </w:rPr>
              <w:t>1</w:t>
            </w:r>
            <w:r>
              <w:rPr>
                <w:rFonts w:hint="eastAsia" w:ascii="Times New Roman" w:hAnsi="Times New Roman" w:cs="Times New Roman"/>
                <w:b w:val="0"/>
                <w:bCs w:val="0"/>
                <w:color w:val="000000"/>
                <w:sz w:val="21"/>
                <w:szCs w:val="21"/>
                <w:highlight w:val="none"/>
                <w:lang w:val="en-US" w:eastAsia="zh-CN"/>
              </w:rPr>
              <w:t>.</w:t>
            </w:r>
            <w:r>
              <w:rPr>
                <w:rFonts w:hint="eastAsia" w:ascii="Times New Roman" w:hAnsi="Times New Roman" w:cs="Times New Roman"/>
                <w:b w:val="0"/>
                <w:bCs w:val="0"/>
                <w:color w:val="000000"/>
                <w:sz w:val="21"/>
                <w:szCs w:val="21"/>
                <w:highlight w:val="none"/>
              </w:rPr>
              <w:t>须提供用户出具的履约评价书扫描件（评价书需有甲方公章或业务章） 。</w:t>
            </w:r>
          </w:p>
          <w:p>
            <w:pPr>
              <w:pStyle w:val="2"/>
              <w:wordWrap w:val="0"/>
              <w:adjustRightInd w:val="0"/>
              <w:snapToGrid w:val="0"/>
              <w:spacing w:line="320" w:lineRule="exact"/>
              <w:rPr>
                <w:rFonts w:ascii="宋体" w:hAnsi="宋体" w:cs="宋体"/>
                <w:sz w:val="21"/>
                <w:szCs w:val="21"/>
                <w:highlight w:val="none"/>
              </w:rPr>
            </w:pPr>
            <w:r>
              <w:rPr>
                <w:rFonts w:hint="eastAsia" w:eastAsia="宋体"/>
                <w:b w:val="0"/>
                <w:bCs w:val="0"/>
                <w:color w:val="000000"/>
                <w:sz w:val="21"/>
                <w:szCs w:val="21"/>
                <w:highlight w:val="none"/>
                <w:lang w:val="en-US" w:eastAsia="zh-CN"/>
              </w:rPr>
              <w:t>2.如未按要求提供证明材料，或所提供的证明材料未能体现上述评分内容的，视为该证明材料无效。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pPr>
              <w:adjustRightInd w:val="0"/>
              <w:snapToGrid w:val="0"/>
              <w:spacing w:line="320" w:lineRule="exact"/>
              <w:rPr>
                <w:rFonts w:ascii="宋体" w:hAnsi="宋体" w:cs="宋体"/>
                <w:b/>
                <w:bCs/>
                <w:color w:val="0000FF"/>
                <w:szCs w:val="21"/>
                <w:highlight w:val="none"/>
              </w:rPr>
            </w:pPr>
          </w:p>
        </w:tc>
        <w:tc>
          <w:tcPr>
            <w:tcW w:w="548" w:type="dxa"/>
            <w:tcBorders>
              <w:tl2br w:val="nil"/>
              <w:tr2bl w:val="nil"/>
            </w:tcBorders>
            <w:vAlign w:val="center"/>
          </w:tcPr>
          <w:p>
            <w:pPr>
              <w:wordWrap w:val="0"/>
              <w:adjustRightInd w:val="0"/>
              <w:snapToGrid w:val="0"/>
              <w:spacing w:line="32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6</w:t>
            </w:r>
          </w:p>
        </w:tc>
        <w:tc>
          <w:tcPr>
            <w:tcW w:w="2264" w:type="dxa"/>
            <w:tcBorders>
              <w:tl2br w:val="nil"/>
              <w:tr2bl w:val="nil"/>
            </w:tcBorders>
            <w:vAlign w:val="center"/>
          </w:tcPr>
          <w:p>
            <w:pPr>
              <w:wordWrap w:val="0"/>
              <w:adjustRightInd w:val="0"/>
              <w:snapToGrid w:val="0"/>
              <w:spacing w:line="320" w:lineRule="exact"/>
              <w:jc w:val="center"/>
              <w:rPr>
                <w:rFonts w:hint="eastAsia" w:ascii="宋体" w:hAnsi="宋体" w:eastAsia="宋体" w:cs="宋体"/>
                <w:kern w:val="2"/>
                <w:sz w:val="21"/>
                <w:szCs w:val="21"/>
                <w:highlight w:val="none"/>
                <w:lang w:val="en-US" w:eastAsia="zh-CN" w:bidi="ar-SA"/>
              </w:rPr>
            </w:pPr>
            <w:r>
              <w:rPr>
                <w:rFonts w:hint="eastAsia" w:ascii="宋体" w:hAnsi="宋体"/>
                <w:color w:val="000000"/>
                <w:szCs w:val="21"/>
                <w:highlight w:val="none"/>
              </w:rPr>
              <w:t>便利化服务</w:t>
            </w:r>
          </w:p>
        </w:tc>
        <w:tc>
          <w:tcPr>
            <w:tcW w:w="696" w:type="dxa"/>
            <w:tcBorders>
              <w:tl2br w:val="nil"/>
              <w:tr2bl w:val="nil"/>
            </w:tcBorders>
            <w:vAlign w:val="center"/>
          </w:tcPr>
          <w:p>
            <w:pPr>
              <w:wordWrap w:val="0"/>
              <w:adjustRightInd w:val="0"/>
              <w:snapToGrid w:val="0"/>
              <w:spacing w:line="32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5</w:t>
            </w:r>
          </w:p>
        </w:tc>
        <w:tc>
          <w:tcPr>
            <w:tcW w:w="4856" w:type="dxa"/>
            <w:tcBorders>
              <w:tl2br w:val="nil"/>
              <w:tr2bl w:val="nil"/>
            </w:tcBorders>
            <w:vAlign w:val="top"/>
          </w:tcPr>
          <w:p>
            <w:pPr>
              <w:wordWrap/>
              <w:spacing w:line="240" w:lineRule="auto"/>
              <w:rPr>
                <w:rFonts w:ascii="宋体" w:hAnsi="宋体" w:eastAsia="宋体" w:cs="宋体"/>
                <w:szCs w:val="21"/>
                <w:highlight w:val="none"/>
              </w:rPr>
            </w:pPr>
            <w:r>
              <w:rPr>
                <w:rFonts w:hint="eastAsia" w:ascii="宋体" w:hAnsi="宋体" w:eastAsia="宋体" w:cs="宋体"/>
                <w:b/>
                <w:bCs/>
                <w:szCs w:val="21"/>
                <w:highlight w:val="none"/>
              </w:rPr>
              <w:t>（一）评分内容：</w:t>
            </w:r>
            <w:r>
              <w:rPr>
                <w:rFonts w:hint="eastAsia" w:ascii="宋体" w:hAnsi="宋体" w:eastAsia="宋体" w:cs="宋体"/>
                <w:szCs w:val="21"/>
                <w:highlight w:val="none"/>
              </w:rPr>
              <w:t xml:space="preserve"> </w:t>
            </w:r>
          </w:p>
          <w:p>
            <w:pPr>
              <w:wordWrap/>
              <w:spacing w:line="240" w:lineRule="auto"/>
              <w:rPr>
                <w:rFonts w:ascii="宋体" w:hAnsi="宋体" w:eastAsia="宋体" w:cs="宋体"/>
                <w:szCs w:val="21"/>
                <w:highlight w:val="none"/>
              </w:rPr>
            </w:pPr>
            <w:r>
              <w:rPr>
                <w:rFonts w:hint="eastAsia" w:ascii="宋体" w:hAnsi="宋体" w:eastAsia="宋体" w:cs="宋体"/>
                <w:szCs w:val="21"/>
                <w:highlight w:val="none"/>
              </w:rPr>
              <w:t xml:space="preserve">投标人承诺中标后提供本地（深圳市）经营服务网点得100分。 </w:t>
            </w:r>
          </w:p>
          <w:p>
            <w:pPr>
              <w:wordWrap/>
              <w:spacing w:line="240" w:lineRule="auto"/>
              <w:rPr>
                <w:rFonts w:ascii="宋体" w:hAnsi="宋体" w:eastAsia="宋体" w:cs="宋体"/>
                <w:szCs w:val="21"/>
                <w:highlight w:val="none"/>
              </w:rPr>
            </w:pPr>
            <w:r>
              <w:rPr>
                <w:rFonts w:hint="eastAsia" w:ascii="宋体" w:hAnsi="宋体" w:eastAsia="宋体" w:cs="宋体"/>
                <w:b/>
                <w:bCs/>
                <w:szCs w:val="21"/>
                <w:highlight w:val="none"/>
              </w:rPr>
              <w:t>（二）评分依据</w:t>
            </w:r>
            <w:r>
              <w:rPr>
                <w:rFonts w:hint="eastAsia" w:ascii="宋体" w:hAnsi="宋体" w:eastAsia="宋体" w:cs="宋体"/>
                <w:szCs w:val="21"/>
                <w:highlight w:val="none"/>
              </w:rPr>
              <w:t xml:space="preserve">： </w:t>
            </w:r>
          </w:p>
          <w:p>
            <w:pPr>
              <w:adjustRightInd/>
              <w:snapToGrid/>
              <w:spacing w:line="240" w:lineRule="auto"/>
              <w:jc w:val="left"/>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kern w:val="0"/>
                <w:szCs w:val="21"/>
                <w:highlight w:val="none"/>
                <w14:ligatures w14:val="none"/>
              </w:rPr>
              <w:t>提供承诺（格式自定）作为得分依据，未提供承诺或承诺内容不满足要求不得分</w:t>
            </w:r>
            <w:r>
              <w:rPr>
                <w:rFonts w:hint="eastAsia" w:ascii="宋体" w:hAnsi="宋体" w:eastAsia="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266" w:hRule="atLeast"/>
          <w:tblCellSpacing w:w="0" w:type="dxa"/>
        </w:trPr>
        <w:tc>
          <w:tcPr>
            <w:tcW w:w="685" w:type="dxa"/>
            <w:vMerge w:val="restart"/>
            <w:tcBorders>
              <w:tl2br w:val="nil"/>
              <w:tr2bl w:val="nil"/>
            </w:tcBorders>
          </w:tcPr>
          <w:p>
            <w:pPr>
              <w:wordWrap w:val="0"/>
              <w:adjustRightInd w:val="0"/>
              <w:snapToGrid w:val="0"/>
              <w:spacing w:line="320" w:lineRule="exact"/>
              <w:jc w:val="center"/>
              <w:rPr>
                <w:rFonts w:ascii="宋体" w:hAnsi="宋体" w:cs="宋体"/>
                <w:b/>
                <w:bCs/>
                <w:color w:val="0000FF"/>
                <w:szCs w:val="21"/>
                <w:highlight w:val="none"/>
              </w:rPr>
            </w:pPr>
            <w:r>
              <w:rPr>
                <w:rFonts w:hint="eastAsia" w:ascii="宋体" w:hAnsi="宋体" w:cs="宋体"/>
                <w:b/>
                <w:bCs/>
                <w:color w:val="0000FF"/>
                <w:szCs w:val="21"/>
                <w:highlight w:val="none"/>
              </w:rPr>
              <w:t>4</w:t>
            </w:r>
          </w:p>
        </w:tc>
        <w:tc>
          <w:tcPr>
            <w:tcW w:w="3508" w:type="dxa"/>
            <w:gridSpan w:val="3"/>
            <w:tcBorders>
              <w:tl2br w:val="nil"/>
              <w:tr2bl w:val="nil"/>
            </w:tcBorders>
            <w:vAlign w:val="center"/>
          </w:tcPr>
          <w:p>
            <w:pPr>
              <w:wordWrap w:val="0"/>
              <w:adjustRightInd w:val="0"/>
              <w:snapToGrid w:val="0"/>
              <w:spacing w:line="320" w:lineRule="exact"/>
              <w:jc w:val="center"/>
              <w:rPr>
                <w:rFonts w:ascii="宋体" w:hAnsi="宋体" w:cs="宋体"/>
                <w:b/>
                <w:bCs/>
                <w:color w:val="0000FF"/>
                <w:szCs w:val="21"/>
                <w:highlight w:val="none"/>
              </w:rPr>
            </w:pPr>
            <w:r>
              <w:rPr>
                <w:rFonts w:hint="eastAsia" w:ascii="宋体" w:hAnsi="宋体" w:cs="宋体"/>
                <w:b/>
                <w:bCs/>
                <w:color w:val="0000FF"/>
                <w:szCs w:val="21"/>
                <w:highlight w:val="none"/>
              </w:rPr>
              <w:t>诚信情况</w:t>
            </w:r>
          </w:p>
        </w:tc>
        <w:tc>
          <w:tcPr>
            <w:tcW w:w="4856" w:type="dxa"/>
            <w:tcBorders>
              <w:tl2br w:val="nil"/>
              <w:tr2bl w:val="nil"/>
            </w:tcBorders>
          </w:tcPr>
          <w:p>
            <w:pPr>
              <w:wordWrap w:val="0"/>
              <w:adjustRightInd w:val="0"/>
              <w:snapToGrid w:val="0"/>
              <w:spacing w:line="320" w:lineRule="exact"/>
              <w:jc w:val="center"/>
              <w:rPr>
                <w:rFonts w:ascii="宋体" w:hAnsi="宋体" w:cs="宋体"/>
                <w:b/>
                <w:bCs/>
                <w:color w:val="0000FF"/>
                <w:szCs w:val="21"/>
                <w:highlight w:val="none"/>
              </w:rPr>
            </w:pPr>
            <w:r>
              <w:rPr>
                <w:rFonts w:hint="eastAsia" w:ascii="宋体" w:hAnsi="宋体" w:cs="宋体"/>
                <w:b/>
                <w:bCs/>
                <w:color w:val="0000FF"/>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pPr>
              <w:adjustRightInd w:val="0"/>
              <w:snapToGrid w:val="0"/>
              <w:spacing w:line="320" w:lineRule="exact"/>
              <w:rPr>
                <w:rFonts w:ascii="宋体" w:hAnsi="宋体" w:cs="宋体"/>
                <w:b/>
                <w:bCs/>
                <w:color w:val="0000FF"/>
                <w:szCs w:val="21"/>
                <w:highlight w:val="none"/>
              </w:rPr>
            </w:pPr>
          </w:p>
        </w:tc>
        <w:tc>
          <w:tcPr>
            <w:tcW w:w="8364" w:type="dxa"/>
            <w:gridSpan w:val="4"/>
            <w:tcBorders>
              <w:tl2br w:val="nil"/>
              <w:tr2bl w:val="nil"/>
            </w:tcBorders>
            <w:vAlign w:val="center"/>
          </w:tcPr>
          <w:p>
            <w:pPr>
              <w:wordWrap w:val="0"/>
              <w:adjustRightInd w:val="0"/>
              <w:snapToGrid w:val="0"/>
              <w:spacing w:line="32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shd w:val="clear" w:color="auto" w:fill="E6EFFA"/>
            <w:vAlign w:val="center"/>
          </w:tcPr>
          <w:p>
            <w:pPr>
              <w:adjustRightInd w:val="0"/>
              <w:snapToGrid w:val="0"/>
              <w:spacing w:line="320" w:lineRule="exact"/>
              <w:rPr>
                <w:rFonts w:ascii="宋体" w:hAnsi="宋体" w:cs="宋体"/>
                <w:b/>
                <w:bCs/>
                <w:color w:val="0000FF"/>
                <w:szCs w:val="21"/>
                <w:highlight w:val="none"/>
              </w:rPr>
            </w:pPr>
          </w:p>
        </w:tc>
        <w:tc>
          <w:tcPr>
            <w:tcW w:w="548" w:type="dxa"/>
            <w:tcBorders>
              <w:tl2br w:val="nil"/>
              <w:tr2bl w:val="nil"/>
            </w:tcBorders>
            <w:shd w:val="clear" w:color="auto" w:fill="E6EFFA"/>
            <w:vAlign w:val="center"/>
          </w:tcPr>
          <w:p>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序号</w:t>
            </w:r>
          </w:p>
        </w:tc>
        <w:tc>
          <w:tcPr>
            <w:tcW w:w="2264" w:type="dxa"/>
            <w:tcBorders>
              <w:tl2br w:val="nil"/>
              <w:tr2bl w:val="nil"/>
            </w:tcBorders>
            <w:shd w:val="clear" w:color="auto" w:fill="E6EFFA"/>
            <w:vAlign w:val="center"/>
          </w:tcPr>
          <w:p>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评分因素</w:t>
            </w:r>
          </w:p>
        </w:tc>
        <w:tc>
          <w:tcPr>
            <w:tcW w:w="696" w:type="dxa"/>
            <w:tcBorders>
              <w:tl2br w:val="nil"/>
              <w:tr2bl w:val="nil"/>
            </w:tcBorders>
            <w:shd w:val="clear" w:color="auto" w:fill="E6EFFA"/>
            <w:vAlign w:val="center"/>
          </w:tcPr>
          <w:p>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权重(%)</w:t>
            </w:r>
          </w:p>
        </w:tc>
        <w:tc>
          <w:tcPr>
            <w:tcW w:w="4856" w:type="dxa"/>
            <w:tcBorders>
              <w:tl2br w:val="nil"/>
              <w:tr2bl w:val="nil"/>
            </w:tcBorders>
            <w:shd w:val="clear" w:color="auto" w:fill="E6EFFA"/>
            <w:vAlign w:val="center"/>
          </w:tcPr>
          <w:p>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pPr>
              <w:adjustRightInd w:val="0"/>
              <w:snapToGrid w:val="0"/>
              <w:spacing w:line="320" w:lineRule="exact"/>
              <w:rPr>
                <w:rFonts w:ascii="宋体" w:hAnsi="宋体" w:cs="宋体"/>
                <w:b/>
                <w:bCs/>
                <w:color w:val="0000FF"/>
                <w:szCs w:val="21"/>
                <w:highlight w:val="none"/>
              </w:rPr>
            </w:pPr>
          </w:p>
        </w:tc>
        <w:tc>
          <w:tcPr>
            <w:tcW w:w="548" w:type="dxa"/>
            <w:tcBorders>
              <w:tl2br w:val="nil"/>
              <w:tr2bl w:val="nil"/>
            </w:tcBorders>
            <w:vAlign w:val="center"/>
          </w:tcPr>
          <w:p>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1</w:t>
            </w:r>
          </w:p>
        </w:tc>
        <w:tc>
          <w:tcPr>
            <w:tcW w:w="2264" w:type="dxa"/>
            <w:tcBorders>
              <w:tl2br w:val="nil"/>
              <w:tr2bl w:val="nil"/>
            </w:tcBorders>
            <w:vAlign w:val="center"/>
          </w:tcPr>
          <w:p>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诚信情况</w:t>
            </w:r>
          </w:p>
        </w:tc>
        <w:tc>
          <w:tcPr>
            <w:tcW w:w="696" w:type="dxa"/>
            <w:tcBorders>
              <w:tl2br w:val="nil"/>
              <w:tr2bl w:val="nil"/>
            </w:tcBorders>
            <w:vAlign w:val="center"/>
          </w:tcPr>
          <w:p>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5</w:t>
            </w:r>
          </w:p>
        </w:tc>
        <w:tc>
          <w:tcPr>
            <w:tcW w:w="4856" w:type="dxa"/>
            <w:tcBorders>
              <w:tl2br w:val="nil"/>
              <w:tr2bl w:val="nil"/>
            </w:tcBorders>
          </w:tcPr>
          <w:p>
            <w:pPr>
              <w:wordWrap w:val="0"/>
              <w:adjustRightInd w:val="0"/>
              <w:snapToGrid w:val="0"/>
              <w:spacing w:line="320" w:lineRule="exact"/>
              <w:rPr>
                <w:rFonts w:ascii="宋体" w:hAnsi="宋体" w:eastAsia="宋体" w:cs="宋体"/>
                <w:szCs w:val="21"/>
                <w:highlight w:val="none"/>
              </w:rPr>
            </w:pPr>
            <w:r>
              <w:rPr>
                <w:rFonts w:hint="eastAsia" w:ascii="宋体" w:hAnsi="宋体" w:eastAsia="宋体" w:cs="宋体"/>
                <w:szCs w:val="21"/>
                <w:highlight w:val="none"/>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供应商诚信查询结果。</w:t>
            </w:r>
          </w:p>
          <w:p>
            <w:pPr>
              <w:wordWrap w:val="0"/>
              <w:adjustRightInd w:val="0"/>
              <w:snapToGrid w:val="0"/>
              <w:spacing w:line="320" w:lineRule="exact"/>
              <w:rPr>
                <w:rFonts w:ascii="宋体" w:hAnsi="宋体" w:eastAsia="宋体" w:cs="宋体"/>
                <w:szCs w:val="21"/>
                <w:highlight w:val="none"/>
              </w:rPr>
            </w:pPr>
          </w:p>
          <w:p>
            <w:pPr>
              <w:wordWrap w:val="0"/>
              <w:adjustRightInd w:val="0"/>
              <w:snapToGrid w:val="0"/>
              <w:spacing w:line="320" w:lineRule="exact"/>
              <w:rPr>
                <w:rFonts w:ascii="宋体" w:hAnsi="宋体" w:cs="宋体"/>
                <w:color w:val="FF0000"/>
                <w:szCs w:val="21"/>
                <w:highlight w:val="none"/>
              </w:rPr>
            </w:pPr>
            <w:r>
              <w:rPr>
                <w:rFonts w:hint="eastAsia" w:ascii="宋体" w:hAnsi="宋体" w:eastAsia="宋体" w:cs="宋体"/>
                <w:szCs w:val="21"/>
                <w:highlight w:val="none"/>
              </w:rPr>
              <w:t>查询渠道具体包括“信用中国”（www.creditchina.gov.cn）、“中国政府采购网”（www.ccgp.gov.cn）”以及“深圳市政府采购监管网”（http://zfcg.sz.gov.cn）为供应商信用信息的查询渠道，相关信息以开标当日的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pPr>
              <w:adjustRightInd w:val="0"/>
              <w:snapToGrid w:val="0"/>
              <w:spacing w:line="320" w:lineRule="exact"/>
              <w:rPr>
                <w:rFonts w:ascii="宋体" w:hAnsi="宋体" w:cs="宋体"/>
                <w:b/>
                <w:bCs/>
                <w:color w:val="0000FF"/>
                <w:szCs w:val="21"/>
                <w:highlight w:val="none"/>
              </w:rPr>
            </w:pPr>
          </w:p>
        </w:tc>
        <w:tc>
          <w:tcPr>
            <w:tcW w:w="8364" w:type="dxa"/>
            <w:gridSpan w:val="4"/>
            <w:tcBorders>
              <w:tl2br w:val="nil"/>
              <w:tr2bl w:val="nil"/>
            </w:tcBorders>
          </w:tcPr>
          <w:p>
            <w:pPr>
              <w:wordWrap w:val="0"/>
              <w:adjustRightInd w:val="0"/>
              <w:snapToGrid w:val="0"/>
              <w:spacing w:line="320" w:lineRule="exact"/>
              <w:rPr>
                <w:rFonts w:ascii="宋体" w:hAnsi="宋体" w:cs="宋体"/>
                <w:szCs w:val="21"/>
                <w:highlight w:val="none"/>
              </w:rPr>
            </w:pPr>
          </w:p>
        </w:tc>
      </w:tr>
    </w:tbl>
    <w:p>
      <w:pPr>
        <w:wordWrap w:val="0"/>
        <w:rPr>
          <w:rFonts w:ascii="Times New Roman" w:hAnsi="Times New Roman" w:eastAsia="宋体" w:cs="Times New Roman"/>
          <w:b/>
          <w:bCs/>
          <w:color w:val="FF0000"/>
          <w:szCs w:val="24"/>
          <w:highlight w:val="none"/>
        </w:rPr>
      </w:pPr>
      <w:r>
        <w:rPr>
          <w:rFonts w:hint="eastAsia" w:ascii="Times New Roman" w:hAnsi="Times New Roman" w:eastAsia="宋体" w:cs="Times New Roman"/>
          <w:b/>
          <w:bCs/>
          <w:color w:val="FF0000"/>
          <w:szCs w:val="24"/>
          <w:highlight w:val="none"/>
        </w:rPr>
        <w:t>投标人的“技术规格响应情况”“技术规格偏离情况”等必须与客观实际保持一致，响应不实且情节严重的，经查实，将依法记入供应商诚信档案或受到行政处罚。</w:t>
      </w:r>
    </w:p>
    <w:p>
      <w:pPr>
        <w:rPr>
          <w:rFonts w:ascii="宋体" w:hAnsi="宋体"/>
          <w:sz w:val="24"/>
          <w:highlight w:val="none"/>
        </w:rPr>
      </w:pPr>
    </w:p>
    <w:p>
      <w:pPr>
        <w:rPr>
          <w:highlight w:val="none"/>
        </w:rPr>
        <w:sectPr>
          <w:pgSz w:w="11907" w:h="16840"/>
          <w:pgMar w:top="1440" w:right="1417" w:bottom="1440" w:left="1417" w:header="851" w:footer="992" w:gutter="0"/>
          <w:cols w:space="425" w:num="1"/>
          <w:titlePg/>
          <w:docGrid w:linePitch="462" w:charSpace="0"/>
        </w:sectPr>
      </w:pPr>
    </w:p>
    <w:p>
      <w:pPr>
        <w:jc w:val="center"/>
        <w:rPr>
          <w:rFonts w:hint="eastAsia"/>
          <w:b/>
          <w:sz w:val="120"/>
          <w:szCs w:val="120"/>
          <w:highlight w:val="none"/>
        </w:rPr>
      </w:pPr>
    </w:p>
    <w:p>
      <w:pPr>
        <w:jc w:val="center"/>
        <w:rPr>
          <w:rFonts w:hint="eastAsia"/>
          <w:b/>
          <w:sz w:val="120"/>
          <w:szCs w:val="120"/>
          <w:highlight w:val="none"/>
        </w:rPr>
      </w:pPr>
    </w:p>
    <w:p>
      <w:pPr>
        <w:jc w:val="center"/>
        <w:rPr>
          <w:rFonts w:hint="eastAsia"/>
          <w:b/>
          <w:sz w:val="120"/>
          <w:szCs w:val="120"/>
          <w:highlight w:val="none"/>
        </w:rPr>
      </w:pPr>
    </w:p>
    <w:p>
      <w:pPr>
        <w:jc w:val="center"/>
        <w:rPr>
          <w:b/>
          <w:sz w:val="120"/>
          <w:szCs w:val="120"/>
          <w:highlight w:val="none"/>
        </w:rPr>
      </w:pPr>
      <w:r>
        <w:rPr>
          <w:rFonts w:hint="eastAsia"/>
          <w:b/>
          <w:sz w:val="120"/>
          <w:szCs w:val="120"/>
          <w:highlight w:val="none"/>
        </w:rPr>
        <w:t>政府采购</w:t>
      </w:r>
    </w:p>
    <w:p>
      <w:pPr>
        <w:jc w:val="center"/>
        <w:rPr>
          <w:b/>
          <w:sz w:val="120"/>
          <w:szCs w:val="120"/>
          <w:highlight w:val="none"/>
        </w:rPr>
      </w:pPr>
      <w:r>
        <w:rPr>
          <w:rFonts w:hint="eastAsia"/>
          <w:b/>
          <w:sz w:val="120"/>
          <w:szCs w:val="120"/>
          <w:highlight w:val="none"/>
        </w:rPr>
        <w:t>招标文件</w:t>
      </w:r>
    </w:p>
    <w:p>
      <w:pPr>
        <w:jc w:val="center"/>
        <w:rPr>
          <w:b/>
          <w:sz w:val="52"/>
          <w:szCs w:val="52"/>
          <w:highlight w:val="none"/>
        </w:rPr>
      </w:pPr>
      <w:r>
        <w:rPr>
          <w:rFonts w:hint="eastAsia"/>
          <w:b/>
          <w:sz w:val="52"/>
          <w:szCs w:val="52"/>
          <w:highlight w:val="none"/>
        </w:rPr>
        <w:t>（服务类）</w:t>
      </w:r>
    </w:p>
    <w:p>
      <w:pPr>
        <w:jc w:val="center"/>
        <w:rPr>
          <w:b/>
          <w:sz w:val="44"/>
          <w:szCs w:val="44"/>
          <w:highlight w:val="none"/>
        </w:rPr>
      </w:pPr>
    </w:p>
    <w:p>
      <w:pPr>
        <w:jc w:val="center"/>
        <w:rPr>
          <w:b/>
          <w:sz w:val="44"/>
          <w:szCs w:val="44"/>
          <w:highlight w:val="none"/>
        </w:rPr>
      </w:pPr>
    </w:p>
    <w:p>
      <w:pPr>
        <w:jc w:val="center"/>
        <w:rPr>
          <w:b/>
          <w:sz w:val="44"/>
          <w:szCs w:val="44"/>
          <w:highlight w:val="none"/>
        </w:rPr>
      </w:pPr>
    </w:p>
    <w:p>
      <w:pPr>
        <w:jc w:val="center"/>
        <w:rPr>
          <w:b/>
          <w:sz w:val="44"/>
          <w:szCs w:val="44"/>
          <w:highlight w:val="none"/>
        </w:rPr>
      </w:pPr>
    </w:p>
    <w:p>
      <w:pPr>
        <w:jc w:val="center"/>
        <w:rPr>
          <w:b/>
          <w:sz w:val="44"/>
          <w:szCs w:val="44"/>
          <w:highlight w:val="none"/>
        </w:rPr>
      </w:pPr>
    </w:p>
    <w:p>
      <w:pPr>
        <w:jc w:val="center"/>
        <w:rPr>
          <w:b/>
          <w:sz w:val="44"/>
          <w:szCs w:val="44"/>
          <w:highlight w:val="none"/>
        </w:rPr>
      </w:pPr>
    </w:p>
    <w:p>
      <w:pPr>
        <w:jc w:val="center"/>
        <w:rPr>
          <w:b/>
          <w:sz w:val="44"/>
          <w:szCs w:val="44"/>
          <w:highlight w:val="none"/>
        </w:rPr>
      </w:pPr>
    </w:p>
    <w:p>
      <w:pPr>
        <w:jc w:val="center"/>
        <w:rPr>
          <w:b/>
          <w:sz w:val="44"/>
          <w:szCs w:val="44"/>
          <w:highlight w:val="none"/>
        </w:rPr>
      </w:pPr>
    </w:p>
    <w:p>
      <w:pPr>
        <w:jc w:val="center"/>
        <w:rPr>
          <w:b/>
          <w:sz w:val="44"/>
          <w:szCs w:val="44"/>
          <w:highlight w:val="none"/>
        </w:rPr>
      </w:pPr>
      <w:bookmarkStart w:id="0" w:name="_Hlk71465316"/>
      <w:r>
        <w:rPr>
          <w:rFonts w:hint="eastAsia"/>
          <w:b/>
          <w:sz w:val="44"/>
          <w:szCs w:val="44"/>
          <w:highlight w:val="none"/>
        </w:rPr>
        <w:t>深圳公共资源交易中心</w:t>
      </w:r>
    </w:p>
    <w:p>
      <w:pPr>
        <w:jc w:val="center"/>
        <w:rPr>
          <w:sz w:val="28"/>
          <w:szCs w:val="28"/>
          <w:highlight w:val="none"/>
        </w:rPr>
      </w:pPr>
      <w:r>
        <w:rPr>
          <w:rFonts w:hint="eastAsia"/>
          <w:b/>
          <w:sz w:val="28"/>
          <w:szCs w:val="28"/>
          <w:highlight w:val="none"/>
        </w:rPr>
        <w:t>（</w:t>
      </w:r>
      <w:r>
        <w:rPr>
          <w:b/>
          <w:sz w:val="28"/>
          <w:szCs w:val="28"/>
          <w:highlight w:val="none"/>
        </w:rPr>
        <w:t>20</w:t>
      </w:r>
      <w:r>
        <w:rPr>
          <w:rFonts w:hint="eastAsia"/>
          <w:b/>
          <w:sz w:val="28"/>
          <w:szCs w:val="28"/>
          <w:highlight w:val="none"/>
        </w:rPr>
        <w:t>2</w:t>
      </w:r>
      <w:r>
        <w:rPr>
          <w:rFonts w:hint="eastAsia"/>
          <w:b/>
          <w:sz w:val="28"/>
          <w:szCs w:val="28"/>
          <w:highlight w:val="none"/>
          <w:lang w:val="en-US" w:eastAsia="zh-CN"/>
        </w:rPr>
        <w:t>4</w:t>
      </w:r>
      <w:r>
        <w:rPr>
          <w:rFonts w:hint="eastAsia"/>
          <w:b/>
          <w:sz w:val="28"/>
          <w:szCs w:val="28"/>
          <w:highlight w:val="none"/>
        </w:rPr>
        <w:t>）</w:t>
      </w:r>
      <w:bookmarkEnd w:id="0"/>
    </w:p>
    <w:p>
      <w:pPr>
        <w:ind w:firstLine="420" w:firstLineChars="200"/>
        <w:rPr>
          <w:rFonts w:hint="eastAsia"/>
          <w:highlight w:val="none"/>
        </w:rPr>
      </w:pPr>
      <w:r>
        <w:rPr>
          <w:rFonts w:hint="eastAsia"/>
          <w:highlight w:val="none"/>
        </w:rPr>
        <w:br w:type="page"/>
      </w:r>
    </w:p>
    <w:p>
      <w:pPr>
        <w:pStyle w:val="7"/>
        <w:ind w:firstLine="3855" w:firstLineChars="1600"/>
        <w:jc w:val="both"/>
        <w:rPr>
          <w:color w:val="FF0000"/>
          <w:szCs w:val="21"/>
          <w:highlight w:val="none"/>
        </w:rPr>
      </w:pPr>
      <w:r>
        <w:rPr>
          <w:rFonts w:hint="eastAsia"/>
          <w:b/>
          <w:bCs/>
          <w:color w:val="FF0000"/>
          <w:highlight w:val="none"/>
        </w:rPr>
        <w:t>警示条款</w:t>
      </w:r>
    </w:p>
    <w:p>
      <w:pPr>
        <w:ind w:firstLine="400" w:firstLineChars="200"/>
        <w:rPr>
          <w:rFonts w:ascii="宋体" w:hAnsi="宋体"/>
          <w:color w:val="FF0000"/>
          <w:sz w:val="20"/>
          <w:szCs w:val="20"/>
          <w:highlight w:val="none"/>
        </w:rPr>
      </w:pPr>
      <w:r>
        <w:rPr>
          <w:rFonts w:hint="eastAsia" w:ascii="宋体" w:hAnsi="宋体"/>
          <w:color w:val="FF0000"/>
          <w:sz w:val="20"/>
          <w:szCs w:val="20"/>
          <w:highlight w:val="none"/>
        </w:rPr>
        <w:t>一、</w:t>
      </w:r>
      <w:r>
        <w:rPr>
          <w:rFonts w:hint="eastAsia" w:ascii="宋体" w:hAnsi="宋体"/>
          <w:b/>
          <w:bCs/>
          <w:color w:val="FF0000"/>
          <w:sz w:val="20"/>
          <w:szCs w:val="20"/>
          <w:highlight w:val="none"/>
        </w:rPr>
        <w:t>《深圳经济特区政府采购条例》第五十七条</w:t>
      </w:r>
      <w:r>
        <w:rPr>
          <w:rFonts w:hint="eastAsia" w:ascii="宋体" w:hAnsi="宋体"/>
          <w:color w:val="FF0000"/>
          <w:sz w:val="20"/>
          <w:szCs w:val="20"/>
          <w:highlight w:val="none"/>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pPr>
        <w:ind w:firstLine="400" w:firstLineChars="200"/>
        <w:rPr>
          <w:rFonts w:ascii="宋体" w:hAnsi="宋体"/>
          <w:color w:val="FF0000"/>
          <w:sz w:val="20"/>
          <w:szCs w:val="20"/>
          <w:highlight w:val="none"/>
        </w:rPr>
      </w:pPr>
      <w:r>
        <w:rPr>
          <w:rFonts w:hint="eastAsia" w:ascii="宋体" w:hAnsi="宋体"/>
          <w:color w:val="FF0000"/>
          <w:sz w:val="20"/>
          <w:szCs w:val="20"/>
          <w:highlight w:val="none"/>
        </w:rPr>
        <w:t>（一）在采购活动中应当回避而未回避的；</w:t>
      </w:r>
    </w:p>
    <w:p>
      <w:pPr>
        <w:ind w:firstLine="400" w:firstLineChars="200"/>
        <w:rPr>
          <w:rFonts w:ascii="宋体" w:hAnsi="宋体"/>
          <w:color w:val="FF0000"/>
          <w:sz w:val="20"/>
          <w:szCs w:val="20"/>
          <w:highlight w:val="none"/>
        </w:rPr>
      </w:pPr>
      <w:r>
        <w:rPr>
          <w:rFonts w:hint="eastAsia" w:ascii="宋体" w:hAnsi="宋体"/>
          <w:color w:val="FF0000"/>
          <w:sz w:val="20"/>
          <w:szCs w:val="20"/>
          <w:highlight w:val="none"/>
        </w:rPr>
        <w:t>（二）未按本条例规定签订、履行采购合同，造成严重后果的；</w:t>
      </w:r>
    </w:p>
    <w:p>
      <w:pPr>
        <w:ind w:firstLine="400" w:firstLineChars="200"/>
        <w:rPr>
          <w:rFonts w:ascii="宋体" w:hAnsi="宋体"/>
          <w:color w:val="FF0000"/>
          <w:sz w:val="20"/>
          <w:szCs w:val="20"/>
          <w:highlight w:val="none"/>
        </w:rPr>
      </w:pPr>
      <w:r>
        <w:rPr>
          <w:rFonts w:hint="eastAsia" w:ascii="宋体" w:hAnsi="宋体"/>
          <w:color w:val="FF0000"/>
          <w:sz w:val="20"/>
          <w:szCs w:val="20"/>
          <w:highlight w:val="none"/>
        </w:rPr>
        <w:t>（三）隐瞒真实情况，提供虚假资料的；</w:t>
      </w:r>
    </w:p>
    <w:p>
      <w:pPr>
        <w:ind w:firstLine="400" w:firstLineChars="200"/>
        <w:rPr>
          <w:rFonts w:ascii="宋体" w:hAnsi="宋体"/>
          <w:color w:val="FF0000"/>
          <w:sz w:val="20"/>
          <w:szCs w:val="20"/>
          <w:highlight w:val="none"/>
        </w:rPr>
      </w:pPr>
      <w:r>
        <w:rPr>
          <w:rFonts w:hint="eastAsia" w:ascii="宋体" w:hAnsi="宋体"/>
          <w:color w:val="FF0000"/>
          <w:sz w:val="20"/>
          <w:szCs w:val="20"/>
          <w:highlight w:val="none"/>
        </w:rPr>
        <w:t>（四）以非法手段排斥其他供应商参与竞争的；</w:t>
      </w:r>
    </w:p>
    <w:p>
      <w:pPr>
        <w:ind w:firstLine="400" w:firstLineChars="200"/>
        <w:rPr>
          <w:rFonts w:ascii="宋体" w:hAnsi="宋体"/>
          <w:color w:val="FF0000"/>
          <w:sz w:val="20"/>
          <w:szCs w:val="20"/>
          <w:highlight w:val="none"/>
        </w:rPr>
      </w:pPr>
      <w:r>
        <w:rPr>
          <w:rFonts w:hint="eastAsia" w:ascii="宋体" w:hAnsi="宋体"/>
          <w:color w:val="FF0000"/>
          <w:sz w:val="20"/>
          <w:szCs w:val="20"/>
          <w:highlight w:val="none"/>
        </w:rPr>
        <w:t>（五）与其他采购参加人串通投标的；</w:t>
      </w:r>
    </w:p>
    <w:p>
      <w:pPr>
        <w:ind w:firstLine="400" w:firstLineChars="200"/>
        <w:rPr>
          <w:rFonts w:ascii="宋体" w:hAnsi="宋体"/>
          <w:color w:val="FF0000"/>
          <w:sz w:val="20"/>
          <w:szCs w:val="20"/>
          <w:highlight w:val="none"/>
        </w:rPr>
      </w:pPr>
      <w:r>
        <w:rPr>
          <w:rFonts w:hint="eastAsia" w:ascii="宋体" w:hAnsi="宋体"/>
          <w:color w:val="FF0000"/>
          <w:sz w:val="20"/>
          <w:szCs w:val="20"/>
          <w:highlight w:val="none"/>
        </w:rPr>
        <w:t>（六）恶意投诉的；</w:t>
      </w:r>
    </w:p>
    <w:p>
      <w:pPr>
        <w:ind w:firstLine="400" w:firstLineChars="200"/>
        <w:rPr>
          <w:rFonts w:ascii="宋体" w:hAnsi="宋体"/>
          <w:color w:val="FF0000"/>
          <w:sz w:val="20"/>
          <w:szCs w:val="20"/>
          <w:highlight w:val="none"/>
        </w:rPr>
      </w:pPr>
      <w:r>
        <w:rPr>
          <w:rFonts w:hint="eastAsia" w:ascii="宋体" w:hAnsi="宋体"/>
          <w:color w:val="FF0000"/>
          <w:sz w:val="20"/>
          <w:szCs w:val="20"/>
          <w:highlight w:val="none"/>
        </w:rPr>
        <w:t>（七）向采购项目相关人行贿或者提供其他不当利益的；</w:t>
      </w:r>
    </w:p>
    <w:p>
      <w:pPr>
        <w:ind w:firstLine="400" w:firstLineChars="200"/>
        <w:rPr>
          <w:rFonts w:ascii="宋体" w:hAnsi="宋体"/>
          <w:color w:val="FF0000"/>
          <w:sz w:val="20"/>
          <w:szCs w:val="20"/>
          <w:highlight w:val="none"/>
        </w:rPr>
      </w:pPr>
      <w:r>
        <w:rPr>
          <w:rFonts w:hint="eastAsia" w:ascii="宋体" w:hAnsi="宋体"/>
          <w:color w:val="FF0000"/>
          <w:sz w:val="20"/>
          <w:szCs w:val="20"/>
          <w:highlight w:val="none"/>
        </w:rPr>
        <w:t>（八）阻碍、抗拒主管部门监督检查的；</w:t>
      </w:r>
    </w:p>
    <w:p>
      <w:pPr>
        <w:ind w:firstLine="400" w:firstLineChars="200"/>
        <w:rPr>
          <w:rFonts w:ascii="宋体" w:hAnsi="宋体"/>
          <w:color w:val="FF0000"/>
          <w:sz w:val="20"/>
          <w:szCs w:val="20"/>
          <w:highlight w:val="none"/>
        </w:rPr>
      </w:pPr>
      <w:r>
        <w:rPr>
          <w:rFonts w:hint="eastAsia" w:ascii="宋体" w:hAnsi="宋体"/>
          <w:color w:val="FF0000"/>
          <w:sz w:val="20"/>
          <w:szCs w:val="20"/>
          <w:highlight w:val="none"/>
        </w:rPr>
        <w:t>（九）其他违反本条例规定的行为。</w:t>
      </w:r>
    </w:p>
    <w:p>
      <w:pPr>
        <w:ind w:firstLine="402" w:firstLineChars="200"/>
        <w:rPr>
          <w:rFonts w:ascii="宋体" w:hAnsi="宋体"/>
          <w:color w:val="FF0000"/>
          <w:sz w:val="20"/>
          <w:szCs w:val="20"/>
          <w:highlight w:val="none"/>
        </w:rPr>
      </w:pPr>
      <w:r>
        <w:rPr>
          <w:rFonts w:hint="eastAsia" w:ascii="宋体" w:hAnsi="宋体"/>
          <w:b/>
          <w:bCs/>
          <w:color w:val="FF0000"/>
          <w:sz w:val="20"/>
          <w:szCs w:val="20"/>
          <w:highlight w:val="none"/>
        </w:rPr>
        <w:t>二、《深圳经济特区政府采购条例实施细则》第七十五条</w:t>
      </w:r>
      <w:r>
        <w:rPr>
          <w:rFonts w:hint="eastAsia" w:ascii="宋体" w:hAnsi="宋体"/>
          <w:b/>
          <w:bCs/>
          <w:color w:val="FF0000"/>
          <w:sz w:val="20"/>
          <w:szCs w:val="20"/>
          <w:highlight w:val="none"/>
          <w:lang w:val="en-US" w:eastAsia="zh-CN"/>
        </w:rPr>
        <w:t xml:space="preserve"> </w:t>
      </w:r>
      <w:r>
        <w:rPr>
          <w:rFonts w:hint="eastAsia" w:ascii="宋体" w:hAnsi="宋体"/>
          <w:color w:val="FF0000"/>
          <w:sz w:val="20"/>
          <w:szCs w:val="20"/>
          <w:highlight w:val="none"/>
        </w:rPr>
        <w:t>供应商有下列情形</w:t>
      </w:r>
      <w:r>
        <w:rPr>
          <w:rFonts w:hint="eastAsia" w:ascii="宋体" w:hAnsi="宋体"/>
          <w:color w:val="FF0000"/>
          <w:sz w:val="20"/>
          <w:szCs w:val="20"/>
          <w:highlight w:val="none"/>
          <w:lang w:val="en-US" w:eastAsia="zh-CN"/>
        </w:rPr>
        <w:t>之一</w:t>
      </w:r>
      <w:r>
        <w:rPr>
          <w:rFonts w:hint="eastAsia" w:ascii="宋体" w:hAnsi="宋体"/>
          <w:color w:val="FF0000"/>
          <w:sz w:val="20"/>
          <w:szCs w:val="20"/>
          <w:highlight w:val="none"/>
        </w:rPr>
        <w:t>的，属于采购条例所称的串通投标行为，按照采购条例第五十七条有关规定处理：（一）投标供应商之间相互约定给予未中标的供应商利益补偿</w:t>
      </w:r>
      <w:r>
        <w:rPr>
          <w:rFonts w:hint="eastAsia" w:ascii="宋体" w:hAnsi="宋体"/>
          <w:color w:val="FF0000"/>
          <w:sz w:val="20"/>
          <w:szCs w:val="20"/>
          <w:highlight w:val="none"/>
          <w:lang w:eastAsia="zh-CN"/>
        </w:rPr>
        <w:t>。</w:t>
      </w:r>
      <w:r>
        <w:rPr>
          <w:rFonts w:hint="eastAsia" w:ascii="宋体" w:hAnsi="宋体"/>
          <w:color w:val="FF0000"/>
          <w:sz w:val="20"/>
          <w:szCs w:val="20"/>
          <w:highlight w:val="none"/>
        </w:rPr>
        <w:t>（二）不同投标供应商的法定代表人、主要经营负责人、项目投标授权代表人、项目负责人、主要技术人员为同一人、属同一单位或者在同一单位缴纳社会保险</w:t>
      </w:r>
      <w:r>
        <w:rPr>
          <w:rFonts w:hint="eastAsia" w:ascii="宋体" w:hAnsi="宋体"/>
          <w:color w:val="FF0000"/>
          <w:sz w:val="20"/>
          <w:szCs w:val="20"/>
          <w:highlight w:val="none"/>
          <w:lang w:eastAsia="zh-CN"/>
        </w:rPr>
        <w:t>。</w:t>
      </w:r>
      <w:r>
        <w:rPr>
          <w:rFonts w:hint="eastAsia" w:ascii="宋体" w:hAnsi="宋体"/>
          <w:color w:val="FF0000"/>
          <w:sz w:val="20"/>
          <w:szCs w:val="20"/>
          <w:highlight w:val="none"/>
        </w:rPr>
        <w:t>（三）不同投标供应商的投标文件由同一单位或者同一人编制，或者由同一人分阶段参与编制的</w:t>
      </w:r>
      <w:r>
        <w:rPr>
          <w:rFonts w:hint="eastAsia" w:ascii="宋体" w:hAnsi="宋体"/>
          <w:color w:val="FF0000"/>
          <w:sz w:val="20"/>
          <w:szCs w:val="20"/>
          <w:highlight w:val="none"/>
          <w:lang w:eastAsia="zh-CN"/>
        </w:rPr>
        <w:t>。</w:t>
      </w:r>
      <w:r>
        <w:rPr>
          <w:rFonts w:hint="eastAsia" w:ascii="宋体" w:hAnsi="宋体"/>
          <w:color w:val="FF0000"/>
          <w:sz w:val="20"/>
          <w:szCs w:val="20"/>
          <w:highlight w:val="none"/>
        </w:rPr>
        <w:t>（四）不同投标供应商的投标文件或部分投标文件相互混装</w:t>
      </w:r>
      <w:r>
        <w:rPr>
          <w:rFonts w:hint="eastAsia" w:ascii="宋体" w:hAnsi="宋体"/>
          <w:color w:val="FF0000"/>
          <w:sz w:val="20"/>
          <w:szCs w:val="20"/>
          <w:highlight w:val="none"/>
          <w:lang w:eastAsia="zh-CN"/>
        </w:rPr>
        <w:t>。</w:t>
      </w:r>
      <w:r>
        <w:rPr>
          <w:rFonts w:hint="eastAsia" w:ascii="宋体" w:hAnsi="宋体"/>
          <w:color w:val="FF0000"/>
          <w:sz w:val="20"/>
          <w:szCs w:val="20"/>
          <w:highlight w:val="none"/>
        </w:rPr>
        <w:t>（五）不同投标供应商的投标文件内容存在非正常一致</w:t>
      </w:r>
      <w:r>
        <w:rPr>
          <w:rFonts w:hint="eastAsia" w:ascii="宋体" w:hAnsi="宋体"/>
          <w:color w:val="FF0000"/>
          <w:sz w:val="20"/>
          <w:szCs w:val="20"/>
          <w:highlight w:val="none"/>
          <w:lang w:eastAsia="zh-CN"/>
        </w:rPr>
        <w:t>。</w:t>
      </w:r>
      <w:r>
        <w:rPr>
          <w:rFonts w:hint="eastAsia" w:ascii="宋体" w:hAnsi="宋体"/>
          <w:color w:val="FF0000"/>
          <w:sz w:val="20"/>
          <w:szCs w:val="20"/>
          <w:highlight w:val="none"/>
        </w:rPr>
        <w:t>（六）由同一单位工作人员为两家以上（含两家）供应商进行同一项投标活动的</w:t>
      </w:r>
      <w:r>
        <w:rPr>
          <w:rFonts w:hint="eastAsia" w:ascii="宋体" w:hAnsi="宋体"/>
          <w:color w:val="FF0000"/>
          <w:sz w:val="20"/>
          <w:szCs w:val="20"/>
          <w:highlight w:val="none"/>
          <w:lang w:eastAsia="zh-CN"/>
        </w:rPr>
        <w:t>。</w:t>
      </w:r>
      <w:r>
        <w:rPr>
          <w:rFonts w:hint="eastAsia" w:ascii="宋体" w:hAnsi="宋体"/>
          <w:color w:val="FF0000"/>
          <w:sz w:val="20"/>
          <w:szCs w:val="20"/>
          <w:highlight w:val="none"/>
        </w:rPr>
        <w:t>（七）主管部门依照法律、法规认定的其他情形。</w:t>
      </w:r>
    </w:p>
    <w:p>
      <w:pPr>
        <w:ind w:firstLine="402" w:firstLineChars="200"/>
        <w:rPr>
          <w:rFonts w:ascii="宋体" w:hAnsi="宋体"/>
          <w:color w:val="FF0000"/>
          <w:sz w:val="20"/>
          <w:szCs w:val="20"/>
          <w:highlight w:val="none"/>
        </w:rPr>
      </w:pPr>
      <w:r>
        <w:rPr>
          <w:rFonts w:hint="eastAsia" w:ascii="宋体" w:hAnsi="宋体"/>
          <w:b/>
          <w:bCs/>
          <w:color w:val="FF0000"/>
          <w:sz w:val="20"/>
          <w:szCs w:val="20"/>
          <w:highlight w:val="none"/>
        </w:rPr>
        <w:t>三、《深圳经济特区政府采购条例实施细则》第七十七条</w:t>
      </w:r>
      <w:r>
        <w:rPr>
          <w:rFonts w:hint="eastAsia" w:ascii="宋体" w:hAnsi="宋体"/>
          <w:b/>
          <w:bCs/>
          <w:color w:val="FF0000"/>
          <w:sz w:val="20"/>
          <w:szCs w:val="20"/>
          <w:highlight w:val="none"/>
          <w:lang w:val="en-US" w:eastAsia="zh-CN"/>
        </w:rPr>
        <w:t xml:space="preserve"> </w:t>
      </w:r>
      <w:r>
        <w:rPr>
          <w:rFonts w:hint="eastAsia" w:ascii="宋体" w:hAnsi="宋体"/>
          <w:color w:val="FF0000"/>
          <w:sz w:val="20"/>
          <w:szCs w:val="20"/>
          <w:highlight w:val="none"/>
        </w:rPr>
        <w:t>供应商有下列情形之一的，属于隐瞒真实情况，提供虚假资料，按照采购条例第五十七</w:t>
      </w:r>
      <w:r>
        <w:rPr>
          <w:rFonts w:hint="eastAsia" w:ascii="宋体" w:hAnsi="宋体"/>
          <w:color w:val="FF0000"/>
          <w:sz w:val="20"/>
          <w:szCs w:val="20"/>
          <w:highlight w:val="none"/>
          <w:lang w:val="en-US" w:eastAsia="zh-CN"/>
        </w:rPr>
        <w:t>条</w:t>
      </w:r>
      <w:r>
        <w:rPr>
          <w:rFonts w:hint="eastAsia" w:ascii="宋体" w:hAnsi="宋体"/>
          <w:color w:val="FF0000"/>
          <w:sz w:val="20"/>
          <w:szCs w:val="20"/>
          <w:highlight w:val="none"/>
        </w:rPr>
        <w:t>的有关规定处理：（一）通过转让或者租借等方式从其他单位获取资格或者资质证书投标的</w:t>
      </w:r>
      <w:r>
        <w:rPr>
          <w:rFonts w:hint="eastAsia" w:ascii="宋体" w:hAnsi="宋体"/>
          <w:color w:val="FF0000"/>
          <w:sz w:val="20"/>
          <w:szCs w:val="20"/>
          <w:highlight w:val="none"/>
          <w:lang w:eastAsia="zh-CN"/>
        </w:rPr>
        <w:t>。</w:t>
      </w:r>
      <w:r>
        <w:rPr>
          <w:rFonts w:hint="eastAsia" w:ascii="宋体" w:hAnsi="宋体"/>
          <w:color w:val="FF0000"/>
          <w:sz w:val="20"/>
          <w:szCs w:val="20"/>
          <w:highlight w:val="none"/>
        </w:rPr>
        <w:t>（二）由其他单位或者其他单位负责人在投标供应商编制的投标文件上加盖印章或者签字的</w:t>
      </w:r>
      <w:r>
        <w:rPr>
          <w:rFonts w:hint="eastAsia" w:ascii="宋体" w:hAnsi="宋体"/>
          <w:color w:val="FF0000"/>
          <w:sz w:val="20"/>
          <w:szCs w:val="20"/>
          <w:highlight w:val="none"/>
          <w:lang w:eastAsia="zh-CN"/>
        </w:rPr>
        <w:t>。</w:t>
      </w:r>
      <w:r>
        <w:rPr>
          <w:rFonts w:hint="eastAsia" w:ascii="宋体" w:hAnsi="宋体"/>
          <w:color w:val="FF0000"/>
          <w:sz w:val="20"/>
          <w:szCs w:val="20"/>
          <w:highlight w:val="none"/>
        </w:rPr>
        <w:t>（三）项目负责人或者主要技术人员不是本单位人员的</w:t>
      </w:r>
      <w:r>
        <w:rPr>
          <w:rFonts w:hint="eastAsia" w:ascii="宋体" w:hAnsi="宋体"/>
          <w:color w:val="FF0000"/>
          <w:sz w:val="20"/>
          <w:szCs w:val="20"/>
          <w:highlight w:val="none"/>
          <w:lang w:eastAsia="zh-CN"/>
        </w:rPr>
        <w:t>。</w:t>
      </w:r>
      <w:r>
        <w:rPr>
          <w:rFonts w:hint="eastAsia" w:ascii="宋体" w:hAnsi="宋体"/>
          <w:color w:val="FF0000"/>
          <w:sz w:val="20"/>
          <w:szCs w:val="20"/>
          <w:highlight w:val="none"/>
        </w:rPr>
        <w:t>（四）投标保证金不是从投标供应商基本账户转出的</w:t>
      </w:r>
      <w:r>
        <w:rPr>
          <w:rFonts w:hint="eastAsia" w:ascii="宋体" w:hAnsi="宋体"/>
          <w:color w:val="FF0000"/>
          <w:sz w:val="20"/>
          <w:szCs w:val="20"/>
          <w:highlight w:val="none"/>
          <w:lang w:eastAsia="zh-CN"/>
        </w:rPr>
        <w:t>。</w:t>
      </w:r>
      <w:r>
        <w:rPr>
          <w:rFonts w:hint="eastAsia" w:ascii="宋体" w:hAnsi="宋体"/>
          <w:color w:val="FF0000"/>
          <w:sz w:val="20"/>
          <w:szCs w:val="20"/>
          <w:highlight w:val="none"/>
        </w:rPr>
        <w:t>（五）其他隐瞒真实情况、提供虚假资料的行为。</w:t>
      </w:r>
    </w:p>
    <w:p>
      <w:pPr>
        <w:ind w:firstLine="400" w:firstLineChars="200"/>
        <w:rPr>
          <w:rFonts w:ascii="宋体" w:hAnsi="宋体"/>
          <w:color w:val="FF0000"/>
          <w:sz w:val="20"/>
          <w:szCs w:val="20"/>
          <w:highlight w:val="none"/>
        </w:rPr>
      </w:pPr>
      <w:r>
        <w:rPr>
          <w:rFonts w:hint="eastAsia" w:ascii="宋体" w:hAnsi="宋体"/>
          <w:color w:val="FF0000"/>
          <w:sz w:val="20"/>
          <w:szCs w:val="20"/>
          <w:highlight w:val="none"/>
        </w:rPr>
        <w:t>投标供应商不能提供项目负责人或者主要技术人员的劳动合同、社会保险等劳动关系证明材料的，视为存在前款第（三）项规定的情形。</w:t>
      </w:r>
    </w:p>
    <w:p>
      <w:pPr>
        <w:ind w:firstLine="422" w:firstLineChars="200"/>
        <w:rPr>
          <w:rFonts w:hint="eastAsia"/>
          <w:b/>
          <w:color w:val="FF0000"/>
          <w:highlight w:val="none"/>
        </w:rPr>
      </w:pPr>
      <w:r>
        <w:rPr>
          <w:rFonts w:hint="eastAsia"/>
          <w:b/>
          <w:color w:val="FF0000"/>
          <w:highlight w:val="none"/>
        </w:rPr>
        <w:t>四、请投标供应商阅读《政府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pPr>
        <w:ind w:firstLine="400" w:firstLineChars="200"/>
        <w:rPr>
          <w:rFonts w:ascii="宋体" w:hAnsi="宋体"/>
          <w:color w:val="FF0000"/>
          <w:sz w:val="20"/>
          <w:szCs w:val="20"/>
          <w:highlight w:val="none"/>
        </w:rPr>
        <w:sectPr>
          <w:pgSz w:w="11907" w:h="16840"/>
          <w:pgMar w:top="1440" w:right="1797" w:bottom="1440" w:left="1797" w:header="851" w:footer="992" w:gutter="0"/>
          <w:cols w:space="425" w:num="1"/>
          <w:titlePg/>
          <w:docGrid w:linePitch="462" w:charSpace="0"/>
        </w:sectPr>
      </w:pPr>
    </w:p>
    <w:p>
      <w:pPr>
        <w:pStyle w:val="4"/>
        <w:rPr>
          <w:highlight w:val="none"/>
        </w:rPr>
      </w:pPr>
      <w:r>
        <w:rPr>
          <w:rFonts w:hint="eastAsia"/>
          <w:highlight w:val="none"/>
        </w:rPr>
        <w:t>目   录</w:t>
      </w:r>
    </w:p>
    <w:p>
      <w:pPr>
        <w:outlineLvl w:val="0"/>
        <w:rPr>
          <w:b/>
          <w:sz w:val="24"/>
          <w:highlight w:val="none"/>
        </w:rPr>
      </w:pPr>
      <w:r>
        <w:rPr>
          <w:rFonts w:hint="eastAsia"/>
          <w:b/>
          <w:sz w:val="24"/>
          <w:highlight w:val="none"/>
        </w:rPr>
        <w:t>第一册  专用条款</w:t>
      </w:r>
    </w:p>
    <w:p>
      <w:pPr>
        <w:ind w:firstLine="960" w:firstLineChars="400"/>
        <w:rPr>
          <w:sz w:val="24"/>
          <w:highlight w:val="none"/>
        </w:rPr>
      </w:pPr>
      <w:r>
        <w:rPr>
          <w:rFonts w:hint="eastAsia"/>
          <w:sz w:val="24"/>
          <w:highlight w:val="none"/>
        </w:rPr>
        <w:t>关键信息</w:t>
      </w:r>
    </w:p>
    <w:p>
      <w:pPr>
        <w:ind w:left="630" w:leftChars="300" w:firstLine="630" w:firstLineChars="300"/>
        <w:rPr>
          <w:rFonts w:ascii="宋体" w:hAnsi="宋体"/>
          <w:szCs w:val="21"/>
          <w:highlight w:val="none"/>
        </w:rPr>
      </w:pPr>
      <w:r>
        <w:rPr>
          <w:rFonts w:hint="eastAsia" w:ascii="宋体" w:hAnsi="宋体"/>
          <w:szCs w:val="21"/>
          <w:highlight w:val="none"/>
        </w:rPr>
        <w:t>第一章  招标公告</w:t>
      </w:r>
    </w:p>
    <w:p>
      <w:pPr>
        <w:ind w:left="630" w:leftChars="300" w:firstLine="630" w:firstLineChars="300"/>
        <w:rPr>
          <w:rFonts w:ascii="宋体" w:hAnsi="宋体"/>
          <w:szCs w:val="21"/>
          <w:highlight w:val="none"/>
        </w:rPr>
      </w:pPr>
      <w:r>
        <w:rPr>
          <w:rFonts w:hint="eastAsia" w:ascii="宋体" w:hAnsi="宋体"/>
          <w:szCs w:val="21"/>
          <w:highlight w:val="none"/>
        </w:rPr>
        <w:t xml:space="preserve">第二章  </w:t>
      </w:r>
      <w:bookmarkStart w:id="1" w:name="_Hlk71994379"/>
      <w:r>
        <w:rPr>
          <w:rFonts w:hint="eastAsia" w:ascii="宋体" w:hAnsi="宋体"/>
          <w:szCs w:val="21"/>
          <w:highlight w:val="none"/>
        </w:rPr>
        <w:t>对通用条款的补充内容及其他关键信息</w:t>
      </w:r>
      <w:bookmarkEnd w:id="1"/>
    </w:p>
    <w:p>
      <w:pPr>
        <w:ind w:left="630" w:leftChars="300" w:firstLine="630" w:firstLineChars="300"/>
        <w:rPr>
          <w:rFonts w:ascii="宋体" w:hAnsi="宋体"/>
          <w:szCs w:val="21"/>
          <w:highlight w:val="none"/>
        </w:rPr>
      </w:pPr>
      <w:r>
        <w:rPr>
          <w:rFonts w:hint="eastAsia" w:ascii="宋体" w:hAnsi="宋体"/>
          <w:szCs w:val="21"/>
          <w:highlight w:val="none"/>
        </w:rPr>
        <w:t xml:space="preserve">第三章 </w:t>
      </w:r>
      <w:r>
        <w:rPr>
          <w:rFonts w:ascii="宋体" w:hAnsi="宋体"/>
          <w:szCs w:val="21"/>
          <w:highlight w:val="none"/>
        </w:rPr>
        <w:t xml:space="preserve"> </w:t>
      </w:r>
      <w:r>
        <w:rPr>
          <w:rFonts w:hint="eastAsia" w:ascii="宋体" w:hAnsi="宋体"/>
          <w:szCs w:val="21"/>
          <w:highlight w:val="none"/>
        </w:rPr>
        <w:t>用户需求书</w:t>
      </w:r>
    </w:p>
    <w:p>
      <w:pPr>
        <w:ind w:left="630" w:leftChars="300" w:firstLine="630" w:firstLineChars="300"/>
        <w:rPr>
          <w:rFonts w:ascii="宋体" w:hAnsi="宋体"/>
          <w:szCs w:val="21"/>
          <w:highlight w:val="none"/>
        </w:rPr>
      </w:pPr>
      <w:r>
        <w:rPr>
          <w:rFonts w:hint="eastAsia" w:ascii="宋体" w:hAnsi="宋体"/>
          <w:szCs w:val="21"/>
          <w:highlight w:val="none"/>
        </w:rPr>
        <w:t xml:space="preserve">第四章 </w:t>
      </w:r>
      <w:r>
        <w:rPr>
          <w:rFonts w:ascii="宋体" w:hAnsi="宋体"/>
          <w:szCs w:val="21"/>
          <w:highlight w:val="none"/>
        </w:rPr>
        <w:t xml:space="preserve"> </w:t>
      </w:r>
      <w:r>
        <w:rPr>
          <w:rFonts w:hint="eastAsia" w:ascii="宋体" w:hAnsi="宋体"/>
          <w:szCs w:val="21"/>
          <w:highlight w:val="none"/>
        </w:rPr>
        <w:t>投标文件组成要求及格式</w:t>
      </w:r>
    </w:p>
    <w:p>
      <w:pPr>
        <w:ind w:left="630" w:leftChars="300" w:firstLine="630" w:firstLineChars="300"/>
        <w:rPr>
          <w:rFonts w:ascii="宋体" w:hAnsi="宋体"/>
          <w:szCs w:val="21"/>
          <w:highlight w:val="none"/>
        </w:rPr>
      </w:pPr>
      <w:r>
        <w:rPr>
          <w:rFonts w:hint="eastAsia" w:ascii="宋体" w:hAnsi="宋体"/>
          <w:szCs w:val="21"/>
          <w:highlight w:val="none"/>
        </w:rPr>
        <w:t>第五章  合同条款及格式</w:t>
      </w:r>
    </w:p>
    <w:p>
      <w:pPr>
        <w:rPr>
          <w:b/>
          <w:sz w:val="24"/>
          <w:highlight w:val="none"/>
        </w:rPr>
      </w:pPr>
    </w:p>
    <w:p>
      <w:pPr>
        <w:outlineLvl w:val="0"/>
        <w:rPr>
          <w:b/>
          <w:sz w:val="24"/>
          <w:highlight w:val="none"/>
        </w:rPr>
      </w:pPr>
      <w:r>
        <w:rPr>
          <w:rFonts w:hint="eastAsia"/>
          <w:b/>
          <w:sz w:val="24"/>
          <w:highlight w:val="none"/>
        </w:rPr>
        <w:t>第二册  通用条款</w:t>
      </w:r>
    </w:p>
    <w:p>
      <w:pPr>
        <w:ind w:left="630" w:leftChars="300" w:firstLine="411" w:firstLineChars="196"/>
        <w:rPr>
          <w:rFonts w:ascii="宋体" w:hAnsi="宋体"/>
          <w:szCs w:val="21"/>
          <w:highlight w:val="none"/>
        </w:rPr>
      </w:pPr>
      <w:r>
        <w:rPr>
          <w:rFonts w:hint="eastAsia" w:ascii="宋体" w:hAnsi="宋体"/>
          <w:szCs w:val="21"/>
          <w:highlight w:val="none"/>
        </w:rPr>
        <w:t>第一章  总则</w:t>
      </w:r>
    </w:p>
    <w:p>
      <w:pPr>
        <w:ind w:left="630" w:leftChars="300" w:firstLine="411" w:firstLineChars="196"/>
        <w:rPr>
          <w:rFonts w:ascii="宋体" w:hAnsi="宋体"/>
          <w:szCs w:val="21"/>
          <w:highlight w:val="none"/>
        </w:rPr>
      </w:pPr>
      <w:r>
        <w:rPr>
          <w:rFonts w:hint="eastAsia" w:ascii="宋体" w:hAnsi="宋体"/>
          <w:szCs w:val="21"/>
          <w:highlight w:val="none"/>
        </w:rPr>
        <w:t>第二章  招标文件</w:t>
      </w:r>
    </w:p>
    <w:p>
      <w:pPr>
        <w:ind w:left="630" w:leftChars="300" w:firstLine="411" w:firstLineChars="196"/>
        <w:rPr>
          <w:rFonts w:ascii="宋体" w:hAnsi="宋体"/>
          <w:szCs w:val="21"/>
          <w:highlight w:val="none"/>
        </w:rPr>
      </w:pPr>
      <w:r>
        <w:rPr>
          <w:rFonts w:hint="eastAsia" w:ascii="宋体" w:hAnsi="宋体"/>
          <w:szCs w:val="21"/>
          <w:highlight w:val="none"/>
        </w:rPr>
        <w:t>第三章  投标文件的编制</w:t>
      </w:r>
    </w:p>
    <w:p>
      <w:pPr>
        <w:ind w:left="630" w:leftChars="300" w:firstLine="411" w:firstLineChars="196"/>
        <w:rPr>
          <w:rFonts w:ascii="宋体" w:hAnsi="宋体"/>
          <w:szCs w:val="21"/>
          <w:highlight w:val="none"/>
        </w:rPr>
      </w:pPr>
      <w:r>
        <w:rPr>
          <w:rFonts w:hint="eastAsia" w:ascii="宋体" w:hAnsi="宋体"/>
          <w:szCs w:val="21"/>
          <w:highlight w:val="none"/>
        </w:rPr>
        <w:t>第四章  投标文件的递交</w:t>
      </w:r>
    </w:p>
    <w:p>
      <w:pPr>
        <w:ind w:left="630" w:leftChars="300" w:firstLine="411" w:firstLineChars="196"/>
        <w:rPr>
          <w:rFonts w:ascii="宋体" w:hAnsi="宋体"/>
          <w:szCs w:val="21"/>
          <w:highlight w:val="none"/>
        </w:rPr>
      </w:pPr>
      <w:r>
        <w:rPr>
          <w:rFonts w:hint="eastAsia" w:ascii="宋体" w:hAnsi="宋体"/>
          <w:szCs w:val="21"/>
          <w:highlight w:val="none"/>
        </w:rPr>
        <w:t>第五章  开标</w:t>
      </w:r>
    </w:p>
    <w:p>
      <w:pPr>
        <w:ind w:left="630" w:leftChars="300" w:firstLine="411" w:firstLineChars="196"/>
        <w:rPr>
          <w:rFonts w:ascii="宋体" w:hAnsi="宋体"/>
          <w:szCs w:val="21"/>
          <w:highlight w:val="none"/>
        </w:rPr>
      </w:pPr>
      <w:r>
        <w:rPr>
          <w:rFonts w:hint="eastAsia" w:ascii="宋体" w:hAnsi="宋体"/>
          <w:szCs w:val="21"/>
          <w:highlight w:val="none"/>
        </w:rPr>
        <w:t>第六章  评审要求</w:t>
      </w:r>
    </w:p>
    <w:p>
      <w:pPr>
        <w:ind w:left="630" w:leftChars="300" w:firstLine="411" w:firstLineChars="196"/>
        <w:rPr>
          <w:rFonts w:ascii="宋体" w:hAnsi="宋体"/>
          <w:szCs w:val="21"/>
          <w:highlight w:val="none"/>
        </w:rPr>
      </w:pPr>
      <w:r>
        <w:rPr>
          <w:rFonts w:hint="eastAsia" w:ascii="宋体" w:hAnsi="宋体"/>
          <w:szCs w:val="21"/>
          <w:highlight w:val="none"/>
        </w:rPr>
        <w:t>第七章  评审程序及评审方法</w:t>
      </w:r>
    </w:p>
    <w:p>
      <w:pPr>
        <w:ind w:left="630" w:leftChars="300" w:firstLine="411" w:firstLineChars="196"/>
        <w:rPr>
          <w:rFonts w:ascii="宋体" w:hAnsi="宋体"/>
          <w:szCs w:val="21"/>
          <w:highlight w:val="none"/>
        </w:rPr>
      </w:pPr>
      <w:r>
        <w:rPr>
          <w:rFonts w:hint="eastAsia" w:ascii="宋体" w:hAnsi="宋体"/>
          <w:szCs w:val="21"/>
          <w:highlight w:val="none"/>
        </w:rPr>
        <w:t>第八章  定标及公示</w:t>
      </w:r>
    </w:p>
    <w:p>
      <w:pPr>
        <w:ind w:left="630" w:leftChars="300" w:firstLine="411" w:firstLineChars="196"/>
        <w:rPr>
          <w:rFonts w:ascii="宋体" w:hAnsi="宋体"/>
          <w:szCs w:val="21"/>
          <w:highlight w:val="none"/>
        </w:rPr>
      </w:pPr>
      <w:r>
        <w:rPr>
          <w:rFonts w:hint="eastAsia" w:ascii="宋体" w:hAnsi="宋体"/>
          <w:szCs w:val="21"/>
          <w:highlight w:val="none"/>
        </w:rPr>
        <w:t>第九章  公开招标失败的后续处理</w:t>
      </w:r>
    </w:p>
    <w:p>
      <w:pPr>
        <w:ind w:left="630" w:leftChars="300" w:firstLine="411" w:firstLineChars="196"/>
        <w:rPr>
          <w:rFonts w:ascii="宋体" w:hAnsi="宋体"/>
          <w:szCs w:val="21"/>
          <w:highlight w:val="none"/>
        </w:rPr>
      </w:pPr>
      <w:r>
        <w:rPr>
          <w:rFonts w:hint="eastAsia" w:ascii="宋体" w:hAnsi="宋体"/>
          <w:szCs w:val="21"/>
          <w:highlight w:val="none"/>
        </w:rPr>
        <w:t>第十章  合同的授予与备案</w:t>
      </w:r>
    </w:p>
    <w:p>
      <w:pPr>
        <w:ind w:firstLine="1050" w:firstLineChars="500"/>
        <w:outlineLvl w:val="0"/>
        <w:rPr>
          <w:b/>
          <w:sz w:val="24"/>
          <w:highlight w:val="none"/>
        </w:rPr>
      </w:pPr>
      <w:r>
        <w:rPr>
          <w:rFonts w:hint="eastAsia" w:ascii="宋体" w:hAnsi="宋体"/>
          <w:szCs w:val="21"/>
          <w:highlight w:val="none"/>
        </w:rPr>
        <w:t>第十一章  质疑处理</w:t>
      </w:r>
    </w:p>
    <w:p>
      <w:pPr>
        <w:spacing w:line="360" w:lineRule="auto"/>
        <w:ind w:firstLine="420" w:firstLineChars="200"/>
        <w:jc w:val="left"/>
        <w:rPr>
          <w:rFonts w:ascii="宋体" w:hAnsi="宋体"/>
          <w:szCs w:val="21"/>
          <w:highlight w:val="none"/>
        </w:rPr>
      </w:pPr>
    </w:p>
    <w:p>
      <w:pPr>
        <w:pStyle w:val="4"/>
        <w:rPr>
          <w:sz w:val="24"/>
          <w:highlight w:val="none"/>
        </w:rPr>
      </w:pPr>
      <w:r>
        <w:rPr>
          <w:highlight w:val="none"/>
        </w:rPr>
        <w:br w:type="page"/>
      </w:r>
      <w:bookmarkStart w:id="2" w:name="bt合同条款"/>
      <w:bookmarkEnd w:id="2"/>
      <w:bookmarkStart w:id="3" w:name="bt其他资料由投标人自定"/>
      <w:bookmarkEnd w:id="3"/>
      <w:bookmarkStart w:id="4" w:name="bt投标函"/>
      <w:bookmarkEnd w:id="4"/>
      <w:bookmarkStart w:id="5" w:name="bt项目管理班子配备情况"/>
      <w:bookmarkEnd w:id="5"/>
      <w:bookmarkStart w:id="6" w:name="bt投标文件签署授权委托书"/>
      <w:bookmarkEnd w:id="6"/>
      <w:bookmarkStart w:id="7" w:name="bt技术标投标文件格式"/>
      <w:bookmarkEnd w:id="7"/>
      <w:bookmarkStart w:id="8" w:name="bt合同格式"/>
      <w:bookmarkEnd w:id="8"/>
      <w:bookmarkStart w:id="9" w:name="bt本工程承诺书"/>
      <w:bookmarkEnd w:id="9"/>
      <w:bookmarkStart w:id="10" w:name="bt说明"/>
      <w:bookmarkEnd w:id="10"/>
      <w:bookmarkStart w:id="11" w:name="bt投标报价汇总表"/>
      <w:bookmarkEnd w:id="11"/>
      <w:bookmarkStart w:id="12" w:name="合同格式"/>
      <w:bookmarkEnd w:id="12"/>
      <w:bookmarkStart w:id="13" w:name="bt其他资料2"/>
      <w:bookmarkEnd w:id="13"/>
      <w:bookmarkStart w:id="14" w:name="bt开标一览表"/>
      <w:bookmarkEnd w:id="14"/>
      <w:bookmarkStart w:id="15" w:name="bt投标人情况介绍"/>
      <w:bookmarkEnd w:id="15"/>
      <w:bookmarkStart w:id="16" w:name="bt商务标投标文件格式"/>
      <w:bookmarkEnd w:id="16"/>
      <w:bookmarkStart w:id="17" w:name="bt合同条款及格式"/>
      <w:bookmarkEnd w:id="17"/>
      <w:bookmarkStart w:id="18" w:name="bt投标人须知"/>
      <w:bookmarkEnd w:id="18"/>
      <w:r>
        <w:rPr>
          <w:rFonts w:hint="eastAsia"/>
          <w:highlight w:val="none"/>
        </w:rPr>
        <w:t>第一册</w:t>
      </w:r>
      <w:r>
        <w:rPr>
          <w:rFonts w:hint="eastAsia"/>
          <w:highlight w:val="none"/>
          <w:lang w:val="en-US" w:eastAsia="zh-CN"/>
        </w:rPr>
        <w:t xml:space="preserve">  </w:t>
      </w:r>
      <w:r>
        <w:rPr>
          <w:rFonts w:hint="eastAsia"/>
          <w:highlight w:val="none"/>
        </w:rPr>
        <w:t>专用条款</w:t>
      </w:r>
    </w:p>
    <w:p>
      <w:pPr>
        <w:pStyle w:val="7"/>
        <w:rPr>
          <w:rFonts w:hint="eastAsia"/>
          <w:sz w:val="28"/>
          <w:szCs w:val="28"/>
          <w:highlight w:val="none"/>
        </w:rPr>
      </w:pPr>
      <w:r>
        <w:rPr>
          <w:rFonts w:hint="eastAsia"/>
          <w:sz w:val="28"/>
          <w:szCs w:val="28"/>
          <w:highlight w:val="none"/>
        </w:rPr>
        <w:t>第一章  招标公告</w:t>
      </w:r>
    </w:p>
    <w:tbl>
      <w:tblPr>
        <w:tblStyle w:val="42"/>
        <w:tblW w:w="8147" w:type="dxa"/>
        <w:jc w:val="center"/>
        <w:tblCellSpacing w:w="0" w:type="dxa"/>
        <w:tblLayout w:type="fixed"/>
        <w:tblCellMar>
          <w:top w:w="0" w:type="dxa"/>
          <w:left w:w="0" w:type="dxa"/>
          <w:bottom w:w="0" w:type="dxa"/>
          <w:right w:w="0" w:type="dxa"/>
        </w:tblCellMar>
      </w:tblPr>
      <w:tblGrid>
        <w:gridCol w:w="8147"/>
      </w:tblGrid>
      <w:tr>
        <w:tblPrEx>
          <w:tblCellMar>
            <w:top w:w="0" w:type="dxa"/>
            <w:left w:w="0" w:type="dxa"/>
            <w:bottom w:w="0" w:type="dxa"/>
            <w:right w:w="0" w:type="dxa"/>
          </w:tblCellMar>
        </w:tblPrEx>
        <w:trPr>
          <w:tblCellSpacing w:w="0" w:type="dxa"/>
          <w:jc w:val="center"/>
        </w:trPr>
        <w:tc>
          <w:tcPr>
            <w:tcW w:w="8147" w:type="dxa"/>
            <w:vAlign w:val="center"/>
          </w:tcPr>
          <w:tbl>
            <w:tblPr>
              <w:tblStyle w:val="42"/>
              <w:tblW w:w="8147" w:type="dxa"/>
              <w:jc w:val="center"/>
              <w:tblCellSpacing w:w="0" w:type="dxa"/>
              <w:tblLayout w:type="fixed"/>
              <w:tblCellMar>
                <w:top w:w="30" w:type="dxa"/>
                <w:left w:w="30" w:type="dxa"/>
                <w:bottom w:w="30" w:type="dxa"/>
                <w:right w:w="30" w:type="dxa"/>
              </w:tblCellMar>
            </w:tblPr>
            <w:tblGrid>
              <w:gridCol w:w="8147"/>
            </w:tblGrid>
            <w:tr>
              <w:trPr>
                <w:tblCellSpacing w:w="0" w:type="dxa"/>
                <w:jc w:val="center"/>
              </w:trPr>
              <w:tc>
                <w:tcPr>
                  <w:tcW w:w="8147" w:type="dxa"/>
                </w:tcPr>
                <w:p>
                  <w:pPr>
                    <w:spacing w:line="360" w:lineRule="auto"/>
                    <w:rPr>
                      <w:rFonts w:ascii="宋体" w:hAnsi="宋体" w:cs="宋体"/>
                      <w:b/>
                      <w:bCs/>
                      <w:kern w:val="0"/>
                      <w:szCs w:val="21"/>
                      <w:highlight w:val="none"/>
                    </w:rPr>
                  </w:pPr>
                  <w:r>
                    <w:rPr>
                      <w:rFonts w:hint="eastAsia" w:ascii="宋体" w:hAnsi="宋体" w:cs="宋体"/>
                      <w:b/>
                      <w:bCs/>
                      <w:kern w:val="0"/>
                      <w:szCs w:val="21"/>
                      <w:highlight w:val="none"/>
                    </w:rPr>
                    <w:t>申请人的资格要求：</w:t>
                  </w:r>
                </w:p>
                <w:p>
                  <w:pPr>
                    <w:ind w:firstLine="630" w:firstLineChars="300"/>
                    <w:rPr>
                      <w:rFonts w:hint="eastAsia" w:ascii="宋体" w:hAnsi="宋体" w:eastAsia="宋体" w:cs="宋体"/>
                      <w:kern w:val="0"/>
                      <w:szCs w:val="21"/>
                      <w:highlight w:val="none"/>
                      <w:lang w:eastAsia="zh-CN"/>
                    </w:rPr>
                  </w:pPr>
                  <w:r>
                    <w:rPr>
                      <w:rFonts w:hint="eastAsia" w:ascii="宋体" w:hAnsi="宋体" w:cs="宋体"/>
                      <w:kern w:val="0"/>
                      <w:szCs w:val="21"/>
                      <w:highlight w:val="none"/>
                    </w:rPr>
                    <w:t>1</w:t>
                  </w:r>
                  <w:r>
                    <w:rPr>
                      <w:rFonts w:ascii="宋体" w:hAnsi="宋体" w:cs="宋体"/>
                      <w:kern w:val="0"/>
                      <w:szCs w:val="21"/>
                      <w:highlight w:val="none"/>
                    </w:rPr>
                    <w:t>.</w:t>
                  </w:r>
                  <w:r>
                    <w:rPr>
                      <w:rFonts w:hint="eastAsia" w:ascii="宋体" w:hAnsi="宋体" w:cs="宋体"/>
                      <w:kern w:val="0"/>
                      <w:szCs w:val="21"/>
                      <w:highlight w:val="none"/>
                    </w:rPr>
                    <w:t>具有独立承担民事责任的能力（提供营业执照或事业单位法人证书等证明资料扫描件，原件备查，分支机构参与投标的，须同时提供总公司授权文件且授权书载明其民事责任由总公司承担）</w:t>
                  </w:r>
                  <w:r>
                    <w:rPr>
                      <w:rFonts w:hint="eastAsia" w:eastAsia="宋体"/>
                      <w:highlight w:val="none"/>
                      <w:lang w:eastAsia="zh-CN"/>
                    </w:rPr>
                    <w:t>；</w:t>
                  </w:r>
                </w:p>
                <w:p>
                  <w:pPr>
                    <w:ind w:firstLine="630" w:firstLineChars="300"/>
                    <w:rPr>
                      <w:rFonts w:hint="eastAsia" w:ascii="宋体" w:hAnsi="宋体" w:cs="宋体"/>
                      <w:color w:val="FF0000"/>
                      <w:kern w:val="0"/>
                      <w:szCs w:val="21"/>
                      <w:highlight w:val="none"/>
                      <w:lang w:eastAsia="zh-CN"/>
                    </w:rPr>
                  </w:pPr>
                  <w:r>
                    <w:rPr>
                      <w:rFonts w:hint="eastAsia" w:ascii="宋体" w:hAnsi="宋体" w:cs="宋体"/>
                      <w:color w:val="FF0000"/>
                      <w:kern w:val="0"/>
                      <w:szCs w:val="21"/>
                      <w:highlight w:val="none"/>
                    </w:rPr>
                    <w:t>2.本项目不接受联合体投标（由供应商在《政府采购投标及履约承诺函》中作出声明），是否接受投标人选用进口产品参与投标详见招标文件“货物需求明细”表</w:t>
                  </w:r>
                  <w:r>
                    <w:rPr>
                      <w:rFonts w:hint="eastAsia" w:ascii="宋体" w:hAnsi="宋体" w:cs="宋体"/>
                      <w:color w:val="FF0000"/>
                      <w:kern w:val="0"/>
                      <w:szCs w:val="21"/>
                      <w:highlight w:val="none"/>
                      <w:lang w:eastAsia="zh-CN"/>
                    </w:rPr>
                    <w:t>；</w:t>
                  </w:r>
                </w:p>
                <w:p>
                  <w:pPr>
                    <w:ind w:firstLine="630" w:firstLineChars="300"/>
                    <w:rPr>
                      <w:rFonts w:ascii="宋体" w:hAnsi="宋体" w:cs="宋体"/>
                      <w:kern w:val="0"/>
                      <w:szCs w:val="21"/>
                      <w:highlight w:val="none"/>
                    </w:rPr>
                  </w:pPr>
                  <w:r>
                    <w:rPr>
                      <w:rFonts w:hint="eastAsia" w:ascii="宋体" w:hAnsi="宋体" w:cs="宋体"/>
                      <w:kern w:val="0"/>
                      <w:szCs w:val="21"/>
                      <w:highlight w:val="none"/>
                    </w:rPr>
                    <w:t>3</w:t>
                  </w:r>
                  <w:r>
                    <w:rPr>
                      <w:rFonts w:ascii="宋体" w:hAnsi="宋体" w:cs="宋体"/>
                      <w:kern w:val="0"/>
                      <w:szCs w:val="21"/>
                      <w:highlight w:val="none"/>
                    </w:rPr>
                    <w:t>.</w:t>
                  </w:r>
                  <w:r>
                    <w:rPr>
                      <w:rFonts w:hint="eastAsia" w:ascii="宋体" w:hAnsi="宋体" w:cs="宋体"/>
                      <w:kern w:val="0"/>
                      <w:szCs w:val="21"/>
                      <w:highlight w:val="none"/>
                    </w:rPr>
                    <w:t>参与本项目政府采购活动时不存在被有关部门禁止参与政府采购活动且在有效期内的情况（由供应商在《政府采购投标及履约承诺函》中作出声明）；</w:t>
                  </w:r>
                </w:p>
                <w:p>
                  <w:pPr>
                    <w:ind w:firstLine="630" w:firstLineChars="300"/>
                    <w:rPr>
                      <w:rFonts w:ascii="宋体" w:hAnsi="宋体" w:cs="宋体"/>
                      <w:kern w:val="0"/>
                      <w:szCs w:val="21"/>
                      <w:highlight w:val="none"/>
                    </w:rPr>
                  </w:pPr>
                  <w:r>
                    <w:rPr>
                      <w:rFonts w:hint="eastAsia" w:ascii="宋体" w:hAnsi="宋体" w:cs="宋体"/>
                      <w:kern w:val="0"/>
                      <w:szCs w:val="21"/>
                      <w:highlight w:val="none"/>
                      <w:lang w:val="en-US" w:eastAsia="zh-CN"/>
                    </w:rPr>
                    <w:t>4</w:t>
                  </w:r>
                  <w:r>
                    <w:rPr>
                      <w:rFonts w:ascii="宋体" w:hAnsi="宋体" w:cs="宋体"/>
                      <w:kern w:val="0"/>
                      <w:szCs w:val="21"/>
                      <w:highlight w:val="none"/>
                    </w:rPr>
                    <w:t>.</w:t>
                  </w:r>
                  <w:r>
                    <w:rPr>
                      <w:rFonts w:hint="eastAsia" w:ascii="宋体" w:hAnsi="宋体" w:cs="宋体"/>
                      <w:kern w:val="0"/>
                      <w:szCs w:val="21"/>
                      <w:highlight w:val="none"/>
                    </w:rPr>
                    <w:t>具备《中华人民共和国政府采购法》第二十二条第一款的条件（由供应商在《政府采购投标及履约承诺函》中作出声明）；</w:t>
                  </w:r>
                </w:p>
                <w:p>
                  <w:pPr>
                    <w:ind w:firstLine="630" w:firstLineChars="300"/>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5</w:t>
                  </w:r>
                  <w:r>
                    <w:rPr>
                      <w:rFonts w:ascii="宋体" w:hAnsi="宋体" w:cs="宋体"/>
                      <w:kern w:val="0"/>
                      <w:szCs w:val="21"/>
                      <w:highlight w:val="none"/>
                    </w:rPr>
                    <w:t>.</w:t>
                  </w:r>
                  <w:r>
                    <w:rPr>
                      <w:rFonts w:hint="eastAsia" w:ascii="宋体" w:hAnsi="宋体" w:cs="宋体"/>
                      <w:kern w:val="0"/>
                      <w:szCs w:val="21"/>
                      <w:highlight w:val="none"/>
                    </w:rPr>
                    <w:t>未被列入失信被执行人、重大税收违法案件当事人名单、政府采购严重违法失信行为记录名单（由供应商在《政府采购投标及履约承诺函》中作出声明）</w:t>
                  </w:r>
                  <w:r>
                    <w:rPr>
                      <w:rFonts w:hint="eastAsia" w:ascii="宋体" w:hAnsi="宋体" w:cs="宋体"/>
                      <w:kern w:val="0"/>
                      <w:szCs w:val="21"/>
                      <w:highlight w:val="none"/>
                      <w:lang w:val="en-US" w:eastAsia="zh-CN"/>
                    </w:rPr>
                    <w:t>；</w:t>
                  </w:r>
                </w:p>
                <w:p>
                  <w:pPr>
                    <w:ind w:firstLine="630" w:firstLineChars="300"/>
                    <w:rPr>
                      <w:rFonts w:hint="default" w:ascii="宋体" w:hAnsi="宋体" w:cs="宋体"/>
                      <w:color w:val="FF0000"/>
                      <w:kern w:val="0"/>
                      <w:szCs w:val="21"/>
                      <w:highlight w:val="none"/>
                      <w:lang w:val="en-US" w:eastAsia="zh-CN"/>
                    </w:rPr>
                  </w:pPr>
                  <w:r>
                    <w:rPr>
                      <w:rFonts w:hint="eastAsia" w:ascii="宋体" w:hAnsi="宋体" w:cs="宋体"/>
                      <w:color w:val="FF0000"/>
                      <w:kern w:val="0"/>
                      <w:szCs w:val="21"/>
                      <w:highlight w:val="none"/>
                      <w:lang w:val="en-US" w:eastAsia="zh-CN"/>
                    </w:rPr>
                    <w:t>6.不存在《深圳市财政局政府采购供应商信用信息管理办法》（深财规〔2023〕3号）列明的严重违法失信行为</w:t>
                  </w:r>
                  <w:r>
                    <w:rPr>
                      <w:rFonts w:hint="eastAsia" w:ascii="宋体" w:hAnsi="宋体" w:cs="宋体"/>
                      <w:color w:val="FF0000"/>
                      <w:kern w:val="0"/>
                      <w:szCs w:val="21"/>
                      <w:highlight w:val="none"/>
                    </w:rPr>
                    <w:t>（由供应商在《政府采购投标及履约承诺函》中作出声明）</w:t>
                  </w:r>
                  <w:r>
                    <w:rPr>
                      <w:rFonts w:hint="eastAsia" w:ascii="宋体" w:hAnsi="宋体" w:cs="宋体"/>
                      <w:color w:val="FF0000"/>
                      <w:kern w:val="0"/>
                      <w:szCs w:val="21"/>
                      <w:highlight w:val="none"/>
                      <w:lang w:eastAsia="zh-CN"/>
                    </w:rPr>
                    <w:t>；</w:t>
                  </w:r>
                  <w:r>
                    <w:rPr>
                      <w:rFonts w:hint="eastAsia" w:ascii="宋体" w:hAnsi="宋体" w:cs="宋体"/>
                      <w:color w:val="FF0000"/>
                      <w:kern w:val="0"/>
                      <w:szCs w:val="21"/>
                      <w:highlight w:val="none"/>
                      <w:lang w:val="en-US" w:eastAsia="zh-CN"/>
                    </w:rPr>
                    <w:t>;</w:t>
                  </w:r>
                </w:p>
                <w:p>
                  <w:pPr>
                    <w:ind w:firstLine="630" w:firstLineChars="300"/>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7</w:t>
                  </w:r>
                  <w:r>
                    <w:rPr>
                      <w:rFonts w:hint="eastAsia" w:ascii="宋体" w:hAnsi="宋体" w:cs="宋体"/>
                      <w:kern w:val="0"/>
                      <w:szCs w:val="21"/>
                      <w:highlight w:val="none"/>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r>
                    <w:rPr>
                      <w:rFonts w:hint="eastAsia" w:ascii="宋体" w:hAnsi="宋体" w:cs="宋体"/>
                      <w:kern w:val="0"/>
                      <w:szCs w:val="21"/>
                      <w:highlight w:val="none"/>
                      <w:lang w:val="en-US" w:eastAsia="zh-CN"/>
                    </w:rPr>
                    <w:t>；</w:t>
                  </w:r>
                </w:p>
                <w:p>
                  <w:pPr>
                    <w:ind w:firstLine="630" w:firstLineChars="300"/>
                    <w:rPr>
                      <w:rFonts w:ascii="宋体" w:hAnsi="宋体" w:cs="宋体"/>
                      <w:b/>
                      <w:bCs/>
                      <w:kern w:val="0"/>
                      <w:szCs w:val="21"/>
                      <w:highlight w:val="none"/>
                    </w:rPr>
                  </w:pPr>
                  <w:r>
                    <w:rPr>
                      <w:rFonts w:hint="eastAsia" w:ascii="宋体" w:hAnsi="宋体" w:cs="宋体"/>
                      <w:kern w:val="0"/>
                      <w:szCs w:val="21"/>
                      <w:highlight w:val="none"/>
                      <w:lang w:val="en-US" w:eastAsia="zh-CN"/>
                    </w:rPr>
                    <w:t>8</w:t>
                  </w:r>
                  <w:r>
                    <w:rPr>
                      <w:rFonts w:hint="eastAsia" w:ascii="宋体" w:hAnsi="宋体" w:cs="宋体"/>
                      <w:kern w:val="0"/>
                      <w:szCs w:val="21"/>
                      <w:highlight w:val="none"/>
                    </w:rPr>
                    <w:t>.本项目是（否）专门面向中小企业采购：是，</w:t>
                  </w:r>
                  <w:r>
                    <w:rPr>
                      <w:rFonts w:hint="eastAsia" w:ascii="宋体" w:hAnsi="宋体" w:cs="宋体"/>
                      <w:kern w:val="0"/>
                      <w:szCs w:val="21"/>
                      <w:highlight w:val="none"/>
                      <w:lang w:val="en-US" w:eastAsia="zh-CN"/>
                    </w:rPr>
                    <w:t>本项目的承接单位为</w:t>
                  </w:r>
                  <w:r>
                    <w:rPr>
                      <w:rFonts w:hint="eastAsia" w:ascii="宋体" w:hAnsi="宋体" w:cs="宋体"/>
                      <w:kern w:val="0"/>
                      <w:szCs w:val="21"/>
                      <w:highlight w:val="none"/>
                    </w:rPr>
                    <w:t>符合政策要求的中小微企业、残疾人福利性</w:t>
                  </w:r>
                  <w:r>
                    <w:rPr>
                      <w:rFonts w:hint="eastAsia" w:ascii="宋体" w:hAnsi="宋体" w:cs="宋体"/>
                      <w:kern w:val="0"/>
                      <w:szCs w:val="21"/>
                      <w:highlight w:val="none"/>
                      <w:lang w:val="en-US" w:eastAsia="zh-CN"/>
                    </w:rPr>
                    <w:t>单位或</w:t>
                  </w:r>
                  <w:r>
                    <w:rPr>
                      <w:rFonts w:hint="eastAsia" w:ascii="宋体" w:hAnsi="宋体" w:cs="宋体"/>
                      <w:kern w:val="0"/>
                      <w:szCs w:val="21"/>
                      <w:highlight w:val="none"/>
                    </w:rPr>
                    <w:t>监狱企业（由供应商在《中小企业声明函、残疾人福利性单位声明函及监狱企业声明函》中作出声明</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未提供声明函或声明函不符合“填写指引”的，按资格审查不通过处理</w:t>
                  </w:r>
                  <w:r>
                    <w:rPr>
                      <w:rFonts w:hint="eastAsia" w:ascii="宋体" w:hAnsi="宋体" w:cs="宋体"/>
                      <w:kern w:val="0"/>
                      <w:szCs w:val="21"/>
                      <w:highlight w:val="none"/>
                    </w:rPr>
                    <w:t>）</w:t>
                  </w:r>
                  <w:r>
                    <w:rPr>
                      <w:rFonts w:hint="eastAsia" w:ascii="宋体" w:hAnsi="宋体" w:cs="宋体"/>
                      <w:kern w:val="0"/>
                      <w:szCs w:val="21"/>
                      <w:highlight w:val="none"/>
                      <w:lang w:eastAsia="zh-CN"/>
                    </w:rPr>
                    <w:t>。</w:t>
                  </w:r>
                </w:p>
                <w:p>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hint="eastAsia" w:ascii="宋体" w:hAnsi="宋体" w:cs="宋体"/>
                      <w:kern w:val="0"/>
                      <w:szCs w:val="21"/>
                      <w:highlight w:val="none"/>
                    </w:rPr>
                  </w:pPr>
                </w:p>
                <w:p>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ascii="宋体" w:hAnsi="宋体" w:cs="宋体"/>
                      <w:kern w:val="0"/>
                      <w:szCs w:val="21"/>
                      <w:highlight w:val="none"/>
                    </w:rPr>
                  </w:pPr>
                  <w:r>
                    <w:rPr>
                      <w:rFonts w:hint="eastAsia" w:ascii="宋体" w:hAnsi="宋体" w:cs="宋体"/>
                      <w:kern w:val="0"/>
                      <w:szCs w:val="21"/>
                      <w:highlight w:val="none"/>
                    </w:rPr>
                    <w:t>注：（1）“信用中国”（www.creditchina.gov.cn</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查询</w:t>
                  </w:r>
                  <w:r>
                    <w:rPr>
                      <w:rFonts w:hint="eastAsia" w:ascii="宋体" w:hAnsi="宋体" w:cs="宋体"/>
                      <w:kern w:val="0"/>
                      <w:szCs w:val="21"/>
                      <w:highlight w:val="none"/>
                    </w:rPr>
                    <w:t>“信用服务”栏的“重大税收违法失信主体”“失信被执行人”</w:t>
                  </w:r>
                  <w:r>
                    <w:rPr>
                      <w:rFonts w:hint="eastAsia" w:ascii="宋体" w:hAnsi="宋体" w:cs="宋体"/>
                      <w:kern w:val="0"/>
                      <w:szCs w:val="21"/>
                      <w:highlight w:val="none"/>
                      <w:lang w:val="en-US" w:eastAsia="zh-CN"/>
                    </w:rPr>
                    <w:t>或者下载信用信息报告）</w:t>
                  </w:r>
                  <w:r>
                    <w:rPr>
                      <w:rFonts w:hint="eastAsia" w:ascii="宋体" w:hAnsi="宋体" w:cs="宋体"/>
                      <w:kern w:val="0"/>
                      <w:szCs w:val="21"/>
                      <w:highlight w:val="none"/>
                    </w:rPr>
                    <w:t>，“中国政府采购网”（www.ccgp.gov.cn）中的“政府采购严重违法失信行为记录名单”，以及“深圳市政府采购监管网”（http://zfcg.sz.gov.cn）为供应商信用信息的查询渠道，相关信息以开标当日的查询结果为准；</w:t>
                  </w:r>
                </w:p>
                <w:p>
                  <w:pPr>
                    <w:ind w:firstLine="420" w:firstLineChars="200"/>
                    <w:rPr>
                      <w:rFonts w:ascii="宋体" w:hAnsi="宋体"/>
                      <w:highlight w:val="none"/>
                    </w:rPr>
                  </w:pPr>
                  <w:r>
                    <w:rPr>
                      <w:rFonts w:hint="eastAsia" w:ascii="宋体" w:hAnsi="宋体"/>
                      <w:highlight w:val="none"/>
                    </w:rPr>
                    <w:t>（2）供应商投标（上传投标文件）必须先行办理注册手续，具体请按照本公告“六、其他补充事宜</w:t>
                  </w:r>
                  <w:r>
                    <w:rPr>
                      <w:rFonts w:ascii="宋体" w:hAnsi="宋体"/>
                      <w:highlight w:val="none"/>
                    </w:rPr>
                    <w:t>”</w:t>
                  </w:r>
                  <w:r>
                    <w:rPr>
                      <w:rFonts w:hint="eastAsia" w:ascii="宋体" w:hAnsi="宋体"/>
                      <w:highlight w:val="none"/>
                    </w:rPr>
                    <w:t>相关内容指引办理。</w:t>
                  </w:r>
                </w:p>
                <w:p>
                  <w:pPr>
                    <w:spacing w:beforeAutospacing="1" w:afterAutospacing="1"/>
                    <w:ind w:firstLine="442" w:firstLineChars="200"/>
                    <w:rPr>
                      <w:rFonts w:ascii="宋体" w:hAnsi="宋体" w:cs="宋体"/>
                      <w:sz w:val="24"/>
                      <w:highlight w:val="none"/>
                    </w:rPr>
                  </w:pPr>
                  <w:r>
                    <w:rPr>
                      <w:rFonts w:hint="eastAsia"/>
                      <w:b/>
                      <w:sz w:val="22"/>
                      <w:szCs w:val="18"/>
                      <w:highlight w:val="none"/>
                    </w:rPr>
                    <w:t>完整公告内容详见：深圳公共资源交易网（</w:t>
                  </w:r>
                  <w:r>
                    <w:rPr>
                      <w:b/>
                      <w:sz w:val="22"/>
                      <w:szCs w:val="18"/>
                      <w:highlight w:val="none"/>
                    </w:rPr>
                    <w:t>https://www.szggzy.com</w:t>
                  </w:r>
                  <w:r>
                    <w:rPr>
                      <w:rFonts w:hint="eastAsia"/>
                      <w:b/>
                      <w:sz w:val="22"/>
                      <w:szCs w:val="18"/>
                      <w:highlight w:val="none"/>
                    </w:rPr>
                    <w:t>）</w:t>
                  </w:r>
                </w:p>
              </w:tc>
            </w:tr>
          </w:tbl>
          <w:p>
            <w:pPr>
              <w:rPr>
                <w:rFonts w:ascii="宋体" w:hAnsi="宋体" w:cs="宋体"/>
                <w:sz w:val="24"/>
                <w:highlight w:val="none"/>
              </w:rPr>
            </w:pPr>
          </w:p>
        </w:tc>
      </w:tr>
    </w:tbl>
    <w:p>
      <w:pPr>
        <w:rPr>
          <w:highlight w:val="none"/>
        </w:rPr>
      </w:pPr>
      <w:r>
        <w:rPr>
          <w:rFonts w:hint="eastAsia"/>
          <w:highlight w:val="none"/>
        </w:rPr>
        <w:br w:type="page"/>
      </w:r>
    </w:p>
    <w:p>
      <w:pPr>
        <w:pStyle w:val="7"/>
        <w:rPr>
          <w:sz w:val="28"/>
          <w:szCs w:val="28"/>
          <w:highlight w:val="none"/>
        </w:rPr>
      </w:pPr>
      <w:r>
        <w:rPr>
          <w:rFonts w:hint="eastAsia"/>
          <w:sz w:val="28"/>
          <w:szCs w:val="28"/>
          <w:highlight w:val="none"/>
        </w:rPr>
        <w:t>第二章 对通用条款的补充内容及其他关键信息</w:t>
      </w:r>
    </w:p>
    <w:p>
      <w:pPr>
        <w:pStyle w:val="7"/>
        <w:spacing w:before="120" w:beforeLines="50" w:after="120" w:afterLines="50"/>
        <w:rPr>
          <w:sz w:val="28"/>
          <w:szCs w:val="28"/>
          <w:highlight w:val="none"/>
        </w:rPr>
      </w:pPr>
      <w:bookmarkStart w:id="19" w:name="_Toc73521635"/>
      <w:bookmarkStart w:id="20" w:name="_Toc73518117"/>
      <w:bookmarkStart w:id="21" w:name="_Toc73517639"/>
      <w:bookmarkStart w:id="22" w:name="_Toc60631620"/>
      <w:bookmarkStart w:id="23" w:name="_Toc100052364"/>
      <w:bookmarkStart w:id="24" w:name="_Toc73521547"/>
      <w:bookmarkStart w:id="25" w:name="_Toc60560625"/>
      <w:bookmarkStart w:id="26" w:name="_Toc101074876"/>
      <w:r>
        <w:rPr>
          <w:rFonts w:hint="eastAsia"/>
          <w:szCs w:val="24"/>
          <w:highlight w:val="none"/>
        </w:rPr>
        <w:t>一、对通用条款的补充内容</w:t>
      </w:r>
    </w:p>
    <w:bookmarkEnd w:id="19"/>
    <w:bookmarkEnd w:id="20"/>
    <w:bookmarkEnd w:id="21"/>
    <w:bookmarkEnd w:id="22"/>
    <w:bookmarkEnd w:id="23"/>
    <w:bookmarkEnd w:id="24"/>
    <w:bookmarkEnd w:id="25"/>
    <w:bookmarkEnd w:id="26"/>
    <w:tbl>
      <w:tblPr>
        <w:tblStyle w:val="42"/>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8"/>
        <w:gridCol w:w="2409"/>
        <w:gridCol w:w="49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b/>
                <w:bCs/>
                <w:highlight w:val="none"/>
              </w:rPr>
            </w:pPr>
            <w:r>
              <w:rPr>
                <w:rFonts w:hint="eastAsia" w:ascii="宋体" w:hAnsi="宋体"/>
                <w:b/>
                <w:bCs/>
                <w:highlight w:val="none"/>
              </w:rPr>
              <w:t>通用条款序号</w:t>
            </w:r>
          </w:p>
        </w:tc>
        <w:tc>
          <w:tcPr>
            <w:tcW w:w="2409" w:type="dxa"/>
            <w:vAlign w:val="center"/>
          </w:tcPr>
          <w:p>
            <w:pPr>
              <w:jc w:val="center"/>
              <w:rPr>
                <w:rFonts w:ascii="宋体" w:hAnsi="宋体"/>
                <w:b/>
                <w:bCs/>
                <w:highlight w:val="none"/>
              </w:rPr>
            </w:pPr>
            <w:r>
              <w:rPr>
                <w:rFonts w:hint="eastAsia" w:ascii="宋体" w:hAnsi="宋体"/>
                <w:b/>
                <w:bCs/>
                <w:highlight w:val="none"/>
              </w:rPr>
              <w:t>涉及事项</w:t>
            </w:r>
          </w:p>
        </w:tc>
        <w:tc>
          <w:tcPr>
            <w:tcW w:w="4980" w:type="dxa"/>
            <w:vAlign w:val="center"/>
          </w:tcPr>
          <w:p>
            <w:pPr>
              <w:jc w:val="center"/>
              <w:rPr>
                <w:rFonts w:ascii="宋体" w:hAnsi="宋体"/>
                <w:b/>
                <w:bCs/>
                <w:highlight w:val="none"/>
              </w:rPr>
            </w:pPr>
            <w:r>
              <w:rPr>
                <w:rFonts w:hint="eastAsia" w:ascii="宋体" w:hAnsi="宋体"/>
                <w:b/>
                <w:bCs/>
                <w:highlight w:val="none"/>
              </w:rPr>
              <w:t xml:space="preserve">具 </w:t>
            </w:r>
            <w:r>
              <w:rPr>
                <w:rFonts w:ascii="宋体" w:hAnsi="宋体"/>
                <w:b/>
                <w:bCs/>
                <w:highlight w:val="none"/>
              </w:rPr>
              <w:t xml:space="preserve"> </w:t>
            </w:r>
            <w:r>
              <w:rPr>
                <w:rFonts w:hint="eastAsia" w:ascii="宋体" w:hAnsi="宋体"/>
                <w:b/>
                <w:bCs/>
                <w:highlight w:val="none"/>
              </w:rPr>
              <w:t xml:space="preserve">体 </w:t>
            </w:r>
            <w:r>
              <w:rPr>
                <w:rFonts w:ascii="宋体" w:hAnsi="宋体"/>
                <w:b/>
                <w:bCs/>
                <w:highlight w:val="none"/>
              </w:rPr>
              <w:t xml:space="preserve"> </w:t>
            </w:r>
            <w:r>
              <w:rPr>
                <w:rFonts w:hint="eastAsia" w:ascii="宋体" w:hAnsi="宋体"/>
                <w:b/>
                <w:bCs/>
                <w:highlight w:val="none"/>
              </w:rPr>
              <w:t xml:space="preserve">补 </w:t>
            </w:r>
            <w:r>
              <w:rPr>
                <w:rFonts w:ascii="宋体" w:hAnsi="宋体"/>
                <w:b/>
                <w:bCs/>
                <w:highlight w:val="none"/>
              </w:rPr>
              <w:t xml:space="preserve"> </w:t>
            </w:r>
            <w:r>
              <w:rPr>
                <w:rFonts w:hint="eastAsia" w:ascii="宋体" w:hAnsi="宋体"/>
                <w:b/>
                <w:bCs/>
                <w:highlight w:val="none"/>
              </w:rPr>
              <w:t xml:space="preserve">充 </w:t>
            </w:r>
            <w:r>
              <w:rPr>
                <w:rFonts w:ascii="宋体" w:hAnsi="宋体"/>
                <w:b/>
                <w:bCs/>
                <w:highlight w:val="none"/>
              </w:rPr>
              <w:t xml:space="preserve"> </w:t>
            </w:r>
            <w:r>
              <w:rPr>
                <w:rFonts w:hint="eastAsia" w:ascii="宋体" w:hAnsi="宋体"/>
                <w:b/>
                <w:bCs/>
                <w:highlight w:val="none"/>
              </w:rPr>
              <w:t xml:space="preserve">内 </w:t>
            </w:r>
            <w:r>
              <w:rPr>
                <w:rFonts w:ascii="宋体" w:hAnsi="宋体"/>
                <w:b/>
                <w:bCs/>
                <w:highlight w:val="none"/>
              </w:rPr>
              <w:t xml:space="preserve"> </w:t>
            </w:r>
            <w:r>
              <w:rPr>
                <w:rFonts w:hint="eastAsia" w:ascii="宋体" w:hAnsi="宋体"/>
                <w:b/>
                <w:bCs/>
                <w:highlight w:val="none"/>
              </w:rPr>
              <w:t>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highlight w:val="none"/>
              </w:rPr>
            </w:pPr>
            <w:r>
              <w:rPr>
                <w:rFonts w:hint="eastAsia" w:ascii="宋体" w:hAnsi="宋体"/>
                <w:highlight w:val="none"/>
              </w:rPr>
              <w:t>3</w:t>
            </w:r>
            <w:r>
              <w:rPr>
                <w:rFonts w:ascii="宋体" w:hAnsi="宋体"/>
                <w:highlight w:val="none"/>
              </w:rPr>
              <w:t>.1</w:t>
            </w:r>
          </w:p>
        </w:tc>
        <w:tc>
          <w:tcPr>
            <w:tcW w:w="2409" w:type="dxa"/>
            <w:vAlign w:val="center"/>
          </w:tcPr>
          <w:p>
            <w:pPr>
              <w:jc w:val="center"/>
              <w:rPr>
                <w:highlight w:val="none"/>
              </w:rPr>
            </w:pPr>
            <w:r>
              <w:rPr>
                <w:rFonts w:hint="eastAsia"/>
                <w:highlight w:val="none"/>
              </w:rPr>
              <w:t>采购人</w:t>
            </w:r>
          </w:p>
        </w:tc>
        <w:tc>
          <w:tcPr>
            <w:tcW w:w="4980" w:type="dxa"/>
            <w:vAlign w:val="center"/>
          </w:tcPr>
          <w:p>
            <w:pPr>
              <w:spacing w:line="300" w:lineRule="exact"/>
              <w:jc w:val="center"/>
              <w:rPr>
                <w:rFonts w:ascii="宋体" w:hAnsi="宋体"/>
                <w:highlight w:val="none"/>
              </w:rPr>
            </w:pPr>
            <w:r>
              <w:rPr>
                <w:rFonts w:hint="eastAsia" w:ascii="宋体" w:hAnsi="宋体"/>
                <w:szCs w:val="21"/>
                <w:highlight w:val="none"/>
                <w:lang w:val="en-US" w:eastAsia="zh-CN"/>
              </w:rPr>
              <w:t>深圳市福田区第一幼儿园</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highlight w:val="none"/>
              </w:rPr>
            </w:pPr>
            <w:r>
              <w:rPr>
                <w:rFonts w:hint="eastAsia" w:ascii="宋体" w:hAnsi="宋体"/>
                <w:highlight w:val="none"/>
              </w:rPr>
              <w:t>3</w:t>
            </w:r>
            <w:r>
              <w:rPr>
                <w:rFonts w:ascii="宋体" w:hAnsi="宋体"/>
                <w:highlight w:val="none"/>
              </w:rPr>
              <w:t>.2</w:t>
            </w:r>
          </w:p>
        </w:tc>
        <w:tc>
          <w:tcPr>
            <w:tcW w:w="2409" w:type="dxa"/>
            <w:vAlign w:val="center"/>
          </w:tcPr>
          <w:p>
            <w:pPr>
              <w:jc w:val="center"/>
              <w:rPr>
                <w:rFonts w:ascii="宋体" w:hAnsi="宋体"/>
                <w:highlight w:val="none"/>
              </w:rPr>
            </w:pPr>
            <w:r>
              <w:rPr>
                <w:rFonts w:hint="eastAsia" w:ascii="宋体" w:hAnsi="宋体"/>
                <w:highlight w:val="none"/>
              </w:rPr>
              <w:t>政府集中采购机构</w:t>
            </w:r>
          </w:p>
        </w:tc>
        <w:tc>
          <w:tcPr>
            <w:tcW w:w="4980" w:type="dxa"/>
            <w:vAlign w:val="center"/>
          </w:tcPr>
          <w:p>
            <w:pPr>
              <w:spacing w:line="300" w:lineRule="exact"/>
              <w:jc w:val="center"/>
              <w:rPr>
                <w:rFonts w:ascii="宋体" w:hAnsi="宋体" w:cs="宋体"/>
                <w:szCs w:val="21"/>
                <w:highlight w:val="none"/>
              </w:rPr>
            </w:pPr>
            <w:r>
              <w:rPr>
                <w:rFonts w:hint="eastAsia" w:ascii="宋体" w:hAnsi="宋体" w:cs="宋体"/>
                <w:szCs w:val="21"/>
                <w:highlight w:val="none"/>
              </w:rPr>
              <w:t>深圳公共资源交易中心</w:t>
            </w:r>
          </w:p>
          <w:p>
            <w:pPr>
              <w:spacing w:line="300" w:lineRule="exact"/>
              <w:jc w:val="center"/>
              <w:rPr>
                <w:rFonts w:ascii="宋体" w:hAnsi="宋体"/>
                <w:highlight w:val="none"/>
              </w:rPr>
            </w:pPr>
            <w:r>
              <w:rPr>
                <w:rFonts w:hint="eastAsia" w:ascii="宋体" w:hAnsi="宋体" w:cs="宋体"/>
                <w:szCs w:val="21"/>
                <w:highlight w:val="none"/>
              </w:rPr>
              <w:t>（</w:t>
            </w:r>
            <w:r>
              <w:rPr>
                <w:rFonts w:hint="eastAsia" w:ascii="宋体" w:hAnsi="宋体" w:cs="宋体"/>
                <w:color w:val="0000FF"/>
                <w:szCs w:val="21"/>
                <w:highlight w:val="none"/>
              </w:rPr>
              <w:t>深圳交易集团有限公司福田分公司</w:t>
            </w:r>
            <w:r>
              <w:rPr>
                <w:rFonts w:hint="eastAsia" w:ascii="宋体" w:hAnsi="宋体" w:cs="宋体"/>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highlight w:val="none"/>
              </w:rPr>
            </w:pPr>
            <w:r>
              <w:rPr>
                <w:rFonts w:hint="eastAsia" w:ascii="宋体" w:hAnsi="宋体"/>
                <w:highlight w:val="none"/>
              </w:rPr>
              <w:t>5</w:t>
            </w:r>
            <w:r>
              <w:rPr>
                <w:rFonts w:ascii="宋体" w:hAnsi="宋体"/>
                <w:highlight w:val="none"/>
              </w:rPr>
              <w:t>.3</w:t>
            </w:r>
          </w:p>
        </w:tc>
        <w:tc>
          <w:tcPr>
            <w:tcW w:w="2409" w:type="dxa"/>
            <w:vAlign w:val="center"/>
          </w:tcPr>
          <w:p>
            <w:pPr>
              <w:jc w:val="center"/>
              <w:rPr>
                <w:rFonts w:ascii="宋体" w:hAnsi="宋体"/>
                <w:highlight w:val="none"/>
              </w:rPr>
            </w:pPr>
            <w:r>
              <w:rPr>
                <w:rFonts w:hint="eastAsia" w:ascii="宋体" w:hAnsi="宋体"/>
                <w:highlight w:val="none"/>
              </w:rPr>
              <w:t>联合体投标</w:t>
            </w:r>
          </w:p>
        </w:tc>
        <w:tc>
          <w:tcPr>
            <w:tcW w:w="4980" w:type="dxa"/>
            <w:vAlign w:val="center"/>
          </w:tcPr>
          <w:p>
            <w:pPr>
              <w:jc w:val="center"/>
              <w:rPr>
                <w:rFonts w:ascii="宋体" w:hAnsi="宋体"/>
                <w:highlight w:val="none"/>
              </w:rPr>
            </w:pPr>
            <w:r>
              <w:rPr>
                <w:rFonts w:hint="eastAsia" w:ascii="宋体" w:hAnsi="宋体"/>
                <w:highlight w:val="none"/>
                <w:lang w:val="en-US" w:eastAsia="zh-CN"/>
              </w:rPr>
              <w:t>详见第一章  招标公告  申请人的资格要求：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highlight w:val="none"/>
              </w:rPr>
            </w:pPr>
            <w:r>
              <w:rPr>
                <w:rFonts w:hint="eastAsia" w:ascii="宋体" w:hAnsi="宋体"/>
                <w:highlight w:val="none"/>
              </w:rPr>
              <w:t>9</w:t>
            </w:r>
          </w:p>
        </w:tc>
        <w:tc>
          <w:tcPr>
            <w:tcW w:w="2409" w:type="dxa"/>
            <w:vAlign w:val="center"/>
          </w:tcPr>
          <w:p>
            <w:pPr>
              <w:jc w:val="center"/>
              <w:rPr>
                <w:rFonts w:ascii="宋体" w:hAnsi="宋体"/>
                <w:highlight w:val="none"/>
              </w:rPr>
            </w:pPr>
            <w:r>
              <w:rPr>
                <w:rFonts w:hint="eastAsia" w:ascii="宋体" w:hAnsi="宋体"/>
                <w:highlight w:val="none"/>
              </w:rPr>
              <w:t>踏勘现场</w:t>
            </w:r>
          </w:p>
        </w:tc>
        <w:tc>
          <w:tcPr>
            <w:tcW w:w="4980" w:type="dxa"/>
            <w:vAlign w:val="center"/>
          </w:tcPr>
          <w:p>
            <w:pPr>
              <w:spacing w:line="300" w:lineRule="exact"/>
              <w:jc w:val="center"/>
              <w:rPr>
                <w:rFonts w:ascii="宋体" w:hAnsi="宋体" w:cs="宋体"/>
                <w:szCs w:val="21"/>
                <w:highlight w:val="none"/>
              </w:rPr>
            </w:pPr>
            <w:r>
              <w:rPr>
                <w:rFonts w:hint="eastAsia" w:ascii="宋体" w:hAnsi="宋体"/>
                <w:szCs w:val="21"/>
                <w:highlight w:val="none"/>
                <w:lang w:eastAsia="zh-CN"/>
              </w:rPr>
              <w:t>☑</w:t>
            </w:r>
            <w:r>
              <w:rPr>
                <w:rFonts w:hint="eastAsia" w:ascii="宋体" w:hAnsi="宋体" w:cs="宋体"/>
                <w:szCs w:val="21"/>
                <w:highlight w:val="none"/>
              </w:rPr>
              <w:t xml:space="preserve">不组织   </w:t>
            </w:r>
            <w:r>
              <w:rPr>
                <w:rFonts w:hint="eastAsia" w:ascii="宋体" w:hAnsi="宋体"/>
                <w:szCs w:val="21"/>
                <w:highlight w:val="none"/>
              </w:rPr>
              <w:t>□</w:t>
            </w:r>
            <w:r>
              <w:rPr>
                <w:rFonts w:hint="eastAsia" w:ascii="宋体" w:hAnsi="宋体" w:cs="宋体"/>
                <w:szCs w:val="21"/>
                <w:highlight w:val="none"/>
              </w:rPr>
              <w:t>组织</w:t>
            </w:r>
          </w:p>
          <w:p>
            <w:pPr>
              <w:spacing w:line="300" w:lineRule="exact"/>
              <w:jc w:val="center"/>
              <w:rPr>
                <w:rFonts w:ascii="宋体" w:hAnsi="宋体"/>
                <w:highlight w:val="none"/>
              </w:rPr>
            </w:pPr>
            <w:r>
              <w:rPr>
                <w:rFonts w:hint="eastAsia" w:ascii="宋体" w:hAnsi="宋体" w:cs="宋体"/>
                <w:szCs w:val="21"/>
                <w:highlight w:val="none"/>
              </w:rPr>
              <w:t>具体见其他关键信息章节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highlight w:val="none"/>
              </w:rPr>
            </w:pPr>
            <w:r>
              <w:rPr>
                <w:rFonts w:hint="eastAsia" w:ascii="宋体" w:hAnsi="宋体"/>
                <w:highlight w:val="none"/>
              </w:rPr>
              <w:t>1</w:t>
            </w:r>
            <w:r>
              <w:rPr>
                <w:rFonts w:ascii="宋体" w:hAnsi="宋体"/>
                <w:highlight w:val="none"/>
              </w:rPr>
              <w:t>0</w:t>
            </w:r>
          </w:p>
        </w:tc>
        <w:tc>
          <w:tcPr>
            <w:tcW w:w="2409" w:type="dxa"/>
            <w:vAlign w:val="center"/>
          </w:tcPr>
          <w:p>
            <w:pPr>
              <w:jc w:val="center"/>
              <w:rPr>
                <w:rFonts w:ascii="宋体" w:hAnsi="宋体"/>
                <w:highlight w:val="none"/>
              </w:rPr>
            </w:pPr>
            <w:r>
              <w:rPr>
                <w:rFonts w:hint="eastAsia" w:ascii="宋体" w:hAnsi="宋体"/>
                <w:highlight w:val="none"/>
              </w:rPr>
              <w:t>标前会议</w:t>
            </w:r>
          </w:p>
        </w:tc>
        <w:tc>
          <w:tcPr>
            <w:tcW w:w="4980" w:type="dxa"/>
            <w:vAlign w:val="center"/>
          </w:tcPr>
          <w:p>
            <w:pPr>
              <w:spacing w:line="300" w:lineRule="exact"/>
              <w:jc w:val="center"/>
              <w:rPr>
                <w:rFonts w:ascii="宋体" w:hAnsi="宋体" w:cs="宋体"/>
                <w:szCs w:val="21"/>
                <w:highlight w:val="none"/>
              </w:rPr>
            </w:pPr>
            <w:r>
              <w:rPr>
                <w:rFonts w:hint="eastAsia" w:ascii="宋体" w:hAnsi="宋体"/>
                <w:szCs w:val="21"/>
                <w:highlight w:val="none"/>
                <w:lang w:eastAsia="zh-CN"/>
              </w:rPr>
              <w:t>☑</w:t>
            </w:r>
            <w:r>
              <w:rPr>
                <w:rFonts w:hint="eastAsia" w:ascii="宋体" w:hAnsi="宋体" w:cs="宋体"/>
                <w:szCs w:val="21"/>
                <w:highlight w:val="none"/>
              </w:rPr>
              <w:t xml:space="preserve">不组织   </w:t>
            </w:r>
            <w:r>
              <w:rPr>
                <w:rFonts w:hint="eastAsia" w:ascii="宋体" w:hAnsi="宋体"/>
                <w:szCs w:val="21"/>
                <w:highlight w:val="none"/>
              </w:rPr>
              <w:t>□</w:t>
            </w:r>
            <w:r>
              <w:rPr>
                <w:rFonts w:hint="eastAsia" w:ascii="宋体" w:hAnsi="宋体" w:cs="宋体"/>
                <w:szCs w:val="21"/>
                <w:highlight w:val="none"/>
              </w:rPr>
              <w:t>组织</w:t>
            </w:r>
          </w:p>
          <w:p>
            <w:pPr>
              <w:spacing w:line="300" w:lineRule="exact"/>
              <w:jc w:val="center"/>
              <w:rPr>
                <w:rFonts w:ascii="宋体" w:hAnsi="宋体"/>
                <w:highlight w:val="none"/>
              </w:rPr>
            </w:pPr>
            <w:r>
              <w:rPr>
                <w:rFonts w:hint="eastAsia" w:ascii="宋体" w:hAnsi="宋体" w:cs="宋体"/>
                <w:szCs w:val="21"/>
                <w:highlight w:val="none"/>
              </w:rPr>
              <w:t>具体见其他关键信息章节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highlight w:val="none"/>
              </w:rPr>
            </w:pPr>
            <w:r>
              <w:rPr>
                <w:rFonts w:hint="eastAsia" w:ascii="宋体" w:hAnsi="宋体"/>
                <w:highlight w:val="none"/>
              </w:rPr>
              <w:t>1</w:t>
            </w:r>
            <w:r>
              <w:rPr>
                <w:rFonts w:ascii="宋体" w:hAnsi="宋体"/>
                <w:highlight w:val="none"/>
              </w:rPr>
              <w:t>2</w:t>
            </w:r>
            <w:r>
              <w:rPr>
                <w:rFonts w:hint="eastAsia" w:ascii="宋体" w:hAnsi="宋体"/>
                <w:highlight w:val="none"/>
              </w:rPr>
              <w:t>/1</w:t>
            </w:r>
            <w:r>
              <w:rPr>
                <w:rFonts w:ascii="宋体" w:hAnsi="宋体"/>
                <w:highlight w:val="none"/>
              </w:rPr>
              <w:t>3</w:t>
            </w:r>
          </w:p>
        </w:tc>
        <w:tc>
          <w:tcPr>
            <w:tcW w:w="2409" w:type="dxa"/>
            <w:vAlign w:val="center"/>
          </w:tcPr>
          <w:p>
            <w:pPr>
              <w:jc w:val="center"/>
              <w:rPr>
                <w:rFonts w:ascii="宋体" w:hAnsi="宋体"/>
                <w:highlight w:val="none"/>
              </w:rPr>
            </w:pPr>
            <w:r>
              <w:rPr>
                <w:rFonts w:hint="eastAsia" w:ascii="宋体" w:hAnsi="宋体"/>
                <w:highlight w:val="none"/>
              </w:rPr>
              <w:t>招标文件的澄清和修改</w:t>
            </w:r>
          </w:p>
        </w:tc>
        <w:tc>
          <w:tcPr>
            <w:tcW w:w="4980" w:type="dxa"/>
            <w:vAlign w:val="center"/>
          </w:tcPr>
          <w:p>
            <w:pPr>
              <w:spacing w:line="300" w:lineRule="exact"/>
              <w:jc w:val="left"/>
              <w:rPr>
                <w:rFonts w:ascii="宋体" w:hAnsi="宋体"/>
                <w:highlight w:val="none"/>
              </w:rPr>
            </w:pPr>
            <w:r>
              <w:rPr>
                <w:rFonts w:hint="eastAsia" w:ascii="宋体" w:hAnsi="宋体" w:cs="宋体"/>
                <w:szCs w:val="21"/>
                <w:highlight w:val="none"/>
              </w:rPr>
              <w:t>投标截止日三日前，投标人有义务在招标期间在政府集中采购机构网站浏览与本项目有关的澄清和修改信息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highlight w:val="none"/>
              </w:rPr>
            </w:pPr>
            <w:r>
              <w:rPr>
                <w:rFonts w:hint="eastAsia" w:ascii="宋体" w:hAnsi="宋体"/>
                <w:highlight w:val="none"/>
              </w:rPr>
              <w:t>2</w:t>
            </w:r>
            <w:r>
              <w:rPr>
                <w:rFonts w:ascii="宋体" w:hAnsi="宋体"/>
                <w:highlight w:val="none"/>
              </w:rPr>
              <w:t>0</w:t>
            </w:r>
          </w:p>
        </w:tc>
        <w:tc>
          <w:tcPr>
            <w:tcW w:w="2409" w:type="dxa"/>
            <w:vAlign w:val="center"/>
          </w:tcPr>
          <w:p>
            <w:pPr>
              <w:jc w:val="center"/>
              <w:rPr>
                <w:rFonts w:ascii="宋体" w:hAnsi="宋体"/>
                <w:highlight w:val="none"/>
              </w:rPr>
            </w:pPr>
            <w:r>
              <w:rPr>
                <w:rFonts w:hint="eastAsia" w:ascii="宋体" w:hAnsi="宋体"/>
                <w:highlight w:val="none"/>
              </w:rPr>
              <w:t>投标有效期</w:t>
            </w:r>
          </w:p>
        </w:tc>
        <w:tc>
          <w:tcPr>
            <w:tcW w:w="4980" w:type="dxa"/>
            <w:vAlign w:val="center"/>
          </w:tcPr>
          <w:p>
            <w:pPr>
              <w:spacing w:line="300" w:lineRule="exact"/>
              <w:jc w:val="center"/>
              <w:rPr>
                <w:rFonts w:ascii="宋体" w:hAnsi="宋体"/>
                <w:highlight w:val="none"/>
              </w:rPr>
            </w:pPr>
            <w:r>
              <w:rPr>
                <w:rFonts w:hint="eastAsia" w:ascii="宋体" w:hAnsi="宋体" w:cs="宋体"/>
                <w:szCs w:val="21"/>
                <w:highlight w:val="none"/>
              </w:rPr>
              <w:t>120个日历日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highlight w:val="none"/>
              </w:rPr>
            </w:pPr>
            <w:r>
              <w:rPr>
                <w:rFonts w:hint="eastAsia" w:ascii="宋体" w:hAnsi="宋体"/>
                <w:highlight w:val="none"/>
              </w:rPr>
              <w:t>2</w:t>
            </w:r>
            <w:r>
              <w:rPr>
                <w:rFonts w:ascii="宋体" w:hAnsi="宋体"/>
                <w:highlight w:val="none"/>
              </w:rPr>
              <w:t>2</w:t>
            </w:r>
          </w:p>
        </w:tc>
        <w:tc>
          <w:tcPr>
            <w:tcW w:w="2409" w:type="dxa"/>
            <w:vAlign w:val="center"/>
          </w:tcPr>
          <w:p>
            <w:pPr>
              <w:jc w:val="center"/>
              <w:rPr>
                <w:rFonts w:ascii="宋体" w:hAnsi="宋体"/>
                <w:highlight w:val="none"/>
              </w:rPr>
            </w:pPr>
            <w:r>
              <w:rPr>
                <w:rFonts w:hint="eastAsia" w:ascii="宋体" w:hAnsi="宋体"/>
                <w:highlight w:val="none"/>
              </w:rPr>
              <w:t>投标人的替代方案</w:t>
            </w:r>
          </w:p>
        </w:tc>
        <w:tc>
          <w:tcPr>
            <w:tcW w:w="4980" w:type="dxa"/>
            <w:vAlign w:val="center"/>
          </w:tcPr>
          <w:p>
            <w:pPr>
              <w:spacing w:line="300" w:lineRule="exact"/>
              <w:jc w:val="center"/>
              <w:rPr>
                <w:rFonts w:ascii="宋体" w:hAnsi="宋体"/>
                <w:highlight w:val="none"/>
              </w:rPr>
            </w:pPr>
            <w:r>
              <w:rPr>
                <w:rFonts w:hint="eastAsia" w:ascii="宋体" w:hAnsi="宋体" w:cs="宋体"/>
                <w:szCs w:val="21"/>
                <w:highlight w:val="none"/>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highlight w:val="none"/>
              </w:rPr>
            </w:pPr>
            <w:r>
              <w:rPr>
                <w:rFonts w:hint="eastAsia" w:ascii="宋体" w:hAnsi="宋体"/>
                <w:highlight w:val="none"/>
              </w:rPr>
              <w:t>2</w:t>
            </w:r>
            <w:r>
              <w:rPr>
                <w:rFonts w:ascii="宋体" w:hAnsi="宋体"/>
                <w:highlight w:val="none"/>
              </w:rPr>
              <w:t>5</w:t>
            </w:r>
          </w:p>
        </w:tc>
        <w:tc>
          <w:tcPr>
            <w:tcW w:w="2409" w:type="dxa"/>
            <w:vAlign w:val="center"/>
          </w:tcPr>
          <w:p>
            <w:pPr>
              <w:jc w:val="center"/>
              <w:rPr>
                <w:rFonts w:ascii="宋体" w:hAnsi="宋体"/>
                <w:highlight w:val="none"/>
              </w:rPr>
            </w:pPr>
            <w:r>
              <w:rPr>
                <w:rFonts w:hint="eastAsia" w:ascii="宋体" w:hAnsi="宋体"/>
                <w:highlight w:val="none"/>
              </w:rPr>
              <w:t>投标文件的大小</w:t>
            </w:r>
          </w:p>
        </w:tc>
        <w:tc>
          <w:tcPr>
            <w:tcW w:w="4980" w:type="dxa"/>
            <w:vAlign w:val="center"/>
          </w:tcPr>
          <w:p>
            <w:pPr>
              <w:spacing w:line="300" w:lineRule="exact"/>
              <w:jc w:val="center"/>
              <w:rPr>
                <w:rFonts w:ascii="宋体" w:hAnsi="宋体"/>
                <w:highlight w:val="none"/>
              </w:rPr>
            </w:pPr>
            <w:r>
              <w:rPr>
                <w:rFonts w:hint="eastAsia" w:ascii="宋体" w:hAnsi="宋体" w:cs="宋体"/>
                <w:szCs w:val="21"/>
                <w:highlight w:val="none"/>
              </w:rPr>
              <w:t>投标文件大小不得超过100MB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highlight w:val="none"/>
              </w:rPr>
            </w:pPr>
            <w:r>
              <w:rPr>
                <w:rFonts w:hint="eastAsia" w:ascii="宋体" w:hAnsi="宋体"/>
                <w:highlight w:val="none"/>
              </w:rPr>
              <w:t>2</w:t>
            </w:r>
            <w:r>
              <w:rPr>
                <w:rFonts w:ascii="宋体" w:hAnsi="宋体"/>
                <w:highlight w:val="none"/>
              </w:rPr>
              <w:t>6</w:t>
            </w:r>
          </w:p>
        </w:tc>
        <w:tc>
          <w:tcPr>
            <w:tcW w:w="2409" w:type="dxa"/>
            <w:vAlign w:val="center"/>
          </w:tcPr>
          <w:p>
            <w:pPr>
              <w:jc w:val="center"/>
              <w:rPr>
                <w:rFonts w:ascii="宋体" w:hAnsi="宋体"/>
                <w:highlight w:val="none"/>
              </w:rPr>
            </w:pPr>
            <w:bookmarkStart w:id="27" w:name="_Hlk71664860"/>
            <w:r>
              <w:rPr>
                <w:rFonts w:hint="eastAsia" w:ascii="宋体" w:hAnsi="宋体"/>
                <w:highlight w:val="none"/>
              </w:rPr>
              <w:t>样品、现场演示、方案讲解</w:t>
            </w:r>
            <w:bookmarkEnd w:id="27"/>
          </w:p>
        </w:tc>
        <w:tc>
          <w:tcPr>
            <w:tcW w:w="4980" w:type="dxa"/>
            <w:vAlign w:val="center"/>
          </w:tcPr>
          <w:p>
            <w:pPr>
              <w:spacing w:line="300" w:lineRule="exact"/>
              <w:jc w:val="left"/>
              <w:rPr>
                <w:rFonts w:ascii="宋体" w:hAnsi="宋体"/>
                <w:highlight w:val="none"/>
              </w:rPr>
            </w:pPr>
            <w:r>
              <w:rPr>
                <w:rFonts w:hint="eastAsia" w:ascii="宋体" w:hAnsi="宋体" w:cs="宋体"/>
                <w:szCs w:val="21"/>
                <w:highlight w:val="none"/>
              </w:rPr>
              <w:t>如有样品、演示、方案讲解，具体安排见第三章 用户需求书相关要求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highlight w:val="none"/>
              </w:rPr>
            </w:pPr>
            <w:r>
              <w:rPr>
                <w:rFonts w:hint="eastAsia" w:ascii="宋体" w:hAnsi="宋体"/>
                <w:highlight w:val="none"/>
              </w:rPr>
              <w:t>3</w:t>
            </w:r>
            <w:r>
              <w:rPr>
                <w:rFonts w:ascii="宋体" w:hAnsi="宋体"/>
                <w:highlight w:val="none"/>
              </w:rPr>
              <w:t>7</w:t>
            </w:r>
          </w:p>
        </w:tc>
        <w:tc>
          <w:tcPr>
            <w:tcW w:w="2409" w:type="dxa"/>
            <w:vAlign w:val="center"/>
          </w:tcPr>
          <w:p>
            <w:pPr>
              <w:jc w:val="center"/>
              <w:rPr>
                <w:rFonts w:ascii="宋体" w:hAnsi="宋体"/>
                <w:highlight w:val="none"/>
              </w:rPr>
            </w:pPr>
            <w:r>
              <w:rPr>
                <w:rFonts w:hint="eastAsia" w:ascii="宋体" w:hAnsi="宋体"/>
                <w:highlight w:val="none"/>
              </w:rPr>
              <w:t>评审方法</w:t>
            </w:r>
          </w:p>
        </w:tc>
        <w:tc>
          <w:tcPr>
            <w:tcW w:w="4980" w:type="dxa"/>
            <w:vAlign w:val="center"/>
          </w:tcPr>
          <w:p>
            <w:pPr>
              <w:spacing w:line="300" w:lineRule="exact"/>
              <w:jc w:val="left"/>
              <w:rPr>
                <w:rFonts w:ascii="宋体" w:hAnsi="宋体"/>
                <w:highlight w:val="none"/>
              </w:rPr>
            </w:pPr>
            <w:r>
              <w:rPr>
                <w:rFonts w:hint="eastAsia" w:ascii="宋体" w:hAnsi="宋体" w:cs="宋体"/>
                <w:bCs/>
                <w:szCs w:val="21"/>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Merge w:val="restart"/>
            <w:vAlign w:val="center"/>
          </w:tcPr>
          <w:p>
            <w:pPr>
              <w:jc w:val="center"/>
              <w:rPr>
                <w:rFonts w:ascii="宋体" w:hAnsi="宋体"/>
                <w:highlight w:val="none"/>
              </w:rPr>
            </w:pPr>
            <w:r>
              <w:rPr>
                <w:rFonts w:hint="eastAsia" w:ascii="宋体" w:hAnsi="宋体"/>
                <w:highlight w:val="none"/>
              </w:rPr>
              <w:t>3</w:t>
            </w:r>
            <w:r>
              <w:rPr>
                <w:rFonts w:ascii="宋体" w:hAnsi="宋体"/>
                <w:highlight w:val="none"/>
              </w:rPr>
              <w:t>8</w:t>
            </w:r>
          </w:p>
        </w:tc>
        <w:tc>
          <w:tcPr>
            <w:tcW w:w="2409" w:type="dxa"/>
            <w:vMerge w:val="restart"/>
            <w:vAlign w:val="center"/>
          </w:tcPr>
          <w:p>
            <w:pPr>
              <w:jc w:val="center"/>
              <w:rPr>
                <w:rFonts w:ascii="宋体" w:hAnsi="宋体"/>
                <w:highlight w:val="none"/>
              </w:rPr>
            </w:pPr>
            <w:r>
              <w:rPr>
                <w:rFonts w:hint="eastAsia" w:ascii="宋体" w:hAnsi="宋体"/>
                <w:highlight w:val="none"/>
              </w:rPr>
              <w:t>定标方法</w:t>
            </w:r>
          </w:p>
        </w:tc>
        <w:tc>
          <w:tcPr>
            <w:tcW w:w="4980" w:type="dxa"/>
            <w:vAlign w:val="center"/>
          </w:tcPr>
          <w:p>
            <w:pPr>
              <w:spacing w:line="300" w:lineRule="exact"/>
              <w:jc w:val="left"/>
              <w:rPr>
                <w:rFonts w:ascii="宋体" w:hAnsi="宋体"/>
                <w:highlight w:val="none"/>
              </w:rPr>
            </w:pPr>
            <w:r>
              <w:rPr>
                <w:rFonts w:hint="eastAsia" w:ascii="宋体" w:hAnsi="宋体" w:cs="宋体"/>
                <w:bCs/>
                <w:szCs w:val="21"/>
                <w:highlight w:val="none"/>
              </w:rPr>
              <w:t>非评定分离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Merge w:val="restart"/>
            <w:vAlign w:val="center"/>
          </w:tcPr>
          <w:p>
            <w:pPr>
              <w:jc w:val="center"/>
              <w:rPr>
                <w:rFonts w:ascii="宋体" w:hAnsi="宋体"/>
                <w:highlight w:val="none"/>
              </w:rPr>
            </w:pPr>
            <w:r>
              <w:rPr>
                <w:rFonts w:hint="eastAsia" w:ascii="宋体" w:hAnsi="宋体"/>
                <w:highlight w:val="none"/>
              </w:rPr>
              <w:t>4</w:t>
            </w:r>
            <w:r>
              <w:rPr>
                <w:rFonts w:ascii="宋体" w:hAnsi="宋体"/>
                <w:highlight w:val="none"/>
              </w:rPr>
              <w:t>6</w:t>
            </w:r>
          </w:p>
        </w:tc>
        <w:tc>
          <w:tcPr>
            <w:tcW w:w="2409" w:type="dxa"/>
            <w:vMerge w:val="restart"/>
            <w:vAlign w:val="center"/>
          </w:tcPr>
          <w:p>
            <w:pPr>
              <w:jc w:val="center"/>
              <w:rPr>
                <w:rFonts w:ascii="宋体" w:hAnsi="宋体"/>
                <w:highlight w:val="none"/>
              </w:rPr>
            </w:pPr>
            <w:r>
              <w:rPr>
                <w:rFonts w:hint="eastAsia" w:ascii="宋体" w:hAnsi="宋体"/>
                <w:highlight w:val="none"/>
              </w:rPr>
              <w:t>履约担保</w:t>
            </w:r>
          </w:p>
        </w:tc>
        <w:tc>
          <w:tcPr>
            <w:tcW w:w="4980" w:type="dxa"/>
            <w:vAlign w:val="center"/>
          </w:tcPr>
          <w:p>
            <w:pPr>
              <w:spacing w:line="300" w:lineRule="exact"/>
              <w:jc w:val="left"/>
              <w:rPr>
                <w:rFonts w:ascii="宋体" w:hAnsi="宋体"/>
                <w:highlight w:val="none"/>
              </w:rPr>
            </w:pPr>
            <w:r>
              <w:rPr>
                <w:rFonts w:hint="eastAsia" w:ascii="宋体" w:hAnsi="宋体" w:cs="宋体"/>
                <w:bCs/>
                <w:szCs w:val="21"/>
                <w:highlight w:val="none"/>
              </w:rPr>
              <w:t>不需要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highlight w:val="none"/>
              </w:rPr>
            </w:pPr>
            <w:r>
              <w:rPr>
                <w:rFonts w:hint="eastAsia" w:ascii="宋体" w:hAnsi="宋体" w:cs="宋体"/>
                <w:highlight w:val="none"/>
              </w:rPr>
              <w:t>52.8</w:t>
            </w:r>
          </w:p>
        </w:tc>
        <w:tc>
          <w:tcPr>
            <w:tcW w:w="2409" w:type="dxa"/>
            <w:vAlign w:val="center"/>
          </w:tcPr>
          <w:p>
            <w:pPr>
              <w:jc w:val="center"/>
              <w:rPr>
                <w:rFonts w:hint="eastAsia" w:ascii="宋体" w:hAnsi="宋体"/>
                <w:highlight w:val="none"/>
              </w:rPr>
            </w:pPr>
            <w:r>
              <w:rPr>
                <w:rFonts w:hint="eastAsia" w:ascii="宋体" w:hAnsi="宋体" w:cs="宋体"/>
                <w:highlight w:val="none"/>
              </w:rPr>
              <w:t>投诉</w:t>
            </w:r>
          </w:p>
        </w:tc>
        <w:tc>
          <w:tcPr>
            <w:tcW w:w="4980" w:type="dxa"/>
            <w:vAlign w:val="center"/>
          </w:tcPr>
          <w:p>
            <w:pPr>
              <w:jc w:val="left"/>
              <w:rPr>
                <w:rFonts w:hint="eastAsia" w:ascii="宋体" w:hAnsi="宋体" w:cs="宋体"/>
                <w:bCs/>
                <w:szCs w:val="21"/>
                <w:highlight w:val="none"/>
              </w:rPr>
            </w:pPr>
            <w:r>
              <w:rPr>
                <w:rFonts w:hint="eastAsia" w:ascii="宋体" w:hAnsi="宋体" w:cs="宋体"/>
                <w:color w:val="0000FF"/>
                <w:highlight w:val="none"/>
              </w:rPr>
              <w:t>本项目为自行采购项目，提出质疑的供应商对质疑答复不满意或者未在规定时间内答复的，可以在答复期满后7个工作日内向采购人投诉。</w:t>
            </w:r>
          </w:p>
        </w:tc>
      </w:tr>
    </w:tbl>
    <w:p>
      <w:pPr>
        <w:rPr>
          <w:b/>
          <w:highlight w:val="none"/>
        </w:rPr>
      </w:pPr>
      <w:r>
        <w:rPr>
          <w:rFonts w:hint="eastAsia"/>
          <w:szCs w:val="21"/>
          <w:highlight w:val="none"/>
        </w:rPr>
        <w:t>备注：本表是通用条款相关条款的补充和明确，如与通用条款内容相冲突的，以本表为准。</w:t>
      </w:r>
    </w:p>
    <w:p>
      <w:pPr>
        <w:rPr>
          <w:b/>
          <w:highlight w:val="none"/>
        </w:rPr>
      </w:pPr>
    </w:p>
    <w:p>
      <w:pPr>
        <w:pStyle w:val="2"/>
        <w:rPr>
          <w:b/>
          <w:highlight w:val="none"/>
        </w:rPr>
      </w:pPr>
    </w:p>
    <w:p>
      <w:pPr>
        <w:pStyle w:val="3"/>
        <w:rPr>
          <w:b/>
          <w:highlight w:val="none"/>
        </w:rPr>
      </w:pPr>
    </w:p>
    <w:p>
      <w:pPr>
        <w:pStyle w:val="3"/>
        <w:rPr>
          <w:b/>
          <w:highlight w:val="none"/>
        </w:rPr>
      </w:pPr>
    </w:p>
    <w:p>
      <w:pPr>
        <w:pStyle w:val="3"/>
        <w:rPr>
          <w:b/>
          <w:highlight w:val="none"/>
        </w:rPr>
      </w:pPr>
    </w:p>
    <w:p>
      <w:pPr>
        <w:pStyle w:val="3"/>
        <w:rPr>
          <w:b/>
          <w:highlight w:val="none"/>
        </w:rPr>
      </w:pPr>
    </w:p>
    <w:p>
      <w:pPr>
        <w:pStyle w:val="3"/>
        <w:rPr>
          <w:b/>
          <w:highlight w:val="none"/>
        </w:rPr>
      </w:pPr>
    </w:p>
    <w:p>
      <w:pPr>
        <w:pStyle w:val="3"/>
        <w:rPr>
          <w:b/>
          <w:highlight w:val="none"/>
        </w:rPr>
      </w:pPr>
    </w:p>
    <w:p>
      <w:pPr>
        <w:pStyle w:val="3"/>
        <w:rPr>
          <w:b/>
          <w:highlight w:val="none"/>
        </w:rPr>
      </w:pPr>
    </w:p>
    <w:p>
      <w:pPr>
        <w:pStyle w:val="3"/>
        <w:rPr>
          <w:b/>
          <w:highlight w:val="none"/>
        </w:rPr>
      </w:pPr>
    </w:p>
    <w:p>
      <w:pPr>
        <w:pStyle w:val="3"/>
        <w:rPr>
          <w:b/>
          <w:highlight w:val="none"/>
        </w:rPr>
      </w:pPr>
    </w:p>
    <w:p>
      <w:pPr>
        <w:pStyle w:val="3"/>
        <w:rPr>
          <w:b/>
          <w:highlight w:val="none"/>
        </w:rPr>
      </w:pPr>
    </w:p>
    <w:p>
      <w:pPr>
        <w:rPr>
          <w:b/>
          <w:highlight w:val="none"/>
        </w:rPr>
      </w:pPr>
    </w:p>
    <w:p>
      <w:pPr>
        <w:pStyle w:val="7"/>
        <w:spacing w:before="120" w:beforeLines="50" w:after="120" w:afterLines="50"/>
        <w:rPr>
          <w:szCs w:val="24"/>
          <w:highlight w:val="none"/>
        </w:rPr>
      </w:pPr>
      <w:r>
        <w:rPr>
          <w:rFonts w:hint="eastAsia"/>
          <w:szCs w:val="24"/>
          <w:highlight w:val="none"/>
        </w:rPr>
        <w:t>二、其他关键信息</w:t>
      </w:r>
    </w:p>
    <w:p>
      <w:pPr>
        <w:ind w:firstLine="422" w:firstLineChars="200"/>
        <w:rPr>
          <w:b/>
          <w:bCs/>
          <w:highlight w:val="none"/>
        </w:rPr>
      </w:pPr>
      <w:r>
        <w:rPr>
          <w:rFonts w:hint="eastAsia"/>
          <w:b/>
          <w:bCs/>
          <w:highlight w:val="none"/>
        </w:rPr>
        <w:t>（一）与“对通用条款的补充内容”章节相关的事项</w:t>
      </w:r>
    </w:p>
    <w:p>
      <w:pPr>
        <w:spacing w:line="276" w:lineRule="auto"/>
        <w:ind w:firstLine="422" w:firstLineChars="200"/>
        <w:jc w:val="left"/>
        <w:rPr>
          <w:rFonts w:asciiTheme="minorEastAsia" w:hAnsiTheme="minorEastAsia" w:eastAsiaTheme="minorEastAsia"/>
          <w:b/>
          <w:kern w:val="0"/>
          <w:szCs w:val="20"/>
          <w:highlight w:val="none"/>
        </w:rPr>
      </w:pPr>
      <w:bookmarkStart w:id="28" w:name="_Hlk72579465"/>
      <w:r>
        <w:rPr>
          <w:rFonts w:hint="eastAsia" w:asciiTheme="minorEastAsia" w:hAnsiTheme="minorEastAsia" w:eastAsiaTheme="minorEastAsia"/>
          <w:b/>
          <w:kern w:val="0"/>
          <w:szCs w:val="20"/>
          <w:highlight w:val="none"/>
        </w:rPr>
        <w:t>1、评标定标信息</w:t>
      </w:r>
    </w:p>
    <w:p>
      <w:pPr>
        <w:jc w:val="center"/>
        <w:rPr>
          <w:highlight w:val="none"/>
        </w:rPr>
      </w:pPr>
      <w:r>
        <w:rPr>
          <w:rFonts w:hint="eastAsia"/>
          <w:b/>
          <w:highlight w:val="none"/>
        </w:rPr>
        <w:t>非评定分离项目</w:t>
      </w:r>
    </w:p>
    <w:tbl>
      <w:tblPr>
        <w:tblStyle w:val="4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90"/>
        <w:gridCol w:w="4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pct"/>
          </w:tcPr>
          <w:p>
            <w:pPr>
              <w:jc w:val="center"/>
              <w:rPr>
                <w:highlight w:val="none"/>
              </w:rPr>
            </w:pPr>
            <w:r>
              <w:rPr>
                <w:rFonts w:hint="eastAsia"/>
                <w:highlight w:val="none"/>
              </w:rPr>
              <w:t>评标方法</w:t>
            </w:r>
          </w:p>
        </w:tc>
        <w:tc>
          <w:tcPr>
            <w:tcW w:w="2660" w:type="pct"/>
          </w:tcPr>
          <w:p>
            <w:pPr>
              <w:jc w:val="center"/>
              <w:rPr>
                <w:rFonts w:hint="default" w:eastAsia="宋体"/>
                <w:highlight w:val="none"/>
                <w:lang w:val="en-US" w:eastAsia="zh-CN"/>
              </w:rPr>
            </w:pPr>
            <w:r>
              <w:rPr>
                <w:rFonts w:hint="eastAsia"/>
                <w:highlight w:val="none"/>
              </w:rPr>
              <w:sym w:font="Wingdings" w:char="00A8"/>
            </w:r>
            <w:r>
              <w:rPr>
                <w:rFonts w:hint="eastAsia"/>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pct"/>
          </w:tcPr>
          <w:p>
            <w:pPr>
              <w:jc w:val="center"/>
              <w:rPr>
                <w:highlight w:val="none"/>
              </w:rPr>
            </w:pPr>
            <w:r>
              <w:rPr>
                <w:rFonts w:hint="eastAsia"/>
                <w:highlight w:val="none"/>
              </w:rPr>
              <w:t>候选中标供应商家数</w:t>
            </w:r>
          </w:p>
        </w:tc>
        <w:tc>
          <w:tcPr>
            <w:tcW w:w="2660" w:type="pct"/>
          </w:tcPr>
          <w:p>
            <w:pPr>
              <w:jc w:val="center"/>
              <w:rPr>
                <w:rFonts w:hint="default" w:eastAsia="宋体"/>
                <w:highlight w:val="none"/>
                <w:lang w:val="en-US" w:eastAsia="zh-CN"/>
              </w:rPr>
            </w:pPr>
            <w:r>
              <w:rPr>
                <w:rFonts w:hint="eastAsia"/>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pct"/>
          </w:tcPr>
          <w:p>
            <w:pPr>
              <w:jc w:val="center"/>
              <w:rPr>
                <w:highlight w:val="none"/>
              </w:rPr>
            </w:pPr>
            <w:r>
              <w:rPr>
                <w:rFonts w:hint="eastAsia"/>
                <w:highlight w:val="none"/>
              </w:rPr>
              <w:t>中标供应商家数</w:t>
            </w:r>
          </w:p>
        </w:tc>
        <w:tc>
          <w:tcPr>
            <w:tcW w:w="2660" w:type="pct"/>
          </w:tcPr>
          <w:p>
            <w:pPr>
              <w:jc w:val="center"/>
              <w:rPr>
                <w:highlight w:val="none"/>
              </w:rPr>
            </w:pPr>
            <w:r>
              <w:rPr>
                <w:rFonts w:hint="eastAsia"/>
                <w:highlight w:val="none"/>
              </w:rPr>
              <w:t>1</w:t>
            </w:r>
          </w:p>
        </w:tc>
      </w:tr>
    </w:tbl>
    <w:p>
      <w:pPr>
        <w:pStyle w:val="3"/>
        <w:rPr>
          <w:highlight w:val="none"/>
        </w:rPr>
      </w:pPr>
    </w:p>
    <w:p>
      <w:pPr>
        <w:ind w:firstLine="422" w:firstLineChars="200"/>
        <w:rPr>
          <w:rFonts w:hint="eastAsia" w:ascii="宋体" w:hAnsi="宋体"/>
          <w:b/>
          <w:highlight w:val="none"/>
        </w:rPr>
      </w:pPr>
    </w:p>
    <w:bookmarkEnd w:id="28"/>
    <w:p>
      <w:pPr>
        <w:ind w:firstLine="422" w:firstLineChars="200"/>
        <w:rPr>
          <w:rFonts w:hint="eastAsia"/>
          <w:b/>
          <w:highlight w:val="none"/>
        </w:rPr>
      </w:pPr>
      <w:r>
        <w:rPr>
          <w:rFonts w:hint="eastAsia"/>
          <w:b/>
          <w:highlight w:val="none"/>
        </w:rPr>
        <w:t>（二）其他事项</w:t>
      </w:r>
    </w:p>
    <w:p>
      <w:pPr>
        <w:ind w:firstLine="420" w:firstLineChars="200"/>
        <w:rPr>
          <w:highlight w:val="none"/>
        </w:rPr>
      </w:pPr>
      <w:r>
        <w:rPr>
          <w:highlight w:val="none"/>
        </w:rPr>
        <w:t>1</w:t>
      </w:r>
      <w:r>
        <w:rPr>
          <w:rFonts w:hint="eastAsia"/>
          <w:highlight w:val="none"/>
        </w:rPr>
        <w:t>、关于享受优惠政策的主体及价格扣除比例</w:t>
      </w:r>
    </w:p>
    <w:p>
      <w:pPr>
        <w:ind w:firstLine="420" w:firstLineChars="200"/>
        <w:rPr>
          <w:rFonts w:hint="default" w:eastAsia="宋体"/>
          <w:highlight w:val="none"/>
          <w:lang w:val="en-US" w:eastAsia="zh-CN"/>
        </w:rPr>
      </w:pPr>
      <w:r>
        <w:rPr>
          <w:rFonts w:hint="eastAsia"/>
          <w:highlight w:val="none"/>
        </w:rPr>
        <w:t>（1）</w:t>
      </w:r>
      <w:r>
        <w:rPr>
          <w:rFonts w:hint="eastAsia" w:ascii="Times New Roman" w:eastAsia="宋体"/>
          <w:highlight w:val="none"/>
          <w:lang w:val="en-US" w:eastAsia="zh-CN"/>
        </w:rPr>
        <w:t>专门面向中小企业采购的项目，不再执行价格扣除比例。</w:t>
      </w:r>
    </w:p>
    <w:p>
      <w:pPr>
        <w:ind w:firstLine="420" w:firstLineChars="200"/>
        <w:rPr>
          <w:rFonts w:hint="eastAsia"/>
          <w:highlight w:val="none"/>
        </w:rPr>
      </w:pPr>
      <w:r>
        <w:rPr>
          <w:rFonts w:hint="eastAsia"/>
          <w:highlight w:val="none"/>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highlight w:val="none"/>
        </w:rPr>
        <w:t>b)</w:t>
      </w:r>
      <w:r>
        <w:rPr>
          <w:rFonts w:hint="eastAsia"/>
          <w:highlight w:val="none"/>
        </w:rPr>
        <w:t>优惠主体承接是指提供服务的人员为中小企业依照《中华人民共和国劳动合同法》订立劳动合同的从业人员。</w:t>
      </w:r>
    </w:p>
    <w:p>
      <w:pPr>
        <w:numPr>
          <w:ilvl w:val="-1"/>
          <w:numId w:val="0"/>
        </w:numPr>
        <w:ind w:firstLine="420" w:firstLineChars="200"/>
        <w:rPr>
          <w:rFonts w:hint="eastAsia"/>
          <w:sz w:val="21"/>
          <w:szCs w:val="21"/>
          <w:highlight w:val="none"/>
        </w:rPr>
      </w:pPr>
      <w:r>
        <w:rPr>
          <w:rFonts w:hint="eastAsia"/>
          <w:highlight w:val="none"/>
        </w:rPr>
        <w:t>（</w:t>
      </w:r>
      <w:r>
        <w:rPr>
          <w:rFonts w:hint="eastAsia"/>
          <w:highlight w:val="none"/>
          <w:lang w:val="en-US" w:eastAsia="zh-CN"/>
        </w:rPr>
        <w:t>2</w:t>
      </w:r>
      <w:r>
        <w:rPr>
          <w:rFonts w:hint="eastAsia"/>
          <w:highlight w:val="none"/>
        </w:rPr>
        <w:t>）</w:t>
      </w:r>
      <w:r>
        <w:rPr>
          <w:rFonts w:ascii="宋体" w:hAnsi="宋体" w:eastAsia="宋体" w:cs="宋体"/>
          <w:sz w:val="21"/>
          <w:szCs w:val="21"/>
          <w:highlight w:val="none"/>
        </w:rPr>
        <w:t>中小企业参加政府采购活动，应当按照国务院批准的《中小企业划型标准规定》（工信部联企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hAnsi="宋体" w:eastAsia="宋体" w:cs="宋体"/>
          <w:b/>
          <w:bCs/>
          <w:color w:val="FF0000"/>
          <w:sz w:val="21"/>
          <w:szCs w:val="21"/>
          <w:highlight w:val="none"/>
        </w:rPr>
        <w:t>《中小企业声明函》中相关企业所属行业应当与采购标的所属行业相一致。</w:t>
      </w:r>
      <w:r>
        <w:rPr>
          <w:rFonts w:hint="eastAsia"/>
          <w:sz w:val="21"/>
          <w:szCs w:val="21"/>
          <w:highlight w:val="none"/>
        </w:rPr>
        <w:t>本项目采购标的（</w:t>
      </w:r>
      <w:r>
        <w:rPr>
          <w:rFonts w:hint="eastAsia" w:ascii="Times New Roman" w:eastAsia="宋体"/>
          <w:sz w:val="21"/>
          <w:szCs w:val="21"/>
          <w:highlight w:val="none"/>
          <w:lang w:val="en-US" w:eastAsia="zh-CN"/>
        </w:rPr>
        <w:t>服务需求</w:t>
      </w:r>
      <w:r>
        <w:rPr>
          <w:rFonts w:hint="eastAsia"/>
          <w:sz w:val="21"/>
          <w:szCs w:val="21"/>
          <w:highlight w:val="none"/>
        </w:rPr>
        <w:t>）对应的中小企业划分标准所属行业为</w:t>
      </w:r>
      <w:r>
        <w:rPr>
          <w:rFonts w:hint="eastAsia" w:ascii="宋体" w:hAnsi="宋体"/>
          <w:bCs/>
          <w:szCs w:val="21"/>
          <w:highlight w:val="none"/>
        </w:rPr>
        <w:t>租赁和商务服务业</w:t>
      </w:r>
      <w:r>
        <w:rPr>
          <w:rFonts w:hint="eastAsia"/>
          <w:sz w:val="21"/>
          <w:szCs w:val="21"/>
          <w:highlight w:val="none"/>
        </w:rPr>
        <w:t>业。</w:t>
      </w:r>
    </w:p>
    <w:p>
      <w:pPr>
        <w:numPr>
          <w:ilvl w:val="0"/>
          <w:numId w:val="10"/>
        </w:numPr>
        <w:ind w:firstLine="420" w:firstLineChars="200"/>
        <w:rPr>
          <w:highlight w:val="none"/>
        </w:rPr>
      </w:pPr>
      <w:r>
        <w:rPr>
          <w:rFonts w:hint="eastAsia"/>
          <w:sz w:val="21"/>
          <w:szCs w:val="21"/>
          <w:highlight w:val="none"/>
        </w:rPr>
        <w:t>小型企业、微</w:t>
      </w:r>
      <w:r>
        <w:rPr>
          <w:rFonts w:hint="eastAsia"/>
          <w:highlight w:val="none"/>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三章“投标文件格式、附件”中“四、投标人情况介绍”章节提供的格式）。</w:t>
      </w:r>
    </w:p>
    <w:p>
      <w:pPr>
        <w:numPr>
          <w:ilvl w:val="0"/>
          <w:numId w:val="10"/>
        </w:numPr>
        <w:ind w:left="0" w:leftChars="0" w:firstLine="420" w:firstLineChars="200"/>
        <w:rPr>
          <w:rFonts w:hint="eastAsia"/>
          <w:highlight w:val="none"/>
        </w:rPr>
      </w:pPr>
      <w:r>
        <w:rPr>
          <w:rFonts w:hint="eastAsia"/>
          <w:highlight w:val="none"/>
        </w:rPr>
        <w:t>享受价格扣除获得政府采购合同的，小微企业不得将合同分包给大中型企业。</w:t>
      </w:r>
    </w:p>
    <w:p>
      <w:pPr>
        <w:adjustRightInd w:val="0"/>
        <w:snapToGrid w:val="0"/>
        <w:spacing w:line="276" w:lineRule="auto"/>
        <w:ind w:firstLine="422" w:firstLineChars="200"/>
        <w:rPr>
          <w:rFonts w:hint="eastAsia" w:ascii="宋体" w:hAnsi="宋体" w:cs="宋体"/>
          <w:b/>
          <w:bCs/>
          <w:highlight w:val="none"/>
        </w:rPr>
      </w:pPr>
    </w:p>
    <w:p>
      <w:pPr>
        <w:numPr>
          <w:ilvl w:val="0"/>
          <w:numId w:val="0"/>
        </w:numPr>
        <w:ind w:leftChars="200"/>
        <w:rPr>
          <w:rFonts w:hint="eastAsia"/>
          <w:highlight w:val="none"/>
        </w:rPr>
      </w:pPr>
    </w:p>
    <w:p>
      <w:pPr>
        <w:spacing w:line="360" w:lineRule="auto"/>
        <w:ind w:firstLine="422" w:firstLineChars="200"/>
        <w:rPr>
          <w:rFonts w:ascii="宋体" w:hAnsi="宋体" w:cs="宋体"/>
          <w:b/>
          <w:bCs/>
          <w:highlight w:val="none"/>
        </w:rPr>
      </w:pPr>
      <w:r>
        <w:rPr>
          <w:rFonts w:hint="eastAsia" w:ascii="宋体" w:hAnsi="宋体" w:cs="宋体"/>
          <w:b/>
          <w:bCs/>
          <w:highlight w:val="none"/>
        </w:rPr>
        <w:t>2.关于政府采购订单融资政策</w:t>
      </w:r>
    </w:p>
    <w:p>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ascii="宋体" w:hAnsi="宋体"/>
          <w:b/>
          <w:highlight w:val="none"/>
        </w:rPr>
      </w:pPr>
      <w:r>
        <w:rPr>
          <w:rFonts w:hint="eastAsia"/>
          <w:color w:val="FF0000"/>
          <w:highlight w:val="none"/>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ind w:firstLine="422" w:firstLineChars="200"/>
        <w:rPr>
          <w:rFonts w:hint="eastAsia"/>
          <w:b/>
          <w:highlight w:val="none"/>
        </w:rPr>
      </w:pPr>
    </w:p>
    <w:p>
      <w:pPr>
        <w:ind w:firstLine="422" w:firstLineChars="200"/>
        <w:rPr>
          <w:rFonts w:hint="eastAsia"/>
          <w:b/>
          <w:highlight w:val="none"/>
        </w:rPr>
      </w:pPr>
    </w:p>
    <w:p>
      <w:pPr>
        <w:ind w:firstLine="422" w:firstLineChars="200"/>
        <w:rPr>
          <w:rFonts w:hint="eastAsia"/>
          <w:b/>
          <w:highlight w:val="none"/>
        </w:rPr>
      </w:pPr>
    </w:p>
    <w:p>
      <w:pPr>
        <w:ind w:firstLine="422" w:firstLineChars="200"/>
        <w:rPr>
          <w:rFonts w:hint="eastAsia"/>
          <w:b/>
          <w:highlight w:val="none"/>
        </w:rPr>
      </w:pPr>
    </w:p>
    <w:p>
      <w:pPr>
        <w:ind w:firstLine="422" w:firstLineChars="200"/>
        <w:rPr>
          <w:rFonts w:hint="eastAsia"/>
          <w:b/>
          <w:highlight w:val="none"/>
        </w:rPr>
      </w:pPr>
      <w:r>
        <w:rPr>
          <w:rFonts w:hint="eastAsia"/>
          <w:b/>
          <w:highlight w:val="none"/>
        </w:rPr>
        <w:t>3</w:t>
      </w:r>
      <w:bookmarkStart w:id="29" w:name="_Hlk76855768"/>
      <w:bookmarkStart w:id="30" w:name="_Hlk72594729"/>
      <w:r>
        <w:rPr>
          <w:rFonts w:hint="eastAsia"/>
          <w:b/>
          <w:highlight w:val="none"/>
          <w:lang w:val="en-US" w:eastAsia="zh-CN"/>
        </w:rPr>
        <w:t>.</w:t>
      </w:r>
      <w:r>
        <w:rPr>
          <w:rFonts w:hint="eastAsia"/>
          <w:b/>
          <w:highlight w:val="none"/>
        </w:rPr>
        <w:t>本项目为代理服务项目，将向中标</w:t>
      </w:r>
      <w:r>
        <w:rPr>
          <w:rFonts w:hint="eastAsia"/>
          <w:b/>
          <w:highlight w:val="none"/>
          <w:lang w:eastAsia="zh-CN"/>
        </w:rPr>
        <w:t>（</w:t>
      </w:r>
      <w:r>
        <w:rPr>
          <w:rFonts w:hint="eastAsia"/>
          <w:b/>
          <w:highlight w:val="none"/>
          <w:lang w:val="en-US" w:eastAsia="zh-CN"/>
        </w:rPr>
        <w:t>成交</w:t>
      </w:r>
      <w:r>
        <w:rPr>
          <w:rFonts w:hint="eastAsia"/>
          <w:b/>
          <w:highlight w:val="none"/>
          <w:lang w:eastAsia="zh-CN"/>
        </w:rPr>
        <w:t>）</w:t>
      </w:r>
      <w:r>
        <w:rPr>
          <w:rFonts w:hint="eastAsia"/>
          <w:b/>
          <w:highlight w:val="none"/>
        </w:rPr>
        <w:t>供应商收取代理服务费。</w:t>
      </w:r>
    </w:p>
    <w:bookmarkEnd w:id="29"/>
    <w:bookmarkEnd w:id="30"/>
    <w:p>
      <w:pPr>
        <w:ind w:firstLine="420" w:firstLineChars="200"/>
        <w:rPr>
          <w:highlight w:val="none"/>
        </w:rPr>
      </w:pPr>
      <w:r>
        <w:rPr>
          <w:rFonts w:hint="eastAsia"/>
          <w:highlight w:val="none"/>
        </w:rPr>
        <w:t>中标</w:t>
      </w:r>
      <w:r>
        <w:rPr>
          <w:rFonts w:hint="eastAsia" w:eastAsia="宋体"/>
          <w:highlight w:val="none"/>
          <w:lang w:eastAsia="zh-CN"/>
        </w:rPr>
        <w:t>（</w:t>
      </w:r>
      <w:r>
        <w:rPr>
          <w:rFonts w:hint="eastAsia" w:ascii="Times New Roman" w:eastAsia="宋体"/>
          <w:highlight w:val="none"/>
          <w:lang w:val="en-US" w:eastAsia="zh-CN"/>
        </w:rPr>
        <w:t>成交</w:t>
      </w:r>
      <w:r>
        <w:rPr>
          <w:rFonts w:hint="eastAsia" w:eastAsia="宋体"/>
          <w:highlight w:val="none"/>
          <w:lang w:eastAsia="zh-CN"/>
        </w:rPr>
        <w:t>）</w:t>
      </w:r>
      <w:r>
        <w:rPr>
          <w:rFonts w:hint="eastAsia"/>
          <w:highlight w:val="none"/>
        </w:rPr>
        <w:t>供应商在领取《中标</w:t>
      </w:r>
      <w:r>
        <w:rPr>
          <w:rFonts w:hint="eastAsia" w:eastAsia="宋体"/>
          <w:highlight w:val="none"/>
          <w:lang w:eastAsia="zh-CN"/>
        </w:rPr>
        <w:t>（</w:t>
      </w:r>
      <w:r>
        <w:rPr>
          <w:rFonts w:hint="eastAsia" w:ascii="Times New Roman" w:eastAsia="宋体"/>
          <w:highlight w:val="none"/>
          <w:lang w:val="en-US" w:eastAsia="zh-CN"/>
        </w:rPr>
        <w:t>成交</w:t>
      </w:r>
      <w:r>
        <w:rPr>
          <w:rFonts w:hint="eastAsia" w:eastAsia="宋体"/>
          <w:highlight w:val="none"/>
          <w:lang w:eastAsia="zh-CN"/>
        </w:rPr>
        <w:t>）</w:t>
      </w:r>
      <w:r>
        <w:rPr>
          <w:rFonts w:hint="eastAsia"/>
          <w:highlight w:val="none"/>
        </w:rPr>
        <w:t>通知书》之前须向深圳公共资源交易中心（深圳交易集团有限公司</w:t>
      </w:r>
      <w:r>
        <w:rPr>
          <w:rFonts w:hint="eastAsia"/>
          <w:highlight w:val="none"/>
          <w:lang w:val="en-US" w:eastAsia="zh-CN"/>
        </w:rPr>
        <w:t>福田</w:t>
      </w:r>
      <w:r>
        <w:rPr>
          <w:rFonts w:hint="eastAsia"/>
          <w:highlight w:val="none"/>
        </w:rPr>
        <w:t>分公司）交纳代理服务费。若因中标</w:t>
      </w:r>
      <w:r>
        <w:rPr>
          <w:rFonts w:hint="eastAsia" w:eastAsia="宋体"/>
          <w:highlight w:val="none"/>
          <w:lang w:eastAsia="zh-CN"/>
        </w:rPr>
        <w:t>（</w:t>
      </w:r>
      <w:r>
        <w:rPr>
          <w:rFonts w:hint="eastAsia" w:ascii="Times New Roman" w:eastAsia="宋体"/>
          <w:highlight w:val="none"/>
          <w:lang w:val="en-US" w:eastAsia="zh-CN"/>
        </w:rPr>
        <w:t>成交</w:t>
      </w:r>
      <w:r>
        <w:rPr>
          <w:rFonts w:hint="eastAsia" w:eastAsia="宋体"/>
          <w:highlight w:val="none"/>
          <w:lang w:eastAsia="zh-CN"/>
        </w:rPr>
        <w:t>）</w:t>
      </w:r>
      <w:r>
        <w:rPr>
          <w:rFonts w:hint="eastAsia"/>
          <w:highlight w:val="none"/>
        </w:rPr>
        <w:t>供应商交纳代理服务费所产生的时间影响到合同签订的，由中标</w:t>
      </w:r>
      <w:r>
        <w:rPr>
          <w:rFonts w:hint="eastAsia" w:eastAsia="宋体"/>
          <w:highlight w:val="none"/>
          <w:lang w:eastAsia="zh-CN"/>
        </w:rPr>
        <w:t>（</w:t>
      </w:r>
      <w:r>
        <w:rPr>
          <w:rFonts w:hint="eastAsia" w:ascii="Times New Roman" w:eastAsia="宋体"/>
          <w:highlight w:val="none"/>
          <w:lang w:val="en-US" w:eastAsia="zh-CN"/>
        </w:rPr>
        <w:t>成交</w:t>
      </w:r>
      <w:r>
        <w:rPr>
          <w:rFonts w:hint="eastAsia" w:eastAsia="宋体"/>
          <w:highlight w:val="none"/>
          <w:lang w:eastAsia="zh-CN"/>
        </w:rPr>
        <w:t>）</w:t>
      </w:r>
      <w:r>
        <w:rPr>
          <w:rFonts w:hint="eastAsia"/>
          <w:highlight w:val="none"/>
        </w:rPr>
        <w:t>供应商自行承担责任。代理服务费标准参照</w:t>
      </w:r>
      <w:r>
        <w:rPr>
          <w:rFonts w:hint="eastAsia" w:ascii="Times New Roman" w:eastAsia="宋体"/>
          <w:highlight w:val="none"/>
          <w:lang w:val="en-US" w:eastAsia="zh-CN"/>
        </w:rPr>
        <w:t>下列</w:t>
      </w:r>
      <w:r>
        <w:rPr>
          <w:rFonts w:hint="eastAsia"/>
          <w:highlight w:val="none"/>
        </w:rPr>
        <w:t>标准收取。</w:t>
      </w:r>
      <w:r>
        <w:rPr>
          <w:rFonts w:hint="eastAsia"/>
          <w:b/>
          <w:color w:val="FF0000"/>
          <w:highlight w:val="none"/>
        </w:rPr>
        <w:t>本项目类型为</w:t>
      </w:r>
      <w:r>
        <w:rPr>
          <w:rFonts w:hint="eastAsia"/>
          <w:b/>
          <w:color w:val="FF0000"/>
          <w:highlight w:val="none"/>
          <w:lang w:val="en-US" w:eastAsia="zh-CN"/>
        </w:rPr>
        <w:t>服务</w:t>
      </w:r>
      <w:r>
        <w:rPr>
          <w:rFonts w:hint="eastAsia"/>
          <w:b/>
          <w:color w:val="FF0000"/>
          <w:highlight w:val="none"/>
        </w:rPr>
        <w:t>采购：</w:t>
      </w:r>
    </w:p>
    <w:p>
      <w:pPr>
        <w:ind w:firstLine="420" w:firstLineChars="200"/>
        <w:rPr>
          <w:highlight w:val="none"/>
        </w:rPr>
      </w:pPr>
      <w:r>
        <w:rPr>
          <w:rFonts w:hint="eastAsia"/>
          <w:highlight w:val="none"/>
        </w:rPr>
        <w:t>（</w:t>
      </w:r>
      <w:r>
        <w:rPr>
          <w:rFonts w:hint="eastAsia" w:ascii="Times New Roman" w:eastAsia="宋体"/>
          <w:highlight w:val="none"/>
          <w:lang w:val="en-US" w:eastAsia="zh-CN"/>
        </w:rPr>
        <w:t>1</w:t>
      </w:r>
      <w:r>
        <w:rPr>
          <w:rFonts w:hint="eastAsia"/>
          <w:highlight w:val="none"/>
        </w:rPr>
        <w:t>）代理服务费以《中标</w:t>
      </w:r>
      <w:r>
        <w:rPr>
          <w:rFonts w:hint="eastAsia" w:eastAsia="宋体"/>
          <w:highlight w:val="none"/>
          <w:lang w:eastAsia="zh-CN"/>
        </w:rPr>
        <w:t>（</w:t>
      </w:r>
      <w:r>
        <w:rPr>
          <w:rFonts w:hint="eastAsia" w:ascii="Times New Roman" w:eastAsia="宋体"/>
          <w:highlight w:val="none"/>
          <w:lang w:val="en-US" w:eastAsia="zh-CN"/>
        </w:rPr>
        <w:t>成交</w:t>
      </w:r>
      <w:r>
        <w:rPr>
          <w:rFonts w:hint="eastAsia" w:eastAsia="宋体"/>
          <w:highlight w:val="none"/>
          <w:lang w:eastAsia="zh-CN"/>
        </w:rPr>
        <w:t>）</w:t>
      </w:r>
      <w:r>
        <w:rPr>
          <w:rFonts w:hint="eastAsia"/>
          <w:highlight w:val="none"/>
        </w:rPr>
        <w:t>通知书》确定的</w:t>
      </w:r>
      <w:r>
        <w:rPr>
          <w:rFonts w:hint="eastAsia" w:ascii="Times New Roman" w:eastAsia="宋体"/>
          <w:highlight w:val="none"/>
          <w:lang w:val="en-US" w:eastAsia="zh-CN"/>
        </w:rPr>
        <w:t>中标（</w:t>
      </w:r>
      <w:r>
        <w:rPr>
          <w:rFonts w:hint="eastAsia"/>
          <w:highlight w:val="none"/>
        </w:rPr>
        <w:t>成交</w:t>
      </w:r>
      <w:r>
        <w:rPr>
          <w:rFonts w:hint="eastAsia" w:eastAsia="宋体"/>
          <w:highlight w:val="none"/>
          <w:lang w:eastAsia="zh-CN"/>
        </w:rPr>
        <w:t>）</w:t>
      </w:r>
      <w:r>
        <w:rPr>
          <w:rFonts w:hint="eastAsia"/>
          <w:highlight w:val="none"/>
        </w:rPr>
        <w:t>金额作为计算基数，按差额定率累进法计算。</w:t>
      </w:r>
    </w:p>
    <w:p>
      <w:pPr>
        <w:ind w:firstLine="420" w:firstLineChars="200"/>
        <w:rPr>
          <w:highlight w:val="none"/>
        </w:rPr>
      </w:pPr>
      <w:r>
        <w:rPr>
          <w:rFonts w:hint="eastAsia"/>
          <w:highlight w:val="none"/>
        </w:rPr>
        <w:t>（</w:t>
      </w:r>
      <w:r>
        <w:rPr>
          <w:rFonts w:hint="eastAsia" w:ascii="Times New Roman" w:eastAsia="宋体"/>
          <w:highlight w:val="none"/>
          <w:lang w:val="en-US" w:eastAsia="zh-CN"/>
        </w:rPr>
        <w:t>2</w:t>
      </w:r>
      <w:r>
        <w:rPr>
          <w:rFonts w:hint="eastAsia"/>
          <w:highlight w:val="none"/>
        </w:rPr>
        <w:t>）中标</w:t>
      </w:r>
      <w:r>
        <w:rPr>
          <w:rFonts w:hint="eastAsia" w:eastAsia="宋体"/>
          <w:highlight w:val="none"/>
          <w:lang w:eastAsia="zh-CN"/>
        </w:rPr>
        <w:t>（</w:t>
      </w:r>
      <w:r>
        <w:rPr>
          <w:rFonts w:hint="eastAsia" w:ascii="Times New Roman" w:eastAsia="宋体"/>
          <w:highlight w:val="none"/>
          <w:lang w:val="en-US" w:eastAsia="zh-CN"/>
        </w:rPr>
        <w:t>成交</w:t>
      </w:r>
      <w:r>
        <w:rPr>
          <w:rFonts w:hint="eastAsia" w:eastAsia="宋体"/>
          <w:highlight w:val="none"/>
          <w:lang w:eastAsia="zh-CN"/>
        </w:rPr>
        <w:t>）</w:t>
      </w:r>
      <w:r>
        <w:rPr>
          <w:rFonts w:hint="eastAsia"/>
          <w:highlight w:val="none"/>
        </w:rPr>
        <w:t>金额的各部分费率如下表：</w:t>
      </w: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pPr>
              <w:widowControl/>
              <w:spacing w:line="360" w:lineRule="auto"/>
              <w:jc w:val="center"/>
              <w:rPr>
                <w:highlight w:val="none"/>
              </w:rPr>
            </w:pPr>
            <w:r>
              <w:rPr>
                <w:rFonts w:hint="eastAsia" w:ascii="Times New Roman" w:eastAsia="宋体"/>
                <w:highlight w:val="none"/>
                <w:lang w:val="en-US" w:eastAsia="zh-CN"/>
              </w:rPr>
              <w:t>中标</w:t>
            </w:r>
            <w:r>
              <w:rPr>
                <w:rFonts w:hint="eastAsia" w:eastAsia="宋体"/>
                <w:highlight w:val="none"/>
                <w:lang w:eastAsia="zh-CN"/>
              </w:rPr>
              <w:t>（</w:t>
            </w:r>
            <w:r>
              <w:rPr>
                <w:rFonts w:hint="eastAsia" w:ascii="Times New Roman" w:eastAsia="宋体"/>
                <w:highlight w:val="none"/>
                <w:lang w:val="en-US" w:eastAsia="zh-CN"/>
              </w:rPr>
              <w:t>成交</w:t>
            </w:r>
            <w:r>
              <w:rPr>
                <w:rFonts w:hint="eastAsia" w:eastAsia="宋体"/>
                <w:highlight w:val="none"/>
                <w:lang w:eastAsia="zh-CN"/>
              </w:rPr>
              <w:t>）</w:t>
            </w:r>
            <w:r>
              <w:rPr>
                <w:rFonts w:hint="eastAsia"/>
                <w:highlight w:val="none"/>
              </w:rPr>
              <w:t>金额</w:t>
            </w:r>
          </w:p>
        </w:tc>
        <w:tc>
          <w:tcPr>
            <w:tcW w:w="1799" w:type="dxa"/>
            <w:vAlign w:val="center"/>
          </w:tcPr>
          <w:p>
            <w:pPr>
              <w:widowControl/>
              <w:spacing w:line="360" w:lineRule="auto"/>
              <w:jc w:val="center"/>
              <w:rPr>
                <w:highlight w:val="none"/>
              </w:rPr>
            </w:pPr>
            <w:r>
              <w:rPr>
                <w:rFonts w:hint="eastAsia"/>
                <w:highlight w:val="none"/>
              </w:rPr>
              <w:t>货物采购</w:t>
            </w:r>
          </w:p>
        </w:tc>
        <w:tc>
          <w:tcPr>
            <w:tcW w:w="1799" w:type="dxa"/>
            <w:vAlign w:val="center"/>
          </w:tcPr>
          <w:p>
            <w:pPr>
              <w:widowControl/>
              <w:spacing w:line="360" w:lineRule="auto"/>
              <w:jc w:val="center"/>
              <w:rPr>
                <w:highlight w:val="none"/>
              </w:rPr>
            </w:pPr>
            <w:r>
              <w:rPr>
                <w:rFonts w:hint="eastAsia"/>
                <w:highlight w:val="none"/>
              </w:rPr>
              <w:t>服务采购</w:t>
            </w:r>
          </w:p>
        </w:tc>
        <w:tc>
          <w:tcPr>
            <w:tcW w:w="1799" w:type="dxa"/>
            <w:vAlign w:val="center"/>
          </w:tcPr>
          <w:p>
            <w:pPr>
              <w:widowControl/>
              <w:spacing w:line="360" w:lineRule="auto"/>
              <w:jc w:val="center"/>
              <w:rPr>
                <w:highlight w:val="none"/>
              </w:rPr>
            </w:pPr>
            <w:r>
              <w:rPr>
                <w:rFonts w:hint="eastAsia"/>
                <w:highlight w:val="none"/>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rPr>
                <w:highlight w:val="none"/>
              </w:rPr>
            </w:pPr>
            <w:r>
              <w:rPr>
                <w:rFonts w:hint="eastAsia"/>
                <w:highlight w:val="none"/>
              </w:rPr>
              <w:t>100万元以下</w:t>
            </w:r>
          </w:p>
        </w:tc>
        <w:tc>
          <w:tcPr>
            <w:tcW w:w="1799" w:type="dxa"/>
            <w:vAlign w:val="center"/>
          </w:tcPr>
          <w:p>
            <w:pPr>
              <w:widowControl/>
              <w:spacing w:line="360" w:lineRule="auto"/>
              <w:jc w:val="center"/>
              <w:rPr>
                <w:highlight w:val="none"/>
              </w:rPr>
            </w:pPr>
            <w:r>
              <w:rPr>
                <w:rFonts w:hint="eastAsia"/>
                <w:highlight w:val="none"/>
              </w:rPr>
              <w:t>1.5%</w:t>
            </w:r>
          </w:p>
        </w:tc>
        <w:tc>
          <w:tcPr>
            <w:tcW w:w="1799" w:type="dxa"/>
            <w:vAlign w:val="center"/>
          </w:tcPr>
          <w:p>
            <w:pPr>
              <w:widowControl/>
              <w:spacing w:line="360" w:lineRule="auto"/>
              <w:jc w:val="center"/>
              <w:rPr>
                <w:highlight w:val="none"/>
              </w:rPr>
            </w:pPr>
            <w:r>
              <w:rPr>
                <w:rFonts w:hint="eastAsia"/>
                <w:highlight w:val="none"/>
              </w:rPr>
              <w:t>1.5%</w:t>
            </w:r>
          </w:p>
        </w:tc>
        <w:tc>
          <w:tcPr>
            <w:tcW w:w="1799" w:type="dxa"/>
            <w:vAlign w:val="center"/>
          </w:tcPr>
          <w:p>
            <w:pPr>
              <w:widowControl/>
              <w:spacing w:line="360" w:lineRule="auto"/>
              <w:jc w:val="center"/>
              <w:rPr>
                <w:highlight w:val="none"/>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rPr>
                <w:highlight w:val="none"/>
              </w:rPr>
            </w:pPr>
            <w:r>
              <w:rPr>
                <w:rFonts w:hint="eastAsia"/>
                <w:highlight w:val="none"/>
              </w:rPr>
              <w:t>100万元（含）-500万元</w:t>
            </w:r>
          </w:p>
        </w:tc>
        <w:tc>
          <w:tcPr>
            <w:tcW w:w="1799" w:type="dxa"/>
            <w:vAlign w:val="center"/>
          </w:tcPr>
          <w:p>
            <w:pPr>
              <w:widowControl/>
              <w:spacing w:line="360" w:lineRule="auto"/>
              <w:jc w:val="center"/>
              <w:rPr>
                <w:highlight w:val="none"/>
              </w:rPr>
            </w:pPr>
            <w:r>
              <w:rPr>
                <w:rFonts w:hint="eastAsia"/>
                <w:highlight w:val="none"/>
              </w:rPr>
              <w:t>1.1%</w:t>
            </w:r>
          </w:p>
        </w:tc>
        <w:tc>
          <w:tcPr>
            <w:tcW w:w="1799" w:type="dxa"/>
            <w:vAlign w:val="center"/>
          </w:tcPr>
          <w:p>
            <w:pPr>
              <w:widowControl/>
              <w:spacing w:line="360" w:lineRule="auto"/>
              <w:jc w:val="center"/>
              <w:rPr>
                <w:highlight w:val="none"/>
              </w:rPr>
            </w:pPr>
            <w:r>
              <w:rPr>
                <w:rFonts w:hint="eastAsia"/>
                <w:highlight w:val="none"/>
              </w:rPr>
              <w:t>0.8%</w:t>
            </w:r>
          </w:p>
        </w:tc>
        <w:tc>
          <w:tcPr>
            <w:tcW w:w="1799" w:type="dxa"/>
            <w:vAlign w:val="center"/>
          </w:tcPr>
          <w:p>
            <w:pPr>
              <w:widowControl/>
              <w:spacing w:line="360" w:lineRule="auto"/>
              <w:jc w:val="center"/>
              <w:rPr>
                <w:highlight w:val="none"/>
              </w:rPr>
            </w:pPr>
            <w:r>
              <w:rPr>
                <w:rFonts w:hint="eastAsia"/>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rPr>
                <w:highlight w:val="none"/>
              </w:rPr>
            </w:pPr>
            <w:r>
              <w:rPr>
                <w:rFonts w:hint="eastAsia"/>
                <w:highlight w:val="none"/>
              </w:rPr>
              <w:t>500万元（含）-1000万元</w:t>
            </w:r>
          </w:p>
        </w:tc>
        <w:tc>
          <w:tcPr>
            <w:tcW w:w="1799" w:type="dxa"/>
            <w:vAlign w:val="center"/>
          </w:tcPr>
          <w:p>
            <w:pPr>
              <w:widowControl/>
              <w:spacing w:line="360" w:lineRule="auto"/>
              <w:jc w:val="center"/>
              <w:rPr>
                <w:highlight w:val="none"/>
              </w:rPr>
            </w:pPr>
            <w:r>
              <w:rPr>
                <w:rFonts w:hint="eastAsia"/>
                <w:highlight w:val="none"/>
              </w:rPr>
              <w:t>0.8%</w:t>
            </w:r>
          </w:p>
        </w:tc>
        <w:tc>
          <w:tcPr>
            <w:tcW w:w="1799" w:type="dxa"/>
            <w:vAlign w:val="center"/>
          </w:tcPr>
          <w:p>
            <w:pPr>
              <w:widowControl/>
              <w:spacing w:line="360" w:lineRule="auto"/>
              <w:jc w:val="center"/>
              <w:rPr>
                <w:highlight w:val="none"/>
              </w:rPr>
            </w:pPr>
            <w:r>
              <w:rPr>
                <w:rFonts w:hint="eastAsia"/>
                <w:highlight w:val="none"/>
              </w:rPr>
              <w:t>0.45%</w:t>
            </w:r>
          </w:p>
        </w:tc>
        <w:tc>
          <w:tcPr>
            <w:tcW w:w="1799" w:type="dxa"/>
            <w:vAlign w:val="center"/>
          </w:tcPr>
          <w:p>
            <w:pPr>
              <w:widowControl/>
              <w:spacing w:line="360" w:lineRule="auto"/>
              <w:jc w:val="center"/>
              <w:rPr>
                <w:highlight w:val="none"/>
              </w:rPr>
            </w:pPr>
            <w:r>
              <w:rPr>
                <w:rFonts w:hint="eastAsia"/>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rPr>
                <w:highlight w:val="none"/>
              </w:rPr>
            </w:pPr>
            <w:r>
              <w:rPr>
                <w:rFonts w:hint="eastAsia"/>
                <w:highlight w:val="none"/>
              </w:rPr>
              <w:t>1000万元（含）-5000万元</w:t>
            </w:r>
          </w:p>
        </w:tc>
        <w:tc>
          <w:tcPr>
            <w:tcW w:w="1799" w:type="dxa"/>
            <w:vAlign w:val="center"/>
          </w:tcPr>
          <w:p>
            <w:pPr>
              <w:widowControl/>
              <w:spacing w:line="360" w:lineRule="auto"/>
              <w:jc w:val="center"/>
              <w:rPr>
                <w:highlight w:val="none"/>
              </w:rPr>
            </w:pPr>
            <w:r>
              <w:rPr>
                <w:rFonts w:hint="eastAsia"/>
                <w:highlight w:val="none"/>
              </w:rPr>
              <w:t>0.5%</w:t>
            </w:r>
          </w:p>
        </w:tc>
        <w:tc>
          <w:tcPr>
            <w:tcW w:w="1799" w:type="dxa"/>
            <w:vAlign w:val="center"/>
          </w:tcPr>
          <w:p>
            <w:pPr>
              <w:widowControl/>
              <w:spacing w:line="360" w:lineRule="auto"/>
              <w:jc w:val="center"/>
              <w:rPr>
                <w:highlight w:val="none"/>
              </w:rPr>
            </w:pPr>
            <w:r>
              <w:rPr>
                <w:rFonts w:hint="eastAsia"/>
                <w:highlight w:val="none"/>
              </w:rPr>
              <w:t>0.25%</w:t>
            </w:r>
          </w:p>
        </w:tc>
        <w:tc>
          <w:tcPr>
            <w:tcW w:w="1799" w:type="dxa"/>
            <w:vAlign w:val="center"/>
          </w:tcPr>
          <w:p>
            <w:pPr>
              <w:widowControl/>
              <w:spacing w:line="360" w:lineRule="auto"/>
              <w:jc w:val="center"/>
              <w:rPr>
                <w:highlight w:val="none"/>
              </w:rPr>
            </w:pPr>
            <w:r>
              <w:rPr>
                <w:rFonts w:hint="eastAsia"/>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rPr>
                <w:highlight w:val="none"/>
              </w:rPr>
            </w:pPr>
            <w:r>
              <w:rPr>
                <w:rFonts w:hint="eastAsia"/>
                <w:highlight w:val="none"/>
              </w:rPr>
              <w:t>5000万元（含）-1亿元</w:t>
            </w:r>
          </w:p>
        </w:tc>
        <w:tc>
          <w:tcPr>
            <w:tcW w:w="1799" w:type="dxa"/>
            <w:vAlign w:val="center"/>
          </w:tcPr>
          <w:p>
            <w:pPr>
              <w:widowControl/>
              <w:spacing w:line="360" w:lineRule="auto"/>
              <w:jc w:val="center"/>
              <w:rPr>
                <w:highlight w:val="none"/>
              </w:rPr>
            </w:pPr>
            <w:r>
              <w:rPr>
                <w:rFonts w:hint="eastAsia"/>
                <w:highlight w:val="none"/>
              </w:rPr>
              <w:t>0.25%</w:t>
            </w:r>
          </w:p>
        </w:tc>
        <w:tc>
          <w:tcPr>
            <w:tcW w:w="1799" w:type="dxa"/>
            <w:vAlign w:val="center"/>
          </w:tcPr>
          <w:p>
            <w:pPr>
              <w:widowControl/>
              <w:spacing w:line="360" w:lineRule="auto"/>
              <w:jc w:val="center"/>
              <w:rPr>
                <w:highlight w:val="none"/>
              </w:rPr>
            </w:pPr>
            <w:r>
              <w:rPr>
                <w:rFonts w:hint="eastAsia"/>
                <w:highlight w:val="none"/>
              </w:rPr>
              <w:t>0.1%</w:t>
            </w:r>
          </w:p>
        </w:tc>
        <w:tc>
          <w:tcPr>
            <w:tcW w:w="1799" w:type="dxa"/>
            <w:vAlign w:val="center"/>
          </w:tcPr>
          <w:p>
            <w:pPr>
              <w:widowControl/>
              <w:spacing w:line="360" w:lineRule="auto"/>
              <w:jc w:val="center"/>
              <w:rPr>
                <w:highlight w:val="none"/>
              </w:rPr>
            </w:pPr>
            <w:r>
              <w:rPr>
                <w:rFonts w:hint="eastAsia"/>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rPr>
                <w:highlight w:val="none"/>
              </w:rPr>
            </w:pPr>
            <w:r>
              <w:rPr>
                <w:rFonts w:hint="eastAsia"/>
                <w:highlight w:val="none"/>
              </w:rPr>
              <w:t>1亿元（含）-5亿元</w:t>
            </w:r>
          </w:p>
        </w:tc>
        <w:tc>
          <w:tcPr>
            <w:tcW w:w="1799" w:type="dxa"/>
            <w:vAlign w:val="center"/>
          </w:tcPr>
          <w:p>
            <w:pPr>
              <w:widowControl/>
              <w:spacing w:line="360" w:lineRule="auto"/>
              <w:jc w:val="center"/>
              <w:rPr>
                <w:highlight w:val="none"/>
              </w:rPr>
            </w:pPr>
            <w:r>
              <w:rPr>
                <w:rFonts w:hint="eastAsia"/>
                <w:highlight w:val="none"/>
              </w:rPr>
              <w:t>0.05%</w:t>
            </w:r>
          </w:p>
        </w:tc>
        <w:tc>
          <w:tcPr>
            <w:tcW w:w="1799" w:type="dxa"/>
            <w:vAlign w:val="center"/>
          </w:tcPr>
          <w:p>
            <w:pPr>
              <w:widowControl/>
              <w:spacing w:line="360" w:lineRule="auto"/>
              <w:jc w:val="center"/>
              <w:rPr>
                <w:highlight w:val="none"/>
              </w:rPr>
            </w:pPr>
            <w:r>
              <w:rPr>
                <w:rFonts w:hint="eastAsia"/>
                <w:highlight w:val="none"/>
              </w:rPr>
              <w:t>0.05%</w:t>
            </w:r>
          </w:p>
        </w:tc>
        <w:tc>
          <w:tcPr>
            <w:tcW w:w="1799" w:type="dxa"/>
            <w:vAlign w:val="center"/>
          </w:tcPr>
          <w:p>
            <w:pPr>
              <w:widowControl/>
              <w:spacing w:line="360" w:lineRule="auto"/>
              <w:jc w:val="center"/>
              <w:rPr>
                <w:highlight w:val="none"/>
              </w:rPr>
            </w:pPr>
            <w:r>
              <w:rPr>
                <w:rFonts w:hint="eastAsia"/>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rPr>
                <w:highlight w:val="none"/>
              </w:rPr>
            </w:pPr>
            <w:r>
              <w:rPr>
                <w:rFonts w:hint="eastAsia"/>
                <w:highlight w:val="none"/>
              </w:rPr>
              <w:t>5亿元（含）-10亿元</w:t>
            </w:r>
          </w:p>
        </w:tc>
        <w:tc>
          <w:tcPr>
            <w:tcW w:w="1799" w:type="dxa"/>
            <w:vAlign w:val="center"/>
          </w:tcPr>
          <w:p>
            <w:pPr>
              <w:widowControl/>
              <w:spacing w:line="360" w:lineRule="auto"/>
              <w:jc w:val="center"/>
              <w:rPr>
                <w:highlight w:val="none"/>
              </w:rPr>
            </w:pPr>
            <w:r>
              <w:rPr>
                <w:rFonts w:hint="eastAsia"/>
                <w:highlight w:val="none"/>
              </w:rPr>
              <w:t>0.035%</w:t>
            </w:r>
          </w:p>
        </w:tc>
        <w:tc>
          <w:tcPr>
            <w:tcW w:w="1799" w:type="dxa"/>
            <w:vAlign w:val="center"/>
          </w:tcPr>
          <w:p>
            <w:pPr>
              <w:widowControl/>
              <w:spacing w:line="360" w:lineRule="auto"/>
              <w:jc w:val="center"/>
              <w:rPr>
                <w:highlight w:val="none"/>
              </w:rPr>
            </w:pPr>
            <w:r>
              <w:rPr>
                <w:rFonts w:hint="eastAsia"/>
                <w:highlight w:val="none"/>
              </w:rPr>
              <w:t>0.035%</w:t>
            </w:r>
          </w:p>
        </w:tc>
        <w:tc>
          <w:tcPr>
            <w:tcW w:w="1799" w:type="dxa"/>
            <w:vAlign w:val="center"/>
          </w:tcPr>
          <w:p>
            <w:pPr>
              <w:widowControl/>
              <w:spacing w:line="360" w:lineRule="auto"/>
              <w:jc w:val="center"/>
              <w:rPr>
                <w:highlight w:val="none"/>
              </w:rPr>
            </w:pPr>
            <w:r>
              <w:rPr>
                <w:rFonts w:hint="eastAsia"/>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pPr>
              <w:widowControl/>
              <w:spacing w:line="360" w:lineRule="auto"/>
              <w:jc w:val="center"/>
              <w:rPr>
                <w:highlight w:val="none"/>
              </w:rPr>
            </w:pPr>
            <w:r>
              <w:rPr>
                <w:rFonts w:hint="eastAsia"/>
                <w:highlight w:val="none"/>
              </w:rPr>
              <w:t>10亿元（含）-50亿元</w:t>
            </w:r>
          </w:p>
        </w:tc>
        <w:tc>
          <w:tcPr>
            <w:tcW w:w="1799" w:type="dxa"/>
            <w:vAlign w:val="center"/>
          </w:tcPr>
          <w:p>
            <w:pPr>
              <w:widowControl/>
              <w:spacing w:line="360" w:lineRule="auto"/>
              <w:jc w:val="center"/>
              <w:rPr>
                <w:highlight w:val="none"/>
              </w:rPr>
            </w:pPr>
            <w:r>
              <w:rPr>
                <w:rFonts w:hint="eastAsia"/>
                <w:highlight w:val="none"/>
              </w:rPr>
              <w:t>0.008%</w:t>
            </w:r>
          </w:p>
        </w:tc>
        <w:tc>
          <w:tcPr>
            <w:tcW w:w="1799" w:type="dxa"/>
            <w:vAlign w:val="center"/>
          </w:tcPr>
          <w:p>
            <w:pPr>
              <w:widowControl/>
              <w:spacing w:line="360" w:lineRule="auto"/>
              <w:jc w:val="center"/>
              <w:rPr>
                <w:highlight w:val="none"/>
              </w:rPr>
            </w:pPr>
            <w:r>
              <w:rPr>
                <w:rFonts w:hint="eastAsia"/>
                <w:highlight w:val="none"/>
              </w:rPr>
              <w:t>0.008%</w:t>
            </w:r>
          </w:p>
        </w:tc>
        <w:tc>
          <w:tcPr>
            <w:tcW w:w="1799" w:type="dxa"/>
            <w:vAlign w:val="center"/>
          </w:tcPr>
          <w:p>
            <w:pPr>
              <w:widowControl/>
              <w:spacing w:line="360" w:lineRule="auto"/>
              <w:jc w:val="center"/>
              <w:rPr>
                <w:highlight w:val="none"/>
              </w:rPr>
            </w:pPr>
            <w:r>
              <w:rPr>
                <w:rFonts w:hint="eastAsia"/>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rPr>
                <w:highlight w:val="none"/>
              </w:rPr>
            </w:pPr>
            <w:r>
              <w:rPr>
                <w:rFonts w:hint="eastAsia"/>
                <w:highlight w:val="none"/>
              </w:rPr>
              <w:t>50亿元（含）-100亿元</w:t>
            </w:r>
          </w:p>
        </w:tc>
        <w:tc>
          <w:tcPr>
            <w:tcW w:w="1799" w:type="dxa"/>
            <w:vAlign w:val="center"/>
          </w:tcPr>
          <w:p>
            <w:pPr>
              <w:widowControl/>
              <w:spacing w:line="360" w:lineRule="auto"/>
              <w:jc w:val="center"/>
              <w:rPr>
                <w:highlight w:val="none"/>
              </w:rPr>
            </w:pPr>
            <w:r>
              <w:rPr>
                <w:rFonts w:hint="eastAsia"/>
                <w:highlight w:val="none"/>
              </w:rPr>
              <w:t>0.006%</w:t>
            </w:r>
          </w:p>
        </w:tc>
        <w:tc>
          <w:tcPr>
            <w:tcW w:w="1799" w:type="dxa"/>
            <w:vAlign w:val="center"/>
          </w:tcPr>
          <w:p>
            <w:pPr>
              <w:widowControl/>
              <w:spacing w:line="360" w:lineRule="auto"/>
              <w:jc w:val="center"/>
              <w:rPr>
                <w:highlight w:val="none"/>
              </w:rPr>
            </w:pPr>
            <w:r>
              <w:rPr>
                <w:rFonts w:hint="eastAsia"/>
                <w:highlight w:val="none"/>
              </w:rPr>
              <w:t>0.006%</w:t>
            </w:r>
          </w:p>
        </w:tc>
        <w:tc>
          <w:tcPr>
            <w:tcW w:w="1799" w:type="dxa"/>
            <w:vAlign w:val="center"/>
          </w:tcPr>
          <w:p>
            <w:pPr>
              <w:widowControl/>
              <w:spacing w:line="360" w:lineRule="auto"/>
              <w:jc w:val="center"/>
              <w:rPr>
                <w:highlight w:val="none"/>
              </w:rPr>
            </w:pPr>
            <w:r>
              <w:rPr>
                <w:rFonts w:hint="eastAsia"/>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rPr>
                <w:highlight w:val="none"/>
              </w:rPr>
            </w:pPr>
            <w:r>
              <w:rPr>
                <w:rFonts w:hint="eastAsia"/>
                <w:highlight w:val="none"/>
              </w:rPr>
              <w:t>100亿元（含）以上</w:t>
            </w:r>
          </w:p>
        </w:tc>
        <w:tc>
          <w:tcPr>
            <w:tcW w:w="1799" w:type="dxa"/>
            <w:vAlign w:val="center"/>
          </w:tcPr>
          <w:p>
            <w:pPr>
              <w:widowControl/>
              <w:spacing w:line="360" w:lineRule="auto"/>
              <w:jc w:val="center"/>
              <w:rPr>
                <w:highlight w:val="none"/>
              </w:rPr>
            </w:pPr>
            <w:r>
              <w:rPr>
                <w:rFonts w:hint="eastAsia"/>
                <w:highlight w:val="none"/>
              </w:rPr>
              <w:t>0.004%</w:t>
            </w:r>
          </w:p>
        </w:tc>
        <w:tc>
          <w:tcPr>
            <w:tcW w:w="1799" w:type="dxa"/>
            <w:vAlign w:val="center"/>
          </w:tcPr>
          <w:p>
            <w:pPr>
              <w:widowControl/>
              <w:spacing w:line="360" w:lineRule="auto"/>
              <w:jc w:val="center"/>
              <w:rPr>
                <w:highlight w:val="none"/>
              </w:rPr>
            </w:pPr>
            <w:r>
              <w:rPr>
                <w:rFonts w:hint="eastAsia"/>
                <w:highlight w:val="none"/>
              </w:rPr>
              <w:t>0.004%</w:t>
            </w:r>
          </w:p>
        </w:tc>
        <w:tc>
          <w:tcPr>
            <w:tcW w:w="1799" w:type="dxa"/>
            <w:vAlign w:val="center"/>
          </w:tcPr>
          <w:p>
            <w:pPr>
              <w:widowControl/>
              <w:spacing w:line="360" w:lineRule="auto"/>
              <w:jc w:val="center"/>
              <w:rPr>
                <w:highlight w:val="none"/>
              </w:rPr>
            </w:pPr>
            <w:r>
              <w:rPr>
                <w:rFonts w:hint="eastAsia"/>
                <w:highlight w:val="none"/>
              </w:rPr>
              <w:t>0.004%</w:t>
            </w:r>
          </w:p>
        </w:tc>
      </w:tr>
    </w:tbl>
    <w:p>
      <w:pPr>
        <w:ind w:firstLine="420" w:firstLineChars="200"/>
        <w:rPr>
          <w:highlight w:val="none"/>
        </w:rPr>
      </w:pPr>
      <w:r>
        <w:rPr>
          <w:rFonts w:hint="eastAsia"/>
          <w:highlight w:val="none"/>
        </w:rPr>
        <w:t xml:space="preserve">备注：1.每宗交易代理服务费不低于 </w:t>
      </w:r>
      <w:r>
        <w:rPr>
          <w:rFonts w:hint="eastAsia" w:ascii="Times New Roman" w:eastAsia="宋体"/>
          <w:highlight w:val="none"/>
          <w:lang w:val="en-US" w:eastAsia="zh-CN"/>
        </w:rPr>
        <w:t>5</w:t>
      </w:r>
      <w:r>
        <w:rPr>
          <w:rFonts w:hint="eastAsia"/>
          <w:highlight w:val="none"/>
        </w:rPr>
        <w:t>000 元；</w:t>
      </w:r>
    </w:p>
    <w:p>
      <w:pPr>
        <w:ind w:firstLine="420" w:firstLineChars="200"/>
        <w:rPr>
          <w:rFonts w:hint="eastAsia" w:eastAsia="宋体"/>
          <w:highlight w:val="none"/>
          <w:lang w:eastAsia="zh-CN"/>
        </w:rPr>
      </w:pPr>
      <w:r>
        <w:rPr>
          <w:rFonts w:hint="eastAsia"/>
          <w:highlight w:val="none"/>
        </w:rPr>
        <w:t>2.对于报总价的采购类项目，中标</w:t>
      </w:r>
      <w:r>
        <w:rPr>
          <w:rFonts w:hint="eastAsia" w:eastAsia="宋体"/>
          <w:highlight w:val="none"/>
          <w:lang w:eastAsia="zh-CN"/>
        </w:rPr>
        <w:t>（</w:t>
      </w:r>
      <w:r>
        <w:rPr>
          <w:rFonts w:hint="eastAsia" w:ascii="Times New Roman" w:eastAsia="宋体"/>
          <w:highlight w:val="none"/>
          <w:lang w:val="en-US" w:eastAsia="zh-CN"/>
        </w:rPr>
        <w:t>成交</w:t>
      </w:r>
      <w:r>
        <w:rPr>
          <w:rFonts w:hint="eastAsia" w:eastAsia="宋体"/>
          <w:highlight w:val="none"/>
          <w:lang w:eastAsia="zh-CN"/>
        </w:rPr>
        <w:t>）</w:t>
      </w:r>
      <w:r>
        <w:rPr>
          <w:rFonts w:hint="eastAsia"/>
          <w:highlight w:val="none"/>
        </w:rPr>
        <w:t>价为中标（成交）金额；对于报单价、折扣或费率的采购类项目，中标</w:t>
      </w:r>
      <w:r>
        <w:rPr>
          <w:rFonts w:hint="eastAsia" w:eastAsia="宋体"/>
          <w:highlight w:val="none"/>
          <w:lang w:eastAsia="zh-CN"/>
        </w:rPr>
        <w:t>（</w:t>
      </w:r>
      <w:r>
        <w:rPr>
          <w:rFonts w:hint="eastAsia" w:ascii="Times New Roman" w:eastAsia="宋体"/>
          <w:highlight w:val="none"/>
          <w:lang w:val="en-US" w:eastAsia="zh-CN"/>
        </w:rPr>
        <w:t>成交</w:t>
      </w:r>
      <w:r>
        <w:rPr>
          <w:rFonts w:hint="eastAsia" w:eastAsia="宋体"/>
          <w:highlight w:val="none"/>
          <w:lang w:eastAsia="zh-CN"/>
        </w:rPr>
        <w:t>）</w:t>
      </w:r>
      <w:r>
        <w:rPr>
          <w:rFonts w:hint="eastAsia"/>
          <w:highlight w:val="none"/>
        </w:rPr>
        <w:t>价为预算上限金额或经委托方与代理方确定的支付上限金额；</w:t>
      </w:r>
    </w:p>
    <w:p>
      <w:pPr>
        <w:ind w:firstLine="420" w:firstLineChars="200"/>
        <w:rPr>
          <w:highlight w:val="none"/>
        </w:rPr>
      </w:pPr>
    </w:p>
    <w:p>
      <w:pPr>
        <w:ind w:firstLine="420" w:firstLineChars="200"/>
        <w:rPr>
          <w:highlight w:val="none"/>
        </w:rPr>
      </w:pPr>
      <w:r>
        <w:rPr>
          <w:rFonts w:hint="eastAsia"/>
          <w:highlight w:val="none"/>
        </w:rPr>
        <w:t>如某货物采购项目，中标（成交）金额为600万元，总共交纳的代理服务费的具体计算过程如下：</w:t>
      </w:r>
    </w:p>
    <w:p>
      <w:pPr>
        <w:ind w:firstLine="420" w:firstLineChars="200"/>
        <w:rPr>
          <w:highlight w:val="none"/>
        </w:rPr>
      </w:pPr>
      <w:r>
        <w:rPr>
          <w:rFonts w:hint="eastAsia"/>
          <w:highlight w:val="none"/>
        </w:rPr>
        <w:t>标准代理服务费＝（100万以下部分的代理服务费）+（100万～500万部分的代理服务费）+（500万～600万部分的代理服务费）＝100万元×1.5%+（500-100）万元×1.1%+（600-500）万元×0.8%=1.5万元+4.4万元+0.8万元＝6.7万元</w:t>
      </w:r>
    </w:p>
    <w:p>
      <w:pPr>
        <w:ind w:firstLine="420" w:firstLineChars="200"/>
        <w:rPr>
          <w:highlight w:val="none"/>
        </w:rPr>
      </w:pPr>
      <w:r>
        <w:rPr>
          <w:rFonts w:hint="eastAsia"/>
          <w:highlight w:val="none"/>
        </w:rPr>
        <w:t>（</w:t>
      </w:r>
      <w:r>
        <w:rPr>
          <w:rFonts w:hint="eastAsia" w:ascii="Times New Roman" w:eastAsia="宋体"/>
          <w:highlight w:val="none"/>
          <w:lang w:val="en-US" w:eastAsia="zh-CN"/>
        </w:rPr>
        <w:t>3</w:t>
      </w:r>
      <w:r>
        <w:rPr>
          <w:rFonts w:hint="eastAsia"/>
          <w:highlight w:val="none"/>
        </w:rPr>
        <w:t>）中标（成交）供应商中标（成交）后，必须按规定采用银行对公转账方式向深圳交易集团有限公司直接交纳代理服务费，交纳信息及要求按照缴款</w:t>
      </w:r>
      <w:r>
        <w:rPr>
          <w:rFonts w:hint="eastAsia" w:eastAsia="宋体"/>
          <w:highlight w:val="none"/>
          <w:lang w:eastAsia="zh-CN"/>
        </w:rPr>
        <w:t>（</w:t>
      </w:r>
      <w:r>
        <w:rPr>
          <w:rFonts w:hint="eastAsia" w:ascii="Times New Roman" w:eastAsia="宋体"/>
          <w:highlight w:val="none"/>
          <w:lang w:val="en-US" w:eastAsia="zh-CN"/>
        </w:rPr>
        <w:t>付款</w:t>
      </w:r>
      <w:r>
        <w:rPr>
          <w:rFonts w:hint="eastAsia" w:eastAsia="宋体"/>
          <w:highlight w:val="none"/>
          <w:lang w:eastAsia="zh-CN"/>
        </w:rPr>
        <w:t>）</w:t>
      </w:r>
      <w:r>
        <w:rPr>
          <w:rFonts w:hint="eastAsia"/>
          <w:highlight w:val="none"/>
        </w:rPr>
        <w:t>通知书执行。</w:t>
      </w:r>
    </w:p>
    <w:p>
      <w:pPr>
        <w:pStyle w:val="2"/>
        <w:rPr>
          <w:b/>
          <w:highlight w:val="none"/>
        </w:rPr>
      </w:pPr>
    </w:p>
    <w:p>
      <w:pPr>
        <w:spacing w:after="0" w:line="240" w:lineRule="auto"/>
        <w:ind w:firstLine="422" w:firstLineChars="200"/>
        <w:jc w:val="left"/>
        <w:rPr>
          <w:rFonts w:ascii="宋体" w:hAnsi="宋体" w:eastAsia="宋体" w:cs="宋体"/>
          <w:b/>
          <w:color w:val="000000" w:themeColor="text1"/>
          <w:szCs w:val="21"/>
          <w:highlight w:val="none"/>
          <w14:textFill>
            <w14:solidFill>
              <w14:schemeClr w14:val="tx1"/>
            </w14:solidFill>
          </w14:textFill>
        </w:rPr>
      </w:pPr>
      <w:r>
        <w:rPr>
          <w:rFonts w:ascii="Times New Roman" w:hAnsi="Times New Roman" w:eastAsia="宋体" w:cs="Times New Roman"/>
          <w:b/>
          <w:color w:val="000000" w:themeColor="text1"/>
          <w:highlight w:val="none"/>
          <w14:textFill>
            <w14:solidFill>
              <w14:schemeClr w14:val="tx1"/>
            </w14:solidFill>
          </w14:textFill>
        </w:rPr>
        <w:t>4</w:t>
      </w:r>
      <w:r>
        <w:rPr>
          <w:rFonts w:hint="eastAsia" w:ascii="Times New Roman" w:hAnsi="Times New Roman" w:cs="Times New Roman"/>
          <w:b/>
          <w:color w:val="000000" w:themeColor="text1"/>
          <w:highlight w:val="none"/>
          <w:lang w:val="en-US" w:eastAsia="zh-CN"/>
          <w14:textFill>
            <w14:solidFill>
              <w14:schemeClr w14:val="tx1"/>
            </w14:solidFill>
          </w14:textFill>
        </w:rPr>
        <w:t>.</w:t>
      </w:r>
      <w:r>
        <w:rPr>
          <w:rFonts w:hint="eastAsia" w:ascii="Times New Roman" w:hAnsi="Times New Roman" w:eastAsia="宋体" w:cs="Times New Roman"/>
          <w:b/>
          <w:color w:val="000000" w:themeColor="text1"/>
          <w:highlight w:val="none"/>
          <w14:textFill>
            <w14:solidFill>
              <w14:schemeClr w14:val="tx1"/>
            </w14:solidFill>
          </w14:textFill>
        </w:rPr>
        <w:t>其他说明</w:t>
      </w:r>
    </w:p>
    <w:p>
      <w:pPr>
        <w:wordWrap w:val="0"/>
        <w:spacing w:after="0" w:line="240" w:lineRule="auto"/>
        <w:ind w:firstLine="420" w:firstLineChars="200"/>
        <w:rPr>
          <w:rFonts w:ascii="Times New Roman" w:hAnsi="Times New Roman" w:eastAsia="宋体" w:cs="Times New Roman"/>
          <w:highlight w:val="none"/>
        </w:rPr>
      </w:pPr>
      <w:r>
        <w:rPr>
          <w:rFonts w:ascii="Times New Roman" w:hAnsi="Times New Roman" w:eastAsia="宋体" w:cs="Times New Roman"/>
          <w:highlight w:val="none"/>
        </w:rPr>
        <w:t>本项目允许使用电子营业执照加、解密，投标（应答）供应商在使用“投标文件制作专用软件”制作投标（应答）文件时，可以通过微信扫码功能调用“电子营业执照”小程序制作、加密、解密投标（应答）响应文件。供应商加密投标（应答）响应文件与开标解密必须使用同一种方式，否则解密失败，导致投标无效（即：使用电子执照加密的，后续开标只能使用电子执照解密）。</w:t>
      </w:r>
    </w:p>
    <w:p>
      <w:pPr>
        <w:wordWrap w:val="0"/>
        <w:spacing w:after="0" w:line="240" w:lineRule="auto"/>
        <w:ind w:firstLine="422" w:firstLineChars="200"/>
        <w:rPr>
          <w:rFonts w:ascii="Times New Roman" w:hAnsi="Times New Roman" w:eastAsia="宋体" w:cs="Times New Roman"/>
          <w:b/>
          <w:bCs/>
          <w:highlight w:val="none"/>
        </w:rPr>
      </w:pPr>
      <w:r>
        <w:rPr>
          <w:rFonts w:ascii="Times New Roman" w:hAnsi="Times New Roman" w:eastAsia="宋体" w:cs="Times New Roman"/>
          <w:b/>
          <w:bCs/>
          <w:highlight w:val="none"/>
        </w:rPr>
        <w:t>重要提示：</w:t>
      </w:r>
    </w:p>
    <w:p>
      <w:pPr>
        <w:wordWrap w:val="0"/>
        <w:spacing w:after="0" w:line="240" w:lineRule="auto"/>
        <w:ind w:firstLine="420" w:firstLineChars="200"/>
        <w:rPr>
          <w:rFonts w:ascii="Times New Roman" w:hAnsi="Times New Roman" w:eastAsia="宋体" w:cs="Times New Roman"/>
          <w:highlight w:val="none"/>
        </w:rPr>
      </w:pPr>
      <w:r>
        <w:rPr>
          <w:rFonts w:ascii="Times New Roman" w:hAnsi="Times New Roman" w:eastAsia="宋体" w:cs="Times New Roman"/>
          <w:highlight w:val="none"/>
        </w:rPr>
        <w:t>1</w:t>
      </w:r>
      <w:r>
        <w:rPr>
          <w:rFonts w:hint="eastAsia" w:ascii="Times New Roman" w:hAnsi="Times New Roman" w:eastAsia="宋体" w:cs="Times New Roman"/>
          <w:highlight w:val="none"/>
          <w:lang w:eastAsia="zh-CN"/>
        </w:rPr>
        <w:t>.</w:t>
      </w:r>
      <w:r>
        <w:rPr>
          <w:rFonts w:ascii="Times New Roman" w:hAnsi="Times New Roman" w:eastAsia="宋体" w:cs="Times New Roman"/>
          <w:highlight w:val="none"/>
        </w:rPr>
        <w:t>使用电子营业执照功能时，请确保已经在手机微信安装 “电子营业执照”小程序，或已安装了“电子营业执照”APP，并且在 “电子营业执照”小程序/app中完成相应的下载电子营业执照、法人授权、备份密钥等操作（具体详见国家工商总局网站），电子投标地区必须选择 “广东省-深圳市-深圳政府采购智慧平台”（请根据手机小程序/app提示进行设置，或拨打电子营业执照平台技术支持电话010-86355313，15921122750）。</w:t>
      </w:r>
    </w:p>
    <w:p>
      <w:pPr>
        <w:wordWrap w:val="0"/>
        <w:spacing w:after="0" w:line="240" w:lineRule="auto"/>
        <w:ind w:firstLine="420" w:firstLineChars="200"/>
        <w:rPr>
          <w:rFonts w:ascii="Times New Roman" w:hAnsi="Times New Roman" w:eastAsia="宋体" w:cs="Times New Roman"/>
          <w:highlight w:val="none"/>
        </w:rPr>
      </w:pPr>
      <w:r>
        <w:rPr>
          <w:rFonts w:ascii="Times New Roman" w:hAnsi="Times New Roman" w:eastAsia="宋体" w:cs="Times New Roman"/>
          <w:highlight w:val="none"/>
        </w:rPr>
        <w:t>2</w:t>
      </w:r>
      <w:r>
        <w:rPr>
          <w:rFonts w:hint="eastAsia" w:ascii="Times New Roman" w:hAnsi="Times New Roman" w:eastAsia="宋体" w:cs="Times New Roman"/>
          <w:highlight w:val="none"/>
          <w:lang w:eastAsia="zh-CN"/>
        </w:rPr>
        <w:t>.</w:t>
      </w:r>
      <w:r>
        <w:rPr>
          <w:rFonts w:ascii="Times New Roman" w:hAnsi="Times New Roman" w:eastAsia="宋体" w:cs="Times New Roman"/>
          <w:highlight w:val="none"/>
        </w:rPr>
        <w:t>电子营业执照应用于投标文件制作和加解密属于创新应用场景，如不熟悉操作可能导致错过投标截止时间，系统已提供加密、测试解密和撤回重新上传的功能，各投标人须预留充足时间，提前制作和加密上传投标文件。</w:t>
      </w:r>
    </w:p>
    <w:p>
      <w:pPr>
        <w:wordWrap w:val="0"/>
        <w:spacing w:after="0"/>
        <w:ind w:firstLine="420"/>
        <w:rPr>
          <w:highlight w:val="none"/>
        </w:rPr>
      </w:pPr>
      <w:r>
        <w:rPr>
          <w:rFonts w:ascii="Times New Roman" w:hAnsi="Times New Roman" w:eastAsia="宋体" w:cs="Times New Roman"/>
          <w:highlight w:val="none"/>
        </w:rPr>
        <w:t>3</w:t>
      </w:r>
      <w:r>
        <w:rPr>
          <w:rFonts w:hint="default" w:ascii="Times New Roman" w:hAnsi="Times New Roman" w:eastAsia="宋体" w:cs="Times New Roman"/>
          <w:highlight w:val="none"/>
          <w:lang w:eastAsia="zh-CN"/>
        </w:rPr>
        <w:t>.</w:t>
      </w:r>
      <w:r>
        <w:rPr>
          <w:rFonts w:ascii="Times New Roman" w:hAnsi="Times New Roman" w:eastAsia="宋体" w:cs="Times New Roman"/>
          <w:highlight w:val="none"/>
        </w:rPr>
        <w:t>已办理数字证书（电子密钥）的用户，可以继续使用数字证书完成投标活动。未申请电子营业执照或无法通过电子营业执照完成投标文件制作和加解密的用户，必须使用电子密钥进行投标文件制作和加解密，咨询电话0755-83948165，4008301330（CA办理指引详见链接https://www.szzfcg.cn/portal/documentView.do?method=view&amp;id=597167584）。</w:t>
      </w:r>
    </w:p>
    <w:p>
      <w:pPr>
        <w:pStyle w:val="3"/>
        <w:rPr>
          <w:b/>
          <w:highlight w:val="none"/>
        </w:rPr>
      </w:pPr>
    </w:p>
    <w:p>
      <w:pPr>
        <w:rPr>
          <w:b/>
          <w:highlight w:val="none"/>
        </w:rPr>
        <w:sectPr>
          <w:pgSz w:w="11907" w:h="16840"/>
          <w:pgMar w:top="1440" w:right="1797" w:bottom="1440" w:left="1797" w:header="851" w:footer="992" w:gutter="0"/>
          <w:cols w:space="425" w:num="1"/>
          <w:titlePg/>
          <w:docGrid w:linePitch="462" w:charSpace="0"/>
        </w:sectPr>
      </w:pPr>
    </w:p>
    <w:p>
      <w:pPr>
        <w:pStyle w:val="7"/>
        <w:rPr>
          <w:sz w:val="28"/>
          <w:szCs w:val="28"/>
          <w:highlight w:val="none"/>
        </w:rPr>
      </w:pPr>
      <w:bookmarkStart w:id="31" w:name="_Toc128884461"/>
      <w:r>
        <w:rPr>
          <w:rFonts w:hint="eastAsia"/>
          <w:sz w:val="28"/>
          <w:szCs w:val="28"/>
          <w:highlight w:val="none"/>
        </w:rPr>
        <w:t>第三章 用户需求书</w:t>
      </w:r>
    </w:p>
    <w:p>
      <w:pPr>
        <w:pStyle w:val="7"/>
        <w:spacing w:before="120" w:beforeLines="50" w:after="120" w:afterLines="50"/>
        <w:rPr>
          <w:szCs w:val="24"/>
          <w:highlight w:val="none"/>
        </w:rPr>
      </w:pPr>
      <w:r>
        <w:rPr>
          <w:rFonts w:hint="eastAsia"/>
          <w:szCs w:val="24"/>
          <w:highlight w:val="none"/>
        </w:rPr>
        <w:t>一、项目基本信息</w:t>
      </w:r>
    </w:p>
    <w:p>
      <w:pPr>
        <w:rPr>
          <w:rFonts w:ascii="宋体" w:hAnsi="宋体"/>
          <w:b/>
          <w:color w:val="FF0000"/>
          <w:szCs w:val="21"/>
          <w:highlight w:val="none"/>
        </w:rPr>
      </w:pPr>
    </w:p>
    <w:tbl>
      <w:tblPr>
        <w:tblStyle w:val="42"/>
        <w:tblpPr w:leftFromText="180" w:rightFromText="180" w:vertAnchor="text" w:horzAnchor="margin" w:tblpY="17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
        <w:gridCol w:w="2603"/>
        <w:gridCol w:w="3158"/>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13" w:type="dxa"/>
            <w:vAlign w:val="center"/>
          </w:tcPr>
          <w:p>
            <w:pPr>
              <w:jc w:val="center"/>
              <w:rPr>
                <w:bCs/>
                <w:szCs w:val="21"/>
                <w:highlight w:val="none"/>
              </w:rPr>
            </w:pPr>
            <w:r>
              <w:rPr>
                <w:rFonts w:hint="eastAsia"/>
                <w:bCs/>
                <w:szCs w:val="21"/>
                <w:highlight w:val="none"/>
              </w:rPr>
              <w:t>序号</w:t>
            </w:r>
          </w:p>
        </w:tc>
        <w:tc>
          <w:tcPr>
            <w:tcW w:w="2603" w:type="dxa"/>
            <w:vAlign w:val="center"/>
          </w:tcPr>
          <w:p>
            <w:pPr>
              <w:jc w:val="center"/>
              <w:rPr>
                <w:bCs/>
                <w:szCs w:val="21"/>
                <w:highlight w:val="none"/>
              </w:rPr>
            </w:pPr>
            <w:r>
              <w:rPr>
                <w:rFonts w:hint="eastAsia"/>
                <w:szCs w:val="21"/>
                <w:highlight w:val="none"/>
              </w:rPr>
              <w:t>采购计划编号</w:t>
            </w:r>
          </w:p>
        </w:tc>
        <w:tc>
          <w:tcPr>
            <w:tcW w:w="3158" w:type="dxa"/>
            <w:vAlign w:val="center"/>
          </w:tcPr>
          <w:p>
            <w:pPr>
              <w:jc w:val="center"/>
              <w:rPr>
                <w:bCs/>
                <w:szCs w:val="21"/>
                <w:highlight w:val="none"/>
              </w:rPr>
            </w:pPr>
            <w:r>
              <w:rPr>
                <w:rFonts w:hint="eastAsia"/>
                <w:bCs/>
                <w:szCs w:val="21"/>
                <w:highlight w:val="none"/>
              </w:rPr>
              <w:t>采购项目名称</w:t>
            </w:r>
          </w:p>
        </w:tc>
        <w:tc>
          <w:tcPr>
            <w:tcW w:w="2355" w:type="dxa"/>
            <w:vAlign w:val="center"/>
          </w:tcPr>
          <w:p>
            <w:pPr>
              <w:jc w:val="center"/>
              <w:rPr>
                <w:b/>
                <w:bCs/>
                <w:color w:val="FF0000"/>
                <w:szCs w:val="21"/>
                <w:highlight w:val="none"/>
              </w:rPr>
            </w:pPr>
            <w:r>
              <w:rPr>
                <w:rFonts w:hint="eastAsia"/>
                <w:b/>
                <w:bCs/>
                <w:color w:val="FF0000"/>
                <w:szCs w:val="21"/>
                <w:highlight w:val="none"/>
              </w:rPr>
              <w:t>预算</w:t>
            </w:r>
            <w:r>
              <w:rPr>
                <w:rFonts w:hint="eastAsia"/>
                <w:b/>
                <w:bCs/>
                <w:color w:val="FF0000"/>
                <w:szCs w:val="21"/>
                <w:highlight w:val="none"/>
                <w:lang w:val="en-US" w:eastAsia="zh-CN"/>
              </w:rPr>
              <w:t>金额</w:t>
            </w:r>
            <w:r>
              <w:rPr>
                <w:rFonts w:hint="eastAsia"/>
                <w:b/>
                <w:bCs/>
                <w:color w:val="FF0000"/>
                <w:szCs w:val="21"/>
                <w:highlight w:val="none"/>
              </w:rPr>
              <w:t>（</w:t>
            </w:r>
            <w:r>
              <w:rPr>
                <w:rFonts w:hint="eastAsia"/>
                <w:b/>
                <w:bCs/>
                <w:color w:val="FF0000"/>
                <w:highlight w:val="none"/>
                <w:lang w:val="en-US" w:eastAsia="zh-CN"/>
              </w:rPr>
              <w:t>元/年</w:t>
            </w:r>
            <w:r>
              <w:rPr>
                <w:rFonts w:hint="eastAsia"/>
                <w:b/>
                <w:bCs/>
                <w:color w:val="FF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13" w:type="dxa"/>
            <w:vAlign w:val="center"/>
          </w:tcPr>
          <w:p>
            <w:pPr>
              <w:jc w:val="center"/>
              <w:rPr>
                <w:bCs/>
                <w:color w:val="FF0000"/>
                <w:szCs w:val="21"/>
                <w:highlight w:val="none"/>
              </w:rPr>
            </w:pPr>
            <w:r>
              <w:rPr>
                <w:rFonts w:hint="eastAsia"/>
                <w:bCs/>
                <w:color w:val="FF0000"/>
                <w:szCs w:val="21"/>
                <w:highlight w:val="none"/>
              </w:rPr>
              <w:t>1</w:t>
            </w:r>
          </w:p>
        </w:tc>
        <w:tc>
          <w:tcPr>
            <w:tcW w:w="2603" w:type="dxa"/>
            <w:vAlign w:val="center"/>
          </w:tcPr>
          <w:p>
            <w:pPr>
              <w:jc w:val="center"/>
              <w:rPr>
                <w:rFonts w:hint="eastAsia" w:eastAsia="宋体"/>
                <w:bCs/>
                <w:color w:val="FF0000"/>
                <w:szCs w:val="21"/>
                <w:highlight w:val="none"/>
                <w:lang w:eastAsia="zh-CN"/>
              </w:rPr>
            </w:pPr>
            <w:r>
              <w:rPr>
                <w:rFonts w:hint="eastAsia"/>
                <w:bCs/>
                <w:color w:val="FF0000"/>
                <w:szCs w:val="21"/>
                <w:highlight w:val="none"/>
                <w:lang w:val="en-US" w:eastAsia="zh-CN"/>
              </w:rPr>
              <w:t>-</w:t>
            </w:r>
          </w:p>
        </w:tc>
        <w:tc>
          <w:tcPr>
            <w:tcW w:w="3158" w:type="dxa"/>
            <w:vAlign w:val="center"/>
          </w:tcPr>
          <w:p>
            <w:pPr>
              <w:jc w:val="center"/>
              <w:rPr>
                <w:b/>
                <w:bCs/>
                <w:color w:val="FF0000"/>
                <w:szCs w:val="21"/>
                <w:highlight w:val="none"/>
              </w:rPr>
            </w:pPr>
            <w:r>
              <w:rPr>
                <w:rFonts w:hint="eastAsia" w:ascii="宋体" w:hAnsi="宋体"/>
                <w:szCs w:val="21"/>
                <w:highlight w:val="none"/>
                <w:lang w:val="en-US" w:eastAsia="zh-CN"/>
              </w:rPr>
              <w:t>深圳市福田区第一幼儿园购买服务课时及工勤项目</w:t>
            </w:r>
          </w:p>
        </w:tc>
        <w:tc>
          <w:tcPr>
            <w:tcW w:w="2355" w:type="dxa"/>
            <w:vAlign w:val="center"/>
          </w:tcPr>
          <w:p>
            <w:pPr>
              <w:jc w:val="center"/>
              <w:rPr>
                <w:rFonts w:hint="default" w:eastAsia="宋体"/>
                <w:bCs/>
                <w:color w:val="FF0000"/>
                <w:szCs w:val="21"/>
                <w:highlight w:val="none"/>
                <w:lang w:val="en-US" w:eastAsia="zh-CN"/>
              </w:rPr>
            </w:pPr>
            <w:r>
              <w:rPr>
                <w:rFonts w:hint="eastAsia"/>
                <w:bCs/>
                <w:color w:val="FF0000"/>
                <w:szCs w:val="21"/>
                <w:highlight w:val="none"/>
                <w:lang w:val="en-US" w:eastAsia="zh-CN"/>
              </w:rPr>
              <w:t>990000</w:t>
            </w:r>
          </w:p>
        </w:tc>
      </w:tr>
    </w:tbl>
    <w:p>
      <w:pPr>
        <w:rPr>
          <w:rFonts w:ascii="宋体" w:hAnsi="宋体"/>
          <w:b/>
          <w:color w:val="FF0000"/>
          <w:szCs w:val="21"/>
          <w:highlight w:val="none"/>
        </w:rPr>
      </w:pPr>
    </w:p>
    <w:p>
      <w:pPr>
        <w:pStyle w:val="7"/>
        <w:spacing w:before="120" w:beforeLines="50" w:after="120" w:afterLines="50"/>
        <w:rPr>
          <w:szCs w:val="24"/>
          <w:highlight w:val="none"/>
        </w:rPr>
      </w:pPr>
      <w:r>
        <w:rPr>
          <w:rFonts w:hint="eastAsia"/>
          <w:szCs w:val="24"/>
          <w:highlight w:val="none"/>
        </w:rPr>
        <w:t>二、项目概况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contextualSpacing/>
        <w:jc w:val="left"/>
        <w:textAlignment w:val="auto"/>
        <w:rPr>
          <w:rFonts w:hint="eastAsia"/>
          <w:highlight w:val="none"/>
        </w:rPr>
      </w:pPr>
      <w:r>
        <w:rPr>
          <w:rFonts w:hint="eastAsia"/>
          <w:highlight w:val="none"/>
        </w:rPr>
        <w:t>深圳市福田区第</w:t>
      </w:r>
      <w:r>
        <w:rPr>
          <w:rFonts w:hint="eastAsia"/>
          <w:highlight w:val="none"/>
          <w:lang w:eastAsia="zh-CN"/>
        </w:rPr>
        <w:t>一</w:t>
      </w:r>
      <w:r>
        <w:rPr>
          <w:rFonts w:hint="eastAsia"/>
          <w:highlight w:val="none"/>
        </w:rPr>
        <w:t>幼儿园位于深圳市福田区</w:t>
      </w:r>
      <w:r>
        <w:rPr>
          <w:rFonts w:hint="eastAsia"/>
          <w:highlight w:val="none"/>
          <w:lang w:eastAsia="zh-CN"/>
        </w:rPr>
        <w:t>润田</w:t>
      </w:r>
      <w:r>
        <w:rPr>
          <w:rFonts w:hint="eastAsia"/>
          <w:highlight w:val="none"/>
        </w:rPr>
        <w:t>路</w:t>
      </w:r>
      <w:r>
        <w:rPr>
          <w:rFonts w:hint="eastAsia"/>
          <w:highlight w:val="none"/>
          <w:lang w:val="en-US" w:eastAsia="zh-CN"/>
        </w:rPr>
        <w:t>36</w:t>
      </w:r>
      <w:r>
        <w:rPr>
          <w:rFonts w:hint="eastAsia"/>
          <w:highlight w:val="none"/>
        </w:rPr>
        <w:t>号</w:t>
      </w:r>
      <w:r>
        <w:rPr>
          <w:rFonts w:hint="eastAsia"/>
          <w:highlight w:val="none"/>
          <w:lang w:eastAsia="zh-CN"/>
        </w:rPr>
        <w:t>，</w:t>
      </w:r>
      <w:r>
        <w:rPr>
          <w:rFonts w:hint="eastAsia"/>
          <w:highlight w:val="none"/>
          <w:lang w:val="en-US" w:eastAsia="zh-CN"/>
        </w:rPr>
        <w:t>是一所隶属于</w:t>
      </w:r>
      <w:r>
        <w:rPr>
          <w:rFonts w:hint="eastAsia"/>
          <w:highlight w:val="none"/>
        </w:rPr>
        <w:t>深圳市福田区</w:t>
      </w:r>
      <w:r>
        <w:rPr>
          <w:rFonts w:hint="eastAsia"/>
          <w:highlight w:val="none"/>
          <w:lang w:val="en-US" w:eastAsia="zh-CN"/>
        </w:rPr>
        <w:t>的</w:t>
      </w:r>
      <w:r>
        <w:rPr>
          <w:rFonts w:hint="eastAsia"/>
          <w:highlight w:val="none"/>
        </w:rPr>
        <w:t>公办幼儿园。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firstLine="420" w:firstLineChars="200"/>
        <w:contextualSpacing/>
        <w:jc w:val="left"/>
        <w:textAlignment w:val="auto"/>
        <w:rPr>
          <w:rFonts w:hint="eastAsia"/>
          <w:highlight w:val="none"/>
        </w:rPr>
      </w:pPr>
      <w:r>
        <w:rPr>
          <w:rFonts w:hint="eastAsia"/>
          <w:highlight w:val="none"/>
        </w:rPr>
        <w:t>自办园以来先后获得“广东省一级一类幼儿园“、“</w:t>
      </w:r>
      <w:r>
        <w:rPr>
          <w:rFonts w:hint="eastAsia"/>
          <w:highlight w:val="none"/>
          <w:lang w:eastAsia="zh-CN"/>
        </w:rPr>
        <w:t>深圳市家门口的优质幼儿园</w:t>
      </w:r>
      <w:r>
        <w:rPr>
          <w:rFonts w:hint="eastAsia"/>
          <w:highlight w:val="none"/>
        </w:rPr>
        <w:t>”、“广东省食品安全示范学校”、“深圳市</w:t>
      </w:r>
      <w:r>
        <w:rPr>
          <w:rFonts w:hint="eastAsia"/>
          <w:highlight w:val="none"/>
          <w:lang w:eastAsia="zh-CN"/>
        </w:rPr>
        <w:t>优秀家长学校</w:t>
      </w:r>
      <w:r>
        <w:rPr>
          <w:rFonts w:hint="eastAsia"/>
          <w:highlight w:val="none"/>
        </w:rPr>
        <w:t>”、“深圳市</w:t>
      </w:r>
      <w:r>
        <w:rPr>
          <w:rFonts w:hint="eastAsia"/>
          <w:highlight w:val="none"/>
          <w:lang w:eastAsia="zh-CN"/>
        </w:rPr>
        <w:t>生活垃圾分类新风尚幼儿园</w:t>
      </w:r>
      <w:r>
        <w:rPr>
          <w:rFonts w:hint="eastAsia"/>
          <w:highlight w:val="none"/>
        </w:rPr>
        <w:t>”、“深圳市卫生保健</w:t>
      </w:r>
      <w:r>
        <w:rPr>
          <w:rFonts w:hint="eastAsia"/>
          <w:highlight w:val="none"/>
          <w:lang w:eastAsia="zh-CN"/>
        </w:rPr>
        <w:t>优秀</w:t>
      </w:r>
      <w:r>
        <w:rPr>
          <w:rFonts w:hint="eastAsia"/>
          <w:highlight w:val="none"/>
        </w:rPr>
        <w:t>幼儿园”</w:t>
      </w:r>
      <w:r>
        <w:rPr>
          <w:rFonts w:hint="eastAsia"/>
          <w:highlight w:val="none"/>
          <w:lang w:eastAsia="zh-CN"/>
        </w:rPr>
        <w:t>、“深圳市安全文明校园”、“福田区安全管理工作先进单位”</w:t>
      </w:r>
      <w:r>
        <w:rPr>
          <w:rFonts w:hint="eastAsia"/>
          <w:highlight w:val="none"/>
        </w:rPr>
        <w:t>等荣誉称号。为了加强完善人员管理，保障师生身体健康和生命安全，我园拟通过购买服务形式完成教育服务采购，中标服务商应按照采购人指定的时间、方式完成项目实施。</w:t>
      </w:r>
    </w:p>
    <w:p>
      <w:pPr>
        <w:ind w:firstLine="480" w:firstLineChars="200"/>
        <w:rPr>
          <w:sz w:val="24"/>
          <w:highlight w:val="none"/>
        </w:rPr>
      </w:pPr>
    </w:p>
    <w:p>
      <w:pPr>
        <w:ind w:firstLine="480" w:firstLineChars="200"/>
        <w:rPr>
          <w:sz w:val="24"/>
          <w:highlight w:val="none"/>
        </w:rPr>
      </w:pPr>
    </w:p>
    <w:p>
      <w:pPr>
        <w:rPr>
          <w:rFonts w:ascii="宋体" w:hAnsi="宋体"/>
          <w:b/>
          <w:color w:val="FF0000"/>
          <w:szCs w:val="21"/>
          <w:highlight w:val="none"/>
        </w:rPr>
      </w:pPr>
    </w:p>
    <w:p>
      <w:pPr>
        <w:pStyle w:val="7"/>
        <w:spacing w:before="120" w:beforeLines="50" w:after="120" w:afterLines="50"/>
        <w:rPr>
          <w:szCs w:val="24"/>
          <w:highlight w:val="none"/>
        </w:rPr>
      </w:pPr>
      <w:r>
        <w:rPr>
          <w:rFonts w:hint="eastAsia"/>
          <w:szCs w:val="24"/>
          <w:highlight w:val="none"/>
        </w:rPr>
        <w:t>三、</w:t>
      </w:r>
      <w:bookmarkStart w:id="32" w:name="_Hlk72073432"/>
      <w:r>
        <w:rPr>
          <w:rFonts w:hint="eastAsia"/>
          <w:szCs w:val="24"/>
          <w:highlight w:val="none"/>
        </w:rPr>
        <w:t>服务需求明细</w:t>
      </w:r>
      <w:bookmarkEnd w:id="32"/>
    </w:p>
    <w:tbl>
      <w:tblPr>
        <w:tblStyle w:val="42"/>
        <w:tblpPr w:leftFromText="180" w:rightFromText="180" w:vertAnchor="text" w:horzAnchor="margin" w:tblpY="17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346"/>
        <w:gridCol w:w="4224"/>
        <w:gridCol w:w="919"/>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9" w:type="pct"/>
            <w:vAlign w:val="center"/>
          </w:tcPr>
          <w:p>
            <w:pPr>
              <w:jc w:val="center"/>
              <w:rPr>
                <w:bCs/>
                <w:szCs w:val="21"/>
                <w:highlight w:val="none"/>
              </w:rPr>
            </w:pPr>
            <w:r>
              <w:rPr>
                <w:rFonts w:hint="eastAsia"/>
                <w:bCs/>
                <w:szCs w:val="21"/>
                <w:highlight w:val="none"/>
              </w:rPr>
              <w:t>序号</w:t>
            </w:r>
          </w:p>
        </w:tc>
        <w:tc>
          <w:tcPr>
            <w:tcW w:w="789" w:type="pct"/>
            <w:vAlign w:val="center"/>
          </w:tcPr>
          <w:p>
            <w:pPr>
              <w:jc w:val="center"/>
              <w:rPr>
                <w:bCs/>
                <w:szCs w:val="21"/>
                <w:highlight w:val="none"/>
              </w:rPr>
            </w:pPr>
            <w:r>
              <w:rPr>
                <w:rFonts w:hint="eastAsia"/>
                <w:szCs w:val="21"/>
                <w:highlight w:val="none"/>
              </w:rPr>
              <w:t>采购计划编号</w:t>
            </w:r>
          </w:p>
        </w:tc>
        <w:tc>
          <w:tcPr>
            <w:tcW w:w="2476" w:type="pct"/>
            <w:vAlign w:val="center"/>
          </w:tcPr>
          <w:p>
            <w:pPr>
              <w:jc w:val="center"/>
              <w:rPr>
                <w:bCs/>
                <w:szCs w:val="21"/>
                <w:highlight w:val="none"/>
              </w:rPr>
            </w:pPr>
            <w:r>
              <w:rPr>
                <w:rFonts w:hint="eastAsia"/>
                <w:bCs/>
                <w:szCs w:val="21"/>
                <w:highlight w:val="none"/>
              </w:rPr>
              <w:t>服务需求名称（标的名称）</w:t>
            </w:r>
          </w:p>
        </w:tc>
        <w:tc>
          <w:tcPr>
            <w:tcW w:w="539" w:type="pct"/>
            <w:vAlign w:val="center"/>
          </w:tcPr>
          <w:p>
            <w:pPr>
              <w:jc w:val="center"/>
              <w:rPr>
                <w:bCs/>
                <w:szCs w:val="21"/>
                <w:highlight w:val="none"/>
              </w:rPr>
            </w:pPr>
            <w:r>
              <w:rPr>
                <w:rFonts w:hint="eastAsia"/>
                <w:bCs/>
                <w:szCs w:val="21"/>
                <w:highlight w:val="none"/>
              </w:rPr>
              <w:t>数量</w:t>
            </w:r>
          </w:p>
        </w:tc>
        <w:tc>
          <w:tcPr>
            <w:tcW w:w="705" w:type="pct"/>
            <w:vAlign w:val="center"/>
          </w:tcPr>
          <w:p>
            <w:pPr>
              <w:jc w:val="center"/>
              <w:rPr>
                <w:bCs/>
                <w:szCs w:val="21"/>
                <w:highlight w:val="none"/>
              </w:rPr>
            </w:pPr>
            <w:r>
              <w:rPr>
                <w:rFonts w:hint="eastAsia"/>
                <w:bCs/>
                <w:szCs w:val="21"/>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9" w:type="pct"/>
            <w:vAlign w:val="center"/>
          </w:tcPr>
          <w:p>
            <w:pPr>
              <w:jc w:val="center"/>
              <w:rPr>
                <w:bCs/>
                <w:szCs w:val="21"/>
                <w:highlight w:val="none"/>
              </w:rPr>
            </w:pPr>
            <w:r>
              <w:rPr>
                <w:rFonts w:hint="eastAsia"/>
                <w:bCs/>
                <w:szCs w:val="21"/>
                <w:highlight w:val="none"/>
              </w:rPr>
              <w:t>1</w:t>
            </w:r>
          </w:p>
        </w:tc>
        <w:tc>
          <w:tcPr>
            <w:tcW w:w="789" w:type="pct"/>
            <w:vAlign w:val="center"/>
          </w:tcPr>
          <w:p>
            <w:pPr>
              <w:jc w:val="center"/>
              <w:rPr>
                <w:bCs/>
                <w:szCs w:val="21"/>
                <w:highlight w:val="none"/>
              </w:rPr>
            </w:pPr>
            <w:r>
              <w:rPr>
                <w:rFonts w:hint="eastAsia"/>
                <w:bCs/>
                <w:szCs w:val="21"/>
                <w:highlight w:val="none"/>
                <w:lang w:val="en-US" w:eastAsia="zh-CN"/>
              </w:rPr>
              <w:t>-</w:t>
            </w:r>
          </w:p>
        </w:tc>
        <w:tc>
          <w:tcPr>
            <w:tcW w:w="2476" w:type="pct"/>
            <w:vAlign w:val="center"/>
          </w:tcPr>
          <w:p>
            <w:pPr>
              <w:jc w:val="center"/>
              <w:rPr>
                <w:bCs/>
                <w:szCs w:val="21"/>
                <w:highlight w:val="none"/>
              </w:rPr>
            </w:pPr>
            <w:r>
              <w:rPr>
                <w:rFonts w:hint="eastAsia" w:ascii="宋体" w:hAnsi="宋体"/>
                <w:szCs w:val="21"/>
                <w:highlight w:val="none"/>
                <w:lang w:val="en-US" w:eastAsia="zh-CN"/>
              </w:rPr>
              <w:t>深圳市福田区第一幼儿园购买服务课时及工勤项目</w:t>
            </w:r>
          </w:p>
        </w:tc>
        <w:tc>
          <w:tcPr>
            <w:tcW w:w="539" w:type="pct"/>
            <w:vAlign w:val="center"/>
          </w:tcPr>
          <w:p>
            <w:pPr>
              <w:jc w:val="center"/>
              <w:rPr>
                <w:rFonts w:hint="eastAsia" w:eastAsia="宋体"/>
                <w:bCs/>
                <w:szCs w:val="21"/>
                <w:highlight w:val="none"/>
                <w:lang w:eastAsia="zh-CN"/>
              </w:rPr>
            </w:pPr>
            <w:r>
              <w:rPr>
                <w:rFonts w:hint="eastAsia"/>
                <w:highlight w:val="none"/>
                <w:lang w:val="en-US" w:eastAsia="zh-CN"/>
              </w:rPr>
              <w:t>1</w:t>
            </w:r>
          </w:p>
        </w:tc>
        <w:tc>
          <w:tcPr>
            <w:tcW w:w="705" w:type="pct"/>
            <w:vAlign w:val="center"/>
          </w:tcPr>
          <w:p>
            <w:pPr>
              <w:jc w:val="center"/>
              <w:rPr>
                <w:rFonts w:hint="eastAsia" w:eastAsia="宋体"/>
                <w:bCs/>
                <w:szCs w:val="21"/>
                <w:highlight w:val="none"/>
                <w:lang w:val="en-US" w:eastAsia="zh-CN"/>
              </w:rPr>
            </w:pPr>
            <w:r>
              <w:rPr>
                <w:rFonts w:hint="eastAsia"/>
                <w:bCs/>
                <w:szCs w:val="21"/>
                <w:highlight w:val="none"/>
                <w:lang w:val="en-US" w:eastAsia="zh-CN"/>
              </w:rPr>
              <w:t>项</w:t>
            </w:r>
          </w:p>
        </w:tc>
      </w:tr>
    </w:tbl>
    <w:p>
      <w:pPr>
        <w:rPr>
          <w:rFonts w:ascii="宋体" w:hAnsi="宋体"/>
          <w:b/>
          <w:color w:val="FF0000"/>
          <w:szCs w:val="21"/>
          <w:highlight w:val="none"/>
        </w:rPr>
      </w:pPr>
    </w:p>
    <w:p>
      <w:pPr>
        <w:rPr>
          <w:rFonts w:ascii="宋体" w:hAnsi="宋体"/>
          <w:b/>
          <w:color w:val="FF0000"/>
          <w:szCs w:val="21"/>
          <w:highlight w:val="none"/>
        </w:rPr>
      </w:pPr>
    </w:p>
    <w:p>
      <w:pPr>
        <w:rPr>
          <w:rFonts w:ascii="宋体" w:hAnsi="宋体"/>
          <w:b/>
          <w:color w:val="FF0000"/>
          <w:szCs w:val="21"/>
          <w:highlight w:val="none"/>
        </w:rPr>
      </w:pPr>
    </w:p>
    <w:p>
      <w:pPr>
        <w:rPr>
          <w:rFonts w:ascii="宋体" w:hAnsi="宋体"/>
          <w:b/>
          <w:color w:val="FF0000"/>
          <w:szCs w:val="21"/>
          <w:highlight w:val="none"/>
        </w:rPr>
      </w:pPr>
    </w:p>
    <w:p>
      <w:pPr>
        <w:rPr>
          <w:rFonts w:ascii="宋体" w:hAnsi="宋体"/>
          <w:b/>
          <w:color w:val="FF0000"/>
          <w:szCs w:val="21"/>
          <w:highlight w:val="none"/>
        </w:rPr>
      </w:pPr>
    </w:p>
    <w:p>
      <w:pPr>
        <w:pStyle w:val="7"/>
        <w:spacing w:before="120" w:beforeLines="50" w:after="120" w:afterLines="50"/>
        <w:rPr>
          <w:szCs w:val="24"/>
          <w:highlight w:val="none"/>
        </w:rPr>
      </w:pPr>
      <w:r>
        <w:rPr>
          <w:rFonts w:hint="eastAsia"/>
          <w:szCs w:val="24"/>
          <w:highlight w:val="none"/>
        </w:rPr>
        <w:t>四、实质性条款</w:t>
      </w:r>
    </w:p>
    <w:tbl>
      <w:tblPr>
        <w:tblStyle w:val="4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pPr>
              <w:adjustRightInd w:val="0"/>
              <w:snapToGrid w:val="0"/>
              <w:spacing w:line="360" w:lineRule="auto"/>
              <w:jc w:val="center"/>
              <w:rPr>
                <w:rFonts w:ascii="宋体" w:hAnsi="宋体"/>
                <w:kern w:val="0"/>
                <w:szCs w:val="21"/>
                <w:highlight w:val="none"/>
              </w:rPr>
            </w:pPr>
            <w:r>
              <w:rPr>
                <w:rFonts w:hint="eastAsia" w:ascii="宋体" w:hAnsi="宋体"/>
                <w:kern w:val="0"/>
                <w:szCs w:val="21"/>
                <w:highlight w:val="none"/>
              </w:rPr>
              <w:t>序号</w:t>
            </w:r>
          </w:p>
        </w:tc>
        <w:tc>
          <w:tcPr>
            <w:tcW w:w="7795" w:type="dxa"/>
          </w:tcPr>
          <w:p>
            <w:pPr>
              <w:adjustRightInd w:val="0"/>
              <w:snapToGrid w:val="0"/>
              <w:spacing w:line="360" w:lineRule="auto"/>
              <w:jc w:val="center"/>
              <w:rPr>
                <w:rFonts w:ascii="宋体" w:hAnsi="宋体"/>
                <w:kern w:val="0"/>
                <w:szCs w:val="21"/>
                <w:highlight w:val="none"/>
              </w:rPr>
            </w:pPr>
            <w:r>
              <w:rPr>
                <w:rFonts w:hint="eastAsia" w:ascii="宋体" w:hAnsi="宋体"/>
                <w:kern w:val="0"/>
                <w:szCs w:val="21"/>
                <w:highlight w:val="none"/>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pPr>
              <w:adjustRightInd w:val="0"/>
              <w:snapToGrid w:val="0"/>
              <w:spacing w:line="360" w:lineRule="auto"/>
              <w:rPr>
                <w:rFonts w:ascii="宋体" w:hAnsi="宋体"/>
                <w:kern w:val="0"/>
                <w:szCs w:val="21"/>
                <w:highlight w:val="none"/>
              </w:rPr>
            </w:pPr>
            <w:r>
              <w:rPr>
                <w:rFonts w:hint="eastAsia" w:ascii="宋体" w:hAnsi="宋体"/>
                <w:kern w:val="0"/>
                <w:szCs w:val="21"/>
                <w:highlight w:val="none"/>
              </w:rPr>
              <w:t>1</w:t>
            </w:r>
          </w:p>
        </w:tc>
        <w:tc>
          <w:tcPr>
            <w:tcW w:w="7795" w:type="dxa"/>
          </w:tcPr>
          <w:p>
            <w:pPr>
              <w:rPr>
                <w:rFonts w:hAnsi="宋体" w:eastAsiaTheme="minorEastAsia"/>
                <w:kern w:val="0"/>
                <w:szCs w:val="21"/>
                <w:highlight w:val="none"/>
              </w:rPr>
            </w:pPr>
            <w:r>
              <w:rPr>
                <w:rFonts w:hint="eastAsia" w:cs="Times New Roman" w:asciiTheme="minorEastAsia" w:hAnsiTheme="minorEastAsia" w:eastAsiaTheme="minorEastAsia"/>
                <w:b w:val="0"/>
                <w:kern w:val="2"/>
                <w:sz w:val="21"/>
                <w:szCs w:val="24"/>
                <w:highlight w:val="none"/>
              </w:rPr>
              <w:t>满足本项目标★的条款要求</w:t>
            </w:r>
            <w:r>
              <w:rPr>
                <w:rFonts w:hint="eastAsia" w:cs="Times New Roman" w:asciiTheme="minorEastAsia" w:hAnsiTheme="minorEastAsia" w:eastAsiaTheme="minorEastAsia"/>
                <w:b w:val="0"/>
                <w:kern w:val="2"/>
                <w:sz w:val="21"/>
                <w:szCs w:val="24"/>
                <w:highlight w:val="none"/>
                <w:lang w:eastAsia="zh-CN"/>
              </w:rPr>
              <w:t>。</w:t>
            </w:r>
          </w:p>
        </w:tc>
      </w:tr>
    </w:tbl>
    <w:p>
      <w:pPr>
        <w:pStyle w:val="6"/>
        <w:tabs>
          <w:tab w:val="left" w:pos="765"/>
        </w:tabs>
        <w:rPr>
          <w:rFonts w:ascii="黑体"/>
          <w:b w:val="0"/>
          <w:kern w:val="0"/>
          <w:sz w:val="24"/>
          <w:szCs w:val="24"/>
          <w:highlight w:val="none"/>
        </w:rPr>
      </w:pPr>
      <w:r>
        <w:rPr>
          <w:rFonts w:hint="eastAsia" w:ascii="黑体"/>
          <w:b w:val="0"/>
          <w:kern w:val="0"/>
          <w:sz w:val="24"/>
          <w:szCs w:val="24"/>
          <w:highlight w:val="none"/>
        </w:rPr>
        <w:t>注：上表所列内容为不可负偏离条款，负偏离将视为未实质性满足招标文件要求作投标无效处理。</w:t>
      </w:r>
      <w:bookmarkEnd w:id="31"/>
    </w:p>
    <w:p>
      <w:pPr>
        <w:rPr>
          <w:b/>
          <w:bCs/>
          <w:sz w:val="24"/>
          <w:highlight w:val="none"/>
        </w:rPr>
      </w:pPr>
    </w:p>
    <w:p>
      <w:pPr>
        <w:pStyle w:val="7"/>
        <w:spacing w:before="120" w:beforeLines="50" w:after="120" w:afterLines="50"/>
        <w:rPr>
          <w:szCs w:val="24"/>
          <w:highlight w:val="none"/>
        </w:rPr>
      </w:pPr>
      <w:r>
        <w:rPr>
          <w:rFonts w:hint="eastAsia"/>
          <w:szCs w:val="24"/>
          <w:highlight w:val="none"/>
        </w:rPr>
        <w:t>五、技术要求</w:t>
      </w:r>
    </w:p>
    <w:tbl>
      <w:tblPr>
        <w:tblStyle w:val="42"/>
        <w:tblpPr w:leftFromText="180" w:rightFromText="180" w:vertAnchor="text" w:horzAnchor="page" w:tblpX="1522" w:tblpY="423"/>
        <w:tblOverlap w:val="never"/>
        <w:tblW w:w="90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895"/>
        <w:gridCol w:w="4421"/>
        <w:gridCol w:w="1142"/>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5" w:type="dxa"/>
            <w:vAlign w:val="center"/>
          </w:tcPr>
          <w:p>
            <w:pPr>
              <w:spacing w:line="276" w:lineRule="auto"/>
              <w:jc w:val="center"/>
              <w:rPr>
                <w:rFonts w:ascii="宋体" w:hAnsi="宋体" w:cs="宋体"/>
                <w:bCs/>
                <w:szCs w:val="21"/>
                <w:highlight w:val="none"/>
              </w:rPr>
            </w:pPr>
            <w:r>
              <w:rPr>
                <w:rFonts w:hint="eastAsia" w:ascii="宋体" w:hAnsi="宋体" w:cs="宋体"/>
                <w:bCs/>
                <w:szCs w:val="21"/>
                <w:highlight w:val="none"/>
              </w:rPr>
              <w:t>序号</w:t>
            </w:r>
          </w:p>
        </w:tc>
        <w:tc>
          <w:tcPr>
            <w:tcW w:w="1895" w:type="dxa"/>
            <w:vAlign w:val="center"/>
          </w:tcPr>
          <w:p>
            <w:pPr>
              <w:spacing w:line="276" w:lineRule="auto"/>
              <w:jc w:val="center"/>
              <w:rPr>
                <w:rFonts w:ascii="宋体" w:hAnsi="宋体" w:cs="宋体"/>
                <w:bCs/>
                <w:szCs w:val="21"/>
                <w:highlight w:val="none"/>
              </w:rPr>
            </w:pPr>
            <w:r>
              <w:rPr>
                <w:rFonts w:hint="eastAsia" w:ascii="宋体" w:hAnsi="宋体" w:cs="宋体"/>
                <w:bCs/>
                <w:szCs w:val="21"/>
                <w:highlight w:val="none"/>
              </w:rPr>
              <w:t>名称</w:t>
            </w:r>
          </w:p>
        </w:tc>
        <w:tc>
          <w:tcPr>
            <w:tcW w:w="4421" w:type="dxa"/>
            <w:vAlign w:val="center"/>
          </w:tcPr>
          <w:p>
            <w:pPr>
              <w:spacing w:line="276" w:lineRule="auto"/>
              <w:jc w:val="center"/>
              <w:rPr>
                <w:rFonts w:ascii="宋体" w:hAnsi="宋体" w:cs="宋体"/>
                <w:bCs/>
                <w:szCs w:val="21"/>
                <w:highlight w:val="none"/>
              </w:rPr>
            </w:pPr>
            <w:r>
              <w:rPr>
                <w:rFonts w:hint="eastAsia" w:ascii="宋体" w:hAnsi="宋体" w:cs="宋体"/>
                <w:bCs/>
                <w:szCs w:val="21"/>
                <w:highlight w:val="none"/>
              </w:rPr>
              <w:t>具体内容</w:t>
            </w:r>
          </w:p>
        </w:tc>
        <w:tc>
          <w:tcPr>
            <w:tcW w:w="1142" w:type="dxa"/>
            <w:vAlign w:val="center"/>
          </w:tcPr>
          <w:p>
            <w:pPr>
              <w:spacing w:line="276" w:lineRule="auto"/>
              <w:jc w:val="center"/>
              <w:rPr>
                <w:rFonts w:ascii="宋体" w:hAnsi="宋体" w:cs="宋体"/>
                <w:bCs/>
                <w:szCs w:val="21"/>
                <w:highlight w:val="none"/>
              </w:rPr>
            </w:pPr>
            <w:r>
              <w:rPr>
                <w:rFonts w:hint="eastAsia" w:ascii="宋体" w:hAnsi="宋体" w:cs="宋体"/>
                <w:bCs/>
                <w:szCs w:val="21"/>
                <w:highlight w:val="none"/>
              </w:rPr>
              <w:t>标注</w:t>
            </w:r>
          </w:p>
        </w:tc>
        <w:tc>
          <w:tcPr>
            <w:tcW w:w="830" w:type="dxa"/>
            <w:vAlign w:val="center"/>
          </w:tcPr>
          <w:p>
            <w:pPr>
              <w:spacing w:line="276" w:lineRule="auto"/>
              <w:jc w:val="center"/>
              <w:rPr>
                <w:rFonts w:ascii="宋体" w:hAnsi="宋体" w:cs="宋体"/>
                <w:bCs/>
                <w:szCs w:val="21"/>
                <w:highlight w:val="none"/>
              </w:rPr>
            </w:pPr>
            <w:r>
              <w:rPr>
                <w:rFonts w:hint="eastAsia" w:ascii="宋体" w:hAnsi="宋体" w:cs="宋体"/>
                <w:bCs/>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35" w:type="dxa"/>
            <w:vAlign w:val="center"/>
          </w:tcPr>
          <w:p>
            <w:pPr>
              <w:spacing w:line="276" w:lineRule="auto"/>
              <w:jc w:val="center"/>
              <w:rPr>
                <w:rFonts w:ascii="宋体" w:hAnsi="宋体" w:cs="宋体"/>
                <w:bCs/>
                <w:szCs w:val="21"/>
                <w:highlight w:val="none"/>
              </w:rPr>
            </w:pPr>
            <w:r>
              <w:rPr>
                <w:rFonts w:hint="eastAsia" w:ascii="宋体" w:hAnsi="宋体" w:cs="宋体"/>
                <w:bCs/>
                <w:szCs w:val="21"/>
                <w:highlight w:val="none"/>
              </w:rPr>
              <w:t>1</w:t>
            </w:r>
          </w:p>
        </w:tc>
        <w:tc>
          <w:tcPr>
            <w:tcW w:w="1895" w:type="dxa"/>
            <w:vAlign w:val="center"/>
          </w:tcPr>
          <w:p>
            <w:pPr>
              <w:spacing w:line="276" w:lineRule="auto"/>
              <w:jc w:val="center"/>
              <w:rPr>
                <w:rFonts w:ascii="宋体" w:hAnsi="宋体" w:cs="宋体"/>
                <w:bCs/>
                <w:szCs w:val="21"/>
                <w:highlight w:val="none"/>
              </w:rPr>
            </w:pPr>
            <w:r>
              <w:rPr>
                <w:rFonts w:hint="eastAsia" w:ascii="宋体" w:hAnsi="宋体" w:cs="宋体"/>
                <w:bCs/>
                <w:szCs w:val="21"/>
                <w:highlight w:val="none"/>
              </w:rPr>
              <w:t>服务要求</w:t>
            </w:r>
          </w:p>
        </w:tc>
        <w:tc>
          <w:tcPr>
            <w:tcW w:w="4421" w:type="dxa"/>
            <w:vAlign w:val="center"/>
          </w:tcPr>
          <w:p>
            <w:pPr>
              <w:rPr>
                <w:rFonts w:ascii="宋体" w:hAnsi="宋体"/>
                <w:bCs/>
                <w:szCs w:val="21"/>
                <w:highlight w:val="none"/>
              </w:rPr>
            </w:pPr>
            <w:r>
              <w:rPr>
                <w:rFonts w:hint="eastAsia" w:ascii="宋体" w:hAnsi="宋体"/>
                <w:bCs/>
                <w:szCs w:val="21"/>
                <w:highlight w:val="none"/>
              </w:rPr>
              <w:t>（一）管理要求</w:t>
            </w:r>
          </w:p>
          <w:p>
            <w:pPr>
              <w:ind w:firstLine="420" w:firstLineChars="200"/>
              <w:rPr>
                <w:rFonts w:ascii="宋体" w:hAnsi="宋体"/>
                <w:bCs/>
                <w:szCs w:val="21"/>
                <w:highlight w:val="none"/>
              </w:rPr>
            </w:pPr>
            <w:r>
              <w:rPr>
                <w:rFonts w:hint="eastAsia" w:ascii="宋体" w:hAnsi="宋体"/>
                <w:bCs/>
                <w:szCs w:val="21"/>
                <w:highlight w:val="none"/>
              </w:rPr>
              <w:t>1、中标单位需有储备的人才库，随时为采购单位提供充裕的购买服务人员。</w:t>
            </w:r>
          </w:p>
          <w:p>
            <w:pPr>
              <w:ind w:firstLine="420" w:firstLineChars="200"/>
              <w:rPr>
                <w:rFonts w:ascii="宋体" w:hAnsi="宋体"/>
                <w:bCs/>
                <w:szCs w:val="21"/>
                <w:highlight w:val="none"/>
              </w:rPr>
            </w:pPr>
            <w:r>
              <w:rPr>
                <w:rFonts w:hint="eastAsia" w:ascii="宋体" w:hAnsi="宋体"/>
                <w:bCs/>
                <w:szCs w:val="21"/>
                <w:highlight w:val="none"/>
              </w:rPr>
              <w:t>2、采购单位通过考核方式确定购买服务人员。服务试用期为1个月，试用期内考核不合格的，或购买服务人员不符合采购项目需求的，退回给中标单位，由中标单位再次提供购买服务人员。购买服务人员不符合采购项目需求被退回的，采购单位将不予支付相应的购买服务费用。试用期内考核不合格被退回的，采购单位按实际服务天数支付购买费用。</w:t>
            </w:r>
          </w:p>
          <w:p>
            <w:pPr>
              <w:ind w:firstLine="420" w:firstLineChars="200"/>
              <w:rPr>
                <w:rFonts w:ascii="宋体" w:hAnsi="宋体"/>
                <w:bCs/>
                <w:szCs w:val="21"/>
                <w:highlight w:val="none"/>
              </w:rPr>
            </w:pPr>
            <w:r>
              <w:rPr>
                <w:rFonts w:hint="eastAsia" w:ascii="宋体" w:hAnsi="宋体"/>
                <w:bCs/>
                <w:szCs w:val="21"/>
                <w:highlight w:val="none"/>
              </w:rPr>
              <w:t>3、中标单位组织购买服务人员进行体检和上岗知识培训。提交课时服务教师的身份证、学历证、学历验证证明、教师资格证、体检表、《购买服务函》给采购单位；提交教辅工勤岗位服务人员的身份证、学历证、岗位相关证件、体检表、《购买服务函》给采购单位。</w:t>
            </w:r>
          </w:p>
          <w:p>
            <w:pPr>
              <w:ind w:firstLine="420" w:firstLineChars="200"/>
              <w:rPr>
                <w:rFonts w:ascii="宋体" w:hAnsi="宋体"/>
                <w:bCs/>
                <w:szCs w:val="21"/>
                <w:highlight w:val="none"/>
              </w:rPr>
            </w:pPr>
            <w:r>
              <w:rPr>
                <w:rFonts w:hint="eastAsia" w:ascii="宋体" w:hAnsi="宋体"/>
                <w:bCs/>
                <w:szCs w:val="21"/>
                <w:highlight w:val="none"/>
              </w:rPr>
              <w:t>4、中标单位按合同条款规定提供符合条件的购买服务人员到采购单位提供服务。对于采购单位按合同相关条款停止购买服务并退回中标单位的购买服务人员，中标单位应予接收并负责处理与购买服务人员之间的劳动关系等后续工作，避免对采购单位的正常运作造成不利影响。</w:t>
            </w:r>
          </w:p>
          <w:p>
            <w:pPr>
              <w:ind w:firstLine="420" w:firstLineChars="200"/>
              <w:rPr>
                <w:rFonts w:ascii="宋体" w:hAnsi="宋体"/>
                <w:bCs/>
                <w:szCs w:val="21"/>
                <w:highlight w:val="none"/>
              </w:rPr>
            </w:pPr>
            <w:r>
              <w:rPr>
                <w:rFonts w:hint="eastAsia" w:ascii="宋体" w:hAnsi="宋体"/>
                <w:bCs/>
                <w:szCs w:val="21"/>
                <w:highlight w:val="none"/>
              </w:rPr>
              <w:t>5、中标单位负责建立相应完善的管理、培训、服务制度以实现对采购单位购买服务人员的聘用管理、人事管理和后勤服务等。</w:t>
            </w:r>
          </w:p>
          <w:p>
            <w:pPr>
              <w:rPr>
                <w:rFonts w:ascii="宋体" w:hAnsi="宋体"/>
                <w:bCs/>
                <w:szCs w:val="21"/>
                <w:highlight w:val="none"/>
              </w:rPr>
            </w:pPr>
            <w:r>
              <w:rPr>
                <w:rFonts w:hint="eastAsia" w:ascii="宋体" w:hAnsi="宋体"/>
                <w:bCs/>
                <w:szCs w:val="21"/>
                <w:highlight w:val="none"/>
              </w:rPr>
              <w:t>（二）服务内容</w:t>
            </w:r>
          </w:p>
          <w:p>
            <w:pPr>
              <w:rPr>
                <w:rFonts w:ascii="宋体" w:hAnsi="宋体"/>
                <w:bCs/>
                <w:szCs w:val="21"/>
                <w:highlight w:val="none"/>
              </w:rPr>
            </w:pPr>
            <w:r>
              <w:rPr>
                <w:rFonts w:hint="eastAsia" w:ascii="宋体" w:hAnsi="宋体"/>
                <w:bCs/>
                <w:szCs w:val="21"/>
                <w:highlight w:val="none"/>
              </w:rPr>
              <w:t>1、合同订立</w:t>
            </w:r>
          </w:p>
          <w:p>
            <w:pPr>
              <w:ind w:firstLine="420" w:firstLineChars="200"/>
              <w:rPr>
                <w:rFonts w:ascii="宋体" w:hAnsi="宋体"/>
                <w:bCs/>
                <w:szCs w:val="21"/>
                <w:highlight w:val="none"/>
              </w:rPr>
            </w:pPr>
            <w:r>
              <w:rPr>
                <w:rFonts w:hint="eastAsia" w:ascii="宋体" w:hAnsi="宋体"/>
                <w:bCs/>
                <w:szCs w:val="21"/>
                <w:highlight w:val="none"/>
              </w:rPr>
              <w:t>采购单位根据岗位类别、岗位名称、岗位数量、岗位条件等与中标单位签订合同。</w:t>
            </w:r>
          </w:p>
          <w:p>
            <w:pPr>
              <w:rPr>
                <w:rFonts w:ascii="宋体" w:hAnsi="宋体"/>
                <w:bCs/>
                <w:szCs w:val="21"/>
                <w:highlight w:val="none"/>
              </w:rPr>
            </w:pPr>
            <w:r>
              <w:rPr>
                <w:rFonts w:hint="eastAsia" w:ascii="宋体" w:hAnsi="宋体"/>
                <w:bCs/>
                <w:szCs w:val="21"/>
                <w:highlight w:val="none"/>
              </w:rPr>
              <w:t>2、人员招聘及补充</w:t>
            </w:r>
          </w:p>
          <w:p>
            <w:pPr>
              <w:ind w:firstLine="420" w:firstLineChars="200"/>
              <w:rPr>
                <w:rFonts w:ascii="宋体" w:hAnsi="宋体"/>
                <w:bCs/>
                <w:szCs w:val="21"/>
                <w:highlight w:val="none"/>
              </w:rPr>
            </w:pPr>
            <w:r>
              <w:rPr>
                <w:rFonts w:hint="eastAsia" w:ascii="宋体" w:hAnsi="宋体"/>
                <w:bCs/>
                <w:szCs w:val="21"/>
                <w:highlight w:val="none"/>
              </w:rPr>
              <w:t>（1）中标单位根据购买服务的人员要求和数量，在规定的时间内完成人员的招聘。</w:t>
            </w:r>
          </w:p>
          <w:p>
            <w:pPr>
              <w:ind w:firstLine="420" w:firstLineChars="200"/>
              <w:rPr>
                <w:rFonts w:ascii="宋体" w:hAnsi="宋体"/>
                <w:bCs/>
                <w:szCs w:val="21"/>
                <w:highlight w:val="none"/>
              </w:rPr>
            </w:pPr>
            <w:r>
              <w:rPr>
                <w:rFonts w:hint="eastAsia" w:ascii="宋体" w:hAnsi="宋体"/>
                <w:bCs/>
                <w:szCs w:val="21"/>
                <w:highlight w:val="none"/>
              </w:rPr>
              <w:t>（2）为保证我校购买教育工作的顺利开展，中标单位在合同中承诺接收采购单位认可的原有服务人员。</w:t>
            </w:r>
          </w:p>
          <w:p>
            <w:pPr>
              <w:rPr>
                <w:rFonts w:ascii="宋体" w:hAnsi="宋体"/>
                <w:bCs/>
                <w:szCs w:val="21"/>
                <w:highlight w:val="none"/>
              </w:rPr>
            </w:pPr>
            <w:r>
              <w:rPr>
                <w:rFonts w:hint="eastAsia" w:ascii="宋体" w:hAnsi="宋体"/>
                <w:bCs/>
                <w:szCs w:val="21"/>
                <w:highlight w:val="none"/>
              </w:rPr>
              <w:t>3、日常管理</w:t>
            </w:r>
          </w:p>
          <w:p>
            <w:pPr>
              <w:ind w:firstLine="420" w:firstLineChars="200"/>
              <w:rPr>
                <w:rFonts w:ascii="宋体" w:hAnsi="宋体"/>
                <w:bCs/>
                <w:szCs w:val="21"/>
                <w:highlight w:val="none"/>
              </w:rPr>
            </w:pPr>
            <w:r>
              <w:rPr>
                <w:rFonts w:hint="eastAsia" w:ascii="宋体" w:hAnsi="宋体"/>
                <w:bCs/>
                <w:szCs w:val="21"/>
                <w:highlight w:val="none"/>
              </w:rPr>
              <w:t>（1）购买服务人员与中标单位建立劳动关系，与采购单位不建立劳动关系。中标单位按其公司制度管理员工，按劳动合同法规定发放员工的工资、经济补偿金、购买住房公积金、养老保险、医疗保险、工伤保险、生育保险、失业保险、意外伤害险等。</w:t>
            </w:r>
          </w:p>
          <w:p>
            <w:pPr>
              <w:ind w:firstLine="420" w:firstLineChars="200"/>
              <w:rPr>
                <w:rFonts w:ascii="宋体" w:hAnsi="宋体"/>
                <w:bCs/>
                <w:szCs w:val="21"/>
                <w:highlight w:val="none"/>
              </w:rPr>
            </w:pPr>
            <w:r>
              <w:rPr>
                <w:rFonts w:hint="eastAsia" w:ascii="宋体" w:hAnsi="宋体"/>
                <w:bCs/>
                <w:szCs w:val="21"/>
                <w:highlight w:val="none"/>
              </w:rPr>
              <w:t>（2）中标单位须负责购买服务人员的人事、劳资、社会保险、计生等人事劳资管理工作，并提供为购买服务人员办理劳动用工手续、结算发放工资、缴纳社会保险及住房公积金、管理人事档案、工会管理、健康体检等方面的管理服务，承担用人风险并负责处理合同服务期内所有劳资纠纷和调解管理纠纷。中标单位与购买服务人员签订劳动合同，并且提供给采购单位备案。</w:t>
            </w:r>
          </w:p>
          <w:p>
            <w:pPr>
              <w:ind w:firstLine="420" w:firstLineChars="200"/>
              <w:rPr>
                <w:rFonts w:ascii="宋体" w:hAnsi="宋体"/>
                <w:bCs/>
                <w:szCs w:val="21"/>
                <w:highlight w:val="none"/>
              </w:rPr>
            </w:pPr>
            <w:r>
              <w:rPr>
                <w:rFonts w:hint="eastAsia" w:ascii="宋体" w:hAnsi="宋体"/>
                <w:bCs/>
                <w:szCs w:val="21"/>
                <w:highlight w:val="none"/>
              </w:rPr>
              <w:t>（3）中标单位每月经采购单位审核后发放购买服务人员的工资，不得随意克扣，不得随意缩减或变更社保缴付金额及险种、公积金缴存标准及比例。</w:t>
            </w:r>
          </w:p>
          <w:p>
            <w:pPr>
              <w:ind w:firstLine="420" w:firstLineChars="200"/>
              <w:rPr>
                <w:rFonts w:ascii="宋体" w:hAnsi="宋体"/>
                <w:bCs/>
                <w:szCs w:val="21"/>
                <w:highlight w:val="none"/>
              </w:rPr>
            </w:pPr>
            <w:r>
              <w:rPr>
                <w:rFonts w:hint="eastAsia" w:ascii="宋体" w:hAnsi="宋体"/>
                <w:bCs/>
                <w:szCs w:val="21"/>
                <w:highlight w:val="none"/>
              </w:rPr>
              <w:t>（4）购买服务人员有下列情形之一的，采购单位可立即通知并退回中标单位：</w:t>
            </w:r>
          </w:p>
          <w:p>
            <w:pPr>
              <w:ind w:firstLine="420" w:firstLineChars="200"/>
              <w:rPr>
                <w:rFonts w:ascii="宋体" w:hAnsi="宋体"/>
                <w:bCs/>
                <w:szCs w:val="21"/>
                <w:highlight w:val="none"/>
              </w:rPr>
            </w:pPr>
            <w:r>
              <w:rPr>
                <w:rFonts w:hint="eastAsia" w:ascii="宋体" w:hAnsi="宋体"/>
                <w:bCs/>
                <w:szCs w:val="21"/>
                <w:highlight w:val="none"/>
              </w:rPr>
              <w:t>1）不符合采购项目需求基本条件的；</w:t>
            </w:r>
          </w:p>
          <w:p>
            <w:pPr>
              <w:ind w:firstLine="420" w:firstLineChars="200"/>
              <w:rPr>
                <w:rFonts w:ascii="宋体" w:hAnsi="宋体"/>
                <w:bCs/>
                <w:szCs w:val="21"/>
                <w:highlight w:val="none"/>
              </w:rPr>
            </w:pPr>
            <w:r>
              <w:rPr>
                <w:rFonts w:hint="eastAsia" w:ascii="宋体" w:hAnsi="宋体"/>
                <w:bCs/>
                <w:szCs w:val="21"/>
                <w:highlight w:val="none"/>
              </w:rPr>
              <w:t>2）在试用期内不符合采购单位工作要求的；</w:t>
            </w:r>
          </w:p>
          <w:p>
            <w:pPr>
              <w:ind w:firstLine="420" w:firstLineChars="200"/>
              <w:rPr>
                <w:rFonts w:ascii="宋体" w:hAnsi="宋体"/>
                <w:bCs/>
                <w:szCs w:val="21"/>
                <w:highlight w:val="none"/>
              </w:rPr>
            </w:pPr>
            <w:r>
              <w:rPr>
                <w:rFonts w:hint="eastAsia" w:ascii="宋体" w:hAnsi="宋体"/>
                <w:bCs/>
                <w:szCs w:val="21"/>
                <w:highlight w:val="none"/>
              </w:rPr>
              <w:t>3）严重违反采购单位工作纪律、规章制度的，情节的轻重以服务对象的相关规定为准；</w:t>
            </w:r>
          </w:p>
          <w:p>
            <w:pPr>
              <w:ind w:firstLine="420" w:firstLineChars="200"/>
              <w:rPr>
                <w:rFonts w:ascii="宋体" w:hAnsi="宋体"/>
                <w:bCs/>
                <w:szCs w:val="21"/>
                <w:highlight w:val="none"/>
              </w:rPr>
            </w:pPr>
            <w:r>
              <w:rPr>
                <w:rFonts w:hint="eastAsia" w:ascii="宋体" w:hAnsi="宋体"/>
                <w:bCs/>
                <w:szCs w:val="21"/>
                <w:highlight w:val="none"/>
              </w:rPr>
              <w:t>4）严重违反师德师风，给采购单位造成不良影响的；</w:t>
            </w:r>
          </w:p>
          <w:p>
            <w:pPr>
              <w:ind w:firstLine="420" w:firstLineChars="200"/>
              <w:rPr>
                <w:rFonts w:ascii="宋体" w:hAnsi="宋体"/>
                <w:bCs/>
                <w:szCs w:val="21"/>
                <w:highlight w:val="none"/>
              </w:rPr>
            </w:pPr>
            <w:r>
              <w:rPr>
                <w:rFonts w:hint="eastAsia" w:ascii="宋体" w:hAnsi="宋体"/>
                <w:bCs/>
                <w:szCs w:val="21"/>
                <w:highlight w:val="none"/>
              </w:rPr>
              <w:t>5）严重工作失职，营私舞弊，给采购单位造成重大损失的，重大损失的认定以服务对象的相关规定为准；</w:t>
            </w:r>
          </w:p>
          <w:p>
            <w:pPr>
              <w:ind w:firstLine="420" w:firstLineChars="200"/>
              <w:rPr>
                <w:rFonts w:ascii="宋体" w:hAnsi="宋体"/>
                <w:bCs/>
                <w:szCs w:val="21"/>
                <w:highlight w:val="none"/>
              </w:rPr>
            </w:pPr>
            <w:r>
              <w:rPr>
                <w:rFonts w:hint="eastAsia" w:ascii="宋体" w:hAnsi="宋体"/>
                <w:bCs/>
                <w:szCs w:val="21"/>
                <w:highlight w:val="none"/>
              </w:rPr>
              <w:t>6）因身心原因，不能完成正常工作任务的；</w:t>
            </w:r>
          </w:p>
          <w:p>
            <w:pPr>
              <w:ind w:firstLine="420" w:firstLineChars="200"/>
              <w:rPr>
                <w:rFonts w:ascii="宋体" w:hAnsi="宋体"/>
                <w:bCs/>
                <w:szCs w:val="21"/>
                <w:highlight w:val="none"/>
              </w:rPr>
            </w:pPr>
            <w:r>
              <w:rPr>
                <w:rFonts w:hint="eastAsia" w:ascii="宋体" w:hAnsi="宋体"/>
                <w:bCs/>
                <w:szCs w:val="21"/>
                <w:highlight w:val="none"/>
              </w:rPr>
              <w:t>7）因涉嫌违法或犯罪行为被相关行政、司法机关调查且影响提供教育服务的，或者被相关行政、司法机关给予行政处罚或追究刑事责任的。</w:t>
            </w:r>
          </w:p>
          <w:p>
            <w:pPr>
              <w:rPr>
                <w:rFonts w:ascii="宋体" w:hAnsi="宋体"/>
                <w:bCs/>
                <w:szCs w:val="21"/>
                <w:highlight w:val="none"/>
              </w:rPr>
            </w:pPr>
            <w:r>
              <w:rPr>
                <w:rFonts w:hint="eastAsia" w:ascii="宋体" w:hAnsi="宋体"/>
                <w:bCs/>
                <w:szCs w:val="21"/>
                <w:highlight w:val="none"/>
              </w:rPr>
              <w:t>4、服务责任</w:t>
            </w:r>
          </w:p>
          <w:p>
            <w:pPr>
              <w:ind w:firstLine="420" w:firstLineChars="200"/>
              <w:rPr>
                <w:rFonts w:ascii="宋体" w:hAnsi="宋体"/>
                <w:bCs/>
                <w:szCs w:val="21"/>
                <w:highlight w:val="none"/>
              </w:rPr>
            </w:pPr>
            <w:r>
              <w:rPr>
                <w:rFonts w:hint="eastAsia" w:ascii="宋体" w:hAnsi="宋体"/>
                <w:bCs/>
                <w:szCs w:val="21"/>
                <w:highlight w:val="none"/>
              </w:rPr>
              <w:t>（1）因购买服务人员的工作失职或故意行为或违法犯罪行为造成采购单位重大损失的，中标单位应配合有关部门开展调查工作。</w:t>
            </w:r>
          </w:p>
          <w:p>
            <w:pPr>
              <w:ind w:firstLine="420" w:firstLineChars="200"/>
              <w:rPr>
                <w:rFonts w:ascii="宋体" w:hAnsi="宋体"/>
                <w:bCs/>
                <w:szCs w:val="21"/>
                <w:highlight w:val="none"/>
              </w:rPr>
            </w:pPr>
            <w:r>
              <w:rPr>
                <w:rFonts w:hint="eastAsia" w:ascii="宋体" w:hAnsi="宋体"/>
                <w:bCs/>
                <w:szCs w:val="21"/>
                <w:highlight w:val="none"/>
              </w:rPr>
              <w:t>（2）中标单位不履行合同的或者履行合同不符合约定的，采购单位有权追究其违约责任。</w:t>
            </w:r>
          </w:p>
          <w:p>
            <w:pPr>
              <w:spacing w:line="276" w:lineRule="auto"/>
              <w:rPr>
                <w:rFonts w:ascii="宋体" w:hAnsi="宋体" w:cs="宋体"/>
                <w:bCs/>
                <w:szCs w:val="21"/>
                <w:highlight w:val="none"/>
              </w:rPr>
            </w:pPr>
            <w:r>
              <w:rPr>
                <w:rFonts w:hint="eastAsia" w:ascii="宋体" w:hAnsi="宋体"/>
                <w:bCs/>
                <w:szCs w:val="21"/>
                <w:highlight w:val="none"/>
              </w:rPr>
              <w:t>（3）采购单位、中标单位和购买服务人员协商一致，中标单位和购买服务人员可以解除劳动关系，并应签订解除劳动合同协议书。如需支付经济补偿金或其他费用的，中标单位应按法律法规规定支付。解除或终止劳动关系前后，中标单位应当按照劳动法律法规的有关规定，履行用人单位应当出具《离职证明》、办理社会保险转移手续等相关职责。</w:t>
            </w:r>
          </w:p>
        </w:tc>
        <w:tc>
          <w:tcPr>
            <w:tcW w:w="1142" w:type="dxa"/>
            <w:vAlign w:val="center"/>
          </w:tcPr>
          <w:p>
            <w:pPr>
              <w:spacing w:line="276" w:lineRule="auto"/>
              <w:rPr>
                <w:rFonts w:ascii="宋体" w:hAnsi="宋体" w:cs="宋体"/>
                <w:bCs/>
                <w:szCs w:val="21"/>
                <w:highlight w:val="none"/>
              </w:rPr>
            </w:pPr>
          </w:p>
        </w:tc>
        <w:tc>
          <w:tcPr>
            <w:tcW w:w="830" w:type="dxa"/>
            <w:vAlign w:val="center"/>
          </w:tcPr>
          <w:p>
            <w:pPr>
              <w:spacing w:line="276" w:lineRule="auto"/>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735" w:type="dxa"/>
            <w:vAlign w:val="center"/>
          </w:tcPr>
          <w:p>
            <w:pPr>
              <w:spacing w:line="276" w:lineRule="auto"/>
              <w:jc w:val="center"/>
              <w:rPr>
                <w:rFonts w:ascii="宋体" w:hAnsi="宋体" w:cs="宋体"/>
                <w:bCs/>
                <w:szCs w:val="21"/>
                <w:highlight w:val="none"/>
              </w:rPr>
            </w:pPr>
            <w:r>
              <w:rPr>
                <w:rFonts w:hint="eastAsia" w:ascii="宋体" w:hAnsi="宋体" w:cs="宋体"/>
                <w:bCs/>
                <w:szCs w:val="21"/>
                <w:highlight w:val="none"/>
              </w:rPr>
              <w:t>2</w:t>
            </w:r>
          </w:p>
        </w:tc>
        <w:tc>
          <w:tcPr>
            <w:tcW w:w="1895" w:type="dxa"/>
            <w:vAlign w:val="center"/>
          </w:tcPr>
          <w:p>
            <w:pPr>
              <w:spacing w:line="276" w:lineRule="auto"/>
              <w:jc w:val="center"/>
              <w:rPr>
                <w:rFonts w:ascii="宋体" w:hAnsi="宋体" w:cs="宋体"/>
                <w:bCs/>
                <w:szCs w:val="21"/>
                <w:highlight w:val="none"/>
              </w:rPr>
            </w:pPr>
            <w:r>
              <w:rPr>
                <w:rFonts w:hint="eastAsia" w:ascii="宋体" w:hAnsi="宋体" w:cs="宋体"/>
                <w:bCs/>
                <w:szCs w:val="21"/>
                <w:highlight w:val="none"/>
              </w:rPr>
              <w:t>人员要求</w:t>
            </w:r>
          </w:p>
        </w:tc>
        <w:tc>
          <w:tcPr>
            <w:tcW w:w="4421" w:type="dxa"/>
            <w:vAlign w:val="center"/>
          </w:tcPr>
          <w:p>
            <w:pPr>
              <w:jc w:val="left"/>
              <w:rPr>
                <w:highlight w:val="none"/>
              </w:rPr>
            </w:pPr>
            <w:r>
              <w:rPr>
                <w:rFonts w:hint="eastAsia"/>
                <w:highlight w:val="none"/>
                <w:lang w:val="en-US" w:eastAsia="zh-CN"/>
              </w:rPr>
              <w:t>拟安排专业技术类人员5人，后勤人员1人，共计6人。其人员要求如下：</w:t>
            </w:r>
          </w:p>
          <w:p>
            <w:pPr>
              <w:numPr>
                <w:ilvl w:val="0"/>
                <w:numId w:val="11"/>
              </w:numPr>
              <w:jc w:val="left"/>
              <w:rPr>
                <w:rFonts w:hint="default"/>
                <w:highlight w:val="none"/>
                <w:lang w:val="en-US" w:eastAsia="zh-CN"/>
              </w:rPr>
            </w:pPr>
            <w:r>
              <w:rPr>
                <w:rFonts w:hint="eastAsia"/>
                <w:highlight w:val="none"/>
                <w:lang w:val="en-US" w:eastAsia="zh-CN"/>
              </w:rPr>
              <w:t>专业技术人员应具备大专或以上学历证书及职称相应岗位资质；后勤人员应具备高中或以上学历证书及职称相应岗位资质。</w:t>
            </w:r>
          </w:p>
          <w:p>
            <w:pPr>
              <w:numPr>
                <w:ilvl w:val="0"/>
                <w:numId w:val="11"/>
              </w:numPr>
              <w:jc w:val="left"/>
              <w:rPr>
                <w:rFonts w:hint="default"/>
                <w:highlight w:val="none"/>
                <w:lang w:val="en-US" w:eastAsia="zh-CN"/>
              </w:rPr>
            </w:pPr>
            <w:r>
              <w:rPr>
                <w:rFonts w:hint="eastAsia"/>
                <w:highlight w:val="none"/>
                <w:lang w:val="en-US" w:eastAsia="zh-CN"/>
              </w:rPr>
              <w:t>身体健康，能胜任学校教学工作。</w:t>
            </w:r>
          </w:p>
          <w:p>
            <w:pPr>
              <w:numPr>
                <w:ilvl w:val="0"/>
                <w:numId w:val="11"/>
              </w:numPr>
              <w:jc w:val="left"/>
              <w:rPr>
                <w:rFonts w:hint="default"/>
                <w:highlight w:val="none"/>
                <w:lang w:val="en-US" w:eastAsia="zh-CN"/>
              </w:rPr>
            </w:pPr>
            <w:r>
              <w:rPr>
                <w:rFonts w:hint="eastAsia"/>
                <w:highlight w:val="none"/>
                <w:lang w:val="en-US" w:eastAsia="zh-CN"/>
              </w:rPr>
              <w:t>具有良好的政治素质和道德品质，践行社会主义核心价格观，无违法犯罪记录。</w:t>
            </w:r>
          </w:p>
          <w:p>
            <w:pPr>
              <w:spacing w:line="276" w:lineRule="auto"/>
              <w:jc w:val="left"/>
              <w:rPr>
                <w:rFonts w:ascii="宋体" w:hAnsi="宋体" w:cs="宋体"/>
                <w:kern w:val="0"/>
                <w:szCs w:val="21"/>
                <w:highlight w:val="none"/>
              </w:rPr>
            </w:pPr>
            <w:r>
              <w:rPr>
                <w:rFonts w:hint="eastAsia" w:cs="宋体"/>
                <w:kern w:val="0"/>
                <w:szCs w:val="21"/>
                <w:highlight w:val="none"/>
                <w:lang w:val="en-US" w:eastAsia="zh-CN"/>
              </w:rPr>
              <w:t>备注：需提供承诺函响应投标。</w:t>
            </w:r>
          </w:p>
        </w:tc>
        <w:tc>
          <w:tcPr>
            <w:tcW w:w="1142" w:type="dxa"/>
            <w:vAlign w:val="center"/>
          </w:tcPr>
          <w:p>
            <w:pPr>
              <w:spacing w:line="276" w:lineRule="auto"/>
              <w:rPr>
                <w:rFonts w:ascii="宋体" w:hAnsi="宋体" w:cs="宋体"/>
                <w:bCs/>
                <w:szCs w:val="21"/>
                <w:highlight w:val="none"/>
              </w:rPr>
            </w:pPr>
          </w:p>
        </w:tc>
        <w:tc>
          <w:tcPr>
            <w:tcW w:w="830" w:type="dxa"/>
            <w:vAlign w:val="center"/>
          </w:tcPr>
          <w:p>
            <w:pPr>
              <w:spacing w:line="276" w:lineRule="auto"/>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735" w:type="dxa"/>
            <w:vAlign w:val="center"/>
          </w:tcPr>
          <w:p>
            <w:pPr>
              <w:spacing w:line="276" w:lineRule="auto"/>
              <w:jc w:val="center"/>
              <w:rPr>
                <w:rFonts w:ascii="宋体" w:hAnsi="宋体" w:cs="宋体"/>
                <w:bCs/>
                <w:szCs w:val="21"/>
                <w:highlight w:val="none"/>
              </w:rPr>
            </w:pPr>
            <w:r>
              <w:rPr>
                <w:rFonts w:hint="eastAsia" w:ascii="宋体" w:hAnsi="宋体" w:cs="宋体"/>
                <w:bCs/>
                <w:szCs w:val="21"/>
                <w:highlight w:val="none"/>
              </w:rPr>
              <w:t>5</w:t>
            </w:r>
          </w:p>
        </w:tc>
        <w:tc>
          <w:tcPr>
            <w:tcW w:w="1895" w:type="dxa"/>
            <w:vAlign w:val="center"/>
          </w:tcPr>
          <w:p>
            <w:pPr>
              <w:spacing w:line="276" w:lineRule="auto"/>
              <w:jc w:val="center"/>
              <w:rPr>
                <w:rFonts w:ascii="宋体" w:hAnsi="宋体" w:cs="宋体"/>
                <w:bCs/>
                <w:szCs w:val="21"/>
                <w:highlight w:val="none"/>
              </w:rPr>
            </w:pPr>
            <w:r>
              <w:rPr>
                <w:rFonts w:hint="eastAsia" w:ascii="宋体" w:hAnsi="宋体" w:cs="宋体"/>
                <w:bCs/>
                <w:szCs w:val="21"/>
                <w:highlight w:val="none"/>
              </w:rPr>
              <w:t>其他要求</w:t>
            </w:r>
          </w:p>
        </w:tc>
        <w:tc>
          <w:tcPr>
            <w:tcW w:w="4421" w:type="dxa"/>
            <w:vAlign w:val="center"/>
          </w:tcPr>
          <w:p>
            <w:pPr>
              <w:rPr>
                <w:rFonts w:ascii="宋体" w:hAnsi="宋体"/>
                <w:szCs w:val="21"/>
                <w:highlight w:val="none"/>
              </w:rPr>
            </w:pPr>
          </w:p>
          <w:tbl>
            <w:tblPr>
              <w:tblStyle w:val="43"/>
              <w:tblW w:w="47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750"/>
              <w:gridCol w:w="1583"/>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Merge w:val="restart"/>
                  <w:vAlign w:val="center"/>
                </w:tcPr>
                <w:p>
                  <w:pPr>
                    <w:jc w:val="center"/>
                    <w:rPr>
                      <w:rFonts w:hint="default" w:ascii="宋体" w:hAnsi="宋体"/>
                      <w:b w:val="0"/>
                      <w:bCs/>
                      <w:sz w:val="21"/>
                      <w:szCs w:val="21"/>
                      <w:highlight w:val="none"/>
                      <w:vertAlign w:val="baseline"/>
                      <w:lang w:val="en-US" w:eastAsia="zh-CN"/>
                    </w:rPr>
                  </w:pPr>
                  <w:r>
                    <w:rPr>
                      <w:rFonts w:hint="eastAsia" w:ascii="宋体" w:hAnsi="宋体"/>
                      <w:b w:val="0"/>
                      <w:bCs/>
                      <w:sz w:val="21"/>
                      <w:szCs w:val="21"/>
                      <w:highlight w:val="none"/>
                      <w:vertAlign w:val="baseline"/>
                      <w:lang w:val="en-US" w:eastAsia="zh-CN"/>
                    </w:rPr>
                    <w:t>购买服务人员费用</w:t>
                  </w:r>
                </w:p>
              </w:tc>
              <w:tc>
                <w:tcPr>
                  <w:tcW w:w="750" w:type="dxa"/>
                  <w:vAlign w:val="center"/>
                </w:tcPr>
                <w:p>
                  <w:pPr>
                    <w:jc w:val="center"/>
                    <w:rPr>
                      <w:rFonts w:hint="eastAsia" w:ascii="宋体" w:hAnsi="宋体" w:eastAsia="宋体"/>
                      <w:b w:val="0"/>
                      <w:bCs/>
                      <w:sz w:val="21"/>
                      <w:szCs w:val="21"/>
                      <w:highlight w:val="none"/>
                      <w:vertAlign w:val="baseline"/>
                      <w:lang w:val="en-US" w:eastAsia="zh-CN"/>
                    </w:rPr>
                  </w:pPr>
                  <w:r>
                    <w:rPr>
                      <w:rFonts w:hint="eastAsia" w:ascii="宋体" w:hAnsi="宋体"/>
                      <w:b w:val="0"/>
                      <w:bCs/>
                      <w:sz w:val="21"/>
                      <w:szCs w:val="21"/>
                      <w:highlight w:val="none"/>
                      <w:vertAlign w:val="baseline"/>
                      <w:lang w:val="en-US" w:eastAsia="zh-CN"/>
                    </w:rPr>
                    <w:t>序号</w:t>
                  </w:r>
                </w:p>
              </w:tc>
              <w:tc>
                <w:tcPr>
                  <w:tcW w:w="1583" w:type="dxa"/>
                  <w:vAlign w:val="center"/>
                </w:tcPr>
                <w:p>
                  <w:pPr>
                    <w:jc w:val="center"/>
                    <w:rPr>
                      <w:rFonts w:hint="eastAsia" w:ascii="宋体" w:hAnsi="宋体" w:eastAsia="宋体"/>
                      <w:b w:val="0"/>
                      <w:bCs/>
                      <w:sz w:val="21"/>
                      <w:szCs w:val="21"/>
                      <w:highlight w:val="none"/>
                      <w:vertAlign w:val="baseline"/>
                      <w:lang w:val="en-US" w:eastAsia="zh-CN"/>
                    </w:rPr>
                  </w:pPr>
                  <w:r>
                    <w:rPr>
                      <w:rFonts w:hint="eastAsia" w:ascii="宋体" w:hAnsi="宋体"/>
                      <w:b w:val="0"/>
                      <w:bCs/>
                      <w:sz w:val="21"/>
                      <w:szCs w:val="21"/>
                      <w:highlight w:val="none"/>
                      <w:vertAlign w:val="baseline"/>
                      <w:lang w:val="en-US" w:eastAsia="zh-CN"/>
                    </w:rPr>
                    <w:t>类别</w:t>
                  </w:r>
                </w:p>
              </w:tc>
              <w:tc>
                <w:tcPr>
                  <w:tcW w:w="1650" w:type="dxa"/>
                  <w:vAlign w:val="center"/>
                </w:tcPr>
                <w:p>
                  <w:pPr>
                    <w:jc w:val="center"/>
                    <w:rPr>
                      <w:rFonts w:hint="default" w:ascii="宋体" w:hAnsi="宋体"/>
                      <w:b w:val="0"/>
                      <w:bCs/>
                      <w:sz w:val="21"/>
                      <w:szCs w:val="21"/>
                      <w:highlight w:val="none"/>
                      <w:vertAlign w:val="baseline"/>
                      <w:lang w:val="en-US" w:eastAsia="zh-CN"/>
                    </w:rPr>
                  </w:pPr>
                  <w:r>
                    <w:rPr>
                      <w:rFonts w:hint="eastAsia" w:ascii="宋体" w:hAnsi="宋体"/>
                      <w:b w:val="0"/>
                      <w:bCs/>
                      <w:sz w:val="21"/>
                      <w:szCs w:val="21"/>
                      <w:highlight w:val="none"/>
                      <w:vertAlign w:val="baseline"/>
                      <w:lang w:val="en-US" w:eastAsia="zh-CN"/>
                    </w:rPr>
                    <w:t>数量（人）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60" w:type="dxa"/>
                  <w:vMerge w:val="continue"/>
                  <w:vAlign w:val="center"/>
                </w:tcPr>
                <w:p>
                  <w:pPr>
                    <w:jc w:val="center"/>
                    <w:rPr>
                      <w:rFonts w:ascii="宋体" w:hAnsi="宋体"/>
                      <w:b w:val="0"/>
                      <w:bCs/>
                      <w:sz w:val="21"/>
                      <w:szCs w:val="21"/>
                      <w:highlight w:val="none"/>
                      <w:vertAlign w:val="baseline"/>
                    </w:rPr>
                  </w:pPr>
                </w:p>
              </w:tc>
              <w:tc>
                <w:tcPr>
                  <w:tcW w:w="750" w:type="dxa"/>
                  <w:vAlign w:val="center"/>
                </w:tcPr>
                <w:p>
                  <w:pPr>
                    <w:jc w:val="center"/>
                    <w:rPr>
                      <w:rFonts w:hint="eastAsia" w:ascii="宋体" w:hAnsi="宋体" w:eastAsia="宋体"/>
                      <w:b w:val="0"/>
                      <w:bCs/>
                      <w:sz w:val="21"/>
                      <w:szCs w:val="21"/>
                      <w:highlight w:val="none"/>
                      <w:vertAlign w:val="baseline"/>
                      <w:lang w:val="en-US" w:eastAsia="zh-CN"/>
                    </w:rPr>
                  </w:pPr>
                  <w:r>
                    <w:rPr>
                      <w:rFonts w:hint="eastAsia" w:ascii="宋体" w:hAnsi="宋体"/>
                      <w:b w:val="0"/>
                      <w:bCs/>
                      <w:sz w:val="21"/>
                      <w:szCs w:val="21"/>
                      <w:highlight w:val="none"/>
                      <w:vertAlign w:val="baseline"/>
                      <w:lang w:val="en-US" w:eastAsia="zh-CN"/>
                    </w:rPr>
                    <w:t>1、</w:t>
                  </w:r>
                </w:p>
              </w:tc>
              <w:tc>
                <w:tcPr>
                  <w:tcW w:w="1583" w:type="dxa"/>
                  <w:vAlign w:val="center"/>
                </w:tcPr>
                <w:p>
                  <w:pPr>
                    <w:jc w:val="center"/>
                    <w:rPr>
                      <w:rFonts w:hint="default" w:ascii="宋体" w:hAnsi="宋体" w:eastAsia="宋体"/>
                      <w:b w:val="0"/>
                      <w:bCs/>
                      <w:sz w:val="21"/>
                      <w:szCs w:val="21"/>
                      <w:highlight w:val="none"/>
                      <w:vertAlign w:val="baseline"/>
                      <w:lang w:val="en-US" w:eastAsia="zh-CN"/>
                    </w:rPr>
                  </w:pPr>
                  <w:r>
                    <w:rPr>
                      <w:rFonts w:hint="eastAsia" w:ascii="宋体" w:hAnsi="宋体"/>
                      <w:b w:val="0"/>
                      <w:bCs/>
                      <w:sz w:val="21"/>
                      <w:szCs w:val="21"/>
                      <w:highlight w:val="none"/>
                      <w:vertAlign w:val="baseline"/>
                      <w:lang w:val="en-US" w:eastAsia="zh-CN"/>
                    </w:rPr>
                    <w:t>专业技术人员</w:t>
                  </w:r>
                </w:p>
              </w:tc>
              <w:tc>
                <w:tcPr>
                  <w:tcW w:w="1650" w:type="dxa"/>
                  <w:vAlign w:val="center"/>
                </w:tcPr>
                <w:p>
                  <w:pPr>
                    <w:jc w:val="center"/>
                    <w:rPr>
                      <w:rFonts w:hint="default" w:ascii="宋体" w:hAnsi="宋体" w:eastAsia="宋体"/>
                      <w:b w:val="0"/>
                      <w:bCs/>
                      <w:sz w:val="21"/>
                      <w:szCs w:val="21"/>
                      <w:highlight w:val="none"/>
                      <w:vertAlign w:val="baseline"/>
                      <w:lang w:val="en-US" w:eastAsia="zh-CN"/>
                    </w:rPr>
                  </w:pPr>
                  <w:r>
                    <w:rPr>
                      <w:rFonts w:hint="eastAsia" w:ascii="宋体" w:hAnsi="宋体"/>
                      <w:b w:val="0"/>
                      <w:bCs/>
                      <w:sz w:val="21"/>
                      <w:szCs w:val="21"/>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60" w:type="dxa"/>
                  <w:vMerge w:val="continue"/>
                  <w:vAlign w:val="center"/>
                </w:tcPr>
                <w:p>
                  <w:pPr>
                    <w:jc w:val="center"/>
                    <w:rPr>
                      <w:rFonts w:ascii="宋体" w:hAnsi="宋体"/>
                      <w:b w:val="0"/>
                      <w:bCs/>
                      <w:sz w:val="21"/>
                      <w:szCs w:val="21"/>
                      <w:highlight w:val="none"/>
                      <w:vertAlign w:val="baseline"/>
                    </w:rPr>
                  </w:pPr>
                </w:p>
              </w:tc>
              <w:tc>
                <w:tcPr>
                  <w:tcW w:w="750" w:type="dxa"/>
                  <w:vAlign w:val="center"/>
                </w:tcPr>
                <w:p>
                  <w:pPr>
                    <w:jc w:val="center"/>
                    <w:rPr>
                      <w:rFonts w:hint="eastAsia" w:ascii="宋体" w:hAnsi="宋体" w:eastAsia="宋体"/>
                      <w:b w:val="0"/>
                      <w:bCs/>
                      <w:sz w:val="21"/>
                      <w:szCs w:val="21"/>
                      <w:highlight w:val="none"/>
                      <w:vertAlign w:val="baseline"/>
                      <w:lang w:val="en-US" w:eastAsia="zh-CN"/>
                    </w:rPr>
                  </w:pPr>
                  <w:r>
                    <w:rPr>
                      <w:rFonts w:hint="eastAsia" w:ascii="宋体" w:hAnsi="宋体"/>
                      <w:b w:val="0"/>
                      <w:bCs/>
                      <w:sz w:val="21"/>
                      <w:szCs w:val="21"/>
                      <w:highlight w:val="none"/>
                      <w:vertAlign w:val="baseline"/>
                      <w:lang w:val="en-US" w:eastAsia="zh-CN"/>
                    </w:rPr>
                    <w:t>2、</w:t>
                  </w:r>
                </w:p>
              </w:tc>
              <w:tc>
                <w:tcPr>
                  <w:tcW w:w="1583" w:type="dxa"/>
                  <w:vAlign w:val="center"/>
                </w:tcPr>
                <w:p>
                  <w:pPr>
                    <w:jc w:val="center"/>
                    <w:rPr>
                      <w:rFonts w:hint="default" w:ascii="宋体" w:hAnsi="宋体" w:eastAsia="宋体"/>
                      <w:b w:val="0"/>
                      <w:bCs/>
                      <w:sz w:val="21"/>
                      <w:szCs w:val="21"/>
                      <w:highlight w:val="none"/>
                      <w:vertAlign w:val="baseline"/>
                      <w:lang w:val="en-US" w:eastAsia="zh-CN"/>
                    </w:rPr>
                  </w:pPr>
                  <w:r>
                    <w:rPr>
                      <w:rFonts w:hint="eastAsia" w:ascii="宋体" w:hAnsi="宋体"/>
                      <w:b w:val="0"/>
                      <w:bCs/>
                      <w:sz w:val="21"/>
                      <w:szCs w:val="21"/>
                      <w:highlight w:val="none"/>
                      <w:vertAlign w:val="baseline"/>
                      <w:lang w:val="en-US" w:eastAsia="zh-CN"/>
                    </w:rPr>
                    <w:t>后勤人员</w:t>
                  </w:r>
                </w:p>
              </w:tc>
              <w:tc>
                <w:tcPr>
                  <w:tcW w:w="1650" w:type="dxa"/>
                  <w:vAlign w:val="center"/>
                </w:tcPr>
                <w:p>
                  <w:pPr>
                    <w:jc w:val="center"/>
                    <w:rPr>
                      <w:rFonts w:hint="default" w:ascii="宋体" w:hAnsi="宋体" w:eastAsia="宋体"/>
                      <w:b w:val="0"/>
                      <w:bCs/>
                      <w:sz w:val="21"/>
                      <w:szCs w:val="21"/>
                      <w:highlight w:val="none"/>
                      <w:vertAlign w:val="baseline"/>
                      <w:lang w:val="en-US" w:eastAsia="zh-CN"/>
                    </w:rPr>
                  </w:pPr>
                  <w:r>
                    <w:rPr>
                      <w:rFonts w:hint="eastAsia" w:ascii="宋体" w:hAnsi="宋体"/>
                      <w:b w:val="0"/>
                      <w:bCs/>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60" w:type="dxa"/>
                  <w:vMerge w:val="continue"/>
                  <w:vAlign w:val="center"/>
                </w:tcPr>
                <w:p>
                  <w:pPr>
                    <w:jc w:val="center"/>
                    <w:rPr>
                      <w:rFonts w:ascii="宋体" w:hAnsi="宋体"/>
                      <w:b w:val="0"/>
                      <w:bCs/>
                      <w:sz w:val="21"/>
                      <w:szCs w:val="21"/>
                      <w:highlight w:val="none"/>
                      <w:vertAlign w:val="baseline"/>
                    </w:rPr>
                  </w:pPr>
                </w:p>
              </w:tc>
              <w:tc>
                <w:tcPr>
                  <w:tcW w:w="2333" w:type="dxa"/>
                  <w:gridSpan w:val="2"/>
                  <w:vAlign w:val="center"/>
                </w:tcPr>
                <w:p>
                  <w:pPr>
                    <w:jc w:val="center"/>
                    <w:rPr>
                      <w:rFonts w:hint="eastAsia" w:ascii="宋体" w:hAnsi="宋体" w:eastAsia="宋体"/>
                      <w:b w:val="0"/>
                      <w:bCs/>
                      <w:sz w:val="21"/>
                      <w:szCs w:val="21"/>
                      <w:highlight w:val="none"/>
                      <w:vertAlign w:val="baseline"/>
                      <w:lang w:val="en-US" w:eastAsia="zh-CN"/>
                    </w:rPr>
                  </w:pPr>
                  <w:r>
                    <w:rPr>
                      <w:rFonts w:hint="eastAsia" w:ascii="宋体" w:hAnsi="宋体"/>
                      <w:b w:val="0"/>
                      <w:bCs/>
                      <w:sz w:val="21"/>
                      <w:szCs w:val="21"/>
                      <w:highlight w:val="none"/>
                      <w:vertAlign w:val="baseline"/>
                      <w:lang w:val="en-US" w:eastAsia="zh-CN"/>
                    </w:rPr>
                    <w:t>合计</w:t>
                  </w:r>
                </w:p>
              </w:tc>
              <w:tc>
                <w:tcPr>
                  <w:tcW w:w="1650" w:type="dxa"/>
                  <w:vAlign w:val="center"/>
                </w:tcPr>
                <w:p>
                  <w:pPr>
                    <w:jc w:val="center"/>
                    <w:rPr>
                      <w:rFonts w:hint="default" w:ascii="宋体" w:hAnsi="宋体" w:eastAsia="宋体"/>
                      <w:b w:val="0"/>
                      <w:bCs/>
                      <w:sz w:val="21"/>
                      <w:szCs w:val="21"/>
                      <w:highlight w:val="none"/>
                      <w:vertAlign w:val="baseline"/>
                      <w:lang w:val="en-US" w:eastAsia="zh-CN"/>
                    </w:rPr>
                  </w:pPr>
                  <w:r>
                    <w:rPr>
                      <w:rFonts w:hint="eastAsia" w:ascii="宋体" w:hAnsi="宋体"/>
                      <w:b w:val="0"/>
                      <w:bCs/>
                      <w:sz w:val="21"/>
                      <w:szCs w:val="21"/>
                      <w:highlight w:val="none"/>
                      <w:vertAlign w:val="baseline"/>
                      <w:lang w:val="en-US" w:eastAsia="zh-CN"/>
                    </w:rPr>
                    <w:t>6</w:t>
                  </w:r>
                </w:p>
              </w:tc>
            </w:tr>
          </w:tbl>
          <w:p>
            <w:pPr>
              <w:rPr>
                <w:rFonts w:hint="eastAsia" w:ascii="宋体" w:hAnsi="宋体"/>
                <w:szCs w:val="21"/>
                <w:highlight w:val="none"/>
                <w:lang w:val="en-US" w:eastAsia="zh-CN"/>
              </w:rPr>
            </w:pPr>
          </w:p>
          <w:p>
            <w:pPr>
              <w:spacing w:before="120" w:beforeLines="50" w:after="120" w:afterLines="50" w:line="276" w:lineRule="auto"/>
              <w:ind w:firstLine="426" w:firstLineChars="202"/>
              <w:jc w:val="left"/>
              <w:rPr>
                <w:rFonts w:ascii="宋体" w:hAnsi="宋体"/>
                <w:b/>
                <w:szCs w:val="21"/>
                <w:highlight w:val="none"/>
              </w:rPr>
            </w:pPr>
            <w:r>
              <w:rPr>
                <w:rFonts w:hint="eastAsia" w:ascii="宋体" w:hAnsi="宋体"/>
                <w:b/>
                <w:szCs w:val="21"/>
                <w:highlight w:val="none"/>
                <w:lang w:val="en-US" w:eastAsia="zh-CN"/>
              </w:rPr>
              <w:t>（一）</w:t>
            </w:r>
            <w:r>
              <w:rPr>
                <w:rFonts w:hint="eastAsia" w:ascii="宋体" w:hAnsi="宋体"/>
                <w:b/>
                <w:szCs w:val="21"/>
                <w:highlight w:val="none"/>
              </w:rPr>
              <w:t>本项目投标</w:t>
            </w:r>
            <w:r>
              <w:rPr>
                <w:rFonts w:ascii="宋体" w:hAnsi="宋体"/>
                <w:b/>
                <w:szCs w:val="21"/>
                <w:highlight w:val="none"/>
              </w:rPr>
              <w:t>费用包括如下两部分：</w:t>
            </w:r>
          </w:p>
          <w:p>
            <w:pPr>
              <w:spacing w:before="120" w:beforeLines="50" w:after="120" w:afterLines="50" w:line="276" w:lineRule="auto"/>
              <w:ind w:firstLine="424" w:firstLineChars="202"/>
              <w:jc w:val="left"/>
              <w:rPr>
                <w:rFonts w:ascii="宋体" w:hAnsi="宋体"/>
                <w:szCs w:val="21"/>
                <w:highlight w:val="none"/>
              </w:rPr>
            </w:pPr>
            <w:r>
              <w:rPr>
                <w:rFonts w:hint="eastAsia" w:ascii="宋体" w:hAnsi="宋体"/>
                <w:szCs w:val="21"/>
                <w:highlight w:val="none"/>
                <w:lang w:val="en-US" w:eastAsia="zh-CN"/>
              </w:rPr>
              <w:t xml:space="preserve">1、 </w:t>
            </w:r>
            <w:r>
              <w:rPr>
                <w:rFonts w:ascii="宋体" w:hAnsi="宋体"/>
                <w:szCs w:val="21"/>
                <w:highlight w:val="none"/>
              </w:rPr>
              <w:t>购买服务人员相关费用</w:t>
            </w:r>
          </w:p>
          <w:p>
            <w:pPr>
              <w:spacing w:before="120" w:beforeLines="50" w:after="120" w:afterLines="50" w:line="276" w:lineRule="auto"/>
              <w:ind w:firstLine="424" w:firstLineChars="202"/>
              <w:jc w:val="left"/>
              <w:rPr>
                <w:rFonts w:hint="default" w:eastAsia="宋体"/>
                <w:highlight w:val="none"/>
                <w:lang w:val="en-US" w:eastAsia="zh-CN"/>
              </w:rPr>
            </w:pPr>
            <w:r>
              <w:rPr>
                <w:rFonts w:ascii="宋体" w:hAnsi="宋体"/>
                <w:szCs w:val="21"/>
                <w:highlight w:val="none"/>
              </w:rPr>
              <w:t>该项费用包含购买服务人员月应发工资，根据法律规定用人单位应缴交的社会保险、住房公积金</w:t>
            </w:r>
            <w:r>
              <w:rPr>
                <w:rFonts w:hint="eastAsia" w:ascii="宋体" w:hAnsi="宋体"/>
                <w:szCs w:val="21"/>
                <w:highlight w:val="none"/>
                <w:lang w:eastAsia="zh-CN"/>
              </w:rPr>
              <w:t>、</w:t>
            </w:r>
            <w:r>
              <w:rPr>
                <w:rFonts w:ascii="宋体" w:hAnsi="宋体"/>
                <w:szCs w:val="21"/>
                <w:highlight w:val="none"/>
              </w:rPr>
              <w:t>经济补偿准备金</w:t>
            </w:r>
            <w:r>
              <w:rPr>
                <w:rFonts w:hint="eastAsia" w:ascii="宋体" w:hAnsi="宋体"/>
                <w:szCs w:val="21"/>
                <w:highlight w:val="none"/>
                <w:lang w:val="en-US" w:eastAsia="zh-CN"/>
              </w:rPr>
              <w:t>和餐费</w:t>
            </w:r>
            <w:r>
              <w:rPr>
                <w:rFonts w:ascii="宋体" w:hAnsi="宋体"/>
                <w:szCs w:val="21"/>
                <w:highlight w:val="none"/>
              </w:rPr>
              <w:t>。</w:t>
            </w:r>
          </w:p>
          <w:p>
            <w:pPr>
              <w:spacing w:before="120" w:beforeLines="50" w:after="120" w:afterLines="50" w:line="276" w:lineRule="auto"/>
              <w:ind w:firstLine="420" w:firstLineChars="200"/>
              <w:jc w:val="left"/>
              <w:rPr>
                <w:rFonts w:ascii="宋体" w:hAnsi="宋体"/>
                <w:szCs w:val="21"/>
                <w:highlight w:val="none"/>
              </w:rPr>
            </w:pPr>
            <w:r>
              <w:rPr>
                <w:rFonts w:hint="eastAsia" w:ascii="宋体" w:hAnsi="宋体"/>
                <w:szCs w:val="21"/>
                <w:highlight w:val="none"/>
                <w:lang w:val="en-US" w:eastAsia="zh-CN"/>
              </w:rPr>
              <w:t>2、</w:t>
            </w:r>
            <w:r>
              <w:rPr>
                <w:rFonts w:ascii="宋体" w:hAnsi="宋体"/>
                <w:szCs w:val="21"/>
                <w:highlight w:val="none"/>
              </w:rPr>
              <w:t>服务管理费用</w:t>
            </w:r>
          </w:p>
          <w:p>
            <w:pPr>
              <w:ind w:firstLine="420" w:firstLineChars="200"/>
              <w:rPr>
                <w:highlight w:val="none"/>
              </w:rPr>
            </w:pPr>
            <w:r>
              <w:rPr>
                <w:rFonts w:ascii="宋体" w:hAnsi="宋体"/>
                <w:szCs w:val="21"/>
                <w:highlight w:val="none"/>
              </w:rPr>
              <w:t>该项费用包含中标单位的服务费、招聘费、合理利润、税金等。除上述费用外，中标单位不得以需要向服务人员支付经济补偿金、赔偿金等理由要求采购单位支付任何额外费用。</w:t>
            </w:r>
          </w:p>
          <w:p>
            <w:pPr>
              <w:rPr>
                <w:rFonts w:hint="eastAsia" w:ascii="宋体" w:hAnsi="宋体" w:eastAsia="宋体" w:cs="Times New Roman"/>
                <w:b/>
                <w:szCs w:val="21"/>
                <w:highlight w:val="none"/>
                <w:lang w:val="en-US" w:eastAsia="zh-CN"/>
              </w:rPr>
            </w:pPr>
          </w:p>
          <w:p>
            <w:pPr>
              <w:spacing w:line="276" w:lineRule="auto"/>
              <w:rPr>
                <w:rFonts w:ascii="宋体" w:hAnsi="宋体" w:cs="宋体"/>
                <w:bCs/>
                <w:szCs w:val="21"/>
                <w:highlight w:val="none"/>
              </w:rPr>
            </w:pPr>
            <w:r>
              <w:rPr>
                <w:rFonts w:hint="eastAsia" w:ascii="宋体" w:hAnsi="宋体" w:eastAsia="宋体" w:cs="Times New Roman"/>
                <w:b/>
                <w:szCs w:val="21"/>
                <w:highlight w:val="none"/>
                <w:lang w:val="en-US" w:eastAsia="zh-CN"/>
              </w:rPr>
              <w:t>（二）甲方按照乙方实际提供的购买服务支付服务费用给乙方，服务费用包含购买服务人员相关费用及服务管理费用。</w:t>
            </w:r>
          </w:p>
        </w:tc>
        <w:tc>
          <w:tcPr>
            <w:tcW w:w="1142" w:type="dxa"/>
            <w:vAlign w:val="center"/>
          </w:tcPr>
          <w:p>
            <w:pPr>
              <w:spacing w:line="276" w:lineRule="auto"/>
              <w:rPr>
                <w:rFonts w:ascii="宋体" w:hAnsi="宋体" w:cs="宋体"/>
                <w:bCs/>
                <w:szCs w:val="21"/>
                <w:highlight w:val="none"/>
              </w:rPr>
            </w:pPr>
          </w:p>
        </w:tc>
        <w:tc>
          <w:tcPr>
            <w:tcW w:w="830" w:type="dxa"/>
            <w:vAlign w:val="center"/>
          </w:tcPr>
          <w:p>
            <w:pPr>
              <w:spacing w:line="276" w:lineRule="auto"/>
              <w:rPr>
                <w:rFonts w:ascii="宋体" w:hAnsi="宋体" w:cs="宋体"/>
                <w:bCs/>
                <w:szCs w:val="21"/>
                <w:highlight w:val="none"/>
              </w:rPr>
            </w:pPr>
          </w:p>
        </w:tc>
      </w:tr>
    </w:tbl>
    <w:p>
      <w:pPr>
        <w:rPr>
          <w:b/>
          <w:sz w:val="24"/>
          <w:highlight w:val="none"/>
        </w:rPr>
      </w:pPr>
    </w:p>
    <w:p>
      <w:pPr>
        <w:rPr>
          <w:b/>
          <w:sz w:val="24"/>
          <w:highlight w:val="none"/>
        </w:rPr>
      </w:pPr>
    </w:p>
    <w:p>
      <w:pPr>
        <w:rPr>
          <w:b/>
          <w:sz w:val="24"/>
          <w:highlight w:val="none"/>
        </w:rPr>
      </w:pPr>
    </w:p>
    <w:p>
      <w:pPr>
        <w:pStyle w:val="7"/>
        <w:spacing w:before="120" w:beforeLines="50" w:after="120" w:afterLines="50"/>
        <w:rPr>
          <w:szCs w:val="24"/>
          <w:highlight w:val="none"/>
        </w:rPr>
      </w:pPr>
      <w:r>
        <w:rPr>
          <w:rFonts w:hint="eastAsia"/>
          <w:szCs w:val="24"/>
          <w:highlight w:val="none"/>
        </w:rPr>
        <w:t>六、商务要求</w:t>
      </w:r>
    </w:p>
    <w:tbl>
      <w:tblPr>
        <w:tblStyle w:val="43"/>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8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75" w:type="dxa"/>
            <w:vAlign w:val="center"/>
          </w:tcPr>
          <w:p>
            <w:pPr>
              <w:widowControl/>
              <w:jc w:val="center"/>
              <w:rPr>
                <w:b/>
                <w:szCs w:val="21"/>
                <w:highlight w:val="none"/>
              </w:rPr>
            </w:pPr>
            <w:r>
              <w:rPr>
                <w:rFonts w:hint="eastAsia"/>
                <w:b/>
                <w:szCs w:val="21"/>
                <w:highlight w:val="none"/>
              </w:rPr>
              <w:t>序号</w:t>
            </w:r>
          </w:p>
        </w:tc>
        <w:tc>
          <w:tcPr>
            <w:tcW w:w="1276" w:type="dxa"/>
            <w:vAlign w:val="center"/>
          </w:tcPr>
          <w:p>
            <w:pPr>
              <w:widowControl/>
              <w:jc w:val="center"/>
              <w:rPr>
                <w:b/>
                <w:szCs w:val="21"/>
                <w:highlight w:val="none"/>
              </w:rPr>
            </w:pPr>
            <w:r>
              <w:rPr>
                <w:rFonts w:hint="eastAsia"/>
                <w:b/>
                <w:szCs w:val="21"/>
                <w:highlight w:val="none"/>
              </w:rPr>
              <w:t>目录</w:t>
            </w:r>
          </w:p>
        </w:tc>
        <w:tc>
          <w:tcPr>
            <w:tcW w:w="8011" w:type="dxa"/>
            <w:vAlign w:val="center"/>
          </w:tcPr>
          <w:p>
            <w:pPr>
              <w:widowControl/>
              <w:jc w:val="center"/>
              <w:rPr>
                <w:b/>
                <w:szCs w:val="21"/>
                <w:highlight w:val="none"/>
              </w:rPr>
            </w:pPr>
            <w:r>
              <w:rPr>
                <w:rFonts w:hint="eastAsia" w:ascii="宋体" w:hAnsi="宋体" w:cs="宋体"/>
                <w:szCs w:val="21"/>
                <w:highlight w:val="none"/>
              </w:rPr>
              <w:t>★</w:t>
            </w:r>
            <w:r>
              <w:rPr>
                <w:rFonts w:hint="eastAsia"/>
                <w:b/>
                <w:szCs w:val="21"/>
                <w:highlight w:val="none"/>
              </w:rPr>
              <w:t>商务条款要求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outlineLvl w:val="0"/>
              <w:rPr>
                <w:rFonts w:ascii="宋体" w:hAnsi="宋体"/>
                <w:b/>
                <w:bCs/>
                <w:szCs w:val="21"/>
                <w:highlight w:val="none"/>
              </w:rPr>
            </w:pPr>
            <w:r>
              <w:rPr>
                <w:rFonts w:hint="eastAsia" w:ascii="宋体" w:hAnsi="宋体"/>
                <w:b/>
                <w:bCs/>
                <w:szCs w:val="21"/>
                <w:highlight w:val="none"/>
              </w:rPr>
              <w:t>1</w:t>
            </w:r>
            <w:r>
              <w:rPr>
                <w:rFonts w:hint="eastAsia" w:ascii="宋体" w:hAnsi="宋体"/>
                <w:b/>
                <w:szCs w:val="21"/>
                <w:highlight w:val="none"/>
              </w:rPr>
              <w:t>※</w:t>
            </w:r>
          </w:p>
        </w:tc>
        <w:tc>
          <w:tcPr>
            <w:tcW w:w="1276" w:type="dxa"/>
            <w:vAlign w:val="center"/>
          </w:tcPr>
          <w:p>
            <w:pPr>
              <w:jc w:val="center"/>
              <w:outlineLvl w:val="0"/>
              <w:rPr>
                <w:rFonts w:ascii="宋体" w:hAnsi="宋体"/>
                <w:b/>
                <w:bCs/>
                <w:szCs w:val="21"/>
                <w:highlight w:val="none"/>
              </w:rPr>
            </w:pPr>
            <w:r>
              <w:rPr>
                <w:rFonts w:hint="eastAsia" w:ascii="宋体" w:hAnsi="宋体"/>
                <w:b/>
                <w:bCs/>
                <w:szCs w:val="21"/>
                <w:highlight w:val="none"/>
              </w:rPr>
              <w:t>服务期要求</w:t>
            </w:r>
          </w:p>
        </w:tc>
        <w:tc>
          <w:tcPr>
            <w:tcW w:w="8011" w:type="dxa"/>
          </w:tcPr>
          <w:p>
            <w:pPr>
              <w:rPr>
                <w:rFonts w:ascii="宋体" w:hAnsi="宋体"/>
                <w:b/>
                <w:szCs w:val="21"/>
                <w:highlight w:val="none"/>
                <w:u w:val="single"/>
              </w:rPr>
            </w:pPr>
            <w:r>
              <w:rPr>
                <w:rFonts w:hint="eastAsia" w:ascii="宋体" w:hAnsi="宋体"/>
                <w:bCs/>
                <w:szCs w:val="21"/>
                <w:highlight w:val="none"/>
              </w:rPr>
              <w:t xml:space="preserve">服务期限：    </w:t>
            </w:r>
            <w:r>
              <w:rPr>
                <w:rFonts w:hint="eastAsia" w:ascii="宋体" w:hAnsi="宋体"/>
                <w:bCs/>
                <w:szCs w:val="21"/>
                <w:highlight w:val="none"/>
                <w:u w:val="single"/>
              </w:rPr>
              <w:t xml:space="preserve">    </w:t>
            </w:r>
            <w:r>
              <w:rPr>
                <w:rFonts w:hint="eastAsia" w:ascii="宋体" w:hAnsi="宋体"/>
                <w:bCs/>
                <w:szCs w:val="21"/>
                <w:highlight w:val="none"/>
                <w:u w:val="single"/>
                <w:lang w:val="en-US" w:eastAsia="zh-CN"/>
              </w:rPr>
              <w:t>12</w:t>
            </w:r>
            <w:r>
              <w:rPr>
                <w:rFonts w:hint="eastAsia" w:ascii="宋体" w:hAnsi="宋体"/>
                <w:bCs/>
                <w:szCs w:val="21"/>
                <w:highlight w:val="none"/>
                <w:u w:val="single"/>
              </w:rPr>
              <w:t xml:space="preserve">个月       </w:t>
            </w:r>
            <w:r>
              <w:rPr>
                <w:rFonts w:hint="eastAsia" w:ascii="宋体" w:hAnsi="宋体"/>
                <w:bCs/>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outlineLvl w:val="0"/>
              <w:rPr>
                <w:rFonts w:ascii="宋体" w:hAnsi="宋体"/>
                <w:b/>
                <w:bCs/>
                <w:szCs w:val="21"/>
                <w:highlight w:val="none"/>
              </w:rPr>
            </w:pPr>
            <w:r>
              <w:rPr>
                <w:rFonts w:hint="eastAsia" w:ascii="宋体" w:hAnsi="宋体"/>
                <w:b/>
                <w:bCs/>
                <w:szCs w:val="21"/>
                <w:highlight w:val="none"/>
              </w:rPr>
              <w:t>2</w:t>
            </w:r>
            <w:r>
              <w:rPr>
                <w:rFonts w:hint="eastAsia" w:ascii="宋体" w:hAnsi="宋体"/>
                <w:b/>
                <w:szCs w:val="21"/>
                <w:highlight w:val="none"/>
              </w:rPr>
              <w:t>※</w:t>
            </w:r>
          </w:p>
        </w:tc>
        <w:tc>
          <w:tcPr>
            <w:tcW w:w="1276" w:type="dxa"/>
            <w:vAlign w:val="center"/>
          </w:tcPr>
          <w:p>
            <w:pPr>
              <w:jc w:val="center"/>
              <w:outlineLvl w:val="0"/>
              <w:rPr>
                <w:rFonts w:ascii="宋体" w:hAnsi="宋体"/>
                <w:b/>
                <w:bCs/>
                <w:szCs w:val="21"/>
                <w:highlight w:val="none"/>
              </w:rPr>
            </w:pPr>
            <w:r>
              <w:rPr>
                <w:rFonts w:hint="eastAsia" w:ascii="宋体" w:hAnsi="宋体"/>
                <w:b/>
                <w:bCs/>
                <w:szCs w:val="21"/>
                <w:highlight w:val="none"/>
              </w:rPr>
              <w:t>服务地点</w:t>
            </w:r>
          </w:p>
        </w:tc>
        <w:tc>
          <w:tcPr>
            <w:tcW w:w="8011" w:type="dxa"/>
          </w:tcPr>
          <w:p>
            <w:pPr>
              <w:outlineLvl w:val="0"/>
              <w:rPr>
                <w:rFonts w:hint="default" w:ascii="宋体" w:hAnsi="宋体" w:eastAsia="宋体"/>
                <w:b/>
                <w:sz w:val="28"/>
                <w:szCs w:val="28"/>
                <w:highlight w:val="none"/>
                <w:lang w:val="en-US" w:eastAsia="zh-CN"/>
              </w:rPr>
            </w:pPr>
            <w:r>
              <w:rPr>
                <w:rFonts w:hint="eastAsia" w:ascii="宋体" w:hAnsi="宋体"/>
                <w:b/>
                <w:sz w:val="28"/>
                <w:szCs w:val="28"/>
                <w:highlight w:val="none"/>
                <w:lang w:val="en-US" w:eastAsia="zh-CN"/>
              </w:rPr>
              <w:t>深圳市福田区第一幼儿园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outlineLvl w:val="0"/>
              <w:rPr>
                <w:rFonts w:ascii="宋体" w:hAnsi="宋体"/>
                <w:b/>
                <w:bCs/>
                <w:szCs w:val="21"/>
                <w:highlight w:val="none"/>
              </w:rPr>
            </w:pPr>
            <w:r>
              <w:rPr>
                <w:rFonts w:hint="eastAsia" w:ascii="宋体" w:hAnsi="宋体"/>
                <w:b/>
                <w:bCs/>
                <w:szCs w:val="21"/>
                <w:highlight w:val="none"/>
              </w:rPr>
              <w:t>3</w:t>
            </w:r>
            <w:r>
              <w:rPr>
                <w:rFonts w:hint="eastAsia" w:ascii="宋体" w:hAnsi="宋体"/>
                <w:b/>
                <w:szCs w:val="21"/>
                <w:highlight w:val="none"/>
              </w:rPr>
              <w:t>※</w:t>
            </w:r>
          </w:p>
        </w:tc>
        <w:tc>
          <w:tcPr>
            <w:tcW w:w="1276" w:type="dxa"/>
            <w:vAlign w:val="center"/>
          </w:tcPr>
          <w:p>
            <w:pPr>
              <w:jc w:val="center"/>
              <w:outlineLvl w:val="0"/>
              <w:rPr>
                <w:rFonts w:ascii="宋体" w:hAnsi="宋体"/>
                <w:b/>
                <w:bCs/>
                <w:szCs w:val="21"/>
                <w:highlight w:val="none"/>
              </w:rPr>
            </w:pPr>
            <w:r>
              <w:rPr>
                <w:rFonts w:hint="eastAsia" w:ascii="宋体" w:hAnsi="宋体"/>
                <w:b/>
                <w:bCs/>
                <w:szCs w:val="21"/>
                <w:highlight w:val="none"/>
              </w:rPr>
              <w:t>付款方式</w:t>
            </w:r>
          </w:p>
        </w:tc>
        <w:tc>
          <w:tcPr>
            <w:tcW w:w="8011" w:type="dxa"/>
          </w:tcPr>
          <w:p>
            <w:pPr>
              <w:rPr>
                <w:rFonts w:ascii="宋体" w:hAnsi="宋体"/>
                <w:szCs w:val="21"/>
                <w:highlight w:val="none"/>
              </w:rPr>
            </w:pPr>
            <w:r>
              <w:rPr>
                <w:rFonts w:hint="eastAsia" w:ascii="宋体" w:hAnsi="宋体"/>
                <w:szCs w:val="21"/>
                <w:highlight w:val="none"/>
              </w:rPr>
              <w:t>按月结算服务费用，甲方在乙方实际提供购买服务的次月15日前将上月的服务费用支付给乙方，服务费用包含服务人员费用及服务管理费用。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outlineLvl w:val="0"/>
              <w:rPr>
                <w:rFonts w:ascii="宋体" w:hAnsi="宋体"/>
                <w:b/>
                <w:bCs/>
                <w:szCs w:val="21"/>
                <w:highlight w:val="none"/>
              </w:rPr>
            </w:pPr>
            <w:r>
              <w:rPr>
                <w:rFonts w:hint="eastAsia" w:ascii="宋体" w:hAnsi="宋体"/>
                <w:b/>
                <w:bCs/>
                <w:szCs w:val="21"/>
                <w:highlight w:val="none"/>
              </w:rPr>
              <w:t>4</w:t>
            </w:r>
            <w:r>
              <w:rPr>
                <w:rFonts w:hint="eastAsia" w:ascii="宋体" w:hAnsi="宋体"/>
                <w:b/>
                <w:szCs w:val="21"/>
                <w:highlight w:val="none"/>
              </w:rPr>
              <w:t>※</w:t>
            </w:r>
          </w:p>
        </w:tc>
        <w:tc>
          <w:tcPr>
            <w:tcW w:w="1276" w:type="dxa"/>
            <w:vAlign w:val="center"/>
          </w:tcPr>
          <w:p>
            <w:pPr>
              <w:jc w:val="center"/>
              <w:rPr>
                <w:rFonts w:ascii="宋体" w:hAnsi="宋体"/>
                <w:b/>
                <w:bCs/>
                <w:szCs w:val="21"/>
                <w:highlight w:val="none"/>
              </w:rPr>
            </w:pPr>
            <w:r>
              <w:rPr>
                <w:rFonts w:hint="eastAsia" w:ascii="宋体" w:hAnsi="宋体"/>
                <w:b/>
                <w:bCs/>
                <w:szCs w:val="21"/>
                <w:highlight w:val="none"/>
              </w:rPr>
              <w:t>关于验收</w:t>
            </w:r>
          </w:p>
          <w:p>
            <w:pPr>
              <w:jc w:val="center"/>
              <w:outlineLvl w:val="0"/>
              <w:rPr>
                <w:rFonts w:ascii="宋体" w:hAnsi="宋体"/>
                <w:b/>
                <w:bCs/>
                <w:szCs w:val="21"/>
                <w:highlight w:val="none"/>
              </w:rPr>
            </w:pPr>
          </w:p>
        </w:tc>
        <w:tc>
          <w:tcPr>
            <w:tcW w:w="8011" w:type="dxa"/>
          </w:tcPr>
          <w:p>
            <w:pPr>
              <w:tabs>
                <w:tab w:val="left" w:pos="1260"/>
              </w:tabs>
              <w:ind w:left="0" w:leftChars="0" w:firstLine="0" w:firstLineChars="0"/>
              <w:rPr>
                <w:rFonts w:ascii="宋体" w:hAnsi="宋体"/>
                <w:b/>
                <w:szCs w:val="21"/>
                <w:highlight w:val="none"/>
              </w:rPr>
            </w:pPr>
            <w:r>
              <w:rPr>
                <w:rFonts w:hint="eastAsia" w:ascii="宋体" w:hAnsi="宋体"/>
                <w:bCs/>
                <w:szCs w:val="21"/>
                <w:highlight w:val="none"/>
              </w:rPr>
              <w:t>1）服务经过双方检验认可后，签署验收报告。</w:t>
            </w:r>
          </w:p>
          <w:p>
            <w:pPr>
              <w:tabs>
                <w:tab w:val="left" w:pos="1260"/>
              </w:tabs>
              <w:ind w:left="0" w:leftChars="0" w:firstLine="0" w:firstLineChars="0"/>
              <w:rPr>
                <w:rFonts w:ascii="宋体" w:hAnsi="宋体"/>
                <w:bCs/>
                <w:szCs w:val="21"/>
                <w:highlight w:val="none"/>
              </w:rPr>
            </w:pPr>
            <w:r>
              <w:rPr>
                <w:rFonts w:hint="eastAsia" w:ascii="宋体" w:hAnsi="宋体"/>
                <w:bCs/>
                <w:szCs w:val="21"/>
                <w:highlight w:val="none"/>
              </w:rPr>
              <w:t>2）当满足以下条件时，采购人才向中标人签发验收报告：</w:t>
            </w:r>
          </w:p>
          <w:p>
            <w:pPr>
              <w:tabs>
                <w:tab w:val="left" w:pos="1260"/>
              </w:tabs>
              <w:ind w:left="0" w:leftChars="0" w:firstLine="0" w:firstLineChars="0"/>
              <w:rPr>
                <w:rFonts w:ascii="宋体" w:hAnsi="宋体"/>
                <w:bCs/>
                <w:szCs w:val="21"/>
                <w:highlight w:val="none"/>
              </w:rPr>
            </w:pPr>
            <w:r>
              <w:rPr>
                <w:rFonts w:hint="eastAsia" w:ascii="宋体" w:hAnsi="宋体"/>
                <w:bCs/>
                <w:szCs w:val="21"/>
                <w:highlight w:val="none"/>
              </w:rPr>
              <w:t>a、中标人已按照合同规定提供了全部技术资料。</w:t>
            </w:r>
          </w:p>
          <w:p>
            <w:pPr>
              <w:tabs>
                <w:tab w:val="left" w:pos="1260"/>
              </w:tabs>
              <w:ind w:left="0" w:leftChars="0" w:firstLine="0" w:firstLineChars="0"/>
              <w:rPr>
                <w:rFonts w:ascii="宋体" w:hAnsi="宋体"/>
                <w:szCs w:val="21"/>
                <w:highlight w:val="none"/>
              </w:rPr>
            </w:pPr>
            <w:r>
              <w:rPr>
                <w:rFonts w:hint="eastAsia" w:ascii="宋体" w:hAnsi="宋体"/>
                <w:bCs/>
                <w:szCs w:val="21"/>
                <w:highlight w:val="none"/>
              </w:rPr>
              <w:t>b、服务项目符合招标文件的服务要求</w:t>
            </w:r>
          </w:p>
        </w:tc>
      </w:tr>
    </w:tbl>
    <w:p>
      <w:pPr>
        <w:ind w:firstLine="420" w:firstLineChars="200"/>
        <w:rPr>
          <w:rFonts w:hint="default" w:asciiTheme="minorEastAsia" w:hAnsiTheme="minorEastAsia" w:eastAsiaTheme="minorEastAsia"/>
          <w:highlight w:val="none"/>
          <w:lang w:val="en-US" w:eastAsia="zh-CN"/>
        </w:rPr>
      </w:pPr>
    </w:p>
    <w:p>
      <w:pPr>
        <w:ind w:firstLine="420" w:firstLineChars="200"/>
        <w:rPr>
          <w:rFonts w:asciiTheme="minorEastAsia" w:hAnsiTheme="minorEastAsia" w:eastAsiaTheme="minorEastAsia"/>
          <w:highlight w:val="none"/>
        </w:rPr>
      </w:pPr>
    </w:p>
    <w:p>
      <w:pPr>
        <w:rPr>
          <w:highlight w:val="none"/>
        </w:rPr>
      </w:pPr>
    </w:p>
    <w:p>
      <w:pPr>
        <w:rPr>
          <w:highlight w:val="none"/>
        </w:rPr>
      </w:pPr>
    </w:p>
    <w:p>
      <w:pPr>
        <w:rPr>
          <w:highlight w:val="none"/>
        </w:rPr>
      </w:pPr>
    </w:p>
    <w:p>
      <w:pPr>
        <w:pStyle w:val="7"/>
        <w:spacing w:before="120" w:beforeLines="50" w:after="120" w:afterLines="50"/>
        <w:rPr>
          <w:szCs w:val="24"/>
          <w:highlight w:val="none"/>
        </w:rPr>
      </w:pPr>
      <w:r>
        <w:rPr>
          <w:rFonts w:hint="eastAsia"/>
          <w:szCs w:val="24"/>
          <w:highlight w:val="none"/>
          <w:lang w:val="en-US" w:eastAsia="zh-CN"/>
        </w:rPr>
        <w:t>七</w:t>
      </w:r>
      <w:r>
        <w:rPr>
          <w:rFonts w:hint="eastAsia"/>
          <w:szCs w:val="24"/>
          <w:highlight w:val="none"/>
        </w:rPr>
        <w:t>、其他重要条款</w:t>
      </w:r>
    </w:p>
    <w:p>
      <w:pPr>
        <w:ind w:firstLine="420" w:firstLineChars="200"/>
        <w:rPr>
          <w:bCs/>
          <w:szCs w:val="21"/>
          <w:highlight w:val="none"/>
        </w:rPr>
      </w:pPr>
      <w:r>
        <w:rPr>
          <w:rFonts w:hint="eastAsia"/>
          <w:bCs/>
          <w:szCs w:val="21"/>
          <w:highlight w:val="none"/>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pStyle w:val="9"/>
        <w:spacing w:before="60" w:beforeLines="25" w:after="60" w:afterLines="25"/>
        <w:ind w:firstLine="392" w:firstLineChars="187"/>
        <w:rPr>
          <w:rFonts w:ascii="宋体" w:hAnsi="宋体"/>
          <w:szCs w:val="21"/>
          <w:highlight w:val="none"/>
        </w:rPr>
      </w:pPr>
      <w:r>
        <w:rPr>
          <w:bCs/>
          <w:szCs w:val="21"/>
          <w:highlight w:val="none"/>
        </w:rPr>
        <w:t>2</w:t>
      </w:r>
      <w:r>
        <w:rPr>
          <w:rFonts w:hint="eastAsia"/>
          <w:bCs/>
          <w:szCs w:val="21"/>
          <w:highlight w:val="none"/>
        </w:rPr>
        <w:t>、投标人应充分了解项目的位置、情况、道路及任何其它足以影响投标报价的情况，任何因忽视或误解项目情况而导致的索赔或服务期限延长申请将不获批准。</w:t>
      </w:r>
    </w:p>
    <w:p>
      <w:pPr>
        <w:ind w:firstLine="420" w:firstLineChars="200"/>
        <w:rPr>
          <w:bCs/>
          <w:szCs w:val="21"/>
          <w:highlight w:val="none"/>
        </w:rPr>
      </w:pPr>
      <w:r>
        <w:rPr>
          <w:bCs/>
          <w:szCs w:val="21"/>
          <w:highlight w:val="none"/>
        </w:rPr>
        <w:t>3</w:t>
      </w:r>
      <w:r>
        <w:rPr>
          <w:rFonts w:hint="eastAsia"/>
          <w:bCs/>
          <w:szCs w:val="21"/>
          <w:highlight w:val="none"/>
        </w:rPr>
        <w:t>、投标人不得期望通过索赔等方式获取补偿，否则，除可能遭到拒绝外，还可能将被作为不良行为记录在案，并可能影响其以后参加政府采购的项目投标。各投标人在投标报价时，应充分考虑投标报价的风险。</w:t>
      </w:r>
    </w:p>
    <w:p>
      <w:pPr>
        <w:ind w:firstLine="420" w:firstLineChars="200"/>
        <w:rPr>
          <w:bCs/>
          <w:szCs w:val="21"/>
          <w:highlight w:val="none"/>
        </w:rPr>
      </w:pPr>
      <w:r>
        <w:rPr>
          <w:rFonts w:hint="eastAsia" w:ascii="Times New Roman" w:eastAsia="宋体"/>
          <w:bCs/>
          <w:szCs w:val="21"/>
          <w:highlight w:val="none"/>
          <w:lang w:val="en-US" w:eastAsia="zh-CN"/>
        </w:rPr>
        <w:t>4</w:t>
      </w:r>
      <w:r>
        <w:rPr>
          <w:rFonts w:hint="eastAsia"/>
          <w:bCs/>
          <w:szCs w:val="21"/>
          <w:highlight w:val="none"/>
        </w:rPr>
        <w:t>、除政府采购合同继续履行将损害国家利益和社会公共利益外，双方当事人不得擅自变更、中止或者终止合同。</w:t>
      </w:r>
    </w:p>
    <w:p>
      <w:pPr>
        <w:ind w:firstLine="420" w:firstLineChars="200"/>
        <w:rPr>
          <w:rFonts w:hint="eastAsia" w:eastAsia="宋体"/>
          <w:bCs/>
          <w:szCs w:val="21"/>
          <w:highlight w:val="none"/>
          <w:lang w:val="en-US" w:eastAsia="zh-CN"/>
        </w:rPr>
      </w:pPr>
      <w:r>
        <w:rPr>
          <w:rFonts w:hint="eastAsia" w:ascii="Times New Roman" w:eastAsia="宋体"/>
          <w:bCs/>
          <w:szCs w:val="21"/>
          <w:highlight w:val="none"/>
          <w:lang w:val="en-US" w:eastAsia="zh-CN"/>
        </w:rPr>
        <w:t>5</w:t>
      </w:r>
      <w:r>
        <w:rPr>
          <w:rFonts w:hint="eastAsia"/>
          <w:bCs/>
          <w:szCs w:val="21"/>
          <w:highlight w:val="none"/>
        </w:rPr>
        <w:t>、“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r>
        <w:rPr>
          <w:rFonts w:hint="eastAsia" w:ascii="Times New Roman" w:eastAsia="宋体"/>
          <w:bCs/>
          <w:szCs w:val="21"/>
          <w:highlight w:val="none"/>
          <w:lang w:val="en-US" w:eastAsia="zh-CN"/>
        </w:rPr>
        <w:t>。</w:t>
      </w:r>
    </w:p>
    <w:p>
      <w:pPr>
        <w:pStyle w:val="9"/>
        <w:spacing w:before="60" w:beforeLines="25" w:after="60" w:afterLines="25"/>
        <w:ind w:firstLine="392" w:firstLineChars="187"/>
        <w:rPr>
          <w:rFonts w:ascii="宋体" w:hAnsi="宋体"/>
          <w:szCs w:val="21"/>
          <w:highlight w:val="none"/>
        </w:rPr>
      </w:pPr>
    </w:p>
    <w:p>
      <w:pPr>
        <w:pStyle w:val="9"/>
        <w:spacing w:before="60" w:beforeLines="25" w:after="60" w:afterLines="25"/>
        <w:ind w:firstLine="392" w:firstLineChars="187"/>
        <w:rPr>
          <w:rFonts w:ascii="宋体" w:hAnsi="宋体"/>
          <w:szCs w:val="21"/>
          <w:highlight w:val="none"/>
        </w:rPr>
      </w:pPr>
    </w:p>
    <w:p>
      <w:pPr>
        <w:pStyle w:val="9"/>
        <w:spacing w:before="60" w:beforeLines="25" w:after="60" w:afterLines="25"/>
        <w:ind w:firstLine="392" w:firstLineChars="187"/>
        <w:rPr>
          <w:rFonts w:ascii="宋体" w:hAnsi="宋体"/>
          <w:szCs w:val="21"/>
          <w:highlight w:val="none"/>
        </w:rPr>
      </w:pPr>
    </w:p>
    <w:p>
      <w:pPr>
        <w:rPr>
          <w:highlight w:val="none"/>
        </w:rPr>
      </w:pPr>
      <w:r>
        <w:rPr>
          <w:rFonts w:hint="eastAsia"/>
          <w:highlight w:val="none"/>
        </w:rPr>
        <w:br w:type="page"/>
      </w:r>
    </w:p>
    <w:p>
      <w:pPr>
        <w:pStyle w:val="7"/>
        <w:rPr>
          <w:kern w:val="2"/>
          <w:highlight w:val="none"/>
        </w:rPr>
      </w:pPr>
      <w:r>
        <w:rPr>
          <w:rFonts w:hint="eastAsia"/>
          <w:kern w:val="2"/>
          <w:highlight w:val="none"/>
        </w:rPr>
        <w:t>第四章 投标文件组成要求及格式</w:t>
      </w:r>
    </w:p>
    <w:p>
      <w:pPr>
        <w:rPr>
          <w:rStyle w:val="55"/>
          <w:sz w:val="24"/>
          <w:highlight w:val="none"/>
        </w:rPr>
      </w:pPr>
      <w:r>
        <w:rPr>
          <w:rStyle w:val="55"/>
          <w:rFonts w:hint="eastAsia"/>
          <w:sz w:val="24"/>
          <w:highlight w:val="none"/>
        </w:rPr>
        <w:t>特别提醒：</w:t>
      </w:r>
    </w:p>
    <w:p>
      <w:pPr>
        <w:ind w:firstLine="480" w:firstLineChars="200"/>
        <w:rPr>
          <w:rFonts w:ascii="仿宋_GB2312" w:eastAsia="仿宋_GB2312"/>
          <w:sz w:val="24"/>
          <w:highlight w:val="none"/>
        </w:rPr>
      </w:pPr>
      <w:r>
        <w:rPr>
          <w:rFonts w:hint="eastAsia" w:ascii="仿宋_GB2312" w:eastAsia="仿宋_GB2312"/>
          <w:sz w:val="24"/>
          <w:highlight w:val="none"/>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pPr>
        <w:rPr>
          <w:rFonts w:ascii="仿宋_GB2312" w:eastAsia="仿宋_GB2312"/>
          <w:sz w:val="24"/>
          <w:highlight w:val="none"/>
        </w:rPr>
      </w:pPr>
      <w:r>
        <w:rPr>
          <w:rFonts w:hint="eastAsia" w:ascii="仿宋_GB2312" w:eastAsia="仿宋_GB2312"/>
          <w:sz w:val="24"/>
          <w:highlight w:val="none"/>
        </w:rPr>
        <w:t xml:space="preserve">    投标文件正文（信息公开部分）必须编制于“正文（公开部分）”，投标文件附件（非信息公开部分）必须编制于“附件（不公开部分）”，如下图所示。</w:t>
      </w:r>
    </w:p>
    <w:p>
      <w:pPr>
        <w:widowControl/>
        <w:jc w:val="left"/>
        <w:rPr>
          <w:rFonts w:ascii="宋体" w:hAnsi="宋体" w:cs="宋体"/>
          <w:kern w:val="0"/>
          <w:sz w:val="24"/>
          <w:highlight w:val="none"/>
        </w:rPr>
      </w:pPr>
    </w:p>
    <w:p>
      <w:pPr>
        <w:ind w:firstLine="480" w:firstLineChars="200"/>
        <w:rPr>
          <w:rFonts w:ascii="仿宋_GB2312" w:eastAsia="仿宋_GB2312"/>
          <w:sz w:val="24"/>
          <w:highlight w:val="none"/>
        </w:rPr>
      </w:pPr>
      <w:r>
        <w:rPr>
          <w:rFonts w:hint="eastAsia" w:ascii="仿宋_GB2312" w:eastAsia="仿宋_GB2312"/>
          <w:sz w:val="24"/>
          <w:highlight w:val="none"/>
        </w:rPr>
        <w:t>政府集中采购机构公布投标文件正文（信息公开部分）时为计算机截取信息自动公布，</w:t>
      </w:r>
      <w:r>
        <w:rPr>
          <w:rFonts w:hint="eastAsia" w:ascii="仿宋_GB2312" w:eastAsia="仿宋_GB2312"/>
          <w:b/>
          <w:bCs/>
          <w:sz w:val="24"/>
          <w:highlight w:val="none"/>
        </w:rPr>
        <w:t>如投标人误将涉及个人隐私的信息放入投标文件正文，相关后果由投标人自负；</w:t>
      </w:r>
      <w:r>
        <w:rPr>
          <w:rFonts w:hint="eastAsia" w:ascii="仿宋_GB2312" w:eastAsia="仿宋_GB2312"/>
          <w:sz w:val="24"/>
          <w:highlight w:val="none"/>
        </w:rPr>
        <w:t>如投标人将必须放于投标文件正文（信息公开部分）的内容放入投标文件附件（非信息公开部分），将作投标无效处理。</w:t>
      </w:r>
    </w:p>
    <w:p>
      <w:pPr>
        <w:ind w:firstLine="480" w:firstLineChars="200"/>
        <w:rPr>
          <w:rFonts w:ascii="仿宋_GB2312" w:eastAsia="仿宋_GB2312"/>
          <w:sz w:val="24"/>
          <w:highlight w:val="none"/>
        </w:rPr>
      </w:pPr>
    </w:p>
    <w:p>
      <w:pPr>
        <w:ind w:firstLine="482" w:firstLineChars="200"/>
        <w:rPr>
          <w:rFonts w:ascii="宋体" w:hAnsi="宋体"/>
          <w:b/>
          <w:sz w:val="24"/>
          <w:highlight w:val="none"/>
        </w:rPr>
      </w:pPr>
    </w:p>
    <w:p>
      <w:pPr>
        <w:ind w:firstLine="482" w:firstLineChars="200"/>
        <w:rPr>
          <w:rFonts w:ascii="宋体" w:hAnsi="宋体"/>
          <w:b/>
          <w:sz w:val="24"/>
          <w:highlight w:val="none"/>
        </w:rPr>
      </w:pPr>
    </w:p>
    <w:p>
      <w:pPr>
        <w:ind w:firstLine="482" w:firstLineChars="200"/>
        <w:rPr>
          <w:rFonts w:ascii="宋体" w:hAnsi="宋体"/>
          <w:b/>
          <w:sz w:val="24"/>
          <w:highlight w:val="none"/>
        </w:rPr>
      </w:pPr>
    </w:p>
    <w:p>
      <w:pPr>
        <w:rPr>
          <w:rFonts w:ascii="宋体" w:hAnsi="宋体"/>
          <w:sz w:val="24"/>
          <w:highlight w:val="none"/>
        </w:rPr>
      </w:pPr>
      <w:r>
        <w:rPr>
          <w:rFonts w:hint="eastAsia" w:ascii="宋体" w:hAnsi="宋体"/>
          <w:sz w:val="24"/>
          <w:highlight w:val="none"/>
        </w:rPr>
        <w:t>投标文件组成：</w:t>
      </w:r>
    </w:p>
    <w:p>
      <w:pPr>
        <w:ind w:firstLine="1200" w:firstLineChars="500"/>
        <w:outlineLvl w:val="0"/>
        <w:rPr>
          <w:rFonts w:ascii="宋体" w:hAnsi="宋体"/>
          <w:sz w:val="24"/>
          <w:highlight w:val="none"/>
        </w:rPr>
      </w:pPr>
      <w:r>
        <w:rPr>
          <w:rFonts w:hint="eastAsia" w:ascii="宋体" w:hAnsi="宋体"/>
          <w:sz w:val="24"/>
          <w:highlight w:val="none"/>
        </w:rPr>
        <w:t>1.投标文件正文</w:t>
      </w:r>
      <w:r>
        <w:rPr>
          <w:rFonts w:hint="eastAsia" w:ascii="宋体" w:hAnsi="宋体"/>
          <w:b/>
          <w:color w:val="FF0000"/>
          <w:sz w:val="24"/>
          <w:highlight w:val="none"/>
        </w:rPr>
        <w:t>（信息公开部分）</w:t>
      </w:r>
      <w:r>
        <w:rPr>
          <w:rFonts w:hint="eastAsia" w:ascii="宋体" w:hAnsi="宋体"/>
          <w:sz w:val="24"/>
          <w:highlight w:val="none"/>
        </w:rPr>
        <w:t>，主要包括以下内容：</w:t>
      </w:r>
    </w:p>
    <w:p>
      <w:pPr>
        <w:ind w:left="718" w:leftChars="342" w:firstLine="1417" w:firstLineChars="675"/>
        <w:rPr>
          <w:szCs w:val="21"/>
          <w:highlight w:val="none"/>
        </w:rPr>
      </w:pPr>
      <w:r>
        <w:rPr>
          <w:rFonts w:hint="eastAsia"/>
          <w:szCs w:val="21"/>
          <w:highlight w:val="none"/>
        </w:rPr>
        <w:t>（1）</w:t>
      </w:r>
      <w:bookmarkStart w:id="33" w:name="_Hlk72070784"/>
      <w:r>
        <w:rPr>
          <w:rFonts w:hint="eastAsia"/>
          <w:szCs w:val="21"/>
          <w:highlight w:val="none"/>
        </w:rPr>
        <w:t>投标函</w:t>
      </w:r>
      <w:bookmarkEnd w:id="33"/>
    </w:p>
    <w:p>
      <w:pPr>
        <w:ind w:left="718" w:leftChars="342" w:firstLine="1417" w:firstLineChars="675"/>
        <w:rPr>
          <w:szCs w:val="21"/>
          <w:highlight w:val="none"/>
        </w:rPr>
      </w:pPr>
      <w:r>
        <w:rPr>
          <w:rFonts w:hint="eastAsia"/>
          <w:szCs w:val="21"/>
          <w:highlight w:val="none"/>
        </w:rPr>
        <w:t>（2）</w:t>
      </w:r>
      <w:bookmarkStart w:id="34" w:name="_Hlk72062521"/>
      <w:r>
        <w:rPr>
          <w:rFonts w:hint="eastAsia"/>
          <w:szCs w:val="21"/>
          <w:highlight w:val="none"/>
        </w:rPr>
        <w:t>政府采购投标及履约承诺函</w:t>
      </w:r>
      <w:bookmarkEnd w:id="34"/>
    </w:p>
    <w:p>
      <w:pPr>
        <w:ind w:left="718" w:leftChars="342" w:firstLine="1417" w:firstLineChars="675"/>
        <w:rPr>
          <w:szCs w:val="21"/>
          <w:highlight w:val="none"/>
        </w:rPr>
      </w:pPr>
      <w:r>
        <w:rPr>
          <w:rFonts w:hint="eastAsia"/>
          <w:szCs w:val="21"/>
          <w:highlight w:val="none"/>
        </w:rPr>
        <w:t>（</w:t>
      </w:r>
      <w:r>
        <w:rPr>
          <w:szCs w:val="21"/>
          <w:highlight w:val="none"/>
        </w:rPr>
        <w:t>3</w:t>
      </w:r>
      <w:r>
        <w:rPr>
          <w:rFonts w:hint="eastAsia"/>
          <w:szCs w:val="21"/>
          <w:highlight w:val="none"/>
        </w:rPr>
        <w:t>）投标人情况及资格证明文件</w:t>
      </w:r>
    </w:p>
    <w:p>
      <w:pPr>
        <w:ind w:left="718" w:leftChars="342" w:firstLine="1417" w:firstLineChars="675"/>
        <w:rPr>
          <w:rFonts w:ascii="宋体" w:hAnsi="宋体"/>
          <w:szCs w:val="21"/>
          <w:highlight w:val="none"/>
        </w:rPr>
      </w:pPr>
      <w:bookmarkStart w:id="35" w:name="_Hlk72257201"/>
      <w:r>
        <w:rPr>
          <w:rFonts w:hint="eastAsia"/>
          <w:szCs w:val="21"/>
          <w:highlight w:val="none"/>
        </w:rPr>
        <w:t>（</w:t>
      </w:r>
      <w:r>
        <w:rPr>
          <w:szCs w:val="21"/>
          <w:highlight w:val="none"/>
        </w:rPr>
        <w:t>4</w:t>
      </w:r>
      <w:r>
        <w:rPr>
          <w:rFonts w:hint="eastAsia"/>
          <w:szCs w:val="21"/>
          <w:highlight w:val="none"/>
        </w:rPr>
        <w:t>）项目详细报价</w:t>
      </w:r>
      <w:bookmarkEnd w:id="35"/>
    </w:p>
    <w:p>
      <w:pPr>
        <w:ind w:left="718" w:leftChars="342" w:firstLine="1417" w:firstLineChars="675"/>
        <w:outlineLvl w:val="9"/>
        <w:rPr>
          <w:rFonts w:hint="eastAsia" w:ascii="Times New Roman" w:hAnsi="Times New Roman"/>
          <w:sz w:val="21"/>
          <w:szCs w:val="21"/>
          <w:highlight w:val="none"/>
        </w:rPr>
      </w:pPr>
      <w:r>
        <w:rPr>
          <w:rFonts w:hint="eastAsia" w:ascii="Times New Roman" w:hAnsi="Times New Roman"/>
          <w:sz w:val="21"/>
          <w:szCs w:val="21"/>
          <w:highlight w:val="none"/>
        </w:rPr>
        <w:t>（5）同类项目业绩</w:t>
      </w:r>
    </w:p>
    <w:p>
      <w:pPr>
        <w:ind w:firstLine="2100" w:firstLineChars="1000"/>
        <w:jc w:val="left"/>
        <w:outlineLvl w:val="9"/>
        <w:rPr>
          <w:highlight w:val="none"/>
        </w:rPr>
      </w:pPr>
      <w:r>
        <w:rPr>
          <w:rFonts w:hint="eastAsia" w:ascii="Times New Roman" w:hAnsi="Times New Roman"/>
          <w:sz w:val="21"/>
          <w:szCs w:val="21"/>
          <w:highlight w:val="none"/>
        </w:rPr>
        <w:t>（6）</w:t>
      </w:r>
      <w:r>
        <w:rPr>
          <w:rFonts w:hint="eastAsia" w:ascii="Times New Roman" w:hAnsi="Times New Roman"/>
          <w:color w:val="auto"/>
          <w:szCs w:val="21"/>
          <w:highlight w:val="none"/>
        </w:rPr>
        <w:t>履约评价</w:t>
      </w:r>
    </w:p>
    <w:p>
      <w:pPr>
        <w:ind w:left="0" w:leftChars="0" w:firstLine="2100" w:firstLineChars="1000"/>
        <w:jc w:val="left"/>
        <w:outlineLvl w:val="9"/>
        <w:rPr>
          <w:rFonts w:hint="eastAsia" w:ascii="宋体" w:hAnsi="宋体"/>
          <w:sz w:val="24"/>
          <w:highlight w:val="none"/>
        </w:rPr>
      </w:pPr>
      <w:r>
        <w:rPr>
          <w:rFonts w:hint="eastAsia" w:ascii="Times New Roman" w:hAnsi="Times New Roman"/>
          <w:sz w:val="21"/>
          <w:szCs w:val="21"/>
          <w:highlight w:val="none"/>
        </w:rPr>
        <w:t>（</w:t>
      </w:r>
      <w:r>
        <w:rPr>
          <w:rFonts w:hint="eastAsia"/>
          <w:sz w:val="21"/>
          <w:szCs w:val="21"/>
          <w:highlight w:val="none"/>
          <w:lang w:val="en-US" w:eastAsia="zh-CN"/>
        </w:rPr>
        <w:t>7</w:t>
      </w:r>
      <w:r>
        <w:rPr>
          <w:rFonts w:hint="eastAsia" w:ascii="Times New Roman" w:hAnsi="Times New Roman"/>
          <w:sz w:val="21"/>
          <w:szCs w:val="21"/>
          <w:highlight w:val="none"/>
        </w:rPr>
        <w:t>）</w:t>
      </w:r>
      <w:r>
        <w:rPr>
          <w:rFonts w:hint="eastAsia" w:ascii="宋体" w:hAnsi="宋体"/>
          <w:color w:val="000000"/>
          <w:szCs w:val="21"/>
          <w:highlight w:val="none"/>
        </w:rPr>
        <w:t>便利化服务</w:t>
      </w:r>
    </w:p>
    <w:p>
      <w:pPr>
        <w:ind w:firstLine="1200" w:firstLineChars="500"/>
        <w:outlineLvl w:val="0"/>
        <w:rPr>
          <w:rFonts w:hint="eastAsia" w:ascii="宋体" w:hAnsi="宋体"/>
          <w:sz w:val="24"/>
          <w:highlight w:val="none"/>
        </w:rPr>
      </w:pPr>
    </w:p>
    <w:p>
      <w:pPr>
        <w:ind w:firstLine="1200" w:firstLineChars="500"/>
        <w:outlineLvl w:val="0"/>
        <w:rPr>
          <w:rFonts w:ascii="宋体" w:hAnsi="宋体"/>
          <w:sz w:val="24"/>
          <w:highlight w:val="none"/>
        </w:rPr>
      </w:pPr>
      <w:r>
        <w:rPr>
          <w:rFonts w:hint="eastAsia" w:ascii="宋体" w:hAnsi="宋体"/>
          <w:sz w:val="24"/>
          <w:highlight w:val="none"/>
        </w:rPr>
        <w:t>2.投标文件附件</w:t>
      </w:r>
      <w:r>
        <w:rPr>
          <w:rFonts w:hint="eastAsia" w:ascii="宋体" w:hAnsi="宋体"/>
          <w:b/>
          <w:color w:val="FF0000"/>
          <w:sz w:val="24"/>
          <w:highlight w:val="none"/>
        </w:rPr>
        <w:t>（信息不公开部分）</w:t>
      </w:r>
      <w:r>
        <w:rPr>
          <w:rFonts w:hint="eastAsia" w:ascii="宋体" w:hAnsi="宋体"/>
          <w:sz w:val="24"/>
          <w:highlight w:val="none"/>
        </w:rPr>
        <w:t>：主要包括以下内容：</w:t>
      </w:r>
    </w:p>
    <w:p>
      <w:pPr>
        <w:ind w:firstLine="2100" w:firstLineChars="1000"/>
        <w:rPr>
          <w:szCs w:val="21"/>
          <w:highlight w:val="none"/>
        </w:rPr>
      </w:pPr>
      <w:r>
        <w:rPr>
          <w:rFonts w:hint="eastAsia"/>
          <w:szCs w:val="21"/>
          <w:highlight w:val="none"/>
        </w:rPr>
        <w:t>（1）法定代表人（负责人）证明书</w:t>
      </w:r>
    </w:p>
    <w:p>
      <w:pPr>
        <w:ind w:left="718" w:leftChars="342" w:firstLine="1417" w:firstLineChars="675"/>
        <w:rPr>
          <w:szCs w:val="21"/>
          <w:highlight w:val="none"/>
        </w:rPr>
      </w:pPr>
      <w:r>
        <w:rPr>
          <w:rFonts w:hint="eastAsia"/>
          <w:szCs w:val="21"/>
          <w:highlight w:val="none"/>
        </w:rPr>
        <w:t>（2）投标文件签署授权委托书</w:t>
      </w:r>
    </w:p>
    <w:p>
      <w:pPr>
        <w:ind w:left="718" w:leftChars="342" w:firstLine="1417" w:firstLineChars="675"/>
        <w:rPr>
          <w:szCs w:val="21"/>
          <w:highlight w:val="none"/>
        </w:rPr>
      </w:pPr>
      <w:r>
        <w:rPr>
          <w:rFonts w:hint="eastAsia"/>
          <w:szCs w:val="21"/>
          <w:highlight w:val="none"/>
        </w:rPr>
        <w:t>（3）</w:t>
      </w:r>
      <w:r>
        <w:rPr>
          <w:szCs w:val="21"/>
          <w:highlight w:val="none"/>
        </w:rPr>
        <w:t>实质性条款响应情况表</w:t>
      </w:r>
    </w:p>
    <w:p>
      <w:pPr>
        <w:ind w:left="718" w:leftChars="342" w:firstLine="1417" w:firstLineChars="675"/>
        <w:rPr>
          <w:rFonts w:hint="eastAsia"/>
          <w:szCs w:val="21"/>
          <w:highlight w:val="none"/>
        </w:rPr>
      </w:pPr>
      <w:r>
        <w:rPr>
          <w:rFonts w:hint="eastAsia"/>
          <w:szCs w:val="21"/>
          <w:highlight w:val="none"/>
        </w:rPr>
        <w:t>（4）</w:t>
      </w:r>
      <w:r>
        <w:rPr>
          <w:rFonts w:hint="eastAsia" w:ascii="宋体" w:hAnsi="宋体" w:eastAsia="宋体" w:cs="宋体"/>
          <w:color w:val="000000"/>
          <w:sz w:val="21"/>
          <w:szCs w:val="21"/>
          <w:highlight w:val="none"/>
        </w:rPr>
        <w:t>服务方案</w:t>
      </w:r>
    </w:p>
    <w:p>
      <w:pPr>
        <w:ind w:left="718" w:leftChars="342" w:firstLine="1417" w:firstLineChars="675"/>
        <w:rPr>
          <w:rFonts w:hint="eastAsia"/>
          <w:szCs w:val="21"/>
          <w:highlight w:val="none"/>
        </w:rPr>
      </w:pPr>
      <w:r>
        <w:rPr>
          <w:rFonts w:hint="eastAsia"/>
          <w:szCs w:val="21"/>
          <w:highlight w:val="none"/>
        </w:rPr>
        <w:t>（5）项目重点难点分析、应对措施及相关的合理化建议</w:t>
      </w:r>
    </w:p>
    <w:p>
      <w:pPr>
        <w:ind w:left="718" w:leftChars="342" w:firstLine="1417" w:firstLineChars="675"/>
        <w:rPr>
          <w:rFonts w:hint="eastAsia"/>
          <w:szCs w:val="21"/>
          <w:highlight w:val="none"/>
        </w:rPr>
      </w:pPr>
      <w:r>
        <w:rPr>
          <w:rFonts w:hint="eastAsia"/>
          <w:szCs w:val="21"/>
          <w:highlight w:val="none"/>
        </w:rPr>
        <w:t>（6）质量（完成时间、安全、环保）保障措施及方案</w:t>
      </w:r>
    </w:p>
    <w:p>
      <w:pPr>
        <w:ind w:left="718" w:leftChars="342" w:firstLine="1417" w:firstLineChars="675"/>
        <w:rPr>
          <w:rFonts w:hint="eastAsia"/>
          <w:szCs w:val="21"/>
          <w:highlight w:val="none"/>
        </w:rPr>
      </w:pPr>
      <w:r>
        <w:rPr>
          <w:rFonts w:hint="eastAsia"/>
          <w:szCs w:val="21"/>
          <w:highlight w:val="none"/>
        </w:rPr>
        <w:t>（</w:t>
      </w:r>
      <w:r>
        <w:rPr>
          <w:rFonts w:hint="eastAsia"/>
          <w:szCs w:val="21"/>
          <w:highlight w:val="none"/>
          <w:lang w:val="en-US" w:eastAsia="zh-CN"/>
        </w:rPr>
        <w:t>7</w:t>
      </w:r>
      <w:r>
        <w:rPr>
          <w:rFonts w:hint="eastAsia"/>
          <w:szCs w:val="21"/>
          <w:highlight w:val="none"/>
        </w:rPr>
        <w:t>）拟安排的项目负责人情况（仅限一人）</w:t>
      </w:r>
    </w:p>
    <w:p>
      <w:pPr>
        <w:ind w:left="718" w:leftChars="342" w:firstLine="1417" w:firstLineChars="675"/>
        <w:rPr>
          <w:rFonts w:hint="eastAsia"/>
          <w:szCs w:val="21"/>
          <w:highlight w:val="none"/>
        </w:rPr>
      </w:pPr>
      <w:r>
        <w:rPr>
          <w:rFonts w:hint="eastAsia"/>
          <w:szCs w:val="21"/>
          <w:highlight w:val="none"/>
        </w:rPr>
        <w:t>（</w:t>
      </w:r>
      <w:r>
        <w:rPr>
          <w:rFonts w:hint="eastAsia"/>
          <w:szCs w:val="21"/>
          <w:highlight w:val="none"/>
          <w:lang w:val="en-US" w:eastAsia="zh-CN"/>
        </w:rPr>
        <w:t>8</w:t>
      </w:r>
      <w:r>
        <w:rPr>
          <w:rFonts w:hint="eastAsia"/>
          <w:szCs w:val="21"/>
          <w:highlight w:val="none"/>
        </w:rPr>
        <w:t>）</w:t>
      </w:r>
      <w:r>
        <w:rPr>
          <w:rFonts w:hint="eastAsia" w:ascii="宋体" w:hAnsi="宋体" w:eastAsia="宋体" w:cs="宋体"/>
          <w:color w:val="000000"/>
          <w:kern w:val="0"/>
          <w:sz w:val="21"/>
          <w:szCs w:val="21"/>
          <w:highlight w:val="none"/>
        </w:rPr>
        <w:t>拟安排的项目主要团队成员（主要技术人员）情况（项目负责人除外）</w:t>
      </w:r>
    </w:p>
    <w:p>
      <w:pPr>
        <w:ind w:left="718" w:leftChars="342" w:firstLine="1417" w:firstLineChars="675"/>
        <w:rPr>
          <w:rFonts w:hint="eastAsia"/>
          <w:szCs w:val="21"/>
          <w:highlight w:val="none"/>
        </w:rPr>
      </w:pPr>
      <w:r>
        <w:rPr>
          <w:rFonts w:hint="eastAsia"/>
          <w:szCs w:val="21"/>
          <w:highlight w:val="none"/>
        </w:rPr>
        <w:t>（</w:t>
      </w:r>
      <w:r>
        <w:rPr>
          <w:rFonts w:hint="eastAsia"/>
          <w:szCs w:val="21"/>
          <w:highlight w:val="none"/>
          <w:lang w:val="en-US" w:eastAsia="zh-CN"/>
        </w:rPr>
        <w:t>9</w:t>
      </w:r>
      <w:r>
        <w:rPr>
          <w:rFonts w:hint="eastAsia"/>
          <w:szCs w:val="21"/>
          <w:highlight w:val="none"/>
        </w:rPr>
        <w:t>）投标人认为需要加以说明的其他内容</w:t>
      </w:r>
    </w:p>
    <w:p>
      <w:pPr>
        <w:pStyle w:val="2"/>
        <w:rPr>
          <w:highlight w:val="none"/>
        </w:rPr>
      </w:pPr>
    </w:p>
    <w:p>
      <w:pPr>
        <w:pStyle w:val="9"/>
        <w:ind w:left="210" w:leftChars="100" w:firstLine="781" w:firstLineChars="372"/>
        <w:rPr>
          <w:rFonts w:ascii="宋体" w:hAnsi="宋体"/>
          <w:szCs w:val="21"/>
          <w:highlight w:val="none"/>
        </w:rPr>
      </w:pPr>
    </w:p>
    <w:p>
      <w:pPr>
        <w:rPr>
          <w:rFonts w:ascii="仿宋_GB2312" w:eastAsia="仿宋_GB2312"/>
          <w:sz w:val="24"/>
          <w:highlight w:val="none"/>
        </w:rPr>
      </w:pPr>
    </w:p>
    <w:p>
      <w:pPr>
        <w:ind w:firstLine="426" w:firstLineChars="202"/>
        <w:rPr>
          <w:rFonts w:ascii="宋体" w:hAnsi="宋体"/>
          <w:b/>
          <w:szCs w:val="21"/>
          <w:highlight w:val="none"/>
        </w:rPr>
      </w:pPr>
      <w:r>
        <w:rPr>
          <w:rFonts w:hint="eastAsia" w:ascii="宋体" w:hAnsi="宋体"/>
          <w:b/>
          <w:szCs w:val="21"/>
          <w:highlight w:val="none"/>
        </w:rPr>
        <w:t>备注：</w:t>
      </w:r>
    </w:p>
    <w:p>
      <w:pPr>
        <w:ind w:firstLine="426" w:firstLineChars="202"/>
        <w:rPr>
          <w:rFonts w:ascii="宋体" w:hAnsi="宋体"/>
          <w:b/>
          <w:szCs w:val="21"/>
          <w:highlight w:val="none"/>
        </w:rPr>
      </w:pPr>
      <w:r>
        <w:rPr>
          <w:rFonts w:hint="eastAsia" w:ascii="宋体" w:hAnsi="宋体"/>
          <w:b/>
          <w:szCs w:val="21"/>
          <w:highlight w:val="none"/>
        </w:rPr>
        <w:t>1.本项目为网上电子投标项目，投标文件不需法人或授权委托人另行签字，无需加盖单位公章，招标文件另有规定的除外。</w:t>
      </w:r>
    </w:p>
    <w:p>
      <w:pPr>
        <w:ind w:firstLine="426" w:firstLineChars="202"/>
        <w:rPr>
          <w:rFonts w:ascii="宋体" w:hAnsi="宋体"/>
          <w:b/>
          <w:szCs w:val="21"/>
          <w:highlight w:val="none"/>
        </w:rPr>
      </w:pPr>
      <w:r>
        <w:rPr>
          <w:rFonts w:hint="eastAsia" w:ascii="宋体" w:hAnsi="宋体"/>
          <w:b/>
          <w:szCs w:val="21"/>
          <w:highlight w:val="none"/>
        </w:rPr>
        <w:t>2.关于填写“开标一览表”的说明：“开标一览表”中除“投标总价”外，其他信息不作评审依据。</w:t>
      </w:r>
    </w:p>
    <w:p>
      <w:pPr>
        <w:rPr>
          <w:rFonts w:ascii="仿宋_GB2312" w:eastAsia="仿宋_GB2312"/>
          <w:sz w:val="24"/>
          <w:highlight w:val="none"/>
        </w:rPr>
      </w:pPr>
    </w:p>
    <w:p>
      <w:pPr>
        <w:rPr>
          <w:rFonts w:ascii="宋体" w:hAnsi="宋体"/>
          <w:b/>
          <w:szCs w:val="21"/>
          <w:highlight w:val="none"/>
        </w:rPr>
      </w:pPr>
    </w:p>
    <w:p>
      <w:pPr>
        <w:jc w:val="left"/>
        <w:rPr>
          <w:rFonts w:ascii="宋体" w:hAnsi="宋体"/>
          <w:b/>
          <w:color w:val="FF0000"/>
          <w:sz w:val="36"/>
          <w:szCs w:val="36"/>
          <w:highlight w:val="none"/>
        </w:rPr>
      </w:pPr>
    </w:p>
    <w:p>
      <w:pPr>
        <w:outlineLvl w:val="1"/>
        <w:rPr>
          <w:rFonts w:ascii="宋体" w:hAnsi="宋体"/>
          <w:b/>
          <w:color w:val="FF0000"/>
          <w:sz w:val="28"/>
          <w:szCs w:val="28"/>
          <w:highlight w:val="none"/>
        </w:rPr>
      </w:pPr>
      <w:r>
        <w:rPr>
          <w:rFonts w:hint="eastAsia" w:ascii="宋体" w:hAnsi="宋体"/>
          <w:b/>
          <w:color w:val="FF0000"/>
          <w:sz w:val="28"/>
          <w:szCs w:val="28"/>
          <w:highlight w:val="none"/>
        </w:rPr>
        <w:t>投标文件正文（信息公开部分）</w:t>
      </w:r>
    </w:p>
    <w:p>
      <w:pPr>
        <w:pStyle w:val="5"/>
        <w:jc w:val="center"/>
        <w:rPr>
          <w:rFonts w:ascii="黑体" w:eastAsia="黑体"/>
          <w:b w:val="0"/>
          <w:kern w:val="0"/>
          <w:sz w:val="24"/>
          <w:highlight w:val="none"/>
        </w:rPr>
      </w:pPr>
      <w:r>
        <w:rPr>
          <w:rFonts w:hint="eastAsia" w:ascii="黑体" w:eastAsia="黑体"/>
          <w:b w:val="0"/>
          <w:kern w:val="0"/>
          <w:sz w:val="24"/>
          <w:highlight w:val="none"/>
        </w:rPr>
        <w:t>一、投标函</w:t>
      </w:r>
    </w:p>
    <w:p>
      <w:pPr>
        <w:spacing w:line="360" w:lineRule="auto"/>
        <w:rPr>
          <w:rFonts w:ascii="宋体" w:hAnsi="宋体"/>
          <w:szCs w:val="21"/>
          <w:highlight w:val="none"/>
        </w:rPr>
      </w:pPr>
      <w:r>
        <w:rPr>
          <w:rFonts w:hint="eastAsia" w:ascii="宋体" w:hAnsi="宋体"/>
          <w:szCs w:val="21"/>
          <w:highlight w:val="none"/>
        </w:rPr>
        <w:t>致：</w:t>
      </w:r>
      <w:r>
        <w:rPr>
          <w:rFonts w:hint="eastAsia" w:ascii="宋体" w:hAnsi="宋体"/>
          <w:szCs w:val="21"/>
          <w:highlight w:val="none"/>
          <w:u w:val="single"/>
        </w:rPr>
        <w:t xml:space="preserve">  </w:t>
      </w:r>
      <w:r>
        <w:rPr>
          <w:rFonts w:hint="eastAsia" w:ascii="宋体" w:hAnsi="宋体"/>
          <w:color w:val="FF0000"/>
          <w:szCs w:val="21"/>
          <w:highlight w:val="none"/>
          <w:u w:val="single"/>
        </w:rPr>
        <w:t>深圳公共资源交易中心</w:t>
      </w:r>
      <w:r>
        <w:rPr>
          <w:rFonts w:hint="eastAsia" w:ascii="宋体" w:hAnsi="宋体"/>
          <w:szCs w:val="21"/>
          <w:highlight w:val="none"/>
          <w:u w:val="single"/>
        </w:rPr>
        <w:t xml:space="preserve">  </w:t>
      </w:r>
    </w:p>
    <w:p>
      <w:pPr>
        <w:ind w:firstLine="420" w:firstLineChars="200"/>
        <w:rPr>
          <w:rFonts w:ascii="宋体" w:hAnsi="宋体"/>
          <w:szCs w:val="21"/>
          <w:highlight w:val="none"/>
        </w:rPr>
      </w:pPr>
      <w:bookmarkStart w:id="36" w:name="_Hlk73818812"/>
      <w:r>
        <w:rPr>
          <w:rFonts w:hint="eastAsia"/>
          <w:szCs w:val="21"/>
          <w:highlight w:val="none"/>
        </w:rPr>
        <w:t>1、根据已收到贵单位的项目编号为</w:t>
      </w:r>
      <w:r>
        <w:rPr>
          <w:rFonts w:hint="eastAsia"/>
          <w:szCs w:val="21"/>
          <w:highlight w:val="none"/>
          <w:u w:val="thick"/>
        </w:rPr>
        <w:t xml:space="preserve">        </w:t>
      </w:r>
      <w:r>
        <w:rPr>
          <w:rFonts w:hint="eastAsia"/>
          <w:szCs w:val="21"/>
          <w:highlight w:val="none"/>
        </w:rPr>
        <w:t>的</w:t>
      </w:r>
      <w:r>
        <w:rPr>
          <w:rFonts w:hint="eastAsia"/>
          <w:szCs w:val="21"/>
          <w:highlight w:val="none"/>
          <w:u w:val="thick"/>
        </w:rPr>
        <w:t xml:space="preserve">    </w:t>
      </w:r>
      <w:r>
        <w:rPr>
          <w:rFonts w:hint="eastAsia" w:eastAsia="宋体"/>
          <w:szCs w:val="21"/>
          <w:highlight w:val="none"/>
          <w:u w:val="thick"/>
          <w:lang w:eastAsia="zh-CN"/>
        </w:rPr>
        <w:t>（</w:t>
      </w:r>
      <w:r>
        <w:rPr>
          <w:rFonts w:hint="eastAsia"/>
          <w:szCs w:val="21"/>
          <w:highlight w:val="none"/>
          <w:u w:val="thick"/>
        </w:rPr>
        <w:t>项目</w:t>
      </w:r>
      <w:r>
        <w:rPr>
          <w:rFonts w:hint="eastAsia" w:ascii="Times New Roman" w:eastAsia="宋体"/>
          <w:szCs w:val="21"/>
          <w:highlight w:val="none"/>
          <w:u w:val="thick"/>
          <w:lang w:val="en-US" w:eastAsia="zh-CN"/>
        </w:rPr>
        <w:t>名称</w:t>
      </w:r>
      <w:r>
        <w:rPr>
          <w:rFonts w:hint="eastAsia" w:eastAsia="宋体"/>
          <w:szCs w:val="21"/>
          <w:highlight w:val="none"/>
          <w:u w:val="thick"/>
          <w:lang w:eastAsia="zh-CN"/>
        </w:rPr>
        <w:t>）</w:t>
      </w:r>
      <w:r>
        <w:rPr>
          <w:rFonts w:hint="eastAsia"/>
          <w:szCs w:val="21"/>
          <w:highlight w:val="none"/>
          <w:u w:val="thick"/>
        </w:rPr>
        <w:t xml:space="preserve">       </w:t>
      </w:r>
      <w:r>
        <w:rPr>
          <w:rFonts w:hint="eastAsia"/>
          <w:szCs w:val="21"/>
          <w:highlight w:val="none"/>
        </w:rPr>
        <w:t>项目的招标文件，遵照《深圳经济特区政府采购条例》和《深圳网上政府采购管理暂行办法》等有关规定，我单位经研究上述招标文件的专用条款及通用条款后，</w:t>
      </w:r>
      <w:bookmarkStart w:id="37" w:name="_Hlk72263588"/>
      <w:r>
        <w:rPr>
          <w:rFonts w:hint="eastAsia"/>
          <w:szCs w:val="21"/>
          <w:highlight w:val="none"/>
        </w:rPr>
        <w:t>愿意按照招标文件要求承包上述项目并修补其任何缺陷。</w:t>
      </w:r>
      <w:bookmarkEnd w:id="37"/>
    </w:p>
    <w:p>
      <w:pPr>
        <w:ind w:firstLine="420" w:firstLineChars="200"/>
        <w:rPr>
          <w:rFonts w:ascii="宋体" w:hAnsi="宋体"/>
          <w:szCs w:val="21"/>
          <w:highlight w:val="none"/>
        </w:rPr>
      </w:pPr>
      <w:r>
        <w:rPr>
          <w:rFonts w:ascii="宋体" w:hAnsi="宋体"/>
          <w:szCs w:val="21"/>
          <w:highlight w:val="none"/>
        </w:rPr>
        <w:t>2</w:t>
      </w:r>
      <w:r>
        <w:rPr>
          <w:rFonts w:hint="eastAsia" w:ascii="宋体" w:hAnsi="宋体"/>
          <w:szCs w:val="21"/>
          <w:highlight w:val="none"/>
        </w:rPr>
        <w:t>、投标价格见</w:t>
      </w:r>
      <w:r>
        <w:rPr>
          <w:rFonts w:hint="eastAsia"/>
          <w:szCs w:val="21"/>
          <w:highlight w:val="none"/>
        </w:rPr>
        <w:t>投标书编制软件中《开标一览表》中填写的投标总价。</w:t>
      </w:r>
    </w:p>
    <w:p>
      <w:pPr>
        <w:ind w:firstLine="420" w:firstLineChars="200"/>
        <w:rPr>
          <w:rFonts w:ascii="宋体" w:hAnsi="宋体"/>
          <w:szCs w:val="21"/>
          <w:highlight w:val="none"/>
        </w:rPr>
      </w:pPr>
      <w:r>
        <w:rPr>
          <w:rFonts w:hint="eastAsia" w:ascii="宋体" w:hAnsi="宋体"/>
          <w:szCs w:val="21"/>
          <w:highlight w:val="none"/>
        </w:rPr>
        <w:t>3、如果我单位中标，我单位将按照招标文件的要求足额提交履约担保。</w:t>
      </w:r>
    </w:p>
    <w:p>
      <w:pPr>
        <w:ind w:firstLine="420" w:firstLineChars="200"/>
        <w:rPr>
          <w:rFonts w:ascii="宋体" w:hAnsi="宋体"/>
          <w:szCs w:val="21"/>
          <w:highlight w:val="none"/>
        </w:rPr>
      </w:pPr>
      <w:r>
        <w:rPr>
          <w:rFonts w:hint="eastAsia" w:ascii="宋体" w:hAnsi="宋体"/>
          <w:szCs w:val="21"/>
          <w:highlight w:val="none"/>
        </w:rPr>
        <w:t>4、我单位同意所递交的投标文件在“对通用条款的补充内容”中明确的投标有效期内有效，在此期间内我单位的投标有可能中标，我方将受此约束。</w:t>
      </w:r>
    </w:p>
    <w:p>
      <w:pPr>
        <w:ind w:firstLine="420" w:firstLineChars="200"/>
        <w:rPr>
          <w:rFonts w:ascii="宋体" w:hAnsi="宋体"/>
          <w:szCs w:val="21"/>
          <w:highlight w:val="none"/>
        </w:rPr>
      </w:pPr>
      <w:r>
        <w:rPr>
          <w:rFonts w:hint="eastAsia" w:ascii="宋体" w:hAnsi="宋体"/>
          <w:szCs w:val="21"/>
          <w:highlight w:val="none"/>
        </w:rPr>
        <w:t>5、除非另外达成协议并生效，贵单位的中标通知书和本投标文件将构成合同的重要内容。</w:t>
      </w:r>
    </w:p>
    <w:p>
      <w:pPr>
        <w:ind w:left="420" w:leftChars="200"/>
        <w:rPr>
          <w:rFonts w:hint="eastAsia" w:ascii="宋体" w:hAnsi="宋体"/>
          <w:szCs w:val="21"/>
          <w:highlight w:val="none"/>
        </w:rPr>
      </w:pPr>
      <w:r>
        <w:rPr>
          <w:rFonts w:hint="eastAsia" w:ascii="宋体" w:hAnsi="宋体"/>
          <w:szCs w:val="21"/>
          <w:highlight w:val="none"/>
        </w:rPr>
        <w:t>6、我单位理解贵单位将不受必须接受所收到的最低报价或其它任何投标文件的约束。</w:t>
      </w:r>
      <w:bookmarkEnd w:id="36"/>
    </w:p>
    <w:p>
      <w:pPr>
        <w:ind w:left="420" w:leftChars="200"/>
        <w:rPr>
          <w:rFonts w:ascii="宋体" w:hAnsi="宋体"/>
          <w:b/>
          <w:szCs w:val="21"/>
          <w:highlight w:val="none"/>
        </w:rPr>
      </w:pPr>
      <w:r>
        <w:rPr>
          <w:rFonts w:hint="eastAsia" w:ascii="宋体" w:hAnsi="宋体"/>
          <w:b/>
          <w:szCs w:val="21"/>
          <w:highlight w:val="none"/>
        </w:rPr>
        <w:t>7</w:t>
      </w:r>
      <w:r>
        <w:rPr>
          <w:rFonts w:ascii="宋体" w:hAnsi="宋体"/>
          <w:b/>
          <w:szCs w:val="21"/>
          <w:highlight w:val="none"/>
        </w:rPr>
        <w:t>、如我单位提交样品，且未在规定时间内取回样品的，视同放弃取回，同意深圳公共资源交易中心对我单位提交的样品进行清理。</w:t>
      </w:r>
    </w:p>
    <w:p>
      <w:pPr>
        <w:ind w:left="420" w:leftChars="200" w:firstLine="210" w:firstLineChars="100"/>
        <w:rPr>
          <w:rFonts w:hint="eastAsia"/>
          <w:szCs w:val="21"/>
          <w:highlight w:val="none"/>
          <w:u w:val="none"/>
          <w:lang w:eastAsia="zh-CN"/>
        </w:rPr>
      </w:pPr>
      <w:r>
        <w:rPr>
          <w:rFonts w:hint="eastAsia"/>
          <w:szCs w:val="21"/>
          <w:highlight w:val="none"/>
        </w:rPr>
        <w:t>投标人：</w:t>
      </w:r>
      <w:r>
        <w:rPr>
          <w:rFonts w:hint="eastAsia"/>
          <w:szCs w:val="21"/>
          <w:highlight w:val="none"/>
          <w:u w:val="thick"/>
        </w:rPr>
        <w:t xml:space="preserve">       </w:t>
      </w:r>
      <w:r>
        <w:rPr>
          <w:rFonts w:hint="eastAsia" w:eastAsia="宋体"/>
          <w:szCs w:val="21"/>
          <w:highlight w:val="none"/>
          <w:lang w:eastAsia="zh-CN"/>
        </w:rPr>
        <w:t>；</w:t>
      </w:r>
      <w:r>
        <w:rPr>
          <w:rFonts w:hint="eastAsia"/>
          <w:szCs w:val="21"/>
          <w:highlight w:val="none"/>
        </w:rPr>
        <w:t xml:space="preserve">  单位地址：</w:t>
      </w:r>
      <w:r>
        <w:rPr>
          <w:rFonts w:hint="eastAsia"/>
          <w:szCs w:val="21"/>
          <w:highlight w:val="none"/>
          <w:u w:val="thick"/>
        </w:rPr>
        <w:t xml:space="preserve">       </w:t>
      </w:r>
      <w:r>
        <w:rPr>
          <w:rFonts w:hint="eastAsia" w:ascii="Times New Roman" w:eastAsia="宋体"/>
          <w:szCs w:val="21"/>
          <w:highlight w:val="none"/>
          <w:u w:val="thick"/>
          <w:lang w:val="en-US" w:eastAsia="zh-CN"/>
        </w:rPr>
        <w:t xml:space="preserve">          </w:t>
      </w:r>
      <w:r>
        <w:rPr>
          <w:rFonts w:hint="eastAsia"/>
          <w:szCs w:val="21"/>
          <w:highlight w:val="none"/>
          <w:u w:val="thick"/>
          <w:lang w:val="en-US" w:eastAsia="zh-CN"/>
        </w:rPr>
        <w:t xml:space="preserve"> </w:t>
      </w:r>
      <w:r>
        <w:rPr>
          <w:rFonts w:hint="eastAsia" w:ascii="Times New Roman" w:eastAsia="宋体"/>
          <w:szCs w:val="21"/>
          <w:highlight w:val="none"/>
          <w:u w:val="thick"/>
          <w:lang w:val="en-US" w:eastAsia="zh-CN"/>
        </w:rPr>
        <w:t xml:space="preserve">  </w:t>
      </w:r>
      <w:r>
        <w:rPr>
          <w:rFonts w:hint="eastAsia" w:eastAsia="宋体"/>
          <w:szCs w:val="21"/>
          <w:highlight w:val="none"/>
          <w:u w:val="none"/>
          <w:lang w:eastAsia="zh-CN"/>
        </w:rPr>
        <w:t>；</w:t>
      </w:r>
    </w:p>
    <w:p>
      <w:pPr>
        <w:ind w:left="420" w:leftChars="200" w:firstLine="210" w:firstLineChars="100"/>
        <w:rPr>
          <w:rFonts w:hint="eastAsia"/>
          <w:szCs w:val="21"/>
          <w:highlight w:val="none"/>
          <w:u w:val="none"/>
          <w:lang w:eastAsia="zh-CN"/>
        </w:rPr>
      </w:pPr>
      <w:r>
        <w:rPr>
          <w:rFonts w:hint="eastAsia"/>
          <w:szCs w:val="21"/>
          <w:highlight w:val="none"/>
        </w:rPr>
        <w:t>法定代表人（负责人）或其</w:t>
      </w:r>
      <w:r>
        <w:rPr>
          <w:rFonts w:hint="eastAsia" w:ascii="Times New Roman" w:eastAsia="宋体"/>
          <w:szCs w:val="21"/>
          <w:highlight w:val="none"/>
          <w:lang w:val="en-US" w:eastAsia="zh-CN"/>
        </w:rPr>
        <w:t>授权</w:t>
      </w:r>
      <w:r>
        <w:rPr>
          <w:rFonts w:hint="eastAsia"/>
          <w:szCs w:val="21"/>
          <w:highlight w:val="none"/>
        </w:rPr>
        <w:t>委托代理人：</w:t>
      </w:r>
      <w:r>
        <w:rPr>
          <w:rFonts w:hint="eastAsia"/>
          <w:szCs w:val="21"/>
          <w:highlight w:val="none"/>
          <w:u w:val="thick"/>
        </w:rPr>
        <w:t xml:space="preserve">         </w:t>
      </w:r>
      <w:r>
        <w:rPr>
          <w:rFonts w:hint="eastAsia" w:eastAsia="宋体"/>
          <w:szCs w:val="21"/>
          <w:highlight w:val="none"/>
          <w:u w:val="none"/>
          <w:lang w:eastAsia="zh-CN"/>
        </w:rPr>
        <w:t>；</w:t>
      </w:r>
    </w:p>
    <w:p>
      <w:pPr>
        <w:ind w:left="420" w:leftChars="200" w:firstLine="210" w:firstLineChars="100"/>
        <w:rPr>
          <w:rFonts w:hint="eastAsia"/>
          <w:szCs w:val="21"/>
          <w:highlight w:val="none"/>
          <w:u w:val="none"/>
          <w:lang w:eastAsia="zh-CN"/>
        </w:rPr>
      </w:pPr>
      <w:r>
        <w:rPr>
          <w:rFonts w:hint="eastAsia" w:ascii="Times New Roman" w:eastAsia="宋体"/>
          <w:szCs w:val="21"/>
          <w:highlight w:val="none"/>
          <w:lang w:val="en-US" w:eastAsia="zh-CN"/>
        </w:rPr>
        <w:t>开户银行名称：</w:t>
      </w:r>
      <w:r>
        <w:rPr>
          <w:rFonts w:hint="eastAsia"/>
          <w:szCs w:val="21"/>
          <w:highlight w:val="none"/>
          <w:u w:val="thick"/>
        </w:rPr>
        <w:t xml:space="preserve">                        </w:t>
      </w:r>
      <w:r>
        <w:rPr>
          <w:rFonts w:hint="eastAsia" w:eastAsia="宋体"/>
          <w:szCs w:val="21"/>
          <w:highlight w:val="none"/>
          <w:u w:val="none"/>
          <w:lang w:eastAsia="zh-CN"/>
        </w:rPr>
        <w:t>；</w:t>
      </w:r>
    </w:p>
    <w:p>
      <w:pPr>
        <w:ind w:left="420" w:leftChars="200" w:firstLine="210" w:firstLineChars="100"/>
        <w:rPr>
          <w:rFonts w:hint="eastAsia"/>
          <w:szCs w:val="21"/>
          <w:highlight w:val="none"/>
          <w:u w:val="none"/>
          <w:lang w:eastAsia="zh-CN"/>
        </w:rPr>
      </w:pPr>
      <w:r>
        <w:rPr>
          <w:rFonts w:hint="eastAsia" w:ascii="Times New Roman" w:eastAsia="宋体"/>
          <w:szCs w:val="21"/>
          <w:highlight w:val="none"/>
          <w:lang w:val="en-US" w:eastAsia="zh-CN"/>
        </w:rPr>
        <w:t>开户银行账号：</w:t>
      </w:r>
      <w:r>
        <w:rPr>
          <w:rFonts w:hint="eastAsia"/>
          <w:szCs w:val="21"/>
          <w:highlight w:val="none"/>
          <w:u w:val="thick"/>
        </w:rPr>
        <w:t xml:space="preserve">      </w:t>
      </w:r>
      <w:r>
        <w:rPr>
          <w:rFonts w:hint="eastAsia" w:ascii="Times New Roman" w:eastAsia="宋体"/>
          <w:szCs w:val="21"/>
          <w:highlight w:val="none"/>
          <w:u w:val="thick"/>
          <w:lang w:val="en-US" w:eastAsia="zh-CN"/>
        </w:rPr>
        <w:t xml:space="preserve">            </w:t>
      </w:r>
      <w:r>
        <w:rPr>
          <w:rFonts w:hint="eastAsia"/>
          <w:szCs w:val="21"/>
          <w:highlight w:val="none"/>
          <w:u w:val="thick"/>
        </w:rPr>
        <w:t xml:space="preserve">      </w:t>
      </w:r>
      <w:r>
        <w:rPr>
          <w:rFonts w:hint="eastAsia" w:eastAsia="宋体"/>
          <w:szCs w:val="21"/>
          <w:highlight w:val="none"/>
          <w:u w:val="none"/>
          <w:lang w:eastAsia="zh-CN"/>
        </w:rPr>
        <w:t>；</w:t>
      </w:r>
    </w:p>
    <w:p>
      <w:pPr>
        <w:ind w:left="420" w:leftChars="200" w:firstLine="210" w:firstLineChars="100"/>
        <w:rPr>
          <w:rFonts w:hint="eastAsia"/>
          <w:szCs w:val="21"/>
          <w:highlight w:val="none"/>
          <w:u w:val="none"/>
        </w:rPr>
      </w:pPr>
      <w:r>
        <w:rPr>
          <w:rFonts w:hint="eastAsia"/>
          <w:szCs w:val="21"/>
          <w:highlight w:val="none"/>
        </w:rPr>
        <w:t>邮政编码：</w:t>
      </w:r>
      <w:r>
        <w:rPr>
          <w:rFonts w:hint="eastAsia"/>
          <w:szCs w:val="21"/>
          <w:highlight w:val="none"/>
          <w:u w:val="thick"/>
        </w:rPr>
        <w:t xml:space="preserve">          </w:t>
      </w:r>
      <w:r>
        <w:rPr>
          <w:rFonts w:hint="eastAsia"/>
          <w:szCs w:val="21"/>
          <w:highlight w:val="none"/>
        </w:rPr>
        <w:t xml:space="preserve">  电话</w:t>
      </w:r>
      <w:r>
        <w:rPr>
          <w:rFonts w:hint="eastAsia"/>
          <w:szCs w:val="21"/>
          <w:highlight w:val="none"/>
          <w:u w:val="none"/>
        </w:rPr>
        <w:t>：</w:t>
      </w:r>
      <w:r>
        <w:rPr>
          <w:rFonts w:hint="eastAsia"/>
          <w:szCs w:val="21"/>
          <w:highlight w:val="none"/>
          <w:u w:val="thick"/>
        </w:rPr>
        <w:t xml:space="preserve">         </w:t>
      </w:r>
      <w:r>
        <w:rPr>
          <w:rFonts w:hint="eastAsia"/>
          <w:szCs w:val="21"/>
          <w:highlight w:val="none"/>
        </w:rPr>
        <w:t xml:space="preserve"> 传真：</w:t>
      </w:r>
      <w:r>
        <w:rPr>
          <w:rFonts w:hint="eastAsia"/>
          <w:szCs w:val="21"/>
          <w:highlight w:val="none"/>
          <w:u w:val="thick"/>
        </w:rPr>
        <w:t xml:space="preserve">   </w:t>
      </w:r>
      <w:r>
        <w:rPr>
          <w:rFonts w:hint="eastAsia"/>
          <w:szCs w:val="21"/>
          <w:highlight w:val="none"/>
          <w:u w:val="thick"/>
          <w:lang w:val="en-US" w:eastAsia="zh-CN"/>
        </w:rPr>
        <w:t xml:space="preserve"> </w:t>
      </w:r>
      <w:r>
        <w:rPr>
          <w:rFonts w:hint="eastAsia"/>
          <w:szCs w:val="21"/>
          <w:highlight w:val="none"/>
          <w:u w:val="thick"/>
        </w:rPr>
        <w:t xml:space="preserve"> </w:t>
      </w:r>
      <w:r>
        <w:rPr>
          <w:rFonts w:hint="eastAsia" w:eastAsia="宋体"/>
          <w:szCs w:val="21"/>
          <w:highlight w:val="none"/>
          <w:u w:val="none"/>
          <w:lang w:eastAsia="zh-CN"/>
        </w:rPr>
        <w:t>；</w:t>
      </w:r>
      <w:r>
        <w:rPr>
          <w:rFonts w:hint="eastAsia"/>
          <w:szCs w:val="21"/>
          <w:highlight w:val="none"/>
          <w:u w:val="none"/>
        </w:rPr>
        <w:t xml:space="preserve">     </w:t>
      </w:r>
    </w:p>
    <w:p>
      <w:pPr>
        <w:ind w:left="420" w:leftChars="200" w:firstLine="210" w:firstLineChars="100"/>
        <w:rPr>
          <w:rFonts w:hint="eastAsia"/>
          <w:szCs w:val="21"/>
          <w:highlight w:val="none"/>
          <w:u w:val="none"/>
        </w:rPr>
      </w:pPr>
    </w:p>
    <w:p>
      <w:pPr>
        <w:ind w:left="420" w:leftChars="200" w:firstLine="210" w:firstLineChars="100"/>
        <w:rPr>
          <w:sz w:val="24"/>
          <w:highlight w:val="none"/>
        </w:rPr>
      </w:pPr>
      <w:r>
        <w:rPr>
          <w:rFonts w:hint="eastAsia" w:ascii="宋体" w:hAnsi="宋体"/>
          <w:szCs w:val="21"/>
          <w:highlight w:val="none"/>
        </w:rPr>
        <w:t>日期：</w:t>
      </w:r>
      <w:r>
        <w:rPr>
          <w:rFonts w:hint="eastAsia" w:ascii="宋体" w:hAnsi="宋体"/>
          <w:szCs w:val="21"/>
          <w:highlight w:val="none"/>
          <w:u w:val="thick"/>
        </w:rPr>
        <w:t xml:space="preserve">       </w:t>
      </w:r>
      <w:r>
        <w:rPr>
          <w:rFonts w:hint="eastAsia" w:ascii="宋体" w:hAnsi="宋体"/>
          <w:szCs w:val="21"/>
          <w:highlight w:val="none"/>
        </w:rPr>
        <w:t>年</w:t>
      </w:r>
      <w:r>
        <w:rPr>
          <w:rFonts w:hint="eastAsia" w:ascii="宋体" w:hAnsi="宋体"/>
          <w:szCs w:val="21"/>
          <w:highlight w:val="none"/>
          <w:u w:val="thick"/>
        </w:rPr>
        <w:t xml:space="preserve">     </w:t>
      </w:r>
      <w:r>
        <w:rPr>
          <w:rFonts w:hint="eastAsia" w:ascii="宋体" w:hAnsi="宋体"/>
          <w:szCs w:val="21"/>
          <w:highlight w:val="none"/>
        </w:rPr>
        <w:t>月</w:t>
      </w:r>
      <w:r>
        <w:rPr>
          <w:rFonts w:hint="eastAsia" w:ascii="宋体" w:hAnsi="宋体"/>
          <w:szCs w:val="21"/>
          <w:highlight w:val="none"/>
          <w:u w:val="thick"/>
        </w:rPr>
        <w:t xml:space="preserve">    </w:t>
      </w:r>
      <w:r>
        <w:rPr>
          <w:rFonts w:hint="eastAsia" w:ascii="宋体" w:hAnsi="宋体"/>
          <w:szCs w:val="21"/>
          <w:highlight w:val="none"/>
        </w:rPr>
        <w:t>日</w:t>
      </w:r>
      <w:r>
        <w:rPr>
          <w:rFonts w:hint="eastAsia"/>
          <w:sz w:val="24"/>
          <w:highlight w:val="none"/>
        </w:rPr>
        <w:t xml:space="preserve">                                </w:t>
      </w:r>
    </w:p>
    <w:p>
      <w:pPr>
        <w:ind w:left="420" w:leftChars="200"/>
        <w:rPr>
          <w:sz w:val="24"/>
          <w:highlight w:val="none"/>
        </w:rPr>
      </w:pPr>
      <w:r>
        <w:rPr>
          <w:rFonts w:hint="eastAsia"/>
          <w:sz w:val="24"/>
          <w:highlight w:val="none"/>
        </w:rPr>
        <w:t xml:space="preserve">                       </w:t>
      </w:r>
    </w:p>
    <w:p>
      <w:pPr>
        <w:rPr>
          <w:rFonts w:ascii="黑体" w:hAnsi="宋体" w:eastAsia="黑体"/>
          <w:highlight w:val="none"/>
        </w:rPr>
      </w:pPr>
    </w:p>
    <w:p>
      <w:pPr>
        <w:rPr>
          <w:rFonts w:ascii="宋体" w:hAnsi="宋体"/>
          <w:szCs w:val="21"/>
          <w:highlight w:val="none"/>
        </w:rPr>
      </w:pPr>
    </w:p>
    <w:p>
      <w:pPr>
        <w:pStyle w:val="5"/>
        <w:jc w:val="center"/>
        <w:rPr>
          <w:rFonts w:ascii="黑体" w:eastAsia="黑体"/>
          <w:b w:val="0"/>
          <w:kern w:val="0"/>
          <w:sz w:val="24"/>
          <w:highlight w:val="none"/>
        </w:rPr>
      </w:pPr>
      <w:r>
        <w:rPr>
          <w:rFonts w:hint="eastAsia" w:ascii="黑体" w:eastAsia="黑体"/>
          <w:b w:val="0"/>
          <w:kern w:val="0"/>
          <w:sz w:val="24"/>
          <w:highlight w:val="none"/>
        </w:rPr>
        <w:t>二、政府采购投标及履约承诺函</w:t>
      </w:r>
    </w:p>
    <w:p>
      <w:pPr>
        <w:rPr>
          <w:rFonts w:ascii="宋体" w:hAnsi="宋体"/>
          <w:sz w:val="24"/>
          <w:highlight w:val="none"/>
        </w:rPr>
      </w:pPr>
    </w:p>
    <w:p>
      <w:pPr>
        <w:rPr>
          <w:rFonts w:ascii="宋体" w:hAnsi="宋体"/>
          <w:color w:val="FF0000"/>
          <w:szCs w:val="21"/>
          <w:highlight w:val="none"/>
        </w:rPr>
      </w:pPr>
      <w:r>
        <w:rPr>
          <w:rFonts w:hint="eastAsia" w:ascii="宋体" w:hAnsi="宋体"/>
          <w:color w:val="FF0000"/>
          <w:szCs w:val="21"/>
          <w:highlight w:val="none"/>
        </w:rPr>
        <w:t>致：</w:t>
      </w:r>
      <w:r>
        <w:rPr>
          <w:rFonts w:hint="eastAsia" w:ascii="宋体" w:hAnsi="宋体"/>
          <w:color w:val="FF0000"/>
          <w:szCs w:val="21"/>
          <w:highlight w:val="none"/>
          <w:u w:val="single"/>
        </w:rPr>
        <w:t>深圳公共资源交易中心</w:t>
      </w:r>
    </w:p>
    <w:p>
      <w:pPr>
        <w:ind w:right="-815" w:firstLine="420" w:firstLineChars="200"/>
        <w:rPr>
          <w:rFonts w:ascii="宋体" w:hAnsi="宋体"/>
          <w:szCs w:val="21"/>
          <w:highlight w:val="none"/>
        </w:rPr>
      </w:pPr>
      <w:r>
        <w:rPr>
          <w:rFonts w:hint="eastAsia" w:ascii="宋体" w:hAnsi="宋体"/>
          <w:szCs w:val="21"/>
          <w:highlight w:val="none"/>
        </w:rPr>
        <w:t>我单位承诺：</w:t>
      </w:r>
    </w:p>
    <w:p>
      <w:pPr>
        <w:ind w:firstLine="420" w:firstLineChars="200"/>
        <w:rPr>
          <w:rFonts w:ascii="宋体" w:hAnsi="宋体"/>
          <w:szCs w:val="21"/>
          <w:highlight w:val="none"/>
        </w:rPr>
      </w:pPr>
      <w:r>
        <w:rPr>
          <w:rFonts w:hint="eastAsia" w:ascii="宋体" w:hAnsi="宋体"/>
          <w:szCs w:val="21"/>
          <w:highlight w:val="none"/>
        </w:rPr>
        <w:t>1.我单位参与本项目</w:t>
      </w:r>
      <w:r>
        <w:rPr>
          <w:rFonts w:hint="eastAsia" w:ascii="宋体" w:hAnsi="宋体"/>
          <w:highlight w:val="none"/>
        </w:rPr>
        <w:t>所投标（响应）的货物、工程或服务，不存在侵犯知识产权的情况。</w:t>
      </w:r>
    </w:p>
    <w:p>
      <w:pPr>
        <w:ind w:firstLine="420" w:firstLineChars="200"/>
        <w:rPr>
          <w:rFonts w:ascii="宋体" w:hAnsi="宋体"/>
          <w:szCs w:val="21"/>
          <w:highlight w:val="none"/>
        </w:rPr>
      </w:pPr>
      <w:r>
        <w:rPr>
          <w:rFonts w:hint="eastAsia" w:ascii="宋体" w:hAnsi="宋体"/>
          <w:szCs w:val="21"/>
          <w:highlight w:val="none"/>
        </w:rPr>
        <w:t>2.我单位参与本项目</w:t>
      </w:r>
      <w:r>
        <w:rPr>
          <w:rFonts w:hint="eastAsia"/>
          <w:highlight w:val="none"/>
        </w:rPr>
        <w:t>政府采购活动时不存在被有关部门禁止参与政府采购活动且在有效期内的情况。</w:t>
      </w:r>
    </w:p>
    <w:p>
      <w:pPr>
        <w:ind w:firstLine="420" w:firstLineChars="200"/>
        <w:rPr>
          <w:rFonts w:ascii="宋体" w:hAnsi="宋体"/>
          <w:szCs w:val="21"/>
          <w:highlight w:val="none"/>
        </w:rPr>
      </w:pPr>
      <w:r>
        <w:rPr>
          <w:rFonts w:hint="eastAsia" w:ascii="宋体" w:hAnsi="宋体"/>
          <w:szCs w:val="21"/>
          <w:highlight w:val="none"/>
        </w:rPr>
        <w:t>3.我单位具备《中华人民共和国政府采购法》第二十二条第一款规定的六项条件。</w:t>
      </w:r>
    </w:p>
    <w:p>
      <w:pPr>
        <w:ind w:firstLine="420" w:firstLineChars="200"/>
        <w:rPr>
          <w:rFonts w:hint="eastAsia"/>
          <w:highlight w:val="none"/>
          <w:lang w:eastAsia="zh-CN"/>
        </w:rPr>
      </w:pPr>
      <w:r>
        <w:rPr>
          <w:rFonts w:hint="eastAsia" w:ascii="宋体" w:hAnsi="宋体"/>
          <w:szCs w:val="21"/>
          <w:highlight w:val="none"/>
        </w:rPr>
        <w:t>4.我单位</w:t>
      </w:r>
      <w:r>
        <w:rPr>
          <w:rFonts w:hint="eastAsia"/>
          <w:highlight w:val="none"/>
        </w:rPr>
        <w:t>未被列入失信被执行人、重大税收违法案件当事人名单、政府采购严重违法失信行为记录名单</w:t>
      </w:r>
      <w:r>
        <w:rPr>
          <w:rFonts w:hint="eastAsia"/>
          <w:highlight w:val="none"/>
          <w:lang w:eastAsia="zh-CN"/>
        </w:rPr>
        <w:t>。</w:t>
      </w:r>
    </w:p>
    <w:p>
      <w:pPr>
        <w:ind w:firstLine="420" w:firstLineChars="200"/>
        <w:rPr>
          <w:rFonts w:hint="eastAsia"/>
          <w:highlight w:val="none"/>
          <w:lang w:eastAsia="zh-CN"/>
        </w:rPr>
      </w:pPr>
      <w:r>
        <w:rPr>
          <w:rFonts w:hint="eastAsia" w:ascii="Times New Roman" w:eastAsia="宋体"/>
          <w:color w:val="FF0000"/>
          <w:highlight w:val="none"/>
          <w:lang w:val="en-US" w:eastAsia="zh-CN"/>
        </w:rPr>
        <w:t>5.我单位不存在《深圳市财政局政府采购供应商信用信息管理办法》（深财规〔2023〕3号）列明的严重违法失信行为。</w:t>
      </w:r>
    </w:p>
    <w:p>
      <w:pPr>
        <w:ind w:firstLine="420" w:firstLineChars="200"/>
        <w:rPr>
          <w:rFonts w:ascii="宋体" w:hAnsi="宋体"/>
          <w:szCs w:val="21"/>
          <w:highlight w:val="none"/>
        </w:rPr>
      </w:pPr>
      <w:r>
        <w:rPr>
          <w:rFonts w:hint="eastAsia" w:ascii="宋体" w:hAnsi="宋体"/>
          <w:szCs w:val="21"/>
          <w:highlight w:val="none"/>
          <w:lang w:val="en-US" w:eastAsia="zh-CN"/>
        </w:rPr>
        <w:t>6</w:t>
      </w:r>
      <w:r>
        <w:rPr>
          <w:rFonts w:hint="eastAsia" w:ascii="宋体" w:hAnsi="宋体"/>
          <w:szCs w:val="21"/>
          <w:highlight w:val="none"/>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ind w:firstLine="420" w:firstLineChars="200"/>
        <w:rPr>
          <w:rFonts w:ascii="宋体" w:hAnsi="宋体"/>
          <w:szCs w:val="21"/>
          <w:highlight w:val="none"/>
        </w:rPr>
      </w:pPr>
      <w:r>
        <w:rPr>
          <w:rFonts w:hint="eastAsia" w:ascii="宋体" w:hAnsi="宋体"/>
          <w:szCs w:val="21"/>
          <w:highlight w:val="none"/>
          <w:lang w:val="en-US" w:eastAsia="zh-CN"/>
        </w:rPr>
        <w:t>7</w:t>
      </w:r>
      <w:r>
        <w:rPr>
          <w:rFonts w:hint="eastAsia" w:ascii="宋体" w:hAnsi="宋体"/>
          <w:szCs w:val="21"/>
          <w:highlight w:val="none"/>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ind w:firstLine="420" w:firstLineChars="200"/>
        <w:rPr>
          <w:rFonts w:ascii="宋体" w:hAnsi="宋体"/>
          <w:szCs w:val="21"/>
          <w:highlight w:val="none"/>
        </w:rPr>
      </w:pPr>
      <w:r>
        <w:rPr>
          <w:rFonts w:hint="eastAsia" w:ascii="宋体" w:hAnsi="宋体"/>
          <w:szCs w:val="21"/>
          <w:highlight w:val="none"/>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rFonts w:ascii="宋体" w:hAnsi="宋体"/>
          <w:szCs w:val="21"/>
          <w:highlight w:val="none"/>
        </w:rPr>
      </w:pPr>
      <w:r>
        <w:rPr>
          <w:rFonts w:hint="eastAsia" w:ascii="宋体" w:hAnsi="宋体"/>
          <w:szCs w:val="21"/>
          <w:highlight w:val="none"/>
          <w:lang w:val="en-US" w:eastAsia="zh-CN"/>
        </w:rPr>
        <w:t>8</w:t>
      </w:r>
      <w:r>
        <w:rPr>
          <w:rFonts w:hint="eastAsia" w:ascii="宋体" w:hAnsi="宋体"/>
          <w:szCs w:val="21"/>
          <w:highlight w:val="none"/>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0" w:firstLineChars="200"/>
        <w:rPr>
          <w:rFonts w:ascii="宋体" w:hAnsi="宋体"/>
          <w:szCs w:val="21"/>
          <w:highlight w:val="none"/>
        </w:rPr>
      </w:pPr>
      <w:r>
        <w:rPr>
          <w:rFonts w:hint="eastAsia" w:ascii="宋体" w:hAnsi="宋体"/>
          <w:szCs w:val="21"/>
          <w:highlight w:val="none"/>
          <w:lang w:val="en-US" w:eastAsia="zh-CN"/>
        </w:rPr>
        <w:t>9</w:t>
      </w:r>
      <w:r>
        <w:rPr>
          <w:rFonts w:hint="eastAsia" w:ascii="宋体" w:hAnsi="宋体"/>
          <w:szCs w:val="21"/>
          <w:highlight w:val="none"/>
        </w:rPr>
        <w:t>.我单位承诺中标后项目不转包，未经采购人同意不进行分包。</w:t>
      </w:r>
    </w:p>
    <w:p>
      <w:pPr>
        <w:ind w:firstLine="420" w:firstLineChars="200"/>
        <w:rPr>
          <w:rFonts w:ascii="宋体" w:hAnsi="宋体"/>
          <w:highlight w:val="none"/>
        </w:rPr>
      </w:pPr>
      <w:r>
        <w:rPr>
          <w:rFonts w:hint="eastAsia" w:ascii="宋体" w:hAnsi="宋体"/>
          <w:szCs w:val="21"/>
          <w:highlight w:val="none"/>
          <w:lang w:val="en-US" w:eastAsia="zh-CN"/>
        </w:rPr>
        <w:t>10</w:t>
      </w:r>
      <w:r>
        <w:rPr>
          <w:rFonts w:ascii="宋体" w:hAnsi="宋体"/>
          <w:szCs w:val="21"/>
          <w:highlight w:val="none"/>
        </w:rPr>
        <w:t>.</w:t>
      </w:r>
      <w:r>
        <w:rPr>
          <w:rFonts w:hint="eastAsia" w:ascii="宋体" w:hAnsi="宋体"/>
          <w:highlight w:val="none"/>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0" w:firstLineChars="200"/>
        <w:rPr>
          <w:rFonts w:ascii="宋体" w:hAnsi="宋体" w:cs="宋体"/>
          <w:b/>
          <w:kern w:val="0"/>
          <w:szCs w:val="21"/>
          <w:highlight w:val="none"/>
        </w:rPr>
      </w:pPr>
      <w:r>
        <w:rPr>
          <w:rFonts w:hint="eastAsia" w:ascii="宋体" w:hAnsi="宋体"/>
          <w:highlight w:val="none"/>
        </w:rPr>
        <w:t>1</w:t>
      </w:r>
      <w:r>
        <w:rPr>
          <w:rFonts w:hint="eastAsia" w:ascii="宋体" w:hAnsi="宋体"/>
          <w:highlight w:val="none"/>
          <w:lang w:val="en-US" w:eastAsia="zh-CN"/>
        </w:rPr>
        <w:t>1</w:t>
      </w:r>
      <w:r>
        <w:rPr>
          <w:rFonts w:ascii="宋体" w:hAnsi="宋体"/>
          <w:highlight w:val="none"/>
        </w:rPr>
        <w:t>.</w:t>
      </w:r>
      <w:r>
        <w:rPr>
          <w:rFonts w:hint="eastAsia" w:ascii="宋体" w:hAnsi="宋体"/>
          <w:highlight w:val="none"/>
        </w:rPr>
        <w:t>我单位保证，若所投货物涉及</w:t>
      </w:r>
      <w:r>
        <w:rPr>
          <w:rFonts w:ascii="宋体" w:hAnsi="宋体"/>
          <w:highlight w:val="none"/>
        </w:rPr>
        <w:t>《</w:t>
      </w:r>
      <w:r>
        <w:rPr>
          <w:rFonts w:hint="eastAsia" w:ascii="宋体" w:hAnsi="宋体"/>
          <w:highlight w:val="none"/>
        </w:rPr>
        <w:t>财政部生态环境部关于印发节能产品政府采购品目清单的通知》（财库〔20</w:t>
      </w:r>
      <w:r>
        <w:rPr>
          <w:rFonts w:ascii="宋体" w:hAnsi="宋体"/>
          <w:highlight w:val="none"/>
        </w:rPr>
        <w:t>19</w:t>
      </w:r>
      <w:r>
        <w:rPr>
          <w:rFonts w:hint="eastAsia" w:ascii="宋体" w:hAnsi="宋体"/>
          <w:highlight w:val="none"/>
        </w:rPr>
        <w:t>〕</w:t>
      </w:r>
      <w:r>
        <w:rPr>
          <w:rFonts w:ascii="宋体" w:hAnsi="宋体"/>
          <w:highlight w:val="none"/>
        </w:rPr>
        <w:t>19</w:t>
      </w:r>
      <w:r>
        <w:rPr>
          <w:rFonts w:hint="eastAsia" w:ascii="宋体" w:hAnsi="宋体"/>
          <w:highlight w:val="none"/>
        </w:rPr>
        <w:t>号）列明的政府采购强制产品，则所投该产品符合节能产品的认证要求。</w:t>
      </w:r>
      <w:r>
        <w:rPr>
          <w:rFonts w:hint="eastAsia" w:ascii="宋体" w:hAnsi="宋体"/>
          <w:highlight w:val="none"/>
          <w:lang w:val="en-US" w:eastAsia="zh-CN"/>
        </w:rPr>
        <w:t>若所投产品包括数据中心相关设备的，应满足</w:t>
      </w:r>
      <w:r>
        <w:rPr>
          <w:rFonts w:hint="eastAsia"/>
          <w:highlight w:val="none"/>
        </w:rPr>
        <w:t>《财政部 生态环境部 工业和信息化部关于印发&lt;绿色数据中心政府采购需求标准（试行）&gt;的通知》</w:t>
      </w:r>
      <w:r>
        <w:rPr>
          <w:rFonts w:hint="eastAsia" w:eastAsia="宋体"/>
          <w:highlight w:val="none"/>
          <w:lang w:eastAsia="zh-CN"/>
        </w:rPr>
        <w:t>（</w:t>
      </w:r>
      <w:r>
        <w:rPr>
          <w:rFonts w:hint="eastAsia"/>
          <w:highlight w:val="none"/>
        </w:rPr>
        <w:t>财库〔2023〕7号）</w:t>
      </w:r>
      <w:r>
        <w:rPr>
          <w:rFonts w:hint="eastAsia" w:ascii="Times New Roman" w:eastAsia="宋体"/>
          <w:highlight w:val="none"/>
          <w:lang w:val="en-US" w:eastAsia="zh-CN"/>
        </w:rPr>
        <w:t>要求。若所投产品涉及国家强制性标准的，所投产品应符合国家强制性标准相关要求。</w:t>
      </w:r>
    </w:p>
    <w:p>
      <w:pPr>
        <w:ind w:firstLine="420" w:firstLineChars="200"/>
        <w:rPr>
          <w:rFonts w:hint="eastAsia" w:ascii="宋体" w:hAnsi="宋体"/>
          <w:b w:val="0"/>
          <w:bCs/>
          <w:highlight w:val="none"/>
        </w:rPr>
      </w:pPr>
      <w:r>
        <w:rPr>
          <w:rFonts w:hint="eastAsia" w:ascii="宋体" w:hAnsi="宋体" w:cs="宋体"/>
          <w:b w:val="0"/>
          <w:bCs/>
          <w:kern w:val="0"/>
          <w:szCs w:val="21"/>
          <w:highlight w:val="none"/>
        </w:rPr>
        <w:t>1</w:t>
      </w:r>
      <w:r>
        <w:rPr>
          <w:rFonts w:hint="eastAsia" w:ascii="宋体" w:hAnsi="宋体" w:cs="宋体"/>
          <w:b w:val="0"/>
          <w:bCs/>
          <w:kern w:val="0"/>
          <w:szCs w:val="21"/>
          <w:highlight w:val="none"/>
          <w:lang w:val="en-US" w:eastAsia="zh-CN"/>
        </w:rPr>
        <w:t>2</w:t>
      </w:r>
      <w:r>
        <w:rPr>
          <w:rFonts w:hint="eastAsia" w:ascii="宋体" w:hAnsi="宋体" w:cs="宋体"/>
          <w:b w:val="0"/>
          <w:bCs/>
          <w:kern w:val="0"/>
          <w:szCs w:val="21"/>
          <w:highlight w:val="none"/>
        </w:rPr>
        <w:t>.</w:t>
      </w:r>
      <w:r>
        <w:rPr>
          <w:rFonts w:hint="eastAsia" w:ascii="宋体" w:hAnsi="宋体"/>
          <w:b w:val="0"/>
          <w:bCs/>
          <w:highlight w:val="none"/>
        </w:rPr>
        <w:t>我单位已知悉并同意中标（成交）结果信息公示（公开）的内容。</w:t>
      </w:r>
    </w:p>
    <w:p>
      <w:pPr>
        <w:ind w:firstLine="420" w:firstLineChars="200"/>
        <w:rPr>
          <w:rFonts w:hint="eastAsia" w:ascii="宋体" w:hAnsi="宋体"/>
          <w:b w:val="0"/>
          <w:bCs/>
          <w:highlight w:val="none"/>
        </w:rPr>
      </w:pPr>
      <w:r>
        <w:rPr>
          <w:rFonts w:hint="eastAsia" w:ascii="宋体" w:hAnsi="宋体"/>
          <w:b w:val="0"/>
          <w:bCs/>
          <w:highlight w:val="none"/>
        </w:rPr>
        <w:t>1</w:t>
      </w:r>
      <w:r>
        <w:rPr>
          <w:rFonts w:hint="eastAsia" w:ascii="宋体" w:hAnsi="宋体"/>
          <w:b w:val="0"/>
          <w:bCs/>
          <w:highlight w:val="none"/>
          <w:lang w:val="en-US" w:eastAsia="zh-CN"/>
        </w:rPr>
        <w:t>3</w:t>
      </w:r>
      <w:r>
        <w:rPr>
          <w:rFonts w:hint="eastAsia" w:ascii="宋体" w:hAnsi="宋体"/>
          <w:b w:val="0"/>
          <w:bCs/>
          <w:highlight w:val="none"/>
        </w:rPr>
        <w:t>.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hint="eastAsia" w:ascii="宋体" w:hAnsi="宋体"/>
          <w:b w:val="0"/>
          <w:bCs/>
          <w:color w:val="FF0000"/>
          <w:highlight w:val="none"/>
          <w:lang w:val="en-US" w:eastAsia="zh-CN"/>
        </w:rPr>
        <w:t>若</w:t>
      </w:r>
      <w:r>
        <w:rPr>
          <w:rFonts w:hint="eastAsia" w:ascii="宋体" w:hAnsi="宋体"/>
          <w:b w:val="0"/>
          <w:bCs/>
          <w:color w:val="FF0000"/>
          <w:highlight w:val="none"/>
        </w:rPr>
        <w:t>存在“不同供应商的董事、股东或其他高级管理人员为同一人的”情形的，</w:t>
      </w:r>
      <w:r>
        <w:rPr>
          <w:rFonts w:hint="eastAsia" w:ascii="宋体" w:hAnsi="宋体"/>
          <w:b w:val="0"/>
          <w:bCs/>
          <w:color w:val="FF0000"/>
          <w:highlight w:val="none"/>
          <w:lang w:val="en-US" w:eastAsia="zh-CN"/>
        </w:rPr>
        <w:t>我单位保证</w:t>
      </w:r>
      <w:r>
        <w:rPr>
          <w:rFonts w:hint="eastAsia" w:ascii="宋体" w:hAnsi="宋体"/>
          <w:b w:val="0"/>
          <w:bCs/>
          <w:color w:val="FF0000"/>
          <w:highlight w:val="none"/>
        </w:rPr>
        <w:t>不存在串通投标、恶意串通或者视为串通投标的情形</w:t>
      </w:r>
      <w:r>
        <w:rPr>
          <w:rFonts w:hint="eastAsia" w:ascii="宋体" w:hAnsi="宋体"/>
          <w:b w:val="0"/>
          <w:bCs/>
          <w:color w:val="FF0000"/>
          <w:highlight w:val="none"/>
          <w:lang w:eastAsia="zh-CN"/>
        </w:rPr>
        <w:t>。</w:t>
      </w:r>
    </w:p>
    <w:p>
      <w:pPr>
        <w:ind w:firstLine="420" w:firstLineChars="200"/>
        <w:rPr>
          <w:rFonts w:hint="default" w:ascii="宋体" w:hAnsi="宋体"/>
          <w:b w:val="0"/>
          <w:bCs/>
          <w:color w:val="auto"/>
          <w:highlight w:val="none"/>
          <w:lang w:val="en-US" w:eastAsia="zh-CN"/>
        </w:rPr>
      </w:pPr>
      <w:r>
        <w:rPr>
          <w:rFonts w:hint="eastAsia" w:ascii="宋体" w:hAnsi="宋体"/>
          <w:b w:val="0"/>
          <w:bCs/>
          <w:color w:val="auto"/>
          <w:highlight w:val="none"/>
          <w:lang w:val="en-US" w:eastAsia="zh-CN"/>
        </w:rPr>
        <w:t>14.</w:t>
      </w:r>
      <w:r>
        <w:rPr>
          <w:rFonts w:hint="eastAsia" w:ascii="宋体" w:hAnsi="宋体"/>
          <w:color w:val="auto"/>
          <w:highlight w:val="none"/>
        </w:rPr>
        <w:t>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ind w:firstLine="422" w:firstLineChars="200"/>
        <w:rPr>
          <w:rFonts w:hint="default" w:ascii="宋体" w:hAnsi="宋体"/>
          <w:b/>
          <w:szCs w:val="21"/>
          <w:highlight w:val="none"/>
          <w:lang w:val="en-US"/>
        </w:rPr>
      </w:pPr>
      <w:r>
        <w:rPr>
          <w:rFonts w:hint="eastAsia" w:ascii="宋体" w:hAnsi="宋体"/>
          <w:b/>
          <w:highlight w:val="none"/>
          <w:lang w:val="en-US" w:eastAsia="zh-CN"/>
        </w:rPr>
        <w:t>15.我单位清楚，如存在违反投标承诺行为情节严重的，将根据《深圳市财政局关于印发&lt;深圳市财政局政府采购供应商信用信息管理办法&gt;的通知》，依法被列入失信信息。</w:t>
      </w:r>
    </w:p>
    <w:p>
      <w:pPr>
        <w:pStyle w:val="2"/>
        <w:rPr>
          <w:rFonts w:ascii="宋体" w:hAnsi="宋体"/>
          <w:highlight w:val="none"/>
        </w:rPr>
      </w:pPr>
    </w:p>
    <w:p>
      <w:pPr>
        <w:ind w:firstLine="420" w:firstLineChars="200"/>
        <w:rPr>
          <w:rFonts w:ascii="宋体" w:hAnsi="宋体"/>
          <w:szCs w:val="21"/>
          <w:highlight w:val="none"/>
        </w:rPr>
      </w:pPr>
      <w:r>
        <w:rPr>
          <w:rFonts w:hint="eastAsia" w:ascii="宋体" w:hAnsi="宋体"/>
          <w:szCs w:val="21"/>
          <w:highlight w:val="none"/>
        </w:rPr>
        <w:t>以上承诺，如有违反，愿依照国家相关法律法规处理，并承担由此给采购人带来的损失。</w:t>
      </w:r>
    </w:p>
    <w:p>
      <w:pPr>
        <w:spacing w:before="60" w:beforeLines="25" w:after="60" w:afterLines="25"/>
        <w:ind w:firstLine="5460" w:firstLineChars="2600"/>
        <w:rPr>
          <w:rFonts w:ascii="宋体" w:hAnsi="宋体"/>
          <w:szCs w:val="21"/>
          <w:highlight w:val="none"/>
        </w:rPr>
      </w:pPr>
      <w:r>
        <w:rPr>
          <w:rFonts w:hint="eastAsia" w:ascii="宋体" w:hAnsi="宋体"/>
          <w:szCs w:val="21"/>
          <w:highlight w:val="none"/>
        </w:rPr>
        <w:t xml:space="preserve">                                    </w:t>
      </w:r>
    </w:p>
    <w:p>
      <w:pPr>
        <w:spacing w:before="60" w:beforeLines="25" w:after="60" w:afterLines="25"/>
        <w:ind w:firstLine="5460" w:firstLineChars="2600"/>
        <w:rPr>
          <w:color w:val="FF0000"/>
          <w:highlight w:val="none"/>
        </w:rPr>
      </w:pPr>
      <w:r>
        <w:rPr>
          <w:rFonts w:hint="eastAsia"/>
          <w:color w:val="FF0000"/>
          <w:szCs w:val="21"/>
          <w:highlight w:val="none"/>
        </w:rPr>
        <w:t>投标人：</w:t>
      </w:r>
      <w:r>
        <w:rPr>
          <w:rFonts w:hint="eastAsia"/>
          <w:color w:val="FF0000"/>
          <w:szCs w:val="21"/>
          <w:highlight w:val="none"/>
          <w:u w:val="single"/>
        </w:rPr>
        <w:t xml:space="preserve">              </w:t>
      </w:r>
    </w:p>
    <w:p>
      <w:pPr>
        <w:ind w:firstLine="645"/>
        <w:rPr>
          <w:rFonts w:ascii="宋体" w:hAnsi="宋体"/>
          <w:color w:val="FF0000"/>
          <w:szCs w:val="21"/>
          <w:highlight w:val="none"/>
        </w:rPr>
      </w:pPr>
      <w:r>
        <w:rPr>
          <w:rFonts w:hint="eastAsia" w:ascii="宋体" w:hAnsi="宋体"/>
          <w:color w:val="FF0000"/>
          <w:szCs w:val="21"/>
          <w:highlight w:val="none"/>
        </w:rPr>
        <w:t xml:space="preserve">                                              日期：</w:t>
      </w:r>
      <w:r>
        <w:rPr>
          <w:rFonts w:hint="eastAsia" w:ascii="宋体" w:hAnsi="宋体"/>
          <w:color w:val="FF0000"/>
          <w:szCs w:val="21"/>
          <w:highlight w:val="none"/>
          <w:u w:val="single"/>
        </w:rPr>
        <w:t xml:space="preserve">    </w:t>
      </w:r>
      <w:r>
        <w:rPr>
          <w:rFonts w:hint="eastAsia" w:ascii="宋体" w:hAnsi="宋体"/>
          <w:color w:val="FF0000"/>
          <w:szCs w:val="21"/>
          <w:highlight w:val="none"/>
        </w:rPr>
        <w:t>年</w:t>
      </w:r>
      <w:r>
        <w:rPr>
          <w:rFonts w:hint="eastAsia" w:ascii="宋体" w:hAnsi="宋体"/>
          <w:color w:val="FF0000"/>
          <w:szCs w:val="21"/>
          <w:highlight w:val="none"/>
          <w:u w:val="single"/>
        </w:rPr>
        <w:t xml:space="preserve">   </w:t>
      </w:r>
      <w:r>
        <w:rPr>
          <w:rFonts w:hint="eastAsia" w:ascii="宋体" w:hAnsi="宋体"/>
          <w:color w:val="FF0000"/>
          <w:szCs w:val="21"/>
          <w:highlight w:val="none"/>
        </w:rPr>
        <w:t>月</w:t>
      </w:r>
      <w:r>
        <w:rPr>
          <w:rFonts w:hint="eastAsia" w:ascii="宋体" w:hAnsi="宋体"/>
          <w:color w:val="FF0000"/>
          <w:szCs w:val="21"/>
          <w:highlight w:val="none"/>
          <w:u w:val="single"/>
        </w:rPr>
        <w:t xml:space="preserve">   </w:t>
      </w:r>
      <w:r>
        <w:rPr>
          <w:rFonts w:hint="eastAsia" w:ascii="宋体" w:hAnsi="宋体"/>
          <w:color w:val="FF0000"/>
          <w:szCs w:val="21"/>
          <w:highlight w:val="none"/>
        </w:rPr>
        <w:t>日</w:t>
      </w:r>
    </w:p>
    <w:p>
      <w:pPr>
        <w:rPr>
          <w:rFonts w:ascii="宋体" w:hAnsi="宋体"/>
          <w:szCs w:val="21"/>
          <w:highlight w:val="none"/>
        </w:rPr>
      </w:pPr>
    </w:p>
    <w:p>
      <w:pPr>
        <w:rPr>
          <w:rFonts w:ascii="宋体" w:hAnsi="宋体"/>
          <w:szCs w:val="21"/>
          <w:highlight w:val="none"/>
        </w:rPr>
      </w:pPr>
    </w:p>
    <w:p>
      <w:pPr>
        <w:rPr>
          <w:highlight w:val="none"/>
        </w:rPr>
      </w:pPr>
    </w:p>
    <w:p>
      <w:pPr>
        <w:rPr>
          <w:highlight w:val="none"/>
        </w:rPr>
      </w:pPr>
    </w:p>
    <w:p>
      <w:pPr>
        <w:pStyle w:val="5"/>
        <w:spacing w:before="120" w:after="120"/>
        <w:jc w:val="center"/>
        <w:rPr>
          <w:rFonts w:ascii="黑体" w:eastAsia="黑体"/>
          <w:b w:val="0"/>
          <w:kern w:val="0"/>
          <w:sz w:val="24"/>
          <w:highlight w:val="none"/>
        </w:rPr>
      </w:pPr>
      <w:r>
        <w:rPr>
          <w:rFonts w:hint="eastAsia" w:ascii="黑体" w:eastAsia="黑体"/>
          <w:b w:val="0"/>
          <w:kern w:val="0"/>
          <w:sz w:val="24"/>
          <w:highlight w:val="none"/>
        </w:rPr>
        <w:t>三、投标人情况及资格证明文件</w:t>
      </w:r>
    </w:p>
    <w:p>
      <w:pPr>
        <w:ind w:firstLine="2640" w:firstLineChars="1100"/>
        <w:outlineLvl w:val="3"/>
        <w:rPr>
          <w:rFonts w:ascii="黑体" w:hAnsi="宋体" w:eastAsia="黑体"/>
          <w:bCs/>
          <w:kern w:val="0"/>
          <w:sz w:val="24"/>
          <w:szCs w:val="32"/>
          <w:highlight w:val="none"/>
        </w:rPr>
      </w:pPr>
      <w:r>
        <w:rPr>
          <w:rFonts w:hint="eastAsia" w:ascii="黑体" w:hAnsi="宋体" w:eastAsia="黑体"/>
          <w:bCs/>
          <w:kern w:val="0"/>
          <w:sz w:val="24"/>
          <w:szCs w:val="32"/>
          <w:highlight w:val="none"/>
        </w:rPr>
        <w:t>（一）投标人资格证明文件</w:t>
      </w:r>
    </w:p>
    <w:p>
      <w:pPr>
        <w:spacing w:before="120" w:beforeLines="50"/>
        <w:ind w:firstLine="422" w:firstLineChars="200"/>
        <w:rPr>
          <w:b/>
          <w:bCs/>
          <w:color w:val="FF0000"/>
          <w:highlight w:val="none"/>
        </w:rPr>
      </w:pPr>
      <w:r>
        <w:rPr>
          <w:rFonts w:hint="eastAsia"/>
          <w:b/>
          <w:bCs/>
          <w:color w:val="FF0000"/>
          <w:highlight w:val="none"/>
        </w:rPr>
        <w:t>（特别提示：投标人须按本招标文件第一册第一章招标公告 “申请人的资格要求”（即投标人资格要求）提供相关的资格证明资料，未提供或提供不完整、不符合要求的，将作投标无效处理。）</w:t>
      </w:r>
    </w:p>
    <w:p>
      <w:pPr>
        <w:ind w:firstLine="482" w:firstLineChars="200"/>
        <w:rPr>
          <w:b/>
          <w:sz w:val="24"/>
          <w:highlight w:val="none"/>
        </w:rPr>
      </w:pPr>
    </w:p>
    <w:p>
      <w:pPr>
        <w:ind w:firstLine="480" w:firstLineChars="200"/>
        <w:outlineLvl w:val="3"/>
        <w:rPr>
          <w:rFonts w:ascii="黑体" w:hAnsi="宋体" w:eastAsia="黑体"/>
          <w:bCs/>
          <w:kern w:val="0"/>
          <w:sz w:val="24"/>
          <w:szCs w:val="32"/>
          <w:highlight w:val="none"/>
        </w:rPr>
      </w:pPr>
      <w:r>
        <w:rPr>
          <w:rFonts w:hint="eastAsia" w:ascii="黑体" w:hAnsi="宋体" w:eastAsia="黑体"/>
          <w:bCs/>
          <w:kern w:val="0"/>
          <w:sz w:val="24"/>
          <w:szCs w:val="32"/>
          <w:highlight w:val="none"/>
        </w:rPr>
        <w:t>（二）中小企业声明函、残疾人福利性单位声明函及监狱企业声明函</w:t>
      </w:r>
    </w:p>
    <w:p>
      <w:pPr>
        <w:jc w:val="left"/>
        <w:outlineLvl w:val="3"/>
        <w:rPr>
          <w:rFonts w:ascii="黑体" w:hAnsi="宋体" w:eastAsia="黑体"/>
          <w:bCs/>
          <w:kern w:val="0"/>
          <w:sz w:val="24"/>
          <w:szCs w:val="32"/>
          <w:highlight w:val="none"/>
        </w:rPr>
      </w:pPr>
    </w:p>
    <w:p>
      <w:pPr>
        <w:ind w:firstLine="420" w:firstLineChars="200"/>
        <w:outlineLvl w:val="3"/>
        <w:rPr>
          <w:rFonts w:ascii="黑体" w:hAnsi="宋体" w:eastAsia="黑体"/>
          <w:bCs/>
          <w:color w:val="FF0000"/>
          <w:kern w:val="0"/>
          <w:szCs w:val="21"/>
          <w:highlight w:val="none"/>
        </w:rPr>
      </w:pPr>
      <w:r>
        <w:rPr>
          <w:rFonts w:hint="eastAsia" w:ascii="黑体" w:hAnsi="宋体" w:eastAsia="黑体"/>
          <w:bCs/>
          <w:color w:val="FF0000"/>
          <w:kern w:val="0"/>
          <w:szCs w:val="21"/>
          <w:highlight w:val="none"/>
        </w:rPr>
        <w:t>填写指引：</w:t>
      </w:r>
    </w:p>
    <w:p>
      <w:pPr>
        <w:ind w:firstLine="420" w:firstLineChars="200"/>
        <w:outlineLvl w:val="3"/>
        <w:rPr>
          <w:rFonts w:ascii="黑体" w:hAnsi="黑体" w:eastAsia="黑体"/>
          <w:color w:val="FF0000"/>
          <w:szCs w:val="21"/>
          <w:highlight w:val="none"/>
        </w:rPr>
      </w:pPr>
      <w:r>
        <w:rPr>
          <w:rFonts w:hint="eastAsia" w:ascii="黑体" w:hAnsi="宋体" w:eastAsia="黑体"/>
          <w:bCs/>
          <w:color w:val="FF0000"/>
          <w:kern w:val="0"/>
          <w:szCs w:val="21"/>
          <w:highlight w:val="none"/>
        </w:rPr>
        <w:t>1、该部分内容由投标人根据自身实际情况填写，不符合要求的投标人可以不填写或直接删除相应的声明函。</w:t>
      </w:r>
      <w:r>
        <w:rPr>
          <w:rFonts w:hint="eastAsia" w:ascii="黑体" w:hAnsi="黑体" w:eastAsia="黑体"/>
          <w:color w:val="FF0000"/>
          <w:szCs w:val="21"/>
          <w:highlight w:val="none"/>
        </w:rPr>
        <w:t>投标人提供的声明函不属实的，属于提供虚假资料谋取中标，依照《中华人民共和国政府采购法》等国家有关规定追究相应责任。</w:t>
      </w:r>
    </w:p>
    <w:p>
      <w:pPr>
        <w:ind w:firstLine="420" w:firstLineChars="200"/>
        <w:outlineLvl w:val="3"/>
        <w:rPr>
          <w:rFonts w:ascii="黑体" w:hAnsi="黑体" w:eastAsia="黑体"/>
          <w:color w:val="FF0000"/>
          <w:szCs w:val="21"/>
          <w:highlight w:val="none"/>
        </w:rPr>
      </w:pPr>
      <w:r>
        <w:rPr>
          <w:rFonts w:hint="eastAsia" w:ascii="黑体" w:hAnsi="黑体" w:eastAsia="黑体"/>
          <w:color w:val="FF0000"/>
          <w:szCs w:val="21"/>
          <w:highlight w:val="none"/>
        </w:rPr>
        <w:t>2、该部分内容填写需要参考的相关文件：</w:t>
      </w:r>
    </w:p>
    <w:p>
      <w:pPr>
        <w:ind w:firstLine="420" w:firstLineChars="200"/>
        <w:outlineLvl w:val="3"/>
        <w:rPr>
          <w:rFonts w:ascii="黑体" w:hAnsi="黑体" w:eastAsia="黑体"/>
          <w:color w:val="FF0000"/>
          <w:szCs w:val="21"/>
          <w:highlight w:val="none"/>
        </w:rPr>
      </w:pPr>
      <w:r>
        <w:rPr>
          <w:rFonts w:hint="eastAsia" w:ascii="黑体" w:hAnsi="黑体" w:eastAsia="黑体"/>
          <w:color w:val="FF0000"/>
          <w:szCs w:val="21"/>
          <w:highlight w:val="none"/>
        </w:rPr>
        <w:t>(</w:t>
      </w:r>
      <w:r>
        <w:rPr>
          <w:rFonts w:ascii="黑体" w:hAnsi="黑体" w:eastAsia="黑体"/>
          <w:color w:val="FF0000"/>
          <w:szCs w:val="21"/>
          <w:highlight w:val="none"/>
        </w:rPr>
        <w:t>1</w:t>
      </w:r>
      <w:r>
        <w:rPr>
          <w:rFonts w:hint="eastAsia" w:ascii="黑体" w:hAnsi="黑体" w:eastAsia="黑体"/>
          <w:color w:val="FF0000"/>
          <w:szCs w:val="21"/>
          <w:highlight w:val="none"/>
        </w:rPr>
        <w:t>)财政部《政府采购促进中小企业发展管理办法》（财库〔2020〕46号）</w:t>
      </w:r>
    </w:p>
    <w:p>
      <w:pPr>
        <w:ind w:firstLine="420" w:firstLineChars="200"/>
        <w:outlineLvl w:val="3"/>
        <w:rPr>
          <w:rFonts w:ascii="黑体" w:hAnsi="黑体" w:eastAsia="黑体"/>
          <w:color w:val="FF0000"/>
          <w:szCs w:val="21"/>
          <w:highlight w:val="none"/>
        </w:rPr>
      </w:pPr>
      <w:r>
        <w:rPr>
          <w:rFonts w:hint="eastAsia" w:ascii="黑体" w:hAnsi="黑体" w:eastAsia="黑体"/>
          <w:color w:val="FF0000"/>
          <w:szCs w:val="21"/>
          <w:highlight w:val="none"/>
        </w:rPr>
        <w:t>(</w:t>
      </w:r>
      <w:r>
        <w:rPr>
          <w:rFonts w:ascii="黑体" w:hAnsi="黑体" w:eastAsia="黑体"/>
          <w:color w:val="FF0000"/>
          <w:szCs w:val="21"/>
          <w:highlight w:val="none"/>
        </w:rPr>
        <w:t>2</w:t>
      </w:r>
      <w:r>
        <w:rPr>
          <w:rFonts w:hint="eastAsia" w:ascii="黑体" w:hAnsi="黑体" w:eastAsia="黑体"/>
          <w:color w:val="FF0000"/>
          <w:szCs w:val="21"/>
          <w:highlight w:val="none"/>
        </w:rPr>
        <w:t>)</w:t>
      </w:r>
      <w:bookmarkStart w:id="38" w:name="_Hlk71925120"/>
      <w:r>
        <w:rPr>
          <w:rFonts w:hint="eastAsia" w:ascii="黑体" w:hAnsi="黑体" w:eastAsia="黑体"/>
          <w:color w:val="FF0000"/>
          <w:szCs w:val="21"/>
          <w:highlight w:val="none"/>
        </w:rPr>
        <w:t>《工业和信息化部、国家统计局、国家发展和改革委员会、财政部关于印发中小企业划型标准规定的通知》（工信部联企业〔2011〕300 号</w:t>
      </w:r>
      <w:bookmarkEnd w:id="38"/>
      <w:r>
        <w:rPr>
          <w:rFonts w:hint="eastAsia" w:ascii="黑体" w:hAnsi="黑体" w:eastAsia="黑体"/>
          <w:color w:val="FF0000"/>
          <w:szCs w:val="21"/>
          <w:highlight w:val="none"/>
        </w:rPr>
        <w:t>，以下简称3</w:t>
      </w:r>
      <w:r>
        <w:rPr>
          <w:rFonts w:ascii="黑体" w:hAnsi="黑体" w:eastAsia="黑体"/>
          <w:color w:val="FF0000"/>
          <w:szCs w:val="21"/>
          <w:highlight w:val="none"/>
        </w:rPr>
        <w:t>00</w:t>
      </w:r>
      <w:r>
        <w:rPr>
          <w:rFonts w:hint="eastAsia" w:ascii="黑体" w:hAnsi="黑体" w:eastAsia="黑体"/>
          <w:color w:val="FF0000"/>
          <w:szCs w:val="21"/>
          <w:highlight w:val="none"/>
        </w:rPr>
        <w:t>号文）</w:t>
      </w:r>
    </w:p>
    <w:p>
      <w:pPr>
        <w:ind w:firstLine="420" w:firstLineChars="200"/>
        <w:outlineLvl w:val="3"/>
        <w:rPr>
          <w:rFonts w:ascii="黑体" w:hAnsi="黑体" w:eastAsia="黑体"/>
          <w:color w:val="FF0000"/>
          <w:szCs w:val="21"/>
          <w:highlight w:val="none"/>
        </w:rPr>
      </w:pPr>
      <w:r>
        <w:rPr>
          <w:rFonts w:hint="eastAsia" w:ascii="黑体" w:hAnsi="黑体" w:eastAsia="黑体"/>
          <w:color w:val="FF0000"/>
          <w:szCs w:val="21"/>
          <w:highlight w:val="none"/>
        </w:rPr>
        <w:t>(3)《统计上大中小微型企业划分办法(2017)》（国统字〔2017〕213 号）</w:t>
      </w:r>
    </w:p>
    <w:p>
      <w:pPr>
        <w:ind w:firstLine="420" w:firstLineChars="200"/>
        <w:outlineLvl w:val="3"/>
        <w:rPr>
          <w:rFonts w:ascii="黑体" w:hAnsi="黑体" w:eastAsia="黑体"/>
          <w:color w:val="FF0000"/>
          <w:szCs w:val="21"/>
          <w:highlight w:val="none"/>
        </w:rPr>
      </w:pPr>
      <w:r>
        <w:rPr>
          <w:rFonts w:hint="eastAsia" w:ascii="黑体" w:hAnsi="黑体" w:eastAsia="黑体"/>
          <w:color w:val="FF0000"/>
          <w:szCs w:val="21"/>
          <w:highlight w:val="none"/>
        </w:rPr>
        <w:t>(4)《关于促进残疾人就业政府采购政策的通知》（财库〔2017〕141号）</w:t>
      </w:r>
    </w:p>
    <w:p>
      <w:pPr>
        <w:ind w:firstLine="420" w:firstLineChars="200"/>
        <w:outlineLvl w:val="3"/>
        <w:rPr>
          <w:rFonts w:ascii="黑体" w:hAnsi="黑体" w:eastAsia="黑体"/>
          <w:color w:val="FF0000"/>
          <w:szCs w:val="21"/>
          <w:highlight w:val="none"/>
        </w:rPr>
      </w:pPr>
      <w:r>
        <w:rPr>
          <w:rFonts w:hint="eastAsia" w:ascii="黑体" w:hAnsi="黑体" w:eastAsia="黑体"/>
          <w:color w:val="FF0000"/>
          <w:szCs w:val="21"/>
          <w:highlight w:val="none"/>
        </w:rPr>
        <w:t>(5)《关于政府采购支持监狱企业发展有关问题的通知》（财库〔2014〕68号）</w:t>
      </w:r>
    </w:p>
    <w:p>
      <w:pPr>
        <w:ind w:firstLine="420" w:firstLineChars="200"/>
        <w:outlineLvl w:val="3"/>
        <w:rPr>
          <w:rFonts w:ascii="黑体" w:hAnsi="宋体" w:eastAsia="黑体"/>
          <w:bCs/>
          <w:color w:val="FF0000"/>
          <w:kern w:val="0"/>
          <w:szCs w:val="21"/>
          <w:highlight w:val="none"/>
        </w:rPr>
      </w:pPr>
      <w:r>
        <w:rPr>
          <w:rFonts w:hint="eastAsia" w:ascii="黑体" w:hAnsi="宋体" w:eastAsia="黑体"/>
          <w:bCs/>
          <w:color w:val="FF0000"/>
          <w:kern w:val="0"/>
          <w:szCs w:val="21"/>
          <w:highlight w:val="none"/>
        </w:rPr>
        <w:t>3、请依照提供的格式和内容填写声明函，不要随意变更格式；声明函不需要盖章或签字；</w:t>
      </w:r>
      <w:r>
        <w:rPr>
          <w:rFonts w:hint="eastAsia" w:ascii="黑体" w:hAnsi="黑体" w:eastAsia="黑体"/>
          <w:color w:val="FF0000"/>
          <w:szCs w:val="21"/>
          <w:highlight w:val="none"/>
        </w:rPr>
        <w:t>满足多项优惠政策的投标人，不重复享受多项价格扣除政策。</w:t>
      </w:r>
    </w:p>
    <w:p>
      <w:pPr>
        <w:ind w:firstLine="420" w:firstLineChars="200"/>
        <w:outlineLvl w:val="3"/>
        <w:rPr>
          <w:rFonts w:ascii="黑体" w:hAnsi="宋体" w:eastAsia="黑体"/>
          <w:bCs/>
          <w:color w:val="FF0000"/>
          <w:kern w:val="0"/>
          <w:szCs w:val="21"/>
          <w:highlight w:val="none"/>
        </w:rPr>
      </w:pPr>
      <w:r>
        <w:rPr>
          <w:rFonts w:hint="eastAsia" w:ascii="黑体" w:hAnsi="宋体" w:eastAsia="黑体"/>
          <w:bCs/>
          <w:color w:val="FF0000"/>
          <w:kern w:val="0"/>
          <w:szCs w:val="21"/>
          <w:highlight w:val="none"/>
        </w:rPr>
        <w:t>4、声明函具体填写要求：</w:t>
      </w:r>
    </w:p>
    <w:p>
      <w:pPr>
        <w:ind w:firstLine="420" w:firstLineChars="200"/>
        <w:outlineLvl w:val="3"/>
        <w:rPr>
          <w:rFonts w:ascii="黑体" w:hAnsi="宋体" w:eastAsia="黑体"/>
          <w:bCs/>
          <w:color w:val="FF0000"/>
          <w:kern w:val="0"/>
          <w:szCs w:val="21"/>
          <w:highlight w:val="none"/>
        </w:rPr>
      </w:pPr>
      <w:r>
        <w:rPr>
          <w:rFonts w:hint="eastAsia" w:ascii="黑体" w:hAnsi="宋体" w:eastAsia="黑体"/>
          <w:bCs/>
          <w:color w:val="FF0000"/>
          <w:kern w:val="0"/>
          <w:szCs w:val="21"/>
          <w:highlight w:val="none"/>
        </w:rPr>
        <w:t>（1）声明是中小企业须填写《中小企业声明函》的以下内容：</w:t>
      </w:r>
    </w:p>
    <w:p>
      <w:pPr>
        <w:ind w:firstLine="420" w:firstLineChars="200"/>
        <w:outlineLvl w:val="3"/>
        <w:rPr>
          <w:rFonts w:ascii="黑体" w:hAnsi="宋体" w:eastAsia="黑体"/>
          <w:bCs/>
          <w:color w:val="FF0000"/>
          <w:kern w:val="0"/>
          <w:szCs w:val="21"/>
          <w:highlight w:val="none"/>
        </w:rPr>
      </w:pPr>
      <w:r>
        <w:rPr>
          <w:rFonts w:hint="eastAsia" w:ascii="黑体" w:hAnsi="宋体" w:eastAsia="黑体"/>
          <w:bCs/>
          <w:color w:val="FF0000"/>
          <w:kern w:val="0"/>
          <w:szCs w:val="21"/>
          <w:highlight w:val="none"/>
        </w:rPr>
        <w:t>第一处，在“单位名称”下划线处如实填写采购人名称（深圳公共资源交易中心不是本项目的采购人，而是组织实施机构）；</w:t>
      </w:r>
    </w:p>
    <w:p>
      <w:pPr>
        <w:ind w:firstLine="420" w:firstLineChars="200"/>
        <w:outlineLvl w:val="3"/>
        <w:rPr>
          <w:rFonts w:ascii="黑体" w:hAnsi="宋体" w:eastAsia="黑体"/>
          <w:bCs/>
          <w:color w:val="FF0000"/>
          <w:kern w:val="0"/>
          <w:szCs w:val="21"/>
          <w:highlight w:val="none"/>
        </w:rPr>
      </w:pPr>
      <w:r>
        <w:rPr>
          <w:rFonts w:hint="eastAsia" w:ascii="黑体" w:hAnsi="宋体" w:eastAsia="黑体"/>
          <w:bCs/>
          <w:color w:val="FF0000"/>
          <w:kern w:val="0"/>
          <w:szCs w:val="21"/>
          <w:highlight w:val="none"/>
        </w:rPr>
        <w:t>第二处，在“项目名称”下划线处如实填写采购项目名称；</w:t>
      </w:r>
    </w:p>
    <w:p>
      <w:pPr>
        <w:ind w:firstLine="420" w:firstLineChars="200"/>
        <w:outlineLvl w:val="3"/>
        <w:rPr>
          <w:rFonts w:ascii="黑体" w:hAnsi="宋体" w:eastAsia="黑体"/>
          <w:bCs/>
          <w:color w:val="FF0000"/>
          <w:kern w:val="0"/>
          <w:szCs w:val="21"/>
          <w:highlight w:val="none"/>
        </w:rPr>
      </w:pPr>
      <w:r>
        <w:rPr>
          <w:rFonts w:hint="eastAsia" w:ascii="黑体" w:hAnsi="宋体" w:eastAsia="黑体"/>
          <w:bCs/>
          <w:color w:val="FF0000"/>
          <w:kern w:val="0"/>
          <w:szCs w:val="21"/>
          <w:highlight w:val="none"/>
        </w:rPr>
        <w:t>第三处，在“标的名称”下划线处填写所采购服务（标的）的具体名称（以招标文件第一册第三章用户需求书“服务需求明细”的“服务需求名称”一栏为准）；如果涉及多项服务（标的）为同一企业制造，“标的名称”下划线处可以如实填写多项服务；</w:t>
      </w:r>
    </w:p>
    <w:p>
      <w:pPr>
        <w:ind w:firstLine="420" w:firstLineChars="200"/>
        <w:outlineLvl w:val="3"/>
        <w:rPr>
          <w:rFonts w:ascii="黑体" w:hAnsi="宋体" w:eastAsia="黑体"/>
          <w:bCs/>
          <w:color w:val="FF0000"/>
          <w:kern w:val="0"/>
          <w:szCs w:val="21"/>
          <w:highlight w:val="none"/>
        </w:rPr>
      </w:pPr>
      <w:r>
        <w:rPr>
          <w:rFonts w:hint="eastAsia" w:ascii="黑体" w:hAnsi="宋体" w:eastAsia="黑体"/>
          <w:bCs/>
          <w:color w:val="FF0000"/>
          <w:kern w:val="0"/>
          <w:szCs w:val="21"/>
          <w:highlight w:val="none"/>
        </w:rPr>
        <w:t>第四处，在“招标文件中明确的所属行业”下划线处填写采购标的对应的中小企业划分标准所属行业（所属行业可在招标文件第一册第二章“对通用条款的补充内容及其他关键信息”章节查看）；</w:t>
      </w:r>
    </w:p>
    <w:p>
      <w:pPr>
        <w:ind w:firstLine="420" w:firstLineChars="200"/>
        <w:outlineLvl w:val="3"/>
        <w:rPr>
          <w:rFonts w:hint="eastAsia" w:ascii="黑体" w:hAnsi="宋体" w:eastAsia="黑体"/>
          <w:bCs/>
          <w:color w:val="FF0000"/>
          <w:kern w:val="0"/>
          <w:szCs w:val="21"/>
          <w:highlight w:val="none"/>
          <w:lang w:eastAsia="zh-CN"/>
        </w:rPr>
      </w:pPr>
      <w:r>
        <w:rPr>
          <w:rFonts w:hint="eastAsia" w:ascii="黑体" w:hAnsi="宋体" w:eastAsia="黑体"/>
          <w:bCs/>
          <w:color w:val="FF0000"/>
          <w:kern w:val="0"/>
          <w:szCs w:val="21"/>
          <w:highlight w:val="none"/>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中小企业声明函》中</w:t>
      </w:r>
      <w:r>
        <w:rPr>
          <w:rFonts w:hint="eastAsia" w:ascii="黑体" w:hAnsi="宋体" w:eastAsia="黑体"/>
          <w:bCs/>
          <w:color w:val="FF0000"/>
          <w:kern w:val="0"/>
          <w:szCs w:val="21"/>
          <w:highlight w:val="none"/>
          <w:lang w:val="en-US" w:eastAsia="zh-CN"/>
        </w:rPr>
        <w:t>供应商</w:t>
      </w:r>
      <w:r>
        <w:rPr>
          <w:rFonts w:hint="eastAsia" w:ascii="黑体" w:hAnsi="宋体" w:eastAsia="黑体"/>
          <w:bCs/>
          <w:color w:val="FF0000"/>
          <w:kern w:val="0"/>
          <w:szCs w:val="21"/>
          <w:highlight w:val="none"/>
        </w:rPr>
        <w:t>所属行业应当与招标文件要求的行业相一致，供应商如有疑问，可根据《国民经济行业分类》（GB/T4754-2002），结合《关于印发中小企业划型标准规定的通知》（工信部联企业〔2011〕300号）进行判断。事业单位、社会组织等非企业主体不享受中小企业扶持政策</w:t>
      </w:r>
      <w:r>
        <w:rPr>
          <w:rFonts w:hint="eastAsia" w:ascii="黑体" w:hAnsi="宋体" w:eastAsia="黑体"/>
          <w:bCs/>
          <w:color w:val="FF0000"/>
          <w:kern w:val="0"/>
          <w:szCs w:val="21"/>
          <w:highlight w:val="none"/>
          <w:lang w:eastAsia="zh-CN"/>
        </w:rPr>
        <w:t>。</w:t>
      </w:r>
    </w:p>
    <w:p>
      <w:pPr>
        <w:ind w:firstLine="420" w:firstLineChars="200"/>
        <w:outlineLvl w:val="3"/>
        <w:rPr>
          <w:rFonts w:ascii="黑体" w:hAnsi="宋体" w:eastAsia="黑体"/>
          <w:bCs/>
          <w:color w:val="FF0000"/>
          <w:kern w:val="0"/>
          <w:szCs w:val="21"/>
          <w:highlight w:val="none"/>
        </w:rPr>
      </w:pPr>
      <w:r>
        <w:rPr>
          <w:rFonts w:hint="eastAsia" w:ascii="黑体" w:hAnsi="宋体" w:eastAsia="黑体"/>
          <w:bCs/>
          <w:color w:val="FF0000"/>
          <w:kern w:val="0"/>
          <w:szCs w:val="21"/>
          <w:highlight w:val="none"/>
        </w:rPr>
        <w:t>（2）声明是残疾人福利性单位须填写《残疾人福利性单位声明函》的相关内容，具体参照以上《中小企业声明函》填写要求执行。</w:t>
      </w:r>
    </w:p>
    <w:p>
      <w:pPr>
        <w:ind w:firstLine="420" w:firstLineChars="200"/>
        <w:outlineLvl w:val="3"/>
        <w:rPr>
          <w:rFonts w:ascii="黑体" w:hAnsi="宋体" w:eastAsia="黑体"/>
          <w:bCs/>
          <w:color w:val="FF0000"/>
          <w:kern w:val="0"/>
          <w:szCs w:val="21"/>
          <w:highlight w:val="none"/>
        </w:rPr>
      </w:pPr>
      <w:r>
        <w:rPr>
          <w:rFonts w:hint="eastAsia" w:ascii="黑体" w:hAnsi="宋体" w:eastAsia="黑体"/>
          <w:bCs/>
          <w:color w:val="FF0000"/>
          <w:kern w:val="0"/>
          <w:szCs w:val="21"/>
          <w:highlight w:val="none"/>
        </w:rPr>
        <w:t>（3）声明是监狱企业须填写《监狱企业声明函》的三项内容（填写位置的字体已加粗），具体参照以上《中小企业声明函》填写要求执行。</w:t>
      </w:r>
    </w:p>
    <w:p>
      <w:pPr>
        <w:ind w:firstLine="420" w:firstLineChars="200"/>
        <w:rPr>
          <w:highlight w:val="none"/>
        </w:rPr>
      </w:pPr>
      <w:r>
        <w:rPr>
          <w:rFonts w:hint="eastAsia" w:ascii="黑体" w:hAnsi="宋体" w:eastAsia="黑体"/>
          <w:bCs/>
          <w:color w:val="FF0000"/>
          <w:kern w:val="0"/>
          <w:szCs w:val="21"/>
          <w:highlight w:val="none"/>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ind w:firstLine="420" w:firstLineChars="200"/>
        <w:rPr>
          <w:highlight w:val="none"/>
        </w:rPr>
      </w:pPr>
    </w:p>
    <w:p>
      <w:pPr>
        <w:ind w:firstLine="420" w:firstLineChars="200"/>
        <w:rPr>
          <w:highlight w:val="none"/>
        </w:rPr>
      </w:pPr>
    </w:p>
    <w:p>
      <w:pPr>
        <w:numPr>
          <w:ilvl w:val="0"/>
          <w:numId w:val="12"/>
        </w:numPr>
        <w:jc w:val="center"/>
        <w:outlineLvl w:val="3"/>
        <w:rPr>
          <w:b/>
          <w:sz w:val="24"/>
          <w:highlight w:val="none"/>
        </w:rPr>
      </w:pPr>
      <w:r>
        <w:rPr>
          <w:b/>
          <w:sz w:val="24"/>
          <w:highlight w:val="none"/>
        </w:rPr>
        <w:t>中小企业声明函（</w:t>
      </w:r>
      <w:r>
        <w:rPr>
          <w:rFonts w:hint="eastAsia"/>
          <w:b/>
          <w:sz w:val="24"/>
          <w:highlight w:val="none"/>
        </w:rPr>
        <w:t>服务</w:t>
      </w:r>
      <w:r>
        <w:rPr>
          <w:b/>
          <w:sz w:val="24"/>
          <w:highlight w:val="none"/>
        </w:rPr>
        <w:t>）</w:t>
      </w:r>
    </w:p>
    <w:p>
      <w:pPr>
        <w:pStyle w:val="2"/>
        <w:numPr>
          <w:ilvl w:val="0"/>
          <w:numId w:val="0"/>
        </w:numPr>
        <w:rPr>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本公司（联合体）郑重声明，根据《政府采购促进中小企业发展管理办法》（财库﹝2020﹞46号）的规定，本公司（联合体）参加</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（单位名称）</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rPr>
        <w:t>的</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（项目名称）</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采购活动，服务全部由符合政策要求的中小企业承接。相关企业（含联合体中的中小企业、签订分包意向协议的中小企业）的具体情况如下：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（标的名称）</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 xml:space="preserve"> </w:t>
      </w:r>
      <w:r>
        <w:rPr>
          <w:rFonts w:hint="eastAsia" w:asciiTheme="minorEastAsia" w:hAnsiTheme="minorEastAsia" w:eastAsiaTheme="minorEastAsia" w:cstheme="minorEastAsia"/>
          <w:sz w:val="21"/>
          <w:szCs w:val="21"/>
          <w:highlight w:val="none"/>
        </w:rPr>
        <w:t>，属于</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（采购文件中明确的所属行业）</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rPr>
        <w:t>行业</w:t>
      </w:r>
      <w:r>
        <w:rPr>
          <w:rFonts w:hint="eastAsia" w:asciiTheme="minorEastAsia" w:hAnsiTheme="minorEastAsia" w:eastAsiaTheme="minorEastAsia" w:cstheme="minorEastAsia"/>
          <w:kern w:val="2"/>
          <w:sz w:val="21"/>
          <w:szCs w:val="21"/>
          <w:highlight w:val="none"/>
          <w:lang w:val="en-US" w:eastAsia="zh-CN" w:bidi="ar-SA"/>
        </w:rPr>
        <w:t>；承接企业为</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（企业名称</w:t>
      </w:r>
      <w:r>
        <w:rPr>
          <w:rFonts w:hint="eastAsia" w:asciiTheme="minorEastAsia" w:hAnsiTheme="minorEastAsia" w:eastAsiaTheme="minorEastAsia" w:cstheme="minorEastAsia"/>
          <w:b/>
          <w:bCs/>
          <w:i/>
          <w:iCs/>
          <w:sz w:val="21"/>
          <w:szCs w:val="21"/>
          <w:highlight w:val="none"/>
          <w:u w:val="single"/>
          <w:lang w:eastAsia="zh-CN"/>
        </w:rPr>
        <w:t>，要求</w:t>
      </w:r>
      <w:r>
        <w:rPr>
          <w:rFonts w:hint="eastAsia" w:asciiTheme="minorEastAsia" w:hAnsiTheme="minorEastAsia" w:eastAsiaTheme="minorEastAsia" w:cstheme="minorEastAsia"/>
          <w:b/>
          <w:bCs/>
          <w:i/>
          <w:iCs/>
          <w:sz w:val="21"/>
          <w:szCs w:val="21"/>
          <w:highlight w:val="none"/>
          <w:u w:val="single"/>
          <w:lang w:val="en-US" w:eastAsia="zh-CN"/>
        </w:rPr>
        <w:t>承接企业本身</w:t>
      </w:r>
      <w:r>
        <w:rPr>
          <w:rFonts w:hint="eastAsia" w:asciiTheme="minorEastAsia" w:hAnsiTheme="minorEastAsia" w:eastAsiaTheme="minorEastAsia" w:cstheme="minorEastAsia"/>
          <w:b/>
          <w:bCs/>
          <w:i/>
          <w:iCs/>
          <w:sz w:val="21"/>
          <w:szCs w:val="21"/>
          <w:highlight w:val="none"/>
          <w:u w:val="single"/>
          <w:lang w:eastAsia="zh-CN"/>
        </w:rPr>
        <w:t>所属行业应当与招标文件要求的行业相一致</w:t>
      </w:r>
      <w:r>
        <w:rPr>
          <w:rFonts w:hint="eastAsia" w:asciiTheme="minorEastAsia" w:hAnsiTheme="minorEastAsia" w:eastAsiaTheme="minorEastAsia" w:cstheme="minorEastAsia"/>
          <w:b/>
          <w:bCs/>
          <w:i/>
          <w:iCs/>
          <w:sz w:val="21"/>
          <w:szCs w:val="21"/>
          <w:highlight w:val="none"/>
          <w:u w:val="single"/>
        </w:rPr>
        <w:t>）</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，从业人员</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人，营业收入为</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万元，资产总额为</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万元，属于</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（中型企业、小型企业、微型企业）</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（标的名称）</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 xml:space="preserve"> </w:t>
      </w:r>
      <w:r>
        <w:rPr>
          <w:rFonts w:hint="eastAsia" w:asciiTheme="minorEastAsia" w:hAnsiTheme="minorEastAsia" w:eastAsiaTheme="minorEastAsia" w:cstheme="minorEastAsia"/>
          <w:sz w:val="21"/>
          <w:szCs w:val="21"/>
          <w:highlight w:val="none"/>
        </w:rPr>
        <w:t>，属于</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（采购文件中明确的所属行业）</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rPr>
        <w:t>行业</w:t>
      </w:r>
      <w:r>
        <w:rPr>
          <w:rFonts w:hint="eastAsia" w:asciiTheme="minorEastAsia" w:hAnsiTheme="minorEastAsia" w:eastAsiaTheme="minorEastAsia" w:cstheme="minorEastAsia"/>
          <w:kern w:val="2"/>
          <w:sz w:val="21"/>
          <w:szCs w:val="21"/>
          <w:highlight w:val="none"/>
          <w:lang w:val="en-US" w:eastAsia="zh-CN" w:bidi="ar-SA"/>
        </w:rPr>
        <w:t>；承接企业为</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（企业名称</w:t>
      </w:r>
      <w:r>
        <w:rPr>
          <w:rFonts w:hint="eastAsia" w:asciiTheme="minorEastAsia" w:hAnsiTheme="minorEastAsia" w:eastAsiaTheme="minorEastAsia" w:cstheme="minorEastAsia"/>
          <w:b/>
          <w:bCs/>
          <w:i/>
          <w:iCs/>
          <w:sz w:val="21"/>
          <w:szCs w:val="21"/>
          <w:highlight w:val="none"/>
          <w:u w:val="single"/>
          <w:lang w:eastAsia="zh-CN"/>
        </w:rPr>
        <w:t>，要求</w:t>
      </w:r>
      <w:r>
        <w:rPr>
          <w:rFonts w:hint="eastAsia" w:asciiTheme="minorEastAsia" w:hAnsiTheme="minorEastAsia" w:eastAsiaTheme="minorEastAsia" w:cstheme="minorEastAsia"/>
          <w:b/>
          <w:bCs/>
          <w:i/>
          <w:iCs/>
          <w:sz w:val="21"/>
          <w:szCs w:val="21"/>
          <w:highlight w:val="none"/>
          <w:u w:val="single"/>
          <w:lang w:val="en-US" w:eastAsia="zh-CN"/>
        </w:rPr>
        <w:t>承接企业本身</w:t>
      </w:r>
      <w:r>
        <w:rPr>
          <w:rFonts w:hint="eastAsia" w:asciiTheme="minorEastAsia" w:hAnsiTheme="minorEastAsia" w:eastAsiaTheme="minorEastAsia" w:cstheme="minorEastAsia"/>
          <w:b/>
          <w:bCs/>
          <w:i/>
          <w:iCs/>
          <w:sz w:val="21"/>
          <w:szCs w:val="21"/>
          <w:highlight w:val="none"/>
          <w:u w:val="single"/>
          <w:lang w:eastAsia="zh-CN"/>
        </w:rPr>
        <w:t>所属行业应当与招标文件要求的行业相一致</w:t>
      </w:r>
      <w:r>
        <w:rPr>
          <w:rFonts w:hint="eastAsia" w:asciiTheme="minorEastAsia" w:hAnsiTheme="minorEastAsia" w:eastAsiaTheme="minorEastAsia" w:cstheme="minorEastAsia"/>
          <w:b/>
          <w:bCs/>
          <w:i/>
          <w:iCs/>
          <w:sz w:val="21"/>
          <w:szCs w:val="21"/>
          <w:highlight w:val="none"/>
          <w:u w:val="single"/>
        </w:rPr>
        <w:t>）</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，从业人员</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人，营业收入为</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万元，资产总额为</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万元，属于</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（中型企业、小型企业、微型企业）</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highlight w:val="none"/>
          <w:lang w:val="en-US" w:eastAsia="zh-CN" w:bidi="ar-SA"/>
        </w:rPr>
      </w:pPr>
      <w:bookmarkStart w:id="39" w:name="_Hlk73562275"/>
      <w:r>
        <w:rPr>
          <w:rFonts w:hint="eastAsia" w:asciiTheme="minorEastAsia" w:hAnsiTheme="minorEastAsia" w:eastAsiaTheme="minorEastAsia" w:cstheme="minorEastAsia"/>
          <w:kern w:val="2"/>
          <w:sz w:val="21"/>
          <w:szCs w:val="21"/>
          <w:highlight w:val="none"/>
          <w:lang w:val="en-US" w:eastAsia="zh-CN" w:bidi="ar-SA"/>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39"/>
    </w:p>
    <w:p>
      <w:pPr>
        <w:ind w:firstLine="420" w:firstLineChars="200"/>
        <w:rPr>
          <w:highlight w:val="none"/>
        </w:rPr>
      </w:pPr>
    </w:p>
    <w:p>
      <w:pPr>
        <w:jc w:val="center"/>
        <w:outlineLvl w:val="3"/>
        <w:rPr>
          <w:b/>
          <w:sz w:val="24"/>
          <w:highlight w:val="none"/>
        </w:rPr>
      </w:pPr>
      <w:r>
        <w:rPr>
          <w:rFonts w:hint="eastAsia"/>
          <w:b/>
          <w:sz w:val="24"/>
          <w:highlight w:val="none"/>
        </w:rPr>
        <w:t>2、残疾人福利性单位声明函</w:t>
      </w:r>
      <w:r>
        <w:rPr>
          <w:rFonts w:hint="eastAsia"/>
          <w:b/>
          <w:sz w:val="24"/>
          <w:highlight w:val="none"/>
          <w:lang w:eastAsia="zh-CN"/>
        </w:rPr>
        <w:t>（</w:t>
      </w:r>
      <w:r>
        <w:rPr>
          <w:rFonts w:hint="eastAsia"/>
          <w:b/>
          <w:sz w:val="24"/>
          <w:highlight w:val="none"/>
          <w:lang w:val="en-US" w:eastAsia="zh-CN"/>
        </w:rPr>
        <w:t>服务</w:t>
      </w:r>
      <w:r>
        <w:rPr>
          <w:rFonts w:hint="eastAsia"/>
          <w:b/>
          <w:sz w:val="24"/>
          <w:highlight w:val="none"/>
        </w:rPr>
        <w:t>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（单位名称）</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单位的</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（项目名称）</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项目采购活动由本单位提供服务。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本投标人已知悉《财政部民政部中国残疾人联合会关于促进残疾人就业政府采购政策的通知》（财库〔2017〕141号）的规定，承诺提供的声明函内容是真实的，如提供声明函内容不实，则依法追究相关法律责任。</w:t>
      </w:r>
    </w:p>
    <w:p>
      <w:pPr>
        <w:ind w:firstLine="420" w:firstLineChars="200"/>
        <w:rPr>
          <w:rFonts w:ascii="宋体" w:hAnsi="宋体"/>
          <w:szCs w:val="21"/>
          <w:highlight w:val="none"/>
        </w:rPr>
      </w:pPr>
    </w:p>
    <w:p>
      <w:pPr>
        <w:ind w:firstLine="420" w:firstLineChars="200"/>
        <w:rPr>
          <w:rFonts w:ascii="宋体" w:hAnsi="宋体"/>
          <w:szCs w:val="21"/>
          <w:highlight w:val="none"/>
        </w:rPr>
      </w:pPr>
    </w:p>
    <w:p>
      <w:pPr>
        <w:ind w:firstLine="420" w:firstLineChars="200"/>
        <w:rPr>
          <w:rFonts w:ascii="宋体" w:hAnsi="宋体"/>
          <w:szCs w:val="21"/>
          <w:highlight w:val="none"/>
        </w:rPr>
      </w:pPr>
    </w:p>
    <w:p>
      <w:pPr>
        <w:jc w:val="center"/>
        <w:outlineLvl w:val="3"/>
        <w:rPr>
          <w:b/>
          <w:sz w:val="24"/>
          <w:highlight w:val="none"/>
        </w:rPr>
      </w:pPr>
      <w:r>
        <w:rPr>
          <w:rFonts w:hint="eastAsia"/>
          <w:b/>
          <w:sz w:val="24"/>
          <w:highlight w:val="none"/>
        </w:rPr>
        <w:t>3、监狱企业声明函【服务类，监狱企业如需享受优惠政策，还须另行提供省级以上监狱管理局、戒毒管理局（含新疆生产建设兵团）出具的监狱企业证明文件】</w:t>
      </w:r>
    </w:p>
    <w:p>
      <w:pPr>
        <w:ind w:firstLine="420" w:firstLineChars="200"/>
        <w:rPr>
          <w:rFonts w:ascii="宋体" w:hAnsi="宋体"/>
          <w:szCs w:val="21"/>
          <w:highlight w:val="none"/>
        </w:rPr>
      </w:pPr>
      <w:r>
        <w:rPr>
          <w:rFonts w:hint="eastAsia" w:ascii="宋体" w:hAnsi="宋体"/>
          <w:szCs w:val="21"/>
          <w:highlight w:val="none"/>
        </w:rPr>
        <w:t>本投标人郑重声明，根据《财政部司法部关于政府采购支持监狱企业发展有关问题的通知》（财库〔</w:t>
      </w:r>
      <w:r>
        <w:rPr>
          <w:rFonts w:ascii="宋体" w:hAnsi="宋体"/>
          <w:szCs w:val="21"/>
          <w:highlight w:val="none"/>
        </w:rPr>
        <w:t>2014</w:t>
      </w:r>
      <w:r>
        <w:rPr>
          <w:rFonts w:hint="eastAsia" w:ascii="宋体" w:hAnsi="宋体"/>
          <w:szCs w:val="21"/>
          <w:highlight w:val="none"/>
        </w:rPr>
        <w:t>〕</w:t>
      </w:r>
      <w:r>
        <w:rPr>
          <w:rFonts w:ascii="宋体" w:hAnsi="宋体"/>
          <w:szCs w:val="21"/>
          <w:highlight w:val="none"/>
        </w:rPr>
        <w:t>68</w:t>
      </w:r>
      <w:r>
        <w:rPr>
          <w:rFonts w:hint="eastAsia" w:ascii="宋体" w:hAnsi="宋体"/>
          <w:szCs w:val="21"/>
          <w:highlight w:val="none"/>
        </w:rPr>
        <w:t>号）的规定，本投标人</w:t>
      </w:r>
      <w:r>
        <w:rPr>
          <w:rFonts w:ascii="宋体" w:hAnsi="宋体" w:cstheme="minorBidi"/>
          <w:szCs w:val="21"/>
          <w:highlight w:val="none"/>
        </w:rPr>
        <w:t>参加</w:t>
      </w:r>
      <w:r>
        <w:rPr>
          <w:rFonts w:ascii="宋体" w:hAnsi="宋体"/>
          <w:b/>
          <w:bCs/>
          <w:szCs w:val="21"/>
          <w:highlight w:val="none"/>
          <w:u w:val="single"/>
        </w:rPr>
        <w:t>（</w:t>
      </w:r>
      <w:r>
        <w:rPr>
          <w:rFonts w:hint="eastAsia" w:ascii="宋体" w:hAnsi="宋体"/>
          <w:b/>
          <w:bCs/>
          <w:szCs w:val="21"/>
          <w:highlight w:val="none"/>
          <w:u w:val="single"/>
        </w:rPr>
        <w:t>采购人</w:t>
      </w:r>
      <w:r>
        <w:rPr>
          <w:rFonts w:ascii="宋体" w:hAnsi="宋体"/>
          <w:b/>
          <w:bCs/>
          <w:szCs w:val="21"/>
          <w:highlight w:val="none"/>
          <w:u w:val="single"/>
        </w:rPr>
        <w:t>名称）</w:t>
      </w:r>
      <w:r>
        <w:rPr>
          <w:rFonts w:ascii="宋体" w:hAnsi="宋体"/>
          <w:szCs w:val="21"/>
          <w:highlight w:val="none"/>
        </w:rPr>
        <w:t>的</w:t>
      </w:r>
      <w:r>
        <w:rPr>
          <w:rFonts w:ascii="宋体" w:hAnsi="宋体"/>
          <w:b/>
          <w:bCs/>
          <w:szCs w:val="21"/>
          <w:highlight w:val="none"/>
          <w:u w:val="single"/>
        </w:rPr>
        <w:t>（项目名称）</w:t>
      </w:r>
      <w:r>
        <w:rPr>
          <w:rFonts w:ascii="宋体" w:hAnsi="宋体"/>
          <w:szCs w:val="21"/>
          <w:highlight w:val="none"/>
        </w:rPr>
        <w:t>采购活动，</w:t>
      </w:r>
      <w:r>
        <w:rPr>
          <w:rFonts w:hint="eastAsia" w:ascii="宋体" w:hAnsi="宋体"/>
          <w:szCs w:val="21"/>
          <w:highlight w:val="none"/>
        </w:rPr>
        <w:t>服务</w:t>
      </w:r>
      <w:r>
        <w:rPr>
          <w:rFonts w:ascii="宋体" w:hAnsi="宋体"/>
          <w:szCs w:val="21"/>
          <w:highlight w:val="none"/>
        </w:rPr>
        <w:t>全部由符合政策要求的</w:t>
      </w:r>
      <w:r>
        <w:rPr>
          <w:rFonts w:hint="eastAsia" w:ascii="宋体" w:hAnsi="宋体"/>
          <w:szCs w:val="21"/>
          <w:highlight w:val="none"/>
        </w:rPr>
        <w:t>监狱企业承接</w:t>
      </w:r>
      <w:r>
        <w:rPr>
          <w:rFonts w:ascii="宋体" w:hAnsi="宋体"/>
          <w:szCs w:val="21"/>
          <w:highlight w:val="none"/>
        </w:rPr>
        <w:t>。相关</w:t>
      </w:r>
      <w:r>
        <w:rPr>
          <w:rFonts w:hint="eastAsia" w:ascii="宋体" w:hAnsi="宋体"/>
          <w:szCs w:val="21"/>
          <w:highlight w:val="none"/>
        </w:rPr>
        <w:t>监狱企业</w:t>
      </w:r>
      <w:r>
        <w:rPr>
          <w:rFonts w:ascii="宋体" w:hAnsi="宋体"/>
          <w:szCs w:val="21"/>
          <w:highlight w:val="none"/>
        </w:rPr>
        <w:t>的具体情况如下：</w:t>
      </w:r>
    </w:p>
    <w:p>
      <w:pPr>
        <w:ind w:firstLine="420" w:firstLineChars="200"/>
        <w:rPr>
          <w:rFonts w:ascii="宋体" w:hAnsi="宋体"/>
          <w:szCs w:val="21"/>
          <w:highlight w:val="none"/>
        </w:rPr>
      </w:pPr>
      <w:r>
        <w:rPr>
          <w:rFonts w:ascii="宋体" w:hAnsi="宋体"/>
          <w:szCs w:val="21"/>
          <w:highlight w:val="none"/>
        </w:rPr>
        <w:t>1.</w:t>
      </w:r>
      <w:r>
        <w:rPr>
          <w:rFonts w:ascii="宋体" w:hAnsi="宋体"/>
          <w:b/>
          <w:bCs/>
          <w:szCs w:val="21"/>
          <w:highlight w:val="none"/>
          <w:u w:val="single"/>
        </w:rPr>
        <w:t xml:space="preserve"> </w:t>
      </w:r>
      <w:r>
        <w:rPr>
          <w:rFonts w:ascii="宋体" w:hAnsi="宋体"/>
          <w:b/>
          <w:bCs/>
          <w:i/>
          <w:iCs/>
          <w:szCs w:val="21"/>
          <w:highlight w:val="none"/>
          <w:u w:val="single"/>
        </w:rPr>
        <w:t>（标的名称</w:t>
      </w:r>
      <w:r>
        <w:rPr>
          <w:rFonts w:ascii="宋体" w:hAnsi="宋体"/>
          <w:b/>
          <w:bCs/>
          <w:szCs w:val="21"/>
          <w:highlight w:val="none"/>
          <w:u w:val="single"/>
        </w:rPr>
        <w:t>）</w:t>
      </w:r>
      <w:r>
        <w:rPr>
          <w:rFonts w:ascii="宋体" w:hAnsi="宋体"/>
          <w:szCs w:val="21"/>
          <w:highlight w:val="none"/>
        </w:rPr>
        <w:t xml:space="preserve"> </w:t>
      </w:r>
      <w:r>
        <w:rPr>
          <w:rFonts w:hint="eastAsia" w:ascii="宋体" w:hAnsi="宋体"/>
          <w:szCs w:val="21"/>
          <w:highlight w:val="none"/>
        </w:rPr>
        <w:t>，承接单位</w:t>
      </w:r>
      <w:r>
        <w:rPr>
          <w:rFonts w:ascii="宋体" w:hAnsi="宋体"/>
          <w:szCs w:val="21"/>
          <w:highlight w:val="none"/>
        </w:rPr>
        <w:t>为</w:t>
      </w:r>
      <w:r>
        <w:rPr>
          <w:rFonts w:ascii="宋体" w:hAnsi="宋体"/>
          <w:b/>
          <w:bCs/>
          <w:i/>
          <w:iCs/>
          <w:szCs w:val="21"/>
          <w:highlight w:val="none"/>
          <w:u w:val="single"/>
        </w:rPr>
        <w:t>（</w:t>
      </w:r>
      <w:r>
        <w:rPr>
          <w:rFonts w:hint="eastAsia" w:ascii="宋体" w:hAnsi="宋体"/>
          <w:b/>
          <w:bCs/>
          <w:i/>
          <w:iCs/>
          <w:szCs w:val="21"/>
          <w:highlight w:val="none"/>
          <w:u w:val="single"/>
        </w:rPr>
        <w:t>企业</w:t>
      </w:r>
      <w:r>
        <w:rPr>
          <w:rFonts w:ascii="宋体" w:hAnsi="宋体"/>
          <w:b/>
          <w:bCs/>
          <w:i/>
          <w:iCs/>
          <w:szCs w:val="21"/>
          <w:highlight w:val="none"/>
          <w:u w:val="single"/>
        </w:rPr>
        <w:t>名称）</w:t>
      </w:r>
      <w:r>
        <w:rPr>
          <w:rFonts w:ascii="宋体" w:hAnsi="宋体"/>
          <w:szCs w:val="21"/>
          <w:highlight w:val="none"/>
        </w:rPr>
        <w:t>，属于</w:t>
      </w:r>
      <w:r>
        <w:rPr>
          <w:rFonts w:hint="eastAsia" w:ascii="宋体" w:hAnsi="宋体"/>
          <w:b/>
          <w:bCs/>
          <w:i/>
          <w:iCs/>
          <w:szCs w:val="21"/>
          <w:highlight w:val="none"/>
          <w:u w:val="single"/>
        </w:rPr>
        <w:t>监狱企业</w:t>
      </w:r>
      <w:r>
        <w:rPr>
          <w:rFonts w:ascii="宋体" w:hAnsi="宋体"/>
          <w:szCs w:val="21"/>
          <w:highlight w:val="none"/>
        </w:rPr>
        <w:t>；</w:t>
      </w:r>
    </w:p>
    <w:p>
      <w:pPr>
        <w:ind w:firstLine="420" w:firstLineChars="200"/>
        <w:rPr>
          <w:rFonts w:ascii="宋体" w:hAnsi="宋体"/>
          <w:szCs w:val="21"/>
          <w:highlight w:val="none"/>
        </w:rPr>
      </w:pPr>
      <w:r>
        <w:rPr>
          <w:rFonts w:ascii="宋体" w:hAnsi="宋体"/>
          <w:szCs w:val="21"/>
          <w:highlight w:val="none"/>
        </w:rPr>
        <w:t>2.</w:t>
      </w:r>
      <w:r>
        <w:rPr>
          <w:rFonts w:ascii="宋体" w:hAnsi="宋体"/>
          <w:b/>
          <w:bCs/>
          <w:szCs w:val="21"/>
          <w:highlight w:val="none"/>
          <w:u w:val="single"/>
        </w:rPr>
        <w:t xml:space="preserve"> </w:t>
      </w:r>
      <w:r>
        <w:rPr>
          <w:rFonts w:ascii="宋体" w:hAnsi="宋体"/>
          <w:b/>
          <w:bCs/>
          <w:i/>
          <w:iCs/>
          <w:szCs w:val="21"/>
          <w:highlight w:val="none"/>
          <w:u w:val="single"/>
        </w:rPr>
        <w:t>（标的名称）</w:t>
      </w:r>
      <w:r>
        <w:rPr>
          <w:rFonts w:ascii="宋体" w:hAnsi="宋体"/>
          <w:i/>
          <w:iCs/>
          <w:szCs w:val="21"/>
          <w:highlight w:val="none"/>
        </w:rPr>
        <w:t xml:space="preserve"> </w:t>
      </w:r>
      <w:r>
        <w:rPr>
          <w:rFonts w:hint="eastAsia" w:ascii="宋体" w:hAnsi="宋体"/>
          <w:szCs w:val="21"/>
          <w:highlight w:val="none"/>
        </w:rPr>
        <w:t>，承接单位</w:t>
      </w:r>
      <w:r>
        <w:rPr>
          <w:rFonts w:ascii="宋体" w:hAnsi="宋体"/>
          <w:szCs w:val="21"/>
          <w:highlight w:val="none"/>
        </w:rPr>
        <w:t>为</w:t>
      </w:r>
      <w:r>
        <w:rPr>
          <w:rFonts w:ascii="宋体" w:hAnsi="宋体"/>
          <w:b/>
          <w:bCs/>
          <w:i/>
          <w:iCs/>
          <w:szCs w:val="21"/>
          <w:highlight w:val="none"/>
          <w:u w:val="single"/>
        </w:rPr>
        <w:t>（</w:t>
      </w:r>
      <w:r>
        <w:rPr>
          <w:rFonts w:hint="eastAsia" w:ascii="宋体" w:hAnsi="宋体"/>
          <w:b/>
          <w:bCs/>
          <w:i/>
          <w:iCs/>
          <w:szCs w:val="21"/>
          <w:highlight w:val="none"/>
          <w:u w:val="single"/>
        </w:rPr>
        <w:t>企业</w:t>
      </w:r>
      <w:r>
        <w:rPr>
          <w:rFonts w:ascii="宋体" w:hAnsi="宋体"/>
          <w:b/>
          <w:bCs/>
          <w:i/>
          <w:iCs/>
          <w:szCs w:val="21"/>
          <w:highlight w:val="none"/>
          <w:u w:val="single"/>
        </w:rPr>
        <w:t>名称）</w:t>
      </w:r>
      <w:r>
        <w:rPr>
          <w:rFonts w:ascii="宋体" w:hAnsi="宋体"/>
          <w:szCs w:val="21"/>
          <w:highlight w:val="none"/>
        </w:rPr>
        <w:t>，属于</w:t>
      </w:r>
      <w:r>
        <w:rPr>
          <w:rFonts w:hint="eastAsia" w:ascii="宋体" w:hAnsi="宋体"/>
          <w:b/>
          <w:bCs/>
          <w:i/>
          <w:iCs/>
          <w:szCs w:val="21"/>
          <w:highlight w:val="none"/>
          <w:u w:val="single"/>
        </w:rPr>
        <w:t>监狱企业</w:t>
      </w:r>
      <w:r>
        <w:rPr>
          <w:rFonts w:hint="eastAsia" w:ascii="宋体" w:hAnsi="宋体"/>
          <w:szCs w:val="21"/>
          <w:highlight w:val="none"/>
        </w:rPr>
        <w:t>。</w:t>
      </w:r>
    </w:p>
    <w:p>
      <w:pPr>
        <w:ind w:firstLine="420" w:firstLineChars="200"/>
        <w:outlineLvl w:val="3"/>
        <w:rPr>
          <w:rFonts w:ascii="宋体" w:hAnsi="宋体"/>
          <w:szCs w:val="21"/>
          <w:highlight w:val="none"/>
        </w:rPr>
      </w:pPr>
      <w:r>
        <w:rPr>
          <w:rFonts w:ascii="宋体" w:hAnsi="宋体"/>
          <w:szCs w:val="21"/>
          <w:highlight w:val="none"/>
        </w:rPr>
        <w:t xml:space="preserve">…… </w:t>
      </w:r>
    </w:p>
    <w:p>
      <w:pPr>
        <w:ind w:firstLine="420" w:firstLineChars="200"/>
        <w:rPr>
          <w:rFonts w:ascii="宋体" w:hAnsi="宋体"/>
          <w:szCs w:val="21"/>
          <w:highlight w:val="none"/>
        </w:rPr>
      </w:pPr>
      <w:r>
        <w:rPr>
          <w:rFonts w:ascii="宋体" w:hAnsi="宋体" w:cstheme="minorBidi"/>
          <w:szCs w:val="21"/>
          <w:highlight w:val="none"/>
        </w:rPr>
        <w:t>本</w:t>
      </w:r>
      <w:r>
        <w:rPr>
          <w:rFonts w:hint="eastAsia" w:ascii="宋体" w:hAnsi="宋体" w:cstheme="minorBidi"/>
          <w:szCs w:val="21"/>
          <w:highlight w:val="none"/>
        </w:rPr>
        <w:t>投标人</w:t>
      </w:r>
      <w:r>
        <w:rPr>
          <w:rFonts w:ascii="宋体" w:hAnsi="宋体"/>
          <w:szCs w:val="21"/>
          <w:highlight w:val="none"/>
        </w:rPr>
        <w:t>对上述声明内容的真实性负责。如有虚假，将依法承担相应责任。</w:t>
      </w:r>
    </w:p>
    <w:p>
      <w:pPr>
        <w:ind w:firstLine="420" w:firstLineChars="200"/>
        <w:rPr>
          <w:rFonts w:ascii="宋体" w:hAnsi="宋体"/>
          <w:szCs w:val="21"/>
          <w:highlight w:val="none"/>
        </w:rPr>
      </w:pPr>
      <w:r>
        <w:rPr>
          <w:rFonts w:hint="eastAsia" w:ascii="宋体" w:hAnsi="宋体"/>
          <w:szCs w:val="21"/>
          <w:highlight w:val="none"/>
        </w:rPr>
        <w:t>附：省级以上监狱管理局、戒毒管理局（含新疆生产建设兵团）出具的监狱企业证明文件。</w:t>
      </w:r>
    </w:p>
    <w:p>
      <w:pPr>
        <w:ind w:left="723" w:hanging="723" w:hangingChars="300"/>
        <w:rPr>
          <w:b/>
          <w:sz w:val="24"/>
          <w:highlight w:val="none"/>
        </w:rPr>
      </w:pPr>
    </w:p>
    <w:p>
      <w:pPr>
        <w:ind w:left="723" w:hanging="723" w:hangingChars="300"/>
        <w:rPr>
          <w:b/>
          <w:sz w:val="24"/>
          <w:highlight w:val="none"/>
        </w:rPr>
      </w:pPr>
    </w:p>
    <w:p>
      <w:pPr>
        <w:pStyle w:val="5"/>
        <w:jc w:val="center"/>
        <w:rPr>
          <w:rFonts w:ascii="黑体" w:eastAsia="黑体"/>
          <w:b w:val="0"/>
          <w:sz w:val="24"/>
          <w:szCs w:val="24"/>
          <w:highlight w:val="none"/>
        </w:rPr>
      </w:pPr>
      <w:r>
        <w:rPr>
          <w:rFonts w:hint="eastAsia" w:ascii="黑体" w:eastAsia="黑体"/>
          <w:b w:val="0"/>
          <w:sz w:val="24"/>
          <w:szCs w:val="24"/>
          <w:highlight w:val="none"/>
        </w:rPr>
        <w:t>四、项目详细报价</w:t>
      </w:r>
    </w:p>
    <w:p>
      <w:pPr>
        <w:tabs>
          <w:tab w:val="left" w:pos="720"/>
        </w:tabs>
        <w:ind w:firstLine="3132" w:firstLineChars="1300"/>
        <w:rPr>
          <w:highlight w:val="none"/>
        </w:rPr>
      </w:pPr>
      <w:r>
        <w:rPr>
          <w:rFonts w:hint="eastAsia"/>
          <w:b/>
          <w:sz w:val="24"/>
          <w:highlight w:val="none"/>
        </w:rPr>
        <w:t>（一）分项报价表</w:t>
      </w:r>
    </w:p>
    <w:tbl>
      <w:tblPr>
        <w:tblStyle w:val="42"/>
        <w:tblpPr w:leftFromText="180" w:rightFromText="180" w:vertAnchor="text" w:horzAnchor="page" w:tblpXSpec="center" w:tblpY="175"/>
        <w:tblOverlap w:val="never"/>
        <w:tblW w:w="102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7"/>
        <w:gridCol w:w="1300"/>
        <w:gridCol w:w="1427"/>
        <w:gridCol w:w="1159"/>
        <w:gridCol w:w="2651"/>
        <w:gridCol w:w="26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4" w:hRule="atLeast"/>
          <w:jc w:val="center"/>
        </w:trPr>
        <w:tc>
          <w:tcPr>
            <w:tcW w:w="1047" w:type="dxa"/>
            <w:tcBorders>
              <w:top w:val="double" w:color="auto" w:sz="4" w:space="0"/>
              <w:left w:val="double" w:color="auto" w:sz="4" w:space="0"/>
            </w:tcBorders>
            <w:shd w:val="clear" w:color="auto" w:fill="B4C6E7"/>
            <w:vAlign w:val="center"/>
          </w:tcPr>
          <w:p>
            <w:pPr>
              <w:spacing w:line="360" w:lineRule="auto"/>
              <w:jc w:val="center"/>
              <w:rPr>
                <w:rFonts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2727" w:type="dxa"/>
            <w:gridSpan w:val="2"/>
            <w:tcBorders>
              <w:top w:val="double" w:color="auto" w:sz="4" w:space="0"/>
              <w:right w:val="single" w:color="auto" w:sz="4" w:space="0"/>
            </w:tcBorders>
            <w:shd w:val="clear" w:color="auto" w:fill="B4C6E7"/>
            <w:vAlign w:val="center"/>
          </w:tcPr>
          <w:p>
            <w:pPr>
              <w:spacing w:line="360" w:lineRule="auto"/>
              <w:jc w:val="center"/>
              <w:rPr>
                <w:rFonts w:ascii="仿宋" w:hAnsi="仿宋" w:eastAsia="仿宋" w:cs="仿宋"/>
                <w:b/>
                <w:sz w:val="24"/>
                <w:szCs w:val="24"/>
                <w:highlight w:val="none"/>
              </w:rPr>
            </w:pPr>
            <w:r>
              <w:rPr>
                <w:rFonts w:hint="eastAsia" w:ascii="仿宋" w:hAnsi="仿宋" w:eastAsia="仿宋" w:cs="仿宋"/>
                <w:b/>
                <w:sz w:val="24"/>
                <w:szCs w:val="24"/>
                <w:highlight w:val="none"/>
              </w:rPr>
              <w:t>报价项目</w:t>
            </w:r>
          </w:p>
        </w:tc>
        <w:tc>
          <w:tcPr>
            <w:tcW w:w="1159" w:type="dxa"/>
            <w:tcBorders>
              <w:top w:val="double" w:color="auto" w:sz="4" w:space="0"/>
              <w:right w:val="single" w:color="auto" w:sz="4" w:space="0"/>
            </w:tcBorders>
            <w:shd w:val="clear" w:color="auto" w:fill="B4C6E7"/>
            <w:vAlign w:val="center"/>
          </w:tcPr>
          <w:p>
            <w:pPr>
              <w:spacing w:line="360" w:lineRule="auto"/>
              <w:jc w:val="center"/>
              <w:rPr>
                <w:rFonts w:ascii="仿宋" w:hAnsi="仿宋" w:eastAsia="仿宋" w:cs="仿宋"/>
                <w:b/>
                <w:sz w:val="24"/>
                <w:szCs w:val="24"/>
                <w:highlight w:val="none"/>
              </w:rPr>
            </w:pPr>
            <w:r>
              <w:rPr>
                <w:rFonts w:hint="eastAsia" w:ascii="仿宋" w:hAnsi="仿宋" w:eastAsia="仿宋" w:cs="仿宋"/>
                <w:b/>
                <w:sz w:val="24"/>
                <w:szCs w:val="24"/>
                <w:highlight w:val="none"/>
              </w:rPr>
              <w:t>人数</w:t>
            </w:r>
          </w:p>
        </w:tc>
        <w:tc>
          <w:tcPr>
            <w:tcW w:w="2651" w:type="dxa"/>
            <w:tcBorders>
              <w:top w:val="double" w:color="auto" w:sz="4" w:space="0"/>
              <w:right w:val="single" w:color="auto" w:sz="4" w:space="0"/>
            </w:tcBorders>
            <w:shd w:val="clear" w:color="auto" w:fill="B4C6E7"/>
            <w:vAlign w:val="center"/>
          </w:tcPr>
          <w:p>
            <w:pPr>
              <w:spacing w:line="360" w:lineRule="auto"/>
              <w:jc w:val="center"/>
              <w:rPr>
                <w:rFonts w:ascii="仿宋" w:hAnsi="仿宋" w:eastAsia="仿宋" w:cs="仿宋"/>
                <w:b/>
                <w:sz w:val="24"/>
                <w:szCs w:val="24"/>
                <w:highlight w:val="none"/>
              </w:rPr>
            </w:pPr>
            <w:r>
              <w:rPr>
                <w:rFonts w:hint="eastAsia" w:ascii="仿宋" w:hAnsi="仿宋" w:eastAsia="仿宋" w:cs="仿宋"/>
                <w:b/>
                <w:sz w:val="24"/>
                <w:szCs w:val="24"/>
                <w:highlight w:val="none"/>
              </w:rPr>
              <w:t>报价</w:t>
            </w:r>
          </w:p>
          <w:p>
            <w:pPr>
              <w:spacing w:line="360" w:lineRule="auto"/>
              <w:jc w:val="center"/>
              <w:rPr>
                <w:rFonts w:ascii="仿宋" w:hAnsi="仿宋" w:eastAsia="仿宋" w:cs="仿宋"/>
                <w:b/>
                <w:sz w:val="24"/>
                <w:szCs w:val="24"/>
                <w:highlight w:val="none"/>
              </w:rPr>
            </w:pPr>
            <w:r>
              <w:rPr>
                <w:rFonts w:hint="eastAsia" w:ascii="仿宋" w:hAnsi="仿宋" w:eastAsia="仿宋" w:cs="仿宋"/>
                <w:b/>
                <w:sz w:val="24"/>
                <w:szCs w:val="24"/>
                <w:highlight w:val="none"/>
              </w:rPr>
              <w:t>（人民币 元/年）</w:t>
            </w:r>
          </w:p>
        </w:tc>
        <w:tc>
          <w:tcPr>
            <w:tcW w:w="2651" w:type="dxa"/>
            <w:tcBorders>
              <w:top w:val="double" w:color="auto" w:sz="4" w:space="0"/>
              <w:left w:val="single" w:color="auto" w:sz="4" w:space="0"/>
              <w:right w:val="double" w:color="auto" w:sz="4" w:space="0"/>
            </w:tcBorders>
            <w:shd w:val="clear" w:color="auto" w:fill="B4C6E7"/>
            <w:vAlign w:val="center"/>
          </w:tcPr>
          <w:p>
            <w:pPr>
              <w:spacing w:line="360" w:lineRule="auto"/>
              <w:jc w:val="center"/>
              <w:rPr>
                <w:rFonts w:ascii="仿宋" w:hAnsi="仿宋" w:eastAsia="仿宋" w:cs="仿宋"/>
                <w:b/>
                <w:sz w:val="24"/>
                <w:szCs w:val="24"/>
                <w:highlight w:val="none"/>
              </w:rPr>
            </w:pPr>
            <w:r>
              <w:rPr>
                <w:rFonts w:hint="eastAsia" w:ascii="仿宋" w:hAnsi="仿宋" w:eastAsia="仿宋" w:cs="仿宋"/>
                <w:b/>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1" w:hRule="atLeast"/>
          <w:jc w:val="center"/>
        </w:trPr>
        <w:tc>
          <w:tcPr>
            <w:tcW w:w="1047" w:type="dxa"/>
            <w:vMerge w:val="restart"/>
            <w:tcBorders>
              <w:left w:val="double" w:color="auto" w:sz="4" w:space="0"/>
            </w:tcBorders>
            <w:shd w:val="clear" w:color="auto" w:fill="auto"/>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w:t>
            </w:r>
          </w:p>
        </w:tc>
        <w:tc>
          <w:tcPr>
            <w:tcW w:w="2727" w:type="dxa"/>
            <w:gridSpan w:val="2"/>
            <w:tcBorders>
              <w:right w:val="single" w:color="auto" w:sz="4" w:space="0"/>
            </w:tcBorders>
            <w:shd w:val="clear" w:color="auto" w:fill="auto"/>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专业技术人员</w:t>
            </w:r>
            <w:r>
              <w:rPr>
                <w:rFonts w:hint="eastAsia" w:ascii="仿宋" w:hAnsi="仿宋" w:eastAsia="仿宋" w:cs="仿宋"/>
                <w:sz w:val="24"/>
                <w:szCs w:val="24"/>
                <w:highlight w:val="none"/>
              </w:rPr>
              <w:t xml:space="preserve">  </w:t>
            </w:r>
          </w:p>
        </w:tc>
        <w:tc>
          <w:tcPr>
            <w:tcW w:w="1159" w:type="dxa"/>
            <w:tcBorders>
              <w:right w:val="single" w:color="auto" w:sz="4" w:space="0"/>
            </w:tcBorders>
            <w:shd w:val="clear" w:color="auto" w:fill="auto"/>
            <w:vAlign w:val="center"/>
          </w:tcPr>
          <w:p>
            <w:pPr>
              <w:spacing w:line="360" w:lineRule="auto"/>
              <w:jc w:val="center"/>
              <w:rPr>
                <w:rFonts w:hint="default" w:ascii="仿宋" w:hAnsi="仿宋" w:eastAsia="仿宋" w:cs="仿宋"/>
                <w:sz w:val="24"/>
                <w:szCs w:val="24"/>
                <w:highlight w:val="none"/>
                <w:lang w:val="en-US" w:eastAsia="zh-CN"/>
              </w:rPr>
            </w:pPr>
          </w:p>
        </w:tc>
        <w:tc>
          <w:tcPr>
            <w:tcW w:w="2651" w:type="dxa"/>
            <w:tcBorders>
              <w:right w:val="single" w:color="auto" w:sz="4" w:space="0"/>
            </w:tcBorders>
            <w:shd w:val="clear" w:color="auto" w:fill="auto"/>
            <w:vAlign w:val="center"/>
          </w:tcPr>
          <w:p>
            <w:pPr>
              <w:spacing w:line="360" w:lineRule="auto"/>
              <w:jc w:val="center"/>
              <w:rPr>
                <w:rFonts w:ascii="仿宋" w:hAnsi="仿宋" w:eastAsia="仿宋" w:cs="仿宋"/>
                <w:sz w:val="24"/>
                <w:szCs w:val="24"/>
                <w:highlight w:val="none"/>
              </w:rPr>
            </w:pPr>
          </w:p>
        </w:tc>
        <w:tc>
          <w:tcPr>
            <w:tcW w:w="2651" w:type="dxa"/>
            <w:vMerge w:val="restart"/>
            <w:tcBorders>
              <w:left w:val="single" w:color="auto" w:sz="4" w:space="0"/>
              <w:right w:val="double" w:color="auto" w:sz="4" w:space="0"/>
            </w:tcBorders>
            <w:shd w:val="clear" w:color="auto" w:fill="auto"/>
            <w:vAlign w:val="center"/>
          </w:tcPr>
          <w:p>
            <w:pPr>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该项费用包含购买服务人员月应发工资，根据法律规定用人单位应缴交的社会保险、住房公积金、经济补偿准备金和餐费。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1" w:hRule="atLeast"/>
          <w:jc w:val="center"/>
        </w:trPr>
        <w:tc>
          <w:tcPr>
            <w:tcW w:w="1047" w:type="dxa"/>
            <w:vMerge w:val="continue"/>
            <w:tcBorders>
              <w:left w:val="double" w:color="auto" w:sz="4" w:space="0"/>
            </w:tcBorders>
            <w:shd w:val="clear" w:color="auto" w:fill="auto"/>
            <w:vAlign w:val="center"/>
          </w:tcPr>
          <w:p>
            <w:pPr>
              <w:spacing w:line="360" w:lineRule="auto"/>
              <w:jc w:val="center"/>
              <w:rPr>
                <w:rFonts w:ascii="Calibri" w:hAnsi="Calibri"/>
                <w:szCs w:val="24"/>
                <w:highlight w:val="none"/>
              </w:rPr>
            </w:pPr>
          </w:p>
        </w:tc>
        <w:tc>
          <w:tcPr>
            <w:tcW w:w="2727" w:type="dxa"/>
            <w:gridSpan w:val="2"/>
            <w:tcBorders>
              <w:right w:val="single" w:color="auto" w:sz="4" w:space="0"/>
            </w:tcBorders>
            <w:shd w:val="clear" w:color="auto" w:fill="auto"/>
            <w:vAlign w:val="center"/>
          </w:tcPr>
          <w:p>
            <w:pPr>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后勤人员</w:t>
            </w:r>
          </w:p>
        </w:tc>
        <w:tc>
          <w:tcPr>
            <w:tcW w:w="1159" w:type="dxa"/>
            <w:tcBorders>
              <w:right w:val="single" w:color="auto" w:sz="4" w:space="0"/>
            </w:tcBorders>
            <w:shd w:val="clear" w:color="auto" w:fill="auto"/>
            <w:vAlign w:val="center"/>
          </w:tcPr>
          <w:p>
            <w:pPr>
              <w:spacing w:line="360" w:lineRule="auto"/>
              <w:jc w:val="center"/>
              <w:rPr>
                <w:rFonts w:hint="eastAsia" w:ascii="仿宋" w:hAnsi="仿宋" w:eastAsia="仿宋" w:cs="仿宋"/>
                <w:sz w:val="24"/>
                <w:szCs w:val="24"/>
                <w:highlight w:val="none"/>
                <w:lang w:val="en-US" w:eastAsia="zh-CN"/>
              </w:rPr>
            </w:pPr>
          </w:p>
        </w:tc>
        <w:tc>
          <w:tcPr>
            <w:tcW w:w="2651" w:type="dxa"/>
            <w:tcBorders>
              <w:right w:val="single" w:color="auto" w:sz="4" w:space="0"/>
            </w:tcBorders>
            <w:shd w:val="clear" w:color="auto" w:fill="auto"/>
            <w:vAlign w:val="center"/>
          </w:tcPr>
          <w:p>
            <w:pPr>
              <w:spacing w:line="360" w:lineRule="auto"/>
              <w:jc w:val="center"/>
              <w:rPr>
                <w:rFonts w:ascii="仿宋" w:hAnsi="仿宋" w:eastAsia="仿宋" w:cs="仿宋"/>
                <w:sz w:val="24"/>
                <w:szCs w:val="24"/>
                <w:highlight w:val="none"/>
              </w:rPr>
            </w:pPr>
          </w:p>
        </w:tc>
        <w:tc>
          <w:tcPr>
            <w:tcW w:w="2651" w:type="dxa"/>
            <w:vMerge w:val="continue"/>
            <w:tcBorders>
              <w:left w:val="single" w:color="auto" w:sz="4" w:space="0"/>
              <w:right w:val="double" w:color="auto" w:sz="4" w:space="0"/>
            </w:tcBorders>
            <w:shd w:val="clear" w:color="auto" w:fill="auto"/>
            <w:vAlign w:val="center"/>
          </w:tcPr>
          <w:p>
            <w:pPr>
              <w:spacing w:line="360" w:lineRule="auto"/>
              <w:jc w:val="center"/>
              <w:rPr>
                <w:rFonts w:ascii="仿宋" w:hAnsi="仿宋" w:eastAsia="仿宋" w:cs="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9" w:hRule="atLeast"/>
          <w:jc w:val="center"/>
        </w:trPr>
        <w:tc>
          <w:tcPr>
            <w:tcW w:w="1047" w:type="dxa"/>
            <w:tcBorders>
              <w:left w:val="double" w:color="auto" w:sz="4" w:space="0"/>
            </w:tcBorders>
            <w:shd w:val="clear" w:color="auto" w:fill="auto"/>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2</w:t>
            </w:r>
          </w:p>
        </w:tc>
        <w:tc>
          <w:tcPr>
            <w:tcW w:w="2727" w:type="dxa"/>
            <w:gridSpan w:val="2"/>
            <w:shd w:val="clear" w:color="auto" w:fill="auto"/>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人员管理服务费</w:t>
            </w:r>
          </w:p>
        </w:tc>
        <w:tc>
          <w:tcPr>
            <w:tcW w:w="3810" w:type="dxa"/>
            <w:gridSpan w:val="2"/>
            <w:tcBorders>
              <w:right w:val="single" w:color="auto" w:sz="4" w:space="0"/>
            </w:tcBorders>
            <w:shd w:val="clear" w:color="auto" w:fill="auto"/>
            <w:vAlign w:val="center"/>
          </w:tcPr>
          <w:p>
            <w:pPr>
              <w:spacing w:line="360" w:lineRule="auto"/>
              <w:jc w:val="center"/>
              <w:rPr>
                <w:rFonts w:ascii="仿宋" w:hAnsi="仿宋" w:eastAsia="仿宋" w:cs="仿宋"/>
                <w:sz w:val="24"/>
                <w:szCs w:val="24"/>
                <w:highlight w:val="none"/>
              </w:rPr>
            </w:pPr>
          </w:p>
        </w:tc>
        <w:tc>
          <w:tcPr>
            <w:tcW w:w="2651" w:type="dxa"/>
            <w:tcBorders>
              <w:left w:val="single" w:color="auto" w:sz="4" w:space="0"/>
              <w:right w:val="double" w:color="auto" w:sz="4" w:space="0"/>
            </w:tcBorders>
            <w:shd w:val="clear" w:color="auto" w:fill="auto"/>
            <w:vAlign w:val="center"/>
          </w:tcPr>
          <w:p>
            <w:pPr>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该项费用包含中标单位的服务费、招聘费、合理利润、税金等。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1" w:hRule="atLeast"/>
          <w:jc w:val="center"/>
        </w:trPr>
        <w:tc>
          <w:tcPr>
            <w:tcW w:w="2347" w:type="dxa"/>
            <w:gridSpan w:val="2"/>
            <w:tcBorders>
              <w:left w:val="double" w:color="auto" w:sz="4" w:space="0"/>
              <w:bottom w:val="double" w:color="auto" w:sz="4" w:space="0"/>
            </w:tcBorders>
            <w:shd w:val="clear" w:color="auto" w:fill="DDD9C4"/>
            <w:vAlign w:val="center"/>
          </w:tcPr>
          <w:p>
            <w:pPr>
              <w:spacing w:line="360" w:lineRule="auto"/>
              <w:jc w:val="center"/>
              <w:rPr>
                <w:rFonts w:ascii="仿宋" w:hAnsi="仿宋" w:eastAsia="仿宋" w:cs="仿宋"/>
                <w:b/>
                <w:sz w:val="24"/>
                <w:szCs w:val="24"/>
                <w:highlight w:val="none"/>
              </w:rPr>
            </w:pPr>
            <w:r>
              <w:rPr>
                <w:rFonts w:hint="eastAsia" w:ascii="仿宋" w:hAnsi="仿宋" w:eastAsia="仿宋" w:cs="仿宋"/>
                <w:b/>
                <w:sz w:val="24"/>
                <w:szCs w:val="24"/>
                <w:highlight w:val="none"/>
              </w:rPr>
              <w:t>合  计：</w:t>
            </w:r>
          </w:p>
          <w:p>
            <w:pPr>
              <w:spacing w:line="360" w:lineRule="auto"/>
              <w:jc w:val="center"/>
              <w:rPr>
                <w:rFonts w:ascii="仿宋" w:hAnsi="仿宋" w:eastAsia="仿宋" w:cs="仿宋"/>
                <w:b/>
                <w:sz w:val="24"/>
                <w:szCs w:val="24"/>
                <w:highlight w:val="none"/>
              </w:rPr>
            </w:pPr>
            <w:r>
              <w:rPr>
                <w:rFonts w:hint="eastAsia" w:ascii="仿宋" w:hAnsi="仿宋" w:eastAsia="仿宋" w:cs="仿宋"/>
                <w:b/>
                <w:sz w:val="24"/>
                <w:szCs w:val="24"/>
                <w:highlight w:val="none"/>
              </w:rPr>
              <w:t>（人民币 元/年）</w:t>
            </w:r>
          </w:p>
        </w:tc>
        <w:tc>
          <w:tcPr>
            <w:tcW w:w="7888" w:type="dxa"/>
            <w:gridSpan w:val="4"/>
            <w:tcBorders>
              <w:bottom w:val="double" w:color="auto" w:sz="4" w:space="0"/>
              <w:right w:val="double" w:color="auto" w:sz="4" w:space="0"/>
            </w:tcBorders>
            <w:shd w:val="clear" w:color="auto" w:fill="auto"/>
            <w:vAlign w:val="center"/>
          </w:tcPr>
          <w:p>
            <w:pPr>
              <w:spacing w:line="360" w:lineRule="auto"/>
              <w:jc w:val="center"/>
              <w:rPr>
                <w:rFonts w:ascii="仿宋" w:hAnsi="仿宋" w:eastAsia="仿宋" w:cs="仿宋"/>
                <w:sz w:val="24"/>
                <w:szCs w:val="24"/>
                <w:highlight w:val="none"/>
              </w:rPr>
            </w:pPr>
          </w:p>
        </w:tc>
      </w:tr>
    </w:tbl>
    <w:p>
      <w:pPr>
        <w:pStyle w:val="2"/>
        <w:rPr>
          <w:highlight w:val="none"/>
        </w:rPr>
      </w:pPr>
    </w:p>
    <w:p>
      <w:pPr>
        <w:pStyle w:val="2"/>
        <w:rPr>
          <w:highlight w:val="none"/>
        </w:rPr>
      </w:pPr>
    </w:p>
    <w:p>
      <w:pPr>
        <w:ind w:firstLine="0" w:firstLineChars="0"/>
        <w:rPr>
          <w:rFonts w:hint="eastAsia" w:hAnsi="宋体"/>
          <w:b/>
          <w:bCs/>
          <w:color w:val="FF0000"/>
          <w:sz w:val="24"/>
          <w:highlight w:val="none"/>
          <w:lang w:val="en-US" w:eastAsia="zh-CN"/>
        </w:rPr>
      </w:pPr>
    </w:p>
    <w:p>
      <w:pPr>
        <w:pStyle w:val="2"/>
        <w:rPr>
          <w:rFonts w:hint="eastAsia"/>
          <w:highlight w:val="none"/>
          <w:lang w:val="en-US" w:eastAsia="zh-CN"/>
        </w:rPr>
      </w:pPr>
    </w:p>
    <w:p>
      <w:pPr>
        <w:pStyle w:val="3"/>
        <w:rPr>
          <w:rFonts w:hint="eastAsia"/>
          <w:highlight w:val="none"/>
          <w:lang w:val="en-US" w:eastAsia="zh-CN"/>
        </w:rPr>
      </w:pPr>
    </w:p>
    <w:p>
      <w:pPr>
        <w:pStyle w:val="3"/>
        <w:rPr>
          <w:rFonts w:hint="eastAsia"/>
          <w:highlight w:val="none"/>
          <w:lang w:val="en-US" w:eastAsia="zh-CN"/>
        </w:rPr>
      </w:pPr>
    </w:p>
    <w:p>
      <w:pPr>
        <w:pStyle w:val="3"/>
        <w:rPr>
          <w:rFonts w:hint="eastAsia"/>
          <w:highlight w:val="none"/>
          <w:lang w:val="en-US" w:eastAsia="zh-CN"/>
        </w:rPr>
      </w:pPr>
    </w:p>
    <w:p>
      <w:pPr>
        <w:pStyle w:val="3"/>
        <w:rPr>
          <w:rFonts w:hint="eastAsia"/>
          <w:highlight w:val="none"/>
          <w:lang w:val="en-US" w:eastAsia="zh-CN"/>
        </w:rPr>
      </w:pPr>
    </w:p>
    <w:p>
      <w:pPr>
        <w:pStyle w:val="3"/>
        <w:rPr>
          <w:rFonts w:hint="eastAsia"/>
          <w:highlight w:val="none"/>
          <w:lang w:val="en-US" w:eastAsia="zh-CN"/>
        </w:rPr>
      </w:pPr>
    </w:p>
    <w:p>
      <w:pPr>
        <w:pStyle w:val="3"/>
        <w:rPr>
          <w:rFonts w:hint="eastAsia"/>
          <w:highlight w:val="none"/>
          <w:lang w:val="en-US" w:eastAsia="zh-CN"/>
        </w:rPr>
      </w:pPr>
    </w:p>
    <w:p>
      <w:pPr>
        <w:pStyle w:val="3"/>
        <w:rPr>
          <w:rFonts w:hint="eastAsia"/>
          <w:highlight w:val="none"/>
          <w:lang w:val="en-US" w:eastAsia="zh-CN"/>
        </w:rPr>
      </w:pPr>
    </w:p>
    <w:p>
      <w:pPr>
        <w:pStyle w:val="3"/>
        <w:rPr>
          <w:rFonts w:hint="eastAsia"/>
          <w:highlight w:val="none"/>
          <w:lang w:val="en-US" w:eastAsia="zh-CN"/>
        </w:rPr>
      </w:pPr>
    </w:p>
    <w:p>
      <w:pPr>
        <w:pStyle w:val="3"/>
        <w:rPr>
          <w:rFonts w:hint="eastAsia"/>
          <w:highlight w:val="none"/>
          <w:lang w:val="en-US" w:eastAsia="zh-CN"/>
        </w:rPr>
      </w:pPr>
    </w:p>
    <w:p>
      <w:pPr>
        <w:pStyle w:val="3"/>
        <w:rPr>
          <w:rFonts w:hint="eastAsia"/>
          <w:highlight w:val="none"/>
          <w:lang w:val="en-US" w:eastAsia="zh-CN"/>
        </w:rPr>
      </w:pPr>
    </w:p>
    <w:p>
      <w:pPr>
        <w:pStyle w:val="3"/>
        <w:rPr>
          <w:rFonts w:hint="eastAsia"/>
          <w:highlight w:val="none"/>
          <w:lang w:val="en-US" w:eastAsia="zh-CN"/>
        </w:rPr>
      </w:pPr>
    </w:p>
    <w:p>
      <w:pPr>
        <w:pStyle w:val="3"/>
        <w:rPr>
          <w:rFonts w:hint="eastAsia"/>
          <w:highlight w:val="none"/>
          <w:lang w:val="en-US" w:eastAsia="zh-CN"/>
        </w:rPr>
      </w:pPr>
    </w:p>
    <w:p>
      <w:pPr>
        <w:pStyle w:val="3"/>
        <w:rPr>
          <w:rFonts w:hint="eastAsia"/>
          <w:highlight w:val="none"/>
          <w:lang w:val="en-US" w:eastAsia="zh-CN"/>
        </w:rPr>
      </w:pPr>
    </w:p>
    <w:p>
      <w:pPr>
        <w:pStyle w:val="3"/>
        <w:rPr>
          <w:rFonts w:hint="eastAsia"/>
          <w:highlight w:val="none"/>
          <w:lang w:val="en-US" w:eastAsia="zh-CN"/>
        </w:rPr>
      </w:pPr>
    </w:p>
    <w:p>
      <w:pPr>
        <w:pStyle w:val="3"/>
        <w:rPr>
          <w:rFonts w:hint="eastAsia"/>
          <w:highlight w:val="none"/>
          <w:lang w:val="en-US" w:eastAsia="zh-CN"/>
        </w:rPr>
      </w:pPr>
    </w:p>
    <w:p>
      <w:pPr>
        <w:ind w:firstLine="0" w:firstLineChars="0"/>
        <w:rPr>
          <w:rFonts w:hint="eastAsia" w:hAnsi="宋体"/>
          <w:b/>
          <w:bCs/>
          <w:color w:val="FF0000"/>
          <w:sz w:val="24"/>
          <w:highlight w:val="none"/>
          <w:lang w:val="en-US" w:eastAsia="zh-CN"/>
        </w:rPr>
      </w:pPr>
      <w:r>
        <w:rPr>
          <w:rFonts w:hint="eastAsia" w:hAnsi="宋体"/>
          <w:b/>
          <w:bCs/>
          <w:color w:val="FF0000"/>
          <w:sz w:val="24"/>
          <w:highlight w:val="none"/>
          <w:lang w:val="en-US" w:eastAsia="zh-CN"/>
        </w:rPr>
        <w:t>注：服务类项目包含硬件设备、产品等货物采购的，除了要求供应商响应服务方案及报价外，必须按照货物类公开招标文件模板规定的分项报价表格式，要求供应商响应货物标的产品规格型号并逐一分项报价。</w:t>
      </w:r>
    </w:p>
    <w:p>
      <w:pPr>
        <w:pStyle w:val="2"/>
        <w:rPr>
          <w:rFonts w:hint="default"/>
          <w:highlight w:val="none"/>
          <w:lang w:val="en-US" w:eastAsia="zh-CN"/>
        </w:rPr>
      </w:pPr>
    </w:p>
    <w:p>
      <w:pPr>
        <w:tabs>
          <w:tab w:val="left" w:pos="720"/>
        </w:tabs>
        <w:jc w:val="center"/>
        <w:rPr>
          <w:b/>
          <w:sz w:val="24"/>
          <w:highlight w:val="none"/>
        </w:rPr>
      </w:pPr>
      <w:r>
        <w:rPr>
          <w:rFonts w:hint="eastAsia"/>
          <w:b/>
          <w:sz w:val="24"/>
          <w:highlight w:val="none"/>
        </w:rPr>
        <w:t>（二）</w:t>
      </w:r>
      <w:bookmarkStart w:id="40" w:name="_Hlk72073235"/>
      <w:r>
        <w:rPr>
          <w:rFonts w:hint="eastAsia"/>
          <w:b/>
          <w:sz w:val="24"/>
          <w:highlight w:val="none"/>
        </w:rPr>
        <w:t>投标人认为需要涉及的其他内容报价清单</w:t>
      </w:r>
      <w:bookmarkEnd w:id="40"/>
    </w:p>
    <w:p>
      <w:pPr>
        <w:rPr>
          <w:b/>
          <w:bCs/>
          <w:highlight w:val="none"/>
        </w:rPr>
      </w:pPr>
    </w:p>
    <w:p>
      <w:pPr>
        <w:rPr>
          <w:highlight w:val="none"/>
        </w:rPr>
      </w:pPr>
    </w:p>
    <w:p>
      <w:pPr>
        <w:pStyle w:val="5"/>
        <w:spacing w:line="276" w:lineRule="auto"/>
        <w:jc w:val="center"/>
        <w:rPr>
          <w:rFonts w:ascii="黑体" w:eastAsia="黑体"/>
          <w:b w:val="0"/>
          <w:kern w:val="0"/>
          <w:sz w:val="24"/>
          <w:szCs w:val="24"/>
          <w:highlight w:val="none"/>
        </w:rPr>
      </w:pPr>
      <w:r>
        <w:rPr>
          <w:rFonts w:hint="eastAsia" w:ascii="黑体" w:eastAsia="黑体"/>
          <w:b w:val="0"/>
          <w:kern w:val="0"/>
          <w:sz w:val="24"/>
          <w:szCs w:val="24"/>
          <w:highlight w:val="none"/>
        </w:rPr>
        <w:t>五、同类项目业绩</w:t>
      </w:r>
    </w:p>
    <w:tbl>
      <w:tblPr>
        <w:tblStyle w:val="42"/>
        <w:tblW w:w="9015"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75"/>
        <w:gridCol w:w="1267"/>
        <w:gridCol w:w="1105"/>
        <w:gridCol w:w="1538"/>
        <w:gridCol w:w="1287"/>
        <w:gridCol w:w="1113"/>
        <w:gridCol w:w="907"/>
        <w:gridCol w:w="1123"/>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756" w:hRule="atLeast"/>
          <w:jc w:val="center"/>
        </w:trPr>
        <w:tc>
          <w:tcPr>
            <w:tcW w:w="675" w:type="dxa"/>
            <w:vAlign w:val="center"/>
          </w:tcPr>
          <w:p>
            <w:pPr>
              <w:spacing w:line="276" w:lineRule="auto"/>
              <w:jc w:val="center"/>
              <w:rPr>
                <w:rFonts w:ascii="宋体"/>
                <w:szCs w:val="21"/>
                <w:highlight w:val="none"/>
              </w:rPr>
            </w:pPr>
            <w:r>
              <w:rPr>
                <w:rFonts w:hint="eastAsia" w:ascii="宋体" w:hAnsi="宋体"/>
                <w:szCs w:val="21"/>
                <w:highlight w:val="none"/>
              </w:rPr>
              <w:t>序号</w:t>
            </w:r>
          </w:p>
        </w:tc>
        <w:tc>
          <w:tcPr>
            <w:tcW w:w="1267" w:type="dxa"/>
            <w:vAlign w:val="center"/>
          </w:tcPr>
          <w:p>
            <w:pPr>
              <w:spacing w:line="276" w:lineRule="auto"/>
              <w:jc w:val="center"/>
              <w:rPr>
                <w:rFonts w:ascii="宋体"/>
                <w:szCs w:val="21"/>
                <w:highlight w:val="none"/>
              </w:rPr>
            </w:pPr>
            <w:r>
              <w:rPr>
                <w:rFonts w:hint="eastAsia" w:ascii="宋体" w:hAnsi="宋体"/>
                <w:szCs w:val="21"/>
                <w:highlight w:val="none"/>
              </w:rPr>
              <w:t>采购人</w:t>
            </w:r>
          </w:p>
        </w:tc>
        <w:tc>
          <w:tcPr>
            <w:tcW w:w="1105" w:type="dxa"/>
            <w:vAlign w:val="center"/>
          </w:tcPr>
          <w:p>
            <w:pPr>
              <w:spacing w:line="276" w:lineRule="auto"/>
              <w:jc w:val="center"/>
              <w:rPr>
                <w:rFonts w:ascii="宋体"/>
                <w:szCs w:val="21"/>
                <w:highlight w:val="none"/>
              </w:rPr>
            </w:pPr>
            <w:r>
              <w:rPr>
                <w:rFonts w:hint="eastAsia" w:ascii="宋体" w:hAnsi="宋体"/>
                <w:szCs w:val="21"/>
                <w:highlight w:val="none"/>
              </w:rPr>
              <w:t>项目名称</w:t>
            </w:r>
          </w:p>
        </w:tc>
        <w:tc>
          <w:tcPr>
            <w:tcW w:w="1538" w:type="dxa"/>
            <w:vAlign w:val="center"/>
          </w:tcPr>
          <w:p>
            <w:pPr>
              <w:spacing w:line="276" w:lineRule="auto"/>
              <w:jc w:val="center"/>
              <w:rPr>
                <w:rFonts w:ascii="宋体"/>
                <w:szCs w:val="21"/>
                <w:highlight w:val="none"/>
              </w:rPr>
            </w:pPr>
            <w:r>
              <w:rPr>
                <w:rFonts w:hint="eastAsia" w:ascii="宋体"/>
                <w:szCs w:val="21"/>
                <w:highlight w:val="none"/>
              </w:rPr>
              <w:t>合同签订时间</w:t>
            </w:r>
          </w:p>
        </w:tc>
        <w:tc>
          <w:tcPr>
            <w:tcW w:w="1287" w:type="dxa"/>
            <w:vAlign w:val="center"/>
          </w:tcPr>
          <w:p>
            <w:pPr>
              <w:spacing w:line="276" w:lineRule="auto"/>
              <w:jc w:val="center"/>
              <w:rPr>
                <w:rFonts w:ascii="宋体"/>
                <w:szCs w:val="21"/>
                <w:highlight w:val="none"/>
              </w:rPr>
            </w:pPr>
            <w:r>
              <w:rPr>
                <w:rFonts w:hint="eastAsia" w:ascii="宋体" w:hAnsi="宋体"/>
                <w:szCs w:val="21"/>
                <w:highlight w:val="none"/>
              </w:rPr>
              <w:t>完成时间</w:t>
            </w:r>
          </w:p>
        </w:tc>
        <w:tc>
          <w:tcPr>
            <w:tcW w:w="1113" w:type="dxa"/>
            <w:vAlign w:val="center"/>
          </w:tcPr>
          <w:p>
            <w:pPr>
              <w:spacing w:line="276" w:lineRule="auto"/>
              <w:jc w:val="center"/>
              <w:rPr>
                <w:rFonts w:ascii="宋体"/>
                <w:szCs w:val="21"/>
                <w:highlight w:val="none"/>
              </w:rPr>
            </w:pPr>
            <w:r>
              <w:rPr>
                <w:rFonts w:hint="eastAsia" w:ascii="宋体" w:hAnsi="宋体"/>
                <w:szCs w:val="21"/>
                <w:highlight w:val="none"/>
              </w:rPr>
              <w:t>服务情况</w:t>
            </w:r>
          </w:p>
        </w:tc>
        <w:tc>
          <w:tcPr>
            <w:tcW w:w="907" w:type="dxa"/>
            <w:vAlign w:val="center"/>
          </w:tcPr>
          <w:p>
            <w:pPr>
              <w:spacing w:line="276" w:lineRule="auto"/>
              <w:jc w:val="center"/>
              <w:rPr>
                <w:rFonts w:ascii="宋体"/>
                <w:szCs w:val="21"/>
                <w:highlight w:val="none"/>
              </w:rPr>
            </w:pPr>
            <w:r>
              <w:rPr>
                <w:rFonts w:hint="eastAsia" w:ascii="宋体" w:hAnsi="宋体"/>
                <w:szCs w:val="21"/>
                <w:highlight w:val="none"/>
              </w:rPr>
              <w:t>联系人</w:t>
            </w:r>
          </w:p>
        </w:tc>
        <w:tc>
          <w:tcPr>
            <w:tcW w:w="1123" w:type="dxa"/>
            <w:vAlign w:val="center"/>
          </w:tcPr>
          <w:p>
            <w:pPr>
              <w:spacing w:line="276" w:lineRule="auto"/>
              <w:jc w:val="center"/>
              <w:rPr>
                <w:rFonts w:ascii="宋体"/>
                <w:szCs w:val="21"/>
                <w:highlight w:val="none"/>
              </w:rPr>
            </w:pPr>
            <w:r>
              <w:rPr>
                <w:rFonts w:hint="eastAsia" w:ascii="宋体" w:hAnsi="宋体"/>
                <w:szCs w:val="21"/>
                <w:highlight w:val="none"/>
              </w:rPr>
              <w:t>联系电话</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92" w:hRule="atLeast"/>
          <w:jc w:val="center"/>
        </w:trPr>
        <w:tc>
          <w:tcPr>
            <w:tcW w:w="675" w:type="dxa"/>
          </w:tcPr>
          <w:p>
            <w:pPr>
              <w:spacing w:line="276" w:lineRule="auto"/>
              <w:rPr>
                <w:rFonts w:ascii="宋体"/>
                <w:szCs w:val="21"/>
                <w:highlight w:val="none"/>
              </w:rPr>
            </w:pPr>
          </w:p>
        </w:tc>
        <w:tc>
          <w:tcPr>
            <w:tcW w:w="1267" w:type="dxa"/>
          </w:tcPr>
          <w:p>
            <w:pPr>
              <w:spacing w:line="276" w:lineRule="auto"/>
              <w:rPr>
                <w:rFonts w:ascii="宋体"/>
                <w:szCs w:val="21"/>
                <w:highlight w:val="none"/>
              </w:rPr>
            </w:pPr>
          </w:p>
        </w:tc>
        <w:tc>
          <w:tcPr>
            <w:tcW w:w="1105" w:type="dxa"/>
          </w:tcPr>
          <w:p>
            <w:pPr>
              <w:spacing w:line="276" w:lineRule="auto"/>
              <w:rPr>
                <w:rFonts w:ascii="宋体"/>
                <w:szCs w:val="21"/>
                <w:highlight w:val="none"/>
              </w:rPr>
            </w:pPr>
          </w:p>
        </w:tc>
        <w:tc>
          <w:tcPr>
            <w:tcW w:w="1538" w:type="dxa"/>
          </w:tcPr>
          <w:p>
            <w:pPr>
              <w:spacing w:line="276" w:lineRule="auto"/>
              <w:rPr>
                <w:rFonts w:ascii="宋体"/>
                <w:szCs w:val="21"/>
                <w:highlight w:val="none"/>
              </w:rPr>
            </w:pPr>
          </w:p>
        </w:tc>
        <w:tc>
          <w:tcPr>
            <w:tcW w:w="1287" w:type="dxa"/>
          </w:tcPr>
          <w:p>
            <w:pPr>
              <w:spacing w:line="276" w:lineRule="auto"/>
              <w:rPr>
                <w:rFonts w:ascii="宋体"/>
                <w:szCs w:val="21"/>
                <w:highlight w:val="none"/>
              </w:rPr>
            </w:pPr>
          </w:p>
        </w:tc>
        <w:tc>
          <w:tcPr>
            <w:tcW w:w="1113" w:type="dxa"/>
          </w:tcPr>
          <w:p>
            <w:pPr>
              <w:spacing w:line="276" w:lineRule="auto"/>
              <w:rPr>
                <w:rFonts w:ascii="宋体"/>
                <w:szCs w:val="21"/>
                <w:highlight w:val="none"/>
              </w:rPr>
            </w:pPr>
          </w:p>
        </w:tc>
        <w:tc>
          <w:tcPr>
            <w:tcW w:w="907" w:type="dxa"/>
          </w:tcPr>
          <w:p>
            <w:pPr>
              <w:spacing w:line="276" w:lineRule="auto"/>
              <w:rPr>
                <w:rFonts w:ascii="宋体"/>
                <w:szCs w:val="21"/>
                <w:highlight w:val="none"/>
              </w:rPr>
            </w:pPr>
          </w:p>
        </w:tc>
        <w:tc>
          <w:tcPr>
            <w:tcW w:w="1123" w:type="dxa"/>
          </w:tcPr>
          <w:p>
            <w:pPr>
              <w:spacing w:line="276" w:lineRule="auto"/>
              <w:rPr>
                <w:rFonts w:ascii="宋体"/>
                <w:szCs w:val="21"/>
                <w:highlight w:val="none"/>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92" w:hRule="atLeast"/>
          <w:jc w:val="center"/>
        </w:trPr>
        <w:tc>
          <w:tcPr>
            <w:tcW w:w="675" w:type="dxa"/>
          </w:tcPr>
          <w:p>
            <w:pPr>
              <w:spacing w:line="276" w:lineRule="auto"/>
              <w:rPr>
                <w:rFonts w:ascii="宋体"/>
                <w:szCs w:val="21"/>
                <w:highlight w:val="none"/>
              </w:rPr>
            </w:pPr>
          </w:p>
        </w:tc>
        <w:tc>
          <w:tcPr>
            <w:tcW w:w="1267" w:type="dxa"/>
          </w:tcPr>
          <w:p>
            <w:pPr>
              <w:spacing w:line="276" w:lineRule="auto"/>
              <w:rPr>
                <w:rFonts w:ascii="宋体"/>
                <w:szCs w:val="21"/>
                <w:highlight w:val="none"/>
              </w:rPr>
            </w:pPr>
          </w:p>
        </w:tc>
        <w:tc>
          <w:tcPr>
            <w:tcW w:w="1105" w:type="dxa"/>
          </w:tcPr>
          <w:p>
            <w:pPr>
              <w:spacing w:line="276" w:lineRule="auto"/>
              <w:rPr>
                <w:rFonts w:ascii="宋体"/>
                <w:szCs w:val="21"/>
                <w:highlight w:val="none"/>
              </w:rPr>
            </w:pPr>
          </w:p>
        </w:tc>
        <w:tc>
          <w:tcPr>
            <w:tcW w:w="1538" w:type="dxa"/>
          </w:tcPr>
          <w:p>
            <w:pPr>
              <w:spacing w:line="276" w:lineRule="auto"/>
              <w:rPr>
                <w:rFonts w:ascii="宋体"/>
                <w:szCs w:val="21"/>
                <w:highlight w:val="none"/>
              </w:rPr>
            </w:pPr>
          </w:p>
        </w:tc>
        <w:tc>
          <w:tcPr>
            <w:tcW w:w="1287" w:type="dxa"/>
          </w:tcPr>
          <w:p>
            <w:pPr>
              <w:spacing w:line="276" w:lineRule="auto"/>
              <w:rPr>
                <w:rFonts w:ascii="宋体"/>
                <w:szCs w:val="21"/>
                <w:highlight w:val="none"/>
              </w:rPr>
            </w:pPr>
          </w:p>
        </w:tc>
        <w:tc>
          <w:tcPr>
            <w:tcW w:w="1113" w:type="dxa"/>
          </w:tcPr>
          <w:p>
            <w:pPr>
              <w:spacing w:line="276" w:lineRule="auto"/>
              <w:rPr>
                <w:rFonts w:ascii="宋体"/>
                <w:szCs w:val="21"/>
                <w:highlight w:val="none"/>
              </w:rPr>
            </w:pPr>
          </w:p>
        </w:tc>
        <w:tc>
          <w:tcPr>
            <w:tcW w:w="907" w:type="dxa"/>
          </w:tcPr>
          <w:p>
            <w:pPr>
              <w:spacing w:line="276" w:lineRule="auto"/>
              <w:rPr>
                <w:rFonts w:ascii="宋体"/>
                <w:szCs w:val="21"/>
                <w:highlight w:val="none"/>
              </w:rPr>
            </w:pPr>
          </w:p>
        </w:tc>
        <w:tc>
          <w:tcPr>
            <w:tcW w:w="1123" w:type="dxa"/>
          </w:tcPr>
          <w:p>
            <w:pPr>
              <w:spacing w:line="276" w:lineRule="auto"/>
              <w:rPr>
                <w:rFonts w:ascii="宋体"/>
                <w:szCs w:val="21"/>
                <w:highlight w:val="none"/>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92" w:hRule="atLeast"/>
          <w:jc w:val="center"/>
        </w:trPr>
        <w:tc>
          <w:tcPr>
            <w:tcW w:w="675" w:type="dxa"/>
          </w:tcPr>
          <w:p>
            <w:pPr>
              <w:spacing w:line="276" w:lineRule="auto"/>
              <w:rPr>
                <w:rFonts w:ascii="宋体"/>
                <w:szCs w:val="21"/>
                <w:highlight w:val="none"/>
              </w:rPr>
            </w:pPr>
          </w:p>
        </w:tc>
        <w:tc>
          <w:tcPr>
            <w:tcW w:w="1267" w:type="dxa"/>
          </w:tcPr>
          <w:p>
            <w:pPr>
              <w:spacing w:line="276" w:lineRule="auto"/>
              <w:rPr>
                <w:rFonts w:ascii="宋体"/>
                <w:szCs w:val="21"/>
                <w:highlight w:val="none"/>
              </w:rPr>
            </w:pPr>
          </w:p>
        </w:tc>
        <w:tc>
          <w:tcPr>
            <w:tcW w:w="1105" w:type="dxa"/>
          </w:tcPr>
          <w:p>
            <w:pPr>
              <w:spacing w:line="276" w:lineRule="auto"/>
              <w:rPr>
                <w:rFonts w:ascii="宋体"/>
                <w:szCs w:val="21"/>
                <w:highlight w:val="none"/>
              </w:rPr>
            </w:pPr>
          </w:p>
        </w:tc>
        <w:tc>
          <w:tcPr>
            <w:tcW w:w="1538" w:type="dxa"/>
          </w:tcPr>
          <w:p>
            <w:pPr>
              <w:spacing w:line="276" w:lineRule="auto"/>
              <w:rPr>
                <w:rFonts w:ascii="宋体"/>
                <w:szCs w:val="21"/>
                <w:highlight w:val="none"/>
              </w:rPr>
            </w:pPr>
          </w:p>
        </w:tc>
        <w:tc>
          <w:tcPr>
            <w:tcW w:w="1287" w:type="dxa"/>
          </w:tcPr>
          <w:p>
            <w:pPr>
              <w:spacing w:line="276" w:lineRule="auto"/>
              <w:rPr>
                <w:rFonts w:ascii="宋体"/>
                <w:szCs w:val="21"/>
                <w:highlight w:val="none"/>
              </w:rPr>
            </w:pPr>
          </w:p>
        </w:tc>
        <w:tc>
          <w:tcPr>
            <w:tcW w:w="1113" w:type="dxa"/>
          </w:tcPr>
          <w:p>
            <w:pPr>
              <w:spacing w:line="276" w:lineRule="auto"/>
              <w:rPr>
                <w:rFonts w:ascii="宋体"/>
                <w:szCs w:val="21"/>
                <w:highlight w:val="none"/>
              </w:rPr>
            </w:pPr>
          </w:p>
        </w:tc>
        <w:tc>
          <w:tcPr>
            <w:tcW w:w="907" w:type="dxa"/>
          </w:tcPr>
          <w:p>
            <w:pPr>
              <w:spacing w:line="276" w:lineRule="auto"/>
              <w:rPr>
                <w:rFonts w:ascii="宋体"/>
                <w:szCs w:val="21"/>
                <w:highlight w:val="none"/>
              </w:rPr>
            </w:pPr>
          </w:p>
        </w:tc>
        <w:tc>
          <w:tcPr>
            <w:tcW w:w="1123" w:type="dxa"/>
          </w:tcPr>
          <w:p>
            <w:pPr>
              <w:spacing w:line="276" w:lineRule="auto"/>
              <w:rPr>
                <w:rFonts w:ascii="宋体"/>
                <w:szCs w:val="21"/>
                <w:highlight w:val="none"/>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92" w:hRule="atLeast"/>
          <w:jc w:val="center"/>
        </w:trPr>
        <w:tc>
          <w:tcPr>
            <w:tcW w:w="675" w:type="dxa"/>
          </w:tcPr>
          <w:p>
            <w:pPr>
              <w:spacing w:line="276" w:lineRule="auto"/>
              <w:rPr>
                <w:rFonts w:ascii="宋体"/>
                <w:szCs w:val="21"/>
                <w:highlight w:val="none"/>
              </w:rPr>
            </w:pPr>
          </w:p>
        </w:tc>
        <w:tc>
          <w:tcPr>
            <w:tcW w:w="1267" w:type="dxa"/>
          </w:tcPr>
          <w:p>
            <w:pPr>
              <w:spacing w:line="276" w:lineRule="auto"/>
              <w:rPr>
                <w:rFonts w:ascii="宋体"/>
                <w:szCs w:val="21"/>
                <w:highlight w:val="none"/>
              </w:rPr>
            </w:pPr>
          </w:p>
        </w:tc>
        <w:tc>
          <w:tcPr>
            <w:tcW w:w="1105" w:type="dxa"/>
          </w:tcPr>
          <w:p>
            <w:pPr>
              <w:spacing w:line="276" w:lineRule="auto"/>
              <w:rPr>
                <w:rFonts w:ascii="宋体"/>
                <w:szCs w:val="21"/>
                <w:highlight w:val="none"/>
              </w:rPr>
            </w:pPr>
          </w:p>
        </w:tc>
        <w:tc>
          <w:tcPr>
            <w:tcW w:w="1538" w:type="dxa"/>
          </w:tcPr>
          <w:p>
            <w:pPr>
              <w:spacing w:line="276" w:lineRule="auto"/>
              <w:rPr>
                <w:rFonts w:ascii="宋体"/>
                <w:szCs w:val="21"/>
                <w:highlight w:val="none"/>
              </w:rPr>
            </w:pPr>
          </w:p>
        </w:tc>
        <w:tc>
          <w:tcPr>
            <w:tcW w:w="1287" w:type="dxa"/>
          </w:tcPr>
          <w:p>
            <w:pPr>
              <w:spacing w:line="276" w:lineRule="auto"/>
              <w:rPr>
                <w:rFonts w:ascii="宋体"/>
                <w:szCs w:val="21"/>
                <w:highlight w:val="none"/>
              </w:rPr>
            </w:pPr>
          </w:p>
        </w:tc>
        <w:tc>
          <w:tcPr>
            <w:tcW w:w="1113" w:type="dxa"/>
          </w:tcPr>
          <w:p>
            <w:pPr>
              <w:spacing w:line="276" w:lineRule="auto"/>
              <w:rPr>
                <w:rFonts w:ascii="宋体"/>
                <w:szCs w:val="21"/>
                <w:highlight w:val="none"/>
              </w:rPr>
            </w:pPr>
          </w:p>
        </w:tc>
        <w:tc>
          <w:tcPr>
            <w:tcW w:w="907" w:type="dxa"/>
          </w:tcPr>
          <w:p>
            <w:pPr>
              <w:spacing w:line="276" w:lineRule="auto"/>
              <w:rPr>
                <w:rFonts w:ascii="宋体"/>
                <w:szCs w:val="21"/>
                <w:highlight w:val="none"/>
              </w:rPr>
            </w:pPr>
          </w:p>
        </w:tc>
        <w:tc>
          <w:tcPr>
            <w:tcW w:w="1123" w:type="dxa"/>
          </w:tcPr>
          <w:p>
            <w:pPr>
              <w:spacing w:line="276" w:lineRule="auto"/>
              <w:rPr>
                <w:rFonts w:ascii="宋体"/>
                <w:szCs w:val="21"/>
                <w:highlight w:val="none"/>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423" w:hRule="atLeast"/>
          <w:jc w:val="center"/>
        </w:trPr>
        <w:tc>
          <w:tcPr>
            <w:tcW w:w="675" w:type="dxa"/>
          </w:tcPr>
          <w:p>
            <w:pPr>
              <w:spacing w:line="276" w:lineRule="auto"/>
              <w:rPr>
                <w:rFonts w:ascii="宋体"/>
                <w:szCs w:val="21"/>
                <w:highlight w:val="none"/>
              </w:rPr>
            </w:pPr>
          </w:p>
        </w:tc>
        <w:tc>
          <w:tcPr>
            <w:tcW w:w="1267" w:type="dxa"/>
          </w:tcPr>
          <w:p>
            <w:pPr>
              <w:spacing w:line="276" w:lineRule="auto"/>
              <w:rPr>
                <w:rFonts w:ascii="宋体"/>
                <w:szCs w:val="21"/>
                <w:highlight w:val="none"/>
              </w:rPr>
            </w:pPr>
          </w:p>
        </w:tc>
        <w:tc>
          <w:tcPr>
            <w:tcW w:w="1105" w:type="dxa"/>
          </w:tcPr>
          <w:p>
            <w:pPr>
              <w:spacing w:line="276" w:lineRule="auto"/>
              <w:rPr>
                <w:rFonts w:ascii="宋体"/>
                <w:szCs w:val="21"/>
                <w:highlight w:val="none"/>
              </w:rPr>
            </w:pPr>
          </w:p>
        </w:tc>
        <w:tc>
          <w:tcPr>
            <w:tcW w:w="1538" w:type="dxa"/>
          </w:tcPr>
          <w:p>
            <w:pPr>
              <w:spacing w:line="276" w:lineRule="auto"/>
              <w:rPr>
                <w:rFonts w:ascii="宋体"/>
                <w:szCs w:val="21"/>
                <w:highlight w:val="none"/>
              </w:rPr>
            </w:pPr>
          </w:p>
        </w:tc>
        <w:tc>
          <w:tcPr>
            <w:tcW w:w="1287" w:type="dxa"/>
          </w:tcPr>
          <w:p>
            <w:pPr>
              <w:spacing w:line="276" w:lineRule="auto"/>
              <w:rPr>
                <w:rFonts w:ascii="宋体"/>
                <w:szCs w:val="21"/>
                <w:highlight w:val="none"/>
              </w:rPr>
            </w:pPr>
          </w:p>
        </w:tc>
        <w:tc>
          <w:tcPr>
            <w:tcW w:w="1113" w:type="dxa"/>
          </w:tcPr>
          <w:p>
            <w:pPr>
              <w:spacing w:line="276" w:lineRule="auto"/>
              <w:rPr>
                <w:rFonts w:ascii="宋体"/>
                <w:szCs w:val="21"/>
                <w:highlight w:val="none"/>
              </w:rPr>
            </w:pPr>
          </w:p>
        </w:tc>
        <w:tc>
          <w:tcPr>
            <w:tcW w:w="907" w:type="dxa"/>
          </w:tcPr>
          <w:p>
            <w:pPr>
              <w:spacing w:line="276" w:lineRule="auto"/>
              <w:rPr>
                <w:rFonts w:ascii="宋体"/>
                <w:szCs w:val="21"/>
                <w:highlight w:val="none"/>
              </w:rPr>
            </w:pPr>
          </w:p>
        </w:tc>
        <w:tc>
          <w:tcPr>
            <w:tcW w:w="1123" w:type="dxa"/>
          </w:tcPr>
          <w:p>
            <w:pPr>
              <w:spacing w:line="276" w:lineRule="auto"/>
              <w:rPr>
                <w:rFonts w:ascii="宋体"/>
                <w:szCs w:val="21"/>
                <w:highlight w:val="none"/>
              </w:rPr>
            </w:pPr>
          </w:p>
        </w:tc>
      </w:tr>
    </w:tbl>
    <w:p>
      <w:pPr>
        <w:pStyle w:val="2"/>
        <w:spacing w:line="276" w:lineRule="auto"/>
        <w:rPr>
          <w:rFonts w:hint="eastAsia"/>
          <w:b w:val="0"/>
          <w:bCs w:val="0"/>
          <w:sz w:val="21"/>
          <w:szCs w:val="21"/>
          <w:highlight w:val="none"/>
        </w:rPr>
      </w:pPr>
      <w:r>
        <w:rPr>
          <w:rFonts w:hint="eastAsia"/>
          <w:b w:val="0"/>
          <w:bCs w:val="0"/>
          <w:sz w:val="21"/>
          <w:szCs w:val="21"/>
          <w:highlight w:val="none"/>
        </w:rPr>
        <w:t>（特别提示：以上表格仅供参考。投标人须按本招标文件评标信息中“同类项目业绩”这一评分因素要求，提供证明资料）</w:t>
      </w:r>
    </w:p>
    <w:p>
      <w:pPr>
        <w:pStyle w:val="3"/>
        <w:rPr>
          <w:rFonts w:hint="eastAsia"/>
          <w:b w:val="0"/>
          <w:bCs w:val="0"/>
          <w:sz w:val="21"/>
          <w:szCs w:val="21"/>
          <w:highlight w:val="none"/>
        </w:rPr>
      </w:pPr>
    </w:p>
    <w:p>
      <w:pPr>
        <w:pStyle w:val="3"/>
        <w:rPr>
          <w:rFonts w:hint="eastAsia"/>
          <w:b w:val="0"/>
          <w:bCs w:val="0"/>
          <w:sz w:val="21"/>
          <w:szCs w:val="21"/>
          <w:highlight w:val="none"/>
        </w:rPr>
      </w:pPr>
    </w:p>
    <w:p>
      <w:pPr>
        <w:pStyle w:val="3"/>
        <w:rPr>
          <w:rFonts w:hint="eastAsia"/>
          <w:b w:val="0"/>
          <w:bCs w:val="0"/>
          <w:sz w:val="21"/>
          <w:szCs w:val="21"/>
          <w:highlight w:val="none"/>
        </w:rPr>
      </w:pPr>
    </w:p>
    <w:p>
      <w:pPr>
        <w:spacing w:line="276" w:lineRule="auto"/>
        <w:jc w:val="center"/>
        <w:rPr>
          <w:rFonts w:ascii="黑体" w:eastAsia="黑体"/>
          <w:b w:val="0"/>
          <w:kern w:val="0"/>
          <w:sz w:val="24"/>
          <w:szCs w:val="24"/>
          <w:highlight w:val="none"/>
        </w:rPr>
      </w:pPr>
      <w:bookmarkStart w:id="41" w:name="_Toc59916729"/>
      <w:r>
        <w:rPr>
          <w:rFonts w:hint="eastAsia" w:ascii="黑体" w:eastAsia="黑体"/>
          <w:b w:val="0"/>
          <w:kern w:val="0"/>
          <w:sz w:val="24"/>
          <w:szCs w:val="24"/>
          <w:highlight w:val="none"/>
        </w:rPr>
        <w:t>六、</w:t>
      </w:r>
      <w:bookmarkEnd w:id="41"/>
      <w:r>
        <w:rPr>
          <w:rFonts w:hint="eastAsia" w:ascii="黑体" w:hAnsi="Times New Roman" w:eastAsia="黑体"/>
          <w:color w:val="000000"/>
          <w:kern w:val="0"/>
          <w:sz w:val="24"/>
          <w:szCs w:val="24"/>
          <w:highlight w:val="none"/>
        </w:rPr>
        <w:t>履约评价</w:t>
      </w:r>
    </w:p>
    <w:p>
      <w:pPr>
        <w:pStyle w:val="2"/>
        <w:spacing w:line="276" w:lineRule="auto"/>
        <w:rPr>
          <w:b w:val="0"/>
          <w:bCs w:val="0"/>
          <w:sz w:val="21"/>
          <w:szCs w:val="21"/>
          <w:highlight w:val="none"/>
        </w:rPr>
      </w:pPr>
      <w:r>
        <w:rPr>
          <w:rFonts w:hint="eastAsia"/>
          <w:b w:val="0"/>
          <w:bCs w:val="0"/>
          <w:sz w:val="21"/>
          <w:szCs w:val="21"/>
          <w:highlight w:val="none"/>
        </w:rPr>
        <w:t>（特别提示：以上表格仅供参考。投标人须按本招标文件评标信息中“</w:t>
      </w:r>
      <w:r>
        <w:rPr>
          <w:rFonts w:hint="eastAsia" w:ascii="Times New Roman" w:hAnsi="Times New Roman" w:eastAsia="宋体"/>
          <w:b w:val="0"/>
          <w:bCs w:val="0"/>
          <w:kern w:val="2"/>
          <w:sz w:val="21"/>
          <w:szCs w:val="21"/>
          <w:highlight w:val="none"/>
        </w:rPr>
        <w:t>履约评价</w:t>
      </w:r>
      <w:r>
        <w:rPr>
          <w:rFonts w:hint="eastAsia"/>
          <w:b w:val="0"/>
          <w:bCs w:val="0"/>
          <w:sz w:val="21"/>
          <w:szCs w:val="21"/>
          <w:highlight w:val="none"/>
        </w:rPr>
        <w:t>”这一评分因素要求，提供证明资料）</w:t>
      </w:r>
    </w:p>
    <w:p>
      <w:pPr>
        <w:widowControl/>
        <w:tabs>
          <w:tab w:val="left" w:pos="720"/>
        </w:tabs>
        <w:spacing w:line="360" w:lineRule="auto"/>
        <w:ind w:left="420"/>
        <w:jc w:val="left"/>
        <w:rPr>
          <w:rFonts w:ascii="黑体" w:hAnsi="宋体" w:eastAsia="黑体"/>
          <w:bCs/>
          <w:sz w:val="24"/>
          <w:highlight w:val="none"/>
        </w:rPr>
      </w:pPr>
    </w:p>
    <w:p>
      <w:pPr>
        <w:pStyle w:val="5"/>
        <w:spacing w:line="276" w:lineRule="auto"/>
        <w:jc w:val="center"/>
        <w:rPr>
          <w:rFonts w:ascii="黑体" w:eastAsia="黑体"/>
          <w:b w:val="0"/>
          <w:kern w:val="0"/>
          <w:sz w:val="24"/>
          <w:szCs w:val="24"/>
          <w:highlight w:val="none"/>
        </w:rPr>
      </w:pPr>
      <w:r>
        <w:rPr>
          <w:rFonts w:hint="eastAsia" w:ascii="黑体" w:eastAsia="黑体"/>
          <w:b w:val="0"/>
          <w:kern w:val="0"/>
          <w:sz w:val="24"/>
          <w:szCs w:val="24"/>
          <w:highlight w:val="none"/>
          <w:lang w:val="en-US" w:eastAsia="zh-CN"/>
        </w:rPr>
        <w:t>七</w:t>
      </w:r>
      <w:r>
        <w:rPr>
          <w:rFonts w:hint="eastAsia" w:ascii="黑体" w:eastAsia="黑体"/>
          <w:b w:val="0"/>
          <w:kern w:val="0"/>
          <w:sz w:val="24"/>
          <w:szCs w:val="24"/>
          <w:highlight w:val="none"/>
        </w:rPr>
        <w:t>、服务网点</w:t>
      </w:r>
    </w:p>
    <w:p>
      <w:pPr>
        <w:spacing w:line="360" w:lineRule="auto"/>
        <w:jc w:val="center"/>
        <w:rPr>
          <w:b/>
          <w:bCs/>
          <w:sz w:val="24"/>
          <w:highlight w:val="none"/>
        </w:rPr>
      </w:pPr>
      <w:r>
        <w:rPr>
          <w:rFonts w:hint="eastAsia"/>
          <w:b/>
          <w:bCs/>
          <w:sz w:val="24"/>
          <w:highlight w:val="none"/>
        </w:rPr>
        <w:t>承诺函</w:t>
      </w:r>
    </w:p>
    <w:p>
      <w:pPr>
        <w:spacing w:line="360" w:lineRule="auto"/>
        <w:rPr>
          <w:szCs w:val="21"/>
          <w:highlight w:val="none"/>
        </w:rPr>
      </w:pPr>
      <w:r>
        <w:rPr>
          <w:rFonts w:hint="eastAsia"/>
          <w:szCs w:val="21"/>
          <w:highlight w:val="none"/>
        </w:rPr>
        <w:t>致：深圳公共资源交易中心、采购人</w:t>
      </w:r>
    </w:p>
    <w:p>
      <w:pPr>
        <w:spacing w:line="360" w:lineRule="auto"/>
        <w:ind w:firstLine="420" w:firstLineChars="200"/>
        <w:rPr>
          <w:szCs w:val="21"/>
          <w:highlight w:val="none"/>
        </w:rPr>
      </w:pPr>
      <w:r>
        <w:rPr>
          <w:rFonts w:hint="eastAsia"/>
          <w:szCs w:val="21"/>
          <w:highlight w:val="none"/>
        </w:rPr>
        <w:t>我单位承诺，中标后为本项目提供本地服务网点，如不遵守相应承诺，愿按违约处理，并承担由此给采购人带来的损失。</w:t>
      </w:r>
    </w:p>
    <w:p>
      <w:pPr>
        <w:spacing w:line="360" w:lineRule="auto"/>
        <w:ind w:right="960" w:firstLine="4830" w:firstLineChars="2300"/>
        <w:rPr>
          <w:szCs w:val="21"/>
          <w:highlight w:val="none"/>
        </w:rPr>
      </w:pPr>
      <w:r>
        <w:rPr>
          <w:rFonts w:hint="eastAsia"/>
          <w:szCs w:val="21"/>
          <w:highlight w:val="none"/>
        </w:rPr>
        <w:t xml:space="preserve">投标人：              </w:t>
      </w:r>
    </w:p>
    <w:p>
      <w:pPr>
        <w:spacing w:line="360" w:lineRule="auto"/>
        <w:rPr>
          <w:szCs w:val="21"/>
          <w:highlight w:val="none"/>
        </w:rPr>
      </w:pPr>
      <w:r>
        <w:rPr>
          <w:rFonts w:hint="eastAsia"/>
          <w:szCs w:val="21"/>
          <w:highlight w:val="none"/>
        </w:rPr>
        <w:t xml:space="preserve">                                              日期：    年   月   日</w:t>
      </w:r>
    </w:p>
    <w:p>
      <w:pPr>
        <w:spacing w:line="360" w:lineRule="auto"/>
        <w:rPr>
          <w:szCs w:val="21"/>
          <w:highlight w:val="none"/>
        </w:rPr>
      </w:pPr>
      <w:r>
        <w:rPr>
          <w:b/>
          <w:bCs/>
          <w:szCs w:val="21"/>
          <w:highlight w:val="none"/>
        </w:rPr>
        <w:t>特别提示：投标人需按以上模板要求提供承诺函，否则将按不得分处理</w:t>
      </w:r>
      <w:r>
        <w:rPr>
          <w:rFonts w:hint="eastAsia"/>
          <w:b/>
          <w:bCs/>
          <w:szCs w:val="21"/>
          <w:highlight w:val="none"/>
        </w:rPr>
        <w:t>。</w:t>
      </w:r>
    </w:p>
    <w:p>
      <w:pPr>
        <w:spacing w:line="360" w:lineRule="auto"/>
        <w:rPr>
          <w:szCs w:val="21"/>
          <w:highlight w:val="none"/>
        </w:rPr>
      </w:pPr>
      <w:r>
        <w:rPr>
          <w:rFonts w:hint="eastAsia"/>
          <w:szCs w:val="21"/>
          <w:highlight w:val="none"/>
        </w:rPr>
        <w:t>（特别提示：投标人须按本招标文件评标信息中“服务网点”这一评审因素要求，提供以上承诺函）</w:t>
      </w:r>
    </w:p>
    <w:p>
      <w:pPr>
        <w:rPr>
          <w:highlight w:val="none"/>
        </w:rPr>
      </w:pPr>
    </w:p>
    <w:p>
      <w:pPr>
        <w:rPr>
          <w:highlight w:val="none"/>
        </w:rPr>
      </w:pPr>
    </w:p>
    <w:p>
      <w:pPr>
        <w:ind w:firstLine="1446" w:firstLineChars="600"/>
        <w:rPr>
          <w:b/>
          <w:color w:val="FF0000"/>
          <w:sz w:val="24"/>
          <w:highlight w:val="none"/>
        </w:rPr>
      </w:pPr>
      <w:r>
        <w:rPr>
          <w:rFonts w:hint="eastAsia"/>
          <w:b/>
          <w:color w:val="FF0000"/>
          <w:sz w:val="24"/>
          <w:highlight w:val="none"/>
        </w:rPr>
        <w:t>（信息公开部分的内容到此为止！以下为信息不公开部分。）</w:t>
      </w:r>
    </w:p>
    <w:p>
      <w:pPr>
        <w:jc w:val="center"/>
        <w:rPr>
          <w:b/>
          <w:sz w:val="32"/>
          <w:szCs w:val="32"/>
          <w:highlight w:val="none"/>
        </w:rPr>
      </w:pPr>
    </w:p>
    <w:p>
      <w:pPr>
        <w:outlineLvl w:val="1"/>
        <w:rPr>
          <w:rFonts w:ascii="宋体" w:hAnsi="宋体"/>
          <w:b/>
          <w:color w:val="FF0000"/>
          <w:sz w:val="28"/>
          <w:szCs w:val="28"/>
          <w:highlight w:val="none"/>
        </w:rPr>
      </w:pPr>
      <w:r>
        <w:rPr>
          <w:rFonts w:hint="eastAsia" w:ascii="宋体" w:hAnsi="宋体"/>
          <w:b/>
          <w:color w:val="FF0000"/>
          <w:sz w:val="28"/>
          <w:szCs w:val="28"/>
          <w:highlight w:val="none"/>
        </w:rPr>
        <w:t>投标文件附件（信息不公开部分）</w:t>
      </w:r>
    </w:p>
    <w:p>
      <w:pPr>
        <w:pStyle w:val="5"/>
        <w:jc w:val="center"/>
        <w:rPr>
          <w:rFonts w:ascii="黑体" w:eastAsia="黑体"/>
          <w:b w:val="0"/>
          <w:sz w:val="24"/>
          <w:highlight w:val="none"/>
        </w:rPr>
      </w:pPr>
      <w:r>
        <w:rPr>
          <w:rFonts w:hint="eastAsia" w:ascii="黑体" w:eastAsia="黑体"/>
          <w:b w:val="0"/>
          <w:sz w:val="24"/>
          <w:highlight w:val="none"/>
        </w:rPr>
        <w:t>一、</w:t>
      </w:r>
      <w:bookmarkStart w:id="42" w:name="_Hlk72092499"/>
      <w:r>
        <w:rPr>
          <w:rFonts w:hint="eastAsia" w:ascii="黑体" w:eastAsia="黑体"/>
          <w:b w:val="0"/>
          <w:sz w:val="24"/>
          <w:highlight w:val="none"/>
        </w:rPr>
        <w:t>法定代表人（负责人）证明书</w:t>
      </w:r>
      <w:bookmarkEnd w:id="42"/>
    </w:p>
    <w:p>
      <w:pPr>
        <w:rPr>
          <w:sz w:val="24"/>
          <w:highlight w:val="none"/>
        </w:rPr>
      </w:pPr>
    </w:p>
    <w:p>
      <w:pPr>
        <w:spacing w:line="360" w:lineRule="auto"/>
        <w:ind w:firstLine="420" w:firstLineChars="200"/>
        <w:rPr>
          <w:rFonts w:hint="default" w:eastAsia="宋体"/>
          <w:szCs w:val="21"/>
          <w:highlight w:val="none"/>
          <w:lang w:val="en-US" w:eastAsia="zh-CN"/>
        </w:rPr>
      </w:pPr>
      <w:r>
        <w:rPr>
          <w:rFonts w:hint="eastAsia"/>
          <w:szCs w:val="21"/>
          <w:highlight w:val="none"/>
          <w:u w:val="single"/>
        </w:rPr>
        <w:t xml:space="preserve">         </w:t>
      </w:r>
      <w:r>
        <w:rPr>
          <w:rFonts w:hint="eastAsia" w:ascii="Times New Roman" w:eastAsia="宋体"/>
          <w:szCs w:val="21"/>
          <w:highlight w:val="none"/>
          <w:u w:val="single"/>
          <w:lang w:val="en-US" w:eastAsia="zh-CN"/>
        </w:rPr>
        <w:t xml:space="preserve">  </w:t>
      </w:r>
      <w:r>
        <w:rPr>
          <w:rFonts w:hint="eastAsia"/>
          <w:szCs w:val="21"/>
          <w:highlight w:val="none"/>
          <w:u w:val="single"/>
        </w:rPr>
        <w:t xml:space="preserve">   </w:t>
      </w:r>
      <w:r>
        <w:rPr>
          <w:rFonts w:hint="eastAsia" w:ascii="Times New Roman" w:eastAsia="宋体"/>
          <w:szCs w:val="21"/>
          <w:highlight w:val="none"/>
          <w:u w:val="single"/>
          <w:lang w:val="en-US" w:eastAsia="zh-CN"/>
        </w:rPr>
        <w:t xml:space="preserve">   </w:t>
      </w:r>
      <w:r>
        <w:rPr>
          <w:rFonts w:hint="eastAsia" w:eastAsia="宋体"/>
          <w:szCs w:val="21"/>
          <w:highlight w:val="none"/>
          <w:u w:val="none"/>
          <w:lang w:eastAsia="zh-CN"/>
        </w:rPr>
        <w:t>（</w:t>
      </w:r>
      <w:r>
        <w:rPr>
          <w:rFonts w:hint="eastAsia" w:ascii="Times New Roman" w:eastAsia="宋体"/>
          <w:szCs w:val="21"/>
          <w:highlight w:val="none"/>
          <w:u w:val="none"/>
          <w:lang w:val="en-US" w:eastAsia="zh-CN"/>
        </w:rPr>
        <w:t>姓名</w:t>
      </w:r>
      <w:r>
        <w:rPr>
          <w:rFonts w:hint="eastAsia" w:eastAsia="宋体"/>
          <w:szCs w:val="21"/>
          <w:highlight w:val="none"/>
          <w:u w:val="none"/>
          <w:lang w:eastAsia="zh-CN"/>
        </w:rPr>
        <w:t>）</w:t>
      </w:r>
      <w:r>
        <w:rPr>
          <w:rFonts w:hint="eastAsia"/>
          <w:szCs w:val="21"/>
          <w:highlight w:val="none"/>
        </w:rPr>
        <w:t>，现任我单位</w:t>
      </w:r>
      <w:r>
        <w:rPr>
          <w:rFonts w:hint="eastAsia"/>
          <w:szCs w:val="21"/>
          <w:highlight w:val="none"/>
          <w:u w:val="single"/>
        </w:rPr>
        <w:t xml:space="preserve">     </w:t>
      </w:r>
      <w:r>
        <w:rPr>
          <w:rFonts w:hint="eastAsia" w:ascii="Times New Roman" w:eastAsia="宋体"/>
          <w:szCs w:val="21"/>
          <w:highlight w:val="none"/>
          <w:u w:val="single"/>
          <w:lang w:val="en-US" w:eastAsia="zh-CN"/>
        </w:rPr>
        <w:t xml:space="preserve">    </w:t>
      </w:r>
      <w:r>
        <w:rPr>
          <w:rFonts w:hint="eastAsia"/>
          <w:szCs w:val="21"/>
          <w:highlight w:val="none"/>
          <w:u w:val="single"/>
        </w:rPr>
        <w:t xml:space="preserve">    </w:t>
      </w:r>
      <w:r>
        <w:rPr>
          <w:rFonts w:hint="eastAsia"/>
          <w:szCs w:val="21"/>
          <w:highlight w:val="none"/>
        </w:rPr>
        <w:t>职务，为法定代表人（负责人），</w:t>
      </w:r>
      <w:r>
        <w:rPr>
          <w:rFonts w:hint="eastAsia" w:ascii="Times New Roman" w:eastAsia="宋体"/>
          <w:szCs w:val="21"/>
          <w:highlight w:val="none"/>
          <w:lang w:val="en-US" w:eastAsia="zh-CN"/>
        </w:rPr>
        <w:t>身份证件</w:t>
      </w:r>
      <w:r>
        <w:rPr>
          <w:rFonts w:hint="eastAsia"/>
          <w:szCs w:val="21"/>
          <w:highlight w:val="none"/>
        </w:rPr>
        <w:t>号</w:t>
      </w:r>
      <w:r>
        <w:rPr>
          <w:rFonts w:hint="eastAsia" w:ascii="Times New Roman" w:eastAsia="宋体"/>
          <w:szCs w:val="21"/>
          <w:highlight w:val="none"/>
          <w:lang w:val="en-US" w:eastAsia="zh-CN"/>
        </w:rPr>
        <w:t>为</w:t>
      </w:r>
      <w:r>
        <w:rPr>
          <w:rFonts w:hint="eastAsia"/>
          <w:szCs w:val="21"/>
          <w:highlight w:val="none"/>
        </w:rPr>
        <w:t>：</w:t>
      </w:r>
      <w:r>
        <w:rPr>
          <w:rFonts w:hint="eastAsia"/>
          <w:szCs w:val="21"/>
          <w:highlight w:val="none"/>
          <w:u w:val="single"/>
        </w:rPr>
        <w:t xml:space="preserve">                                     </w:t>
      </w:r>
      <w:r>
        <w:rPr>
          <w:rFonts w:hint="eastAsia" w:eastAsia="宋体"/>
          <w:szCs w:val="21"/>
          <w:highlight w:val="none"/>
          <w:u w:val="none"/>
          <w:lang w:eastAsia="zh-CN"/>
        </w:rPr>
        <w:t>，</w:t>
      </w:r>
      <w:r>
        <w:rPr>
          <w:rFonts w:hint="eastAsia"/>
          <w:szCs w:val="21"/>
          <w:highlight w:val="none"/>
        </w:rPr>
        <w:t>联系电话：</w:t>
      </w:r>
      <w:r>
        <w:rPr>
          <w:rFonts w:hint="eastAsia" w:ascii="Times New Roman" w:eastAsia="宋体"/>
          <w:szCs w:val="21"/>
          <w:highlight w:val="none"/>
          <w:u w:val="single"/>
          <w:lang w:val="en-US" w:eastAsia="zh-CN"/>
        </w:rPr>
        <w:t xml:space="preserve">                </w:t>
      </w:r>
      <w:r>
        <w:rPr>
          <w:rFonts w:hint="eastAsia" w:ascii="Times New Roman" w:eastAsia="宋体"/>
          <w:szCs w:val="21"/>
          <w:highlight w:val="none"/>
          <w:lang w:val="en-US" w:eastAsia="zh-CN"/>
        </w:rPr>
        <w:t>。</w:t>
      </w:r>
    </w:p>
    <w:p>
      <w:pPr>
        <w:spacing w:line="360" w:lineRule="auto"/>
        <w:ind w:firstLine="420" w:firstLineChars="200"/>
        <w:rPr>
          <w:szCs w:val="21"/>
          <w:highlight w:val="none"/>
        </w:rPr>
      </w:pPr>
      <w:r>
        <w:rPr>
          <w:rFonts w:hint="eastAsia"/>
          <w:szCs w:val="21"/>
          <w:highlight w:val="none"/>
        </w:rPr>
        <w:t>特此证明。</w:t>
      </w:r>
    </w:p>
    <w:p>
      <w:pPr>
        <w:spacing w:line="360" w:lineRule="auto"/>
        <w:ind w:firstLine="420" w:firstLineChars="200"/>
        <w:rPr>
          <w:rFonts w:hint="eastAsia"/>
          <w:szCs w:val="21"/>
          <w:highlight w:val="none"/>
        </w:rPr>
      </w:pPr>
      <w:r>
        <w:rPr>
          <w:rFonts w:hint="eastAsia"/>
          <w:szCs w:val="21"/>
          <w:highlight w:val="none"/>
        </w:rPr>
        <w:t>说明：1、法定代表人为投标人（企业事业单位、国家机关、社会团体）的主要行政负责人。</w:t>
      </w:r>
    </w:p>
    <w:p>
      <w:pPr>
        <w:numPr>
          <w:ilvl w:val="0"/>
          <w:numId w:val="13"/>
        </w:numPr>
        <w:spacing w:line="360" w:lineRule="auto"/>
        <w:ind w:firstLine="420" w:firstLineChars="200"/>
        <w:rPr>
          <w:rFonts w:hint="eastAsia"/>
          <w:color w:val="auto"/>
          <w:szCs w:val="21"/>
          <w:highlight w:val="none"/>
          <w:lang w:val="en-US" w:eastAsia="zh-CN"/>
        </w:rPr>
      </w:pPr>
      <w:r>
        <w:rPr>
          <w:rFonts w:hint="eastAsia" w:eastAsia="宋体"/>
          <w:color w:val="auto"/>
          <w:szCs w:val="21"/>
          <w:highlight w:val="none"/>
          <w:lang w:eastAsia="zh-Hans"/>
        </w:rPr>
        <w:t>本证明书要供法定代表人（负责人）</w:t>
      </w:r>
      <w:r>
        <w:rPr>
          <w:rFonts w:hint="eastAsia" w:ascii="Times New Roman" w:eastAsia="宋体"/>
          <w:color w:val="auto"/>
          <w:szCs w:val="21"/>
          <w:highlight w:val="none"/>
          <w:lang w:val="en-US" w:eastAsia="zh-CN"/>
        </w:rPr>
        <w:t>相关身份证明文件：身份证扫描件（正反两面）；港澳台居民可提供来往通行证扫描件；非中国国籍管辖范围人员，可提供公安部门认可的身份证明材料扫描件。</w:t>
      </w:r>
    </w:p>
    <w:p>
      <w:pPr>
        <w:numPr>
          <w:ilvl w:val="0"/>
          <w:numId w:val="13"/>
        </w:numPr>
        <w:spacing w:line="360" w:lineRule="auto"/>
        <w:ind w:firstLine="420" w:firstLineChars="200"/>
        <w:rPr>
          <w:szCs w:val="21"/>
          <w:highlight w:val="none"/>
        </w:rPr>
      </w:pPr>
      <w:r>
        <w:rPr>
          <w:rFonts w:hint="eastAsia" w:eastAsia="宋体"/>
          <w:color w:val="auto"/>
          <w:szCs w:val="21"/>
          <w:highlight w:val="none"/>
          <w:lang w:eastAsia="zh-Hans"/>
        </w:rPr>
        <w:t>本项目投标授权代表为法定代表人（负责人）的，无需提供</w:t>
      </w:r>
      <w:r>
        <w:rPr>
          <w:rFonts w:hint="eastAsia"/>
          <w:color w:val="auto"/>
          <w:szCs w:val="21"/>
          <w:highlight w:val="none"/>
        </w:rPr>
        <w:t>《投标文件签署授权委托书》</w:t>
      </w:r>
      <w:r>
        <w:rPr>
          <w:rFonts w:hint="eastAsia" w:eastAsia="宋体"/>
          <w:color w:val="auto"/>
          <w:szCs w:val="21"/>
          <w:highlight w:val="none"/>
          <w:lang w:eastAsia="zh-Hans"/>
        </w:rPr>
        <w:t>。</w:t>
      </w:r>
    </w:p>
    <w:p>
      <w:pPr>
        <w:numPr>
          <w:ilvl w:val="0"/>
          <w:numId w:val="13"/>
        </w:numPr>
        <w:spacing w:line="360" w:lineRule="auto"/>
        <w:ind w:firstLine="420" w:firstLineChars="200"/>
        <w:rPr>
          <w:szCs w:val="21"/>
          <w:highlight w:val="none"/>
        </w:rPr>
      </w:pPr>
      <w:r>
        <w:rPr>
          <w:rFonts w:hint="eastAsia"/>
          <w:szCs w:val="21"/>
          <w:highlight w:val="none"/>
        </w:rPr>
        <w:t>内容必须填写真实、清楚，涂改无效，不得转让、买卖。</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pPr>
              <w:jc w:val="center"/>
              <w:rPr>
                <w:rFonts w:hint="eastAsia"/>
                <w:highlight w:val="none"/>
                <w:lang w:val="en-US" w:eastAsia="zh-CN"/>
              </w:rPr>
            </w:pPr>
            <w:r>
              <w:rPr>
                <w:rFonts w:hint="eastAsia" w:ascii="Times New Roman" w:eastAsia="宋体"/>
                <w:highlight w:val="none"/>
                <w:lang w:val="en-US" w:eastAsia="zh-CN"/>
              </w:rPr>
              <w:t>证件扫描件正面</w:t>
            </w:r>
          </w:p>
          <w:p>
            <w:pPr>
              <w:pStyle w:val="2"/>
              <w:jc w:val="center"/>
              <w:rPr>
                <w:rFonts w:hint="eastAsia"/>
                <w:highlight w:val="none"/>
                <w:lang w:val="en-US" w:eastAsia="zh-CN"/>
              </w:rPr>
            </w:pPr>
          </w:p>
          <w:p>
            <w:pPr>
              <w:pStyle w:val="3"/>
              <w:jc w:val="center"/>
              <w:rPr>
                <w:rFonts w:hint="default"/>
                <w:highlight w:val="none"/>
                <w:lang w:val="en-US" w:eastAsia="zh-CN"/>
              </w:rPr>
            </w:pPr>
          </w:p>
        </w:tc>
        <w:tc>
          <w:tcPr>
            <w:tcW w:w="4265" w:type="dxa"/>
            <w:vAlign w:val="top"/>
          </w:tcPr>
          <w:p>
            <w:pPr>
              <w:jc w:val="center"/>
              <w:rPr>
                <w:rFonts w:hint="eastAsia"/>
                <w:highlight w:val="none"/>
                <w:lang w:val="en-US" w:eastAsia="zh-CN"/>
              </w:rPr>
            </w:pPr>
            <w:r>
              <w:rPr>
                <w:rFonts w:hint="eastAsia" w:ascii="Times New Roman" w:eastAsia="宋体"/>
                <w:highlight w:val="none"/>
                <w:lang w:val="en-US" w:eastAsia="zh-CN"/>
              </w:rPr>
              <w:t>证件扫描件反面</w:t>
            </w:r>
          </w:p>
          <w:p>
            <w:pPr>
              <w:pStyle w:val="2"/>
              <w:jc w:val="center"/>
              <w:rPr>
                <w:rFonts w:hint="eastAsia"/>
                <w:highlight w:val="none"/>
                <w:lang w:val="en-US" w:eastAsia="zh-CN"/>
              </w:rPr>
            </w:pPr>
          </w:p>
          <w:p>
            <w:pPr>
              <w:pStyle w:val="3"/>
              <w:jc w:val="center"/>
              <w:rPr>
                <w:rFonts w:hint="eastAsia"/>
                <w:sz w:val="24"/>
                <w:highlight w:val="none"/>
                <w:vertAlign w:val="baseline"/>
                <w:lang w:val="en-US" w:eastAsia="zh-CN"/>
              </w:rPr>
            </w:pPr>
          </w:p>
        </w:tc>
      </w:tr>
    </w:tbl>
    <w:p>
      <w:pPr>
        <w:rPr>
          <w:sz w:val="24"/>
          <w:highlight w:val="none"/>
        </w:rPr>
      </w:pPr>
    </w:p>
    <w:p>
      <w:pPr>
        <w:pStyle w:val="5"/>
        <w:spacing w:before="120" w:after="120"/>
        <w:jc w:val="center"/>
        <w:rPr>
          <w:rFonts w:ascii="黑体" w:eastAsia="黑体"/>
          <w:b w:val="0"/>
          <w:sz w:val="24"/>
          <w:highlight w:val="none"/>
        </w:rPr>
      </w:pPr>
      <w:r>
        <w:rPr>
          <w:rFonts w:hint="eastAsia" w:ascii="黑体" w:eastAsia="黑体"/>
          <w:b w:val="0"/>
          <w:sz w:val="24"/>
          <w:highlight w:val="none"/>
        </w:rPr>
        <w:t>二、投标文件签署授权委托书</w:t>
      </w:r>
    </w:p>
    <w:p>
      <w:pPr>
        <w:spacing w:line="360" w:lineRule="auto"/>
        <w:ind w:firstLine="420" w:firstLineChars="200"/>
        <w:rPr>
          <w:rFonts w:hint="eastAsia"/>
          <w:szCs w:val="21"/>
          <w:highlight w:val="none"/>
        </w:rPr>
      </w:pPr>
      <w:r>
        <w:rPr>
          <w:rFonts w:hint="eastAsia"/>
          <w:szCs w:val="21"/>
          <w:highlight w:val="none"/>
        </w:rPr>
        <w:t>本授权委托书声明：我</w:t>
      </w:r>
      <w:r>
        <w:rPr>
          <w:rFonts w:hint="eastAsia"/>
          <w:szCs w:val="21"/>
          <w:highlight w:val="none"/>
          <w:u w:val="single"/>
        </w:rPr>
        <w:t xml:space="preserve">           </w:t>
      </w:r>
      <w:r>
        <w:rPr>
          <w:rFonts w:hint="eastAsia"/>
          <w:szCs w:val="21"/>
          <w:highlight w:val="none"/>
        </w:rPr>
        <w:t>（姓名）系</w:t>
      </w:r>
      <w:r>
        <w:rPr>
          <w:rFonts w:hint="eastAsia"/>
          <w:szCs w:val="21"/>
          <w:highlight w:val="none"/>
          <w:u w:val="single"/>
        </w:rPr>
        <w:t xml:space="preserve">             </w:t>
      </w:r>
      <w:r>
        <w:rPr>
          <w:rFonts w:hint="eastAsia"/>
          <w:szCs w:val="21"/>
          <w:highlight w:val="none"/>
        </w:rPr>
        <w:t>（投标人名称）的法定代表人（负责人），现授权委托</w:t>
      </w:r>
      <w:r>
        <w:rPr>
          <w:rFonts w:hint="eastAsia"/>
          <w:szCs w:val="21"/>
          <w:highlight w:val="none"/>
          <w:u w:val="single"/>
        </w:rPr>
        <w:t xml:space="preserve">            </w:t>
      </w:r>
      <w:r>
        <w:rPr>
          <w:rFonts w:hint="eastAsia"/>
          <w:szCs w:val="21"/>
          <w:highlight w:val="none"/>
        </w:rPr>
        <w:t>（姓名）为我单位签署本项目已递交的投标文件的法定代表人（负责人）的授权委托代理人，代理人全权代表我所签署的本项目已递交的投标文件内容我均承认。</w:t>
      </w:r>
    </w:p>
    <w:p>
      <w:pPr>
        <w:spacing w:line="360" w:lineRule="auto"/>
        <w:ind w:firstLine="420" w:firstLineChars="200"/>
        <w:rPr>
          <w:rFonts w:hint="eastAsia"/>
          <w:szCs w:val="21"/>
          <w:highlight w:val="none"/>
        </w:rPr>
      </w:pPr>
      <w:r>
        <w:rPr>
          <w:rFonts w:hint="eastAsia"/>
          <w:szCs w:val="21"/>
          <w:highlight w:val="none"/>
        </w:rPr>
        <w:t>代理人无转委托权，特此委托。</w:t>
      </w:r>
    </w:p>
    <w:p>
      <w:pPr>
        <w:spacing w:line="360" w:lineRule="auto"/>
        <w:ind w:firstLine="420" w:firstLineChars="200"/>
        <w:rPr>
          <w:rFonts w:hint="eastAsia"/>
          <w:szCs w:val="21"/>
          <w:highlight w:val="none"/>
        </w:rPr>
      </w:pPr>
    </w:p>
    <w:p>
      <w:pPr>
        <w:spacing w:line="360" w:lineRule="auto"/>
        <w:ind w:firstLine="420" w:firstLineChars="200"/>
        <w:rPr>
          <w:rFonts w:hint="eastAsia"/>
          <w:szCs w:val="21"/>
          <w:highlight w:val="none"/>
          <w:u w:val="none"/>
          <w:lang w:eastAsia="zh-CN"/>
        </w:rPr>
      </w:pPr>
      <w:r>
        <w:rPr>
          <w:rFonts w:hint="eastAsia"/>
          <w:szCs w:val="21"/>
          <w:highlight w:val="none"/>
        </w:rPr>
        <w:t>代理人</w:t>
      </w:r>
      <w:r>
        <w:rPr>
          <w:rFonts w:hint="eastAsia" w:eastAsia="宋体"/>
          <w:szCs w:val="21"/>
          <w:highlight w:val="none"/>
          <w:lang w:eastAsia="zh-CN"/>
        </w:rPr>
        <w:t>：</w:t>
      </w:r>
      <w:r>
        <w:rPr>
          <w:rFonts w:hint="eastAsia"/>
          <w:szCs w:val="21"/>
          <w:highlight w:val="none"/>
          <w:u w:val="single"/>
        </w:rPr>
        <w:t xml:space="preserve">      </w:t>
      </w:r>
      <w:r>
        <w:rPr>
          <w:rFonts w:hint="eastAsia" w:ascii="Times New Roman" w:eastAsia="宋体"/>
          <w:szCs w:val="21"/>
          <w:highlight w:val="none"/>
          <w:u w:val="single"/>
          <w:lang w:val="en-US" w:eastAsia="zh-CN"/>
        </w:rPr>
        <w:t xml:space="preserve">  </w:t>
      </w:r>
      <w:r>
        <w:rPr>
          <w:rFonts w:hint="eastAsia"/>
          <w:szCs w:val="21"/>
          <w:highlight w:val="none"/>
          <w:u w:val="single"/>
        </w:rPr>
        <w:t xml:space="preserve">      </w:t>
      </w:r>
      <w:r>
        <w:rPr>
          <w:rFonts w:hint="eastAsia" w:eastAsia="宋体"/>
          <w:szCs w:val="21"/>
          <w:highlight w:val="none"/>
          <w:u w:val="none"/>
          <w:lang w:eastAsia="zh-CN"/>
        </w:rPr>
        <w:t>；</w:t>
      </w:r>
    </w:p>
    <w:p>
      <w:pPr>
        <w:spacing w:line="360" w:lineRule="auto"/>
        <w:ind w:firstLine="420" w:firstLineChars="200"/>
        <w:rPr>
          <w:rFonts w:hint="eastAsia"/>
          <w:szCs w:val="21"/>
          <w:highlight w:val="none"/>
          <w:u w:val="none"/>
          <w:lang w:eastAsia="zh-CN"/>
        </w:rPr>
      </w:pPr>
      <w:r>
        <w:rPr>
          <w:rFonts w:hint="eastAsia"/>
          <w:szCs w:val="21"/>
          <w:highlight w:val="none"/>
        </w:rPr>
        <w:t>身份</w:t>
      </w:r>
      <w:r>
        <w:rPr>
          <w:rFonts w:hint="eastAsia" w:ascii="Times New Roman" w:eastAsia="宋体"/>
          <w:szCs w:val="21"/>
          <w:highlight w:val="none"/>
          <w:lang w:val="en-US" w:eastAsia="zh-CN"/>
        </w:rPr>
        <w:t>证件号</w:t>
      </w:r>
      <w:r>
        <w:rPr>
          <w:rFonts w:hint="eastAsia"/>
          <w:szCs w:val="21"/>
          <w:highlight w:val="none"/>
        </w:rPr>
        <w:t>：</w:t>
      </w:r>
      <w:r>
        <w:rPr>
          <w:rFonts w:hint="eastAsia"/>
          <w:szCs w:val="21"/>
          <w:highlight w:val="none"/>
          <w:u w:val="single"/>
        </w:rPr>
        <w:t xml:space="preserve">                        </w:t>
      </w:r>
      <w:r>
        <w:rPr>
          <w:rFonts w:hint="eastAsia" w:eastAsia="宋体"/>
          <w:szCs w:val="21"/>
          <w:highlight w:val="none"/>
          <w:u w:val="none"/>
          <w:lang w:eastAsia="zh-CN"/>
        </w:rPr>
        <w:t>，</w:t>
      </w:r>
      <w:r>
        <w:rPr>
          <w:rFonts w:hint="eastAsia"/>
          <w:szCs w:val="21"/>
          <w:highlight w:val="none"/>
        </w:rPr>
        <w:t>职务：</w:t>
      </w:r>
      <w:r>
        <w:rPr>
          <w:rFonts w:hint="eastAsia"/>
          <w:szCs w:val="21"/>
          <w:highlight w:val="none"/>
          <w:u w:val="single"/>
        </w:rPr>
        <w:t xml:space="preserve">   </w:t>
      </w:r>
      <w:r>
        <w:rPr>
          <w:rFonts w:hint="eastAsia" w:ascii="Times New Roman" w:eastAsia="宋体"/>
          <w:szCs w:val="21"/>
          <w:highlight w:val="none"/>
          <w:u w:val="single"/>
          <w:lang w:val="en-US" w:eastAsia="zh-CN"/>
        </w:rPr>
        <w:t xml:space="preserve">         </w:t>
      </w:r>
      <w:r>
        <w:rPr>
          <w:rFonts w:hint="eastAsia"/>
          <w:szCs w:val="21"/>
          <w:highlight w:val="none"/>
          <w:u w:val="single"/>
        </w:rPr>
        <w:t xml:space="preserve">    </w:t>
      </w:r>
      <w:r>
        <w:rPr>
          <w:rFonts w:hint="eastAsia" w:eastAsia="宋体"/>
          <w:szCs w:val="21"/>
          <w:highlight w:val="none"/>
          <w:u w:val="none"/>
          <w:lang w:eastAsia="zh-CN"/>
        </w:rPr>
        <w:t>；</w:t>
      </w:r>
    </w:p>
    <w:p>
      <w:pPr>
        <w:spacing w:line="360" w:lineRule="auto"/>
        <w:ind w:firstLine="420" w:firstLineChars="200"/>
        <w:rPr>
          <w:rFonts w:hint="default"/>
          <w:szCs w:val="21"/>
          <w:highlight w:val="none"/>
          <w:u w:val="none"/>
          <w:lang w:val="en-US" w:eastAsia="zh-CN"/>
        </w:rPr>
      </w:pPr>
      <w:r>
        <w:rPr>
          <w:rFonts w:hint="eastAsia"/>
          <w:szCs w:val="21"/>
          <w:highlight w:val="none"/>
        </w:rPr>
        <w:t>联系电话：</w:t>
      </w:r>
      <w:r>
        <w:rPr>
          <w:rFonts w:hint="eastAsia"/>
          <w:szCs w:val="21"/>
          <w:highlight w:val="none"/>
          <w:u w:val="single"/>
        </w:rPr>
        <w:t xml:space="preserve">         </w:t>
      </w:r>
      <w:r>
        <w:rPr>
          <w:rFonts w:hint="eastAsia" w:eastAsia="宋体"/>
          <w:szCs w:val="21"/>
          <w:highlight w:val="none"/>
          <w:lang w:eastAsia="zh-CN"/>
        </w:rPr>
        <w:t>，</w:t>
      </w:r>
      <w:r>
        <w:rPr>
          <w:rFonts w:hint="eastAsia"/>
          <w:szCs w:val="21"/>
          <w:highlight w:val="none"/>
        </w:rPr>
        <w:t>手机：</w:t>
      </w:r>
      <w:r>
        <w:rPr>
          <w:rFonts w:hint="eastAsia"/>
          <w:szCs w:val="21"/>
          <w:highlight w:val="none"/>
          <w:u w:val="single"/>
        </w:rPr>
        <w:t xml:space="preserve">                </w:t>
      </w:r>
      <w:r>
        <w:rPr>
          <w:rFonts w:hint="eastAsia" w:eastAsia="宋体"/>
          <w:szCs w:val="21"/>
          <w:highlight w:val="none"/>
          <w:u w:val="none"/>
          <w:lang w:eastAsia="zh-CN"/>
        </w:rPr>
        <w:t>，</w:t>
      </w:r>
      <w:r>
        <w:rPr>
          <w:rFonts w:hint="eastAsia" w:ascii="Times New Roman" w:eastAsia="宋体"/>
          <w:szCs w:val="21"/>
          <w:highlight w:val="none"/>
          <w:u w:val="none"/>
          <w:lang w:val="en-US" w:eastAsia="zh-CN"/>
        </w:rPr>
        <w:t>电子邮箱：</w:t>
      </w:r>
      <w:r>
        <w:rPr>
          <w:rFonts w:hint="eastAsia"/>
          <w:szCs w:val="21"/>
          <w:highlight w:val="none"/>
          <w:u w:val="single"/>
        </w:rPr>
        <w:t xml:space="preserve">            </w:t>
      </w:r>
      <w:r>
        <w:rPr>
          <w:rFonts w:hint="eastAsia" w:ascii="Times New Roman" w:eastAsia="宋体"/>
          <w:szCs w:val="21"/>
          <w:highlight w:val="none"/>
          <w:u w:val="single"/>
          <w:lang w:val="en-US" w:eastAsia="zh-CN"/>
        </w:rPr>
        <w:t xml:space="preserve">  </w:t>
      </w:r>
      <w:r>
        <w:rPr>
          <w:rFonts w:hint="eastAsia"/>
          <w:szCs w:val="21"/>
          <w:highlight w:val="none"/>
          <w:u w:val="single"/>
        </w:rPr>
        <w:t xml:space="preserve">       </w:t>
      </w:r>
      <w:r>
        <w:rPr>
          <w:rFonts w:hint="eastAsia" w:eastAsia="宋体"/>
          <w:szCs w:val="21"/>
          <w:highlight w:val="none"/>
          <w:u w:val="none"/>
          <w:lang w:eastAsia="zh-CN"/>
        </w:rPr>
        <w:t>；</w:t>
      </w:r>
    </w:p>
    <w:p>
      <w:pPr>
        <w:spacing w:line="360" w:lineRule="auto"/>
        <w:ind w:firstLine="420" w:firstLineChars="200"/>
        <w:rPr>
          <w:rFonts w:hint="eastAsia" w:eastAsia="宋体"/>
          <w:szCs w:val="21"/>
          <w:highlight w:val="none"/>
          <w:lang w:eastAsia="zh-CN"/>
        </w:rPr>
      </w:pPr>
      <w:r>
        <w:rPr>
          <w:rFonts w:hint="eastAsia"/>
          <w:szCs w:val="21"/>
          <w:highlight w:val="none"/>
        </w:rPr>
        <w:t>授权委托日期：</w:t>
      </w:r>
      <w:r>
        <w:rPr>
          <w:rFonts w:hint="eastAsia"/>
          <w:szCs w:val="21"/>
          <w:highlight w:val="none"/>
          <w:u w:val="single"/>
        </w:rPr>
        <w:t xml:space="preserve">         </w:t>
      </w:r>
      <w:r>
        <w:rPr>
          <w:rFonts w:hint="eastAsia"/>
          <w:szCs w:val="21"/>
          <w:highlight w:val="none"/>
        </w:rPr>
        <w:t>年</w:t>
      </w:r>
      <w:r>
        <w:rPr>
          <w:rFonts w:hint="eastAsia"/>
          <w:szCs w:val="21"/>
          <w:highlight w:val="none"/>
          <w:u w:val="single"/>
        </w:rPr>
        <w:t xml:space="preserve">     </w:t>
      </w:r>
      <w:r>
        <w:rPr>
          <w:rFonts w:hint="eastAsia"/>
          <w:szCs w:val="21"/>
          <w:highlight w:val="none"/>
        </w:rPr>
        <w:t xml:space="preserve">月 </w:t>
      </w:r>
      <w:r>
        <w:rPr>
          <w:rFonts w:hint="eastAsia"/>
          <w:szCs w:val="21"/>
          <w:highlight w:val="none"/>
          <w:u w:val="single"/>
        </w:rPr>
        <w:t xml:space="preserve">      </w:t>
      </w:r>
      <w:r>
        <w:rPr>
          <w:rFonts w:hint="eastAsia"/>
          <w:szCs w:val="21"/>
          <w:highlight w:val="none"/>
        </w:rPr>
        <w:t>日</w:t>
      </w:r>
      <w:r>
        <w:rPr>
          <w:rFonts w:hint="eastAsia" w:eastAsia="宋体"/>
          <w:szCs w:val="21"/>
          <w:highlight w:val="none"/>
          <w:lang w:eastAsia="zh-CN"/>
        </w:rPr>
        <w:t>。</w:t>
      </w:r>
    </w:p>
    <w:p>
      <w:pPr>
        <w:spacing w:line="360" w:lineRule="auto"/>
        <w:ind w:firstLine="422" w:firstLineChars="200"/>
        <w:rPr>
          <w:b/>
          <w:color w:val="FF0000"/>
          <w:szCs w:val="21"/>
          <w:highlight w:val="none"/>
        </w:rPr>
      </w:pPr>
      <w:r>
        <w:rPr>
          <w:rFonts w:hint="eastAsia"/>
          <w:b/>
          <w:color w:val="FF0000"/>
          <w:szCs w:val="21"/>
          <w:highlight w:val="none"/>
        </w:rPr>
        <w:t>附：请提供代理人身份证扫描件（正反两面）；港澳台居民可提供来往通行证扫描件；非中国国籍管辖范围人员，可提供公安部门认可的身份证明材料扫描件。</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pPr>
              <w:jc w:val="center"/>
              <w:rPr>
                <w:rFonts w:hint="eastAsia"/>
                <w:highlight w:val="none"/>
                <w:lang w:val="en-US" w:eastAsia="zh-CN"/>
              </w:rPr>
            </w:pPr>
            <w:r>
              <w:rPr>
                <w:rFonts w:hint="eastAsia" w:ascii="Times New Roman" w:eastAsia="宋体"/>
                <w:highlight w:val="none"/>
                <w:lang w:val="en-US" w:eastAsia="zh-CN"/>
              </w:rPr>
              <w:t>证件扫描件正面</w:t>
            </w:r>
          </w:p>
          <w:p>
            <w:pPr>
              <w:pStyle w:val="2"/>
              <w:jc w:val="center"/>
              <w:rPr>
                <w:rFonts w:hint="eastAsia"/>
                <w:highlight w:val="none"/>
                <w:lang w:val="en-US" w:eastAsia="zh-CN"/>
              </w:rPr>
            </w:pPr>
          </w:p>
          <w:p>
            <w:pPr>
              <w:pStyle w:val="3"/>
              <w:jc w:val="center"/>
              <w:rPr>
                <w:rFonts w:hint="default"/>
                <w:highlight w:val="none"/>
                <w:lang w:val="en-US" w:eastAsia="zh-CN"/>
              </w:rPr>
            </w:pPr>
          </w:p>
        </w:tc>
        <w:tc>
          <w:tcPr>
            <w:tcW w:w="4265" w:type="dxa"/>
            <w:vAlign w:val="top"/>
          </w:tcPr>
          <w:p>
            <w:pPr>
              <w:jc w:val="center"/>
              <w:rPr>
                <w:rFonts w:hint="eastAsia"/>
                <w:highlight w:val="none"/>
                <w:lang w:val="en-US" w:eastAsia="zh-CN"/>
              </w:rPr>
            </w:pPr>
            <w:r>
              <w:rPr>
                <w:rFonts w:hint="eastAsia" w:ascii="Times New Roman" w:eastAsia="宋体"/>
                <w:highlight w:val="none"/>
                <w:lang w:val="en-US" w:eastAsia="zh-CN"/>
              </w:rPr>
              <w:t>证件扫描件反面</w:t>
            </w:r>
          </w:p>
          <w:p>
            <w:pPr>
              <w:pStyle w:val="2"/>
              <w:jc w:val="center"/>
              <w:rPr>
                <w:rFonts w:hint="eastAsia"/>
                <w:highlight w:val="none"/>
                <w:lang w:val="en-US" w:eastAsia="zh-CN"/>
              </w:rPr>
            </w:pPr>
          </w:p>
          <w:p>
            <w:pPr>
              <w:pStyle w:val="3"/>
              <w:jc w:val="center"/>
              <w:rPr>
                <w:rFonts w:hint="eastAsia"/>
                <w:sz w:val="24"/>
                <w:highlight w:val="none"/>
                <w:vertAlign w:val="baseline"/>
                <w:lang w:val="en-US" w:eastAsia="zh-CN"/>
              </w:rPr>
            </w:pPr>
          </w:p>
        </w:tc>
      </w:tr>
    </w:tbl>
    <w:p>
      <w:pPr>
        <w:pStyle w:val="5"/>
        <w:jc w:val="center"/>
        <w:rPr>
          <w:rFonts w:ascii="黑体" w:eastAsia="黑体"/>
          <w:b w:val="0"/>
          <w:kern w:val="0"/>
          <w:sz w:val="24"/>
          <w:szCs w:val="24"/>
          <w:highlight w:val="none"/>
        </w:rPr>
      </w:pPr>
      <w:r>
        <w:rPr>
          <w:rFonts w:hint="eastAsia" w:ascii="黑体" w:eastAsia="黑体"/>
          <w:b w:val="0"/>
          <w:kern w:val="0"/>
          <w:sz w:val="24"/>
          <w:szCs w:val="24"/>
          <w:highlight w:val="none"/>
        </w:rPr>
        <w:t>三、</w:t>
      </w:r>
      <w:bookmarkStart w:id="43" w:name="_Hlk72092634"/>
      <w:r>
        <w:rPr>
          <w:rFonts w:hint="eastAsia" w:ascii="黑体" w:eastAsia="黑体"/>
          <w:b w:val="0"/>
          <w:kern w:val="0"/>
          <w:sz w:val="24"/>
          <w:szCs w:val="24"/>
          <w:highlight w:val="none"/>
        </w:rPr>
        <w:t>实质性条款响应情况表</w:t>
      </w:r>
      <w:bookmarkEnd w:id="43"/>
    </w:p>
    <w:tbl>
      <w:tblPr>
        <w:tblStyle w:val="42"/>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664"/>
        <w:gridCol w:w="1588"/>
        <w:gridCol w:w="184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pPr>
              <w:adjustRightInd w:val="0"/>
              <w:snapToGrid w:val="0"/>
              <w:spacing w:line="360" w:lineRule="auto"/>
              <w:jc w:val="center"/>
              <w:rPr>
                <w:rFonts w:ascii="宋体" w:hAnsi="宋体"/>
                <w:kern w:val="0"/>
                <w:szCs w:val="21"/>
                <w:highlight w:val="none"/>
              </w:rPr>
            </w:pPr>
            <w:bookmarkStart w:id="44" w:name="_Hlk72092651"/>
            <w:r>
              <w:rPr>
                <w:rFonts w:hint="eastAsia" w:ascii="宋体" w:hAnsi="宋体"/>
                <w:kern w:val="0"/>
                <w:szCs w:val="21"/>
                <w:highlight w:val="none"/>
              </w:rPr>
              <w:t>序号</w:t>
            </w:r>
          </w:p>
        </w:tc>
        <w:tc>
          <w:tcPr>
            <w:tcW w:w="2664" w:type="dxa"/>
            <w:vAlign w:val="center"/>
          </w:tcPr>
          <w:p>
            <w:pPr>
              <w:adjustRightInd w:val="0"/>
              <w:snapToGrid w:val="0"/>
              <w:spacing w:line="360" w:lineRule="auto"/>
              <w:jc w:val="center"/>
              <w:rPr>
                <w:rFonts w:ascii="宋体" w:hAnsi="宋体"/>
                <w:kern w:val="0"/>
                <w:szCs w:val="21"/>
                <w:highlight w:val="none"/>
              </w:rPr>
            </w:pPr>
            <w:r>
              <w:rPr>
                <w:rFonts w:hint="eastAsia" w:ascii="宋体" w:hAnsi="宋体"/>
                <w:kern w:val="0"/>
                <w:szCs w:val="21"/>
                <w:highlight w:val="none"/>
              </w:rPr>
              <w:t>实质性条款具体内容</w:t>
            </w:r>
          </w:p>
        </w:tc>
        <w:tc>
          <w:tcPr>
            <w:tcW w:w="1588" w:type="dxa"/>
            <w:vAlign w:val="center"/>
          </w:tcPr>
          <w:p>
            <w:pPr>
              <w:adjustRightInd w:val="0"/>
              <w:snapToGrid w:val="0"/>
              <w:spacing w:line="360" w:lineRule="auto"/>
              <w:jc w:val="center"/>
              <w:rPr>
                <w:rFonts w:ascii="宋体" w:hAnsi="宋体"/>
                <w:kern w:val="0"/>
                <w:szCs w:val="21"/>
                <w:highlight w:val="none"/>
              </w:rPr>
            </w:pPr>
            <w:r>
              <w:rPr>
                <w:rFonts w:hint="eastAsia"/>
                <w:highlight w:val="none"/>
              </w:rPr>
              <w:t>投标响应</w:t>
            </w:r>
          </w:p>
        </w:tc>
        <w:tc>
          <w:tcPr>
            <w:tcW w:w="1842" w:type="dxa"/>
            <w:vAlign w:val="center"/>
          </w:tcPr>
          <w:p>
            <w:pPr>
              <w:adjustRightInd w:val="0"/>
              <w:snapToGrid w:val="0"/>
              <w:spacing w:line="360" w:lineRule="auto"/>
              <w:jc w:val="center"/>
              <w:rPr>
                <w:rFonts w:ascii="宋体" w:hAnsi="宋体"/>
                <w:kern w:val="0"/>
                <w:szCs w:val="21"/>
                <w:highlight w:val="none"/>
              </w:rPr>
            </w:pPr>
            <w:r>
              <w:rPr>
                <w:rFonts w:hint="eastAsia"/>
                <w:highlight w:val="none"/>
              </w:rPr>
              <w:t>偏离情况</w:t>
            </w:r>
          </w:p>
        </w:tc>
        <w:tc>
          <w:tcPr>
            <w:tcW w:w="1418" w:type="dxa"/>
            <w:vAlign w:val="center"/>
          </w:tcPr>
          <w:p>
            <w:pPr>
              <w:adjustRightInd w:val="0"/>
              <w:snapToGrid w:val="0"/>
              <w:spacing w:line="360" w:lineRule="auto"/>
              <w:jc w:val="center"/>
              <w:rPr>
                <w:rFonts w:ascii="宋体" w:hAnsi="宋体"/>
                <w:kern w:val="0"/>
                <w:szCs w:val="21"/>
                <w:highlight w:val="none"/>
              </w:rPr>
            </w:pPr>
            <w:r>
              <w:rPr>
                <w:rFonts w:hint="eastAsia"/>
                <w:highlight w:val="none"/>
              </w:rPr>
              <w:t>说明</w:t>
            </w:r>
          </w:p>
        </w:tc>
      </w:tr>
      <w:bookmarkEnd w:id="4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ascii="宋体" w:hAnsi="宋体"/>
                <w:kern w:val="0"/>
                <w:szCs w:val="21"/>
                <w:highlight w:val="none"/>
              </w:rPr>
            </w:pPr>
            <w:r>
              <w:rPr>
                <w:rFonts w:hint="eastAsia" w:ascii="宋体" w:hAnsi="宋体"/>
                <w:kern w:val="0"/>
                <w:szCs w:val="21"/>
                <w:highlight w:val="none"/>
              </w:rPr>
              <w:t>1</w:t>
            </w:r>
          </w:p>
        </w:tc>
        <w:tc>
          <w:tcPr>
            <w:tcW w:w="2664" w:type="dxa"/>
            <w:vAlign w:val="center"/>
          </w:tcPr>
          <w:p>
            <w:pPr>
              <w:adjustRightInd w:val="0"/>
              <w:snapToGrid w:val="0"/>
              <w:spacing w:line="360" w:lineRule="auto"/>
              <w:jc w:val="center"/>
              <w:rPr>
                <w:rFonts w:hAnsi="宋体"/>
                <w:kern w:val="0"/>
                <w:szCs w:val="21"/>
                <w:highlight w:val="none"/>
              </w:rPr>
            </w:pPr>
            <w:r>
              <w:rPr>
                <w:rFonts w:hint="eastAsia" w:hAnsi="宋体"/>
                <w:kern w:val="0"/>
                <w:szCs w:val="21"/>
                <w:highlight w:val="none"/>
              </w:rPr>
              <w:t>（填写相关内容）</w:t>
            </w:r>
          </w:p>
        </w:tc>
        <w:tc>
          <w:tcPr>
            <w:tcW w:w="1588" w:type="dxa"/>
          </w:tcPr>
          <w:p>
            <w:pPr>
              <w:adjustRightInd w:val="0"/>
              <w:snapToGrid w:val="0"/>
              <w:spacing w:line="360" w:lineRule="auto"/>
              <w:rPr>
                <w:rFonts w:ascii="宋体" w:hAnsi="宋体"/>
                <w:kern w:val="0"/>
                <w:szCs w:val="21"/>
                <w:highlight w:val="none"/>
              </w:rPr>
            </w:pPr>
          </w:p>
        </w:tc>
        <w:tc>
          <w:tcPr>
            <w:tcW w:w="1842" w:type="dxa"/>
          </w:tcPr>
          <w:p>
            <w:pPr>
              <w:adjustRightInd w:val="0"/>
              <w:snapToGrid w:val="0"/>
              <w:spacing w:line="360" w:lineRule="auto"/>
              <w:rPr>
                <w:rFonts w:ascii="宋体" w:hAnsi="宋体"/>
                <w:kern w:val="0"/>
                <w:szCs w:val="21"/>
                <w:highlight w:val="none"/>
              </w:rPr>
            </w:pPr>
          </w:p>
        </w:tc>
        <w:tc>
          <w:tcPr>
            <w:tcW w:w="1418" w:type="dxa"/>
          </w:tcPr>
          <w:p>
            <w:pPr>
              <w:adjustRightInd w:val="0"/>
              <w:snapToGrid w:val="0"/>
              <w:spacing w:line="360" w:lineRule="auto"/>
              <w:rPr>
                <w:rFonts w:ascii="宋体" w:hAnsi="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ascii="宋体" w:hAnsi="宋体"/>
                <w:kern w:val="0"/>
                <w:szCs w:val="21"/>
                <w:highlight w:val="none"/>
              </w:rPr>
            </w:pPr>
            <w:r>
              <w:rPr>
                <w:rFonts w:hint="eastAsia" w:ascii="宋体" w:hAnsi="宋体"/>
                <w:kern w:val="0"/>
                <w:szCs w:val="21"/>
                <w:highlight w:val="none"/>
              </w:rPr>
              <w:t>2</w:t>
            </w:r>
          </w:p>
        </w:tc>
        <w:tc>
          <w:tcPr>
            <w:tcW w:w="2664" w:type="dxa"/>
            <w:vAlign w:val="center"/>
          </w:tcPr>
          <w:p>
            <w:pPr>
              <w:adjustRightInd w:val="0"/>
              <w:snapToGrid w:val="0"/>
              <w:spacing w:line="360" w:lineRule="auto"/>
              <w:jc w:val="center"/>
              <w:rPr>
                <w:rFonts w:hAnsi="宋体"/>
                <w:kern w:val="0"/>
                <w:szCs w:val="21"/>
                <w:highlight w:val="none"/>
              </w:rPr>
            </w:pPr>
            <w:r>
              <w:rPr>
                <w:rFonts w:hint="eastAsia" w:hAnsi="宋体"/>
                <w:kern w:val="0"/>
                <w:szCs w:val="21"/>
                <w:highlight w:val="none"/>
              </w:rPr>
              <w:t>（填写相关内容）</w:t>
            </w:r>
          </w:p>
        </w:tc>
        <w:tc>
          <w:tcPr>
            <w:tcW w:w="1588" w:type="dxa"/>
          </w:tcPr>
          <w:p>
            <w:pPr>
              <w:adjustRightInd w:val="0"/>
              <w:snapToGrid w:val="0"/>
              <w:spacing w:line="360" w:lineRule="auto"/>
              <w:rPr>
                <w:rFonts w:ascii="宋体" w:hAnsi="宋体"/>
                <w:kern w:val="0"/>
                <w:szCs w:val="21"/>
                <w:highlight w:val="none"/>
              </w:rPr>
            </w:pPr>
          </w:p>
        </w:tc>
        <w:tc>
          <w:tcPr>
            <w:tcW w:w="1842" w:type="dxa"/>
          </w:tcPr>
          <w:p>
            <w:pPr>
              <w:adjustRightInd w:val="0"/>
              <w:snapToGrid w:val="0"/>
              <w:spacing w:line="360" w:lineRule="auto"/>
              <w:rPr>
                <w:rFonts w:ascii="宋体" w:hAnsi="宋体"/>
                <w:kern w:val="0"/>
                <w:szCs w:val="21"/>
                <w:highlight w:val="none"/>
              </w:rPr>
            </w:pPr>
          </w:p>
        </w:tc>
        <w:tc>
          <w:tcPr>
            <w:tcW w:w="1418" w:type="dxa"/>
          </w:tcPr>
          <w:p>
            <w:pPr>
              <w:adjustRightInd w:val="0"/>
              <w:snapToGrid w:val="0"/>
              <w:spacing w:line="360" w:lineRule="auto"/>
              <w:rPr>
                <w:rFonts w:ascii="宋体" w:hAnsi="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ascii="宋体" w:hAnsi="宋体"/>
                <w:kern w:val="0"/>
                <w:szCs w:val="21"/>
                <w:highlight w:val="none"/>
              </w:rPr>
            </w:pPr>
            <w:r>
              <w:rPr>
                <w:rFonts w:hint="eastAsia" w:ascii="宋体" w:hAnsi="宋体"/>
                <w:kern w:val="0"/>
                <w:szCs w:val="21"/>
                <w:highlight w:val="none"/>
              </w:rPr>
              <w:t>3</w:t>
            </w:r>
          </w:p>
        </w:tc>
        <w:tc>
          <w:tcPr>
            <w:tcW w:w="2664" w:type="dxa"/>
            <w:vAlign w:val="center"/>
          </w:tcPr>
          <w:p>
            <w:pPr>
              <w:adjustRightInd w:val="0"/>
              <w:snapToGrid w:val="0"/>
              <w:spacing w:line="360" w:lineRule="auto"/>
              <w:jc w:val="center"/>
              <w:rPr>
                <w:rFonts w:ascii="宋体" w:hAnsi="宋体"/>
                <w:kern w:val="0"/>
                <w:szCs w:val="21"/>
                <w:highlight w:val="none"/>
              </w:rPr>
            </w:pPr>
            <w:r>
              <w:rPr>
                <w:rFonts w:hint="eastAsia" w:ascii="宋体" w:hAnsi="宋体"/>
                <w:kern w:val="0"/>
                <w:szCs w:val="21"/>
                <w:highlight w:val="none"/>
              </w:rPr>
              <w:t>…………</w:t>
            </w:r>
          </w:p>
        </w:tc>
        <w:tc>
          <w:tcPr>
            <w:tcW w:w="1588" w:type="dxa"/>
          </w:tcPr>
          <w:p>
            <w:pPr>
              <w:adjustRightInd w:val="0"/>
              <w:snapToGrid w:val="0"/>
              <w:spacing w:line="360" w:lineRule="auto"/>
              <w:rPr>
                <w:rFonts w:ascii="宋体" w:hAnsi="宋体"/>
                <w:kern w:val="0"/>
                <w:szCs w:val="21"/>
                <w:highlight w:val="none"/>
              </w:rPr>
            </w:pPr>
          </w:p>
        </w:tc>
        <w:tc>
          <w:tcPr>
            <w:tcW w:w="1842" w:type="dxa"/>
          </w:tcPr>
          <w:p>
            <w:pPr>
              <w:adjustRightInd w:val="0"/>
              <w:snapToGrid w:val="0"/>
              <w:spacing w:line="360" w:lineRule="auto"/>
              <w:rPr>
                <w:rFonts w:ascii="宋体" w:hAnsi="宋体"/>
                <w:kern w:val="0"/>
                <w:szCs w:val="21"/>
                <w:highlight w:val="none"/>
              </w:rPr>
            </w:pPr>
          </w:p>
        </w:tc>
        <w:tc>
          <w:tcPr>
            <w:tcW w:w="1418" w:type="dxa"/>
          </w:tcPr>
          <w:p>
            <w:pPr>
              <w:adjustRightInd w:val="0"/>
              <w:snapToGrid w:val="0"/>
              <w:spacing w:line="360" w:lineRule="auto"/>
              <w:rPr>
                <w:rFonts w:ascii="宋体" w:hAnsi="宋体"/>
                <w:kern w:val="0"/>
                <w:szCs w:val="21"/>
                <w:highlight w:val="none"/>
              </w:rPr>
            </w:pPr>
          </w:p>
        </w:tc>
      </w:tr>
    </w:tbl>
    <w:p>
      <w:pPr>
        <w:ind w:firstLine="482" w:firstLineChars="200"/>
        <w:rPr>
          <w:b/>
          <w:sz w:val="24"/>
          <w:szCs w:val="22"/>
          <w:highlight w:val="none"/>
        </w:rPr>
      </w:pPr>
      <w:r>
        <w:rPr>
          <w:rFonts w:hint="eastAsia"/>
          <w:b/>
          <w:sz w:val="24"/>
          <w:szCs w:val="22"/>
          <w:highlight w:val="none"/>
        </w:rPr>
        <w:t>注：1.上表所列各项均为不可负偏离条款。</w:t>
      </w:r>
    </w:p>
    <w:p>
      <w:pPr>
        <w:ind w:firstLine="482" w:firstLineChars="200"/>
        <w:rPr>
          <w:b/>
          <w:sz w:val="24"/>
          <w:szCs w:val="22"/>
          <w:highlight w:val="none"/>
        </w:rPr>
      </w:pPr>
      <w:r>
        <w:rPr>
          <w:rFonts w:hint="eastAsia"/>
          <w:b/>
          <w:sz w:val="24"/>
          <w:szCs w:val="22"/>
          <w:highlight w:val="none"/>
        </w:rPr>
        <w:t>2.“投标响应”一栏应当详细填写投标人自身响应情况，而不能不合理照搬照抄招实质性条款具体内容。</w:t>
      </w:r>
    </w:p>
    <w:p>
      <w:pPr>
        <w:ind w:firstLine="482" w:firstLineChars="200"/>
        <w:rPr>
          <w:b/>
          <w:sz w:val="24"/>
          <w:szCs w:val="22"/>
          <w:highlight w:val="none"/>
        </w:rPr>
      </w:pPr>
      <w:r>
        <w:rPr>
          <w:rFonts w:hint="eastAsia"/>
          <w:b/>
          <w:sz w:val="24"/>
          <w:szCs w:val="22"/>
          <w:highlight w:val="none"/>
        </w:rPr>
        <w:t>3</w:t>
      </w:r>
      <w:r>
        <w:rPr>
          <w:b/>
          <w:sz w:val="24"/>
          <w:szCs w:val="22"/>
          <w:highlight w:val="none"/>
        </w:rPr>
        <w:t>.</w:t>
      </w:r>
      <w:r>
        <w:rPr>
          <w:rFonts w:hint="eastAsia"/>
          <w:b/>
          <w:sz w:val="24"/>
          <w:szCs w:val="22"/>
          <w:highlight w:val="none"/>
        </w:rPr>
        <w:t>“偏离情况”一栏应填写“正偏离”、“负偏离”或“无偏离”，</w:t>
      </w:r>
      <w:r>
        <w:rPr>
          <w:rFonts w:hint="eastAsia"/>
          <w:b/>
          <w:sz w:val="24"/>
          <w:highlight w:val="none"/>
        </w:rPr>
        <w:t>“正偏离”表示“投标响应优于实质性条款具体内容要求”，“负偏离”表示“投标响应不满足实质性条款具体内容要求”，“无偏离”表示“投标响应与实质性条款具体内容要求一致”。</w:t>
      </w:r>
    </w:p>
    <w:p>
      <w:pPr>
        <w:ind w:firstLine="482" w:firstLineChars="200"/>
        <w:rPr>
          <w:b/>
          <w:sz w:val="24"/>
          <w:highlight w:val="none"/>
        </w:rPr>
      </w:pPr>
      <w:r>
        <w:rPr>
          <w:b/>
          <w:sz w:val="24"/>
          <w:highlight w:val="none"/>
        </w:rPr>
        <w:t>4.</w:t>
      </w:r>
      <w:r>
        <w:rPr>
          <w:rFonts w:hint="eastAsia"/>
          <w:b/>
          <w:sz w:val="24"/>
          <w:highlight w:val="none"/>
        </w:rPr>
        <w:t>评审委员会有权对投标响应情况作出判断（作出评审结论）。</w:t>
      </w:r>
    </w:p>
    <w:p>
      <w:pPr>
        <w:ind w:firstLine="482" w:firstLineChars="200"/>
        <w:rPr>
          <w:b/>
          <w:sz w:val="24"/>
          <w:szCs w:val="22"/>
          <w:highlight w:val="none"/>
        </w:rPr>
      </w:pPr>
      <w:r>
        <w:rPr>
          <w:b/>
          <w:sz w:val="24"/>
          <w:szCs w:val="22"/>
          <w:highlight w:val="none"/>
        </w:rPr>
        <w:t>5</w:t>
      </w:r>
      <w:r>
        <w:rPr>
          <w:rFonts w:hint="eastAsia"/>
          <w:b/>
          <w:sz w:val="24"/>
          <w:szCs w:val="22"/>
          <w:highlight w:val="none"/>
        </w:rPr>
        <w:t>.实质性响应条款“投标响应情况”与投标文件其它内容冲突的，以实质性响应条款“投标响应情况”为准。</w:t>
      </w:r>
    </w:p>
    <w:p>
      <w:pPr>
        <w:ind w:firstLine="482" w:firstLineChars="200"/>
        <w:rPr>
          <w:b/>
          <w:sz w:val="24"/>
          <w:szCs w:val="22"/>
          <w:highlight w:val="none"/>
        </w:rPr>
      </w:pPr>
      <w:r>
        <w:rPr>
          <w:rFonts w:hint="eastAsia"/>
          <w:b/>
          <w:sz w:val="24"/>
          <w:szCs w:val="22"/>
          <w:highlight w:val="none"/>
        </w:rPr>
        <w:t>6.要求提供证明资料，在“说明”一栏中列明证明资料的位置,以便评审；未要求提供证明材料的，投标人可以不提供。</w:t>
      </w:r>
    </w:p>
    <w:p>
      <w:pPr>
        <w:ind w:firstLine="420" w:firstLineChars="200"/>
        <w:rPr>
          <w:highlight w:val="none"/>
        </w:rPr>
      </w:pPr>
    </w:p>
    <w:p>
      <w:pPr>
        <w:pStyle w:val="5"/>
        <w:adjustRightInd w:val="0"/>
        <w:snapToGrid w:val="0"/>
        <w:spacing w:line="276" w:lineRule="auto"/>
        <w:jc w:val="center"/>
        <w:rPr>
          <w:rFonts w:ascii="黑体" w:eastAsia="黑体"/>
          <w:b w:val="0"/>
          <w:kern w:val="0"/>
          <w:sz w:val="24"/>
          <w:szCs w:val="24"/>
          <w:highlight w:val="none"/>
        </w:rPr>
      </w:pPr>
      <w:r>
        <w:rPr>
          <w:rFonts w:hint="eastAsia" w:ascii="黑体" w:eastAsia="黑体"/>
          <w:b w:val="0"/>
          <w:kern w:val="0"/>
          <w:sz w:val="24"/>
          <w:szCs w:val="24"/>
          <w:highlight w:val="none"/>
        </w:rPr>
        <w:t>四、</w:t>
      </w:r>
      <w:r>
        <w:rPr>
          <w:rFonts w:hint="eastAsia" w:ascii="黑体" w:hAnsi="宋体" w:eastAsia="黑体" w:cs="Times New Roman"/>
          <w:b w:val="0"/>
          <w:color w:val="auto"/>
          <w:kern w:val="0"/>
          <w:sz w:val="24"/>
          <w:szCs w:val="24"/>
          <w:highlight w:val="none"/>
        </w:rPr>
        <w:t>服务方案</w:t>
      </w:r>
    </w:p>
    <w:p>
      <w:pPr>
        <w:pStyle w:val="2"/>
        <w:adjustRightInd w:val="0"/>
        <w:snapToGrid w:val="0"/>
        <w:spacing w:line="276" w:lineRule="auto"/>
        <w:rPr>
          <w:b w:val="0"/>
          <w:bCs w:val="0"/>
          <w:sz w:val="21"/>
          <w:szCs w:val="21"/>
          <w:highlight w:val="none"/>
        </w:rPr>
      </w:pPr>
      <w:r>
        <w:rPr>
          <w:rFonts w:hint="eastAsia"/>
          <w:b w:val="0"/>
          <w:bCs w:val="0"/>
          <w:sz w:val="21"/>
          <w:szCs w:val="21"/>
          <w:highlight w:val="none"/>
        </w:rPr>
        <w:t>（特别提示：投标人须按本招标文件评标信息中“</w:t>
      </w:r>
      <w:r>
        <w:rPr>
          <w:rFonts w:hint="eastAsia" w:ascii="Times New Roman" w:hAnsi="Times New Roman" w:eastAsia="宋体" w:cs="Times New Roman"/>
          <w:b w:val="0"/>
          <w:bCs w:val="0"/>
          <w:kern w:val="2"/>
          <w:sz w:val="21"/>
          <w:szCs w:val="21"/>
          <w:highlight w:val="none"/>
        </w:rPr>
        <w:t>服务方案</w:t>
      </w:r>
      <w:r>
        <w:rPr>
          <w:rFonts w:hint="eastAsia"/>
          <w:b w:val="0"/>
          <w:bCs w:val="0"/>
          <w:sz w:val="21"/>
          <w:szCs w:val="21"/>
          <w:highlight w:val="none"/>
        </w:rPr>
        <w:t>”这一评分因素要求，提供证明资料）</w:t>
      </w:r>
    </w:p>
    <w:p>
      <w:pPr>
        <w:pStyle w:val="5"/>
        <w:adjustRightInd w:val="0"/>
        <w:snapToGrid w:val="0"/>
        <w:spacing w:line="276" w:lineRule="auto"/>
        <w:jc w:val="center"/>
        <w:rPr>
          <w:rFonts w:ascii="黑体" w:eastAsia="黑体"/>
          <w:b w:val="0"/>
          <w:kern w:val="0"/>
          <w:sz w:val="24"/>
          <w:szCs w:val="24"/>
          <w:highlight w:val="none"/>
        </w:rPr>
      </w:pPr>
      <w:r>
        <w:rPr>
          <w:rFonts w:hint="eastAsia" w:ascii="黑体" w:eastAsia="黑体"/>
          <w:b w:val="0"/>
          <w:kern w:val="0"/>
          <w:sz w:val="24"/>
          <w:szCs w:val="24"/>
          <w:highlight w:val="none"/>
        </w:rPr>
        <w:t>五、项目重点难点分析、应对措施及相关的合理化建议</w:t>
      </w:r>
    </w:p>
    <w:p>
      <w:pPr>
        <w:pStyle w:val="2"/>
        <w:adjustRightInd w:val="0"/>
        <w:snapToGrid w:val="0"/>
        <w:spacing w:line="276" w:lineRule="auto"/>
        <w:rPr>
          <w:b w:val="0"/>
          <w:bCs w:val="0"/>
          <w:sz w:val="21"/>
          <w:szCs w:val="21"/>
          <w:highlight w:val="none"/>
        </w:rPr>
      </w:pPr>
      <w:r>
        <w:rPr>
          <w:rFonts w:hint="eastAsia"/>
          <w:b w:val="0"/>
          <w:bCs w:val="0"/>
          <w:sz w:val="21"/>
          <w:szCs w:val="21"/>
          <w:highlight w:val="none"/>
        </w:rPr>
        <w:t>（特别提示：投标人须按本招标文件评标信息中“项目重点难点分析、应对措施及相关的合理化建议”这一评分因素要求，提供证明资料）</w:t>
      </w:r>
    </w:p>
    <w:p>
      <w:pPr>
        <w:pStyle w:val="5"/>
        <w:adjustRightInd w:val="0"/>
        <w:snapToGrid w:val="0"/>
        <w:spacing w:line="276" w:lineRule="auto"/>
        <w:jc w:val="center"/>
        <w:rPr>
          <w:rFonts w:ascii="黑体" w:eastAsia="黑体"/>
          <w:b w:val="0"/>
          <w:kern w:val="0"/>
          <w:sz w:val="24"/>
          <w:szCs w:val="24"/>
          <w:highlight w:val="none"/>
        </w:rPr>
      </w:pPr>
      <w:r>
        <w:rPr>
          <w:rFonts w:hint="eastAsia" w:ascii="黑体" w:eastAsia="黑体"/>
          <w:b w:val="0"/>
          <w:kern w:val="0"/>
          <w:sz w:val="24"/>
          <w:szCs w:val="24"/>
          <w:highlight w:val="none"/>
        </w:rPr>
        <w:t>六、质量（完成时间、安全、环保）保障措施及方案</w:t>
      </w:r>
    </w:p>
    <w:p>
      <w:pPr>
        <w:pStyle w:val="2"/>
        <w:adjustRightInd w:val="0"/>
        <w:snapToGrid w:val="0"/>
        <w:spacing w:line="276" w:lineRule="auto"/>
        <w:rPr>
          <w:b w:val="0"/>
          <w:bCs w:val="0"/>
          <w:sz w:val="21"/>
          <w:szCs w:val="21"/>
          <w:highlight w:val="none"/>
        </w:rPr>
      </w:pPr>
      <w:r>
        <w:rPr>
          <w:rFonts w:hint="eastAsia"/>
          <w:b w:val="0"/>
          <w:bCs w:val="0"/>
          <w:sz w:val="21"/>
          <w:szCs w:val="21"/>
          <w:highlight w:val="none"/>
        </w:rPr>
        <w:t>（特别提示：投标人须按本招标文件评标信息中“质量（完成时间、安全、环保）保障措施及方案”这一评分因素要求，提供证明资料）</w:t>
      </w:r>
    </w:p>
    <w:p>
      <w:pPr>
        <w:pStyle w:val="5"/>
        <w:adjustRightInd w:val="0"/>
        <w:snapToGrid w:val="0"/>
        <w:spacing w:line="276" w:lineRule="auto"/>
        <w:jc w:val="center"/>
        <w:rPr>
          <w:rFonts w:ascii="黑体" w:eastAsia="黑体"/>
          <w:b w:val="0"/>
          <w:kern w:val="0"/>
          <w:sz w:val="24"/>
          <w:szCs w:val="24"/>
          <w:highlight w:val="none"/>
        </w:rPr>
      </w:pPr>
      <w:r>
        <w:rPr>
          <w:rFonts w:hint="eastAsia" w:ascii="黑体" w:eastAsia="黑体"/>
          <w:b w:val="0"/>
          <w:kern w:val="0"/>
          <w:sz w:val="24"/>
          <w:szCs w:val="24"/>
          <w:highlight w:val="none"/>
          <w:lang w:val="en-US" w:eastAsia="zh-CN"/>
        </w:rPr>
        <w:t>七</w:t>
      </w:r>
      <w:r>
        <w:rPr>
          <w:rFonts w:hint="eastAsia" w:ascii="黑体" w:eastAsia="黑体"/>
          <w:b w:val="0"/>
          <w:kern w:val="0"/>
          <w:sz w:val="24"/>
          <w:szCs w:val="24"/>
          <w:highlight w:val="none"/>
        </w:rPr>
        <w:t>、拟安排的项目负责人情况（仅限一人）</w:t>
      </w:r>
    </w:p>
    <w:p>
      <w:pPr>
        <w:pStyle w:val="6"/>
        <w:spacing w:before="0" w:after="0" w:line="240" w:lineRule="auto"/>
        <w:jc w:val="left"/>
        <w:rPr>
          <w:rFonts w:ascii="宋体" w:hAnsi="宋体" w:eastAsia="宋体"/>
          <w:sz w:val="21"/>
          <w:szCs w:val="21"/>
          <w:highlight w:val="none"/>
        </w:rPr>
      </w:pPr>
      <w:r>
        <w:rPr>
          <w:rFonts w:hint="eastAsia" w:ascii="宋体" w:hAnsi="宋体" w:eastAsia="宋体"/>
          <w:sz w:val="21"/>
          <w:szCs w:val="21"/>
          <w:highlight w:val="none"/>
          <w:lang w:val="en-US" w:eastAsia="zh-CN"/>
        </w:rPr>
        <w:t>7</w:t>
      </w:r>
      <w:r>
        <w:rPr>
          <w:rFonts w:hint="eastAsia" w:ascii="宋体" w:hAnsi="宋体" w:eastAsia="宋体"/>
          <w:sz w:val="21"/>
          <w:szCs w:val="21"/>
          <w:highlight w:val="none"/>
        </w:rPr>
        <w:t>-1人员配备承诺</w:t>
      </w:r>
    </w:p>
    <w:p>
      <w:pPr>
        <w:adjustRightInd w:val="0"/>
        <w:snapToGrid w:val="0"/>
        <w:spacing w:line="276" w:lineRule="auto"/>
        <w:jc w:val="center"/>
        <w:rPr>
          <w:rFonts w:ascii="宋体"/>
          <w:kern w:val="0"/>
          <w:szCs w:val="21"/>
          <w:highlight w:val="none"/>
        </w:rPr>
      </w:pPr>
      <w:r>
        <w:rPr>
          <w:rFonts w:hint="eastAsia" w:ascii="宋体" w:hAnsi="宋体"/>
          <w:b/>
          <w:szCs w:val="21"/>
          <w:highlight w:val="none"/>
        </w:rPr>
        <w:t>人员配备承诺</w:t>
      </w:r>
    </w:p>
    <w:p>
      <w:pPr>
        <w:adjustRightInd w:val="0"/>
        <w:snapToGrid w:val="0"/>
        <w:spacing w:line="276" w:lineRule="auto"/>
        <w:jc w:val="left"/>
        <w:rPr>
          <w:rFonts w:ascii="宋体"/>
          <w:color w:val="000000"/>
          <w:szCs w:val="21"/>
          <w:highlight w:val="none"/>
          <w:u w:val="single"/>
        </w:rPr>
      </w:pPr>
      <w:r>
        <w:rPr>
          <w:rFonts w:hint="eastAsia" w:ascii="宋体" w:hAnsi="宋体"/>
          <w:color w:val="000000"/>
          <w:szCs w:val="21"/>
          <w:highlight w:val="none"/>
        </w:rPr>
        <w:t>致：</w:t>
      </w:r>
      <w:r>
        <w:rPr>
          <w:rFonts w:ascii="宋体" w:hAnsi="宋体"/>
          <w:color w:val="000000"/>
          <w:szCs w:val="21"/>
          <w:highlight w:val="none"/>
          <w:u w:val="single"/>
        </w:rPr>
        <w:t xml:space="preserve">     </w:t>
      </w:r>
      <w:r>
        <w:rPr>
          <w:rFonts w:hint="eastAsia" w:ascii="宋体" w:hAnsi="宋体"/>
          <w:color w:val="000000"/>
          <w:szCs w:val="21"/>
          <w:highlight w:val="none"/>
          <w:u w:val="single"/>
        </w:rPr>
        <w:t>（采购人）</w:t>
      </w:r>
      <w:r>
        <w:rPr>
          <w:rFonts w:ascii="宋体" w:hAnsi="宋体"/>
          <w:color w:val="000000"/>
          <w:szCs w:val="21"/>
          <w:highlight w:val="none"/>
          <w:u w:val="single"/>
        </w:rPr>
        <w:t xml:space="preserve">          </w:t>
      </w:r>
    </w:p>
    <w:p>
      <w:pPr>
        <w:adjustRightInd w:val="0"/>
        <w:snapToGrid w:val="0"/>
        <w:spacing w:line="276"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根据已收到贵方的项目编号为</w:t>
      </w:r>
      <w:r>
        <w:rPr>
          <w:rFonts w:hint="eastAsia" w:ascii="宋体" w:hAnsi="宋体"/>
          <w:b/>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的</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招标文件，遵照《中华人民共和国政府采购法》和《深圳网上政府采购管理暂行办法》等有关规定，我方经考察现场和研究上述招标文件的投标须知、合同条款、技术规范、澄清公告、答疑公告及所有相关文件后，我方完全认可贵方提供的上述文件，做出承诺满足以下要求：</w:t>
      </w:r>
    </w:p>
    <w:p>
      <w:pPr>
        <w:spacing w:line="36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1、中标单位提供课时服务教师基本条件：</w:t>
      </w:r>
    </w:p>
    <w:p>
      <w:pPr>
        <w:spacing w:line="36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1.1、遵守我国法律、法规，具有良好的政治素质和职业道德；</w:t>
      </w:r>
    </w:p>
    <w:p>
      <w:pPr>
        <w:spacing w:line="36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1.2、具备</w:t>
      </w:r>
      <w:r>
        <w:rPr>
          <w:rFonts w:hint="eastAsia" w:ascii="宋体" w:hAnsi="宋体" w:cs="宋体"/>
          <w:color w:val="000000" w:themeColor="text1"/>
          <w:kern w:val="0"/>
          <w:szCs w:val="21"/>
          <w:highlight w:val="none"/>
          <w:lang w:val="en-US" w:eastAsia="zh-CN"/>
          <w14:textFill>
            <w14:solidFill>
              <w14:schemeClr w14:val="tx1"/>
            </w14:solidFill>
          </w14:textFill>
        </w:rPr>
        <w:t>大专</w:t>
      </w:r>
      <w:r>
        <w:rPr>
          <w:rFonts w:hint="eastAsia" w:ascii="宋体" w:hAnsi="宋体" w:cs="宋体"/>
          <w:color w:val="000000" w:themeColor="text1"/>
          <w:kern w:val="0"/>
          <w:szCs w:val="21"/>
          <w:highlight w:val="none"/>
          <w14:textFill>
            <w14:solidFill>
              <w14:schemeClr w14:val="tx1"/>
            </w14:solidFill>
          </w14:textFill>
        </w:rPr>
        <w:t>及以上学历；</w:t>
      </w:r>
    </w:p>
    <w:p>
      <w:pPr>
        <w:spacing w:line="36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1.3、具备相应或以上学段、学科教师资格；</w:t>
      </w:r>
    </w:p>
    <w:p>
      <w:pPr>
        <w:spacing w:line="36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1.4、购买退休教师课时服务年龄要求：女60周岁以下、男65周岁以下。</w:t>
      </w:r>
    </w:p>
    <w:p>
      <w:pPr>
        <w:spacing w:line="36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1.5、具备适应岗位要求的身心条件；</w:t>
      </w:r>
    </w:p>
    <w:p>
      <w:pPr>
        <w:spacing w:line="36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1.6、品行端正，无违法违纪记录；</w:t>
      </w:r>
    </w:p>
    <w:p>
      <w:pPr>
        <w:spacing w:line="36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1.7、符合岗位要求的其他条件；</w:t>
      </w:r>
    </w:p>
    <w:p>
      <w:pPr>
        <w:spacing w:line="36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1.8、符合法律规定的其他条件。</w:t>
      </w:r>
    </w:p>
    <w:p>
      <w:pPr>
        <w:spacing w:line="36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2、中标单位提供教辅工勤岗位服务人员基本条件：</w:t>
      </w:r>
    </w:p>
    <w:p>
      <w:pPr>
        <w:spacing w:line="36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2.1、遵守我国法律、法规；</w:t>
      </w:r>
    </w:p>
    <w:p>
      <w:pPr>
        <w:spacing w:line="36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2.2、具备相应工作岗位资格（校医岗位要求本科及以上学历并具有执业医师资格，报账会计岗位要求财会类本科及以上学历、并具有会计从业资格证或初级及以上专业技术职称，司机要求具有相应车型的驾驶证）；</w:t>
      </w:r>
    </w:p>
    <w:p>
      <w:pPr>
        <w:spacing w:line="36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2.3、具备适应岗位要求的身心条件；</w:t>
      </w:r>
    </w:p>
    <w:p>
      <w:pPr>
        <w:spacing w:line="36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2.4、品行端正，无违法违纪记录；</w:t>
      </w:r>
    </w:p>
    <w:p>
      <w:pPr>
        <w:spacing w:line="36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2.5、符合岗位要求的其他条件；</w:t>
      </w:r>
    </w:p>
    <w:p>
      <w:pPr>
        <w:spacing w:line="36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2.6、符合法律规定的其他条件。</w:t>
      </w:r>
    </w:p>
    <w:p>
      <w:pPr>
        <w:spacing w:line="360" w:lineRule="exact"/>
        <w:ind w:firstLine="420" w:firstLineChars="200"/>
        <w:rPr>
          <w:rFonts w:ascii="宋体" w:hAnsi="宋体" w:cs="宋体"/>
          <w:color w:val="000000" w:themeColor="text1"/>
          <w:kern w:val="0"/>
          <w:szCs w:val="21"/>
          <w:highlight w:val="none"/>
          <w14:textFill>
            <w14:solidFill>
              <w14:schemeClr w14:val="tx1"/>
            </w14:solidFill>
          </w14:textFill>
        </w:rPr>
      </w:pPr>
    </w:p>
    <w:p>
      <w:pPr>
        <w:spacing w:before="156" w:beforeLines="50" w:after="156" w:afterLines="50" w:line="276" w:lineRule="auto"/>
        <w:ind w:firstLine="426" w:firstLineChars="202"/>
        <w:jc w:val="left"/>
        <w:rPr>
          <w:rFonts w:ascii="宋体" w:hAnsi="宋体"/>
          <w:b/>
          <w:szCs w:val="21"/>
          <w:highlight w:val="none"/>
        </w:rPr>
      </w:pPr>
      <w:r>
        <w:rPr>
          <w:rFonts w:hint="eastAsia" w:ascii="宋体" w:hAnsi="宋体"/>
          <w:b/>
          <w:szCs w:val="21"/>
          <w:highlight w:val="none"/>
        </w:rPr>
        <w:t>2、本项目投标</w:t>
      </w:r>
      <w:r>
        <w:rPr>
          <w:rFonts w:ascii="宋体" w:hAnsi="宋体"/>
          <w:b/>
          <w:szCs w:val="21"/>
          <w:highlight w:val="none"/>
        </w:rPr>
        <w:t>费用包括如下两部分：</w:t>
      </w:r>
    </w:p>
    <w:p>
      <w:pPr>
        <w:spacing w:before="156" w:beforeLines="50" w:after="156" w:afterLines="50" w:line="276" w:lineRule="auto"/>
        <w:ind w:firstLine="424" w:firstLineChars="202"/>
        <w:jc w:val="left"/>
        <w:rPr>
          <w:rFonts w:ascii="宋体" w:hAnsi="宋体"/>
          <w:szCs w:val="21"/>
          <w:highlight w:val="none"/>
        </w:rPr>
      </w:pPr>
      <w:r>
        <w:rPr>
          <w:rFonts w:ascii="宋体" w:hAnsi="宋体"/>
          <w:szCs w:val="21"/>
          <w:highlight w:val="none"/>
        </w:rPr>
        <w:t>（1）购买服务人员相关费用</w:t>
      </w:r>
    </w:p>
    <w:p>
      <w:pPr>
        <w:spacing w:before="156" w:beforeLines="50" w:after="156" w:afterLines="50" w:line="276" w:lineRule="auto"/>
        <w:ind w:firstLine="424" w:firstLineChars="202"/>
        <w:jc w:val="left"/>
        <w:rPr>
          <w:rFonts w:ascii="宋体" w:hAnsi="宋体"/>
          <w:szCs w:val="21"/>
          <w:highlight w:val="none"/>
        </w:rPr>
      </w:pPr>
      <w:r>
        <w:rPr>
          <w:rFonts w:ascii="宋体" w:hAnsi="宋体"/>
          <w:szCs w:val="21"/>
          <w:highlight w:val="none"/>
        </w:rPr>
        <w:t>该项费用包含购买服务人员月应发工资，根据法律规定用人单位应缴交的社会保险、住房公积金</w:t>
      </w:r>
      <w:r>
        <w:rPr>
          <w:rFonts w:hint="eastAsia" w:ascii="宋体" w:hAnsi="宋体"/>
          <w:szCs w:val="21"/>
          <w:highlight w:val="none"/>
        </w:rPr>
        <w:t>、</w:t>
      </w:r>
      <w:r>
        <w:rPr>
          <w:rFonts w:ascii="宋体" w:hAnsi="宋体"/>
          <w:szCs w:val="21"/>
          <w:highlight w:val="none"/>
        </w:rPr>
        <w:t>经济补偿准备金</w:t>
      </w:r>
      <w:r>
        <w:rPr>
          <w:rFonts w:hint="eastAsia" w:ascii="宋体" w:hAnsi="宋体"/>
          <w:szCs w:val="21"/>
          <w:highlight w:val="none"/>
        </w:rPr>
        <w:t>和餐费</w:t>
      </w:r>
      <w:r>
        <w:rPr>
          <w:rFonts w:ascii="宋体" w:hAnsi="宋体"/>
          <w:szCs w:val="21"/>
          <w:highlight w:val="none"/>
        </w:rPr>
        <w:t>。</w:t>
      </w:r>
    </w:p>
    <w:tbl>
      <w:tblPr>
        <w:tblStyle w:val="43"/>
        <w:tblW w:w="8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1264"/>
        <w:gridCol w:w="2056"/>
        <w:gridCol w:w="1330"/>
        <w:gridCol w:w="2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660" w:type="dxa"/>
            <w:vMerge w:val="restart"/>
            <w:vAlign w:val="center"/>
          </w:tcPr>
          <w:p>
            <w:pPr>
              <w:jc w:val="center"/>
              <w:rPr>
                <w:rFonts w:hint="eastAsia" w:ascii="宋体" w:hAnsi="宋体"/>
                <w:b w:val="0"/>
                <w:bCs/>
                <w:sz w:val="21"/>
                <w:szCs w:val="21"/>
                <w:highlight w:val="none"/>
                <w:vertAlign w:val="baseline"/>
                <w:lang w:val="en-US" w:eastAsia="zh-CN"/>
              </w:rPr>
            </w:pPr>
            <w:r>
              <w:rPr>
                <w:rFonts w:hint="eastAsia" w:ascii="宋体" w:hAnsi="宋体"/>
                <w:b w:val="0"/>
                <w:bCs/>
                <w:sz w:val="21"/>
                <w:szCs w:val="21"/>
                <w:highlight w:val="none"/>
                <w:vertAlign w:val="baseline"/>
                <w:lang w:val="en-US" w:eastAsia="zh-CN"/>
              </w:rPr>
              <w:t>购买服务</w:t>
            </w:r>
          </w:p>
          <w:p>
            <w:pPr>
              <w:jc w:val="center"/>
              <w:rPr>
                <w:rFonts w:hint="default" w:ascii="宋体" w:hAnsi="宋体"/>
                <w:b w:val="0"/>
                <w:bCs/>
                <w:sz w:val="21"/>
                <w:szCs w:val="21"/>
                <w:highlight w:val="none"/>
                <w:vertAlign w:val="baseline"/>
                <w:lang w:val="en-US" w:eastAsia="zh-CN"/>
              </w:rPr>
            </w:pPr>
            <w:r>
              <w:rPr>
                <w:rFonts w:hint="eastAsia" w:ascii="宋体" w:hAnsi="宋体"/>
                <w:b w:val="0"/>
                <w:bCs/>
                <w:sz w:val="21"/>
                <w:szCs w:val="21"/>
                <w:highlight w:val="none"/>
                <w:vertAlign w:val="baseline"/>
                <w:lang w:val="en-US" w:eastAsia="zh-CN"/>
              </w:rPr>
              <w:t>人员费用</w:t>
            </w:r>
          </w:p>
        </w:tc>
        <w:tc>
          <w:tcPr>
            <w:tcW w:w="1264" w:type="dxa"/>
            <w:vAlign w:val="center"/>
          </w:tcPr>
          <w:p>
            <w:pPr>
              <w:jc w:val="center"/>
              <w:rPr>
                <w:rFonts w:hint="eastAsia" w:ascii="宋体" w:hAnsi="宋体" w:eastAsia="宋体"/>
                <w:b w:val="0"/>
                <w:bCs/>
                <w:sz w:val="21"/>
                <w:szCs w:val="21"/>
                <w:highlight w:val="none"/>
                <w:vertAlign w:val="baseline"/>
                <w:lang w:val="en-US" w:eastAsia="zh-CN"/>
              </w:rPr>
            </w:pPr>
            <w:r>
              <w:rPr>
                <w:rFonts w:hint="eastAsia" w:ascii="宋体" w:hAnsi="宋体"/>
                <w:b w:val="0"/>
                <w:bCs/>
                <w:sz w:val="21"/>
                <w:szCs w:val="21"/>
                <w:highlight w:val="none"/>
                <w:vertAlign w:val="baseline"/>
                <w:lang w:val="en-US" w:eastAsia="zh-CN"/>
              </w:rPr>
              <w:t>序号</w:t>
            </w:r>
          </w:p>
        </w:tc>
        <w:tc>
          <w:tcPr>
            <w:tcW w:w="2056" w:type="dxa"/>
            <w:vAlign w:val="center"/>
          </w:tcPr>
          <w:p>
            <w:pPr>
              <w:jc w:val="center"/>
              <w:rPr>
                <w:rFonts w:hint="eastAsia" w:ascii="宋体" w:hAnsi="宋体" w:eastAsia="宋体"/>
                <w:b w:val="0"/>
                <w:bCs/>
                <w:sz w:val="21"/>
                <w:szCs w:val="21"/>
                <w:highlight w:val="none"/>
                <w:vertAlign w:val="baseline"/>
                <w:lang w:val="en-US" w:eastAsia="zh-CN"/>
              </w:rPr>
            </w:pPr>
            <w:r>
              <w:rPr>
                <w:rFonts w:hint="eastAsia" w:ascii="宋体" w:hAnsi="宋体"/>
                <w:b w:val="0"/>
                <w:bCs/>
                <w:sz w:val="21"/>
                <w:szCs w:val="21"/>
                <w:highlight w:val="none"/>
                <w:vertAlign w:val="baseline"/>
                <w:lang w:val="en-US" w:eastAsia="zh-CN"/>
              </w:rPr>
              <w:t>类别</w:t>
            </w:r>
          </w:p>
        </w:tc>
        <w:tc>
          <w:tcPr>
            <w:tcW w:w="1330" w:type="dxa"/>
            <w:vAlign w:val="center"/>
          </w:tcPr>
          <w:p>
            <w:pPr>
              <w:jc w:val="center"/>
              <w:rPr>
                <w:rFonts w:hint="default" w:ascii="宋体" w:hAnsi="宋体"/>
                <w:b w:val="0"/>
                <w:bCs/>
                <w:sz w:val="21"/>
                <w:szCs w:val="21"/>
                <w:highlight w:val="none"/>
                <w:vertAlign w:val="baseline"/>
                <w:lang w:val="en-US" w:eastAsia="zh-CN"/>
              </w:rPr>
            </w:pPr>
            <w:r>
              <w:rPr>
                <w:rFonts w:hint="eastAsia" w:ascii="宋体" w:hAnsi="宋体"/>
                <w:b w:val="0"/>
                <w:bCs/>
                <w:sz w:val="21"/>
                <w:szCs w:val="21"/>
                <w:highlight w:val="none"/>
                <w:vertAlign w:val="baseline"/>
                <w:lang w:val="en-US" w:eastAsia="zh-CN"/>
              </w:rPr>
              <w:t>数量（人）</w:t>
            </w:r>
          </w:p>
        </w:tc>
        <w:tc>
          <w:tcPr>
            <w:tcW w:w="2142" w:type="dxa"/>
            <w:vAlign w:val="center"/>
          </w:tcPr>
          <w:p>
            <w:pPr>
              <w:jc w:val="center"/>
              <w:rPr>
                <w:rFonts w:hint="default" w:ascii="宋体" w:hAnsi="宋体"/>
                <w:b w:val="0"/>
                <w:bCs/>
                <w:sz w:val="21"/>
                <w:szCs w:val="21"/>
                <w:highlight w:val="none"/>
                <w:vertAlign w:val="baseline"/>
                <w:lang w:val="en-US" w:eastAsia="zh-CN"/>
              </w:rPr>
            </w:pPr>
            <w:r>
              <w:rPr>
                <w:rFonts w:hint="eastAsia" w:ascii="宋体" w:hAnsi="宋体"/>
                <w:b w:val="0"/>
                <w:bCs/>
                <w:sz w:val="21"/>
                <w:szCs w:val="21"/>
                <w:highlight w:val="none"/>
                <w:vertAlign w:val="baseline"/>
                <w:lang w:val="en-US" w:eastAsia="zh-CN"/>
              </w:rPr>
              <w:t>合计（9-8月/元）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60" w:type="dxa"/>
            <w:vMerge w:val="continue"/>
            <w:vAlign w:val="center"/>
          </w:tcPr>
          <w:p>
            <w:pPr>
              <w:jc w:val="center"/>
              <w:rPr>
                <w:rFonts w:ascii="宋体" w:hAnsi="宋体"/>
                <w:b w:val="0"/>
                <w:bCs/>
                <w:sz w:val="21"/>
                <w:szCs w:val="21"/>
                <w:highlight w:val="none"/>
                <w:vertAlign w:val="baseline"/>
              </w:rPr>
            </w:pPr>
          </w:p>
        </w:tc>
        <w:tc>
          <w:tcPr>
            <w:tcW w:w="1264" w:type="dxa"/>
            <w:vAlign w:val="center"/>
          </w:tcPr>
          <w:p>
            <w:pPr>
              <w:jc w:val="center"/>
              <w:rPr>
                <w:rFonts w:hint="eastAsia" w:ascii="宋体" w:hAnsi="宋体" w:eastAsia="宋体"/>
                <w:b w:val="0"/>
                <w:bCs/>
                <w:sz w:val="21"/>
                <w:szCs w:val="21"/>
                <w:highlight w:val="none"/>
                <w:vertAlign w:val="baseline"/>
                <w:lang w:val="en-US" w:eastAsia="zh-CN"/>
              </w:rPr>
            </w:pPr>
            <w:r>
              <w:rPr>
                <w:rFonts w:hint="eastAsia" w:ascii="宋体" w:hAnsi="宋体"/>
                <w:b w:val="0"/>
                <w:bCs/>
                <w:sz w:val="21"/>
                <w:szCs w:val="21"/>
                <w:highlight w:val="none"/>
                <w:vertAlign w:val="baseline"/>
                <w:lang w:val="en-US" w:eastAsia="zh-CN"/>
              </w:rPr>
              <w:t>1、</w:t>
            </w:r>
          </w:p>
        </w:tc>
        <w:tc>
          <w:tcPr>
            <w:tcW w:w="2056" w:type="dxa"/>
            <w:vAlign w:val="center"/>
          </w:tcPr>
          <w:p>
            <w:pPr>
              <w:jc w:val="center"/>
              <w:rPr>
                <w:rFonts w:hint="default" w:ascii="宋体" w:hAnsi="宋体" w:eastAsia="宋体"/>
                <w:b w:val="0"/>
                <w:bCs/>
                <w:sz w:val="21"/>
                <w:szCs w:val="21"/>
                <w:highlight w:val="none"/>
                <w:vertAlign w:val="baseline"/>
                <w:lang w:val="en-US" w:eastAsia="zh-CN"/>
              </w:rPr>
            </w:pPr>
            <w:r>
              <w:rPr>
                <w:rFonts w:hint="eastAsia" w:ascii="宋体" w:hAnsi="宋体"/>
                <w:b w:val="0"/>
                <w:bCs/>
                <w:sz w:val="21"/>
                <w:szCs w:val="21"/>
                <w:highlight w:val="none"/>
                <w:vertAlign w:val="baseline"/>
                <w:lang w:val="en-US" w:eastAsia="zh-CN"/>
              </w:rPr>
              <w:t>专业技术人员</w:t>
            </w:r>
          </w:p>
          <w:p>
            <w:pPr>
              <w:rPr>
                <w:highlight w:val="none"/>
              </w:rPr>
            </w:pPr>
          </w:p>
        </w:tc>
        <w:tc>
          <w:tcPr>
            <w:tcW w:w="1330" w:type="dxa"/>
            <w:vAlign w:val="center"/>
          </w:tcPr>
          <w:p>
            <w:pPr>
              <w:jc w:val="center"/>
              <w:rPr>
                <w:highlight w:val="none"/>
              </w:rPr>
            </w:pPr>
            <w:r>
              <w:rPr>
                <w:rFonts w:hint="eastAsia" w:ascii="宋体" w:hAnsi="宋体"/>
                <w:b w:val="0"/>
                <w:bCs/>
                <w:sz w:val="21"/>
                <w:szCs w:val="21"/>
                <w:highlight w:val="none"/>
                <w:vertAlign w:val="baseline"/>
                <w:lang w:val="en-US" w:eastAsia="zh-CN"/>
              </w:rPr>
              <w:t>5</w:t>
            </w:r>
          </w:p>
        </w:tc>
        <w:tc>
          <w:tcPr>
            <w:tcW w:w="2142" w:type="dxa"/>
            <w:vMerge w:val="restart"/>
            <w:vAlign w:val="center"/>
          </w:tcPr>
          <w:p>
            <w:pPr>
              <w:jc w:val="center"/>
              <w:rPr>
                <w:rFonts w:hint="default" w:ascii="宋体" w:hAnsi="宋体" w:eastAsia="宋体"/>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660" w:type="dxa"/>
            <w:vMerge w:val="continue"/>
            <w:vAlign w:val="center"/>
          </w:tcPr>
          <w:p>
            <w:pPr>
              <w:jc w:val="center"/>
              <w:rPr>
                <w:rFonts w:ascii="宋体" w:hAnsi="宋体"/>
                <w:b w:val="0"/>
                <w:bCs/>
                <w:sz w:val="21"/>
                <w:szCs w:val="21"/>
                <w:highlight w:val="none"/>
                <w:vertAlign w:val="baseline"/>
              </w:rPr>
            </w:pPr>
          </w:p>
        </w:tc>
        <w:tc>
          <w:tcPr>
            <w:tcW w:w="1264" w:type="dxa"/>
            <w:vAlign w:val="center"/>
          </w:tcPr>
          <w:p>
            <w:pPr>
              <w:jc w:val="center"/>
              <w:rPr>
                <w:rFonts w:hint="eastAsia" w:ascii="宋体" w:hAnsi="宋体" w:eastAsia="宋体"/>
                <w:b w:val="0"/>
                <w:bCs/>
                <w:sz w:val="21"/>
                <w:szCs w:val="21"/>
                <w:highlight w:val="none"/>
                <w:vertAlign w:val="baseline"/>
                <w:lang w:val="en-US" w:eastAsia="zh-CN"/>
              </w:rPr>
            </w:pPr>
            <w:r>
              <w:rPr>
                <w:rFonts w:hint="eastAsia" w:ascii="宋体" w:hAnsi="宋体"/>
                <w:b w:val="0"/>
                <w:bCs/>
                <w:sz w:val="21"/>
                <w:szCs w:val="21"/>
                <w:highlight w:val="none"/>
                <w:vertAlign w:val="baseline"/>
                <w:lang w:val="en-US" w:eastAsia="zh-CN"/>
              </w:rPr>
              <w:t>2、</w:t>
            </w:r>
          </w:p>
        </w:tc>
        <w:tc>
          <w:tcPr>
            <w:tcW w:w="2056" w:type="dxa"/>
            <w:vAlign w:val="center"/>
          </w:tcPr>
          <w:p>
            <w:pPr>
              <w:jc w:val="center"/>
              <w:rPr>
                <w:rFonts w:hint="default" w:ascii="宋体" w:hAnsi="宋体" w:eastAsia="宋体"/>
                <w:b w:val="0"/>
                <w:bCs/>
                <w:sz w:val="21"/>
                <w:szCs w:val="21"/>
                <w:highlight w:val="none"/>
                <w:vertAlign w:val="baseline"/>
                <w:lang w:val="en-US" w:eastAsia="zh-CN"/>
              </w:rPr>
            </w:pPr>
            <w:r>
              <w:rPr>
                <w:rFonts w:hint="eastAsia" w:ascii="宋体" w:hAnsi="宋体"/>
                <w:b w:val="0"/>
                <w:bCs/>
                <w:sz w:val="21"/>
                <w:szCs w:val="21"/>
                <w:highlight w:val="none"/>
                <w:vertAlign w:val="baseline"/>
                <w:lang w:val="en-US" w:eastAsia="zh-CN"/>
              </w:rPr>
              <w:t>后勤人员</w:t>
            </w:r>
          </w:p>
        </w:tc>
        <w:tc>
          <w:tcPr>
            <w:tcW w:w="1330" w:type="dxa"/>
            <w:vAlign w:val="center"/>
          </w:tcPr>
          <w:p>
            <w:pPr>
              <w:jc w:val="center"/>
              <w:rPr>
                <w:rFonts w:hint="default" w:ascii="宋体" w:hAnsi="宋体" w:eastAsia="宋体"/>
                <w:b w:val="0"/>
                <w:bCs/>
                <w:sz w:val="21"/>
                <w:szCs w:val="21"/>
                <w:highlight w:val="none"/>
                <w:vertAlign w:val="baseline"/>
                <w:lang w:val="en-US" w:eastAsia="zh-CN"/>
              </w:rPr>
            </w:pPr>
            <w:r>
              <w:rPr>
                <w:rFonts w:hint="eastAsia" w:ascii="宋体" w:hAnsi="宋体"/>
                <w:b w:val="0"/>
                <w:bCs/>
                <w:sz w:val="21"/>
                <w:szCs w:val="21"/>
                <w:highlight w:val="none"/>
                <w:vertAlign w:val="baseline"/>
                <w:lang w:val="en-US" w:eastAsia="zh-CN"/>
              </w:rPr>
              <w:t>1</w:t>
            </w:r>
          </w:p>
        </w:tc>
        <w:tc>
          <w:tcPr>
            <w:tcW w:w="2142" w:type="dxa"/>
            <w:vMerge w:val="continue"/>
            <w:vAlign w:val="center"/>
          </w:tcPr>
          <w:p>
            <w:pPr>
              <w:jc w:val="center"/>
              <w:rPr>
                <w:rFonts w:ascii="宋体" w:hAnsi="宋体"/>
                <w:b w:val="0"/>
                <w:bCs/>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660" w:type="dxa"/>
            <w:vMerge w:val="continue"/>
            <w:vAlign w:val="center"/>
          </w:tcPr>
          <w:p>
            <w:pPr>
              <w:jc w:val="center"/>
              <w:rPr>
                <w:rFonts w:ascii="宋体" w:hAnsi="宋体"/>
                <w:b w:val="0"/>
                <w:bCs/>
                <w:sz w:val="21"/>
                <w:szCs w:val="21"/>
                <w:highlight w:val="none"/>
                <w:vertAlign w:val="baseline"/>
              </w:rPr>
            </w:pPr>
          </w:p>
        </w:tc>
        <w:tc>
          <w:tcPr>
            <w:tcW w:w="3320" w:type="dxa"/>
            <w:gridSpan w:val="2"/>
            <w:vAlign w:val="center"/>
          </w:tcPr>
          <w:p>
            <w:pPr>
              <w:jc w:val="center"/>
              <w:rPr>
                <w:rFonts w:hint="eastAsia" w:ascii="宋体" w:hAnsi="宋体" w:eastAsia="宋体"/>
                <w:b w:val="0"/>
                <w:bCs/>
                <w:sz w:val="21"/>
                <w:szCs w:val="21"/>
                <w:highlight w:val="none"/>
                <w:vertAlign w:val="baseline"/>
                <w:lang w:val="en-US" w:eastAsia="zh-CN"/>
              </w:rPr>
            </w:pPr>
            <w:r>
              <w:rPr>
                <w:rFonts w:hint="eastAsia" w:ascii="宋体" w:hAnsi="宋体"/>
                <w:b w:val="0"/>
                <w:bCs/>
                <w:sz w:val="21"/>
                <w:szCs w:val="21"/>
                <w:highlight w:val="none"/>
                <w:vertAlign w:val="baseline"/>
                <w:lang w:val="en-US" w:eastAsia="zh-CN"/>
              </w:rPr>
              <w:t>合计</w:t>
            </w:r>
          </w:p>
        </w:tc>
        <w:tc>
          <w:tcPr>
            <w:tcW w:w="1330" w:type="dxa"/>
            <w:vAlign w:val="center"/>
          </w:tcPr>
          <w:p>
            <w:pPr>
              <w:jc w:val="center"/>
              <w:rPr>
                <w:rFonts w:hint="default" w:ascii="宋体" w:hAnsi="宋体" w:eastAsia="宋体"/>
                <w:b w:val="0"/>
                <w:bCs/>
                <w:sz w:val="21"/>
                <w:szCs w:val="21"/>
                <w:highlight w:val="none"/>
                <w:vertAlign w:val="baseline"/>
                <w:lang w:val="en-US" w:eastAsia="zh-CN"/>
              </w:rPr>
            </w:pPr>
            <w:r>
              <w:rPr>
                <w:rFonts w:hint="eastAsia" w:ascii="宋体" w:hAnsi="宋体"/>
                <w:b w:val="0"/>
                <w:bCs/>
                <w:sz w:val="21"/>
                <w:szCs w:val="21"/>
                <w:highlight w:val="none"/>
                <w:vertAlign w:val="baseline"/>
                <w:lang w:val="en-US" w:eastAsia="zh-CN"/>
              </w:rPr>
              <w:t>6</w:t>
            </w:r>
          </w:p>
        </w:tc>
        <w:tc>
          <w:tcPr>
            <w:tcW w:w="2142" w:type="dxa"/>
            <w:vMerge w:val="continue"/>
            <w:vAlign w:val="center"/>
          </w:tcPr>
          <w:p>
            <w:pPr>
              <w:jc w:val="center"/>
              <w:rPr>
                <w:rFonts w:ascii="宋体" w:hAnsi="宋体"/>
                <w:b w:val="0"/>
                <w:bCs/>
                <w:sz w:val="21"/>
                <w:szCs w:val="21"/>
                <w:highlight w:val="none"/>
                <w:vertAlign w:val="baseline"/>
              </w:rPr>
            </w:pPr>
          </w:p>
        </w:tc>
      </w:tr>
    </w:tbl>
    <w:p>
      <w:pPr>
        <w:spacing w:before="156" w:beforeLines="50" w:after="156" w:afterLines="50" w:line="276" w:lineRule="auto"/>
        <w:ind w:firstLine="0" w:firstLineChars="0"/>
        <w:jc w:val="left"/>
        <w:rPr>
          <w:rFonts w:ascii="宋体" w:hAnsi="宋体"/>
          <w:szCs w:val="21"/>
          <w:highlight w:val="none"/>
        </w:rPr>
      </w:pPr>
    </w:p>
    <w:p>
      <w:pPr>
        <w:spacing w:before="156" w:beforeLines="50" w:after="156" w:afterLines="50" w:line="276" w:lineRule="auto"/>
        <w:ind w:firstLine="420" w:firstLineChars="200"/>
        <w:jc w:val="left"/>
        <w:rPr>
          <w:rFonts w:ascii="宋体" w:hAnsi="宋体"/>
          <w:szCs w:val="21"/>
          <w:highlight w:val="none"/>
        </w:rPr>
      </w:pPr>
      <w:r>
        <w:rPr>
          <w:rFonts w:ascii="宋体" w:hAnsi="宋体"/>
          <w:szCs w:val="21"/>
          <w:highlight w:val="none"/>
        </w:rPr>
        <w:t>（2）服务管理费用</w:t>
      </w:r>
    </w:p>
    <w:p>
      <w:pPr>
        <w:spacing w:line="360" w:lineRule="exact"/>
        <w:ind w:firstLine="420" w:firstLineChars="200"/>
        <w:rPr>
          <w:rFonts w:ascii="宋体" w:hAnsi="宋体"/>
          <w:szCs w:val="21"/>
          <w:highlight w:val="none"/>
        </w:rPr>
      </w:pPr>
      <w:r>
        <w:rPr>
          <w:rFonts w:ascii="宋体" w:hAnsi="宋体"/>
          <w:szCs w:val="21"/>
          <w:highlight w:val="none"/>
        </w:rPr>
        <w:t>该项费用包含中标单位的服务费、招聘费、合理利润、税金等。除上述费用外，中标单位不得以需要向服务人员支付经济补偿金、赔偿金等理由要求采购单位支付任何额外费用。</w:t>
      </w:r>
    </w:p>
    <w:p>
      <w:pPr>
        <w:spacing w:line="360" w:lineRule="exact"/>
        <w:ind w:firstLine="420" w:firstLineChars="200"/>
        <w:rPr>
          <w:rFonts w:ascii="宋体" w:hAnsi="宋体"/>
          <w:szCs w:val="21"/>
          <w:highlight w:val="none"/>
        </w:rPr>
      </w:pPr>
      <w:r>
        <w:rPr>
          <w:rFonts w:hint="eastAsia" w:ascii="宋体" w:hAnsi="宋体"/>
          <w:szCs w:val="21"/>
          <w:highlight w:val="none"/>
        </w:rPr>
        <w:t>3、甲方按照乙方实际提供的购买服务支付服务费用给乙方，服务费用包含服务人员费用及服务管理费用。</w:t>
      </w:r>
    </w:p>
    <w:p>
      <w:pPr>
        <w:adjustRightInd w:val="0"/>
        <w:snapToGrid w:val="0"/>
        <w:spacing w:line="276" w:lineRule="auto"/>
        <w:ind w:firstLine="420" w:firstLineChars="200"/>
        <w:rPr>
          <w:rFonts w:hint="eastAsia" w:ascii="宋体" w:hAnsi="宋体" w:cs="宋体"/>
          <w:bCs/>
          <w:color w:val="000000" w:themeColor="text1"/>
          <w:szCs w:val="21"/>
          <w:highlight w:val="none"/>
          <w14:textFill>
            <w14:solidFill>
              <w14:schemeClr w14:val="tx1"/>
            </w14:solidFill>
          </w14:textFill>
        </w:rPr>
      </w:pPr>
    </w:p>
    <w:p>
      <w:pPr>
        <w:adjustRightInd w:val="0"/>
        <w:snapToGrid w:val="0"/>
        <w:spacing w:line="276"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如果违反本承诺书中任何条款，我方愿意接受：</w:t>
      </w:r>
    </w:p>
    <w:p>
      <w:pPr>
        <w:adjustRightInd w:val="0"/>
        <w:snapToGrid w:val="0"/>
        <w:spacing w:line="276"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1.取消我方中标资格并按照虚假投标进行相应处理；</w:t>
      </w:r>
    </w:p>
    <w:p>
      <w:pPr>
        <w:adjustRightInd w:val="0"/>
        <w:snapToGrid w:val="0"/>
        <w:spacing w:line="276"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2.视作我方单方面违约，并按照合同规定向贵方支付违约金或解除合同；</w:t>
      </w:r>
    </w:p>
    <w:p>
      <w:pPr>
        <w:adjustRightInd w:val="0"/>
        <w:snapToGrid w:val="0"/>
        <w:spacing w:line="276"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3.履约评价评定为合格及以下；</w:t>
      </w:r>
    </w:p>
    <w:p>
      <w:pPr>
        <w:adjustRightInd w:val="0"/>
        <w:snapToGrid w:val="0"/>
        <w:spacing w:line="276"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4.行政主管部门或相关主管部门的不良行为记录、行政处</w:t>
      </w:r>
      <w:r>
        <w:rPr>
          <w:rFonts w:hint="eastAsia" w:ascii="宋体" w:hAnsi="宋体"/>
          <w:bCs/>
          <w:color w:val="000000" w:themeColor="text1"/>
          <w:szCs w:val="21"/>
          <w:highlight w:val="none"/>
          <w14:textFill>
            <w14:solidFill>
              <w14:schemeClr w14:val="tx1"/>
            </w14:solidFill>
          </w14:textFill>
        </w:rPr>
        <w:t>罚。</w:t>
      </w:r>
    </w:p>
    <w:p>
      <w:pPr>
        <w:adjustRightInd w:val="0"/>
        <w:snapToGrid w:val="0"/>
        <w:spacing w:line="276" w:lineRule="auto"/>
        <w:ind w:right="960" w:firstLine="210" w:firstLineChars="10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p>
    <w:p>
      <w:pPr>
        <w:adjustRightInd w:val="0"/>
        <w:snapToGrid w:val="0"/>
        <w:spacing w:line="276" w:lineRule="auto"/>
        <w:ind w:right="960" w:firstLine="210" w:firstLineChars="10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投标供应商：  </w:t>
      </w:r>
    </w:p>
    <w:p>
      <w:pPr>
        <w:adjustRightInd w:val="0"/>
        <w:snapToGrid w:val="0"/>
        <w:spacing w:line="276" w:lineRule="auto"/>
        <w:jc w:val="center"/>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日      期：  </w:t>
      </w:r>
      <w:r>
        <w:rPr>
          <w:rFonts w:hint="eastAsia" w:ascii="宋体" w:hAnsi="宋体"/>
          <w:color w:val="000000" w:themeColor="text1"/>
          <w:szCs w:val="21"/>
          <w:highlight w:val="none"/>
          <w:u w:val="single"/>
          <w14:textFill>
            <w14:solidFill>
              <w14:schemeClr w14:val="tx1"/>
            </w14:solidFill>
          </w14:textFill>
        </w:rPr>
        <w:t xml:space="preserve">       年    月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日</w:t>
      </w:r>
    </w:p>
    <w:p>
      <w:pPr>
        <w:pStyle w:val="6"/>
        <w:adjustRightInd w:val="0"/>
        <w:snapToGrid w:val="0"/>
        <w:spacing w:before="0" w:after="0" w:line="276" w:lineRule="auto"/>
        <w:jc w:val="left"/>
        <w:rPr>
          <w:highlight w:val="none"/>
        </w:rPr>
      </w:pPr>
      <w:r>
        <w:rPr>
          <w:rFonts w:hint="eastAsia" w:ascii="宋体" w:hAnsi="宋体" w:eastAsia="宋体"/>
          <w:sz w:val="21"/>
          <w:szCs w:val="21"/>
          <w:highlight w:val="none"/>
          <w:lang w:val="en-US" w:eastAsia="zh-CN"/>
        </w:rPr>
        <w:t>7</w:t>
      </w:r>
      <w:r>
        <w:rPr>
          <w:rFonts w:ascii="宋体" w:hAnsi="宋体" w:eastAsia="宋体"/>
          <w:sz w:val="21"/>
          <w:szCs w:val="21"/>
          <w:highlight w:val="none"/>
        </w:rPr>
        <w:t>-2</w:t>
      </w:r>
      <w:r>
        <w:rPr>
          <w:rFonts w:hint="eastAsia" w:ascii="宋体" w:hAnsi="宋体" w:eastAsia="宋体"/>
          <w:sz w:val="21"/>
          <w:szCs w:val="21"/>
          <w:highlight w:val="none"/>
        </w:rPr>
        <w:t>拟安排的项目负责人情况（仅限一人）情况</w:t>
      </w:r>
    </w:p>
    <w:tbl>
      <w:tblPr>
        <w:tblStyle w:val="42"/>
        <w:tblW w:w="845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932"/>
        <w:gridCol w:w="932"/>
        <w:gridCol w:w="932"/>
        <w:gridCol w:w="1224"/>
        <w:gridCol w:w="992"/>
        <w:gridCol w:w="1171"/>
        <w:gridCol w:w="114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jc w:val="center"/>
        </w:trPr>
        <w:tc>
          <w:tcPr>
            <w:tcW w:w="1125" w:type="dxa"/>
            <w:vMerge w:val="restart"/>
            <w:vAlign w:val="center"/>
          </w:tcPr>
          <w:p>
            <w:pPr>
              <w:spacing w:line="276" w:lineRule="auto"/>
              <w:jc w:val="center"/>
              <w:rPr>
                <w:rFonts w:ascii="宋体" w:hAnsi="宋体"/>
                <w:szCs w:val="21"/>
                <w:highlight w:val="none"/>
              </w:rPr>
            </w:pPr>
            <w:r>
              <w:rPr>
                <w:rFonts w:hint="eastAsia" w:ascii="宋体" w:hAnsi="宋体"/>
                <w:szCs w:val="21"/>
                <w:highlight w:val="none"/>
              </w:rPr>
              <w:t>类别</w:t>
            </w:r>
          </w:p>
        </w:tc>
        <w:tc>
          <w:tcPr>
            <w:tcW w:w="932" w:type="dxa"/>
            <w:vMerge w:val="restart"/>
            <w:vAlign w:val="center"/>
          </w:tcPr>
          <w:p>
            <w:pPr>
              <w:spacing w:line="276" w:lineRule="auto"/>
              <w:jc w:val="center"/>
              <w:rPr>
                <w:rFonts w:ascii="宋体" w:hAnsi="宋体"/>
                <w:szCs w:val="21"/>
                <w:highlight w:val="none"/>
              </w:rPr>
            </w:pPr>
            <w:r>
              <w:rPr>
                <w:rFonts w:hint="eastAsia" w:ascii="宋体" w:hAnsi="宋体"/>
                <w:szCs w:val="21"/>
                <w:highlight w:val="none"/>
              </w:rPr>
              <w:t>姓名</w:t>
            </w:r>
          </w:p>
        </w:tc>
        <w:tc>
          <w:tcPr>
            <w:tcW w:w="932" w:type="dxa"/>
            <w:vMerge w:val="restart"/>
            <w:vAlign w:val="center"/>
          </w:tcPr>
          <w:p>
            <w:pPr>
              <w:spacing w:line="276" w:lineRule="auto"/>
              <w:jc w:val="center"/>
              <w:rPr>
                <w:rFonts w:ascii="宋体" w:hAnsi="宋体"/>
                <w:szCs w:val="21"/>
                <w:highlight w:val="none"/>
              </w:rPr>
            </w:pPr>
            <w:r>
              <w:rPr>
                <w:rFonts w:hint="eastAsia" w:ascii="宋体" w:hAnsi="宋体"/>
                <w:szCs w:val="21"/>
                <w:highlight w:val="none"/>
              </w:rPr>
              <w:t>职称</w:t>
            </w:r>
          </w:p>
        </w:tc>
        <w:tc>
          <w:tcPr>
            <w:tcW w:w="932" w:type="dxa"/>
            <w:vMerge w:val="restart"/>
            <w:vAlign w:val="center"/>
          </w:tcPr>
          <w:p>
            <w:pPr>
              <w:spacing w:line="276" w:lineRule="auto"/>
              <w:jc w:val="center"/>
              <w:rPr>
                <w:rFonts w:ascii="宋体" w:hAnsi="宋体"/>
                <w:szCs w:val="21"/>
                <w:highlight w:val="none"/>
              </w:rPr>
            </w:pPr>
            <w:r>
              <w:rPr>
                <w:rFonts w:hint="eastAsia" w:ascii="宋体" w:hAnsi="宋体"/>
                <w:szCs w:val="21"/>
                <w:highlight w:val="none"/>
              </w:rPr>
              <w:t>学历</w:t>
            </w:r>
          </w:p>
        </w:tc>
        <w:tc>
          <w:tcPr>
            <w:tcW w:w="4536" w:type="dxa"/>
            <w:gridSpan w:val="4"/>
            <w:vAlign w:val="center"/>
          </w:tcPr>
          <w:p>
            <w:pPr>
              <w:spacing w:line="276" w:lineRule="auto"/>
              <w:jc w:val="center"/>
              <w:rPr>
                <w:rFonts w:ascii="宋体" w:hAnsi="宋体"/>
                <w:szCs w:val="21"/>
                <w:highlight w:val="none"/>
              </w:rPr>
            </w:pPr>
            <w:r>
              <w:rPr>
                <w:rFonts w:hint="eastAsia" w:ascii="宋体" w:hAnsi="宋体"/>
                <w:szCs w:val="21"/>
                <w:highlight w:val="none"/>
              </w:rPr>
              <w:t>上岗资格证明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1125" w:type="dxa"/>
            <w:vMerge w:val="continue"/>
            <w:vAlign w:val="center"/>
          </w:tcPr>
          <w:p>
            <w:pPr>
              <w:spacing w:line="276" w:lineRule="auto"/>
              <w:jc w:val="center"/>
              <w:rPr>
                <w:rFonts w:ascii="宋体" w:hAnsi="宋体"/>
                <w:szCs w:val="21"/>
                <w:highlight w:val="none"/>
              </w:rPr>
            </w:pPr>
          </w:p>
        </w:tc>
        <w:tc>
          <w:tcPr>
            <w:tcW w:w="932" w:type="dxa"/>
            <w:vMerge w:val="continue"/>
            <w:vAlign w:val="center"/>
          </w:tcPr>
          <w:p>
            <w:pPr>
              <w:spacing w:line="276" w:lineRule="auto"/>
              <w:jc w:val="center"/>
              <w:rPr>
                <w:rFonts w:ascii="宋体" w:hAnsi="宋体"/>
                <w:szCs w:val="21"/>
                <w:highlight w:val="none"/>
              </w:rPr>
            </w:pPr>
          </w:p>
        </w:tc>
        <w:tc>
          <w:tcPr>
            <w:tcW w:w="932" w:type="dxa"/>
            <w:vMerge w:val="continue"/>
          </w:tcPr>
          <w:p>
            <w:pPr>
              <w:spacing w:line="276" w:lineRule="auto"/>
              <w:jc w:val="center"/>
              <w:rPr>
                <w:rFonts w:ascii="宋体" w:hAnsi="宋体"/>
                <w:szCs w:val="21"/>
                <w:highlight w:val="none"/>
              </w:rPr>
            </w:pPr>
          </w:p>
        </w:tc>
        <w:tc>
          <w:tcPr>
            <w:tcW w:w="932" w:type="dxa"/>
            <w:vMerge w:val="continue"/>
            <w:vAlign w:val="center"/>
          </w:tcPr>
          <w:p>
            <w:pPr>
              <w:spacing w:line="276" w:lineRule="auto"/>
              <w:jc w:val="center"/>
              <w:rPr>
                <w:rFonts w:ascii="宋体" w:hAnsi="宋体"/>
                <w:szCs w:val="21"/>
                <w:highlight w:val="none"/>
              </w:rPr>
            </w:pPr>
          </w:p>
        </w:tc>
        <w:tc>
          <w:tcPr>
            <w:tcW w:w="1224" w:type="dxa"/>
            <w:vAlign w:val="center"/>
          </w:tcPr>
          <w:p>
            <w:pPr>
              <w:spacing w:line="276" w:lineRule="auto"/>
              <w:jc w:val="center"/>
              <w:rPr>
                <w:rFonts w:ascii="宋体" w:hAnsi="宋体"/>
                <w:szCs w:val="21"/>
                <w:highlight w:val="none"/>
              </w:rPr>
            </w:pPr>
            <w:r>
              <w:rPr>
                <w:rFonts w:hint="eastAsia" w:ascii="宋体" w:hAnsi="宋体"/>
                <w:szCs w:val="21"/>
                <w:highlight w:val="none"/>
              </w:rPr>
              <w:t>证书名称</w:t>
            </w:r>
          </w:p>
        </w:tc>
        <w:tc>
          <w:tcPr>
            <w:tcW w:w="992" w:type="dxa"/>
            <w:vAlign w:val="center"/>
          </w:tcPr>
          <w:p>
            <w:pPr>
              <w:spacing w:line="276" w:lineRule="auto"/>
              <w:jc w:val="center"/>
              <w:rPr>
                <w:rFonts w:ascii="宋体" w:hAnsi="宋体"/>
                <w:szCs w:val="21"/>
                <w:highlight w:val="none"/>
              </w:rPr>
            </w:pPr>
            <w:r>
              <w:rPr>
                <w:rFonts w:hint="eastAsia" w:ascii="宋体" w:hAnsi="宋体"/>
                <w:szCs w:val="21"/>
                <w:highlight w:val="none"/>
              </w:rPr>
              <w:t>级别</w:t>
            </w:r>
          </w:p>
        </w:tc>
        <w:tc>
          <w:tcPr>
            <w:tcW w:w="1171" w:type="dxa"/>
            <w:vAlign w:val="center"/>
          </w:tcPr>
          <w:p>
            <w:pPr>
              <w:spacing w:line="276" w:lineRule="auto"/>
              <w:jc w:val="center"/>
              <w:rPr>
                <w:rFonts w:ascii="宋体" w:hAnsi="宋体"/>
                <w:szCs w:val="21"/>
                <w:highlight w:val="none"/>
              </w:rPr>
            </w:pPr>
            <w:r>
              <w:rPr>
                <w:rFonts w:hint="eastAsia" w:ascii="宋体" w:hAnsi="宋体"/>
                <w:szCs w:val="21"/>
                <w:highlight w:val="none"/>
              </w:rPr>
              <w:t>证号</w:t>
            </w:r>
          </w:p>
        </w:tc>
        <w:tc>
          <w:tcPr>
            <w:tcW w:w="1149" w:type="dxa"/>
            <w:vAlign w:val="center"/>
          </w:tcPr>
          <w:p>
            <w:pPr>
              <w:spacing w:line="276" w:lineRule="auto"/>
              <w:jc w:val="center"/>
              <w:rPr>
                <w:rFonts w:ascii="宋体" w:hAnsi="宋体"/>
                <w:szCs w:val="21"/>
                <w:highlight w:val="none"/>
              </w:rPr>
            </w:pPr>
            <w:r>
              <w:rPr>
                <w:rFonts w:hint="eastAsia" w:ascii="宋体" w:hAnsi="宋体"/>
                <w:szCs w:val="21"/>
                <w:highlight w:val="none"/>
              </w:rPr>
              <w:t>专业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125" w:type="dxa"/>
            <w:vAlign w:val="center"/>
          </w:tcPr>
          <w:p>
            <w:pPr>
              <w:spacing w:line="276" w:lineRule="auto"/>
              <w:jc w:val="center"/>
              <w:rPr>
                <w:rFonts w:ascii="宋体" w:hAnsi="宋体"/>
                <w:szCs w:val="21"/>
                <w:highlight w:val="none"/>
              </w:rPr>
            </w:pPr>
            <w:r>
              <w:rPr>
                <w:rFonts w:hint="eastAsia" w:ascii="宋体" w:hAnsi="宋体"/>
                <w:szCs w:val="21"/>
                <w:highlight w:val="none"/>
              </w:rPr>
              <w:t>拟派项目负责人</w:t>
            </w:r>
          </w:p>
        </w:tc>
        <w:tc>
          <w:tcPr>
            <w:tcW w:w="932" w:type="dxa"/>
            <w:vAlign w:val="center"/>
          </w:tcPr>
          <w:p>
            <w:pPr>
              <w:spacing w:line="276" w:lineRule="auto"/>
              <w:jc w:val="center"/>
              <w:rPr>
                <w:rFonts w:ascii="宋体" w:hAnsi="宋体"/>
                <w:szCs w:val="21"/>
                <w:highlight w:val="none"/>
              </w:rPr>
            </w:pPr>
          </w:p>
        </w:tc>
        <w:tc>
          <w:tcPr>
            <w:tcW w:w="932" w:type="dxa"/>
          </w:tcPr>
          <w:p>
            <w:pPr>
              <w:spacing w:line="276" w:lineRule="auto"/>
              <w:jc w:val="center"/>
              <w:rPr>
                <w:rFonts w:ascii="宋体" w:hAnsi="宋体"/>
                <w:szCs w:val="21"/>
                <w:highlight w:val="none"/>
              </w:rPr>
            </w:pPr>
          </w:p>
        </w:tc>
        <w:tc>
          <w:tcPr>
            <w:tcW w:w="932" w:type="dxa"/>
            <w:vAlign w:val="center"/>
          </w:tcPr>
          <w:p>
            <w:pPr>
              <w:spacing w:line="276" w:lineRule="auto"/>
              <w:jc w:val="center"/>
              <w:rPr>
                <w:rFonts w:ascii="宋体" w:hAnsi="宋体"/>
                <w:szCs w:val="21"/>
                <w:highlight w:val="none"/>
              </w:rPr>
            </w:pPr>
          </w:p>
        </w:tc>
        <w:tc>
          <w:tcPr>
            <w:tcW w:w="1224" w:type="dxa"/>
            <w:vAlign w:val="center"/>
          </w:tcPr>
          <w:p>
            <w:pPr>
              <w:spacing w:line="276" w:lineRule="auto"/>
              <w:jc w:val="center"/>
              <w:rPr>
                <w:rFonts w:ascii="宋体" w:hAnsi="宋体"/>
                <w:szCs w:val="21"/>
                <w:highlight w:val="none"/>
              </w:rPr>
            </w:pPr>
          </w:p>
        </w:tc>
        <w:tc>
          <w:tcPr>
            <w:tcW w:w="992" w:type="dxa"/>
            <w:vAlign w:val="center"/>
          </w:tcPr>
          <w:p>
            <w:pPr>
              <w:spacing w:line="276" w:lineRule="auto"/>
              <w:jc w:val="center"/>
              <w:rPr>
                <w:rFonts w:ascii="宋体" w:hAnsi="宋体"/>
                <w:szCs w:val="21"/>
                <w:highlight w:val="none"/>
              </w:rPr>
            </w:pPr>
          </w:p>
        </w:tc>
        <w:tc>
          <w:tcPr>
            <w:tcW w:w="1171" w:type="dxa"/>
            <w:vAlign w:val="center"/>
          </w:tcPr>
          <w:p>
            <w:pPr>
              <w:spacing w:line="276" w:lineRule="auto"/>
              <w:jc w:val="center"/>
              <w:rPr>
                <w:rFonts w:ascii="宋体" w:hAnsi="宋体"/>
                <w:szCs w:val="21"/>
                <w:highlight w:val="none"/>
              </w:rPr>
            </w:pPr>
          </w:p>
        </w:tc>
        <w:tc>
          <w:tcPr>
            <w:tcW w:w="1149" w:type="dxa"/>
            <w:vAlign w:val="center"/>
          </w:tcPr>
          <w:p>
            <w:pPr>
              <w:spacing w:line="276" w:lineRule="auto"/>
              <w:jc w:val="center"/>
              <w:rPr>
                <w:rFonts w:ascii="宋体" w:hAnsi="宋体"/>
                <w:szCs w:val="21"/>
                <w:highlight w:val="none"/>
              </w:rPr>
            </w:pPr>
          </w:p>
        </w:tc>
      </w:tr>
    </w:tbl>
    <w:p>
      <w:pPr>
        <w:pStyle w:val="2"/>
        <w:spacing w:line="276" w:lineRule="auto"/>
        <w:rPr>
          <w:b w:val="0"/>
          <w:bCs w:val="0"/>
          <w:sz w:val="21"/>
          <w:szCs w:val="21"/>
          <w:highlight w:val="none"/>
        </w:rPr>
      </w:pPr>
      <w:r>
        <w:rPr>
          <w:rFonts w:hint="eastAsia"/>
          <w:b w:val="0"/>
          <w:bCs w:val="0"/>
          <w:sz w:val="21"/>
          <w:szCs w:val="21"/>
          <w:highlight w:val="none"/>
        </w:rPr>
        <w:t>（特别提示：以上表格仅供参考。投标人须按本招标文件评标信息中“拟安排的项目负责人情况（仅限一人）”这一评分因素要求，提供证明资料）</w:t>
      </w:r>
    </w:p>
    <w:p>
      <w:pPr>
        <w:adjustRightInd w:val="0"/>
        <w:snapToGrid w:val="0"/>
        <w:rPr>
          <w:highlight w:val="none"/>
        </w:rPr>
      </w:pPr>
    </w:p>
    <w:p>
      <w:pPr>
        <w:pStyle w:val="2"/>
        <w:rPr>
          <w:highlight w:val="none"/>
        </w:rPr>
      </w:pPr>
    </w:p>
    <w:p>
      <w:pPr>
        <w:pStyle w:val="5"/>
        <w:jc w:val="center"/>
        <w:rPr>
          <w:rFonts w:ascii="黑体" w:eastAsia="黑体"/>
          <w:b w:val="0"/>
          <w:kern w:val="0"/>
          <w:sz w:val="24"/>
          <w:szCs w:val="24"/>
          <w:highlight w:val="none"/>
        </w:rPr>
      </w:pPr>
      <w:bookmarkStart w:id="45" w:name="_Toc59916727"/>
      <w:r>
        <w:rPr>
          <w:rFonts w:hint="eastAsia" w:ascii="黑体" w:eastAsia="黑体"/>
          <w:b w:val="0"/>
          <w:kern w:val="0"/>
          <w:sz w:val="24"/>
          <w:szCs w:val="24"/>
          <w:highlight w:val="none"/>
          <w:lang w:val="en-US" w:eastAsia="zh-CN"/>
        </w:rPr>
        <w:t>八</w:t>
      </w:r>
      <w:r>
        <w:rPr>
          <w:rFonts w:hint="eastAsia" w:ascii="黑体" w:eastAsia="黑体"/>
          <w:b w:val="0"/>
          <w:kern w:val="0"/>
          <w:sz w:val="24"/>
          <w:szCs w:val="24"/>
          <w:highlight w:val="none"/>
        </w:rPr>
        <w:t>、</w:t>
      </w:r>
      <w:bookmarkEnd w:id="45"/>
      <w:r>
        <w:rPr>
          <w:rFonts w:hint="eastAsia" w:ascii="黑体" w:eastAsia="黑体"/>
          <w:b w:val="0"/>
          <w:kern w:val="0"/>
          <w:sz w:val="24"/>
          <w:szCs w:val="24"/>
          <w:highlight w:val="none"/>
        </w:rPr>
        <w:t>拟安排的项目主要团队成员（主要技术人员）情况（项目负责人除外）情况</w:t>
      </w:r>
    </w:p>
    <w:tbl>
      <w:tblPr>
        <w:tblStyle w:val="42"/>
        <w:tblW w:w="883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876"/>
        <w:gridCol w:w="877"/>
        <w:gridCol w:w="877"/>
        <w:gridCol w:w="877"/>
        <w:gridCol w:w="1151"/>
        <w:gridCol w:w="933"/>
        <w:gridCol w:w="1101"/>
        <w:gridCol w:w="108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8" w:type="dxa"/>
            <w:vMerge w:val="restart"/>
            <w:vAlign w:val="center"/>
          </w:tcPr>
          <w:p>
            <w:pPr>
              <w:spacing w:line="276" w:lineRule="auto"/>
              <w:jc w:val="center"/>
              <w:rPr>
                <w:rFonts w:ascii="宋体" w:hAnsi="宋体" w:cs="宋体"/>
                <w:szCs w:val="21"/>
                <w:highlight w:val="none"/>
              </w:rPr>
            </w:pPr>
            <w:r>
              <w:rPr>
                <w:rFonts w:hint="eastAsia" w:ascii="宋体" w:hAnsi="宋体" w:cs="宋体"/>
                <w:szCs w:val="21"/>
                <w:highlight w:val="none"/>
              </w:rPr>
              <w:t>类别</w:t>
            </w:r>
          </w:p>
        </w:tc>
        <w:tc>
          <w:tcPr>
            <w:tcW w:w="876" w:type="dxa"/>
            <w:vMerge w:val="restart"/>
            <w:vAlign w:val="center"/>
          </w:tcPr>
          <w:p>
            <w:pPr>
              <w:spacing w:line="276" w:lineRule="auto"/>
              <w:jc w:val="center"/>
              <w:rPr>
                <w:rFonts w:ascii="宋体" w:hAnsi="宋体" w:cs="宋体"/>
                <w:szCs w:val="21"/>
                <w:highlight w:val="none"/>
              </w:rPr>
            </w:pPr>
            <w:r>
              <w:rPr>
                <w:rFonts w:hint="eastAsia" w:ascii="宋体" w:hAnsi="宋体" w:cs="宋体"/>
                <w:szCs w:val="21"/>
                <w:highlight w:val="none"/>
              </w:rPr>
              <w:t>职务</w:t>
            </w:r>
          </w:p>
        </w:tc>
        <w:tc>
          <w:tcPr>
            <w:tcW w:w="877" w:type="dxa"/>
            <w:vMerge w:val="restart"/>
            <w:vAlign w:val="center"/>
          </w:tcPr>
          <w:p>
            <w:pPr>
              <w:spacing w:line="276" w:lineRule="auto"/>
              <w:jc w:val="center"/>
              <w:rPr>
                <w:rFonts w:ascii="宋体" w:hAnsi="宋体" w:cs="宋体"/>
                <w:szCs w:val="21"/>
                <w:highlight w:val="none"/>
              </w:rPr>
            </w:pPr>
            <w:r>
              <w:rPr>
                <w:rFonts w:hint="eastAsia" w:ascii="宋体" w:hAnsi="宋体" w:cs="宋体"/>
                <w:szCs w:val="21"/>
                <w:highlight w:val="none"/>
              </w:rPr>
              <w:t>姓名</w:t>
            </w:r>
          </w:p>
        </w:tc>
        <w:tc>
          <w:tcPr>
            <w:tcW w:w="877" w:type="dxa"/>
            <w:vMerge w:val="restart"/>
            <w:vAlign w:val="center"/>
          </w:tcPr>
          <w:p>
            <w:pPr>
              <w:spacing w:line="276" w:lineRule="auto"/>
              <w:jc w:val="center"/>
              <w:rPr>
                <w:rFonts w:ascii="宋体" w:hAnsi="宋体" w:cs="宋体"/>
                <w:szCs w:val="21"/>
                <w:highlight w:val="none"/>
              </w:rPr>
            </w:pPr>
            <w:r>
              <w:rPr>
                <w:rFonts w:hint="eastAsia" w:ascii="宋体" w:hAnsi="宋体" w:cs="宋体"/>
                <w:szCs w:val="21"/>
                <w:highlight w:val="none"/>
              </w:rPr>
              <w:t>职称</w:t>
            </w:r>
          </w:p>
        </w:tc>
        <w:tc>
          <w:tcPr>
            <w:tcW w:w="877" w:type="dxa"/>
            <w:vMerge w:val="restart"/>
            <w:vAlign w:val="center"/>
          </w:tcPr>
          <w:p>
            <w:pPr>
              <w:spacing w:line="276" w:lineRule="auto"/>
              <w:jc w:val="center"/>
              <w:rPr>
                <w:rFonts w:ascii="宋体" w:hAnsi="宋体" w:cs="宋体"/>
                <w:szCs w:val="21"/>
                <w:highlight w:val="none"/>
              </w:rPr>
            </w:pPr>
            <w:r>
              <w:rPr>
                <w:rFonts w:hint="eastAsia" w:ascii="宋体" w:hAnsi="宋体" w:cs="宋体"/>
                <w:szCs w:val="21"/>
                <w:highlight w:val="none"/>
              </w:rPr>
              <w:t>学历</w:t>
            </w:r>
          </w:p>
        </w:tc>
        <w:tc>
          <w:tcPr>
            <w:tcW w:w="4265" w:type="dxa"/>
            <w:gridSpan w:val="4"/>
            <w:vAlign w:val="center"/>
          </w:tcPr>
          <w:p>
            <w:pPr>
              <w:spacing w:line="276" w:lineRule="auto"/>
              <w:jc w:val="center"/>
              <w:rPr>
                <w:rFonts w:ascii="宋体" w:hAnsi="宋体" w:cs="宋体"/>
                <w:szCs w:val="21"/>
                <w:highlight w:val="none"/>
              </w:rPr>
            </w:pPr>
            <w:r>
              <w:rPr>
                <w:rFonts w:hint="eastAsia" w:ascii="宋体" w:hAnsi="宋体" w:cs="宋体"/>
                <w:szCs w:val="21"/>
                <w:highlight w:val="none"/>
              </w:rPr>
              <w:t>上岗资格证明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058" w:type="dxa"/>
            <w:vMerge w:val="continue"/>
            <w:vAlign w:val="center"/>
          </w:tcPr>
          <w:p>
            <w:pPr>
              <w:spacing w:line="276" w:lineRule="auto"/>
              <w:jc w:val="center"/>
              <w:rPr>
                <w:rFonts w:ascii="宋体" w:hAnsi="宋体" w:cs="宋体"/>
                <w:szCs w:val="21"/>
                <w:highlight w:val="none"/>
              </w:rPr>
            </w:pPr>
          </w:p>
        </w:tc>
        <w:tc>
          <w:tcPr>
            <w:tcW w:w="876" w:type="dxa"/>
            <w:vMerge w:val="continue"/>
            <w:vAlign w:val="center"/>
          </w:tcPr>
          <w:p>
            <w:pPr>
              <w:spacing w:line="276" w:lineRule="auto"/>
              <w:jc w:val="center"/>
              <w:rPr>
                <w:rFonts w:ascii="宋体" w:hAnsi="宋体" w:cs="宋体"/>
                <w:szCs w:val="21"/>
                <w:highlight w:val="none"/>
              </w:rPr>
            </w:pPr>
          </w:p>
        </w:tc>
        <w:tc>
          <w:tcPr>
            <w:tcW w:w="877" w:type="dxa"/>
            <w:vMerge w:val="continue"/>
            <w:vAlign w:val="center"/>
          </w:tcPr>
          <w:p>
            <w:pPr>
              <w:spacing w:line="276" w:lineRule="auto"/>
              <w:jc w:val="center"/>
              <w:rPr>
                <w:rFonts w:ascii="宋体" w:hAnsi="宋体" w:cs="宋体"/>
                <w:szCs w:val="21"/>
                <w:highlight w:val="none"/>
              </w:rPr>
            </w:pPr>
          </w:p>
        </w:tc>
        <w:tc>
          <w:tcPr>
            <w:tcW w:w="877" w:type="dxa"/>
            <w:vMerge w:val="continue"/>
          </w:tcPr>
          <w:p>
            <w:pPr>
              <w:spacing w:line="276" w:lineRule="auto"/>
              <w:jc w:val="center"/>
              <w:rPr>
                <w:rFonts w:ascii="宋体" w:hAnsi="宋体" w:cs="宋体"/>
                <w:szCs w:val="21"/>
                <w:highlight w:val="none"/>
              </w:rPr>
            </w:pPr>
          </w:p>
        </w:tc>
        <w:tc>
          <w:tcPr>
            <w:tcW w:w="877" w:type="dxa"/>
            <w:vMerge w:val="continue"/>
            <w:vAlign w:val="center"/>
          </w:tcPr>
          <w:p>
            <w:pPr>
              <w:spacing w:line="276" w:lineRule="auto"/>
              <w:jc w:val="center"/>
              <w:rPr>
                <w:rFonts w:ascii="宋体" w:hAnsi="宋体" w:cs="宋体"/>
                <w:szCs w:val="21"/>
                <w:highlight w:val="none"/>
              </w:rPr>
            </w:pPr>
          </w:p>
        </w:tc>
        <w:tc>
          <w:tcPr>
            <w:tcW w:w="1151" w:type="dxa"/>
            <w:vAlign w:val="center"/>
          </w:tcPr>
          <w:p>
            <w:pPr>
              <w:spacing w:line="276" w:lineRule="auto"/>
              <w:jc w:val="center"/>
              <w:rPr>
                <w:rFonts w:ascii="宋体" w:hAnsi="宋体" w:cs="宋体"/>
                <w:szCs w:val="21"/>
                <w:highlight w:val="none"/>
              </w:rPr>
            </w:pPr>
            <w:r>
              <w:rPr>
                <w:rFonts w:hint="eastAsia" w:ascii="宋体" w:hAnsi="宋体" w:cs="宋体"/>
                <w:szCs w:val="21"/>
                <w:highlight w:val="none"/>
              </w:rPr>
              <w:t>证书名称</w:t>
            </w:r>
          </w:p>
        </w:tc>
        <w:tc>
          <w:tcPr>
            <w:tcW w:w="933" w:type="dxa"/>
            <w:vAlign w:val="center"/>
          </w:tcPr>
          <w:p>
            <w:pPr>
              <w:spacing w:line="276" w:lineRule="auto"/>
              <w:jc w:val="center"/>
              <w:rPr>
                <w:rFonts w:ascii="宋体" w:hAnsi="宋体" w:cs="宋体"/>
                <w:szCs w:val="21"/>
                <w:highlight w:val="none"/>
              </w:rPr>
            </w:pPr>
            <w:r>
              <w:rPr>
                <w:rFonts w:hint="eastAsia" w:ascii="宋体" w:hAnsi="宋体" w:cs="宋体"/>
                <w:szCs w:val="21"/>
                <w:highlight w:val="none"/>
              </w:rPr>
              <w:t>级别</w:t>
            </w:r>
          </w:p>
        </w:tc>
        <w:tc>
          <w:tcPr>
            <w:tcW w:w="1101" w:type="dxa"/>
            <w:vAlign w:val="center"/>
          </w:tcPr>
          <w:p>
            <w:pPr>
              <w:spacing w:line="276" w:lineRule="auto"/>
              <w:jc w:val="center"/>
              <w:rPr>
                <w:rFonts w:ascii="宋体" w:hAnsi="宋体" w:cs="宋体"/>
                <w:szCs w:val="21"/>
                <w:highlight w:val="none"/>
              </w:rPr>
            </w:pPr>
            <w:r>
              <w:rPr>
                <w:rFonts w:hint="eastAsia" w:ascii="宋体" w:hAnsi="宋体" w:cs="宋体"/>
                <w:szCs w:val="21"/>
                <w:highlight w:val="none"/>
              </w:rPr>
              <w:t>证号</w:t>
            </w:r>
          </w:p>
        </w:tc>
        <w:tc>
          <w:tcPr>
            <w:tcW w:w="1080" w:type="dxa"/>
            <w:vAlign w:val="center"/>
          </w:tcPr>
          <w:p>
            <w:pPr>
              <w:spacing w:line="276" w:lineRule="auto"/>
              <w:jc w:val="center"/>
              <w:rPr>
                <w:rFonts w:ascii="宋体" w:hAnsi="宋体" w:cs="宋体"/>
                <w:szCs w:val="21"/>
                <w:highlight w:val="none"/>
              </w:rPr>
            </w:pPr>
            <w:r>
              <w:rPr>
                <w:rFonts w:hint="eastAsia" w:ascii="宋体" w:hAnsi="宋体" w:cs="宋体"/>
                <w:szCs w:val="21"/>
                <w:highlight w:val="none"/>
              </w:rPr>
              <w:t>专业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058" w:type="dxa"/>
            <w:vMerge w:val="restart"/>
            <w:vAlign w:val="center"/>
          </w:tcPr>
          <w:p>
            <w:pPr>
              <w:spacing w:line="276" w:lineRule="auto"/>
              <w:jc w:val="center"/>
              <w:rPr>
                <w:rFonts w:ascii="宋体" w:hAnsi="宋体" w:cs="宋体"/>
                <w:szCs w:val="21"/>
                <w:highlight w:val="none"/>
              </w:rPr>
            </w:pPr>
            <w:r>
              <w:rPr>
                <w:rFonts w:hint="eastAsia" w:ascii="宋体" w:hAnsi="宋体" w:cs="宋体"/>
                <w:szCs w:val="21"/>
                <w:highlight w:val="none"/>
              </w:rPr>
              <w:t>拟安排的项目团队成员</w:t>
            </w:r>
          </w:p>
        </w:tc>
        <w:tc>
          <w:tcPr>
            <w:tcW w:w="876" w:type="dxa"/>
            <w:vAlign w:val="center"/>
          </w:tcPr>
          <w:p>
            <w:pPr>
              <w:spacing w:line="276" w:lineRule="auto"/>
              <w:jc w:val="center"/>
              <w:rPr>
                <w:rFonts w:ascii="宋体" w:hAnsi="宋体" w:cs="宋体"/>
                <w:szCs w:val="21"/>
                <w:highlight w:val="none"/>
              </w:rPr>
            </w:pPr>
          </w:p>
        </w:tc>
        <w:tc>
          <w:tcPr>
            <w:tcW w:w="877" w:type="dxa"/>
            <w:vAlign w:val="center"/>
          </w:tcPr>
          <w:p>
            <w:pPr>
              <w:spacing w:line="276" w:lineRule="auto"/>
              <w:jc w:val="center"/>
              <w:rPr>
                <w:rFonts w:ascii="宋体" w:hAnsi="宋体" w:cs="宋体"/>
                <w:szCs w:val="21"/>
                <w:highlight w:val="none"/>
              </w:rPr>
            </w:pPr>
          </w:p>
        </w:tc>
        <w:tc>
          <w:tcPr>
            <w:tcW w:w="877" w:type="dxa"/>
          </w:tcPr>
          <w:p>
            <w:pPr>
              <w:spacing w:line="276" w:lineRule="auto"/>
              <w:jc w:val="center"/>
              <w:rPr>
                <w:rFonts w:ascii="宋体" w:hAnsi="宋体" w:cs="宋体"/>
                <w:szCs w:val="21"/>
                <w:highlight w:val="none"/>
              </w:rPr>
            </w:pPr>
          </w:p>
        </w:tc>
        <w:tc>
          <w:tcPr>
            <w:tcW w:w="877" w:type="dxa"/>
            <w:vAlign w:val="center"/>
          </w:tcPr>
          <w:p>
            <w:pPr>
              <w:spacing w:line="276" w:lineRule="auto"/>
              <w:jc w:val="center"/>
              <w:rPr>
                <w:rFonts w:ascii="宋体" w:hAnsi="宋体" w:cs="宋体"/>
                <w:szCs w:val="21"/>
                <w:highlight w:val="none"/>
              </w:rPr>
            </w:pPr>
          </w:p>
        </w:tc>
        <w:tc>
          <w:tcPr>
            <w:tcW w:w="1151" w:type="dxa"/>
            <w:vAlign w:val="center"/>
          </w:tcPr>
          <w:p>
            <w:pPr>
              <w:spacing w:line="276" w:lineRule="auto"/>
              <w:jc w:val="center"/>
              <w:rPr>
                <w:rFonts w:ascii="宋体" w:hAnsi="宋体" w:cs="宋体"/>
                <w:szCs w:val="21"/>
                <w:highlight w:val="none"/>
              </w:rPr>
            </w:pPr>
          </w:p>
        </w:tc>
        <w:tc>
          <w:tcPr>
            <w:tcW w:w="933" w:type="dxa"/>
            <w:vAlign w:val="center"/>
          </w:tcPr>
          <w:p>
            <w:pPr>
              <w:spacing w:line="276" w:lineRule="auto"/>
              <w:jc w:val="center"/>
              <w:rPr>
                <w:rFonts w:ascii="宋体" w:hAnsi="宋体" w:cs="宋体"/>
                <w:szCs w:val="21"/>
                <w:highlight w:val="none"/>
              </w:rPr>
            </w:pPr>
          </w:p>
        </w:tc>
        <w:tc>
          <w:tcPr>
            <w:tcW w:w="1101" w:type="dxa"/>
            <w:vAlign w:val="center"/>
          </w:tcPr>
          <w:p>
            <w:pPr>
              <w:spacing w:line="276" w:lineRule="auto"/>
              <w:jc w:val="center"/>
              <w:rPr>
                <w:rFonts w:ascii="宋体" w:hAnsi="宋体" w:cs="宋体"/>
                <w:szCs w:val="21"/>
                <w:highlight w:val="none"/>
              </w:rPr>
            </w:pPr>
          </w:p>
        </w:tc>
        <w:tc>
          <w:tcPr>
            <w:tcW w:w="1080" w:type="dxa"/>
            <w:vAlign w:val="center"/>
          </w:tcPr>
          <w:p>
            <w:pPr>
              <w:spacing w:line="276" w:lineRule="auto"/>
              <w:jc w:val="center"/>
              <w:rPr>
                <w:rFonts w:ascii="宋体" w:hAnsi="宋体" w:cs="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058" w:type="dxa"/>
            <w:vMerge w:val="continue"/>
            <w:vAlign w:val="center"/>
          </w:tcPr>
          <w:p>
            <w:pPr>
              <w:spacing w:line="276" w:lineRule="auto"/>
              <w:jc w:val="center"/>
              <w:rPr>
                <w:rFonts w:ascii="宋体" w:hAnsi="宋体" w:cs="宋体"/>
                <w:szCs w:val="21"/>
                <w:highlight w:val="none"/>
              </w:rPr>
            </w:pPr>
          </w:p>
        </w:tc>
        <w:tc>
          <w:tcPr>
            <w:tcW w:w="876" w:type="dxa"/>
            <w:vAlign w:val="center"/>
          </w:tcPr>
          <w:p>
            <w:pPr>
              <w:spacing w:line="276" w:lineRule="auto"/>
              <w:jc w:val="center"/>
              <w:rPr>
                <w:rFonts w:ascii="宋体" w:hAnsi="宋体" w:cs="宋体"/>
                <w:szCs w:val="21"/>
                <w:highlight w:val="none"/>
              </w:rPr>
            </w:pPr>
          </w:p>
        </w:tc>
        <w:tc>
          <w:tcPr>
            <w:tcW w:w="877" w:type="dxa"/>
            <w:vAlign w:val="center"/>
          </w:tcPr>
          <w:p>
            <w:pPr>
              <w:spacing w:line="276" w:lineRule="auto"/>
              <w:jc w:val="center"/>
              <w:rPr>
                <w:rFonts w:ascii="宋体" w:hAnsi="宋体" w:cs="宋体"/>
                <w:szCs w:val="21"/>
                <w:highlight w:val="none"/>
              </w:rPr>
            </w:pPr>
          </w:p>
        </w:tc>
        <w:tc>
          <w:tcPr>
            <w:tcW w:w="877" w:type="dxa"/>
          </w:tcPr>
          <w:p>
            <w:pPr>
              <w:spacing w:line="276" w:lineRule="auto"/>
              <w:jc w:val="center"/>
              <w:rPr>
                <w:rFonts w:ascii="宋体" w:hAnsi="宋体" w:cs="宋体"/>
                <w:szCs w:val="21"/>
                <w:highlight w:val="none"/>
              </w:rPr>
            </w:pPr>
          </w:p>
        </w:tc>
        <w:tc>
          <w:tcPr>
            <w:tcW w:w="877" w:type="dxa"/>
            <w:vAlign w:val="center"/>
          </w:tcPr>
          <w:p>
            <w:pPr>
              <w:spacing w:line="276" w:lineRule="auto"/>
              <w:jc w:val="center"/>
              <w:rPr>
                <w:rFonts w:ascii="宋体" w:hAnsi="宋体" w:cs="宋体"/>
                <w:szCs w:val="21"/>
                <w:highlight w:val="none"/>
              </w:rPr>
            </w:pPr>
          </w:p>
        </w:tc>
        <w:tc>
          <w:tcPr>
            <w:tcW w:w="1151" w:type="dxa"/>
            <w:vAlign w:val="center"/>
          </w:tcPr>
          <w:p>
            <w:pPr>
              <w:spacing w:line="276" w:lineRule="auto"/>
              <w:jc w:val="center"/>
              <w:rPr>
                <w:rFonts w:ascii="宋体" w:hAnsi="宋体" w:cs="宋体"/>
                <w:szCs w:val="21"/>
                <w:highlight w:val="none"/>
              </w:rPr>
            </w:pPr>
          </w:p>
        </w:tc>
        <w:tc>
          <w:tcPr>
            <w:tcW w:w="933" w:type="dxa"/>
            <w:vAlign w:val="center"/>
          </w:tcPr>
          <w:p>
            <w:pPr>
              <w:spacing w:line="276" w:lineRule="auto"/>
              <w:jc w:val="center"/>
              <w:rPr>
                <w:rFonts w:ascii="宋体" w:hAnsi="宋体" w:cs="宋体"/>
                <w:szCs w:val="21"/>
                <w:highlight w:val="none"/>
              </w:rPr>
            </w:pPr>
          </w:p>
        </w:tc>
        <w:tc>
          <w:tcPr>
            <w:tcW w:w="1101" w:type="dxa"/>
            <w:vAlign w:val="center"/>
          </w:tcPr>
          <w:p>
            <w:pPr>
              <w:spacing w:line="276" w:lineRule="auto"/>
              <w:jc w:val="center"/>
              <w:rPr>
                <w:rFonts w:ascii="宋体" w:hAnsi="宋体" w:cs="宋体"/>
                <w:szCs w:val="21"/>
                <w:highlight w:val="none"/>
              </w:rPr>
            </w:pPr>
          </w:p>
        </w:tc>
        <w:tc>
          <w:tcPr>
            <w:tcW w:w="1080" w:type="dxa"/>
            <w:vAlign w:val="center"/>
          </w:tcPr>
          <w:p>
            <w:pPr>
              <w:spacing w:line="276" w:lineRule="auto"/>
              <w:jc w:val="center"/>
              <w:rPr>
                <w:rFonts w:ascii="宋体" w:hAnsi="宋体" w:cs="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058" w:type="dxa"/>
            <w:vMerge w:val="continue"/>
            <w:vAlign w:val="center"/>
          </w:tcPr>
          <w:p>
            <w:pPr>
              <w:spacing w:line="276" w:lineRule="auto"/>
              <w:jc w:val="center"/>
              <w:rPr>
                <w:rFonts w:ascii="宋体" w:hAnsi="宋体" w:cs="宋体"/>
                <w:szCs w:val="21"/>
                <w:highlight w:val="none"/>
              </w:rPr>
            </w:pPr>
          </w:p>
        </w:tc>
        <w:tc>
          <w:tcPr>
            <w:tcW w:w="876" w:type="dxa"/>
            <w:vAlign w:val="center"/>
          </w:tcPr>
          <w:p>
            <w:pPr>
              <w:spacing w:line="276" w:lineRule="auto"/>
              <w:jc w:val="center"/>
              <w:rPr>
                <w:rFonts w:ascii="宋体" w:hAnsi="宋体" w:cs="宋体"/>
                <w:szCs w:val="21"/>
                <w:highlight w:val="none"/>
              </w:rPr>
            </w:pPr>
          </w:p>
        </w:tc>
        <w:tc>
          <w:tcPr>
            <w:tcW w:w="877" w:type="dxa"/>
            <w:vAlign w:val="center"/>
          </w:tcPr>
          <w:p>
            <w:pPr>
              <w:spacing w:line="276" w:lineRule="auto"/>
              <w:jc w:val="center"/>
              <w:rPr>
                <w:rFonts w:ascii="宋体" w:hAnsi="宋体" w:cs="宋体"/>
                <w:szCs w:val="21"/>
                <w:highlight w:val="none"/>
              </w:rPr>
            </w:pPr>
          </w:p>
        </w:tc>
        <w:tc>
          <w:tcPr>
            <w:tcW w:w="877" w:type="dxa"/>
          </w:tcPr>
          <w:p>
            <w:pPr>
              <w:spacing w:line="276" w:lineRule="auto"/>
              <w:jc w:val="center"/>
              <w:rPr>
                <w:rFonts w:ascii="宋体" w:hAnsi="宋体" w:cs="宋体"/>
                <w:szCs w:val="21"/>
                <w:highlight w:val="none"/>
              </w:rPr>
            </w:pPr>
          </w:p>
        </w:tc>
        <w:tc>
          <w:tcPr>
            <w:tcW w:w="877" w:type="dxa"/>
            <w:vAlign w:val="center"/>
          </w:tcPr>
          <w:p>
            <w:pPr>
              <w:spacing w:line="276" w:lineRule="auto"/>
              <w:jc w:val="center"/>
              <w:rPr>
                <w:rFonts w:ascii="宋体" w:hAnsi="宋体" w:cs="宋体"/>
                <w:szCs w:val="21"/>
                <w:highlight w:val="none"/>
              </w:rPr>
            </w:pPr>
          </w:p>
        </w:tc>
        <w:tc>
          <w:tcPr>
            <w:tcW w:w="1151" w:type="dxa"/>
            <w:vAlign w:val="center"/>
          </w:tcPr>
          <w:p>
            <w:pPr>
              <w:spacing w:line="276" w:lineRule="auto"/>
              <w:jc w:val="center"/>
              <w:rPr>
                <w:rFonts w:ascii="宋体" w:hAnsi="宋体" w:cs="宋体"/>
                <w:szCs w:val="21"/>
                <w:highlight w:val="none"/>
              </w:rPr>
            </w:pPr>
          </w:p>
        </w:tc>
        <w:tc>
          <w:tcPr>
            <w:tcW w:w="933" w:type="dxa"/>
            <w:vAlign w:val="center"/>
          </w:tcPr>
          <w:p>
            <w:pPr>
              <w:spacing w:line="276" w:lineRule="auto"/>
              <w:jc w:val="center"/>
              <w:rPr>
                <w:rFonts w:ascii="宋体" w:hAnsi="宋体" w:cs="宋体"/>
                <w:szCs w:val="21"/>
                <w:highlight w:val="none"/>
              </w:rPr>
            </w:pPr>
          </w:p>
        </w:tc>
        <w:tc>
          <w:tcPr>
            <w:tcW w:w="1101" w:type="dxa"/>
            <w:vAlign w:val="center"/>
          </w:tcPr>
          <w:p>
            <w:pPr>
              <w:spacing w:line="276" w:lineRule="auto"/>
              <w:jc w:val="center"/>
              <w:rPr>
                <w:rFonts w:ascii="宋体" w:hAnsi="宋体" w:cs="宋体"/>
                <w:szCs w:val="21"/>
                <w:highlight w:val="none"/>
              </w:rPr>
            </w:pPr>
          </w:p>
        </w:tc>
        <w:tc>
          <w:tcPr>
            <w:tcW w:w="1080" w:type="dxa"/>
            <w:vAlign w:val="center"/>
          </w:tcPr>
          <w:p>
            <w:pPr>
              <w:spacing w:line="276" w:lineRule="auto"/>
              <w:jc w:val="center"/>
              <w:rPr>
                <w:rFonts w:ascii="宋体" w:hAnsi="宋体" w:cs="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8" w:type="dxa"/>
            <w:vMerge w:val="restart"/>
            <w:vAlign w:val="center"/>
          </w:tcPr>
          <w:p>
            <w:pPr>
              <w:spacing w:line="276" w:lineRule="auto"/>
              <w:jc w:val="center"/>
              <w:rPr>
                <w:rFonts w:ascii="宋体" w:hAnsi="宋体" w:cs="宋体"/>
                <w:szCs w:val="21"/>
                <w:highlight w:val="none"/>
              </w:rPr>
            </w:pPr>
            <w:r>
              <w:rPr>
                <w:rFonts w:hint="eastAsia" w:ascii="宋体" w:hAnsi="宋体" w:cs="宋体"/>
                <w:szCs w:val="21"/>
                <w:highlight w:val="none"/>
              </w:rPr>
              <w:t>其他</w:t>
            </w:r>
          </w:p>
        </w:tc>
        <w:tc>
          <w:tcPr>
            <w:tcW w:w="876" w:type="dxa"/>
          </w:tcPr>
          <w:p>
            <w:pPr>
              <w:spacing w:line="276" w:lineRule="auto"/>
              <w:rPr>
                <w:rFonts w:ascii="宋体" w:hAnsi="宋体" w:cs="宋体"/>
                <w:szCs w:val="21"/>
                <w:highlight w:val="none"/>
              </w:rPr>
            </w:pPr>
          </w:p>
        </w:tc>
        <w:tc>
          <w:tcPr>
            <w:tcW w:w="877" w:type="dxa"/>
          </w:tcPr>
          <w:p>
            <w:pPr>
              <w:spacing w:line="276" w:lineRule="auto"/>
              <w:rPr>
                <w:rFonts w:ascii="宋体" w:hAnsi="宋体" w:cs="宋体"/>
                <w:szCs w:val="21"/>
                <w:highlight w:val="none"/>
              </w:rPr>
            </w:pPr>
          </w:p>
        </w:tc>
        <w:tc>
          <w:tcPr>
            <w:tcW w:w="877" w:type="dxa"/>
          </w:tcPr>
          <w:p>
            <w:pPr>
              <w:spacing w:line="276" w:lineRule="auto"/>
              <w:rPr>
                <w:rFonts w:ascii="宋体" w:hAnsi="宋体" w:cs="宋体"/>
                <w:szCs w:val="21"/>
                <w:highlight w:val="none"/>
              </w:rPr>
            </w:pPr>
          </w:p>
        </w:tc>
        <w:tc>
          <w:tcPr>
            <w:tcW w:w="877" w:type="dxa"/>
          </w:tcPr>
          <w:p>
            <w:pPr>
              <w:spacing w:line="276" w:lineRule="auto"/>
              <w:rPr>
                <w:rFonts w:ascii="宋体" w:hAnsi="宋体" w:cs="宋体"/>
                <w:szCs w:val="21"/>
                <w:highlight w:val="none"/>
              </w:rPr>
            </w:pPr>
          </w:p>
        </w:tc>
        <w:tc>
          <w:tcPr>
            <w:tcW w:w="1151" w:type="dxa"/>
          </w:tcPr>
          <w:p>
            <w:pPr>
              <w:spacing w:line="276" w:lineRule="auto"/>
              <w:rPr>
                <w:rFonts w:ascii="宋体" w:hAnsi="宋体" w:cs="宋体"/>
                <w:szCs w:val="21"/>
                <w:highlight w:val="none"/>
              </w:rPr>
            </w:pPr>
          </w:p>
        </w:tc>
        <w:tc>
          <w:tcPr>
            <w:tcW w:w="933" w:type="dxa"/>
          </w:tcPr>
          <w:p>
            <w:pPr>
              <w:spacing w:line="276" w:lineRule="auto"/>
              <w:rPr>
                <w:rFonts w:ascii="宋体" w:hAnsi="宋体" w:cs="宋体"/>
                <w:szCs w:val="21"/>
                <w:highlight w:val="none"/>
              </w:rPr>
            </w:pPr>
          </w:p>
        </w:tc>
        <w:tc>
          <w:tcPr>
            <w:tcW w:w="1101" w:type="dxa"/>
          </w:tcPr>
          <w:p>
            <w:pPr>
              <w:spacing w:line="276" w:lineRule="auto"/>
              <w:rPr>
                <w:rFonts w:ascii="宋体" w:hAnsi="宋体" w:cs="宋体"/>
                <w:szCs w:val="21"/>
                <w:highlight w:val="none"/>
              </w:rPr>
            </w:pPr>
          </w:p>
        </w:tc>
        <w:tc>
          <w:tcPr>
            <w:tcW w:w="1080" w:type="dxa"/>
          </w:tcPr>
          <w:p>
            <w:pPr>
              <w:spacing w:line="276" w:lineRule="auto"/>
              <w:rPr>
                <w:rFonts w:ascii="宋体" w:hAnsi="宋体" w:cs="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8" w:type="dxa"/>
            <w:vMerge w:val="continue"/>
          </w:tcPr>
          <w:p>
            <w:pPr>
              <w:spacing w:line="276" w:lineRule="auto"/>
              <w:rPr>
                <w:rFonts w:ascii="宋体" w:hAnsi="宋体" w:cs="宋体"/>
                <w:szCs w:val="21"/>
                <w:highlight w:val="none"/>
              </w:rPr>
            </w:pPr>
          </w:p>
        </w:tc>
        <w:tc>
          <w:tcPr>
            <w:tcW w:w="876" w:type="dxa"/>
          </w:tcPr>
          <w:p>
            <w:pPr>
              <w:spacing w:line="276" w:lineRule="auto"/>
              <w:rPr>
                <w:rFonts w:ascii="宋体" w:hAnsi="宋体" w:cs="宋体"/>
                <w:szCs w:val="21"/>
                <w:highlight w:val="none"/>
              </w:rPr>
            </w:pPr>
          </w:p>
        </w:tc>
        <w:tc>
          <w:tcPr>
            <w:tcW w:w="877" w:type="dxa"/>
          </w:tcPr>
          <w:p>
            <w:pPr>
              <w:spacing w:line="276" w:lineRule="auto"/>
              <w:rPr>
                <w:rFonts w:ascii="宋体" w:hAnsi="宋体" w:cs="宋体"/>
                <w:szCs w:val="21"/>
                <w:highlight w:val="none"/>
              </w:rPr>
            </w:pPr>
          </w:p>
        </w:tc>
        <w:tc>
          <w:tcPr>
            <w:tcW w:w="877" w:type="dxa"/>
          </w:tcPr>
          <w:p>
            <w:pPr>
              <w:spacing w:line="276" w:lineRule="auto"/>
              <w:rPr>
                <w:rFonts w:ascii="宋体" w:hAnsi="宋体" w:cs="宋体"/>
                <w:szCs w:val="21"/>
                <w:highlight w:val="none"/>
              </w:rPr>
            </w:pPr>
          </w:p>
        </w:tc>
        <w:tc>
          <w:tcPr>
            <w:tcW w:w="877" w:type="dxa"/>
          </w:tcPr>
          <w:p>
            <w:pPr>
              <w:spacing w:line="276" w:lineRule="auto"/>
              <w:rPr>
                <w:rFonts w:ascii="宋体" w:hAnsi="宋体" w:cs="宋体"/>
                <w:szCs w:val="21"/>
                <w:highlight w:val="none"/>
              </w:rPr>
            </w:pPr>
          </w:p>
        </w:tc>
        <w:tc>
          <w:tcPr>
            <w:tcW w:w="1151" w:type="dxa"/>
          </w:tcPr>
          <w:p>
            <w:pPr>
              <w:spacing w:line="276" w:lineRule="auto"/>
              <w:rPr>
                <w:rFonts w:ascii="宋体" w:hAnsi="宋体" w:cs="宋体"/>
                <w:szCs w:val="21"/>
                <w:highlight w:val="none"/>
              </w:rPr>
            </w:pPr>
          </w:p>
        </w:tc>
        <w:tc>
          <w:tcPr>
            <w:tcW w:w="933" w:type="dxa"/>
          </w:tcPr>
          <w:p>
            <w:pPr>
              <w:spacing w:line="276" w:lineRule="auto"/>
              <w:rPr>
                <w:rFonts w:ascii="宋体" w:hAnsi="宋体" w:cs="宋体"/>
                <w:szCs w:val="21"/>
                <w:highlight w:val="none"/>
              </w:rPr>
            </w:pPr>
          </w:p>
        </w:tc>
        <w:tc>
          <w:tcPr>
            <w:tcW w:w="1101" w:type="dxa"/>
          </w:tcPr>
          <w:p>
            <w:pPr>
              <w:spacing w:line="276" w:lineRule="auto"/>
              <w:rPr>
                <w:rFonts w:ascii="宋体" w:hAnsi="宋体" w:cs="宋体"/>
                <w:szCs w:val="21"/>
                <w:highlight w:val="none"/>
              </w:rPr>
            </w:pPr>
          </w:p>
        </w:tc>
        <w:tc>
          <w:tcPr>
            <w:tcW w:w="1080" w:type="dxa"/>
          </w:tcPr>
          <w:p>
            <w:pPr>
              <w:spacing w:line="276" w:lineRule="auto"/>
              <w:rPr>
                <w:rFonts w:ascii="宋体" w:hAnsi="宋体" w:cs="宋体"/>
                <w:szCs w:val="21"/>
                <w:highlight w:val="none"/>
              </w:rPr>
            </w:pPr>
          </w:p>
        </w:tc>
      </w:tr>
    </w:tbl>
    <w:p>
      <w:pPr>
        <w:pStyle w:val="2"/>
        <w:spacing w:line="276" w:lineRule="auto"/>
        <w:rPr>
          <w:b w:val="0"/>
          <w:bCs w:val="0"/>
          <w:sz w:val="21"/>
          <w:szCs w:val="21"/>
          <w:highlight w:val="none"/>
        </w:rPr>
      </w:pPr>
      <w:r>
        <w:rPr>
          <w:rFonts w:hint="eastAsia"/>
          <w:b w:val="0"/>
          <w:bCs w:val="0"/>
          <w:sz w:val="21"/>
          <w:szCs w:val="21"/>
          <w:highlight w:val="none"/>
        </w:rPr>
        <w:t>（特别提示：以上表格仅供参考。投标人须按本招标文件评标信息中“拟安排的项目主要团队成员（主要技术人员）情况（项目负责人除外）情况”这一评分因素要求，提供证明资料）</w:t>
      </w:r>
    </w:p>
    <w:p>
      <w:pPr>
        <w:pStyle w:val="9"/>
        <w:spacing w:before="60" w:beforeLines="25" w:after="60" w:afterLines="25"/>
        <w:ind w:firstLine="0"/>
        <w:rPr>
          <w:rFonts w:ascii="黑体" w:hAnsi="宋体" w:eastAsia="黑体"/>
          <w:sz w:val="24"/>
          <w:highlight w:val="none"/>
        </w:rPr>
      </w:pPr>
    </w:p>
    <w:p>
      <w:pPr>
        <w:rPr>
          <w:rFonts w:ascii="黑体" w:hAnsi="宋体" w:eastAsia="黑体"/>
          <w:sz w:val="24"/>
          <w:highlight w:val="none"/>
        </w:rPr>
      </w:pPr>
      <w:r>
        <w:rPr>
          <w:rFonts w:hint="eastAsia" w:ascii="黑体" w:hAnsi="宋体" w:eastAsia="黑体"/>
          <w:sz w:val="24"/>
          <w:highlight w:val="none"/>
        </w:rPr>
        <w:br w:type="page"/>
      </w:r>
    </w:p>
    <w:p>
      <w:pPr>
        <w:rPr>
          <w:b/>
          <w:bCs/>
          <w:sz w:val="24"/>
          <w:highlight w:val="none"/>
        </w:rPr>
      </w:pPr>
    </w:p>
    <w:p>
      <w:pPr>
        <w:pStyle w:val="5"/>
        <w:jc w:val="center"/>
        <w:rPr>
          <w:rFonts w:ascii="黑体" w:eastAsia="黑体"/>
          <w:b w:val="0"/>
          <w:bCs w:val="0"/>
          <w:sz w:val="24"/>
          <w:szCs w:val="20"/>
          <w:highlight w:val="none"/>
        </w:rPr>
      </w:pPr>
      <w:r>
        <w:rPr>
          <w:rFonts w:hint="eastAsia" w:ascii="黑体" w:eastAsia="黑体"/>
          <w:b w:val="0"/>
          <w:bCs w:val="0"/>
          <w:sz w:val="24"/>
          <w:szCs w:val="20"/>
          <w:highlight w:val="none"/>
          <w:lang w:val="en-US" w:eastAsia="zh-CN"/>
        </w:rPr>
        <w:t>九</w:t>
      </w:r>
      <w:r>
        <w:rPr>
          <w:rFonts w:hint="eastAsia" w:ascii="黑体" w:eastAsia="黑体"/>
          <w:b w:val="0"/>
          <w:bCs w:val="0"/>
          <w:sz w:val="24"/>
          <w:szCs w:val="20"/>
          <w:highlight w:val="none"/>
        </w:rPr>
        <w:t>、</w:t>
      </w:r>
      <w:bookmarkStart w:id="46" w:name="_Hlk72062872"/>
      <w:r>
        <w:rPr>
          <w:rFonts w:hint="eastAsia" w:ascii="黑体" w:eastAsia="黑体"/>
          <w:b w:val="0"/>
          <w:bCs w:val="0"/>
          <w:sz w:val="24"/>
          <w:szCs w:val="20"/>
          <w:highlight w:val="none"/>
        </w:rPr>
        <w:t>投标人认为需要加以说明的其他内容</w:t>
      </w:r>
      <w:bookmarkEnd w:id="46"/>
    </w:p>
    <w:p>
      <w:pPr>
        <w:widowControl/>
        <w:jc w:val="center"/>
        <w:rPr>
          <w:rFonts w:ascii="黑体" w:hAnsi="宋体" w:eastAsia="黑体"/>
          <w:kern w:val="0"/>
          <w:sz w:val="24"/>
          <w:szCs w:val="20"/>
          <w:highlight w:val="none"/>
        </w:rPr>
      </w:pPr>
      <w:r>
        <w:rPr>
          <w:rFonts w:hint="eastAsia" w:ascii="黑体" w:hAnsi="宋体" w:eastAsia="黑体"/>
          <w:kern w:val="0"/>
          <w:sz w:val="24"/>
          <w:szCs w:val="20"/>
          <w:highlight w:val="none"/>
        </w:rPr>
        <w:t>（一）政府采购违法行为风险知悉确认书</w:t>
      </w:r>
    </w:p>
    <w:p>
      <w:pPr>
        <w:widowControl/>
        <w:jc w:val="center"/>
        <w:rPr>
          <w:rFonts w:ascii="黑体" w:hAnsi="宋体" w:eastAsia="黑体"/>
          <w:kern w:val="0"/>
          <w:sz w:val="24"/>
          <w:szCs w:val="20"/>
          <w:highlight w:val="none"/>
        </w:rPr>
      </w:pPr>
    </w:p>
    <w:p>
      <w:pPr>
        <w:ind w:firstLine="420" w:firstLineChars="200"/>
        <w:rPr>
          <w:highlight w:val="none"/>
        </w:rPr>
      </w:pPr>
      <w:r>
        <w:rPr>
          <w:rFonts w:hint="eastAsia"/>
          <w:highlight w:val="none"/>
        </w:rPr>
        <w:t>本公司在投标前已充分知悉以下情形为参与政府采购活动时的重大风险事项，并承诺已对下述风险提示事项重点排查，做到严谨、诚信、依法依规参与政府采购活动。</w:t>
      </w:r>
    </w:p>
    <w:p>
      <w:pPr>
        <w:ind w:firstLine="422" w:firstLineChars="200"/>
        <w:rPr>
          <w:b/>
          <w:highlight w:val="none"/>
        </w:rPr>
      </w:pPr>
      <w:r>
        <w:rPr>
          <w:rFonts w:hint="eastAsia"/>
          <w:b/>
          <w:highlight w:val="none"/>
        </w:rPr>
        <w:t>一、本公司已充分知悉“隐瞒真实情况，提供虚假资料”的法定情形，相关情形包括但不限于：</w:t>
      </w:r>
    </w:p>
    <w:p>
      <w:pPr>
        <w:ind w:firstLine="420" w:firstLineChars="200"/>
        <w:rPr>
          <w:highlight w:val="none"/>
        </w:rPr>
      </w:pPr>
      <w:r>
        <w:rPr>
          <w:rFonts w:hint="eastAsia"/>
          <w:highlight w:val="none"/>
        </w:rPr>
        <w:t>（一）通过转让或者租借等方式从其他单位获取资格或者资质证书投标的。</w:t>
      </w:r>
    </w:p>
    <w:p>
      <w:pPr>
        <w:ind w:firstLine="420" w:firstLineChars="200"/>
        <w:rPr>
          <w:highlight w:val="none"/>
        </w:rPr>
      </w:pPr>
      <w:r>
        <w:rPr>
          <w:rFonts w:hint="eastAsia"/>
          <w:highlight w:val="none"/>
        </w:rPr>
        <w:t>（二）由其他单位或者其他单位负责人在投标供应商编制的投标文件上加盖印章或者签字的。</w:t>
      </w:r>
    </w:p>
    <w:p>
      <w:pPr>
        <w:ind w:firstLine="420" w:firstLineChars="200"/>
        <w:rPr>
          <w:highlight w:val="none"/>
        </w:rPr>
      </w:pPr>
      <w:r>
        <w:rPr>
          <w:rFonts w:hint="eastAsia"/>
          <w:highlight w:val="none"/>
        </w:rPr>
        <w:t>（三）项目负责人或者主要技术人员不是本单位人员的。</w:t>
      </w:r>
    </w:p>
    <w:p>
      <w:pPr>
        <w:ind w:firstLine="420" w:firstLineChars="200"/>
        <w:rPr>
          <w:highlight w:val="none"/>
        </w:rPr>
      </w:pPr>
      <w:r>
        <w:rPr>
          <w:rFonts w:hint="eastAsia"/>
          <w:highlight w:val="none"/>
        </w:rPr>
        <w:t>（四）投标保证金不是从投标供应商基本账户转出的。</w:t>
      </w:r>
    </w:p>
    <w:p>
      <w:pPr>
        <w:ind w:firstLine="420" w:firstLineChars="200"/>
        <w:rPr>
          <w:highlight w:val="none"/>
        </w:rPr>
      </w:pPr>
      <w:r>
        <w:rPr>
          <w:rFonts w:hint="eastAsia"/>
          <w:highlight w:val="none"/>
        </w:rPr>
        <w:t>（五）其他隐瞒真实情况、提供虚假资料的行为。</w:t>
      </w:r>
    </w:p>
    <w:p>
      <w:pPr>
        <w:ind w:firstLine="422" w:firstLineChars="200"/>
        <w:rPr>
          <w:b/>
          <w:highlight w:val="none"/>
        </w:rPr>
      </w:pPr>
      <w:r>
        <w:rPr>
          <w:rFonts w:hint="eastAsia"/>
          <w:b/>
          <w:highlight w:val="none"/>
        </w:rPr>
        <w:t>二、本公司已充分知悉“与其他采购参加人串通投标”的法定情形，相关情形包括但不限于：</w:t>
      </w:r>
    </w:p>
    <w:p>
      <w:pPr>
        <w:ind w:firstLine="420" w:firstLineChars="200"/>
        <w:rPr>
          <w:highlight w:val="none"/>
        </w:rPr>
      </w:pPr>
      <w:r>
        <w:rPr>
          <w:rFonts w:hint="eastAsia"/>
          <w:highlight w:val="none"/>
        </w:rPr>
        <w:t>（一）投标供应商之间相互约定给予未中标的供应商利益补偿。</w:t>
      </w:r>
    </w:p>
    <w:p>
      <w:pPr>
        <w:ind w:firstLine="420" w:firstLineChars="200"/>
        <w:rPr>
          <w:highlight w:val="none"/>
        </w:rPr>
      </w:pPr>
      <w:r>
        <w:rPr>
          <w:rFonts w:hint="eastAsia"/>
          <w:highlight w:val="none"/>
        </w:rPr>
        <w:t>（二）不同投标供应商的法定代表人、主要经营负责人、项目投标授权代表人、项目负责人、主要技术人员为同一人、属同一单位或者在同一单位缴纳社会保险。</w:t>
      </w:r>
    </w:p>
    <w:p>
      <w:pPr>
        <w:ind w:firstLine="420" w:firstLineChars="200"/>
        <w:rPr>
          <w:highlight w:val="none"/>
        </w:rPr>
      </w:pPr>
      <w:r>
        <w:rPr>
          <w:rFonts w:hint="eastAsia"/>
          <w:highlight w:val="none"/>
        </w:rPr>
        <w:t>（三）不同投标供应商的投标文件由同一单位或者同一人编制，或者由同一人分阶段参与编制的。</w:t>
      </w:r>
    </w:p>
    <w:p>
      <w:pPr>
        <w:ind w:firstLine="420" w:firstLineChars="200"/>
        <w:rPr>
          <w:highlight w:val="none"/>
        </w:rPr>
      </w:pPr>
      <w:r>
        <w:rPr>
          <w:rFonts w:hint="eastAsia"/>
          <w:highlight w:val="none"/>
        </w:rPr>
        <w:t>（四）不同投标供应商的投标文件或部分投标文件相互混装。</w:t>
      </w:r>
    </w:p>
    <w:p>
      <w:pPr>
        <w:ind w:firstLine="420" w:firstLineChars="200"/>
        <w:rPr>
          <w:highlight w:val="none"/>
        </w:rPr>
      </w:pPr>
      <w:r>
        <w:rPr>
          <w:rFonts w:hint="eastAsia"/>
          <w:highlight w:val="none"/>
        </w:rPr>
        <w:t>（五）不同投标供应商的投标文件内容存在非正常一致。</w:t>
      </w:r>
    </w:p>
    <w:p>
      <w:pPr>
        <w:ind w:firstLine="420" w:firstLineChars="200"/>
        <w:rPr>
          <w:highlight w:val="none"/>
        </w:rPr>
      </w:pPr>
      <w:r>
        <w:rPr>
          <w:rFonts w:hint="eastAsia"/>
          <w:highlight w:val="none"/>
        </w:rPr>
        <w:t>（六）由同一单位工作人员为两家以上（含两家）供应商进行同一项投标活动的。</w:t>
      </w:r>
    </w:p>
    <w:p>
      <w:pPr>
        <w:ind w:firstLine="420" w:firstLineChars="200"/>
        <w:rPr>
          <w:highlight w:val="none"/>
        </w:rPr>
      </w:pPr>
      <w:r>
        <w:rPr>
          <w:rFonts w:hint="eastAsia"/>
          <w:highlight w:val="none"/>
        </w:rPr>
        <w:t>（七）不同投标人的投标报价呈规律性差异。</w:t>
      </w:r>
    </w:p>
    <w:p>
      <w:pPr>
        <w:ind w:firstLine="420" w:firstLineChars="200"/>
        <w:rPr>
          <w:highlight w:val="none"/>
        </w:rPr>
      </w:pPr>
      <w:r>
        <w:rPr>
          <w:rFonts w:hint="eastAsia"/>
          <w:highlight w:val="none"/>
        </w:rPr>
        <w:t>（八）不同投标人的投标保证金从同一单位或者个人的账户转出。</w:t>
      </w:r>
    </w:p>
    <w:p>
      <w:pPr>
        <w:ind w:firstLine="420" w:firstLineChars="200"/>
        <w:rPr>
          <w:highlight w:val="none"/>
        </w:rPr>
      </w:pPr>
      <w:r>
        <w:rPr>
          <w:rFonts w:hint="eastAsia"/>
          <w:highlight w:val="none"/>
        </w:rPr>
        <w:t>（九）主管部门依照法律、法规认定的其他情形。</w:t>
      </w:r>
    </w:p>
    <w:p>
      <w:pPr>
        <w:ind w:firstLine="422" w:firstLineChars="200"/>
        <w:rPr>
          <w:b/>
          <w:highlight w:val="none"/>
        </w:rPr>
      </w:pPr>
      <w:r>
        <w:rPr>
          <w:rFonts w:hint="eastAsia"/>
          <w:b/>
          <w:highlight w:val="none"/>
        </w:rPr>
        <w:t>三、本公司已充分知悉下列情形所对应的法律风险，并在投标前已对相关风险事项进行排查。</w:t>
      </w:r>
    </w:p>
    <w:p>
      <w:pPr>
        <w:ind w:firstLine="420" w:firstLineChars="200"/>
        <w:rPr>
          <w:b/>
          <w:highlight w:val="none"/>
        </w:rPr>
      </w:pPr>
      <w:r>
        <w:rPr>
          <w:rFonts w:hint="eastAsia"/>
          <w:highlight w:val="none"/>
        </w:rPr>
        <w:t>（一）对于从其他主体获取的投标资料，供应商应审慎核查，确保投标资料的真实性。</w:t>
      </w:r>
      <w:r>
        <w:rPr>
          <w:rFonts w:hint="eastAsia"/>
          <w:b/>
          <w:highlight w:val="none"/>
        </w:rPr>
        <w:t>如主管部门查实投标文件中存在虚假资料的，无论相关资料是否由第三方或本公司员工提供，均不影响主管部门对供应商存在“隐瞒真实情况，提供虚假资料”违法行为的认定。</w:t>
      </w:r>
    </w:p>
    <w:p>
      <w:pPr>
        <w:ind w:firstLine="420" w:firstLineChars="200"/>
        <w:rPr>
          <w:highlight w:val="none"/>
        </w:rPr>
      </w:pPr>
      <w:r>
        <w:rPr>
          <w:rFonts w:hint="eastAsia"/>
          <w:highlight w:val="none"/>
        </w:rPr>
        <w:t>（二）对于涉及国家机关出具的公文、证件、证明材料等文件，一旦涉嫌虚假，经查实，主管部门将依法从严处理，并移送有关部门追究法律责任；涉嫌犯罪的，主管部门将一并移送司法机关追究法律责任。</w:t>
      </w:r>
    </w:p>
    <w:p>
      <w:pPr>
        <w:ind w:firstLine="420" w:firstLineChars="200"/>
        <w:rPr>
          <w:highlight w:val="none"/>
        </w:rPr>
      </w:pPr>
      <w:r>
        <w:rPr>
          <w:rFonts w:hint="eastAsia"/>
          <w:highlight w:val="none"/>
        </w:rPr>
        <w:t>（三）对于涉及安全生产、特种作业、抢险救灾、防疫等政府采购项目，供应商实施提供虚假资料、串通投标等违法行为的，主管部门将依法从严处理。</w:t>
      </w:r>
    </w:p>
    <w:p>
      <w:pPr>
        <w:ind w:firstLine="420" w:firstLineChars="200"/>
        <w:rPr>
          <w:highlight w:val="none"/>
        </w:rPr>
      </w:pPr>
      <w:r>
        <w:rPr>
          <w:rFonts w:hint="eastAsia"/>
          <w:highlight w:val="none"/>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ind w:firstLine="420" w:firstLineChars="200"/>
        <w:rPr>
          <w:highlight w:val="none"/>
        </w:rPr>
      </w:pPr>
      <w:r>
        <w:rPr>
          <w:rFonts w:hint="eastAsia"/>
          <w:highlight w:val="none"/>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ind w:firstLine="420" w:firstLineChars="200"/>
        <w:rPr>
          <w:highlight w:val="none"/>
        </w:rPr>
      </w:pPr>
      <w:r>
        <w:rPr>
          <w:rFonts w:hint="eastAsia"/>
          <w:highlight w:val="none"/>
        </w:rPr>
        <w:t>（六）单位负责人为同一人或者存在直接控股、管理关系的不同供应商，不得参加同一合同项下的政府采购活动。相关情形如查实，依法作投标无效处理；涉嫌串通投标等违法行为的，主管部门将依法调查处理。</w:t>
      </w:r>
    </w:p>
    <w:p>
      <w:pPr>
        <w:ind w:firstLine="422" w:firstLineChars="200"/>
        <w:rPr>
          <w:b/>
          <w:highlight w:val="none"/>
        </w:rPr>
      </w:pPr>
      <w:r>
        <w:rPr>
          <w:rFonts w:hint="eastAsia"/>
          <w:b/>
          <w:highlight w:val="none"/>
        </w:rPr>
        <w:t>四、本公司已充分知悉政府采购违法、违规行为的法律后果。</w:t>
      </w:r>
    </w:p>
    <w:p>
      <w:pPr>
        <w:ind w:firstLine="420" w:firstLineChars="200"/>
        <w:rPr>
          <w:highlight w:val="none"/>
        </w:rPr>
      </w:pPr>
      <w:r>
        <w:rPr>
          <w:rFonts w:hint="eastAsia"/>
          <w:highlight w:val="none"/>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ind w:firstLine="420" w:firstLineChars="200"/>
        <w:rPr>
          <w:highlight w:val="none"/>
        </w:rPr>
      </w:pPr>
      <w:r>
        <w:rPr>
          <w:rFonts w:hint="eastAsia"/>
          <w:highlight w:val="none"/>
        </w:rPr>
        <w:t>以下文字请投标供应商抄写并确认：“本公司已仔细阅读《政府采购违法行为风险知悉确认书》，充分知悉违法行为的法律后果，并承诺将严谨、诚信、依法依规参与政府采购活动”。</w:t>
      </w:r>
    </w:p>
    <w:tbl>
      <w:tblPr>
        <w:tblStyle w:val="190"/>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highlight w:val="none"/>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highlight w:val="none"/>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highlight w:val="none"/>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pPr>
              <w:autoSpaceDE w:val="0"/>
              <w:autoSpaceDN w:val="0"/>
              <w:spacing w:line="400" w:lineRule="exact"/>
              <w:ind w:firstLine="1866"/>
              <w:rPr>
                <w:rFonts w:ascii="宋体" w:hAnsi="宋体" w:eastAsiaTheme="minorEastAsia"/>
                <w:spacing w:val="-4"/>
                <w:kern w:val="0"/>
                <w:szCs w:val="21"/>
                <w:highlight w:val="none"/>
              </w:rPr>
            </w:pPr>
          </w:p>
        </w:tc>
      </w:tr>
    </w:tbl>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highlight w:val="none"/>
          <w:u w:val="single"/>
        </w:rPr>
      </w:pPr>
      <w:r>
        <w:rPr>
          <w:rFonts w:hint="eastAsia" w:ascii="宋体" w:hAnsi="宋体" w:eastAsiaTheme="minorEastAsia"/>
          <w:spacing w:val="-4"/>
          <w:kern w:val="0"/>
          <w:szCs w:val="21"/>
          <w:highlight w:val="none"/>
        </w:rPr>
        <w:t>负责人/投标授权代表签名：</w:t>
      </w:r>
      <w:r>
        <w:rPr>
          <w:rFonts w:hint="eastAsia" w:ascii="宋体" w:hAnsi="宋体" w:eastAsiaTheme="minorEastAsia"/>
          <w:spacing w:val="-4"/>
          <w:kern w:val="0"/>
          <w:szCs w:val="21"/>
          <w:highlight w:val="none"/>
          <w:u w:val="single"/>
        </w:rPr>
        <w:t xml:space="preserve">              </w:t>
      </w:r>
    </w:p>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highlight w:val="none"/>
          <w:u w:val="single"/>
        </w:rPr>
      </w:pPr>
      <w:r>
        <w:rPr>
          <w:rFonts w:hint="eastAsia" w:ascii="宋体" w:hAnsi="宋体" w:eastAsiaTheme="minorEastAsia"/>
          <w:spacing w:val="-4"/>
          <w:kern w:val="0"/>
          <w:szCs w:val="21"/>
          <w:highlight w:val="none"/>
        </w:rPr>
        <w:t>知悉人（公章）：</w:t>
      </w:r>
      <w:r>
        <w:rPr>
          <w:rFonts w:hint="eastAsia" w:ascii="宋体" w:hAnsi="宋体" w:eastAsiaTheme="minorEastAsia"/>
          <w:spacing w:val="-4"/>
          <w:kern w:val="0"/>
          <w:szCs w:val="21"/>
          <w:highlight w:val="none"/>
          <w:u w:val="single"/>
        </w:rPr>
        <w:t xml:space="preserve">              </w:t>
      </w:r>
    </w:p>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highlight w:val="none"/>
          <w:u w:val="single"/>
        </w:rPr>
      </w:pPr>
      <w:r>
        <w:rPr>
          <w:rFonts w:hint="eastAsia" w:ascii="宋体" w:hAnsi="宋体" w:eastAsiaTheme="minorEastAsia"/>
          <w:spacing w:val="-4"/>
          <w:kern w:val="0"/>
          <w:szCs w:val="21"/>
          <w:highlight w:val="none"/>
        </w:rPr>
        <w:t xml:space="preserve">     日期：</w:t>
      </w:r>
      <w:r>
        <w:rPr>
          <w:rFonts w:hint="eastAsia" w:ascii="宋体" w:hAnsi="宋体" w:eastAsiaTheme="minorEastAsia"/>
          <w:spacing w:val="-4"/>
          <w:kern w:val="0"/>
          <w:szCs w:val="21"/>
          <w:highlight w:val="none"/>
          <w:u w:val="single"/>
        </w:rPr>
        <w:t xml:space="preserve">              </w:t>
      </w:r>
    </w:p>
    <w:p>
      <w:pPr>
        <w:widowControl/>
        <w:wordWrap w:val="0"/>
        <w:autoSpaceDE w:val="0"/>
        <w:autoSpaceDN w:val="0"/>
        <w:spacing w:line="400" w:lineRule="exact"/>
        <w:ind w:right="1414" w:firstLine="404" w:firstLineChars="200"/>
        <w:jc w:val="right"/>
        <w:rPr>
          <w:rFonts w:ascii="宋体" w:hAnsi="宋体" w:eastAsiaTheme="minorEastAsia"/>
          <w:spacing w:val="-4"/>
          <w:kern w:val="0"/>
          <w:szCs w:val="21"/>
          <w:highlight w:val="none"/>
        </w:rPr>
      </w:pPr>
      <w:r>
        <w:rPr>
          <w:rFonts w:hint="eastAsia" w:ascii="宋体" w:hAnsi="宋体" w:eastAsiaTheme="minorEastAsia"/>
          <w:spacing w:val="-4"/>
          <w:kern w:val="0"/>
          <w:szCs w:val="21"/>
          <w:highlight w:val="none"/>
        </w:rPr>
        <w:t xml:space="preserve">     </w:t>
      </w:r>
    </w:p>
    <w:p>
      <w:pPr>
        <w:widowControl/>
        <w:autoSpaceDE w:val="0"/>
        <w:autoSpaceDN w:val="0"/>
        <w:spacing w:line="400" w:lineRule="exact"/>
        <w:ind w:firstLine="406" w:firstLineChars="200"/>
        <w:jc w:val="left"/>
        <w:rPr>
          <w:rFonts w:ascii="宋体" w:hAnsi="宋体" w:eastAsiaTheme="minorEastAsia"/>
          <w:b/>
          <w:bCs/>
          <w:color w:val="FF0000"/>
          <w:spacing w:val="-4"/>
          <w:kern w:val="0"/>
          <w:szCs w:val="21"/>
          <w:highlight w:val="none"/>
        </w:rPr>
      </w:pPr>
      <w:r>
        <w:rPr>
          <w:rFonts w:hint="eastAsia" w:ascii="宋体" w:hAnsi="宋体" w:eastAsiaTheme="minorEastAsia"/>
          <w:b/>
          <w:bCs/>
          <w:color w:val="FF0000"/>
          <w:spacing w:val="-4"/>
          <w:kern w:val="0"/>
          <w:szCs w:val="21"/>
          <w:highlight w:val="none"/>
        </w:rPr>
        <w:t>注：</w:t>
      </w:r>
    </w:p>
    <w:p>
      <w:pPr>
        <w:widowControl/>
        <w:autoSpaceDE w:val="0"/>
        <w:autoSpaceDN w:val="0"/>
        <w:spacing w:line="400" w:lineRule="exact"/>
        <w:ind w:firstLine="406" w:firstLineChars="200"/>
        <w:jc w:val="left"/>
        <w:rPr>
          <w:rFonts w:ascii="宋体" w:hAnsi="宋体" w:eastAsiaTheme="minorEastAsia"/>
          <w:b/>
          <w:bCs/>
          <w:color w:val="FF0000"/>
          <w:spacing w:val="-4"/>
          <w:kern w:val="0"/>
          <w:szCs w:val="21"/>
          <w:highlight w:val="none"/>
        </w:rPr>
      </w:pPr>
      <w:r>
        <w:rPr>
          <w:rFonts w:hint="eastAsia" w:ascii="宋体" w:hAnsi="宋体" w:eastAsiaTheme="minorEastAsia"/>
          <w:b/>
          <w:bCs/>
          <w:color w:val="FF0000"/>
          <w:spacing w:val="-4"/>
          <w:kern w:val="0"/>
          <w:szCs w:val="21"/>
          <w:highlight w:val="none"/>
        </w:rPr>
        <w:t>1.</w:t>
      </w:r>
      <w:r>
        <w:rPr>
          <w:rFonts w:hint="eastAsia"/>
          <w:highlight w:val="none"/>
        </w:rPr>
        <w:t xml:space="preserve"> </w:t>
      </w:r>
      <w:r>
        <w:rPr>
          <w:rFonts w:hint="eastAsia" w:ascii="宋体" w:hAnsi="宋体" w:eastAsiaTheme="minorEastAsia"/>
          <w:b/>
          <w:bCs/>
          <w:color w:val="FF0000"/>
          <w:spacing w:val="-4"/>
          <w:kern w:val="0"/>
          <w:szCs w:val="21"/>
          <w:highlight w:val="none"/>
        </w:rPr>
        <w:t>根据《深圳市财政局关于采购文件增加风险告知有关事项的通知》（深财购〔2022〕22 号），该风险知悉确认书用于对供应商违法行为的警示，不作为供应商资格性审查及符合性审查条件。</w:t>
      </w:r>
    </w:p>
    <w:p>
      <w:pPr>
        <w:widowControl/>
        <w:autoSpaceDE w:val="0"/>
        <w:autoSpaceDN w:val="0"/>
        <w:spacing w:line="400" w:lineRule="exact"/>
        <w:ind w:firstLine="406" w:firstLineChars="200"/>
        <w:jc w:val="left"/>
        <w:rPr>
          <w:rFonts w:ascii="宋体" w:hAnsi="宋体" w:eastAsiaTheme="minorEastAsia"/>
          <w:color w:val="FF0000"/>
          <w:spacing w:val="-4"/>
          <w:kern w:val="0"/>
          <w:szCs w:val="21"/>
          <w:highlight w:val="none"/>
        </w:rPr>
      </w:pPr>
      <w:r>
        <w:rPr>
          <w:rFonts w:hint="eastAsia" w:ascii="宋体" w:hAnsi="宋体" w:eastAsiaTheme="minorEastAsia"/>
          <w:b/>
          <w:bCs/>
          <w:color w:val="FF0000"/>
          <w:spacing w:val="-4"/>
          <w:kern w:val="0"/>
          <w:szCs w:val="21"/>
          <w:highlight w:val="none"/>
        </w:rPr>
        <w:t>2.投标供应商负责人或投标授权代表签字并加盖单位公章后，扫描上传至投标文件一并提交。</w:t>
      </w:r>
    </w:p>
    <w:p>
      <w:pPr>
        <w:widowControl/>
        <w:autoSpaceDE w:val="0"/>
        <w:autoSpaceDN w:val="0"/>
        <w:spacing w:line="400" w:lineRule="exact"/>
        <w:ind w:right="1414" w:firstLine="480" w:firstLineChars="200"/>
        <w:jc w:val="right"/>
        <w:rPr>
          <w:rFonts w:eastAsiaTheme="minorEastAsia"/>
          <w:kern w:val="0"/>
          <w:sz w:val="24"/>
          <w:highlight w:val="none"/>
        </w:rPr>
      </w:pPr>
    </w:p>
    <w:p>
      <w:pPr>
        <w:widowControl/>
        <w:autoSpaceDE w:val="0"/>
        <w:autoSpaceDN w:val="0"/>
        <w:spacing w:line="400" w:lineRule="exact"/>
        <w:ind w:right="1414" w:firstLine="480" w:firstLineChars="200"/>
        <w:jc w:val="right"/>
        <w:rPr>
          <w:rFonts w:eastAsiaTheme="minorEastAsia"/>
          <w:kern w:val="0"/>
          <w:sz w:val="24"/>
          <w:highlight w:val="none"/>
        </w:rPr>
      </w:pPr>
    </w:p>
    <w:p>
      <w:pPr>
        <w:widowControl/>
        <w:autoSpaceDE w:val="0"/>
        <w:autoSpaceDN w:val="0"/>
        <w:spacing w:line="400" w:lineRule="exact"/>
        <w:ind w:right="1414" w:firstLine="480" w:firstLineChars="200"/>
        <w:jc w:val="right"/>
        <w:rPr>
          <w:rFonts w:eastAsiaTheme="minorEastAsia"/>
          <w:kern w:val="0"/>
          <w:sz w:val="24"/>
          <w:highlight w:val="none"/>
        </w:rPr>
      </w:pPr>
    </w:p>
    <w:p>
      <w:pPr>
        <w:ind w:firstLine="630" w:firstLineChars="300"/>
        <w:rPr>
          <w:rFonts w:ascii="宋体" w:hAnsi="宋体"/>
          <w:highlight w:val="none"/>
        </w:rPr>
      </w:pPr>
      <w:r>
        <w:rPr>
          <w:highlight w:val="none"/>
        </w:rPr>
        <w:t xml:space="preserve">  </w:t>
      </w:r>
      <w:r>
        <w:rPr>
          <w:rFonts w:hint="eastAsia" w:ascii="宋体" w:hAnsi="宋体"/>
          <w:highlight w:val="none"/>
        </w:rPr>
        <w:t>………………（根据项目具体情况增加与综合实力评审相关的节点）</w:t>
      </w:r>
    </w:p>
    <w:p>
      <w:pPr>
        <w:ind w:firstLine="720" w:firstLineChars="300"/>
        <w:rPr>
          <w:sz w:val="24"/>
          <w:highlight w:val="none"/>
        </w:rPr>
      </w:pPr>
    </w:p>
    <w:p>
      <w:pPr>
        <w:widowControl/>
        <w:spacing w:line="360" w:lineRule="auto"/>
        <w:jc w:val="left"/>
        <w:rPr>
          <w:rFonts w:eastAsiaTheme="minorEastAsia"/>
          <w:b/>
          <w:bCs/>
          <w:kern w:val="0"/>
          <w:sz w:val="24"/>
          <w:highlight w:val="none"/>
        </w:rPr>
      </w:pPr>
    </w:p>
    <w:p>
      <w:pPr>
        <w:widowControl/>
        <w:jc w:val="center"/>
        <w:rPr>
          <w:rFonts w:ascii="黑体" w:hAnsi="宋体" w:eastAsia="黑体"/>
          <w:kern w:val="0"/>
          <w:sz w:val="24"/>
          <w:szCs w:val="20"/>
          <w:highlight w:val="none"/>
        </w:rPr>
      </w:pPr>
      <w:r>
        <w:rPr>
          <w:rFonts w:hint="eastAsia" w:ascii="黑体" w:hAnsi="宋体" w:eastAsia="黑体"/>
          <w:kern w:val="0"/>
          <w:sz w:val="24"/>
          <w:szCs w:val="20"/>
          <w:highlight w:val="none"/>
        </w:rPr>
        <w:t>（二）投标人认为需要加以说明的其他内容（格式自定）</w:t>
      </w:r>
    </w:p>
    <w:p>
      <w:pPr>
        <w:rPr>
          <w:highlight w:val="none"/>
        </w:rPr>
      </w:pPr>
    </w:p>
    <w:p>
      <w:pPr>
        <w:pStyle w:val="2"/>
        <w:rPr>
          <w:highlight w:val="none"/>
        </w:rPr>
        <w:sectPr>
          <w:pgSz w:w="11907" w:h="16840"/>
          <w:pgMar w:top="1440" w:right="1797" w:bottom="1440" w:left="1797" w:header="851" w:footer="992" w:gutter="0"/>
          <w:cols w:space="425" w:num="1"/>
          <w:titlePg/>
          <w:docGrid w:linePitch="462" w:charSpace="0"/>
        </w:sectPr>
      </w:pPr>
    </w:p>
    <w:p>
      <w:pPr>
        <w:pStyle w:val="2"/>
        <w:rPr>
          <w:highlight w:val="none"/>
        </w:rPr>
      </w:pPr>
    </w:p>
    <w:p>
      <w:pPr>
        <w:pStyle w:val="7"/>
        <w:rPr>
          <w:highlight w:val="none"/>
        </w:rPr>
      </w:pPr>
      <w:r>
        <w:rPr>
          <w:rFonts w:hint="eastAsia"/>
          <w:highlight w:val="none"/>
        </w:rPr>
        <w:t>第五章  合同条款及格式</w:t>
      </w:r>
    </w:p>
    <w:p>
      <w:pPr>
        <w:ind w:firstLine="411" w:firstLineChars="196"/>
        <w:rPr>
          <w:highlight w:val="none"/>
        </w:rPr>
      </w:pPr>
    </w:p>
    <w:p>
      <w:pPr>
        <w:jc w:val="center"/>
        <w:outlineLvl w:val="0"/>
        <w:rPr>
          <w:highlight w:val="none"/>
        </w:rPr>
      </w:pPr>
      <w:r>
        <w:rPr>
          <w:rFonts w:hint="eastAsia"/>
          <w:b/>
          <w:sz w:val="24"/>
          <w:highlight w:val="none"/>
        </w:rPr>
        <w:t>（仅供参考，具体以项目需求及采购结果为准）</w:t>
      </w:r>
    </w:p>
    <w:p>
      <w:pPr>
        <w:rPr>
          <w:rFonts w:ascii="宋体" w:hAnsi="宋体"/>
          <w:b/>
          <w:bCs/>
          <w:szCs w:val="21"/>
          <w:highlight w:val="none"/>
        </w:rPr>
      </w:pPr>
      <w:r>
        <w:rPr>
          <w:rFonts w:hint="eastAsia" w:ascii="宋体" w:hAnsi="宋体"/>
          <w:b/>
          <w:bCs/>
          <w:szCs w:val="21"/>
          <w:highlight w:val="none"/>
        </w:rPr>
        <w:t>甲方：</w:t>
      </w:r>
    </w:p>
    <w:p>
      <w:pPr>
        <w:rPr>
          <w:rFonts w:ascii="宋体" w:hAnsi="宋体"/>
          <w:szCs w:val="21"/>
          <w:highlight w:val="none"/>
        </w:rPr>
      </w:pPr>
      <w:r>
        <w:rPr>
          <w:rFonts w:hint="eastAsia" w:ascii="宋体" w:hAnsi="宋体"/>
          <w:szCs w:val="21"/>
          <w:highlight w:val="none"/>
        </w:rPr>
        <w:t>地址：</w:t>
      </w:r>
    </w:p>
    <w:p>
      <w:pPr>
        <w:rPr>
          <w:rFonts w:ascii="宋体" w:hAnsi="宋体"/>
          <w:szCs w:val="21"/>
          <w:highlight w:val="none"/>
        </w:rPr>
      </w:pPr>
      <w:r>
        <w:rPr>
          <w:rFonts w:hint="eastAsia" w:ascii="宋体" w:hAnsi="宋体"/>
          <w:szCs w:val="21"/>
          <w:highlight w:val="none"/>
        </w:rPr>
        <w:t>联系人：</w:t>
      </w:r>
      <w:r>
        <w:rPr>
          <w:rFonts w:ascii="宋体" w:hAnsi="宋体"/>
          <w:szCs w:val="21"/>
          <w:highlight w:val="none"/>
        </w:rPr>
        <w:t xml:space="preserve">                          </w:t>
      </w:r>
    </w:p>
    <w:p>
      <w:pPr>
        <w:rPr>
          <w:rFonts w:ascii="宋体" w:hAnsi="宋体"/>
          <w:b/>
          <w:bCs/>
          <w:szCs w:val="21"/>
          <w:highlight w:val="none"/>
        </w:rPr>
      </w:pPr>
      <w:r>
        <w:rPr>
          <w:rFonts w:hint="eastAsia" w:ascii="宋体" w:hAnsi="宋体"/>
          <w:szCs w:val="21"/>
          <w:highlight w:val="none"/>
        </w:rPr>
        <w:t>联系电话：</w:t>
      </w:r>
    </w:p>
    <w:p>
      <w:pPr>
        <w:rPr>
          <w:rFonts w:ascii="宋体" w:hAnsi="宋体"/>
          <w:b/>
          <w:bCs/>
          <w:szCs w:val="21"/>
          <w:highlight w:val="none"/>
        </w:rPr>
      </w:pPr>
      <w:r>
        <w:rPr>
          <w:rFonts w:ascii="宋体" w:hAnsi="宋体"/>
          <w:b/>
          <w:bCs/>
          <w:szCs w:val="21"/>
          <w:highlight w:val="none"/>
        </w:rPr>
        <w:t xml:space="preserve"> </w:t>
      </w:r>
      <w:r>
        <w:rPr>
          <w:rFonts w:hint="eastAsia" w:ascii="宋体" w:hAnsi="宋体"/>
          <w:b/>
          <w:bCs/>
          <w:szCs w:val="21"/>
          <w:highlight w:val="none"/>
        </w:rPr>
        <w:t xml:space="preserve"> </w:t>
      </w:r>
      <w:r>
        <w:rPr>
          <w:rFonts w:ascii="宋体" w:hAnsi="宋体"/>
          <w:b/>
          <w:bCs/>
          <w:szCs w:val="21"/>
          <w:highlight w:val="none"/>
        </w:rPr>
        <w:t xml:space="preserve"> </w:t>
      </w:r>
    </w:p>
    <w:p>
      <w:pPr>
        <w:rPr>
          <w:rFonts w:ascii="宋体" w:hAnsi="宋体"/>
          <w:b/>
          <w:bCs/>
          <w:szCs w:val="21"/>
          <w:highlight w:val="none"/>
        </w:rPr>
      </w:pPr>
      <w:r>
        <w:rPr>
          <w:rFonts w:hint="eastAsia" w:ascii="宋体" w:hAnsi="宋体"/>
          <w:b/>
          <w:bCs/>
          <w:szCs w:val="21"/>
          <w:highlight w:val="none"/>
        </w:rPr>
        <w:t>乙方：</w:t>
      </w:r>
    </w:p>
    <w:p>
      <w:pPr>
        <w:rPr>
          <w:rFonts w:ascii="宋体" w:hAnsi="宋体"/>
          <w:szCs w:val="21"/>
          <w:highlight w:val="none"/>
        </w:rPr>
      </w:pPr>
      <w:r>
        <w:rPr>
          <w:rFonts w:hint="eastAsia" w:ascii="宋体" w:hAnsi="宋体"/>
          <w:szCs w:val="21"/>
          <w:highlight w:val="none"/>
        </w:rPr>
        <w:t>地址：</w:t>
      </w:r>
    </w:p>
    <w:p>
      <w:pPr>
        <w:rPr>
          <w:rFonts w:ascii="宋体" w:hAnsi="宋体"/>
          <w:szCs w:val="21"/>
          <w:highlight w:val="none"/>
        </w:rPr>
      </w:pPr>
      <w:r>
        <w:rPr>
          <w:rFonts w:hint="eastAsia" w:ascii="宋体" w:hAnsi="宋体"/>
          <w:szCs w:val="21"/>
          <w:highlight w:val="none"/>
        </w:rPr>
        <w:t>联系人：</w:t>
      </w:r>
      <w:r>
        <w:rPr>
          <w:rFonts w:ascii="宋体" w:hAnsi="宋体"/>
          <w:szCs w:val="21"/>
          <w:highlight w:val="none"/>
        </w:rPr>
        <w:t xml:space="preserve">                          </w:t>
      </w:r>
    </w:p>
    <w:p>
      <w:pPr>
        <w:rPr>
          <w:rFonts w:ascii="宋体" w:hAnsi="宋体"/>
          <w:b/>
          <w:bCs/>
          <w:szCs w:val="21"/>
          <w:highlight w:val="none"/>
        </w:rPr>
      </w:pPr>
      <w:r>
        <w:rPr>
          <w:rFonts w:hint="eastAsia" w:ascii="宋体" w:hAnsi="宋体"/>
          <w:szCs w:val="21"/>
          <w:highlight w:val="none"/>
        </w:rPr>
        <w:t>联系电话：</w:t>
      </w:r>
    </w:p>
    <w:p>
      <w:pPr>
        <w:rPr>
          <w:rFonts w:ascii="宋体" w:hAnsi="宋体"/>
          <w:szCs w:val="21"/>
          <w:highlight w:val="none"/>
        </w:rPr>
      </w:pPr>
      <w:r>
        <w:rPr>
          <w:rFonts w:ascii="宋体" w:hAnsi="宋体"/>
          <w:b/>
          <w:bCs/>
          <w:szCs w:val="21"/>
          <w:highlight w:val="none"/>
        </w:rPr>
        <w:t xml:space="preserve">            </w:t>
      </w:r>
      <w:r>
        <w:rPr>
          <w:rFonts w:hint="eastAsia" w:ascii="宋体" w:hAnsi="宋体"/>
          <w:b/>
          <w:bCs/>
          <w:szCs w:val="21"/>
          <w:highlight w:val="none"/>
        </w:rPr>
        <w:t xml:space="preserve">          </w:t>
      </w:r>
    </w:p>
    <w:p>
      <w:pPr>
        <w:rPr>
          <w:rFonts w:ascii="宋体" w:hAnsi="宋体"/>
          <w:szCs w:val="21"/>
          <w:highlight w:val="none"/>
        </w:rPr>
      </w:pPr>
    </w:p>
    <w:p>
      <w:pPr>
        <w:ind w:firstLine="420" w:firstLineChars="200"/>
        <w:rPr>
          <w:rFonts w:ascii="宋体" w:hAnsi="宋体"/>
          <w:szCs w:val="21"/>
          <w:highlight w:val="none"/>
        </w:rPr>
      </w:pPr>
      <w:r>
        <w:rPr>
          <w:rFonts w:hint="eastAsia" w:ascii="宋体" w:hAnsi="宋体"/>
          <w:szCs w:val="21"/>
          <w:highlight w:val="none"/>
        </w:rPr>
        <w:t>根据深圳公共资源交易中心（深圳交易集团有限公司</w:t>
      </w:r>
      <w:r>
        <w:rPr>
          <w:rFonts w:hint="eastAsia" w:ascii="宋体" w:hAnsi="宋体"/>
          <w:szCs w:val="21"/>
          <w:highlight w:val="none"/>
          <w:lang w:val="en-US" w:eastAsia="zh-CN"/>
        </w:rPr>
        <w:t>福田</w:t>
      </w:r>
      <w:r>
        <w:rPr>
          <w:rFonts w:hint="eastAsia" w:ascii="宋体" w:hAnsi="宋体"/>
          <w:szCs w:val="21"/>
          <w:highlight w:val="none"/>
        </w:rPr>
        <w:t>分公司）*</w:t>
      </w:r>
      <w:r>
        <w:rPr>
          <w:rFonts w:ascii="宋体" w:hAnsi="宋体"/>
          <w:szCs w:val="21"/>
          <w:highlight w:val="none"/>
        </w:rPr>
        <w:t>**</w:t>
      </w:r>
      <w:r>
        <w:rPr>
          <w:rFonts w:hint="eastAsia" w:ascii="宋体" w:hAnsi="宋体"/>
          <w:szCs w:val="21"/>
          <w:highlight w:val="none"/>
        </w:rPr>
        <w:t>号项目结果，*</w:t>
      </w:r>
      <w:r>
        <w:rPr>
          <w:rFonts w:ascii="宋体" w:hAnsi="宋体"/>
          <w:szCs w:val="21"/>
          <w:highlight w:val="none"/>
        </w:rPr>
        <w:t>**</w:t>
      </w:r>
      <w:r>
        <w:rPr>
          <w:rFonts w:hint="eastAsia" w:ascii="宋体" w:hAnsi="宋体"/>
          <w:szCs w:val="21"/>
          <w:highlight w:val="none"/>
        </w:rPr>
        <w:t>单位为中标人。按照《中华人民共和国民法典》（第三编 合同）》和《深圳经济特区政府采购条例》，经深圳市（以下简称甲方）和单位（以下简称乙方）协商，就甲方委托乙方承担</w:t>
      </w:r>
      <w:r>
        <w:rPr>
          <w:rFonts w:hint="eastAsia" w:ascii="宋体" w:hAnsi="宋体"/>
          <w:b/>
          <w:bCs/>
          <w:snapToGrid w:val="0"/>
          <w:kern w:val="0"/>
          <w:szCs w:val="21"/>
          <w:highlight w:val="none"/>
          <w:u w:val="single"/>
          <w:lang w:val="zh-CN"/>
        </w:rPr>
        <w:t xml:space="preserve">                      服务项目</w:t>
      </w:r>
      <w:r>
        <w:rPr>
          <w:rFonts w:hint="eastAsia" w:ascii="宋体" w:hAnsi="宋体"/>
          <w:szCs w:val="21"/>
          <w:highlight w:val="none"/>
        </w:rPr>
        <w:t>，达成以下合同条款：</w:t>
      </w:r>
    </w:p>
    <w:p>
      <w:pPr>
        <w:ind w:firstLine="422" w:firstLineChars="200"/>
        <w:rPr>
          <w:rFonts w:ascii="宋体" w:hAnsi="宋体"/>
          <w:b/>
          <w:bCs/>
          <w:szCs w:val="21"/>
          <w:highlight w:val="none"/>
        </w:rPr>
      </w:pPr>
      <w:r>
        <w:rPr>
          <w:rFonts w:hint="eastAsia" w:ascii="宋体" w:hAnsi="宋体"/>
          <w:b/>
          <w:bCs/>
          <w:szCs w:val="21"/>
          <w:highlight w:val="none"/>
        </w:rPr>
        <w:t>第一条　项目概况</w:t>
      </w:r>
    </w:p>
    <w:p>
      <w:pPr>
        <w:ind w:firstLine="420" w:firstLineChars="200"/>
        <w:rPr>
          <w:rFonts w:ascii="宋体" w:hAnsi="宋体"/>
          <w:szCs w:val="21"/>
          <w:highlight w:val="none"/>
        </w:rPr>
      </w:pPr>
      <w:r>
        <w:rPr>
          <w:rFonts w:hint="eastAsia" w:ascii="宋体" w:hAnsi="宋体"/>
          <w:szCs w:val="21"/>
          <w:highlight w:val="none"/>
        </w:rPr>
        <w:t xml:space="preserve">项目名称： </w:t>
      </w:r>
    </w:p>
    <w:p>
      <w:pPr>
        <w:ind w:firstLine="420" w:firstLineChars="200"/>
        <w:rPr>
          <w:rFonts w:ascii="宋体" w:hAnsi="宋体"/>
          <w:szCs w:val="21"/>
          <w:highlight w:val="none"/>
        </w:rPr>
      </w:pPr>
      <w:r>
        <w:rPr>
          <w:rFonts w:hint="eastAsia" w:ascii="宋体" w:hAnsi="宋体"/>
          <w:szCs w:val="21"/>
          <w:highlight w:val="none"/>
        </w:rPr>
        <w:t xml:space="preserve">项目内容： </w:t>
      </w:r>
    </w:p>
    <w:p>
      <w:pPr>
        <w:ind w:firstLine="420" w:firstLineChars="200"/>
        <w:rPr>
          <w:rFonts w:ascii="宋体" w:hAnsi="宋体"/>
          <w:szCs w:val="21"/>
          <w:highlight w:val="none"/>
        </w:rPr>
      </w:pPr>
      <w:r>
        <w:rPr>
          <w:rFonts w:hint="eastAsia" w:ascii="宋体" w:hAnsi="宋体"/>
          <w:szCs w:val="21"/>
          <w:highlight w:val="none"/>
        </w:rPr>
        <w:t xml:space="preserve">服务时间： </w:t>
      </w:r>
    </w:p>
    <w:p>
      <w:pPr>
        <w:ind w:firstLine="420" w:firstLineChars="200"/>
        <w:rPr>
          <w:rFonts w:ascii="宋体" w:hAnsi="宋体"/>
          <w:szCs w:val="21"/>
          <w:highlight w:val="none"/>
        </w:rPr>
      </w:pPr>
      <w:r>
        <w:rPr>
          <w:rFonts w:hint="eastAsia" w:ascii="宋体" w:hAnsi="宋体"/>
          <w:szCs w:val="21"/>
          <w:highlight w:val="none"/>
        </w:rPr>
        <w:t>合同价款：合同总价为元，含一切税、费。</w:t>
      </w:r>
      <w:r>
        <w:rPr>
          <w:highlight w:val="none"/>
        </w:rPr>
        <w:t>本合同总价包括</w:t>
      </w:r>
      <w:r>
        <w:rPr>
          <w:rFonts w:hint="eastAsia" w:ascii="宋体" w:hAnsi="宋体"/>
          <w:szCs w:val="21"/>
          <w:highlight w:val="none"/>
        </w:rPr>
        <w:t>乙方为实施本项目*</w:t>
      </w:r>
      <w:r>
        <w:rPr>
          <w:rFonts w:ascii="宋体" w:hAnsi="宋体"/>
          <w:szCs w:val="21"/>
          <w:highlight w:val="none"/>
        </w:rPr>
        <w:t>**</w:t>
      </w:r>
      <w:r>
        <w:rPr>
          <w:rFonts w:hint="eastAsia" w:ascii="宋体" w:hAnsi="宋体"/>
          <w:szCs w:val="21"/>
          <w:highlight w:val="none"/>
        </w:rPr>
        <w:t>所需的设备仪器费、车辆租赁费、</w:t>
      </w:r>
      <w:r>
        <w:rPr>
          <w:highlight w:val="none"/>
        </w:rPr>
        <w:t>服务</w:t>
      </w:r>
      <w:r>
        <w:rPr>
          <w:rFonts w:hint="eastAsia"/>
          <w:highlight w:val="none"/>
        </w:rPr>
        <w:t>和</w:t>
      </w:r>
      <w:r>
        <w:rPr>
          <w:highlight w:val="none"/>
        </w:rPr>
        <w:t>技术费用</w:t>
      </w:r>
      <w:r>
        <w:rPr>
          <w:rFonts w:hint="eastAsia"/>
          <w:highlight w:val="none"/>
        </w:rPr>
        <w:t>等</w:t>
      </w:r>
      <w:r>
        <w:rPr>
          <w:highlight w:val="none"/>
        </w:rPr>
        <w:t>，为固定不变价格，且不随通货膨胀的影响而波动。合同总价包括</w:t>
      </w:r>
      <w:r>
        <w:rPr>
          <w:rFonts w:hint="eastAsia" w:ascii="宋体" w:hAnsi="宋体"/>
          <w:szCs w:val="21"/>
          <w:highlight w:val="none"/>
        </w:rPr>
        <w:t>乙方</w:t>
      </w:r>
      <w:r>
        <w:rPr>
          <w:highlight w:val="none"/>
        </w:rPr>
        <w:t>履行本合同义务所发生的一切费用和支出和以各种方式寄送技术资料到</w:t>
      </w:r>
      <w:r>
        <w:rPr>
          <w:rFonts w:hint="eastAsia"/>
          <w:highlight w:val="none"/>
        </w:rPr>
        <w:t>甲</w:t>
      </w:r>
      <w:r>
        <w:rPr>
          <w:highlight w:val="none"/>
        </w:rPr>
        <w:t>方办公室所发生的费用。</w:t>
      </w:r>
    </w:p>
    <w:p>
      <w:pPr>
        <w:pStyle w:val="9"/>
        <w:rPr>
          <w:rFonts w:ascii="宋体" w:hAnsi="宋体"/>
          <w:szCs w:val="21"/>
          <w:highlight w:val="none"/>
        </w:rPr>
      </w:pPr>
      <w:r>
        <w:rPr>
          <w:rFonts w:hint="eastAsia" w:ascii="宋体" w:hAnsi="宋体"/>
          <w:szCs w:val="21"/>
          <w:highlight w:val="none"/>
        </w:rPr>
        <w:t>支付方式：分期支付。</w:t>
      </w:r>
    </w:p>
    <w:p>
      <w:pPr>
        <w:ind w:firstLine="422" w:firstLineChars="200"/>
        <w:rPr>
          <w:rFonts w:ascii="宋体" w:hAnsi="宋体"/>
          <w:b/>
          <w:bCs/>
          <w:szCs w:val="21"/>
          <w:highlight w:val="none"/>
        </w:rPr>
      </w:pPr>
      <w:r>
        <w:rPr>
          <w:rFonts w:hint="eastAsia" w:ascii="宋体" w:hAnsi="宋体"/>
          <w:b/>
          <w:bCs/>
          <w:szCs w:val="21"/>
          <w:highlight w:val="none"/>
        </w:rPr>
        <w:t>第二条  服务范围</w:t>
      </w:r>
    </w:p>
    <w:p>
      <w:pPr>
        <w:ind w:firstLine="420" w:firstLineChars="200"/>
        <w:rPr>
          <w:rFonts w:ascii="宋体" w:hAnsi="宋体"/>
          <w:szCs w:val="21"/>
          <w:highlight w:val="none"/>
        </w:rPr>
      </w:pPr>
      <w:r>
        <w:rPr>
          <w:rFonts w:hint="eastAsia" w:ascii="宋体" w:hAnsi="宋体"/>
          <w:szCs w:val="21"/>
          <w:highlight w:val="none"/>
        </w:rPr>
        <w:t xml:space="preserve">1、  </w:t>
      </w:r>
    </w:p>
    <w:p>
      <w:pPr>
        <w:ind w:firstLine="420" w:firstLineChars="200"/>
        <w:rPr>
          <w:rFonts w:ascii="宋体" w:hAnsi="宋体"/>
          <w:szCs w:val="21"/>
          <w:highlight w:val="none"/>
        </w:rPr>
      </w:pPr>
      <w:r>
        <w:rPr>
          <w:rFonts w:hint="eastAsia" w:ascii="宋体" w:hAnsi="宋体"/>
          <w:szCs w:val="21"/>
          <w:highlight w:val="none"/>
        </w:rPr>
        <w:t xml:space="preserve">2、  </w:t>
      </w:r>
    </w:p>
    <w:p>
      <w:pPr>
        <w:ind w:firstLine="420" w:firstLineChars="200"/>
        <w:rPr>
          <w:rFonts w:ascii="宋体" w:hAnsi="宋体"/>
          <w:szCs w:val="21"/>
          <w:highlight w:val="none"/>
        </w:rPr>
      </w:pPr>
      <w:r>
        <w:rPr>
          <w:rFonts w:hint="eastAsia" w:ascii="宋体" w:hAnsi="宋体"/>
          <w:szCs w:val="21"/>
          <w:highlight w:val="none"/>
        </w:rPr>
        <w:t xml:space="preserve">3、  </w:t>
      </w:r>
    </w:p>
    <w:p>
      <w:pPr>
        <w:ind w:firstLine="420" w:firstLineChars="200"/>
        <w:rPr>
          <w:rFonts w:ascii="宋体" w:hAnsi="宋体"/>
          <w:szCs w:val="21"/>
          <w:highlight w:val="none"/>
        </w:rPr>
      </w:pPr>
      <w:r>
        <w:rPr>
          <w:rFonts w:hint="eastAsia" w:ascii="宋体" w:hAnsi="宋体"/>
          <w:szCs w:val="21"/>
          <w:highlight w:val="none"/>
        </w:rPr>
        <w:t>4、 其他合同未明示的相关工作。</w:t>
      </w:r>
    </w:p>
    <w:p>
      <w:pPr>
        <w:ind w:firstLine="422" w:firstLineChars="200"/>
        <w:rPr>
          <w:rFonts w:ascii="宋体" w:hAnsi="宋体"/>
          <w:b/>
          <w:bCs/>
          <w:szCs w:val="21"/>
          <w:highlight w:val="none"/>
        </w:rPr>
      </w:pPr>
      <w:r>
        <w:rPr>
          <w:rFonts w:hint="eastAsia" w:ascii="宋体" w:hAnsi="宋体"/>
          <w:b/>
          <w:bCs/>
          <w:szCs w:val="21"/>
          <w:highlight w:val="none"/>
        </w:rPr>
        <w:t>第三条  时间要求及阶段成果</w:t>
      </w:r>
    </w:p>
    <w:p>
      <w:pPr>
        <w:ind w:firstLine="420" w:firstLineChars="200"/>
        <w:rPr>
          <w:rFonts w:ascii="宋体" w:hAnsi="宋体"/>
          <w:szCs w:val="21"/>
          <w:highlight w:val="none"/>
        </w:rPr>
      </w:pPr>
      <w:r>
        <w:rPr>
          <w:rFonts w:hint="eastAsia" w:ascii="宋体" w:hAnsi="宋体"/>
          <w:szCs w:val="21"/>
          <w:highlight w:val="none"/>
        </w:rPr>
        <w:t>1、合同签订天内完成项目实施的准备工作，包括工作大纲和试验细则的编制；</w:t>
      </w:r>
    </w:p>
    <w:p>
      <w:pPr>
        <w:ind w:firstLine="420" w:firstLineChars="200"/>
        <w:rPr>
          <w:rFonts w:ascii="宋体" w:hAnsi="宋体"/>
          <w:szCs w:val="21"/>
          <w:highlight w:val="none"/>
        </w:rPr>
      </w:pPr>
      <w:r>
        <w:rPr>
          <w:rFonts w:hint="eastAsia" w:ascii="宋体" w:hAnsi="宋体"/>
          <w:szCs w:val="21"/>
          <w:highlight w:val="none"/>
        </w:rPr>
        <w:t xml:space="preserve">2、 </w:t>
      </w:r>
    </w:p>
    <w:p>
      <w:pPr>
        <w:ind w:firstLine="420" w:firstLineChars="200"/>
        <w:rPr>
          <w:rFonts w:ascii="宋体" w:hAnsi="宋体"/>
          <w:szCs w:val="21"/>
          <w:highlight w:val="none"/>
        </w:rPr>
      </w:pPr>
      <w:r>
        <w:rPr>
          <w:rFonts w:hint="eastAsia" w:ascii="宋体" w:hAnsi="宋体"/>
          <w:szCs w:val="21"/>
          <w:highlight w:val="none"/>
        </w:rPr>
        <w:t>3、</w:t>
      </w:r>
    </w:p>
    <w:p>
      <w:pPr>
        <w:ind w:firstLine="420" w:firstLineChars="200"/>
        <w:rPr>
          <w:rFonts w:ascii="宋体" w:hAnsi="宋体"/>
          <w:szCs w:val="21"/>
          <w:highlight w:val="none"/>
        </w:rPr>
      </w:pPr>
      <w:r>
        <w:rPr>
          <w:rFonts w:hint="eastAsia" w:ascii="宋体" w:hAnsi="宋体"/>
          <w:szCs w:val="21"/>
          <w:highlight w:val="none"/>
        </w:rPr>
        <w:t>4、</w:t>
      </w:r>
    </w:p>
    <w:p>
      <w:pPr>
        <w:ind w:firstLine="422" w:firstLineChars="200"/>
        <w:rPr>
          <w:rFonts w:ascii="宋体" w:hAnsi="宋体"/>
          <w:b/>
          <w:bCs/>
          <w:szCs w:val="21"/>
          <w:highlight w:val="none"/>
        </w:rPr>
      </w:pPr>
      <w:r>
        <w:rPr>
          <w:rFonts w:hint="eastAsia" w:ascii="宋体" w:hAnsi="宋体"/>
          <w:b/>
          <w:bCs/>
          <w:szCs w:val="21"/>
          <w:highlight w:val="none"/>
        </w:rPr>
        <w:t>第四条  服务资料归属</w:t>
      </w:r>
    </w:p>
    <w:p>
      <w:pPr>
        <w:ind w:firstLine="420" w:firstLineChars="200"/>
        <w:rPr>
          <w:highlight w:val="none"/>
        </w:rPr>
      </w:pPr>
      <w:r>
        <w:rPr>
          <w:highlight w:val="none"/>
        </w:rPr>
        <w:t>1</w:t>
      </w:r>
      <w:r>
        <w:rPr>
          <w:rFonts w:hint="eastAsia"/>
          <w:highlight w:val="none"/>
        </w:rPr>
        <w:t>、</w:t>
      </w:r>
      <w:r>
        <w:rPr>
          <w:highlight w:val="none"/>
        </w:rPr>
        <w:t>所有提交给</w:t>
      </w:r>
      <w:r>
        <w:rPr>
          <w:rFonts w:hint="eastAsia"/>
          <w:highlight w:val="none"/>
        </w:rPr>
        <w:t>甲</w:t>
      </w:r>
      <w:r>
        <w:rPr>
          <w:highlight w:val="none"/>
        </w:rPr>
        <w:t>方的服务</w:t>
      </w:r>
      <w:r>
        <w:rPr>
          <w:rFonts w:hint="eastAsia"/>
          <w:highlight w:val="none"/>
        </w:rPr>
        <w:t>文件</w:t>
      </w:r>
      <w:r>
        <w:rPr>
          <w:highlight w:val="none"/>
        </w:rPr>
        <w:t>及相关的资料的最后文本，包括为履行技术服务范围所编制的图纸、计划和证明资料等，都属于</w:t>
      </w:r>
      <w:r>
        <w:rPr>
          <w:rFonts w:hint="eastAsia"/>
          <w:highlight w:val="none"/>
        </w:rPr>
        <w:t>甲</w:t>
      </w:r>
      <w:r>
        <w:rPr>
          <w:highlight w:val="none"/>
        </w:rPr>
        <w:t>方的财产，</w:t>
      </w:r>
      <w:r>
        <w:rPr>
          <w:rFonts w:hint="eastAsia" w:ascii="宋体" w:hAnsi="宋体"/>
          <w:szCs w:val="21"/>
          <w:highlight w:val="none"/>
        </w:rPr>
        <w:t>乙</w:t>
      </w:r>
      <w:r>
        <w:rPr>
          <w:highlight w:val="none"/>
        </w:rPr>
        <w:t>方在提交给</w:t>
      </w:r>
      <w:r>
        <w:rPr>
          <w:rFonts w:hint="eastAsia"/>
          <w:highlight w:val="none"/>
        </w:rPr>
        <w:t>甲</w:t>
      </w:r>
      <w:r>
        <w:rPr>
          <w:highlight w:val="none"/>
        </w:rPr>
        <w:t>方之前应将上述资料进行整理归类和编制索引</w:t>
      </w:r>
      <w:r>
        <w:rPr>
          <w:rFonts w:hint="eastAsia"/>
          <w:highlight w:val="none"/>
        </w:rPr>
        <w:t>。</w:t>
      </w:r>
    </w:p>
    <w:p>
      <w:pPr>
        <w:ind w:firstLine="420" w:firstLineChars="200"/>
        <w:rPr>
          <w:highlight w:val="none"/>
        </w:rPr>
      </w:pPr>
      <w:r>
        <w:rPr>
          <w:highlight w:val="none"/>
        </w:rPr>
        <w:t>2</w:t>
      </w:r>
      <w:r>
        <w:rPr>
          <w:rFonts w:hint="eastAsia"/>
          <w:highlight w:val="none"/>
        </w:rPr>
        <w:t>、</w:t>
      </w:r>
      <w:r>
        <w:rPr>
          <w:rFonts w:hint="eastAsia" w:ascii="宋体" w:hAnsi="宋体"/>
          <w:szCs w:val="21"/>
          <w:highlight w:val="none"/>
        </w:rPr>
        <w:t>乙</w:t>
      </w:r>
      <w:r>
        <w:rPr>
          <w:highlight w:val="none"/>
        </w:rPr>
        <w:t>方未经</w:t>
      </w:r>
      <w:r>
        <w:rPr>
          <w:rFonts w:hint="eastAsia"/>
          <w:highlight w:val="none"/>
        </w:rPr>
        <w:t>甲</w:t>
      </w:r>
      <w:r>
        <w:rPr>
          <w:highlight w:val="none"/>
        </w:rPr>
        <w:t>方的书面同意，不得将上述资料用于与本服务项目之外的任何项目</w:t>
      </w:r>
      <w:r>
        <w:rPr>
          <w:rFonts w:hint="eastAsia"/>
          <w:highlight w:val="none"/>
        </w:rPr>
        <w:t>。</w:t>
      </w:r>
    </w:p>
    <w:p>
      <w:pPr>
        <w:ind w:firstLine="420" w:firstLineChars="200"/>
        <w:rPr>
          <w:highlight w:val="none"/>
        </w:rPr>
      </w:pPr>
      <w:r>
        <w:rPr>
          <w:rFonts w:hint="eastAsia"/>
          <w:highlight w:val="none"/>
        </w:rPr>
        <w:t>3、</w:t>
      </w:r>
      <w:r>
        <w:rPr>
          <w:highlight w:val="none"/>
        </w:rPr>
        <w:t>合同履行</w:t>
      </w:r>
      <w:r>
        <w:rPr>
          <w:rFonts w:hint="eastAsia"/>
          <w:highlight w:val="none"/>
        </w:rPr>
        <w:t>完毕，</w:t>
      </w:r>
      <w:r>
        <w:rPr>
          <w:highlight w:val="none"/>
        </w:rPr>
        <w:t>未经</w:t>
      </w:r>
      <w:r>
        <w:rPr>
          <w:rFonts w:hint="eastAsia"/>
          <w:highlight w:val="none"/>
        </w:rPr>
        <w:t>甲</w:t>
      </w:r>
      <w:r>
        <w:rPr>
          <w:highlight w:val="none"/>
        </w:rPr>
        <w:t>方的书面同意</w:t>
      </w:r>
      <w:r>
        <w:rPr>
          <w:rFonts w:hint="eastAsia"/>
          <w:highlight w:val="none"/>
        </w:rPr>
        <w:t>，</w:t>
      </w:r>
      <w:r>
        <w:rPr>
          <w:rFonts w:hint="eastAsia" w:ascii="宋体" w:hAnsi="宋体"/>
          <w:szCs w:val="21"/>
          <w:highlight w:val="none"/>
        </w:rPr>
        <w:t>乙</w:t>
      </w:r>
      <w:r>
        <w:rPr>
          <w:highlight w:val="none"/>
        </w:rPr>
        <w:t>方</w:t>
      </w:r>
      <w:r>
        <w:rPr>
          <w:rFonts w:hint="eastAsia"/>
          <w:highlight w:val="none"/>
        </w:rPr>
        <w:t>不得保存在</w:t>
      </w:r>
      <w:r>
        <w:rPr>
          <w:highlight w:val="none"/>
        </w:rPr>
        <w:t>履行合同过程中所获得或接触到的任何</w:t>
      </w:r>
      <w:r>
        <w:rPr>
          <w:rFonts w:hint="eastAsia" w:ascii="宋体" w:hAnsi="宋体"/>
          <w:szCs w:val="21"/>
          <w:highlight w:val="none"/>
        </w:rPr>
        <w:t>内部数据资料。</w:t>
      </w:r>
    </w:p>
    <w:p>
      <w:pPr>
        <w:ind w:firstLine="422" w:firstLineChars="200"/>
        <w:rPr>
          <w:rFonts w:ascii="宋体" w:hAnsi="宋体"/>
          <w:b/>
          <w:bCs/>
          <w:szCs w:val="21"/>
          <w:highlight w:val="none"/>
        </w:rPr>
      </w:pPr>
      <w:r>
        <w:rPr>
          <w:rFonts w:hint="eastAsia" w:ascii="宋体" w:hAnsi="宋体"/>
          <w:b/>
          <w:bCs/>
          <w:szCs w:val="21"/>
          <w:highlight w:val="none"/>
        </w:rPr>
        <w:t>第五条  甲方的义务</w:t>
      </w:r>
    </w:p>
    <w:p>
      <w:pPr>
        <w:ind w:firstLine="420" w:firstLineChars="200"/>
        <w:rPr>
          <w:rFonts w:ascii="宋体" w:hAnsi="宋体"/>
          <w:szCs w:val="21"/>
          <w:highlight w:val="none"/>
        </w:rPr>
      </w:pPr>
      <w:r>
        <w:rPr>
          <w:rFonts w:hint="eastAsia" w:ascii="宋体" w:hAnsi="宋体"/>
          <w:szCs w:val="21"/>
          <w:highlight w:val="none"/>
        </w:rPr>
        <w:t>1、负责与本服务项目有关的第三方的协调，提供开展服务工作的外部条件。</w:t>
      </w:r>
    </w:p>
    <w:p>
      <w:pPr>
        <w:ind w:firstLine="420" w:firstLineChars="200"/>
        <w:rPr>
          <w:rFonts w:ascii="宋体" w:hAnsi="宋体"/>
          <w:szCs w:val="21"/>
          <w:highlight w:val="none"/>
        </w:rPr>
      </w:pPr>
      <w:r>
        <w:rPr>
          <w:rFonts w:hint="eastAsia" w:ascii="宋体" w:hAnsi="宋体"/>
          <w:szCs w:val="21"/>
          <w:highlight w:val="none"/>
        </w:rPr>
        <w:t>2、向乙方提供与本项目服务工作有关的资料。</w:t>
      </w:r>
    </w:p>
    <w:p>
      <w:pPr>
        <w:ind w:firstLine="420" w:firstLineChars="200"/>
        <w:rPr>
          <w:rFonts w:ascii="宋体" w:hAnsi="宋体"/>
          <w:szCs w:val="21"/>
          <w:highlight w:val="none"/>
        </w:rPr>
      </w:pPr>
      <w:r>
        <w:rPr>
          <w:rFonts w:hint="eastAsia" w:ascii="宋体" w:hAnsi="宋体"/>
          <w:szCs w:val="21"/>
          <w:highlight w:val="none"/>
        </w:rPr>
        <w:t>3、负责组织有关专家对项目试验成果评估报告的评审。</w:t>
      </w:r>
    </w:p>
    <w:p>
      <w:pPr>
        <w:ind w:firstLine="422" w:firstLineChars="200"/>
        <w:rPr>
          <w:rFonts w:ascii="宋体" w:hAnsi="宋体"/>
          <w:b/>
          <w:bCs/>
          <w:szCs w:val="21"/>
          <w:highlight w:val="none"/>
        </w:rPr>
      </w:pPr>
      <w:r>
        <w:rPr>
          <w:rFonts w:hint="eastAsia" w:ascii="宋体" w:hAnsi="宋体"/>
          <w:b/>
          <w:bCs/>
          <w:szCs w:val="21"/>
          <w:highlight w:val="none"/>
        </w:rPr>
        <w:t>第六条　乙方的义务</w:t>
      </w:r>
    </w:p>
    <w:p>
      <w:pPr>
        <w:ind w:firstLine="420" w:firstLineChars="200"/>
        <w:rPr>
          <w:rFonts w:ascii="宋体" w:hAnsi="宋体"/>
          <w:szCs w:val="21"/>
          <w:highlight w:val="none"/>
        </w:rPr>
      </w:pPr>
      <w:r>
        <w:rPr>
          <w:rFonts w:hint="eastAsia" w:ascii="宋体" w:hAnsi="宋体"/>
          <w:szCs w:val="21"/>
          <w:highlight w:val="none"/>
        </w:rPr>
        <w:t>１、应按照招标文件、投标文件要求按期完成本项目服务工作。</w:t>
      </w:r>
    </w:p>
    <w:p>
      <w:pPr>
        <w:ind w:firstLine="420" w:firstLineChars="200"/>
        <w:rPr>
          <w:rFonts w:ascii="宋体" w:hAnsi="宋体"/>
          <w:szCs w:val="21"/>
          <w:highlight w:val="none"/>
        </w:rPr>
      </w:pPr>
      <w:r>
        <w:rPr>
          <w:rFonts w:hint="eastAsia" w:ascii="宋体" w:hAnsi="宋体"/>
          <w:szCs w:val="21"/>
          <w:highlight w:val="none"/>
        </w:rPr>
        <w:t>2、负责组织项目的实施，保证工程进度和成桥荷载试验工作质量，并满足交通部交工验收相关标准。</w:t>
      </w:r>
    </w:p>
    <w:p>
      <w:pPr>
        <w:ind w:firstLine="420" w:firstLineChars="200"/>
        <w:rPr>
          <w:rFonts w:ascii="宋体" w:hAnsi="宋体"/>
          <w:szCs w:val="21"/>
          <w:highlight w:val="none"/>
        </w:rPr>
      </w:pPr>
      <w:r>
        <w:rPr>
          <w:rFonts w:hint="eastAsia" w:ascii="宋体" w:hAnsi="宋体"/>
          <w:szCs w:val="21"/>
          <w:highlight w:val="none"/>
        </w:rPr>
        <w:t>3、</w:t>
      </w:r>
      <w:r>
        <w:rPr>
          <w:rFonts w:hint="eastAsia" w:ascii="宋体" w:hAnsi="宋体"/>
          <w:highlight w:val="none"/>
        </w:rPr>
        <w:t>向甲方提交检测资料等各套，一套电子版文件。</w:t>
      </w:r>
    </w:p>
    <w:p>
      <w:pPr>
        <w:ind w:firstLine="420" w:firstLineChars="200"/>
        <w:rPr>
          <w:rFonts w:ascii="宋体" w:hAnsi="宋体"/>
          <w:szCs w:val="21"/>
          <w:highlight w:val="none"/>
        </w:rPr>
      </w:pPr>
      <w:r>
        <w:rPr>
          <w:rFonts w:hint="eastAsia" w:ascii="宋体" w:hAnsi="宋体"/>
          <w:szCs w:val="21"/>
          <w:highlight w:val="none"/>
        </w:rPr>
        <w:t>4、在履行合同期间或合同规定期限内，不得泄露与本合同规定业务活动有关的保密资料。</w:t>
      </w:r>
    </w:p>
    <w:p>
      <w:pPr>
        <w:ind w:firstLine="422" w:firstLineChars="200"/>
        <w:rPr>
          <w:rFonts w:ascii="宋体" w:hAnsi="宋体"/>
          <w:b/>
          <w:bCs/>
          <w:szCs w:val="21"/>
          <w:highlight w:val="none"/>
        </w:rPr>
      </w:pPr>
      <w:r>
        <w:rPr>
          <w:rFonts w:hint="eastAsia" w:ascii="宋体" w:hAnsi="宋体"/>
          <w:b/>
          <w:bCs/>
          <w:szCs w:val="21"/>
          <w:highlight w:val="none"/>
        </w:rPr>
        <w:t>第七条  甲方的权利</w:t>
      </w:r>
    </w:p>
    <w:p>
      <w:pPr>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、有权向乙方询问工作进展情况及相关的内容。</w:t>
      </w:r>
    </w:p>
    <w:p>
      <w:pPr>
        <w:ind w:firstLine="420" w:firstLineChars="200"/>
        <w:rPr>
          <w:rFonts w:ascii="宋体" w:hAnsi="宋体"/>
          <w:szCs w:val="21"/>
          <w:highlight w:val="none"/>
        </w:rPr>
      </w:pPr>
      <w:r>
        <w:rPr>
          <w:rFonts w:ascii="宋体" w:hAnsi="宋体"/>
          <w:szCs w:val="21"/>
          <w:highlight w:val="none"/>
        </w:rPr>
        <w:t>2</w:t>
      </w:r>
      <w:r>
        <w:rPr>
          <w:rFonts w:hint="eastAsia" w:ascii="宋体" w:hAnsi="宋体"/>
          <w:szCs w:val="21"/>
          <w:highlight w:val="none"/>
        </w:rPr>
        <w:t>、有权阐述对具体问题的意见和建议。</w:t>
      </w:r>
    </w:p>
    <w:p>
      <w:pPr>
        <w:ind w:firstLine="420" w:firstLineChars="200"/>
        <w:rPr>
          <w:rFonts w:ascii="宋体" w:hAnsi="宋体"/>
          <w:szCs w:val="21"/>
          <w:highlight w:val="none"/>
        </w:rPr>
      </w:pPr>
      <w:r>
        <w:rPr>
          <w:rFonts w:ascii="宋体" w:hAnsi="宋体"/>
          <w:szCs w:val="21"/>
          <w:highlight w:val="none"/>
        </w:rPr>
        <w:t>3</w:t>
      </w:r>
      <w:r>
        <w:rPr>
          <w:rFonts w:hint="eastAsia" w:ascii="宋体" w:hAnsi="宋体"/>
          <w:szCs w:val="21"/>
          <w:highlight w:val="none"/>
        </w:rPr>
        <w:t>、当甲方认定乙方人员不按合同履行其职责，或与第三人串通给甲方造成经济损失的，甲方有权要求更换人员，直至终止合同并要求乙方承担相应的赔偿责任。</w:t>
      </w:r>
    </w:p>
    <w:p>
      <w:pPr>
        <w:ind w:firstLine="422" w:firstLineChars="200"/>
        <w:rPr>
          <w:rFonts w:ascii="宋体" w:hAnsi="宋体"/>
          <w:b/>
          <w:bCs/>
          <w:szCs w:val="21"/>
          <w:highlight w:val="none"/>
        </w:rPr>
      </w:pPr>
      <w:r>
        <w:rPr>
          <w:rFonts w:hint="eastAsia" w:ascii="宋体" w:hAnsi="宋体"/>
          <w:b/>
          <w:bCs/>
          <w:szCs w:val="21"/>
          <w:highlight w:val="none"/>
        </w:rPr>
        <w:t>第八条  乙方的权利</w:t>
      </w:r>
    </w:p>
    <w:p>
      <w:pPr>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、乙方在本项目服务过程中，如甲方提供的资料不明确时可向甲方提出书面报告。</w:t>
      </w:r>
    </w:p>
    <w:p>
      <w:pPr>
        <w:ind w:firstLine="420" w:firstLineChars="200"/>
        <w:rPr>
          <w:rFonts w:ascii="宋体" w:hAnsi="宋体"/>
          <w:szCs w:val="21"/>
          <w:highlight w:val="none"/>
        </w:rPr>
      </w:pPr>
      <w:r>
        <w:rPr>
          <w:rFonts w:ascii="宋体" w:hAnsi="宋体"/>
          <w:szCs w:val="21"/>
          <w:highlight w:val="none"/>
        </w:rPr>
        <w:t>2</w:t>
      </w:r>
      <w:r>
        <w:rPr>
          <w:rFonts w:hint="eastAsia" w:ascii="宋体" w:hAnsi="宋体"/>
          <w:szCs w:val="21"/>
          <w:highlight w:val="none"/>
        </w:rPr>
        <w:t>、乙方在本项目服务过程中，有权对第三方提出与本服务业务有关的问题进行核对或查问。</w:t>
      </w:r>
    </w:p>
    <w:p>
      <w:pPr>
        <w:ind w:firstLine="420" w:firstLineChars="200"/>
        <w:rPr>
          <w:rFonts w:ascii="宋体" w:hAnsi="宋体"/>
          <w:szCs w:val="21"/>
          <w:highlight w:val="none"/>
        </w:rPr>
      </w:pPr>
      <w:r>
        <w:rPr>
          <w:rFonts w:ascii="宋体" w:hAnsi="宋体"/>
          <w:szCs w:val="21"/>
          <w:highlight w:val="none"/>
        </w:rPr>
        <w:t>3</w:t>
      </w:r>
      <w:r>
        <w:rPr>
          <w:rFonts w:hint="eastAsia" w:ascii="宋体" w:hAnsi="宋体"/>
          <w:szCs w:val="21"/>
          <w:highlight w:val="none"/>
        </w:rPr>
        <w:t>、乙方在本项目服务过程中，有到工程现场勘察的权利。</w:t>
      </w:r>
    </w:p>
    <w:p>
      <w:pPr>
        <w:ind w:firstLine="422" w:firstLineChars="200"/>
        <w:rPr>
          <w:rFonts w:ascii="宋体" w:hAnsi="宋体"/>
          <w:b/>
          <w:bCs/>
          <w:szCs w:val="21"/>
          <w:highlight w:val="none"/>
        </w:rPr>
      </w:pPr>
      <w:r>
        <w:rPr>
          <w:rFonts w:hint="eastAsia" w:ascii="宋体" w:hAnsi="宋体"/>
          <w:b/>
          <w:bCs/>
          <w:szCs w:val="21"/>
          <w:highlight w:val="none"/>
        </w:rPr>
        <w:t>第九条  甲方的责任</w:t>
      </w:r>
    </w:p>
    <w:p>
      <w:pPr>
        <w:ind w:firstLine="420" w:firstLineChars="200"/>
        <w:rPr>
          <w:rFonts w:ascii="宋体" w:hAnsi="宋体"/>
          <w:szCs w:val="21"/>
          <w:highlight w:val="none"/>
        </w:rPr>
      </w:pPr>
      <w:r>
        <w:rPr>
          <w:rFonts w:hint="eastAsia" w:ascii="宋体" w:hAnsi="宋体"/>
          <w:szCs w:val="21"/>
          <w:highlight w:val="none"/>
        </w:rPr>
        <w:t>1、应当履行本合同约定的义务，如有违反则应当承担违约责任，赔偿给乙方造成的损失。</w:t>
      </w:r>
    </w:p>
    <w:p>
      <w:pPr>
        <w:ind w:firstLine="420" w:firstLineChars="200"/>
        <w:rPr>
          <w:rFonts w:ascii="宋体" w:hAnsi="宋体"/>
          <w:szCs w:val="21"/>
          <w:highlight w:val="none"/>
        </w:rPr>
      </w:pPr>
      <w:r>
        <w:rPr>
          <w:rFonts w:hint="eastAsia" w:ascii="宋体" w:hAnsi="宋体"/>
          <w:szCs w:val="21"/>
          <w:highlight w:val="none"/>
        </w:rPr>
        <w:t>2、甲方向乙方提出赔偿要求不能成立时，则应补偿由于该赔偿或其他要求所导致乙方的各种费用的支出。</w:t>
      </w:r>
    </w:p>
    <w:p>
      <w:pPr>
        <w:ind w:firstLine="422" w:firstLineChars="200"/>
        <w:rPr>
          <w:rFonts w:ascii="宋体" w:hAnsi="宋体"/>
          <w:b/>
          <w:bCs/>
          <w:szCs w:val="21"/>
          <w:highlight w:val="none"/>
        </w:rPr>
      </w:pPr>
      <w:r>
        <w:rPr>
          <w:rFonts w:hint="eastAsia" w:ascii="宋体" w:hAnsi="宋体"/>
          <w:b/>
          <w:bCs/>
          <w:szCs w:val="21"/>
          <w:highlight w:val="none"/>
        </w:rPr>
        <w:t>第十条  乙方的责任</w:t>
      </w:r>
    </w:p>
    <w:p>
      <w:pPr>
        <w:ind w:firstLine="420" w:firstLineChars="200"/>
        <w:rPr>
          <w:rFonts w:ascii="宋体" w:hAnsi="宋体"/>
          <w:szCs w:val="21"/>
          <w:highlight w:val="none"/>
        </w:rPr>
      </w:pPr>
      <w:r>
        <w:rPr>
          <w:rFonts w:hint="eastAsia" w:ascii="宋体" w:hAnsi="宋体"/>
          <w:szCs w:val="21"/>
          <w:highlight w:val="none"/>
        </w:rPr>
        <w:t>1、乙方的责任期即本合同有效期。如因非乙方的责任造成进度的推迟或延误而超过约定的日期，双方应进一步约定相应延长合同有效期。</w:t>
      </w:r>
    </w:p>
    <w:p>
      <w:pPr>
        <w:ind w:firstLine="420" w:firstLineChars="200"/>
        <w:rPr>
          <w:rFonts w:ascii="宋体" w:hAnsi="宋体"/>
          <w:szCs w:val="21"/>
          <w:highlight w:val="none"/>
        </w:rPr>
      </w:pPr>
      <w:r>
        <w:rPr>
          <w:rFonts w:hint="eastAsia" w:ascii="宋体" w:hAnsi="宋体"/>
          <w:szCs w:val="21"/>
          <w:highlight w:val="none"/>
        </w:rPr>
        <w:t>2、乙方的责任期内，应当履行本合同中约定的义务，因乙方的单方过失造成的经济损失，应当向甲方进行赔偿。</w:t>
      </w:r>
    </w:p>
    <w:p>
      <w:pPr>
        <w:ind w:firstLine="420" w:firstLineChars="200"/>
        <w:rPr>
          <w:rFonts w:ascii="宋体" w:hAnsi="宋体"/>
          <w:szCs w:val="21"/>
          <w:highlight w:val="none"/>
        </w:rPr>
      </w:pPr>
      <w:r>
        <w:rPr>
          <w:rFonts w:hint="eastAsia" w:ascii="宋体" w:hAnsi="宋体"/>
          <w:szCs w:val="21"/>
          <w:highlight w:val="none"/>
        </w:rPr>
        <w:t>3、乙方对甲方或第三方所提出的问题不能及时核对或答复，导致合同不能全部或部分履行，乙方应承担责任。</w:t>
      </w:r>
    </w:p>
    <w:p>
      <w:pPr>
        <w:ind w:firstLine="420" w:firstLineChars="200"/>
        <w:rPr>
          <w:rFonts w:ascii="宋体" w:hAnsi="宋体"/>
          <w:szCs w:val="21"/>
          <w:highlight w:val="none"/>
        </w:rPr>
      </w:pPr>
      <w:r>
        <w:rPr>
          <w:rFonts w:hint="eastAsia" w:ascii="宋体" w:hAnsi="宋体"/>
          <w:szCs w:val="21"/>
          <w:highlight w:val="none"/>
        </w:rPr>
        <w:t>4、乙方向甲方提出赔偿要求不能成立时，则应补偿由于该赔偿或其他要求所导致甲方的各种费用的支出。</w:t>
      </w:r>
    </w:p>
    <w:p>
      <w:pPr>
        <w:ind w:firstLine="422" w:firstLineChars="200"/>
        <w:rPr>
          <w:rFonts w:ascii="宋体" w:hAnsi="宋体"/>
          <w:b/>
          <w:bCs/>
          <w:szCs w:val="21"/>
          <w:highlight w:val="none"/>
        </w:rPr>
      </w:pPr>
      <w:r>
        <w:rPr>
          <w:rFonts w:hint="eastAsia" w:ascii="宋体" w:hAnsi="宋体"/>
          <w:b/>
          <w:bCs/>
          <w:szCs w:val="21"/>
          <w:highlight w:val="none"/>
        </w:rPr>
        <w:t>第十一条  人员要求</w:t>
      </w:r>
    </w:p>
    <w:p>
      <w:pPr>
        <w:ind w:firstLine="420" w:firstLineChars="200"/>
        <w:rPr>
          <w:rFonts w:ascii="宋体" w:hAnsi="宋体"/>
          <w:szCs w:val="21"/>
          <w:highlight w:val="none"/>
        </w:rPr>
      </w:pPr>
      <w:r>
        <w:rPr>
          <w:rFonts w:hint="eastAsia" w:ascii="宋体" w:hAnsi="宋体"/>
          <w:szCs w:val="21"/>
          <w:highlight w:val="none"/>
        </w:rPr>
        <w:t>1、参加本项目试验的人员必须具有国家和有关部门规定的相应资质。</w:t>
      </w:r>
    </w:p>
    <w:p>
      <w:pPr>
        <w:ind w:firstLine="420" w:firstLineChars="200"/>
        <w:rPr>
          <w:rFonts w:ascii="宋体" w:hAnsi="宋体"/>
          <w:szCs w:val="21"/>
          <w:highlight w:val="none"/>
        </w:rPr>
      </w:pPr>
      <w:r>
        <w:rPr>
          <w:rFonts w:hint="eastAsia" w:ascii="宋体" w:hAnsi="宋体"/>
          <w:szCs w:val="21"/>
          <w:highlight w:val="none"/>
        </w:rPr>
        <w:t>2、 参加本项目的试验人员的配置必须与投标文件中的服务承诺书和试验服务组织实施方案一致。</w:t>
      </w:r>
    </w:p>
    <w:p>
      <w:pPr>
        <w:ind w:firstLine="420" w:firstLineChars="200"/>
        <w:rPr>
          <w:rFonts w:ascii="宋体" w:hAnsi="宋体"/>
          <w:szCs w:val="21"/>
          <w:highlight w:val="none"/>
        </w:rPr>
      </w:pPr>
      <w:r>
        <w:rPr>
          <w:rFonts w:hint="eastAsia" w:ascii="宋体" w:hAnsi="宋体"/>
          <w:szCs w:val="21"/>
          <w:highlight w:val="none"/>
        </w:rPr>
        <w:t>3、必须以直属试验人员参与本项目服务，不得使用挂靠队伍。</w:t>
      </w:r>
    </w:p>
    <w:p>
      <w:pPr>
        <w:ind w:firstLine="422" w:firstLineChars="200"/>
        <w:rPr>
          <w:rFonts w:ascii="宋体" w:hAnsi="宋体"/>
          <w:b/>
          <w:bCs/>
          <w:szCs w:val="21"/>
          <w:highlight w:val="none"/>
        </w:rPr>
      </w:pPr>
      <w:r>
        <w:rPr>
          <w:rFonts w:hint="eastAsia" w:ascii="宋体" w:hAnsi="宋体"/>
          <w:b/>
          <w:bCs/>
          <w:szCs w:val="21"/>
          <w:highlight w:val="none"/>
        </w:rPr>
        <w:t>第十二条  乙方服务工具要求</w:t>
      </w:r>
    </w:p>
    <w:p>
      <w:pPr>
        <w:ind w:firstLine="420" w:firstLineChars="200"/>
        <w:rPr>
          <w:rFonts w:ascii="宋体" w:hAnsi="宋体"/>
          <w:szCs w:val="21"/>
          <w:highlight w:val="none"/>
        </w:rPr>
      </w:pPr>
      <w:r>
        <w:rPr>
          <w:rFonts w:hint="eastAsia" w:ascii="宋体" w:hAnsi="宋体"/>
          <w:szCs w:val="21"/>
          <w:highlight w:val="none"/>
        </w:rPr>
        <w:t>1、乙方应配备中标项目所需的足够数量的仪器、仪表以及工具等设备。用户不需向乙方提供施工工具和仪器、仪表。</w:t>
      </w:r>
    </w:p>
    <w:p>
      <w:pPr>
        <w:ind w:firstLine="420" w:firstLineChars="200"/>
        <w:rPr>
          <w:rFonts w:ascii="宋体" w:hAnsi="宋体"/>
          <w:szCs w:val="21"/>
          <w:highlight w:val="none"/>
        </w:rPr>
      </w:pPr>
      <w:r>
        <w:rPr>
          <w:rFonts w:hint="eastAsia" w:ascii="宋体" w:hAnsi="宋体"/>
          <w:szCs w:val="21"/>
          <w:highlight w:val="none"/>
        </w:rPr>
        <w:t>2、乙方在提供服务过程中应自备车辆。</w:t>
      </w:r>
    </w:p>
    <w:p>
      <w:pPr>
        <w:ind w:firstLine="422" w:firstLineChars="200"/>
        <w:rPr>
          <w:rFonts w:ascii="宋体" w:hAnsi="宋体"/>
          <w:b/>
          <w:bCs/>
          <w:szCs w:val="21"/>
          <w:highlight w:val="none"/>
        </w:rPr>
      </w:pPr>
      <w:r>
        <w:rPr>
          <w:rFonts w:hint="eastAsia" w:ascii="宋体" w:hAnsi="宋体"/>
          <w:b/>
          <w:bCs/>
          <w:szCs w:val="21"/>
          <w:highlight w:val="none"/>
        </w:rPr>
        <w:t>第十三条  保密要求</w:t>
      </w:r>
    </w:p>
    <w:p>
      <w:pPr>
        <w:ind w:firstLine="420" w:firstLineChars="200"/>
        <w:rPr>
          <w:rFonts w:ascii="宋体" w:hAnsi="宋体"/>
          <w:szCs w:val="21"/>
          <w:highlight w:val="none"/>
        </w:rPr>
      </w:pPr>
      <w:r>
        <w:rPr>
          <w:rFonts w:hint="eastAsia" w:ascii="宋体" w:hAnsi="宋体"/>
          <w:szCs w:val="21"/>
          <w:highlight w:val="none"/>
        </w:rPr>
        <w:t>1、</w:t>
      </w:r>
      <w:r>
        <w:rPr>
          <w:rFonts w:ascii="宋体" w:hAnsi="宋体"/>
          <w:szCs w:val="21"/>
          <w:highlight w:val="none"/>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ind w:firstLine="420" w:firstLineChars="200"/>
        <w:rPr>
          <w:rFonts w:ascii="宋体" w:hAnsi="宋体"/>
          <w:szCs w:val="21"/>
          <w:highlight w:val="none"/>
        </w:rPr>
      </w:pPr>
      <w:r>
        <w:rPr>
          <w:rFonts w:hint="eastAsia" w:ascii="宋体" w:hAnsi="宋体"/>
          <w:szCs w:val="21"/>
          <w:highlight w:val="none"/>
        </w:rPr>
        <w:t>2、</w:t>
      </w:r>
      <w:r>
        <w:rPr>
          <w:rFonts w:ascii="宋体" w:hAnsi="宋体"/>
          <w:szCs w:val="21"/>
          <w:highlight w:val="none"/>
        </w:rPr>
        <w:t>乙方在履行合同过程中所获得或接触到的任何</w:t>
      </w:r>
      <w:r>
        <w:rPr>
          <w:rFonts w:hint="eastAsia" w:ascii="宋体" w:hAnsi="宋体"/>
          <w:szCs w:val="21"/>
          <w:highlight w:val="none"/>
        </w:rPr>
        <w:t>内部数据资料，未经甲方同意，不得向第三方透露。</w:t>
      </w:r>
    </w:p>
    <w:p>
      <w:pPr>
        <w:ind w:firstLine="420" w:firstLineChars="200"/>
        <w:rPr>
          <w:rFonts w:ascii="宋体" w:hAnsi="宋体"/>
          <w:szCs w:val="21"/>
          <w:highlight w:val="none"/>
        </w:rPr>
      </w:pPr>
      <w:r>
        <w:rPr>
          <w:rFonts w:hint="eastAsia" w:ascii="宋体" w:hAnsi="宋体"/>
          <w:szCs w:val="21"/>
          <w:highlight w:val="none"/>
        </w:rPr>
        <w:t>3、</w:t>
      </w:r>
      <w:r>
        <w:rPr>
          <w:rFonts w:ascii="宋体" w:hAnsi="宋体"/>
          <w:szCs w:val="21"/>
          <w:highlight w:val="none"/>
        </w:rPr>
        <w:t>乙方</w:t>
      </w:r>
      <w:r>
        <w:rPr>
          <w:rFonts w:hint="eastAsia" w:ascii="宋体" w:hAnsi="宋体"/>
          <w:szCs w:val="21"/>
          <w:highlight w:val="none"/>
        </w:rPr>
        <w:t>实施项目的一切程序都应符合国家安全、保密的有关规定和标准。</w:t>
      </w:r>
    </w:p>
    <w:p>
      <w:pPr>
        <w:ind w:firstLine="420" w:firstLineChars="200"/>
        <w:rPr>
          <w:rFonts w:ascii="宋体" w:hAnsi="宋体"/>
          <w:szCs w:val="21"/>
          <w:highlight w:val="none"/>
        </w:rPr>
      </w:pPr>
      <w:r>
        <w:rPr>
          <w:rFonts w:hint="eastAsia" w:ascii="宋体" w:hAnsi="宋体"/>
          <w:szCs w:val="21"/>
          <w:highlight w:val="none"/>
        </w:rPr>
        <w:t>4、</w:t>
      </w:r>
      <w:r>
        <w:rPr>
          <w:rFonts w:ascii="宋体" w:hAnsi="宋体"/>
          <w:szCs w:val="21"/>
          <w:highlight w:val="none"/>
        </w:rPr>
        <w:t>乙方</w:t>
      </w:r>
      <w:r>
        <w:rPr>
          <w:rFonts w:hint="eastAsia" w:ascii="宋体" w:hAnsi="宋体"/>
          <w:szCs w:val="21"/>
          <w:highlight w:val="none"/>
        </w:rPr>
        <w:t>参加项目的有关人员均需同甲方签订保密协议。</w:t>
      </w:r>
    </w:p>
    <w:p>
      <w:pPr>
        <w:ind w:firstLine="422" w:firstLineChars="200"/>
        <w:rPr>
          <w:rFonts w:ascii="宋体" w:hAnsi="宋体"/>
          <w:b/>
          <w:bCs/>
          <w:szCs w:val="21"/>
          <w:highlight w:val="none"/>
        </w:rPr>
      </w:pPr>
      <w:r>
        <w:rPr>
          <w:rFonts w:hint="eastAsia" w:ascii="宋体" w:hAnsi="宋体"/>
          <w:b/>
          <w:bCs/>
          <w:szCs w:val="21"/>
          <w:highlight w:val="none"/>
        </w:rPr>
        <w:t xml:space="preserve">第十四条  验收     </w:t>
      </w:r>
    </w:p>
    <w:p>
      <w:pPr>
        <w:ind w:firstLine="420" w:firstLineChars="200"/>
        <w:rPr>
          <w:rFonts w:ascii="宋体" w:hAnsi="宋体"/>
          <w:szCs w:val="21"/>
          <w:highlight w:val="none"/>
        </w:rPr>
      </w:pPr>
      <w:r>
        <w:rPr>
          <w:rFonts w:hint="eastAsia" w:ascii="宋体" w:hAnsi="宋体"/>
          <w:szCs w:val="21"/>
          <w:highlight w:val="none"/>
        </w:rPr>
        <w:t>1、下列文件的验收分为</w:t>
      </w:r>
      <w:r>
        <w:rPr>
          <w:rFonts w:hint="eastAsia" w:ascii="宋体" w:hAnsi="宋体"/>
          <w:szCs w:val="21"/>
          <w:highlight w:val="none"/>
          <w:u w:val="single"/>
        </w:rPr>
        <w:t xml:space="preserve">          三</w:t>
      </w:r>
      <w:r>
        <w:rPr>
          <w:rFonts w:hint="eastAsia" w:ascii="宋体" w:hAnsi="宋体"/>
          <w:szCs w:val="21"/>
          <w:highlight w:val="none"/>
        </w:rPr>
        <w:t>个阶段:</w:t>
      </w:r>
    </w:p>
    <w:p>
      <w:pPr>
        <w:ind w:firstLine="420" w:firstLineChars="200"/>
        <w:rPr>
          <w:rFonts w:ascii="宋体" w:hAnsi="宋体"/>
          <w:szCs w:val="21"/>
          <w:highlight w:val="none"/>
        </w:rPr>
      </w:pPr>
      <w:r>
        <w:rPr>
          <w:rFonts w:hint="eastAsia" w:ascii="宋体" w:hAnsi="宋体"/>
          <w:szCs w:val="21"/>
          <w:highlight w:val="none"/>
        </w:rPr>
        <w:t>2、其余文件和工作由用户组织有关技术人员根据国家和行业有关规范、规程、标准和用户需求直接验收。</w:t>
      </w:r>
    </w:p>
    <w:p>
      <w:pPr>
        <w:ind w:firstLine="420" w:firstLineChars="200"/>
        <w:rPr>
          <w:rFonts w:ascii="宋体" w:hAnsi="宋体"/>
          <w:szCs w:val="21"/>
          <w:highlight w:val="none"/>
        </w:rPr>
      </w:pPr>
      <w:r>
        <w:rPr>
          <w:rFonts w:hint="eastAsia" w:ascii="宋体" w:hAnsi="宋体"/>
          <w:szCs w:val="21"/>
          <w:highlight w:val="none"/>
        </w:rPr>
        <w:t>3、验收依据为招标文件、投标文件，国家和行业有关规范、规程和标准。</w:t>
      </w:r>
    </w:p>
    <w:p>
      <w:pPr>
        <w:ind w:firstLine="422" w:firstLineChars="200"/>
        <w:rPr>
          <w:rFonts w:ascii="宋体" w:hAnsi="宋体"/>
          <w:b/>
          <w:bCs/>
          <w:szCs w:val="21"/>
          <w:highlight w:val="none"/>
        </w:rPr>
      </w:pPr>
      <w:r>
        <w:rPr>
          <w:rFonts w:hint="eastAsia" w:ascii="宋体" w:hAnsi="宋体"/>
          <w:b/>
          <w:bCs/>
          <w:szCs w:val="21"/>
          <w:highlight w:val="none"/>
        </w:rPr>
        <w:t>第十五条  付款方式</w:t>
      </w:r>
    </w:p>
    <w:p>
      <w:pPr>
        <w:ind w:firstLine="420" w:firstLineChars="200"/>
        <w:rPr>
          <w:rFonts w:ascii="宋体" w:hAnsi="宋体"/>
          <w:szCs w:val="21"/>
          <w:highlight w:val="none"/>
        </w:rPr>
      </w:pPr>
      <w:r>
        <w:rPr>
          <w:rFonts w:hint="eastAsia" w:ascii="宋体" w:hAnsi="宋体"/>
          <w:szCs w:val="21"/>
          <w:highlight w:val="none"/>
        </w:rPr>
        <w:t>1、合同签订后   天内乙方向甲方开具合法有效的发票后，甲方于   天内向乙方支付合同总价%的款项。</w:t>
      </w:r>
    </w:p>
    <w:p>
      <w:pPr>
        <w:ind w:firstLine="420" w:firstLineChars="200"/>
        <w:rPr>
          <w:rFonts w:ascii="宋体" w:hAnsi="宋体"/>
          <w:szCs w:val="21"/>
          <w:highlight w:val="none"/>
        </w:rPr>
      </w:pPr>
      <w:r>
        <w:rPr>
          <w:rFonts w:hint="eastAsia" w:ascii="宋体" w:hAnsi="宋体"/>
          <w:szCs w:val="21"/>
          <w:highlight w:val="none"/>
        </w:rPr>
        <w:t>2、检测完成并提交评估报告后  天内，乙方向甲方开具合法有效发票后 天，甲方向乙方支付合同总价%的款项。</w:t>
      </w:r>
    </w:p>
    <w:p>
      <w:pPr>
        <w:ind w:firstLine="420" w:firstLineChars="200"/>
        <w:rPr>
          <w:rFonts w:ascii="宋体" w:hAnsi="宋体"/>
          <w:szCs w:val="21"/>
          <w:highlight w:val="none"/>
        </w:rPr>
      </w:pPr>
      <w:r>
        <w:rPr>
          <w:rFonts w:hint="eastAsia" w:ascii="宋体" w:hAnsi="宋体"/>
          <w:szCs w:val="21"/>
          <w:highlight w:val="none"/>
        </w:rPr>
        <w:t>3、报告通过专家评审后，甲方向乙方支付合同总价%的款项。</w:t>
      </w:r>
    </w:p>
    <w:p>
      <w:pPr>
        <w:ind w:firstLine="422" w:firstLineChars="200"/>
        <w:rPr>
          <w:rFonts w:ascii="宋体" w:hAnsi="宋体"/>
          <w:b/>
          <w:bCs/>
          <w:szCs w:val="21"/>
          <w:highlight w:val="none"/>
        </w:rPr>
      </w:pPr>
      <w:r>
        <w:rPr>
          <w:rFonts w:hint="eastAsia" w:ascii="宋体" w:hAnsi="宋体"/>
          <w:b/>
          <w:bCs/>
          <w:szCs w:val="21"/>
          <w:highlight w:val="none"/>
        </w:rPr>
        <w:t>第十六条  争议解决办法</w:t>
      </w:r>
    </w:p>
    <w:p>
      <w:pPr>
        <w:ind w:firstLine="420" w:firstLineChars="200"/>
        <w:rPr>
          <w:rFonts w:ascii="宋体" w:hAnsi="宋体"/>
          <w:szCs w:val="21"/>
          <w:highlight w:val="none"/>
        </w:rPr>
      </w:pPr>
      <w:r>
        <w:rPr>
          <w:rFonts w:hint="eastAsia" w:ascii="宋体" w:hAnsi="宋体"/>
          <w:szCs w:val="21"/>
          <w:highlight w:val="none"/>
        </w:rPr>
        <w:t>执行本合同发生的争议，由甲乙双方协商解决，如协商不成的，应提交甲方所在地人民法院诉讼解决。</w:t>
      </w:r>
    </w:p>
    <w:p>
      <w:pPr>
        <w:ind w:firstLine="422" w:firstLineChars="200"/>
        <w:rPr>
          <w:rFonts w:ascii="宋体" w:hAnsi="宋体"/>
          <w:b/>
          <w:bCs/>
          <w:szCs w:val="21"/>
          <w:highlight w:val="none"/>
        </w:rPr>
      </w:pPr>
      <w:r>
        <w:rPr>
          <w:rFonts w:hint="eastAsia" w:ascii="宋体" w:hAnsi="宋体"/>
          <w:b/>
          <w:bCs/>
          <w:szCs w:val="21"/>
          <w:highlight w:val="none"/>
        </w:rPr>
        <w:t>第十七条  风险责任</w:t>
      </w:r>
    </w:p>
    <w:p>
      <w:pPr>
        <w:ind w:firstLine="420" w:firstLineChars="200"/>
        <w:rPr>
          <w:rFonts w:ascii="宋体" w:hAnsi="宋体"/>
          <w:szCs w:val="21"/>
          <w:highlight w:val="none"/>
        </w:rPr>
      </w:pPr>
      <w:r>
        <w:rPr>
          <w:rFonts w:hint="eastAsia" w:ascii="宋体" w:hAnsi="宋体"/>
          <w:szCs w:val="21"/>
          <w:highlight w:val="none"/>
        </w:rPr>
        <w:t>１、乙方应完全地按照招标文件的要求和乙方投标文件的承诺完成本项目，出于自身财务、技术、人力等原因导致项目失败的，应承担全部责任。</w:t>
      </w:r>
    </w:p>
    <w:p>
      <w:pPr>
        <w:ind w:firstLine="420" w:firstLineChars="200"/>
        <w:rPr>
          <w:rFonts w:ascii="宋体" w:hAnsi="宋体"/>
          <w:szCs w:val="21"/>
          <w:highlight w:val="none"/>
        </w:rPr>
      </w:pPr>
      <w:r>
        <w:rPr>
          <w:rFonts w:hint="eastAsia" w:ascii="宋体" w:hAnsi="宋体"/>
          <w:szCs w:val="21"/>
          <w:highlight w:val="none"/>
        </w:rPr>
        <w:t>2、乙方在实施荷载试验过程中应对自身的安全生产负责，若非因甲方原因发生的各种事故甲方不承担任何责任。</w:t>
      </w:r>
    </w:p>
    <w:p>
      <w:pPr>
        <w:ind w:firstLine="422" w:firstLineChars="200"/>
        <w:rPr>
          <w:rFonts w:ascii="宋体" w:hAnsi="宋体"/>
          <w:b/>
          <w:bCs/>
          <w:szCs w:val="21"/>
          <w:highlight w:val="none"/>
        </w:rPr>
      </w:pPr>
      <w:r>
        <w:rPr>
          <w:rFonts w:hint="eastAsia" w:ascii="宋体" w:hAnsi="宋体"/>
          <w:b/>
          <w:bCs/>
          <w:szCs w:val="21"/>
          <w:highlight w:val="none"/>
        </w:rPr>
        <w:t>第十八条  违约责任</w:t>
      </w:r>
    </w:p>
    <w:p>
      <w:pPr>
        <w:pStyle w:val="20"/>
        <w:spacing w:line="240" w:lineRule="auto"/>
        <w:rPr>
          <w:rFonts w:ascii="宋体" w:hAnsi="宋体"/>
          <w:szCs w:val="21"/>
          <w:highlight w:val="none"/>
        </w:rPr>
      </w:pPr>
      <w:r>
        <w:rPr>
          <w:rFonts w:hint="eastAsia" w:ascii="宋体" w:hAnsi="宋体"/>
          <w:szCs w:val="21"/>
          <w:highlight w:val="none"/>
        </w:rPr>
        <w:t>１、因乙方原因，未能按规定时间完成有关工作的，每延误一天，甲方可在支付合同余款中扣除合同价款千分之一。</w:t>
      </w:r>
    </w:p>
    <w:p>
      <w:pPr>
        <w:ind w:firstLine="420" w:firstLineChars="200"/>
        <w:rPr>
          <w:rFonts w:ascii="宋体" w:hAnsi="宋体"/>
          <w:szCs w:val="21"/>
          <w:highlight w:val="none"/>
        </w:rPr>
      </w:pPr>
      <w:r>
        <w:rPr>
          <w:rFonts w:hint="eastAsia" w:ascii="宋体" w:hAnsi="宋体"/>
          <w:szCs w:val="21"/>
          <w:highlight w:val="none"/>
        </w:rPr>
        <w:t>2、由于乙方原因造成试验成果质量低劣，不能满足大纲要求时，应继续完善试验工作，其费用由乙方承担。</w:t>
      </w:r>
    </w:p>
    <w:p>
      <w:pPr>
        <w:ind w:firstLine="420" w:firstLineChars="200"/>
        <w:rPr>
          <w:rFonts w:ascii="宋体" w:hAnsi="宋体"/>
          <w:szCs w:val="21"/>
          <w:highlight w:val="none"/>
        </w:rPr>
      </w:pPr>
      <w:r>
        <w:rPr>
          <w:rFonts w:hint="eastAsia" w:ascii="宋体" w:hAnsi="宋体"/>
          <w:szCs w:val="21"/>
          <w:highlight w:val="none"/>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pPr>
        <w:ind w:firstLine="420" w:firstLineChars="200"/>
        <w:rPr>
          <w:rFonts w:ascii="宋体" w:hAnsi="宋体"/>
          <w:szCs w:val="21"/>
          <w:highlight w:val="none"/>
        </w:rPr>
      </w:pPr>
      <w:r>
        <w:rPr>
          <w:rFonts w:hint="eastAsia" w:ascii="宋体" w:hAnsi="宋体"/>
          <w:szCs w:val="21"/>
          <w:highlight w:val="none"/>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pPr>
        <w:ind w:firstLine="420" w:firstLineChars="200"/>
        <w:rPr>
          <w:rFonts w:ascii="宋体" w:hAnsi="宋体"/>
          <w:szCs w:val="21"/>
          <w:highlight w:val="none"/>
        </w:rPr>
      </w:pPr>
      <w:r>
        <w:rPr>
          <w:rFonts w:hint="eastAsia" w:ascii="宋体" w:hAnsi="宋体"/>
          <w:szCs w:val="21"/>
          <w:highlight w:val="none"/>
        </w:rPr>
        <w:t>5、乙方或其工作人员违反本合同约定的保密义务，甲方有权要求乙方按合同总额   %支付违约金；造成不良影响或对甲方造成损失的，甲方有权要求乙方消除影响，承担赔偿责任，并有权解除合同。</w:t>
      </w:r>
    </w:p>
    <w:p>
      <w:pPr>
        <w:ind w:firstLine="420" w:firstLineChars="200"/>
        <w:rPr>
          <w:rFonts w:ascii="宋体" w:hAnsi="宋体"/>
          <w:szCs w:val="21"/>
          <w:highlight w:val="none"/>
        </w:rPr>
      </w:pPr>
      <w:r>
        <w:rPr>
          <w:rFonts w:hint="eastAsia" w:ascii="宋体" w:hAnsi="宋体"/>
          <w:szCs w:val="21"/>
          <w:highlight w:val="none"/>
        </w:rPr>
        <w:t>6、因乙方提供的服务成果受到侵权指控或者引发法律纠纷，影响甲方使用服务成果或者导致合同目的不能实现的，甲方有权要求乙方按合同总额   %支付违约金，并有权解除合同。</w:t>
      </w:r>
    </w:p>
    <w:p>
      <w:pPr>
        <w:ind w:firstLine="422" w:firstLineChars="200"/>
        <w:rPr>
          <w:rFonts w:ascii="宋体" w:hAnsi="宋体"/>
          <w:b/>
          <w:bCs/>
          <w:szCs w:val="21"/>
          <w:highlight w:val="none"/>
        </w:rPr>
      </w:pPr>
      <w:r>
        <w:rPr>
          <w:rFonts w:hint="eastAsia" w:ascii="宋体" w:hAnsi="宋体"/>
          <w:b/>
          <w:bCs/>
          <w:szCs w:val="21"/>
          <w:highlight w:val="none"/>
        </w:rPr>
        <w:t>第十九条  其他</w:t>
      </w:r>
    </w:p>
    <w:p>
      <w:pPr>
        <w:ind w:firstLine="420" w:firstLineChars="200"/>
        <w:rPr>
          <w:rFonts w:hint="eastAsia" w:ascii="宋体" w:hAnsi="宋体"/>
          <w:szCs w:val="21"/>
          <w:highlight w:val="none"/>
        </w:rPr>
      </w:pPr>
      <w:r>
        <w:rPr>
          <w:rFonts w:hint="eastAsia" w:ascii="宋体" w:hAnsi="宋体"/>
          <w:szCs w:val="21"/>
          <w:highlight w:val="none"/>
        </w:rPr>
        <w:t>1、本协议书与下列文件一起构成合同文件，如下述文件之间有任何抵触、矛盾或歧义，应按以下顺序解释：</w:t>
      </w:r>
    </w:p>
    <w:p>
      <w:pPr>
        <w:ind w:firstLine="420" w:firstLineChars="200"/>
        <w:rPr>
          <w:rFonts w:hint="eastAsia" w:ascii="宋体" w:hAnsi="宋体"/>
          <w:szCs w:val="21"/>
          <w:highlight w:val="none"/>
        </w:rPr>
      </w:pPr>
      <w:r>
        <w:rPr>
          <w:rFonts w:hint="eastAsia" w:ascii="宋体" w:hAnsi="宋体"/>
          <w:szCs w:val="21"/>
          <w:highlight w:val="none"/>
        </w:rPr>
        <w:t>（1）政府采购合同协议书及其变更、补充协议</w:t>
      </w:r>
    </w:p>
    <w:p>
      <w:pPr>
        <w:ind w:firstLine="420" w:firstLineChars="200"/>
        <w:rPr>
          <w:rFonts w:hint="eastAsia" w:ascii="宋体" w:hAnsi="宋体"/>
          <w:szCs w:val="21"/>
          <w:highlight w:val="none"/>
        </w:rPr>
      </w:pPr>
      <w:r>
        <w:rPr>
          <w:rFonts w:hint="eastAsia" w:ascii="宋体" w:hAnsi="宋体"/>
          <w:szCs w:val="21"/>
          <w:highlight w:val="none"/>
        </w:rPr>
        <w:t>（2）政府采购合同专用条款</w:t>
      </w:r>
    </w:p>
    <w:p>
      <w:pPr>
        <w:ind w:firstLine="420" w:firstLineChars="200"/>
        <w:rPr>
          <w:rFonts w:hint="eastAsia" w:ascii="宋体" w:hAnsi="宋体"/>
          <w:szCs w:val="21"/>
          <w:highlight w:val="none"/>
        </w:rPr>
      </w:pPr>
      <w:r>
        <w:rPr>
          <w:rFonts w:hint="eastAsia" w:ascii="宋体" w:hAnsi="宋体"/>
          <w:szCs w:val="21"/>
          <w:highlight w:val="none"/>
        </w:rPr>
        <w:t>（3）政府采购合同通用条款</w:t>
      </w:r>
    </w:p>
    <w:p>
      <w:pPr>
        <w:ind w:firstLine="420" w:firstLineChars="200"/>
        <w:rPr>
          <w:rFonts w:hint="eastAsia" w:ascii="宋体" w:hAnsi="宋体"/>
          <w:szCs w:val="21"/>
          <w:highlight w:val="none"/>
        </w:rPr>
      </w:pPr>
      <w:r>
        <w:rPr>
          <w:rFonts w:hint="eastAsia" w:ascii="宋体" w:hAnsi="宋体"/>
          <w:szCs w:val="21"/>
          <w:highlight w:val="none"/>
        </w:rPr>
        <w:t>（4）中标（成交）通知书</w:t>
      </w:r>
    </w:p>
    <w:p>
      <w:pPr>
        <w:ind w:firstLine="420" w:firstLineChars="200"/>
        <w:rPr>
          <w:rFonts w:hint="eastAsia" w:ascii="宋体" w:hAnsi="宋体"/>
          <w:szCs w:val="21"/>
          <w:highlight w:val="none"/>
        </w:rPr>
      </w:pPr>
      <w:r>
        <w:rPr>
          <w:rFonts w:hint="eastAsia" w:ascii="宋体" w:hAnsi="宋体"/>
          <w:szCs w:val="21"/>
          <w:highlight w:val="none"/>
        </w:rPr>
        <w:t>（5）投标（响应）文件</w:t>
      </w:r>
    </w:p>
    <w:p>
      <w:pPr>
        <w:ind w:firstLine="420" w:firstLineChars="200"/>
        <w:rPr>
          <w:rFonts w:hint="eastAsia" w:ascii="宋体" w:hAnsi="宋体"/>
          <w:szCs w:val="21"/>
          <w:highlight w:val="none"/>
        </w:rPr>
      </w:pPr>
      <w:r>
        <w:rPr>
          <w:rFonts w:hint="eastAsia" w:ascii="宋体" w:hAnsi="宋体"/>
          <w:szCs w:val="21"/>
          <w:highlight w:val="none"/>
        </w:rPr>
        <w:t>（6）采购文件</w:t>
      </w:r>
    </w:p>
    <w:p>
      <w:pPr>
        <w:ind w:firstLine="420" w:firstLineChars="200"/>
        <w:rPr>
          <w:rFonts w:hint="eastAsia" w:ascii="宋体" w:hAnsi="宋体"/>
          <w:szCs w:val="21"/>
          <w:highlight w:val="none"/>
        </w:rPr>
      </w:pPr>
      <w:r>
        <w:rPr>
          <w:rFonts w:hint="eastAsia" w:ascii="宋体" w:hAnsi="宋体"/>
          <w:szCs w:val="21"/>
          <w:highlight w:val="none"/>
        </w:rPr>
        <w:t>（7）有关技术文件，图纸</w:t>
      </w:r>
    </w:p>
    <w:p>
      <w:pPr>
        <w:ind w:firstLine="420" w:firstLineChars="200"/>
        <w:rPr>
          <w:rFonts w:ascii="宋体" w:hAnsi="宋体"/>
          <w:szCs w:val="21"/>
          <w:highlight w:val="none"/>
        </w:rPr>
      </w:pPr>
      <w:r>
        <w:rPr>
          <w:rFonts w:hint="eastAsia" w:ascii="宋体" w:hAnsi="宋体"/>
          <w:szCs w:val="21"/>
          <w:highlight w:val="none"/>
        </w:rPr>
        <w:t>（8）国家法律、行政法规和规章制度规定或合同约定的作为合同组成部分的其他文件。</w:t>
      </w:r>
    </w:p>
    <w:p>
      <w:pPr>
        <w:ind w:firstLine="420" w:firstLineChars="200"/>
        <w:rPr>
          <w:rFonts w:ascii="宋体" w:hAnsi="宋体"/>
          <w:szCs w:val="21"/>
          <w:highlight w:val="none"/>
        </w:rPr>
      </w:pPr>
      <w:r>
        <w:rPr>
          <w:rFonts w:hint="eastAsia" w:ascii="宋体" w:hAnsi="宋体"/>
          <w:szCs w:val="21"/>
          <w:highlight w:val="none"/>
        </w:rPr>
        <w:t>2、下列文件均为本合同的组成部分：</w:t>
      </w:r>
    </w:p>
    <w:p>
      <w:pPr>
        <w:ind w:firstLine="420" w:firstLineChars="200"/>
        <w:rPr>
          <w:rFonts w:ascii="宋体" w:hAnsi="宋体"/>
          <w:szCs w:val="21"/>
          <w:highlight w:val="none"/>
        </w:rPr>
      </w:pPr>
      <w:r>
        <w:rPr>
          <w:rFonts w:hint="eastAsia" w:ascii="宋体" w:hAnsi="宋体"/>
          <w:szCs w:val="21"/>
          <w:highlight w:val="none"/>
        </w:rPr>
        <w:t>（1）号招标文件、答疑及补充通知；</w:t>
      </w:r>
    </w:p>
    <w:p>
      <w:pPr>
        <w:ind w:firstLine="420" w:firstLineChars="200"/>
        <w:rPr>
          <w:rFonts w:ascii="宋体" w:hAnsi="宋体"/>
          <w:szCs w:val="21"/>
          <w:highlight w:val="none"/>
        </w:rPr>
      </w:pPr>
      <w:r>
        <w:rPr>
          <w:rFonts w:hint="eastAsia" w:ascii="宋体" w:hAnsi="宋体"/>
          <w:szCs w:val="21"/>
          <w:highlight w:val="none"/>
        </w:rPr>
        <w:t>（2）投标文件；</w:t>
      </w:r>
    </w:p>
    <w:p>
      <w:pPr>
        <w:ind w:firstLine="420" w:firstLineChars="200"/>
        <w:rPr>
          <w:rFonts w:ascii="宋体" w:hAnsi="宋体"/>
          <w:szCs w:val="21"/>
          <w:highlight w:val="none"/>
        </w:rPr>
      </w:pPr>
      <w:r>
        <w:rPr>
          <w:rFonts w:hint="eastAsia" w:ascii="宋体" w:hAnsi="宋体"/>
          <w:szCs w:val="21"/>
          <w:highlight w:val="none"/>
        </w:rPr>
        <w:t>（3）本合同执行中共同签署的补充与修正文件。</w:t>
      </w:r>
    </w:p>
    <w:p>
      <w:pPr>
        <w:ind w:firstLine="420" w:firstLineChars="200"/>
        <w:rPr>
          <w:rFonts w:ascii="宋体" w:hAnsi="宋体"/>
          <w:szCs w:val="21"/>
          <w:highlight w:val="none"/>
        </w:rPr>
      </w:pPr>
      <w:r>
        <w:rPr>
          <w:rFonts w:hint="eastAsia" w:ascii="宋体" w:hAnsi="宋体"/>
          <w:szCs w:val="21"/>
          <w:highlight w:val="none"/>
        </w:rPr>
        <w:t>本合同一式份，甲、乙方双方各执份，具有同等法律效力。本合同自双方法人代表签字（盖章）认可之日起生效。</w:t>
      </w:r>
    </w:p>
    <w:p>
      <w:pPr>
        <w:ind w:firstLine="420" w:firstLineChars="200"/>
        <w:rPr>
          <w:rFonts w:ascii="宋体" w:hAnsi="宋体"/>
          <w:szCs w:val="21"/>
          <w:highlight w:val="none"/>
        </w:rPr>
      </w:pPr>
      <w:r>
        <w:rPr>
          <w:rFonts w:hint="eastAsia" w:ascii="宋体" w:hAnsi="宋体"/>
          <w:szCs w:val="21"/>
          <w:highlight w:val="none"/>
        </w:rPr>
        <w:t>本合同未尽事宜，双方友好协商，达成解决方案，经双方签字后，可作为本合同的有效附件。</w:t>
      </w:r>
    </w:p>
    <w:p>
      <w:pPr>
        <w:ind w:firstLine="420" w:firstLineChars="200"/>
        <w:rPr>
          <w:rFonts w:ascii="宋体" w:hAnsi="宋体"/>
          <w:szCs w:val="21"/>
          <w:highlight w:val="none"/>
        </w:rPr>
      </w:pPr>
    </w:p>
    <w:p>
      <w:pPr>
        <w:ind w:firstLine="420" w:firstLineChars="200"/>
        <w:rPr>
          <w:rFonts w:ascii="宋体" w:hAnsi="宋体"/>
          <w:szCs w:val="21"/>
          <w:highlight w:val="none"/>
        </w:rPr>
      </w:pPr>
    </w:p>
    <w:p>
      <w:pPr>
        <w:spacing w:line="360" w:lineRule="auto"/>
        <w:ind w:firstLine="560"/>
        <w:jc w:val="left"/>
        <w:rPr>
          <w:rFonts w:ascii="宋体" w:hAnsi="宋体"/>
          <w:szCs w:val="21"/>
          <w:highlight w:val="none"/>
        </w:rPr>
      </w:pPr>
      <w:r>
        <w:rPr>
          <w:rFonts w:hint="eastAsia" w:ascii="宋体" w:hAnsi="宋体"/>
          <w:szCs w:val="21"/>
          <w:highlight w:val="none"/>
        </w:rPr>
        <w:t>甲方（采购人）：   （盖章）       乙方（供应商）：    （盖章）</w:t>
      </w:r>
    </w:p>
    <w:p>
      <w:pPr>
        <w:spacing w:line="360" w:lineRule="auto"/>
        <w:ind w:firstLine="560"/>
        <w:jc w:val="left"/>
        <w:rPr>
          <w:rFonts w:ascii="宋体" w:hAnsi="宋体"/>
          <w:szCs w:val="21"/>
          <w:highlight w:val="none"/>
        </w:rPr>
      </w:pPr>
      <w:r>
        <w:rPr>
          <w:rFonts w:hint="eastAsia" w:ascii="宋体" w:hAnsi="宋体"/>
          <w:szCs w:val="21"/>
          <w:highlight w:val="none"/>
        </w:rPr>
        <w:t xml:space="preserve">法定代表人：                     法定代表人： </w:t>
      </w:r>
    </w:p>
    <w:p>
      <w:pPr>
        <w:spacing w:line="360" w:lineRule="auto"/>
        <w:ind w:firstLine="560"/>
        <w:jc w:val="left"/>
        <w:rPr>
          <w:rFonts w:ascii="宋体" w:hAnsi="宋体"/>
          <w:szCs w:val="21"/>
          <w:highlight w:val="none"/>
        </w:rPr>
      </w:pPr>
      <w:r>
        <w:rPr>
          <w:rFonts w:hint="eastAsia" w:ascii="宋体" w:hAnsi="宋体"/>
          <w:szCs w:val="21"/>
          <w:highlight w:val="none"/>
        </w:rPr>
        <w:t>委托代理人：                     委托代理人：</w:t>
      </w:r>
    </w:p>
    <w:p>
      <w:pPr>
        <w:ind w:firstLine="420" w:firstLineChars="200"/>
        <w:rPr>
          <w:rFonts w:ascii="宋体" w:hAnsi="宋体"/>
          <w:szCs w:val="21"/>
          <w:highlight w:val="none"/>
        </w:rPr>
      </w:pPr>
      <w:r>
        <w:rPr>
          <w:rFonts w:hint="eastAsia" w:ascii="宋体" w:hAnsi="宋体"/>
          <w:szCs w:val="21"/>
          <w:highlight w:val="none"/>
        </w:rPr>
        <w:t>日期：   年     月    日         日期：   年     月    日</w:t>
      </w:r>
    </w:p>
    <w:p>
      <w:pPr>
        <w:ind w:firstLine="420" w:firstLineChars="200"/>
        <w:rPr>
          <w:rFonts w:ascii="宋体" w:hAnsi="宋体"/>
          <w:szCs w:val="21"/>
          <w:highlight w:val="none"/>
        </w:rPr>
      </w:pPr>
    </w:p>
    <w:p>
      <w:pPr>
        <w:ind w:firstLine="420" w:firstLineChars="200"/>
        <w:rPr>
          <w:rFonts w:ascii="宋体" w:hAnsi="宋体"/>
          <w:szCs w:val="21"/>
          <w:highlight w:val="none"/>
        </w:rPr>
      </w:pPr>
    </w:p>
    <w:p>
      <w:pPr>
        <w:ind w:firstLine="420" w:firstLineChars="200"/>
        <w:rPr>
          <w:rFonts w:ascii="宋体" w:hAnsi="宋体"/>
          <w:szCs w:val="21"/>
          <w:highlight w:val="none"/>
        </w:rPr>
      </w:pPr>
    </w:p>
    <w:p>
      <w:pPr>
        <w:ind w:firstLine="420" w:firstLineChars="200"/>
        <w:rPr>
          <w:rFonts w:ascii="宋体" w:hAnsi="宋体"/>
          <w:szCs w:val="21"/>
          <w:highlight w:val="none"/>
        </w:rPr>
      </w:pPr>
    </w:p>
    <w:p>
      <w:pPr>
        <w:ind w:firstLine="420" w:firstLineChars="200"/>
        <w:rPr>
          <w:rFonts w:ascii="宋体" w:hAnsi="宋体"/>
          <w:szCs w:val="21"/>
          <w:highlight w:val="none"/>
        </w:rPr>
      </w:pPr>
    </w:p>
    <w:p>
      <w:pPr>
        <w:widowControl/>
        <w:jc w:val="left"/>
        <w:rPr>
          <w:rFonts w:ascii="宋体" w:hAnsi="宋体"/>
          <w:szCs w:val="21"/>
          <w:highlight w:val="none"/>
        </w:rPr>
      </w:pPr>
      <w:r>
        <w:rPr>
          <w:rFonts w:ascii="宋体" w:hAnsi="宋体"/>
          <w:szCs w:val="21"/>
          <w:highlight w:val="none"/>
        </w:rPr>
        <w:br w:type="page"/>
      </w:r>
    </w:p>
    <w:p>
      <w:pPr>
        <w:pStyle w:val="7"/>
        <w:spacing w:before="120" w:beforeLines="50" w:after="120" w:afterLines="50"/>
        <w:ind w:left="562"/>
        <w:rPr>
          <w:sz w:val="28"/>
          <w:szCs w:val="28"/>
          <w:highlight w:val="none"/>
        </w:rPr>
      </w:pPr>
      <w:r>
        <w:rPr>
          <w:rFonts w:hint="eastAsia"/>
          <w:sz w:val="28"/>
          <w:szCs w:val="28"/>
          <w:highlight w:val="none"/>
        </w:rPr>
        <w:t>第二册  通用条款（公开招标）</w:t>
      </w:r>
    </w:p>
    <w:p>
      <w:pPr>
        <w:pStyle w:val="7"/>
        <w:numPr>
          <w:ilvl w:val="0"/>
          <w:numId w:val="14"/>
        </w:numPr>
        <w:spacing w:before="120" w:beforeLines="50" w:after="120" w:afterLines="50"/>
        <w:ind w:left="562" w:hanging="562"/>
        <w:rPr>
          <w:sz w:val="28"/>
          <w:szCs w:val="28"/>
          <w:highlight w:val="none"/>
        </w:rPr>
      </w:pPr>
      <w:bookmarkStart w:id="47" w:name="_Hlk72399513"/>
      <w:r>
        <w:rPr>
          <w:rFonts w:hint="eastAsia"/>
          <w:sz w:val="28"/>
          <w:szCs w:val="28"/>
          <w:highlight w:val="none"/>
        </w:rPr>
        <w:t>总则</w:t>
      </w:r>
    </w:p>
    <w:bookmarkEnd w:id="47"/>
    <w:p>
      <w:pPr>
        <w:rPr>
          <w:rFonts w:ascii="黑体" w:hAnsi="宋体" w:eastAsia="黑体"/>
          <w:sz w:val="24"/>
          <w:highlight w:val="none"/>
        </w:rPr>
      </w:pPr>
      <w:r>
        <w:rPr>
          <w:rFonts w:hint="eastAsia" w:ascii="黑体" w:hAnsi="宋体" w:eastAsia="黑体"/>
          <w:sz w:val="24"/>
          <w:highlight w:val="none"/>
        </w:rPr>
        <w:t>1. 通用条款说明</w:t>
      </w:r>
    </w:p>
    <w:p>
      <w:pPr>
        <w:ind w:firstLine="411" w:firstLineChars="196"/>
        <w:rPr>
          <w:rFonts w:ascii="宋体" w:hAnsi="宋体"/>
          <w:szCs w:val="21"/>
          <w:highlight w:val="none"/>
        </w:rPr>
      </w:pPr>
      <w:r>
        <w:rPr>
          <w:rFonts w:hint="eastAsia" w:ascii="宋体" w:hAnsi="宋体"/>
          <w:szCs w:val="21"/>
          <w:highlight w:val="none"/>
        </w:rPr>
        <w:t>1.1政府集中采购机构发出招标文件通用条款版本，列出深圳市政府采购项目进行招标采购所适用的通用条款内容。</w:t>
      </w:r>
      <w:bookmarkStart w:id="48" w:name="_Hlk72399729"/>
      <w:r>
        <w:rPr>
          <w:rFonts w:hint="eastAsia" w:ascii="宋体" w:hAnsi="宋体"/>
          <w:szCs w:val="21"/>
          <w:highlight w:val="none"/>
        </w:rPr>
        <w:t>如有需要，政府集中采购机构可以对通用条款的内容进行补充。</w:t>
      </w:r>
      <w:bookmarkEnd w:id="48"/>
    </w:p>
    <w:p>
      <w:pPr>
        <w:ind w:firstLine="411" w:firstLineChars="196"/>
        <w:rPr>
          <w:rFonts w:ascii="宋体" w:hAnsi="宋体"/>
          <w:szCs w:val="21"/>
          <w:highlight w:val="none"/>
        </w:rPr>
      </w:pPr>
      <w:r>
        <w:rPr>
          <w:rFonts w:hint="eastAsia" w:ascii="宋体" w:hAnsi="宋体"/>
          <w:szCs w:val="21"/>
          <w:highlight w:val="none"/>
        </w:rPr>
        <w:t>1.2招标文件分为第一册“专用条款”和第二册“通用条款”。</w:t>
      </w:r>
    </w:p>
    <w:p>
      <w:pPr>
        <w:ind w:firstLine="411" w:firstLineChars="196"/>
        <w:rPr>
          <w:rFonts w:ascii="宋体" w:hAnsi="宋体"/>
          <w:szCs w:val="21"/>
          <w:highlight w:val="none"/>
        </w:rPr>
      </w:pPr>
      <w:r>
        <w:rPr>
          <w:rFonts w:hint="eastAsia" w:ascii="宋体" w:hAnsi="宋体"/>
          <w:szCs w:val="21"/>
          <w:highlight w:val="none"/>
        </w:rPr>
        <w:t>1.3“专用条款”是对本次采购项目的具体要求，包含招标公告、对通用条款的补充内容及其他关键信息、用户需求书、投标文件格式及附件、合同条款及格式等内容。</w:t>
      </w:r>
    </w:p>
    <w:p>
      <w:pPr>
        <w:ind w:firstLine="411" w:firstLineChars="196"/>
        <w:rPr>
          <w:rFonts w:ascii="宋体" w:hAnsi="宋体"/>
          <w:szCs w:val="21"/>
          <w:highlight w:val="none"/>
        </w:rPr>
      </w:pPr>
      <w:r>
        <w:rPr>
          <w:rFonts w:hint="eastAsia" w:ascii="宋体" w:hAnsi="宋体"/>
          <w:szCs w:val="21"/>
          <w:highlight w:val="none"/>
        </w:rPr>
        <w:t>1.4“通用条款”是适用于政府采购公开招标项目的基础性条款，具有普遍性和通用性。</w:t>
      </w:r>
    </w:p>
    <w:p>
      <w:pPr>
        <w:ind w:firstLine="411" w:firstLineChars="196"/>
        <w:rPr>
          <w:rFonts w:ascii="宋体" w:hAnsi="宋体"/>
          <w:szCs w:val="21"/>
          <w:highlight w:val="none"/>
        </w:rPr>
      </w:pPr>
      <w:r>
        <w:rPr>
          <w:rFonts w:hint="eastAsia" w:ascii="宋体" w:hAnsi="宋体"/>
          <w:szCs w:val="21"/>
          <w:highlight w:val="none"/>
        </w:rPr>
        <w:t>1.5 “专用条款”和“通用条款”表述不一致或有冲突时，以“专用条款”为准。</w:t>
      </w:r>
    </w:p>
    <w:p>
      <w:pPr>
        <w:rPr>
          <w:rFonts w:ascii="黑体" w:hAnsi="宋体" w:eastAsia="黑体"/>
          <w:sz w:val="24"/>
          <w:highlight w:val="none"/>
        </w:rPr>
      </w:pPr>
      <w:r>
        <w:rPr>
          <w:rFonts w:hint="eastAsia" w:ascii="黑体" w:hAnsi="宋体" w:eastAsia="黑体"/>
          <w:sz w:val="24"/>
          <w:highlight w:val="none"/>
        </w:rPr>
        <w:t>2</w:t>
      </w:r>
      <w:r>
        <w:rPr>
          <w:rFonts w:ascii="黑体" w:hAnsi="宋体" w:eastAsia="黑体"/>
          <w:sz w:val="24"/>
          <w:highlight w:val="none"/>
        </w:rPr>
        <w:t>．</w:t>
      </w:r>
      <w:r>
        <w:rPr>
          <w:rFonts w:hint="eastAsia" w:ascii="黑体" w:hAnsi="宋体" w:eastAsia="黑体"/>
          <w:sz w:val="24"/>
          <w:highlight w:val="none"/>
        </w:rPr>
        <w:t>招标说明</w:t>
      </w:r>
    </w:p>
    <w:p>
      <w:pPr>
        <w:ind w:firstLine="411" w:firstLineChars="196"/>
        <w:rPr>
          <w:rFonts w:ascii="宋体" w:hAnsi="宋体"/>
          <w:szCs w:val="21"/>
          <w:highlight w:val="none"/>
        </w:rPr>
      </w:pPr>
      <w:r>
        <w:rPr>
          <w:rFonts w:hint="eastAsia" w:ascii="宋体" w:hAnsi="宋体"/>
          <w:szCs w:val="21"/>
          <w:highlight w:val="none"/>
        </w:rPr>
        <w:t>本项目按照《深圳经济特区政府采购条例》、《深圳经济特区政府采购条例实施细则》及政府采购其他法律法规，通过公开招标方式确定中标供应商。</w:t>
      </w:r>
    </w:p>
    <w:p>
      <w:pPr>
        <w:rPr>
          <w:rFonts w:ascii="黑体" w:hAnsi="宋体" w:eastAsia="黑体"/>
          <w:sz w:val="24"/>
          <w:highlight w:val="none"/>
        </w:rPr>
      </w:pPr>
      <w:r>
        <w:rPr>
          <w:rFonts w:hint="eastAsia" w:ascii="黑体" w:hAnsi="宋体" w:eastAsia="黑体"/>
          <w:sz w:val="24"/>
          <w:highlight w:val="none"/>
        </w:rPr>
        <w:t>3．定义</w:t>
      </w:r>
    </w:p>
    <w:p>
      <w:pPr>
        <w:ind w:firstLine="420" w:firstLineChars="200"/>
        <w:rPr>
          <w:rFonts w:ascii="宋体" w:hAnsi="宋体"/>
          <w:szCs w:val="21"/>
          <w:highlight w:val="none"/>
        </w:rPr>
      </w:pPr>
      <w:r>
        <w:rPr>
          <w:rFonts w:ascii="宋体" w:hAnsi="宋体"/>
          <w:szCs w:val="21"/>
          <w:highlight w:val="none"/>
        </w:rPr>
        <w:t>招标文件中下列术语应解释为：</w:t>
      </w:r>
    </w:p>
    <w:p>
      <w:pPr>
        <w:ind w:firstLine="411" w:firstLineChars="196"/>
        <w:rPr>
          <w:rFonts w:ascii="宋体" w:hAnsi="宋体"/>
          <w:szCs w:val="21"/>
          <w:highlight w:val="none"/>
        </w:rPr>
      </w:pPr>
      <w:r>
        <w:rPr>
          <w:rFonts w:hint="eastAsia" w:ascii="宋体" w:hAnsi="宋体"/>
          <w:szCs w:val="21"/>
          <w:highlight w:val="none"/>
        </w:rPr>
        <w:t>3.</w:t>
      </w:r>
      <w:r>
        <w:rPr>
          <w:rFonts w:ascii="宋体" w:hAnsi="宋体"/>
          <w:szCs w:val="21"/>
          <w:highlight w:val="none"/>
        </w:rPr>
        <w:t>1</w:t>
      </w:r>
      <w:r>
        <w:rPr>
          <w:rFonts w:hint="eastAsia" w:ascii="宋体" w:hAnsi="宋体"/>
          <w:szCs w:val="21"/>
          <w:highlight w:val="none"/>
        </w:rPr>
        <w:t>“采购人”：指利用财政性资金依法进行政府采购的国家机关、事业单位、团体组织；</w:t>
      </w:r>
      <w:r>
        <w:rPr>
          <w:rFonts w:ascii="宋体" w:hAnsi="宋体"/>
          <w:szCs w:val="21"/>
          <w:highlight w:val="none"/>
        </w:rPr>
        <w:t xml:space="preserve"> </w:t>
      </w:r>
    </w:p>
    <w:p>
      <w:pPr>
        <w:ind w:firstLine="411" w:firstLineChars="196"/>
        <w:rPr>
          <w:rFonts w:ascii="宋体" w:hAnsi="宋体"/>
          <w:szCs w:val="21"/>
          <w:highlight w:val="none"/>
        </w:rPr>
      </w:pPr>
      <w:r>
        <w:rPr>
          <w:rFonts w:hint="eastAsia" w:ascii="宋体" w:hAnsi="宋体"/>
          <w:szCs w:val="21"/>
          <w:highlight w:val="none"/>
        </w:rPr>
        <w:t>3.2 “政府集中采购机构”</w:t>
      </w:r>
      <w:r>
        <w:rPr>
          <w:rFonts w:hint="eastAsia" w:ascii="Arial" w:hAnsi="Arial" w:cs="Arial"/>
          <w:szCs w:val="21"/>
          <w:highlight w:val="none"/>
          <w:shd w:val="clear" w:color="auto" w:fill="FFFFFF"/>
        </w:rPr>
        <w:t>是指市政府设立的，组织实施政府采购项目，并对政府采购活动提供服务的专门机构；</w:t>
      </w:r>
      <w:r>
        <w:rPr>
          <w:rFonts w:hint="eastAsia" w:ascii="宋体" w:hAnsi="宋体"/>
          <w:szCs w:val="21"/>
          <w:highlight w:val="none"/>
        </w:rPr>
        <w:t>本文件所述的“政府集中采购机构”</w:t>
      </w:r>
      <w:r>
        <w:rPr>
          <w:rFonts w:ascii="宋体" w:hAnsi="宋体"/>
          <w:szCs w:val="21"/>
          <w:highlight w:val="none"/>
        </w:rPr>
        <w:t>指</w:t>
      </w:r>
      <w:r>
        <w:rPr>
          <w:rFonts w:hint="eastAsia" w:ascii="宋体" w:hAnsi="宋体"/>
          <w:b/>
          <w:bCs/>
          <w:szCs w:val="21"/>
          <w:highlight w:val="none"/>
        </w:rPr>
        <w:t>深圳公共资源交易中心</w:t>
      </w:r>
      <w:r>
        <w:rPr>
          <w:rFonts w:hint="eastAsia" w:ascii="宋体" w:hAnsi="宋体"/>
          <w:szCs w:val="21"/>
          <w:highlight w:val="none"/>
        </w:rPr>
        <w:t>；</w:t>
      </w:r>
    </w:p>
    <w:p>
      <w:pPr>
        <w:ind w:firstLine="411" w:firstLineChars="196"/>
        <w:rPr>
          <w:rFonts w:ascii="宋体" w:hAnsi="宋体"/>
          <w:szCs w:val="21"/>
          <w:highlight w:val="none"/>
        </w:rPr>
      </w:pPr>
      <w:r>
        <w:rPr>
          <w:rFonts w:hint="eastAsia" w:ascii="宋体" w:hAnsi="宋体"/>
          <w:szCs w:val="21"/>
          <w:highlight w:val="none"/>
        </w:rPr>
        <w:t>3.3“投标人”，即供应商，指参加投标竞争并愿意按照招标文件要求向采购人提供货物、工程或者服务的依法成立的法人、其他组织或者自然人；</w:t>
      </w:r>
    </w:p>
    <w:p>
      <w:pPr>
        <w:ind w:firstLine="411" w:firstLineChars="196"/>
        <w:rPr>
          <w:rFonts w:ascii="宋体" w:hAnsi="宋体"/>
          <w:szCs w:val="21"/>
          <w:highlight w:val="none"/>
        </w:rPr>
      </w:pPr>
      <w:r>
        <w:rPr>
          <w:rFonts w:hint="eastAsia" w:ascii="宋体" w:hAnsi="宋体"/>
          <w:szCs w:val="21"/>
          <w:highlight w:val="none"/>
        </w:rPr>
        <w:t>3.4“评审委员会”是依据《深圳经济特区政府采购条例》、《深圳经济特区政府采购条例实施细则》等有关规定组建的专门负责本次招标其评审工作的临时性机构；</w:t>
      </w:r>
    </w:p>
    <w:p>
      <w:pPr>
        <w:ind w:firstLine="411" w:firstLineChars="196"/>
        <w:rPr>
          <w:rFonts w:ascii="宋体" w:hAnsi="宋体"/>
          <w:szCs w:val="21"/>
          <w:highlight w:val="none"/>
        </w:rPr>
      </w:pPr>
      <w:r>
        <w:rPr>
          <w:rFonts w:hint="eastAsia" w:ascii="宋体" w:hAnsi="宋体"/>
          <w:szCs w:val="21"/>
          <w:highlight w:val="none"/>
        </w:rPr>
        <w:t>3.5“日期”</w:t>
      </w:r>
      <w:r>
        <w:rPr>
          <w:rFonts w:ascii="宋体" w:hAnsi="宋体"/>
          <w:szCs w:val="21"/>
          <w:highlight w:val="none"/>
        </w:rPr>
        <w:t>指</w:t>
      </w:r>
      <w:r>
        <w:rPr>
          <w:rFonts w:hint="eastAsia" w:ascii="宋体" w:hAnsi="宋体"/>
          <w:szCs w:val="21"/>
          <w:highlight w:val="none"/>
        </w:rPr>
        <w:t>公历日；</w:t>
      </w:r>
    </w:p>
    <w:p>
      <w:pPr>
        <w:ind w:firstLine="411" w:firstLineChars="196"/>
        <w:rPr>
          <w:rFonts w:ascii="宋体" w:hAnsi="宋体"/>
          <w:szCs w:val="21"/>
          <w:highlight w:val="none"/>
        </w:rPr>
      </w:pPr>
      <w:r>
        <w:rPr>
          <w:rFonts w:hint="eastAsia" w:ascii="宋体" w:hAnsi="宋体"/>
          <w:szCs w:val="21"/>
          <w:highlight w:val="none"/>
        </w:rPr>
        <w:t>3.6“合同”指由本次招标所产生的合同或合约文件；</w:t>
      </w:r>
    </w:p>
    <w:p>
      <w:pPr>
        <w:ind w:firstLine="411" w:firstLineChars="196"/>
        <w:rPr>
          <w:rFonts w:ascii="宋体" w:hAnsi="宋体"/>
          <w:szCs w:val="21"/>
          <w:highlight w:val="none"/>
        </w:rPr>
      </w:pPr>
      <w:r>
        <w:rPr>
          <w:rFonts w:hint="eastAsia" w:ascii="宋体" w:hAnsi="宋体"/>
          <w:szCs w:val="21"/>
          <w:highlight w:val="none"/>
        </w:rPr>
        <w:t>3.7</w:t>
      </w:r>
      <w:r>
        <w:rPr>
          <w:szCs w:val="21"/>
          <w:highlight w:val="none"/>
        </w:rPr>
        <w:t>“电子投标文件”指利用</w:t>
      </w:r>
      <w:r>
        <w:rPr>
          <w:b/>
          <w:bCs/>
          <w:color w:val="FF0000"/>
          <w:szCs w:val="21"/>
          <w:highlight w:val="none"/>
        </w:rPr>
        <w:t>深圳公共资源交易中心（深圳交易集团有限公司</w:t>
      </w:r>
      <w:r>
        <w:rPr>
          <w:rFonts w:hint="eastAsia"/>
          <w:b/>
          <w:bCs/>
          <w:color w:val="FF0000"/>
          <w:szCs w:val="21"/>
          <w:highlight w:val="none"/>
        </w:rPr>
        <w:t>福田</w:t>
      </w:r>
      <w:r>
        <w:rPr>
          <w:b/>
          <w:bCs/>
          <w:color w:val="FF0000"/>
          <w:szCs w:val="21"/>
          <w:highlight w:val="none"/>
        </w:rPr>
        <w:t>分公司）</w:t>
      </w:r>
      <w:r>
        <w:rPr>
          <w:rFonts w:ascii="Times New Roman" w:hAnsi="Times New Roman" w:eastAsia="宋体" w:cs="Times New Roman"/>
          <w:b/>
          <w:bCs/>
          <w:szCs w:val="21"/>
          <w:highlight w:val="none"/>
        </w:rPr>
        <w:t>网站提供的</w:t>
      </w:r>
      <w:r>
        <w:rPr>
          <w:rFonts w:hint="eastAsia" w:ascii="Times New Roman" w:hAnsi="Times New Roman" w:eastAsia="宋体" w:cs="Times New Roman"/>
          <w:b/>
          <w:bCs/>
          <w:szCs w:val="24"/>
          <w:highlight w:val="none"/>
        </w:rPr>
        <w:t>深圳市自行采购系统投标文件制作专用软件（以下简称：投标文件制作软件）制作并加密的投标文件，适用于网上投标；（投标文件制作软件可从“下载地址：</w:t>
      </w:r>
      <w:r>
        <w:rPr>
          <w:rFonts w:ascii="Times New Roman" w:hAnsi="Times New Roman" w:eastAsia="宋体" w:cs="Times New Roman"/>
          <w:b/>
          <w:bCs/>
          <w:szCs w:val="24"/>
          <w:highlight w:val="none"/>
        </w:rPr>
        <w:t>https://www.szggzy.com/jyfw/details.html?contentId=2053275</w:t>
      </w:r>
      <w:r>
        <w:rPr>
          <w:rFonts w:hint="eastAsia" w:ascii="Times New Roman" w:hAnsi="Times New Roman" w:eastAsia="宋体" w:cs="Times New Roman"/>
          <w:b/>
          <w:bCs/>
          <w:szCs w:val="24"/>
          <w:highlight w:val="none"/>
        </w:rPr>
        <w:t>深圳市自行采购系统投标文件编制工具”下载）</w:t>
      </w:r>
      <w:r>
        <w:rPr>
          <w:rFonts w:ascii="Times New Roman" w:hAnsi="Times New Roman" w:eastAsia="宋体" w:cs="Times New Roman"/>
          <w:b/>
          <w:bCs/>
          <w:szCs w:val="21"/>
          <w:highlight w:val="none"/>
        </w:rPr>
        <w:t>；</w:t>
      </w:r>
    </w:p>
    <w:p>
      <w:pPr>
        <w:ind w:firstLine="411" w:firstLineChars="196"/>
        <w:rPr>
          <w:rFonts w:ascii="宋体" w:hAnsi="宋体"/>
          <w:szCs w:val="21"/>
          <w:highlight w:val="none"/>
        </w:rPr>
      </w:pPr>
      <w:r>
        <w:rPr>
          <w:rFonts w:hint="eastAsia" w:ascii="宋体" w:hAnsi="宋体"/>
          <w:szCs w:val="21"/>
          <w:highlight w:val="none"/>
        </w:rPr>
        <w:t>3.8“网上投标”指通过</w:t>
      </w:r>
      <w:r>
        <w:rPr>
          <w:b/>
          <w:bCs/>
          <w:color w:val="FF0000"/>
          <w:szCs w:val="21"/>
          <w:highlight w:val="none"/>
        </w:rPr>
        <w:t>深圳公共资源交易中心（深圳交易集团有限公司</w:t>
      </w:r>
      <w:r>
        <w:rPr>
          <w:rFonts w:hint="eastAsia"/>
          <w:b/>
          <w:bCs/>
          <w:color w:val="FF0000"/>
          <w:szCs w:val="21"/>
          <w:highlight w:val="none"/>
        </w:rPr>
        <w:t>福田</w:t>
      </w:r>
      <w:r>
        <w:rPr>
          <w:b/>
          <w:bCs/>
          <w:color w:val="FF0000"/>
          <w:szCs w:val="21"/>
          <w:highlight w:val="none"/>
        </w:rPr>
        <w:t>分公司）</w:t>
      </w:r>
      <w:r>
        <w:rPr>
          <w:rFonts w:hint="eastAsia" w:ascii="宋体" w:hAnsi="宋体"/>
          <w:szCs w:val="21"/>
          <w:highlight w:val="none"/>
        </w:rPr>
        <w:t>网站上传电子投标文件；</w:t>
      </w:r>
    </w:p>
    <w:p>
      <w:pPr>
        <w:ind w:firstLine="411" w:firstLineChars="196"/>
        <w:rPr>
          <w:rFonts w:ascii="宋体" w:hAnsi="宋体"/>
          <w:szCs w:val="21"/>
          <w:highlight w:val="none"/>
        </w:rPr>
      </w:pPr>
      <w:r>
        <w:rPr>
          <w:rFonts w:hint="eastAsia" w:ascii="宋体" w:hAnsi="宋体"/>
          <w:szCs w:val="21"/>
          <w:highlight w:val="none"/>
        </w:rPr>
        <w:t>3.9招标文件中的标题或题名仅起引导作用，而不应视为对招标文件内容的理解和解释。</w:t>
      </w:r>
    </w:p>
    <w:p>
      <w:pPr>
        <w:rPr>
          <w:rFonts w:ascii="黑体" w:hAnsi="宋体" w:eastAsia="黑体"/>
          <w:sz w:val="24"/>
          <w:highlight w:val="none"/>
        </w:rPr>
      </w:pPr>
      <w:r>
        <w:rPr>
          <w:rFonts w:hint="eastAsia" w:ascii="黑体" w:hAnsi="宋体" w:eastAsia="黑体"/>
          <w:sz w:val="24"/>
          <w:highlight w:val="none"/>
        </w:rPr>
        <w:t xml:space="preserve">4. </w:t>
      </w:r>
      <w:bookmarkStart w:id="49" w:name="_Hlk72398643"/>
      <w:r>
        <w:rPr>
          <w:rFonts w:hint="eastAsia" w:ascii="黑体" w:hAnsi="宋体" w:eastAsia="黑体"/>
          <w:sz w:val="24"/>
          <w:highlight w:val="none"/>
        </w:rPr>
        <w:t>政府采购供应商责任</w:t>
      </w:r>
    </w:p>
    <w:p>
      <w:pPr>
        <w:ind w:firstLine="411" w:firstLineChars="196"/>
        <w:rPr>
          <w:rFonts w:ascii="宋体" w:hAnsi="宋体"/>
          <w:szCs w:val="21"/>
          <w:highlight w:val="none"/>
        </w:rPr>
      </w:pPr>
      <w:r>
        <w:rPr>
          <w:rFonts w:hint="eastAsia" w:ascii="宋体" w:hAnsi="宋体"/>
          <w:szCs w:val="21"/>
          <w:highlight w:val="none"/>
        </w:rPr>
        <w:t>4.1欢迎诚信、有实力和有社会责任心的供应商参与政府采购事业。</w:t>
      </w:r>
    </w:p>
    <w:p>
      <w:pPr>
        <w:ind w:firstLine="411" w:firstLineChars="196"/>
        <w:rPr>
          <w:rFonts w:ascii="宋体" w:hAnsi="宋体"/>
          <w:szCs w:val="21"/>
          <w:highlight w:val="none"/>
        </w:rPr>
      </w:pPr>
      <w:r>
        <w:rPr>
          <w:rFonts w:hint="eastAsia" w:ascii="宋体" w:hAnsi="宋体"/>
          <w:szCs w:val="21"/>
          <w:highlight w:val="none"/>
        </w:rPr>
        <w:t>4.2投标人应当遵循公平竞争的原则，不得恶意串通，不得妨碍其他投标人的竞争行为，不得损害采购人或者其他投标人的合法权益。如违反上述要求，经核实后，供应商的投标无效。</w:t>
      </w:r>
    </w:p>
    <w:p>
      <w:pPr>
        <w:rPr>
          <w:rFonts w:ascii="黑体" w:hAnsi="宋体" w:eastAsia="黑体"/>
          <w:sz w:val="24"/>
          <w:highlight w:val="none"/>
        </w:rPr>
      </w:pPr>
      <w:r>
        <w:rPr>
          <w:rFonts w:hint="eastAsia" w:ascii="黑体" w:hAnsi="宋体" w:eastAsia="黑体"/>
          <w:sz w:val="24"/>
          <w:highlight w:val="none"/>
        </w:rPr>
        <w:t>5．投标人参加政府采购的条件</w:t>
      </w:r>
    </w:p>
    <w:p>
      <w:pPr>
        <w:ind w:firstLine="411" w:firstLineChars="196"/>
        <w:rPr>
          <w:rFonts w:ascii="宋体" w:hAnsi="宋体"/>
          <w:szCs w:val="21"/>
          <w:highlight w:val="none"/>
        </w:rPr>
      </w:pPr>
      <w:r>
        <w:rPr>
          <w:rFonts w:hint="eastAsia" w:ascii="宋体" w:hAnsi="宋体"/>
          <w:szCs w:val="21"/>
          <w:highlight w:val="none"/>
        </w:rPr>
        <w:t>5.1投标人应在投标前到</w:t>
      </w:r>
      <w:r>
        <w:rPr>
          <w:rFonts w:hint="eastAsia" w:ascii="宋体" w:hAnsi="宋体"/>
          <w:b/>
          <w:bCs/>
          <w:szCs w:val="21"/>
          <w:highlight w:val="none"/>
        </w:rPr>
        <w:t>深圳公共资源交易中心（具体在深圳交易集团有限公司政府采购业务分公司进行办理）</w:t>
      </w:r>
      <w:r>
        <w:rPr>
          <w:rFonts w:hint="eastAsia" w:ascii="宋体" w:hAnsi="宋体"/>
          <w:szCs w:val="21"/>
          <w:highlight w:val="none"/>
        </w:rPr>
        <w:t>进行注册并办理电子密钥。《供应商注册及信息变更指引》详见www.szggzy.com网站“交易服务指南-政府采购”</w:t>
      </w:r>
      <w:r>
        <w:rPr>
          <w:rFonts w:hint="eastAsia" w:ascii="宋体" w:hAnsi="宋体"/>
          <w:szCs w:val="21"/>
          <w:highlight w:val="none"/>
          <w:lang w:val="en-US" w:eastAsia="zh-CN"/>
        </w:rPr>
        <w:t>。</w:t>
      </w:r>
      <w:r>
        <w:rPr>
          <w:rFonts w:hint="eastAsia" w:ascii="宋体" w:hAnsi="宋体"/>
          <w:szCs w:val="21"/>
          <w:highlight w:val="none"/>
        </w:rPr>
        <w:t>。</w:t>
      </w:r>
    </w:p>
    <w:p>
      <w:pPr>
        <w:ind w:firstLine="411" w:firstLineChars="196"/>
        <w:rPr>
          <w:rFonts w:ascii="宋体" w:hAnsi="宋体"/>
          <w:szCs w:val="21"/>
          <w:highlight w:val="none"/>
        </w:rPr>
      </w:pPr>
      <w:r>
        <w:rPr>
          <w:rFonts w:hint="eastAsia" w:ascii="宋体" w:hAnsi="宋体"/>
          <w:szCs w:val="21"/>
          <w:highlight w:val="none"/>
        </w:rPr>
        <w:t>5.2投标人资格要求</w:t>
      </w:r>
    </w:p>
    <w:p>
      <w:pPr>
        <w:ind w:firstLine="411" w:firstLineChars="196"/>
        <w:rPr>
          <w:rFonts w:ascii="宋体" w:hAnsi="宋体"/>
          <w:szCs w:val="21"/>
          <w:highlight w:val="none"/>
        </w:rPr>
      </w:pPr>
      <w:r>
        <w:rPr>
          <w:rFonts w:hint="eastAsia" w:ascii="宋体" w:hAnsi="宋体"/>
          <w:szCs w:val="21"/>
          <w:highlight w:val="none"/>
        </w:rPr>
        <w:t>参加本项目的投标人应具备的资格条件详见本项目招标公告中 “投标人资格要求”（即申请人的资格要求）的内容。</w:t>
      </w:r>
    </w:p>
    <w:p>
      <w:pPr>
        <w:ind w:firstLine="411" w:firstLineChars="196"/>
        <w:rPr>
          <w:rFonts w:ascii="宋体" w:hAnsi="宋体"/>
          <w:szCs w:val="21"/>
          <w:highlight w:val="none"/>
        </w:rPr>
      </w:pPr>
      <w:r>
        <w:rPr>
          <w:rFonts w:hint="eastAsia" w:ascii="宋体" w:hAnsi="宋体"/>
          <w:szCs w:val="21"/>
          <w:highlight w:val="none"/>
        </w:rPr>
        <w:t>5.3联合体投标</w:t>
      </w:r>
    </w:p>
    <w:p>
      <w:pPr>
        <w:ind w:firstLine="411" w:firstLineChars="196"/>
        <w:rPr>
          <w:rFonts w:ascii="宋体" w:hAnsi="宋体"/>
          <w:szCs w:val="21"/>
          <w:highlight w:val="none"/>
        </w:rPr>
      </w:pPr>
      <w:r>
        <w:rPr>
          <w:rFonts w:hint="eastAsia" w:ascii="宋体" w:hAnsi="宋体"/>
          <w:szCs w:val="21"/>
          <w:highlight w:val="none"/>
        </w:rPr>
        <w:t>5.3.1　以下有关联合体投标的条款仅适用于允许投标人组成联合体投标的项目。</w:t>
      </w:r>
    </w:p>
    <w:p>
      <w:pPr>
        <w:ind w:firstLine="411" w:firstLineChars="196"/>
        <w:rPr>
          <w:rFonts w:ascii="宋体" w:hAnsi="宋体"/>
          <w:szCs w:val="21"/>
          <w:highlight w:val="none"/>
        </w:rPr>
      </w:pPr>
      <w:r>
        <w:rPr>
          <w:rFonts w:hint="eastAsia" w:ascii="宋体" w:hAnsi="宋体"/>
          <w:szCs w:val="21"/>
          <w:highlight w:val="none"/>
        </w:rPr>
        <w:t>5.3.2  由两个或两个以上的自然人、法人或者其他组织可以组成一个联合体，以一个供应商的身份共同投标时，应符合以下原则：</w:t>
      </w:r>
    </w:p>
    <w:p>
      <w:pPr>
        <w:ind w:firstLine="411" w:firstLineChars="196"/>
        <w:rPr>
          <w:rFonts w:ascii="宋体" w:hAnsi="宋体"/>
          <w:highlight w:val="none"/>
        </w:rPr>
      </w:pPr>
      <w:r>
        <w:rPr>
          <w:rFonts w:hint="eastAsia" w:ascii="宋体" w:hAnsi="宋体"/>
          <w:highlight w:val="none"/>
        </w:rPr>
        <w:t>（1）投标联合体各方参加政府采购活动应当具备下列条件：</w:t>
      </w:r>
      <w:r>
        <w:rPr>
          <w:rFonts w:ascii="宋体" w:hAnsi="宋体"/>
          <w:highlight w:val="none"/>
        </w:rPr>
        <w:t xml:space="preserve"> </w:t>
      </w:r>
    </w:p>
    <w:p>
      <w:pPr>
        <w:ind w:left="420" w:leftChars="200" w:firstLine="411" w:firstLineChars="196"/>
        <w:rPr>
          <w:rFonts w:ascii="宋体" w:hAnsi="宋体"/>
          <w:highlight w:val="none"/>
        </w:rPr>
      </w:pPr>
      <w:r>
        <w:rPr>
          <w:rFonts w:hint="eastAsia" w:ascii="宋体" w:hAnsi="宋体"/>
          <w:highlight w:val="none"/>
        </w:rPr>
        <w:t>1、具有独立承担民事责任的能力；</w:t>
      </w:r>
      <w:r>
        <w:rPr>
          <w:rFonts w:ascii="宋体" w:hAnsi="宋体"/>
          <w:highlight w:val="none"/>
        </w:rPr>
        <w:t xml:space="preserve"> </w:t>
      </w:r>
    </w:p>
    <w:p>
      <w:pPr>
        <w:ind w:left="420" w:firstLine="411" w:firstLineChars="196"/>
        <w:rPr>
          <w:rFonts w:ascii="宋体" w:hAnsi="宋体"/>
          <w:highlight w:val="none"/>
        </w:rPr>
      </w:pPr>
      <w:r>
        <w:rPr>
          <w:rFonts w:hint="eastAsia" w:ascii="宋体" w:hAnsi="宋体"/>
          <w:highlight w:val="none"/>
        </w:rPr>
        <w:t>2、有良好的商业信誉和健全的财务会计制度；</w:t>
      </w:r>
      <w:r>
        <w:rPr>
          <w:rFonts w:ascii="宋体" w:hAnsi="宋体"/>
          <w:highlight w:val="none"/>
        </w:rPr>
        <w:t xml:space="preserve"> </w:t>
      </w:r>
    </w:p>
    <w:p>
      <w:pPr>
        <w:ind w:left="420" w:leftChars="200" w:firstLine="411" w:firstLineChars="196"/>
        <w:rPr>
          <w:rFonts w:ascii="宋体" w:hAnsi="宋体"/>
          <w:highlight w:val="none"/>
        </w:rPr>
      </w:pPr>
      <w:r>
        <w:rPr>
          <w:rFonts w:hint="eastAsia" w:ascii="宋体" w:hAnsi="宋体"/>
          <w:highlight w:val="none"/>
        </w:rPr>
        <w:t>3、具有履行合同所必需的设备和专业技术能力；</w:t>
      </w:r>
      <w:r>
        <w:rPr>
          <w:rFonts w:ascii="宋体" w:hAnsi="宋体"/>
          <w:highlight w:val="none"/>
        </w:rPr>
        <w:t xml:space="preserve"> </w:t>
      </w:r>
    </w:p>
    <w:p>
      <w:pPr>
        <w:ind w:left="420" w:leftChars="200" w:firstLine="411" w:firstLineChars="196"/>
        <w:rPr>
          <w:rFonts w:ascii="宋体" w:hAnsi="宋体"/>
          <w:highlight w:val="none"/>
        </w:rPr>
      </w:pPr>
      <w:r>
        <w:rPr>
          <w:rFonts w:hint="eastAsia" w:ascii="宋体" w:hAnsi="宋体"/>
          <w:highlight w:val="none"/>
        </w:rPr>
        <w:t>4、有依法缴纳税收和社会保障资金的良好记录；</w:t>
      </w:r>
      <w:r>
        <w:rPr>
          <w:rFonts w:ascii="宋体" w:hAnsi="宋体"/>
          <w:highlight w:val="none"/>
        </w:rPr>
        <w:t xml:space="preserve"> </w:t>
      </w:r>
    </w:p>
    <w:p>
      <w:pPr>
        <w:ind w:left="420" w:leftChars="200" w:firstLine="411" w:firstLineChars="196"/>
        <w:rPr>
          <w:rFonts w:ascii="宋体" w:hAnsi="宋体"/>
          <w:highlight w:val="none"/>
        </w:rPr>
      </w:pPr>
      <w:r>
        <w:rPr>
          <w:rFonts w:hint="eastAsia" w:ascii="宋体" w:hAnsi="宋体"/>
          <w:highlight w:val="none"/>
        </w:rPr>
        <w:t>5、参加政府采购活动前三年内，在经营活动中没有重大违法记录；</w:t>
      </w:r>
      <w:r>
        <w:rPr>
          <w:rFonts w:ascii="宋体" w:hAnsi="宋体"/>
          <w:highlight w:val="none"/>
        </w:rPr>
        <w:t xml:space="preserve"> </w:t>
      </w:r>
    </w:p>
    <w:p>
      <w:pPr>
        <w:ind w:left="420" w:leftChars="200" w:firstLine="411" w:firstLineChars="196"/>
        <w:rPr>
          <w:rFonts w:ascii="宋体" w:hAnsi="宋体"/>
          <w:highlight w:val="none"/>
        </w:rPr>
      </w:pPr>
      <w:r>
        <w:rPr>
          <w:rFonts w:hint="eastAsia" w:ascii="宋体" w:hAnsi="宋体"/>
          <w:highlight w:val="none"/>
        </w:rPr>
        <w:t>6、法律、行政法规规定的其他条件。</w:t>
      </w:r>
      <w:r>
        <w:rPr>
          <w:rFonts w:ascii="宋体" w:hAnsi="宋体"/>
          <w:highlight w:val="none"/>
        </w:rPr>
        <w:t xml:space="preserve"> </w:t>
      </w:r>
    </w:p>
    <w:p>
      <w:pPr>
        <w:ind w:firstLine="411" w:firstLineChars="196"/>
        <w:rPr>
          <w:rFonts w:ascii="宋体" w:hAnsi="宋体"/>
          <w:highlight w:val="none"/>
        </w:rPr>
      </w:pPr>
      <w:r>
        <w:rPr>
          <w:rFonts w:hint="eastAsia" w:ascii="宋体" w:hAnsi="宋体"/>
          <w:highlight w:val="none"/>
        </w:rPr>
        <w:t>（2）在投标截止前，投标联合体各方均应注册成政府集中采购机构供应商；</w:t>
      </w:r>
    </w:p>
    <w:p>
      <w:pPr>
        <w:ind w:firstLine="411" w:firstLineChars="196"/>
        <w:rPr>
          <w:rFonts w:ascii="宋体" w:hAnsi="宋体"/>
          <w:highlight w:val="none"/>
        </w:rPr>
      </w:pPr>
      <w:r>
        <w:rPr>
          <w:rFonts w:hint="eastAsia" w:ascii="宋体" w:hAnsi="宋体"/>
          <w:highlight w:val="none"/>
        </w:rPr>
        <w:t>（3）联合体中有同类资质的供应商按照联合体分工承担相同工作的，应当按照资质等级较低的供应商确定资质等级；</w:t>
      </w:r>
    </w:p>
    <w:p>
      <w:pPr>
        <w:ind w:firstLine="411" w:firstLineChars="196"/>
        <w:rPr>
          <w:highlight w:val="none"/>
        </w:rPr>
      </w:pPr>
      <w:r>
        <w:rPr>
          <w:rFonts w:hint="eastAsia"/>
          <w:highlight w:val="none"/>
        </w:rPr>
        <w:t>（4）是否允许联合体参加投标，应当由采购人和采购代理机构根据项目的实际情况和潜在供应商的数量自主决定，如果决定接受联合体投标则应当在招标公告中明示；</w:t>
      </w:r>
    </w:p>
    <w:p>
      <w:pPr>
        <w:ind w:firstLine="411" w:firstLineChars="196"/>
        <w:rPr>
          <w:rFonts w:ascii="宋体" w:hAnsi="宋体"/>
          <w:highlight w:val="none"/>
        </w:rPr>
      </w:pPr>
      <w:r>
        <w:rPr>
          <w:rFonts w:hint="eastAsia" w:ascii="宋体" w:hAnsi="宋体"/>
          <w:highlight w:val="none"/>
        </w:rPr>
        <w:t>（5）投标人的投标文件及中标后签署的合同协议对联合体各方均具法律约束力；</w:t>
      </w:r>
    </w:p>
    <w:p>
      <w:pPr>
        <w:ind w:firstLine="411" w:firstLineChars="196"/>
        <w:rPr>
          <w:rFonts w:ascii="宋体" w:hAnsi="宋体"/>
          <w:highlight w:val="none"/>
        </w:rPr>
      </w:pPr>
      <w:r>
        <w:rPr>
          <w:rFonts w:hint="eastAsia" w:ascii="宋体" w:hAnsi="宋体"/>
          <w:highlight w:val="none"/>
        </w:rPr>
        <w:t>（6）联合体各方应当签订联合体投标协议，明确约定各方拟承担的工作和责任，并将该协议随投标文件一并递交给政府集中采购机构；</w:t>
      </w:r>
    </w:p>
    <w:p>
      <w:pPr>
        <w:ind w:firstLine="411" w:firstLineChars="196"/>
        <w:rPr>
          <w:rFonts w:ascii="宋体" w:hAnsi="宋体"/>
          <w:highlight w:val="none"/>
        </w:rPr>
      </w:pPr>
      <w:r>
        <w:rPr>
          <w:rFonts w:hint="eastAsia" w:ascii="宋体" w:hAnsi="宋体"/>
          <w:highlight w:val="none"/>
        </w:rPr>
        <w:t>（7）联合体中标后，联合体各方应当共同与采购人签订合同，就中标项目向采购人承担连带责任；</w:t>
      </w:r>
    </w:p>
    <w:p>
      <w:pPr>
        <w:ind w:firstLine="411" w:firstLineChars="196"/>
        <w:rPr>
          <w:rFonts w:ascii="宋体" w:hAnsi="宋体"/>
          <w:highlight w:val="none"/>
        </w:rPr>
      </w:pPr>
      <w:r>
        <w:rPr>
          <w:rFonts w:hint="eastAsia" w:ascii="宋体" w:hAnsi="宋体"/>
          <w:highlight w:val="none"/>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ind w:firstLine="411" w:firstLineChars="196"/>
        <w:rPr>
          <w:rFonts w:ascii="宋体" w:hAnsi="宋体"/>
          <w:szCs w:val="21"/>
          <w:highlight w:val="none"/>
        </w:rPr>
      </w:pPr>
      <w:r>
        <w:rPr>
          <w:rFonts w:hint="eastAsia" w:ascii="宋体" w:hAnsi="宋体"/>
          <w:highlight w:val="none"/>
        </w:rPr>
        <w:t>（9）本通用条款中“投标人”一词亦指联合体各方，专用条款另有规定或说明的除外。</w:t>
      </w:r>
    </w:p>
    <w:p>
      <w:pPr>
        <w:rPr>
          <w:rFonts w:ascii="黑体" w:hAnsi="宋体" w:eastAsia="黑体"/>
          <w:sz w:val="24"/>
          <w:highlight w:val="none"/>
        </w:rPr>
      </w:pPr>
      <w:r>
        <w:rPr>
          <w:rFonts w:hint="eastAsia" w:ascii="黑体" w:hAnsi="宋体" w:eastAsia="黑体"/>
          <w:sz w:val="24"/>
          <w:highlight w:val="none"/>
        </w:rPr>
        <w:t>6．政策导向</w:t>
      </w:r>
    </w:p>
    <w:p>
      <w:pPr>
        <w:ind w:firstLine="411" w:firstLineChars="196"/>
        <w:rPr>
          <w:rFonts w:ascii="宋体" w:hAnsi="宋体"/>
          <w:highlight w:val="none"/>
        </w:rPr>
      </w:pPr>
      <w:r>
        <w:rPr>
          <w:rFonts w:hint="eastAsia" w:ascii="宋体" w:hAnsi="宋体"/>
          <w:highlight w:val="none"/>
        </w:rPr>
        <w:t>6.1</w:t>
      </w:r>
      <w:r>
        <w:rPr>
          <w:rFonts w:ascii="宋体" w:hAnsi="宋体"/>
          <w:highlight w:val="none"/>
        </w:rPr>
        <w:t xml:space="preserve">  </w:t>
      </w:r>
      <w:r>
        <w:rPr>
          <w:rFonts w:hint="eastAsia" w:ascii="宋体" w:hAnsi="宋体"/>
          <w:highlight w:val="none"/>
        </w:rPr>
        <w:t>政府采购扶持贫困地区、中小企业、监狱企业和残疾人福利性单位发展，支持节能减排、环境保护。</w:t>
      </w:r>
    </w:p>
    <w:p>
      <w:pPr>
        <w:ind w:firstLine="405"/>
        <w:rPr>
          <w:rFonts w:hint="eastAsia" w:ascii="宋体" w:hAnsi="宋体"/>
          <w:highlight w:val="none"/>
        </w:rPr>
      </w:pPr>
      <w:r>
        <w:rPr>
          <w:rFonts w:hint="eastAsia" w:ascii="宋体" w:hAnsi="宋体"/>
          <w:highlight w:val="none"/>
        </w:rPr>
        <w:t>6.2</w:t>
      </w:r>
      <w:r>
        <w:rPr>
          <w:rFonts w:ascii="宋体" w:hAnsi="宋体"/>
          <w:highlight w:val="none"/>
        </w:rPr>
        <w:t xml:space="preserve">  </w:t>
      </w:r>
      <w:r>
        <w:rPr>
          <w:rFonts w:hint="eastAsia" w:ascii="宋体" w:hAnsi="宋体"/>
          <w:highlight w:val="none"/>
        </w:rPr>
        <w:t>本项目落实深圳市政府采购供应商诚信管理政策要求。</w:t>
      </w:r>
    </w:p>
    <w:p>
      <w:pPr>
        <w:ind w:firstLine="405"/>
        <w:rPr>
          <w:rFonts w:hint="default" w:eastAsia="宋体"/>
          <w:highlight w:val="none"/>
          <w:lang w:val="en-US" w:eastAsia="zh-CN"/>
        </w:rPr>
      </w:pPr>
      <w:r>
        <w:rPr>
          <w:rFonts w:hint="eastAsia" w:ascii="宋体" w:hAnsi="宋体"/>
          <w:highlight w:val="none"/>
          <w:lang w:val="en-US" w:eastAsia="zh-CN"/>
        </w:rPr>
        <w:t>6.3  本项目支持投标人性别平等的相关政策。</w:t>
      </w:r>
    </w:p>
    <w:p>
      <w:pPr>
        <w:rPr>
          <w:rFonts w:ascii="黑体" w:hAnsi="宋体" w:eastAsia="黑体"/>
          <w:sz w:val="24"/>
          <w:highlight w:val="none"/>
        </w:rPr>
      </w:pPr>
      <w:r>
        <w:rPr>
          <w:rFonts w:hint="eastAsia" w:ascii="黑体" w:hAnsi="宋体" w:eastAsia="黑体"/>
          <w:sz w:val="24"/>
          <w:highlight w:val="none"/>
        </w:rPr>
        <w:t>7. 本项目若涉及采购货物，则合格的货物及相应服务应满足以下要求：</w:t>
      </w:r>
    </w:p>
    <w:p>
      <w:pPr>
        <w:ind w:firstLine="411" w:firstLineChars="196"/>
        <w:rPr>
          <w:rFonts w:ascii="宋体" w:hAnsi="宋体"/>
          <w:highlight w:val="none"/>
        </w:rPr>
      </w:pPr>
      <w:r>
        <w:rPr>
          <w:rFonts w:hint="eastAsia" w:ascii="宋体" w:hAnsi="宋体"/>
          <w:highlight w:val="none"/>
        </w:rPr>
        <w:t>7</w:t>
      </w:r>
      <w:r>
        <w:rPr>
          <w:rFonts w:ascii="宋体" w:hAnsi="宋体"/>
          <w:highlight w:val="none"/>
        </w:rPr>
        <w:t xml:space="preserve">.1  </w:t>
      </w:r>
      <w:r>
        <w:rPr>
          <w:rFonts w:hint="eastAsia" w:ascii="宋体" w:hAnsi="宋体"/>
          <w:highlight w:val="none"/>
        </w:rPr>
        <w:t>必须是全新、未使用过的原装合格正品（包括零部件），如安装或配置了软件的，须为正版软件。</w:t>
      </w:r>
    </w:p>
    <w:p>
      <w:pPr>
        <w:ind w:firstLine="411" w:firstLineChars="196"/>
        <w:rPr>
          <w:rFonts w:ascii="宋体" w:hAnsi="宋体"/>
          <w:highlight w:val="none"/>
        </w:rPr>
      </w:pPr>
      <w:r>
        <w:rPr>
          <w:rFonts w:hint="eastAsia" w:ascii="宋体" w:hAnsi="宋体"/>
          <w:highlight w:val="none"/>
        </w:rPr>
        <w:t>7.2  国产的货物及其有关服务必须符合中华人民共和国的设计、制造生产标准及行业标准。招标公告有其他要求的，亦应符合其要求。</w:t>
      </w:r>
    </w:p>
    <w:p>
      <w:pPr>
        <w:ind w:firstLine="411" w:firstLineChars="196"/>
        <w:rPr>
          <w:rFonts w:ascii="宋体" w:hAnsi="宋体"/>
          <w:highlight w:val="none"/>
        </w:rPr>
      </w:pPr>
      <w:r>
        <w:rPr>
          <w:rFonts w:hint="eastAsia" w:ascii="宋体" w:hAnsi="宋体"/>
          <w:highlight w:val="none"/>
        </w:rPr>
        <w:t>7</w:t>
      </w:r>
      <w:r>
        <w:rPr>
          <w:rFonts w:ascii="宋体" w:hAnsi="宋体"/>
          <w:highlight w:val="none"/>
        </w:rPr>
        <w:t>.</w:t>
      </w:r>
      <w:r>
        <w:rPr>
          <w:rFonts w:hint="eastAsia" w:ascii="宋体" w:hAnsi="宋体"/>
          <w:highlight w:val="none"/>
        </w:rPr>
        <w:t>3</w:t>
      </w:r>
      <w:r>
        <w:rPr>
          <w:rFonts w:ascii="宋体" w:hAnsi="宋体"/>
          <w:highlight w:val="none"/>
        </w:rPr>
        <w:t xml:space="preserve">  </w:t>
      </w:r>
      <w:r>
        <w:rPr>
          <w:rFonts w:hint="eastAsia" w:ascii="宋体" w:hAnsi="宋体"/>
          <w:highlight w:val="none"/>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ind w:firstLine="411" w:firstLineChars="196"/>
        <w:rPr>
          <w:rFonts w:ascii="宋体" w:hAnsi="宋体"/>
          <w:highlight w:val="none"/>
        </w:rPr>
      </w:pPr>
      <w:r>
        <w:rPr>
          <w:rFonts w:hint="eastAsia" w:ascii="宋体" w:hAnsi="宋体"/>
          <w:highlight w:val="none"/>
        </w:rPr>
        <w:t>7</w:t>
      </w:r>
      <w:r>
        <w:rPr>
          <w:rFonts w:ascii="宋体" w:hAnsi="宋体"/>
          <w:highlight w:val="none"/>
        </w:rPr>
        <w:t>.</w:t>
      </w:r>
      <w:r>
        <w:rPr>
          <w:rFonts w:hint="eastAsia" w:ascii="宋体" w:hAnsi="宋体"/>
          <w:highlight w:val="none"/>
        </w:rPr>
        <w:t>4</w:t>
      </w:r>
      <w:r>
        <w:rPr>
          <w:rFonts w:ascii="宋体" w:hAnsi="宋体"/>
          <w:highlight w:val="none"/>
        </w:rPr>
        <w:t xml:space="preserve">  </w:t>
      </w:r>
      <w:r>
        <w:rPr>
          <w:rFonts w:hint="eastAsia" w:ascii="宋体" w:hAnsi="宋体"/>
          <w:highlight w:val="none"/>
        </w:rPr>
        <w:t>投标人</w:t>
      </w:r>
      <w:bookmarkStart w:id="50" w:name="_Hlk72152753"/>
      <w:r>
        <w:rPr>
          <w:rFonts w:hint="eastAsia" w:ascii="宋体" w:hAnsi="宋体"/>
          <w:highlight w:val="none"/>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0"/>
    </w:p>
    <w:p>
      <w:pPr>
        <w:ind w:firstLine="411" w:firstLineChars="196"/>
        <w:rPr>
          <w:rFonts w:ascii="宋体" w:hAnsi="宋体"/>
          <w:highlight w:val="none"/>
        </w:rPr>
      </w:pPr>
      <w:r>
        <w:rPr>
          <w:rFonts w:hint="eastAsia" w:ascii="宋体" w:hAnsi="宋体"/>
          <w:highlight w:val="none"/>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11" w:firstLineChars="196"/>
        <w:rPr>
          <w:rFonts w:ascii="宋体" w:hAnsi="宋体"/>
          <w:highlight w:val="none"/>
        </w:rPr>
      </w:pPr>
      <w:r>
        <w:rPr>
          <w:rFonts w:hint="eastAsia" w:ascii="宋体" w:hAnsi="宋体"/>
          <w:highlight w:val="none"/>
        </w:rPr>
        <w:t>7.6  工期要求：投标人在投标时对其所投项目应提交交货进度、交货计划等，在合同规定的时间内完成项目实施工作。</w:t>
      </w:r>
    </w:p>
    <w:p>
      <w:pPr>
        <w:ind w:firstLine="411" w:firstLineChars="196"/>
        <w:rPr>
          <w:rFonts w:ascii="宋体" w:hAnsi="宋体"/>
          <w:highlight w:val="none"/>
        </w:rPr>
      </w:pPr>
      <w:r>
        <w:rPr>
          <w:rFonts w:hint="eastAsia" w:ascii="宋体" w:hAnsi="宋体"/>
          <w:highlight w:val="none"/>
        </w:rPr>
        <w:t>7.7  投标人必须承担的设备运输、安装调试、验收检测和提供设备操作说明书、图纸等其他相关及类似的义务。</w:t>
      </w:r>
    </w:p>
    <w:p>
      <w:pPr>
        <w:rPr>
          <w:rFonts w:ascii="黑体" w:hAnsi="宋体" w:eastAsia="黑体"/>
          <w:sz w:val="24"/>
          <w:highlight w:val="none"/>
        </w:rPr>
      </w:pPr>
      <w:r>
        <w:rPr>
          <w:rFonts w:hint="eastAsia" w:ascii="黑体" w:hAnsi="宋体" w:eastAsia="黑体"/>
          <w:sz w:val="24"/>
          <w:highlight w:val="none"/>
        </w:rPr>
        <w:t>8．投标费用</w:t>
      </w:r>
    </w:p>
    <w:p>
      <w:pPr>
        <w:ind w:firstLine="411" w:firstLineChars="196"/>
        <w:rPr>
          <w:rFonts w:ascii="宋体" w:hAnsi="宋体"/>
          <w:szCs w:val="21"/>
          <w:highlight w:val="none"/>
        </w:rPr>
      </w:pPr>
      <w:r>
        <w:rPr>
          <w:rFonts w:hint="eastAsia" w:ascii="宋体" w:hAnsi="宋体"/>
          <w:szCs w:val="21"/>
          <w:highlight w:val="none"/>
        </w:rPr>
        <w:t>不论投标结果如何，投标人应承担其编制投标文件与递交投标文件所涉及的一切费用。</w:t>
      </w:r>
    </w:p>
    <w:p>
      <w:pPr>
        <w:rPr>
          <w:rFonts w:ascii="黑体" w:hAnsi="宋体" w:eastAsia="黑体"/>
          <w:sz w:val="24"/>
          <w:highlight w:val="none"/>
        </w:rPr>
      </w:pPr>
      <w:r>
        <w:rPr>
          <w:rFonts w:hint="eastAsia" w:ascii="黑体" w:hAnsi="宋体" w:eastAsia="黑体"/>
          <w:sz w:val="24"/>
          <w:highlight w:val="none"/>
        </w:rPr>
        <w:t>9．踏勘现场</w:t>
      </w:r>
    </w:p>
    <w:p>
      <w:pPr>
        <w:ind w:firstLine="411" w:firstLineChars="196"/>
        <w:rPr>
          <w:rFonts w:ascii="宋体" w:hAnsi="宋体"/>
          <w:szCs w:val="21"/>
          <w:highlight w:val="none"/>
        </w:rPr>
      </w:pPr>
      <w:r>
        <w:rPr>
          <w:rFonts w:hint="eastAsia" w:ascii="宋体" w:hAnsi="宋体"/>
          <w:szCs w:val="21"/>
          <w:highlight w:val="none"/>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ind w:firstLine="411" w:firstLineChars="196"/>
        <w:rPr>
          <w:rFonts w:ascii="宋体" w:hAnsi="宋体"/>
          <w:highlight w:val="none"/>
        </w:rPr>
      </w:pPr>
      <w:r>
        <w:rPr>
          <w:rFonts w:hint="eastAsia" w:ascii="宋体" w:hAnsi="宋体"/>
          <w:highlight w:val="none"/>
        </w:rPr>
        <w:t>9.2投标人及其人员经过采购人的允许，可以进入采购人的项目现场踏勘。若招标文件要求投标人于统一时间地点踏勘现场的，投标人应当按时前往。</w:t>
      </w:r>
    </w:p>
    <w:p>
      <w:pPr>
        <w:ind w:firstLine="411" w:firstLineChars="196"/>
        <w:rPr>
          <w:rFonts w:ascii="宋体" w:hAnsi="宋体"/>
          <w:highlight w:val="none"/>
        </w:rPr>
      </w:pPr>
      <w:r>
        <w:rPr>
          <w:rFonts w:hint="eastAsia" w:ascii="宋体" w:hAnsi="宋体"/>
          <w:highlight w:val="none"/>
        </w:rPr>
        <w:t>9.3采购人应当通过政府集中采购机构向投标人提供有关现场的书面资料和数据。</w:t>
      </w:r>
    </w:p>
    <w:p>
      <w:pPr>
        <w:ind w:firstLine="411" w:firstLineChars="196"/>
        <w:rPr>
          <w:rFonts w:ascii="宋体" w:hAnsi="宋体"/>
          <w:highlight w:val="none"/>
        </w:rPr>
      </w:pPr>
      <w:r>
        <w:rPr>
          <w:rFonts w:hint="eastAsia" w:ascii="宋体" w:hAnsi="宋体"/>
          <w:highlight w:val="none"/>
        </w:rPr>
        <w:t>9.4任何人或任何组织在踏勘现场时向投标人提供的任何书面资料或口头承诺，未经政府集中采购机构在网上发布或书面通知，均作无效处理。</w:t>
      </w:r>
    </w:p>
    <w:p>
      <w:pPr>
        <w:ind w:firstLine="411" w:firstLineChars="196"/>
        <w:rPr>
          <w:rFonts w:ascii="宋体" w:hAnsi="宋体"/>
          <w:highlight w:val="none"/>
        </w:rPr>
      </w:pPr>
      <w:r>
        <w:rPr>
          <w:rFonts w:ascii="宋体" w:hAnsi="宋体"/>
          <w:szCs w:val="21"/>
          <w:highlight w:val="none"/>
        </w:rPr>
        <w:t>9</w:t>
      </w:r>
      <w:r>
        <w:rPr>
          <w:rFonts w:hint="eastAsia" w:ascii="宋体" w:hAnsi="宋体"/>
          <w:szCs w:val="21"/>
          <w:highlight w:val="none"/>
        </w:rPr>
        <w:t>.</w:t>
      </w:r>
      <w:r>
        <w:rPr>
          <w:rFonts w:ascii="宋体" w:hAnsi="宋体"/>
          <w:szCs w:val="21"/>
          <w:highlight w:val="none"/>
        </w:rPr>
        <w:t>5</w:t>
      </w:r>
      <w:r>
        <w:rPr>
          <w:rFonts w:hint="eastAsia" w:ascii="宋体" w:hAnsi="宋体"/>
          <w:szCs w:val="21"/>
          <w:highlight w:val="none"/>
        </w:rPr>
        <w:t>未参与踏勘现场不作为否定投标人资格的理由。</w:t>
      </w:r>
    </w:p>
    <w:p>
      <w:pPr>
        <w:rPr>
          <w:rFonts w:ascii="宋体" w:hAnsi="宋体"/>
          <w:szCs w:val="21"/>
          <w:highlight w:val="none"/>
        </w:rPr>
      </w:pPr>
      <w:r>
        <w:rPr>
          <w:rFonts w:hint="eastAsia" w:ascii="黑体" w:hAnsi="宋体" w:eastAsia="黑体"/>
          <w:sz w:val="24"/>
          <w:highlight w:val="none"/>
        </w:rPr>
        <w:t>1</w:t>
      </w:r>
      <w:r>
        <w:rPr>
          <w:rFonts w:ascii="黑体" w:hAnsi="宋体" w:eastAsia="黑体"/>
          <w:sz w:val="24"/>
          <w:highlight w:val="none"/>
        </w:rPr>
        <w:t>0</w:t>
      </w:r>
      <w:r>
        <w:rPr>
          <w:rFonts w:hint="eastAsia" w:ascii="黑体" w:hAnsi="宋体" w:eastAsia="黑体"/>
          <w:sz w:val="24"/>
          <w:highlight w:val="none"/>
        </w:rPr>
        <w:t>．标前会议</w:t>
      </w:r>
    </w:p>
    <w:p>
      <w:pPr>
        <w:ind w:firstLine="411" w:firstLineChars="196"/>
        <w:rPr>
          <w:rFonts w:ascii="宋体" w:hAnsi="宋体"/>
          <w:szCs w:val="21"/>
          <w:highlight w:val="none"/>
        </w:rPr>
      </w:pPr>
      <w:r>
        <w:rPr>
          <w:rFonts w:hint="eastAsia" w:ascii="宋体" w:hAnsi="宋体"/>
          <w:szCs w:val="21"/>
          <w:highlight w:val="none"/>
        </w:rPr>
        <w:t>1</w:t>
      </w:r>
      <w:r>
        <w:rPr>
          <w:rFonts w:ascii="宋体" w:hAnsi="宋体"/>
          <w:szCs w:val="21"/>
          <w:highlight w:val="none"/>
        </w:rPr>
        <w:t>0</w:t>
      </w: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ind w:firstLine="411" w:firstLineChars="196"/>
        <w:rPr>
          <w:rFonts w:ascii="宋体" w:hAnsi="宋体"/>
          <w:szCs w:val="21"/>
          <w:highlight w:val="none"/>
        </w:rPr>
      </w:pPr>
      <w:r>
        <w:rPr>
          <w:rFonts w:ascii="宋体" w:hAnsi="宋体"/>
          <w:highlight w:val="none"/>
        </w:rPr>
        <w:t>10</w:t>
      </w:r>
      <w:r>
        <w:rPr>
          <w:rFonts w:hint="eastAsia" w:ascii="宋体" w:hAnsi="宋体"/>
          <w:highlight w:val="none"/>
        </w:rPr>
        <w:t>.</w:t>
      </w:r>
      <w:r>
        <w:rPr>
          <w:rFonts w:ascii="宋体" w:hAnsi="宋体"/>
          <w:highlight w:val="none"/>
        </w:rPr>
        <w:t>2</w:t>
      </w:r>
      <w:r>
        <w:rPr>
          <w:rFonts w:hint="eastAsia" w:ascii="宋体" w:hAnsi="宋体"/>
          <w:highlight w:val="none"/>
        </w:rPr>
        <w:t>任何人或任何组织在标前会议时向投标人提供的任何书面资料或口头承诺，未经政府集中采购机构在网上发布或书面通知，均作无效处理。</w:t>
      </w:r>
    </w:p>
    <w:p>
      <w:pPr>
        <w:ind w:firstLine="411" w:firstLineChars="196"/>
        <w:rPr>
          <w:rFonts w:ascii="宋体" w:hAnsi="宋体"/>
          <w:szCs w:val="21"/>
          <w:highlight w:val="none"/>
        </w:rPr>
      </w:pPr>
      <w:r>
        <w:rPr>
          <w:rFonts w:hint="eastAsia" w:ascii="宋体" w:hAnsi="宋体"/>
          <w:szCs w:val="21"/>
          <w:highlight w:val="none"/>
        </w:rPr>
        <w:t>1</w:t>
      </w:r>
      <w:r>
        <w:rPr>
          <w:rFonts w:ascii="宋体" w:hAnsi="宋体"/>
          <w:szCs w:val="21"/>
          <w:highlight w:val="none"/>
        </w:rPr>
        <w:t>0</w:t>
      </w: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未参与标前会议不作为否定投标人资格的理由。</w:t>
      </w:r>
    </w:p>
    <w:bookmarkEnd w:id="49"/>
    <w:p>
      <w:pPr>
        <w:ind w:firstLine="411" w:firstLineChars="196"/>
        <w:rPr>
          <w:rFonts w:ascii="宋体" w:hAnsi="宋体"/>
          <w:highlight w:val="none"/>
        </w:rPr>
      </w:pPr>
    </w:p>
    <w:p>
      <w:pPr>
        <w:pStyle w:val="7"/>
        <w:numPr>
          <w:ilvl w:val="0"/>
          <w:numId w:val="14"/>
        </w:numPr>
        <w:spacing w:before="120" w:beforeLines="50" w:after="120" w:afterLines="50"/>
        <w:ind w:left="562" w:hanging="562"/>
        <w:rPr>
          <w:sz w:val="28"/>
          <w:szCs w:val="28"/>
          <w:highlight w:val="none"/>
        </w:rPr>
      </w:pPr>
      <w:r>
        <w:rPr>
          <w:rFonts w:hint="eastAsia"/>
          <w:sz w:val="28"/>
          <w:szCs w:val="28"/>
          <w:highlight w:val="none"/>
        </w:rPr>
        <w:t>招标文件</w:t>
      </w:r>
    </w:p>
    <w:p>
      <w:pPr>
        <w:rPr>
          <w:rFonts w:ascii="黑体" w:hAnsi="宋体" w:eastAsia="黑体"/>
          <w:sz w:val="24"/>
          <w:highlight w:val="none"/>
        </w:rPr>
      </w:pPr>
      <w:r>
        <w:rPr>
          <w:rFonts w:hint="eastAsia" w:ascii="黑体" w:hAnsi="宋体" w:eastAsia="黑体"/>
          <w:sz w:val="24"/>
          <w:highlight w:val="none"/>
        </w:rPr>
        <w:t>1</w:t>
      </w:r>
      <w:r>
        <w:rPr>
          <w:rFonts w:ascii="黑体" w:hAnsi="宋体" w:eastAsia="黑体"/>
          <w:sz w:val="24"/>
          <w:highlight w:val="none"/>
        </w:rPr>
        <w:t>1</w:t>
      </w:r>
      <w:r>
        <w:rPr>
          <w:rFonts w:hint="eastAsia" w:ascii="黑体" w:hAnsi="宋体" w:eastAsia="黑体"/>
          <w:sz w:val="24"/>
          <w:highlight w:val="none"/>
        </w:rPr>
        <w:t>．</w:t>
      </w:r>
      <w:bookmarkStart w:id="51" w:name="_Hlk72399819"/>
      <w:r>
        <w:rPr>
          <w:rFonts w:hint="eastAsia" w:ascii="黑体" w:hAnsi="宋体" w:eastAsia="黑体"/>
          <w:sz w:val="24"/>
          <w:highlight w:val="none"/>
        </w:rPr>
        <w:t>招标文件的编制与组成</w:t>
      </w:r>
    </w:p>
    <w:p>
      <w:pPr>
        <w:snapToGrid w:val="0"/>
        <w:ind w:firstLine="420" w:firstLineChars="200"/>
        <w:rPr>
          <w:rFonts w:ascii="宋体" w:hAnsi="宋体"/>
          <w:szCs w:val="21"/>
          <w:highlight w:val="none"/>
        </w:rPr>
      </w:pPr>
      <w:r>
        <w:rPr>
          <w:rFonts w:hint="eastAsia" w:ascii="宋体" w:hAnsi="宋体"/>
          <w:szCs w:val="21"/>
          <w:highlight w:val="none"/>
        </w:rPr>
        <w:t>1</w:t>
      </w:r>
      <w:r>
        <w:rPr>
          <w:rFonts w:ascii="宋体" w:hAnsi="宋体"/>
          <w:szCs w:val="21"/>
          <w:highlight w:val="none"/>
        </w:rPr>
        <w:t>1</w:t>
      </w:r>
      <w:r>
        <w:rPr>
          <w:rFonts w:hint="eastAsia" w:ascii="宋体" w:hAnsi="宋体"/>
          <w:szCs w:val="21"/>
          <w:highlight w:val="none"/>
        </w:rPr>
        <w:t>.1招标文件除以下内容外，政府集中采购机构在招标期间发出的澄清或修改等相关公告或通知内容，均是招标文件的组成部分，对投标人起约束作用；</w:t>
      </w:r>
    </w:p>
    <w:p>
      <w:pPr>
        <w:ind w:firstLine="411" w:firstLineChars="196"/>
        <w:rPr>
          <w:rFonts w:ascii="宋体" w:hAnsi="宋体"/>
          <w:szCs w:val="21"/>
          <w:highlight w:val="none"/>
        </w:rPr>
      </w:pPr>
      <w:r>
        <w:rPr>
          <w:rFonts w:hint="eastAsia" w:ascii="宋体" w:hAnsi="宋体"/>
          <w:szCs w:val="21"/>
          <w:highlight w:val="none"/>
        </w:rPr>
        <w:t>招标文件包括下列内容：</w:t>
      </w:r>
    </w:p>
    <w:p>
      <w:pPr>
        <w:ind w:left="420" w:leftChars="200" w:firstLine="413" w:firstLineChars="196"/>
        <w:rPr>
          <w:rFonts w:ascii="宋体" w:hAnsi="宋体"/>
          <w:b/>
          <w:szCs w:val="21"/>
          <w:highlight w:val="none"/>
        </w:rPr>
      </w:pPr>
      <w:r>
        <w:rPr>
          <w:rFonts w:hint="eastAsia" w:ascii="宋体" w:hAnsi="宋体"/>
          <w:b/>
          <w:szCs w:val="21"/>
          <w:highlight w:val="none"/>
        </w:rPr>
        <w:t>第一册  专用条款</w:t>
      </w:r>
    </w:p>
    <w:p>
      <w:pPr>
        <w:ind w:left="1079" w:leftChars="514"/>
        <w:rPr>
          <w:rFonts w:ascii="宋体" w:hAnsi="宋体"/>
          <w:b/>
          <w:szCs w:val="21"/>
          <w:highlight w:val="none"/>
        </w:rPr>
      </w:pPr>
      <w:r>
        <w:rPr>
          <w:rFonts w:hint="eastAsia" w:ascii="宋体" w:hAnsi="宋体"/>
          <w:b/>
          <w:szCs w:val="21"/>
          <w:highlight w:val="none"/>
        </w:rPr>
        <w:t>关键信息</w:t>
      </w:r>
    </w:p>
    <w:p>
      <w:pPr>
        <w:ind w:left="630" w:leftChars="300" w:firstLine="411" w:firstLineChars="196"/>
        <w:rPr>
          <w:rFonts w:ascii="宋体" w:hAnsi="宋体"/>
          <w:szCs w:val="21"/>
          <w:highlight w:val="none"/>
        </w:rPr>
      </w:pPr>
      <w:r>
        <w:rPr>
          <w:rFonts w:hint="eastAsia" w:ascii="宋体" w:hAnsi="宋体"/>
          <w:szCs w:val="21"/>
          <w:highlight w:val="none"/>
        </w:rPr>
        <w:t>第一章  招标公告</w:t>
      </w:r>
    </w:p>
    <w:p>
      <w:pPr>
        <w:ind w:left="630" w:leftChars="300" w:firstLine="411" w:firstLineChars="196"/>
        <w:rPr>
          <w:rFonts w:ascii="宋体" w:hAnsi="宋体"/>
          <w:szCs w:val="21"/>
          <w:highlight w:val="none"/>
        </w:rPr>
      </w:pPr>
      <w:r>
        <w:rPr>
          <w:rFonts w:hint="eastAsia" w:ascii="宋体" w:hAnsi="宋体"/>
          <w:szCs w:val="21"/>
          <w:highlight w:val="none"/>
        </w:rPr>
        <w:t>第二章  对通用条款的补充内容及其他关键信息</w:t>
      </w:r>
    </w:p>
    <w:p>
      <w:pPr>
        <w:ind w:left="630" w:leftChars="300" w:firstLine="411" w:firstLineChars="196"/>
        <w:rPr>
          <w:rFonts w:ascii="宋体" w:hAnsi="宋体"/>
          <w:szCs w:val="21"/>
          <w:highlight w:val="none"/>
        </w:rPr>
      </w:pPr>
      <w:r>
        <w:rPr>
          <w:rFonts w:hint="eastAsia" w:ascii="宋体" w:hAnsi="宋体"/>
          <w:szCs w:val="21"/>
          <w:highlight w:val="none"/>
        </w:rPr>
        <w:t>第三章  用户需求书</w:t>
      </w:r>
    </w:p>
    <w:p>
      <w:pPr>
        <w:ind w:left="630" w:leftChars="300" w:firstLine="411" w:firstLineChars="196"/>
        <w:rPr>
          <w:rFonts w:ascii="宋体" w:hAnsi="宋体"/>
          <w:szCs w:val="21"/>
          <w:highlight w:val="none"/>
        </w:rPr>
      </w:pPr>
      <w:r>
        <w:rPr>
          <w:rFonts w:hint="eastAsia"/>
          <w:highlight w:val="none"/>
        </w:rPr>
        <w:t xml:space="preserve">第四章 </w:t>
      </w:r>
      <w:r>
        <w:rPr>
          <w:highlight w:val="none"/>
        </w:rPr>
        <w:t xml:space="preserve"> </w:t>
      </w:r>
      <w:r>
        <w:rPr>
          <w:rFonts w:hint="eastAsia"/>
          <w:highlight w:val="none"/>
        </w:rPr>
        <w:t>投标文件格式及附件</w:t>
      </w:r>
    </w:p>
    <w:p>
      <w:pPr>
        <w:ind w:left="630" w:leftChars="300" w:firstLine="411" w:firstLineChars="196"/>
        <w:rPr>
          <w:rFonts w:ascii="宋体" w:hAnsi="宋体"/>
          <w:szCs w:val="21"/>
          <w:highlight w:val="none"/>
        </w:rPr>
      </w:pPr>
      <w:r>
        <w:rPr>
          <w:rFonts w:hint="eastAsia" w:ascii="宋体" w:hAnsi="宋体"/>
          <w:szCs w:val="21"/>
          <w:highlight w:val="none"/>
        </w:rPr>
        <w:t>第五章  合同条款及格式</w:t>
      </w:r>
    </w:p>
    <w:p>
      <w:pPr>
        <w:ind w:left="420" w:leftChars="200" w:firstLine="413" w:firstLineChars="196"/>
        <w:rPr>
          <w:rFonts w:ascii="宋体" w:hAnsi="宋体"/>
          <w:b/>
          <w:szCs w:val="21"/>
          <w:highlight w:val="none"/>
        </w:rPr>
      </w:pPr>
      <w:r>
        <w:rPr>
          <w:rFonts w:hint="eastAsia" w:ascii="宋体" w:hAnsi="宋体"/>
          <w:b/>
          <w:szCs w:val="21"/>
          <w:highlight w:val="none"/>
        </w:rPr>
        <w:t>第二册  通用条款</w:t>
      </w:r>
    </w:p>
    <w:p>
      <w:pPr>
        <w:ind w:left="630" w:leftChars="300" w:firstLine="411" w:firstLineChars="196"/>
        <w:rPr>
          <w:rFonts w:ascii="宋体" w:hAnsi="宋体"/>
          <w:szCs w:val="21"/>
          <w:highlight w:val="none"/>
        </w:rPr>
      </w:pPr>
      <w:r>
        <w:rPr>
          <w:rFonts w:hint="eastAsia" w:ascii="宋体" w:hAnsi="宋体"/>
          <w:szCs w:val="21"/>
          <w:highlight w:val="none"/>
        </w:rPr>
        <w:t>第一章  总则</w:t>
      </w:r>
    </w:p>
    <w:p>
      <w:pPr>
        <w:ind w:left="630" w:leftChars="300" w:firstLine="411" w:firstLineChars="196"/>
        <w:rPr>
          <w:rFonts w:ascii="宋体" w:hAnsi="宋体"/>
          <w:szCs w:val="21"/>
          <w:highlight w:val="none"/>
        </w:rPr>
      </w:pPr>
      <w:r>
        <w:rPr>
          <w:rFonts w:hint="eastAsia" w:ascii="宋体" w:hAnsi="宋体"/>
          <w:szCs w:val="21"/>
          <w:highlight w:val="none"/>
        </w:rPr>
        <w:t>第二章  招标文件</w:t>
      </w:r>
    </w:p>
    <w:p>
      <w:pPr>
        <w:ind w:left="630" w:leftChars="300" w:firstLine="411" w:firstLineChars="196"/>
        <w:rPr>
          <w:rFonts w:ascii="宋体" w:hAnsi="宋体"/>
          <w:szCs w:val="21"/>
          <w:highlight w:val="none"/>
        </w:rPr>
      </w:pPr>
      <w:r>
        <w:rPr>
          <w:rFonts w:hint="eastAsia" w:ascii="宋体" w:hAnsi="宋体"/>
          <w:szCs w:val="21"/>
          <w:highlight w:val="none"/>
        </w:rPr>
        <w:t>第三章  投标文件的编制</w:t>
      </w:r>
    </w:p>
    <w:p>
      <w:pPr>
        <w:ind w:left="630" w:leftChars="300" w:firstLine="411" w:firstLineChars="196"/>
        <w:rPr>
          <w:rFonts w:ascii="宋体" w:hAnsi="宋体"/>
          <w:szCs w:val="21"/>
          <w:highlight w:val="none"/>
        </w:rPr>
      </w:pPr>
      <w:r>
        <w:rPr>
          <w:rFonts w:hint="eastAsia" w:ascii="宋体" w:hAnsi="宋体"/>
          <w:szCs w:val="21"/>
          <w:highlight w:val="none"/>
        </w:rPr>
        <w:t>第四章  投标文件的递交</w:t>
      </w:r>
    </w:p>
    <w:p>
      <w:pPr>
        <w:ind w:left="630" w:leftChars="300" w:firstLine="411" w:firstLineChars="196"/>
        <w:rPr>
          <w:rFonts w:ascii="宋体" w:hAnsi="宋体"/>
          <w:szCs w:val="21"/>
          <w:highlight w:val="none"/>
        </w:rPr>
      </w:pPr>
      <w:r>
        <w:rPr>
          <w:rFonts w:hint="eastAsia" w:ascii="宋体" w:hAnsi="宋体"/>
          <w:szCs w:val="21"/>
          <w:highlight w:val="none"/>
        </w:rPr>
        <w:t>第五章  开标</w:t>
      </w:r>
    </w:p>
    <w:p>
      <w:pPr>
        <w:ind w:left="630" w:leftChars="300" w:firstLine="411" w:firstLineChars="196"/>
        <w:rPr>
          <w:rFonts w:ascii="宋体" w:hAnsi="宋体"/>
          <w:szCs w:val="21"/>
          <w:highlight w:val="none"/>
        </w:rPr>
      </w:pPr>
      <w:r>
        <w:rPr>
          <w:rFonts w:hint="eastAsia" w:ascii="宋体" w:hAnsi="宋体"/>
          <w:szCs w:val="21"/>
          <w:highlight w:val="none"/>
        </w:rPr>
        <w:t>第六章  评审要求</w:t>
      </w:r>
    </w:p>
    <w:p>
      <w:pPr>
        <w:ind w:left="630" w:leftChars="300" w:firstLine="411" w:firstLineChars="196"/>
        <w:rPr>
          <w:rFonts w:ascii="宋体" w:hAnsi="宋体"/>
          <w:szCs w:val="21"/>
          <w:highlight w:val="none"/>
        </w:rPr>
      </w:pPr>
      <w:r>
        <w:rPr>
          <w:rFonts w:hint="eastAsia" w:ascii="宋体" w:hAnsi="宋体"/>
          <w:szCs w:val="21"/>
          <w:highlight w:val="none"/>
        </w:rPr>
        <w:t>第七章  评审程序及评审方法</w:t>
      </w:r>
    </w:p>
    <w:p>
      <w:pPr>
        <w:ind w:left="630" w:leftChars="300" w:firstLine="411" w:firstLineChars="196"/>
        <w:rPr>
          <w:rFonts w:ascii="宋体" w:hAnsi="宋体"/>
          <w:szCs w:val="21"/>
          <w:highlight w:val="none"/>
        </w:rPr>
      </w:pPr>
      <w:r>
        <w:rPr>
          <w:rFonts w:hint="eastAsia" w:ascii="宋体" w:hAnsi="宋体"/>
          <w:szCs w:val="21"/>
          <w:highlight w:val="none"/>
        </w:rPr>
        <w:t>第八章  定标及公示</w:t>
      </w:r>
    </w:p>
    <w:p>
      <w:pPr>
        <w:ind w:left="630" w:leftChars="300" w:firstLine="411" w:firstLineChars="196"/>
        <w:rPr>
          <w:rFonts w:ascii="宋体" w:hAnsi="宋体"/>
          <w:szCs w:val="21"/>
          <w:highlight w:val="none"/>
        </w:rPr>
      </w:pPr>
      <w:r>
        <w:rPr>
          <w:rFonts w:hint="eastAsia" w:ascii="宋体" w:hAnsi="宋体"/>
          <w:szCs w:val="21"/>
          <w:highlight w:val="none"/>
        </w:rPr>
        <w:t>第九章  公开招标失败的后续处理</w:t>
      </w:r>
    </w:p>
    <w:p>
      <w:pPr>
        <w:ind w:left="630" w:leftChars="300" w:firstLine="411" w:firstLineChars="196"/>
        <w:rPr>
          <w:rFonts w:ascii="宋体" w:hAnsi="宋体"/>
          <w:szCs w:val="21"/>
          <w:highlight w:val="none"/>
        </w:rPr>
      </w:pPr>
      <w:r>
        <w:rPr>
          <w:rFonts w:hint="eastAsia" w:ascii="宋体" w:hAnsi="宋体"/>
          <w:szCs w:val="21"/>
          <w:highlight w:val="none"/>
        </w:rPr>
        <w:t>第十章  合同的授予与备案</w:t>
      </w:r>
    </w:p>
    <w:p>
      <w:pPr>
        <w:ind w:left="630" w:leftChars="300" w:firstLine="411" w:firstLineChars="196"/>
        <w:rPr>
          <w:rFonts w:ascii="宋体" w:hAnsi="宋体"/>
          <w:szCs w:val="21"/>
          <w:highlight w:val="none"/>
        </w:rPr>
      </w:pPr>
      <w:r>
        <w:rPr>
          <w:rFonts w:hint="eastAsia" w:ascii="宋体" w:hAnsi="宋体"/>
          <w:szCs w:val="21"/>
          <w:highlight w:val="none"/>
        </w:rPr>
        <w:t>第十一章  质疑处理</w:t>
      </w:r>
    </w:p>
    <w:p>
      <w:pPr>
        <w:ind w:firstLine="411" w:firstLineChars="196"/>
        <w:rPr>
          <w:rFonts w:ascii="宋体" w:hAnsi="宋体"/>
          <w:szCs w:val="21"/>
          <w:highlight w:val="none"/>
        </w:rPr>
      </w:pPr>
      <w:r>
        <w:rPr>
          <w:rFonts w:hint="eastAsia" w:ascii="宋体" w:hAnsi="宋体"/>
          <w:szCs w:val="21"/>
          <w:highlight w:val="none"/>
        </w:rPr>
        <w:t>1</w:t>
      </w:r>
      <w:r>
        <w:rPr>
          <w:rFonts w:ascii="宋体" w:hAnsi="宋体"/>
          <w:szCs w:val="21"/>
          <w:highlight w:val="none"/>
        </w:rPr>
        <w:t>1</w:t>
      </w:r>
      <w:r>
        <w:rPr>
          <w:rFonts w:hint="eastAsia" w:ascii="宋体" w:hAnsi="宋体"/>
          <w:szCs w:val="21"/>
          <w:highlight w:val="none"/>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ind w:firstLine="411" w:firstLineChars="196"/>
        <w:rPr>
          <w:rFonts w:ascii="宋体" w:hAnsi="宋体"/>
          <w:szCs w:val="21"/>
          <w:highlight w:val="none"/>
        </w:rPr>
      </w:pPr>
      <w:r>
        <w:rPr>
          <w:rFonts w:hint="eastAsia" w:ascii="宋体" w:hAnsi="宋体"/>
          <w:szCs w:val="21"/>
          <w:highlight w:val="none"/>
        </w:rPr>
        <w:t>1</w:t>
      </w:r>
      <w:r>
        <w:rPr>
          <w:rFonts w:ascii="宋体" w:hAnsi="宋体"/>
          <w:szCs w:val="21"/>
          <w:highlight w:val="none"/>
        </w:rPr>
        <w:t>1</w:t>
      </w:r>
      <w:r>
        <w:rPr>
          <w:rFonts w:hint="eastAsia" w:ascii="宋体" w:hAnsi="宋体"/>
          <w:szCs w:val="21"/>
          <w:highlight w:val="none"/>
        </w:rPr>
        <w:t>.3</w:t>
      </w:r>
      <w:r>
        <w:rPr>
          <w:rFonts w:hint="eastAsia" w:ascii="宋体" w:hAnsi="宋体"/>
          <w:highlight w:val="none"/>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rPr>
          <w:rFonts w:ascii="黑体" w:hAnsi="宋体" w:eastAsia="黑体"/>
          <w:sz w:val="24"/>
          <w:highlight w:val="none"/>
        </w:rPr>
      </w:pPr>
      <w:r>
        <w:rPr>
          <w:rFonts w:hint="eastAsia" w:ascii="黑体" w:hAnsi="宋体" w:eastAsia="黑体"/>
          <w:sz w:val="24"/>
          <w:highlight w:val="none"/>
        </w:rPr>
        <w:t>1</w:t>
      </w:r>
      <w:r>
        <w:rPr>
          <w:rFonts w:ascii="黑体" w:hAnsi="宋体" w:eastAsia="黑体"/>
          <w:sz w:val="24"/>
          <w:highlight w:val="none"/>
        </w:rPr>
        <w:t>2</w:t>
      </w:r>
      <w:r>
        <w:rPr>
          <w:rFonts w:hint="eastAsia" w:ascii="黑体" w:hAnsi="宋体" w:eastAsia="黑体"/>
          <w:sz w:val="24"/>
          <w:highlight w:val="none"/>
        </w:rPr>
        <w:t>．招标文件的澄清</w:t>
      </w:r>
    </w:p>
    <w:p>
      <w:pPr>
        <w:ind w:firstLine="411" w:firstLineChars="196"/>
        <w:rPr>
          <w:rFonts w:ascii="宋体" w:hAnsi="宋体"/>
          <w:szCs w:val="21"/>
          <w:highlight w:val="none"/>
        </w:rPr>
      </w:pPr>
      <w:r>
        <w:rPr>
          <w:rFonts w:hint="eastAsia" w:ascii="宋体" w:hAnsi="宋体"/>
          <w:szCs w:val="21"/>
          <w:highlight w:val="none"/>
        </w:rPr>
        <w:t>1</w:t>
      </w:r>
      <w:r>
        <w:rPr>
          <w:rFonts w:ascii="宋体" w:hAnsi="宋体"/>
          <w:szCs w:val="21"/>
          <w:highlight w:val="none"/>
        </w:rPr>
        <w:t>2</w:t>
      </w:r>
      <w:r>
        <w:rPr>
          <w:rFonts w:hint="eastAsia" w:ascii="宋体" w:hAnsi="宋体"/>
          <w:szCs w:val="21"/>
          <w:highlight w:val="none"/>
        </w:rPr>
        <w:t>.1招标文件澄清的目的是澄清、解答投标人在查阅招标文件后或现场踏勘中可能提出的与投标有关的疑问或询问。</w:t>
      </w:r>
    </w:p>
    <w:p>
      <w:pPr>
        <w:ind w:firstLine="411" w:firstLineChars="196"/>
        <w:rPr>
          <w:rFonts w:ascii="宋体" w:hAnsi="宋体"/>
          <w:szCs w:val="21"/>
          <w:highlight w:val="none"/>
        </w:rPr>
      </w:pPr>
      <w:r>
        <w:rPr>
          <w:rFonts w:hint="eastAsia" w:ascii="宋体" w:hAnsi="宋体"/>
          <w:szCs w:val="21"/>
          <w:highlight w:val="none"/>
        </w:rPr>
        <w:t>1</w:t>
      </w:r>
      <w:r>
        <w:rPr>
          <w:rFonts w:ascii="宋体" w:hAnsi="宋体"/>
          <w:szCs w:val="21"/>
          <w:highlight w:val="none"/>
        </w:rPr>
        <w:t>2</w:t>
      </w:r>
      <w:r>
        <w:rPr>
          <w:rFonts w:hint="eastAsia" w:ascii="宋体" w:hAnsi="宋体"/>
          <w:szCs w:val="21"/>
          <w:highlight w:val="none"/>
        </w:rPr>
        <w:t>.2投标人如对招标文件内容有疑问，应当在招标公告规定的澄清（提问）截止时间前以网上提问的形式通过网上政府采购系统提交政府集中采购机构。</w:t>
      </w:r>
    </w:p>
    <w:p>
      <w:pPr>
        <w:ind w:firstLine="411" w:firstLineChars="196"/>
        <w:rPr>
          <w:rFonts w:ascii="宋体" w:hAnsi="宋体"/>
          <w:szCs w:val="21"/>
          <w:highlight w:val="none"/>
        </w:rPr>
      </w:pPr>
      <w:r>
        <w:rPr>
          <w:rFonts w:hint="eastAsia" w:ascii="宋体" w:hAnsi="宋体"/>
          <w:szCs w:val="21"/>
          <w:highlight w:val="none"/>
        </w:rPr>
        <w:t>1</w:t>
      </w:r>
      <w:r>
        <w:rPr>
          <w:rFonts w:ascii="宋体" w:hAnsi="宋体"/>
          <w:szCs w:val="21"/>
          <w:highlight w:val="none"/>
        </w:rPr>
        <w:t>2</w:t>
      </w:r>
      <w:r>
        <w:rPr>
          <w:rFonts w:hint="eastAsia" w:ascii="宋体" w:hAnsi="宋体"/>
          <w:szCs w:val="21"/>
          <w:highlight w:val="none"/>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highlight w:val="none"/>
        </w:rPr>
        <w:t>3.3</w:t>
      </w:r>
      <w:r>
        <w:rPr>
          <w:rFonts w:hint="eastAsia" w:ascii="宋体" w:hAnsi="宋体"/>
          <w:szCs w:val="21"/>
          <w:highlight w:val="none"/>
        </w:rPr>
        <w:t>、1</w:t>
      </w:r>
      <w:r>
        <w:rPr>
          <w:rFonts w:ascii="宋体" w:hAnsi="宋体"/>
          <w:szCs w:val="21"/>
          <w:highlight w:val="none"/>
        </w:rPr>
        <w:t>3.4</w:t>
      </w:r>
      <w:r>
        <w:rPr>
          <w:rFonts w:hint="eastAsia" w:ascii="宋体" w:hAnsi="宋体"/>
          <w:szCs w:val="21"/>
          <w:highlight w:val="none"/>
        </w:rPr>
        <w:t>款规定执行。</w:t>
      </w:r>
    </w:p>
    <w:p>
      <w:pPr>
        <w:rPr>
          <w:rFonts w:ascii="黑体" w:hAnsi="宋体" w:eastAsia="黑体"/>
          <w:sz w:val="24"/>
          <w:highlight w:val="none"/>
        </w:rPr>
      </w:pPr>
      <w:r>
        <w:rPr>
          <w:rFonts w:ascii="黑体" w:hAnsi="宋体" w:eastAsia="黑体"/>
          <w:sz w:val="24"/>
          <w:highlight w:val="none"/>
        </w:rPr>
        <w:t>1</w:t>
      </w:r>
      <w:r>
        <w:rPr>
          <w:rFonts w:hint="eastAsia" w:ascii="黑体" w:hAnsi="宋体" w:eastAsia="黑体"/>
          <w:sz w:val="24"/>
          <w:highlight w:val="none"/>
        </w:rPr>
        <w:t>3．招标文件的修改</w:t>
      </w:r>
    </w:p>
    <w:p>
      <w:pPr>
        <w:ind w:firstLine="411" w:firstLineChars="196"/>
        <w:rPr>
          <w:rFonts w:ascii="宋体" w:hAnsi="宋体"/>
          <w:szCs w:val="21"/>
          <w:highlight w:val="none"/>
        </w:rPr>
      </w:pPr>
      <w:r>
        <w:rPr>
          <w:rFonts w:ascii="宋体" w:hAnsi="宋体"/>
          <w:szCs w:val="21"/>
          <w:highlight w:val="none"/>
        </w:rPr>
        <w:t>1</w:t>
      </w:r>
      <w:r>
        <w:rPr>
          <w:rFonts w:hint="eastAsia" w:ascii="宋体" w:hAnsi="宋体"/>
          <w:szCs w:val="21"/>
          <w:highlight w:val="none"/>
        </w:rPr>
        <w:t>3.1招标文件发出后，在投标截止日期前任何时候，确需要变更招标文件内容的，政府集中采购机构可主动或在解答投标人提出的澄清问题时对招标文件进行修改。</w:t>
      </w:r>
    </w:p>
    <w:p>
      <w:pPr>
        <w:ind w:firstLine="411" w:firstLineChars="196"/>
        <w:rPr>
          <w:rFonts w:ascii="宋体" w:hAnsi="宋体"/>
          <w:szCs w:val="21"/>
          <w:highlight w:val="none"/>
        </w:rPr>
      </w:pPr>
      <w:r>
        <w:rPr>
          <w:rFonts w:ascii="宋体" w:hAnsi="宋体"/>
          <w:szCs w:val="21"/>
          <w:highlight w:val="none"/>
        </w:rPr>
        <w:t>1</w:t>
      </w:r>
      <w:r>
        <w:rPr>
          <w:rFonts w:hint="eastAsia" w:ascii="宋体" w:hAnsi="宋体"/>
          <w:szCs w:val="21"/>
          <w:highlight w:val="none"/>
        </w:rPr>
        <w:t>3.2招标文件的修改以书面形式（包括政府集中采购机构网站发布方式，如更正公告等）发送给所有投标人，招标文件的修改内容作为招标文件的组成部分，并具有约束力。</w:t>
      </w:r>
    </w:p>
    <w:p>
      <w:pPr>
        <w:ind w:firstLine="411" w:firstLineChars="196"/>
        <w:rPr>
          <w:rFonts w:ascii="宋体" w:hAnsi="宋体"/>
          <w:szCs w:val="21"/>
          <w:highlight w:val="none"/>
        </w:rPr>
      </w:pPr>
      <w:r>
        <w:rPr>
          <w:rFonts w:ascii="宋体" w:hAnsi="宋体"/>
          <w:szCs w:val="21"/>
          <w:highlight w:val="none"/>
        </w:rPr>
        <w:t>1</w:t>
      </w:r>
      <w:r>
        <w:rPr>
          <w:rFonts w:hint="eastAsia" w:ascii="宋体" w:hAnsi="宋体"/>
          <w:szCs w:val="21"/>
          <w:highlight w:val="none"/>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ind w:firstLine="411" w:firstLineChars="196"/>
        <w:rPr>
          <w:rFonts w:ascii="宋体" w:hAnsi="宋体"/>
          <w:szCs w:val="21"/>
          <w:highlight w:val="none"/>
        </w:rPr>
      </w:pPr>
      <w:r>
        <w:rPr>
          <w:rFonts w:ascii="宋体" w:hAnsi="宋体"/>
          <w:szCs w:val="21"/>
          <w:highlight w:val="none"/>
        </w:rPr>
        <w:t>1</w:t>
      </w:r>
      <w:r>
        <w:rPr>
          <w:rFonts w:hint="eastAsia" w:ascii="宋体" w:hAnsi="宋体"/>
          <w:szCs w:val="21"/>
          <w:highlight w:val="none"/>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51"/>
    </w:p>
    <w:p>
      <w:pPr>
        <w:rPr>
          <w:rFonts w:ascii="宋体" w:hAnsi="宋体"/>
          <w:szCs w:val="21"/>
          <w:highlight w:val="none"/>
        </w:rPr>
      </w:pPr>
    </w:p>
    <w:p>
      <w:pPr>
        <w:pStyle w:val="7"/>
        <w:numPr>
          <w:ilvl w:val="0"/>
          <w:numId w:val="14"/>
        </w:numPr>
        <w:spacing w:before="120" w:beforeLines="50" w:after="120" w:afterLines="50"/>
        <w:ind w:left="562" w:hanging="562"/>
        <w:rPr>
          <w:sz w:val="28"/>
          <w:szCs w:val="28"/>
          <w:highlight w:val="none"/>
        </w:rPr>
      </w:pPr>
      <w:r>
        <w:rPr>
          <w:rFonts w:hint="eastAsia"/>
          <w:sz w:val="28"/>
          <w:szCs w:val="28"/>
          <w:highlight w:val="none"/>
        </w:rPr>
        <w:t>投标文件的编制</w:t>
      </w:r>
    </w:p>
    <w:p>
      <w:pPr>
        <w:rPr>
          <w:rFonts w:ascii="黑体" w:hAnsi="宋体" w:eastAsia="黑体"/>
          <w:sz w:val="24"/>
          <w:highlight w:val="none"/>
        </w:rPr>
      </w:pPr>
      <w:r>
        <w:rPr>
          <w:rFonts w:hint="eastAsia" w:ascii="黑体" w:hAnsi="宋体" w:eastAsia="黑体"/>
          <w:sz w:val="24"/>
          <w:highlight w:val="none"/>
        </w:rPr>
        <w:t>14．</w:t>
      </w:r>
      <w:bookmarkStart w:id="52" w:name="_Hlk72400236"/>
      <w:r>
        <w:rPr>
          <w:rFonts w:hint="eastAsia" w:ascii="黑体" w:hAnsi="宋体" w:eastAsia="黑体"/>
          <w:sz w:val="24"/>
          <w:highlight w:val="none"/>
        </w:rPr>
        <w:t>投标文件的语言及度量单位</w:t>
      </w:r>
    </w:p>
    <w:p>
      <w:pPr>
        <w:ind w:firstLine="411" w:firstLineChars="196"/>
        <w:rPr>
          <w:rFonts w:ascii="宋体" w:hAnsi="宋体"/>
          <w:szCs w:val="21"/>
          <w:highlight w:val="none"/>
        </w:rPr>
      </w:pPr>
      <w:r>
        <w:rPr>
          <w:rFonts w:hint="eastAsia" w:ascii="宋体" w:hAnsi="宋体"/>
          <w:szCs w:val="21"/>
          <w:highlight w:val="none"/>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w:t>
      </w:r>
    </w:p>
    <w:p>
      <w:pPr>
        <w:ind w:firstLine="411" w:firstLineChars="196"/>
        <w:rPr>
          <w:rFonts w:ascii="宋体" w:hAnsi="宋体"/>
          <w:szCs w:val="21"/>
          <w:highlight w:val="none"/>
        </w:rPr>
      </w:pPr>
      <w:r>
        <w:rPr>
          <w:rFonts w:hint="eastAsia" w:ascii="宋体" w:hAnsi="宋体"/>
          <w:szCs w:val="21"/>
          <w:highlight w:val="none"/>
        </w:rPr>
        <w:t>14.2 除技术规范另有规定外，投标文件使用的度量单位，均采用中华人民共和国法定计量单位。</w:t>
      </w:r>
    </w:p>
    <w:bookmarkEnd w:id="52"/>
    <w:p>
      <w:pPr>
        <w:rPr>
          <w:rFonts w:ascii="黑体" w:hAnsi="宋体" w:eastAsia="黑体"/>
          <w:sz w:val="24"/>
          <w:highlight w:val="none"/>
        </w:rPr>
      </w:pPr>
      <w:r>
        <w:rPr>
          <w:rFonts w:hint="eastAsia" w:ascii="黑体" w:hAnsi="宋体" w:eastAsia="黑体"/>
          <w:sz w:val="24"/>
          <w:highlight w:val="none"/>
        </w:rPr>
        <w:t>15．</w:t>
      </w:r>
      <w:bookmarkStart w:id="53" w:name="_Hlk72401567"/>
      <w:r>
        <w:rPr>
          <w:rFonts w:hint="eastAsia" w:ascii="黑体" w:hAnsi="宋体" w:eastAsia="黑体"/>
          <w:sz w:val="24"/>
          <w:highlight w:val="none"/>
        </w:rPr>
        <w:t>投标文件的组成</w:t>
      </w:r>
    </w:p>
    <w:p>
      <w:pPr>
        <w:ind w:firstLine="411" w:firstLineChars="196"/>
        <w:rPr>
          <w:rFonts w:ascii="宋体" w:hAnsi="宋体"/>
          <w:szCs w:val="21"/>
          <w:highlight w:val="none"/>
        </w:rPr>
      </w:pPr>
      <w:r>
        <w:rPr>
          <w:rFonts w:hint="eastAsia" w:ascii="宋体" w:hAnsi="宋体"/>
          <w:szCs w:val="21"/>
          <w:highlight w:val="none"/>
        </w:rPr>
        <w:t>具体内容在招标文件专用条款中进行规定。</w:t>
      </w:r>
    </w:p>
    <w:p>
      <w:pPr>
        <w:rPr>
          <w:rFonts w:ascii="黑体" w:hAnsi="宋体" w:eastAsia="黑体"/>
          <w:sz w:val="24"/>
          <w:highlight w:val="none"/>
        </w:rPr>
      </w:pPr>
      <w:r>
        <w:rPr>
          <w:rFonts w:ascii="黑体" w:hAnsi="宋体" w:eastAsia="黑体"/>
          <w:sz w:val="24"/>
          <w:highlight w:val="none"/>
        </w:rPr>
        <w:t>16．投标文件格式</w:t>
      </w:r>
    </w:p>
    <w:p>
      <w:pPr>
        <w:ind w:firstLine="411" w:firstLineChars="196"/>
        <w:rPr>
          <w:rFonts w:ascii="宋体" w:hAnsi="宋体"/>
          <w:szCs w:val="21"/>
          <w:highlight w:val="none"/>
        </w:rPr>
      </w:pPr>
      <w:r>
        <w:rPr>
          <w:rFonts w:hint="eastAsia" w:ascii="宋体" w:hAnsi="宋体"/>
          <w:szCs w:val="21"/>
          <w:highlight w:val="none"/>
        </w:rPr>
        <w:t>投标文件包括本通用条款第</w:t>
      </w:r>
      <w:r>
        <w:rPr>
          <w:rFonts w:ascii="宋体" w:hAnsi="宋体"/>
          <w:szCs w:val="21"/>
          <w:highlight w:val="none"/>
        </w:rPr>
        <w:t>15条中规定的内容。如招标文件提供了投标文件格式，则</w:t>
      </w:r>
      <w:r>
        <w:rPr>
          <w:rFonts w:hint="eastAsia" w:ascii="宋体" w:hAnsi="宋体"/>
          <w:b/>
          <w:bCs/>
          <w:szCs w:val="21"/>
          <w:highlight w:val="none"/>
        </w:rPr>
        <w:t>投标人提交的投标文件应毫无例外地使用招标文件所提供的相应格式</w:t>
      </w:r>
      <w:r>
        <w:rPr>
          <w:rFonts w:hint="eastAsia" w:ascii="宋体" w:hAnsi="宋体"/>
          <w:szCs w:val="21"/>
          <w:highlight w:val="none"/>
        </w:rPr>
        <w:t>（表格均可按同样格式扩展）。</w:t>
      </w:r>
    </w:p>
    <w:p>
      <w:pPr>
        <w:rPr>
          <w:rFonts w:ascii="黑体" w:hAnsi="宋体" w:eastAsia="黑体"/>
          <w:sz w:val="24"/>
          <w:highlight w:val="none"/>
        </w:rPr>
      </w:pPr>
      <w:r>
        <w:rPr>
          <w:rFonts w:hint="eastAsia" w:ascii="黑体" w:hAnsi="宋体" w:eastAsia="黑体"/>
          <w:sz w:val="24"/>
          <w:highlight w:val="none"/>
        </w:rPr>
        <w:t>17．投标货币</w:t>
      </w:r>
    </w:p>
    <w:p>
      <w:pPr>
        <w:ind w:firstLine="411" w:firstLineChars="196"/>
        <w:rPr>
          <w:rFonts w:ascii="宋体" w:hAnsi="宋体"/>
          <w:szCs w:val="21"/>
          <w:highlight w:val="none"/>
        </w:rPr>
      </w:pPr>
      <w:r>
        <w:rPr>
          <w:rFonts w:hint="eastAsia" w:ascii="宋体" w:hAnsi="宋体"/>
          <w:szCs w:val="21"/>
          <w:highlight w:val="none"/>
        </w:rPr>
        <w:t>本项目的投标报价应以人民币计。</w:t>
      </w:r>
    </w:p>
    <w:bookmarkEnd w:id="53"/>
    <w:p>
      <w:pPr>
        <w:rPr>
          <w:rFonts w:ascii="黑体" w:hAnsi="宋体" w:eastAsia="黑体"/>
          <w:sz w:val="24"/>
          <w:highlight w:val="none"/>
        </w:rPr>
      </w:pPr>
      <w:r>
        <w:rPr>
          <w:rFonts w:hint="eastAsia" w:ascii="黑体" w:hAnsi="宋体" w:eastAsia="黑体"/>
          <w:sz w:val="24"/>
          <w:highlight w:val="none"/>
        </w:rPr>
        <w:t>18．</w:t>
      </w:r>
      <w:bookmarkStart w:id="54" w:name="_Hlk72401735"/>
      <w:r>
        <w:rPr>
          <w:rFonts w:hint="eastAsia" w:ascii="黑体" w:hAnsi="宋体" w:eastAsia="黑体"/>
          <w:sz w:val="24"/>
          <w:highlight w:val="none"/>
        </w:rPr>
        <w:t>证明投标文件投标技术方案的合格性和符合招标文件规定的文件要求</w:t>
      </w:r>
    </w:p>
    <w:p>
      <w:pPr>
        <w:ind w:firstLine="411" w:firstLineChars="196"/>
        <w:rPr>
          <w:rFonts w:ascii="宋体" w:hAnsi="宋体"/>
          <w:szCs w:val="21"/>
          <w:highlight w:val="none"/>
        </w:rPr>
      </w:pPr>
      <w:r>
        <w:rPr>
          <w:rFonts w:hint="eastAsia" w:ascii="宋体" w:hAnsi="宋体"/>
          <w:szCs w:val="21"/>
          <w:highlight w:val="none"/>
        </w:rPr>
        <w:t>18</w:t>
      </w:r>
      <w:r>
        <w:rPr>
          <w:rFonts w:ascii="宋体" w:hAnsi="宋体"/>
          <w:szCs w:val="21"/>
          <w:highlight w:val="none"/>
        </w:rPr>
        <w:t xml:space="preserve">.1 </w:t>
      </w:r>
      <w:r>
        <w:rPr>
          <w:rFonts w:hint="eastAsia" w:ascii="宋体" w:hAnsi="宋体"/>
          <w:szCs w:val="21"/>
          <w:highlight w:val="none"/>
        </w:rPr>
        <w:t>投标人应提交证明文件，证明其投标技术方案项下的货物和服务的合格性符合招标文件规定。该投标技术方案及其证明文件均作为投标文件组成部分。</w:t>
      </w:r>
    </w:p>
    <w:p>
      <w:pPr>
        <w:ind w:firstLine="411" w:firstLineChars="196"/>
        <w:rPr>
          <w:rFonts w:ascii="宋体" w:hAnsi="宋体"/>
          <w:szCs w:val="21"/>
          <w:highlight w:val="none"/>
        </w:rPr>
      </w:pPr>
      <w:r>
        <w:rPr>
          <w:rFonts w:ascii="宋体" w:hAnsi="宋体"/>
          <w:szCs w:val="21"/>
          <w:highlight w:val="none"/>
        </w:rPr>
        <w:t>1</w:t>
      </w:r>
      <w:r>
        <w:rPr>
          <w:rFonts w:hint="eastAsia" w:ascii="宋体" w:hAnsi="宋体"/>
          <w:szCs w:val="21"/>
          <w:highlight w:val="none"/>
        </w:rPr>
        <w:t>8</w:t>
      </w:r>
      <w:r>
        <w:rPr>
          <w:rFonts w:ascii="宋体" w:hAnsi="宋体"/>
          <w:szCs w:val="21"/>
          <w:highlight w:val="none"/>
        </w:rPr>
        <w:t xml:space="preserve">.2 </w:t>
      </w:r>
      <w:r>
        <w:rPr>
          <w:rFonts w:hint="eastAsia" w:ascii="宋体" w:hAnsi="宋体"/>
          <w:szCs w:val="21"/>
          <w:highlight w:val="none"/>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11" w:firstLineChars="196"/>
        <w:rPr>
          <w:rFonts w:ascii="宋体" w:hAnsi="宋体"/>
          <w:szCs w:val="21"/>
          <w:highlight w:val="none"/>
        </w:rPr>
      </w:pPr>
      <w:r>
        <w:rPr>
          <w:rFonts w:hint="eastAsia" w:ascii="宋体" w:hAnsi="宋体"/>
          <w:szCs w:val="21"/>
          <w:highlight w:val="none"/>
        </w:rPr>
        <w:t>18.2.1主要技术指标和性能的详细说明。</w:t>
      </w:r>
    </w:p>
    <w:p>
      <w:pPr>
        <w:ind w:firstLine="411" w:firstLineChars="196"/>
        <w:rPr>
          <w:rFonts w:ascii="宋体" w:hAnsi="宋体"/>
          <w:szCs w:val="21"/>
          <w:highlight w:val="none"/>
        </w:rPr>
      </w:pPr>
      <w:r>
        <w:rPr>
          <w:rFonts w:hint="eastAsia" w:ascii="宋体" w:hAnsi="宋体"/>
          <w:szCs w:val="21"/>
          <w:highlight w:val="none"/>
        </w:rPr>
        <w:t>18.2.</w:t>
      </w:r>
      <w:r>
        <w:rPr>
          <w:rFonts w:ascii="宋体" w:hAnsi="宋体"/>
          <w:szCs w:val="21"/>
          <w:highlight w:val="none"/>
        </w:rPr>
        <w:t>2</w:t>
      </w:r>
      <w:r>
        <w:rPr>
          <w:rFonts w:hint="eastAsia" w:ascii="宋体" w:hAnsi="宋体"/>
          <w:szCs w:val="21"/>
          <w:highlight w:val="none"/>
        </w:rPr>
        <w:t>投标产品从采购人开始使用至招标文件中规定的周期内正常、连续地使用所必须的备件和专用工具清单，包括备件和专用工具的货源及现行价格。</w:t>
      </w:r>
    </w:p>
    <w:p>
      <w:pPr>
        <w:ind w:firstLine="411" w:firstLineChars="196"/>
        <w:rPr>
          <w:rFonts w:ascii="宋体" w:hAnsi="宋体"/>
          <w:szCs w:val="21"/>
          <w:highlight w:val="none"/>
        </w:rPr>
      </w:pPr>
      <w:r>
        <w:rPr>
          <w:rFonts w:hint="eastAsia" w:ascii="宋体" w:hAnsi="宋体"/>
          <w:szCs w:val="21"/>
          <w:highlight w:val="none"/>
        </w:rPr>
        <w:t>18.2.</w:t>
      </w:r>
      <w:r>
        <w:rPr>
          <w:rFonts w:ascii="宋体" w:hAnsi="宋体"/>
          <w:szCs w:val="21"/>
          <w:highlight w:val="none"/>
        </w:rPr>
        <w:t>3</w:t>
      </w:r>
      <w:r>
        <w:rPr>
          <w:rFonts w:hint="eastAsia" w:ascii="宋体" w:hAnsi="宋体"/>
          <w:szCs w:val="21"/>
          <w:highlight w:val="none"/>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ind w:firstLine="411" w:firstLineChars="196"/>
        <w:rPr>
          <w:rFonts w:ascii="宋体" w:hAnsi="宋体"/>
          <w:szCs w:val="21"/>
          <w:highlight w:val="none"/>
        </w:rPr>
      </w:pPr>
      <w:r>
        <w:rPr>
          <w:rFonts w:hint="eastAsia" w:ascii="宋体" w:hAnsi="宋体"/>
          <w:szCs w:val="21"/>
          <w:highlight w:val="none"/>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highlight w:val="none"/>
        </w:rPr>
        <w:t>清晰度要求能够使用电脑阅读、识别和判断</w:t>
      </w:r>
      <w:r>
        <w:rPr>
          <w:rFonts w:hint="eastAsia" w:ascii="宋体" w:hAnsi="宋体"/>
          <w:szCs w:val="21"/>
          <w:highlight w:val="none"/>
        </w:rPr>
        <w:t>；</w:t>
      </w:r>
    </w:p>
    <w:p>
      <w:pPr>
        <w:ind w:firstLine="411" w:firstLineChars="196"/>
        <w:rPr>
          <w:rFonts w:ascii="宋体" w:hAnsi="宋体"/>
          <w:szCs w:val="21"/>
          <w:highlight w:val="none"/>
        </w:rPr>
      </w:pPr>
      <w:r>
        <w:rPr>
          <w:rFonts w:hint="eastAsia" w:ascii="宋体" w:hAnsi="宋体"/>
          <w:szCs w:val="21"/>
          <w:highlight w:val="none"/>
        </w:rPr>
        <w:t>18.2.5我国政府机构出具的产品检验和核准证件应为证件正面、背面和附件标注的全部具体内容；产品检验和核准证件的尺寸和清晰度应该能够在电脑上被阅读、识别和判断，提供原件扫描件。</w:t>
      </w:r>
    </w:p>
    <w:p>
      <w:pPr>
        <w:ind w:firstLine="411" w:firstLineChars="196"/>
        <w:rPr>
          <w:rFonts w:ascii="宋体" w:hAnsi="宋体"/>
          <w:szCs w:val="21"/>
          <w:highlight w:val="none"/>
        </w:rPr>
      </w:pPr>
      <w:r>
        <w:rPr>
          <w:rFonts w:hint="eastAsia" w:ascii="宋体" w:hAnsi="宋体"/>
          <w:szCs w:val="21"/>
          <w:highlight w:val="none"/>
        </w:rPr>
        <w:t>18.3相关资料不符合18.2款要求的，评审委员会有权认定为投标技术方案不合格响应，其相关分数予以扣减或作投标无效处理。</w:t>
      </w:r>
    </w:p>
    <w:p>
      <w:pPr>
        <w:ind w:firstLine="411" w:firstLineChars="196"/>
        <w:rPr>
          <w:rFonts w:ascii="宋体" w:hAnsi="宋体"/>
          <w:szCs w:val="21"/>
          <w:highlight w:val="none"/>
        </w:rPr>
      </w:pPr>
      <w:r>
        <w:rPr>
          <w:rFonts w:ascii="宋体" w:hAnsi="宋体"/>
          <w:szCs w:val="21"/>
          <w:highlight w:val="none"/>
        </w:rPr>
        <w:t>1</w:t>
      </w:r>
      <w:r>
        <w:rPr>
          <w:rFonts w:hint="eastAsia" w:ascii="宋体" w:hAnsi="宋体"/>
          <w:szCs w:val="21"/>
          <w:highlight w:val="none"/>
        </w:rPr>
        <w:t>8</w:t>
      </w:r>
      <w:r>
        <w:rPr>
          <w:rFonts w:ascii="宋体" w:hAnsi="宋体"/>
          <w:szCs w:val="21"/>
          <w:highlight w:val="none"/>
        </w:rPr>
        <w:t>.</w:t>
      </w:r>
      <w:r>
        <w:rPr>
          <w:rFonts w:hint="eastAsia" w:ascii="宋体" w:hAnsi="宋体"/>
          <w:szCs w:val="21"/>
          <w:highlight w:val="none"/>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highlight w:val="none"/>
        </w:rPr>
        <w:t>满足要求</w:t>
      </w:r>
      <w:r>
        <w:rPr>
          <w:rFonts w:hint="eastAsia" w:ascii="宋体" w:hAnsi="宋体"/>
          <w:szCs w:val="21"/>
          <w:highlight w:val="none"/>
        </w:rPr>
        <w:t>，由评审委员会来评判。</w:t>
      </w:r>
    </w:p>
    <w:p>
      <w:pPr>
        <w:ind w:firstLine="411" w:firstLineChars="196"/>
        <w:rPr>
          <w:rFonts w:ascii="宋体" w:hAnsi="宋体"/>
          <w:szCs w:val="21"/>
          <w:highlight w:val="none"/>
        </w:rPr>
      </w:pPr>
      <w:r>
        <w:rPr>
          <w:rFonts w:hint="eastAsia" w:ascii="宋体" w:hAnsi="宋体"/>
          <w:szCs w:val="21"/>
          <w:highlight w:val="none"/>
        </w:rPr>
        <w:t>18.5除非另有规定或说明，投标人对同一项目投标时，不得同时提供两套或两套以上的投标方案。</w:t>
      </w:r>
    </w:p>
    <w:bookmarkEnd w:id="54"/>
    <w:p>
      <w:pPr>
        <w:rPr>
          <w:rFonts w:ascii="黑体" w:hAnsi="宋体" w:eastAsia="黑体"/>
          <w:sz w:val="24"/>
          <w:highlight w:val="none"/>
        </w:rPr>
      </w:pPr>
      <w:r>
        <w:rPr>
          <w:rFonts w:hint="eastAsia" w:ascii="黑体" w:hAnsi="宋体" w:eastAsia="黑体"/>
          <w:sz w:val="24"/>
          <w:highlight w:val="none"/>
        </w:rPr>
        <w:t>19．</w:t>
      </w:r>
      <w:bookmarkStart w:id="55" w:name="_Hlk72402034"/>
      <w:r>
        <w:rPr>
          <w:rFonts w:hint="eastAsia" w:ascii="黑体" w:hAnsi="宋体" w:eastAsia="黑体"/>
          <w:sz w:val="24"/>
          <w:highlight w:val="none"/>
        </w:rPr>
        <w:t>投标文件其他证明文件的要求</w:t>
      </w:r>
    </w:p>
    <w:p>
      <w:pPr>
        <w:rPr>
          <w:rFonts w:ascii="宋体" w:hAnsi="宋体"/>
          <w:color w:val="FF0000"/>
          <w:szCs w:val="21"/>
          <w:highlight w:val="none"/>
        </w:rPr>
      </w:pPr>
      <w:r>
        <w:rPr>
          <w:rFonts w:hint="eastAsia" w:ascii="黑体" w:hAnsi="宋体" w:eastAsia="黑体"/>
          <w:sz w:val="24"/>
          <w:highlight w:val="none"/>
        </w:rPr>
        <w:t xml:space="preserve">    </w:t>
      </w:r>
      <w:r>
        <w:rPr>
          <w:rFonts w:hint="eastAsia" w:ascii="宋体" w:hAnsi="宋体"/>
          <w:szCs w:val="21"/>
          <w:highlight w:val="none"/>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w:t>
      </w:r>
      <w:bookmarkStart w:id="56" w:name="_Hlk71407299"/>
      <w:r>
        <w:rPr>
          <w:rFonts w:hint="eastAsia" w:ascii="宋体" w:hAnsi="宋体"/>
          <w:szCs w:val="21"/>
          <w:highlight w:val="none"/>
        </w:rPr>
        <w:t>若投标人未按要求提供证明材料或提供的是部分证明材料或提供不清晰的扫描件（或照片）的，采购人</w:t>
      </w:r>
      <w:r>
        <w:rPr>
          <w:rFonts w:hint="eastAsia" w:ascii="宋体" w:hAnsi="宋体"/>
          <w:szCs w:val="21"/>
          <w:highlight w:val="none"/>
          <w:lang w:eastAsia="zh-CN"/>
        </w:rPr>
        <w:t>、</w:t>
      </w:r>
      <w:r>
        <w:rPr>
          <w:rFonts w:hint="eastAsia" w:ascii="宋体" w:hAnsi="宋体"/>
          <w:szCs w:val="21"/>
          <w:highlight w:val="none"/>
        </w:rPr>
        <w:t>代理机构</w:t>
      </w:r>
      <w:r>
        <w:rPr>
          <w:rFonts w:hint="eastAsia" w:ascii="宋体" w:hAnsi="宋体"/>
          <w:szCs w:val="21"/>
          <w:highlight w:val="none"/>
          <w:lang w:val="en-US" w:eastAsia="zh-CN"/>
        </w:rPr>
        <w:t>以及</w:t>
      </w:r>
      <w:r>
        <w:rPr>
          <w:rFonts w:hint="eastAsia" w:ascii="宋体" w:hAnsi="宋体"/>
          <w:szCs w:val="21"/>
          <w:highlight w:val="none"/>
        </w:rPr>
        <w:t>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56"/>
    <w:p>
      <w:pPr>
        <w:ind w:firstLine="411" w:firstLineChars="196"/>
        <w:rPr>
          <w:rFonts w:ascii="宋体" w:hAnsi="宋体"/>
          <w:szCs w:val="21"/>
          <w:highlight w:val="none"/>
        </w:rPr>
      </w:pPr>
      <w:r>
        <w:rPr>
          <w:rFonts w:hint="eastAsia" w:ascii="宋体" w:hAnsi="宋体"/>
          <w:szCs w:val="21"/>
          <w:highlight w:val="none"/>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rPr>
          <w:rFonts w:ascii="黑体" w:hAnsi="宋体" w:eastAsia="黑体"/>
          <w:sz w:val="24"/>
          <w:highlight w:val="none"/>
        </w:rPr>
      </w:pPr>
      <w:r>
        <w:rPr>
          <w:rFonts w:hint="eastAsia" w:ascii="黑体" w:hAnsi="宋体" w:eastAsia="黑体"/>
          <w:sz w:val="24"/>
          <w:highlight w:val="none"/>
        </w:rPr>
        <w:t>20．投标有效期</w:t>
      </w:r>
    </w:p>
    <w:bookmarkEnd w:id="55"/>
    <w:p>
      <w:pPr>
        <w:ind w:firstLine="411" w:firstLineChars="196"/>
        <w:rPr>
          <w:rFonts w:ascii="宋体" w:hAnsi="宋体"/>
          <w:szCs w:val="21"/>
          <w:highlight w:val="none"/>
        </w:rPr>
      </w:pPr>
      <w:bookmarkStart w:id="57" w:name="_Hlk72402214"/>
      <w:r>
        <w:rPr>
          <w:rFonts w:hint="eastAsia" w:ascii="宋体" w:hAnsi="宋体"/>
          <w:szCs w:val="21"/>
          <w:highlight w:val="none"/>
        </w:rPr>
        <w:t>20.1 投标有效期为</w:t>
      </w:r>
      <w:r>
        <w:rPr>
          <w:rFonts w:hint="eastAsia" w:ascii="Arial" w:hAnsi="Arial" w:cs="Arial"/>
          <w:szCs w:val="21"/>
          <w:highlight w:val="none"/>
        </w:rPr>
        <w:t>从投标截止之日算起的日历天数。</w:t>
      </w:r>
      <w:r>
        <w:rPr>
          <w:rFonts w:hint="eastAsia" w:ascii="宋体" w:hAnsi="宋体"/>
          <w:szCs w:val="21"/>
          <w:highlight w:val="none"/>
        </w:rPr>
        <w:t>在此期限内，所有投标文件均保持有效。</w:t>
      </w:r>
    </w:p>
    <w:p>
      <w:pPr>
        <w:ind w:firstLine="411" w:firstLineChars="196"/>
        <w:rPr>
          <w:rFonts w:ascii="宋体" w:hAnsi="宋体"/>
          <w:szCs w:val="21"/>
          <w:highlight w:val="none"/>
        </w:rPr>
      </w:pPr>
      <w:r>
        <w:rPr>
          <w:rFonts w:hint="eastAsia" w:ascii="宋体" w:hAnsi="宋体"/>
          <w:szCs w:val="21"/>
          <w:highlight w:val="none"/>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ind w:firstLine="411" w:firstLineChars="196"/>
        <w:rPr>
          <w:rFonts w:ascii="宋体" w:hAnsi="宋体"/>
          <w:szCs w:val="21"/>
          <w:highlight w:val="none"/>
        </w:rPr>
      </w:pPr>
      <w:r>
        <w:rPr>
          <w:rFonts w:hint="eastAsia" w:ascii="宋体" w:hAnsi="宋体"/>
          <w:szCs w:val="21"/>
          <w:highlight w:val="none"/>
        </w:rPr>
        <w:t>20</w:t>
      </w:r>
      <w:r>
        <w:rPr>
          <w:rFonts w:ascii="宋体" w:hAnsi="宋体"/>
          <w:szCs w:val="21"/>
          <w:highlight w:val="none"/>
        </w:rPr>
        <w:t>.3</w:t>
      </w:r>
      <w:r>
        <w:rPr>
          <w:rFonts w:hint="eastAsia" w:ascii="宋体" w:hAnsi="宋体"/>
          <w:szCs w:val="21"/>
          <w:highlight w:val="none"/>
        </w:rPr>
        <w:t xml:space="preserve"> 中标供应商的投标文件有效期，截止于完成本招标文件规定的全部项目内容，并通过竣工验收及保修期结束。</w:t>
      </w:r>
    </w:p>
    <w:bookmarkEnd w:id="57"/>
    <w:p>
      <w:pPr>
        <w:rPr>
          <w:rFonts w:ascii="黑体" w:hAnsi="宋体" w:eastAsia="黑体"/>
          <w:sz w:val="24"/>
          <w:highlight w:val="none"/>
        </w:rPr>
      </w:pPr>
      <w:r>
        <w:rPr>
          <w:rFonts w:hint="eastAsia" w:ascii="黑体" w:hAnsi="宋体" w:eastAsia="黑体"/>
          <w:sz w:val="24"/>
          <w:highlight w:val="none"/>
        </w:rPr>
        <w:t>21．</w:t>
      </w:r>
      <w:bookmarkStart w:id="58" w:name="_Hlk72402325"/>
      <w:r>
        <w:rPr>
          <w:rFonts w:hint="eastAsia" w:ascii="黑体" w:hAnsi="宋体" w:eastAsia="黑体"/>
          <w:sz w:val="24"/>
          <w:highlight w:val="none"/>
        </w:rPr>
        <w:t xml:space="preserve">关于投标保证金 </w:t>
      </w:r>
    </w:p>
    <w:p>
      <w:pPr>
        <w:rPr>
          <w:rFonts w:ascii="宋体" w:hAnsi="宋体"/>
          <w:szCs w:val="21"/>
          <w:highlight w:val="none"/>
        </w:rPr>
      </w:pPr>
      <w:r>
        <w:rPr>
          <w:rFonts w:hint="eastAsia" w:ascii="宋体" w:hAnsi="宋体"/>
          <w:szCs w:val="21"/>
          <w:highlight w:val="none"/>
        </w:rPr>
        <w:t xml:space="preserve">    21.1 </w:t>
      </w:r>
      <w:r>
        <w:rPr>
          <w:rFonts w:hint="eastAsia"/>
          <w:highlight w:val="none"/>
        </w:rPr>
        <w:t>根据《深圳市财政局关于调整政府采购投标（响应）保证金管理政策的通知》（深财购〔2021〕51号）文的规定，本项目不收取投标保证金。</w:t>
      </w:r>
    </w:p>
    <w:p>
      <w:pPr>
        <w:rPr>
          <w:rFonts w:ascii="黑体" w:hAnsi="宋体" w:eastAsia="黑体"/>
          <w:sz w:val="24"/>
          <w:highlight w:val="none"/>
        </w:rPr>
      </w:pPr>
      <w:r>
        <w:rPr>
          <w:rFonts w:hint="eastAsia" w:ascii="黑体" w:hAnsi="宋体" w:eastAsia="黑体"/>
          <w:sz w:val="24"/>
          <w:highlight w:val="none"/>
        </w:rPr>
        <w:t>22．投标人的替代方案</w:t>
      </w:r>
    </w:p>
    <w:p>
      <w:pPr>
        <w:ind w:firstLine="411" w:firstLineChars="196"/>
        <w:rPr>
          <w:rFonts w:ascii="宋体" w:hAnsi="宋体"/>
          <w:szCs w:val="21"/>
          <w:highlight w:val="none"/>
        </w:rPr>
      </w:pPr>
      <w:r>
        <w:rPr>
          <w:rFonts w:hint="eastAsia" w:ascii="宋体" w:hAnsi="宋体"/>
          <w:szCs w:val="21"/>
          <w:highlight w:val="none"/>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ind w:firstLine="411" w:firstLineChars="196"/>
        <w:rPr>
          <w:rFonts w:ascii="宋体" w:hAnsi="宋体"/>
          <w:szCs w:val="21"/>
          <w:highlight w:val="none"/>
        </w:rPr>
      </w:pPr>
      <w:r>
        <w:rPr>
          <w:rFonts w:hint="eastAsia" w:ascii="宋体" w:hAnsi="宋体"/>
          <w:szCs w:val="21"/>
          <w:highlight w:val="none"/>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58"/>
    <w:p>
      <w:pPr>
        <w:rPr>
          <w:rFonts w:ascii="黑体" w:hAnsi="宋体" w:eastAsia="黑体"/>
          <w:sz w:val="24"/>
          <w:highlight w:val="none"/>
        </w:rPr>
      </w:pPr>
      <w:r>
        <w:rPr>
          <w:rFonts w:hint="eastAsia" w:ascii="黑体" w:hAnsi="宋体" w:eastAsia="黑体"/>
          <w:sz w:val="24"/>
          <w:highlight w:val="none"/>
        </w:rPr>
        <w:t>23．</w:t>
      </w:r>
      <w:bookmarkStart w:id="59" w:name="_Hlk72402860"/>
      <w:r>
        <w:rPr>
          <w:rFonts w:ascii="黑体" w:hAnsi="宋体" w:eastAsia="黑体"/>
          <w:sz w:val="24"/>
          <w:highlight w:val="none"/>
        </w:rPr>
        <w:t>投标文件的</w:t>
      </w:r>
      <w:r>
        <w:rPr>
          <w:rFonts w:hint="eastAsia" w:ascii="黑体" w:hAnsi="宋体" w:eastAsia="黑体"/>
          <w:sz w:val="24"/>
          <w:highlight w:val="none"/>
        </w:rPr>
        <w:t>制作</w:t>
      </w:r>
      <w:r>
        <w:rPr>
          <w:rFonts w:ascii="黑体" w:hAnsi="宋体" w:eastAsia="黑体"/>
          <w:sz w:val="24"/>
          <w:highlight w:val="none"/>
        </w:rPr>
        <w:t>要求</w:t>
      </w:r>
    </w:p>
    <w:p>
      <w:pPr>
        <w:ind w:firstLine="411" w:firstLineChars="196"/>
        <w:rPr>
          <w:rFonts w:hint="eastAsia" w:ascii="宋体" w:hAnsi="宋体"/>
          <w:highlight w:val="none"/>
        </w:rPr>
      </w:pPr>
      <w:r>
        <w:rPr>
          <w:rFonts w:hint="eastAsia" w:ascii="宋体" w:hAnsi="宋体"/>
          <w:highlight w:val="none"/>
        </w:rPr>
        <w:t>23.1投标人应准备所投项目的电子投标文件一份。此电子投标文件须由投标人根据政府集中采购机构提供的后缀名为</w:t>
      </w:r>
      <w:r>
        <w:rPr>
          <w:rFonts w:ascii="宋体" w:hAnsi="宋体" w:eastAsia="宋体" w:cs="宋体"/>
          <w:sz w:val="24"/>
          <w:szCs w:val="24"/>
          <w:highlight w:val="none"/>
        </w:rPr>
        <w:t>.TYZB</w:t>
      </w:r>
      <w:r>
        <w:rPr>
          <w:rFonts w:hint="eastAsia" w:ascii="宋体" w:hAnsi="宋体"/>
          <w:highlight w:val="none"/>
        </w:rPr>
        <w:t>的电子招标文件，下载并使用相应的深圳政府采购自行采购系统投标文件制作专用软件打开招标文件（</w:t>
      </w:r>
      <w:r>
        <w:rPr>
          <w:rFonts w:ascii="宋体" w:hAnsi="宋体" w:eastAsia="宋体" w:cs="宋体"/>
          <w:sz w:val="24"/>
          <w:szCs w:val="24"/>
          <w:highlight w:val="none"/>
        </w:rPr>
        <w:t>.TYZB</w:t>
      </w:r>
      <w:r>
        <w:rPr>
          <w:rFonts w:hint="eastAsia" w:ascii="宋体" w:hAnsi="宋体"/>
          <w:highlight w:val="none"/>
        </w:rPr>
        <w:t>格式）【下载地址：</w:t>
      </w:r>
      <w:r>
        <w:rPr>
          <w:rFonts w:hint="eastAsia" w:ascii="宋体" w:hAnsi="宋体"/>
          <w:highlight w:val="none"/>
        </w:rPr>
        <w:fldChar w:fldCharType="begin"/>
      </w:r>
      <w:r>
        <w:rPr>
          <w:rFonts w:hint="eastAsia" w:ascii="宋体" w:hAnsi="宋体"/>
          <w:highlight w:val="none"/>
        </w:rPr>
        <w:instrText xml:space="preserve"> HYPERLINK "https://www.szggzy.com/jyfw/details.html?contentId=2053275】。" </w:instrText>
      </w:r>
      <w:r>
        <w:rPr>
          <w:rFonts w:hint="eastAsia" w:ascii="宋体" w:hAnsi="宋体"/>
          <w:highlight w:val="none"/>
        </w:rPr>
        <w:fldChar w:fldCharType="separate"/>
      </w:r>
      <w:r>
        <w:rPr>
          <w:rStyle w:val="48"/>
          <w:rFonts w:hint="eastAsia" w:ascii="宋体" w:hAnsi="宋体"/>
          <w:highlight w:val="none"/>
        </w:rPr>
        <w:t>https://www.szggzy.com/jyfw/details.html?contentId=2053275】。</w:t>
      </w:r>
      <w:r>
        <w:rPr>
          <w:rFonts w:hint="eastAsia" w:ascii="宋体" w:hAnsi="宋体"/>
          <w:highlight w:val="none"/>
        </w:rPr>
        <w:fldChar w:fldCharType="end"/>
      </w:r>
    </w:p>
    <w:p>
      <w:pPr>
        <w:ind w:firstLine="411" w:firstLineChars="196"/>
        <w:rPr>
          <w:rFonts w:ascii="宋体" w:hAnsi="宋体"/>
          <w:highlight w:val="none"/>
        </w:rPr>
      </w:pPr>
      <w:r>
        <w:rPr>
          <w:rFonts w:hint="eastAsia" w:ascii="宋体" w:hAnsi="宋体"/>
          <w:highlight w:val="none"/>
        </w:rPr>
        <w:t>23.2投标人在使用《投标书编制软件》编制投标书时须注意：</w:t>
      </w:r>
    </w:p>
    <w:p>
      <w:pPr>
        <w:ind w:firstLine="411" w:firstLineChars="196"/>
        <w:rPr>
          <w:rFonts w:ascii="宋体" w:hAnsi="宋体"/>
          <w:highlight w:val="none"/>
        </w:rPr>
      </w:pPr>
      <w:r>
        <w:rPr>
          <w:rFonts w:hint="eastAsia" w:ascii="宋体" w:hAnsi="宋体"/>
          <w:highlight w:val="none"/>
        </w:rPr>
        <w:t>23.2.1导入《投标书编制软件》的招标文件项目编号、包号应与以此制作的投标文件项目编号、包号一致。例如，不能将甲项目A包的招标书导入《投标书编制软件》，制作乙项目B包的投标书。</w:t>
      </w:r>
    </w:p>
    <w:p>
      <w:pPr>
        <w:ind w:firstLine="411" w:firstLineChars="196"/>
        <w:rPr>
          <w:rFonts w:ascii="宋体" w:hAnsi="宋体"/>
          <w:highlight w:val="none"/>
        </w:rPr>
      </w:pPr>
      <w:r>
        <w:rPr>
          <w:rFonts w:hint="eastAsia" w:ascii="宋体" w:hAnsi="宋体"/>
          <w:highlight w:val="none"/>
        </w:rPr>
        <w:t>23.2.2不能用非本公司的电子密钥加密本公司的投标文件，或者用其它公司的登录用户上传本公司的投标文件。</w:t>
      </w:r>
    </w:p>
    <w:p>
      <w:pPr>
        <w:ind w:firstLine="411" w:firstLineChars="196"/>
        <w:rPr>
          <w:rFonts w:ascii="宋体" w:hAnsi="宋体"/>
          <w:highlight w:val="none"/>
        </w:rPr>
      </w:pPr>
      <w:r>
        <w:rPr>
          <w:rFonts w:hint="eastAsia" w:ascii="宋体" w:hAnsi="宋体"/>
          <w:highlight w:val="none"/>
        </w:rPr>
        <w:t>23.2.3要求用《投标书编制软件》编制投标书的包，不能用其它方式编制投标书。编制投标文件时，电脑须连通互联网。</w:t>
      </w:r>
    </w:p>
    <w:p>
      <w:pPr>
        <w:ind w:firstLine="411" w:firstLineChars="196"/>
        <w:rPr>
          <w:rFonts w:ascii="宋体" w:hAnsi="宋体"/>
          <w:highlight w:val="none"/>
        </w:rPr>
      </w:pPr>
      <w:r>
        <w:rPr>
          <w:rFonts w:hint="eastAsia" w:ascii="宋体" w:hAnsi="宋体"/>
          <w:highlight w:val="none"/>
        </w:rPr>
        <w:t>23.2.4投标文件不能带病毒。政府集中采购机构将用专业杀毒软件对投标文件进行病毒检测，如果这两种软件均报告发现病毒，则政府集中采购机构认为该投标文件带病毒。</w:t>
      </w:r>
    </w:p>
    <w:p>
      <w:pPr>
        <w:ind w:firstLine="411" w:firstLineChars="196"/>
        <w:rPr>
          <w:rFonts w:ascii="宋体" w:hAnsi="宋体"/>
          <w:b/>
          <w:highlight w:val="none"/>
        </w:rPr>
      </w:pPr>
      <w:r>
        <w:rPr>
          <w:rFonts w:hint="eastAsia" w:ascii="宋体" w:hAnsi="宋体"/>
          <w:highlight w:val="none"/>
        </w:rPr>
        <w:t>23.2.5完整填写“投标关键信息”</w:t>
      </w:r>
      <w:r>
        <w:rPr>
          <w:rFonts w:hint="eastAsia" w:ascii="宋体" w:hAnsi="宋体"/>
          <w:highlight w:val="none"/>
          <w:lang w:eastAsia="zh-CN"/>
        </w:rPr>
        <w:t>。</w:t>
      </w:r>
    </w:p>
    <w:p>
      <w:pPr>
        <w:ind w:firstLine="411" w:firstLineChars="196"/>
        <w:rPr>
          <w:rFonts w:ascii="宋体" w:hAnsi="宋体"/>
          <w:highlight w:val="none"/>
        </w:rPr>
      </w:pPr>
      <w:r>
        <w:rPr>
          <w:rFonts w:hint="eastAsia" w:ascii="宋体" w:hAnsi="宋体"/>
          <w:highlight w:val="none"/>
        </w:rPr>
        <w:t>23.2.6投标人在编辑投标文件时，</w:t>
      </w:r>
      <w:r>
        <w:rPr>
          <w:rFonts w:hint="eastAsia" w:ascii="宋体" w:hAnsi="宋体"/>
          <w:b/>
          <w:highlight w:val="none"/>
        </w:rPr>
        <w:t>在投标文件目录中属于本节点内容的必须在本节点中填写，填写到其他节点或附件，</w:t>
      </w:r>
      <w:r>
        <w:rPr>
          <w:rFonts w:hint="eastAsia" w:ascii="宋体" w:hAnsi="宋体"/>
          <w:highlight w:val="none"/>
        </w:rPr>
        <w:t>一切后果由供应商自行承担。</w:t>
      </w:r>
    </w:p>
    <w:p>
      <w:pPr>
        <w:ind w:firstLine="411" w:firstLineChars="196"/>
        <w:rPr>
          <w:rFonts w:ascii="宋体" w:hAnsi="宋体"/>
          <w:highlight w:val="none"/>
        </w:rPr>
      </w:pPr>
      <w:r>
        <w:rPr>
          <w:rFonts w:hint="eastAsia" w:ascii="宋体" w:hAnsi="宋体"/>
          <w:highlight w:val="none"/>
        </w:rPr>
        <w:t>23.2.7投标文件编写完成后，</w:t>
      </w:r>
      <w:r>
        <w:rPr>
          <w:rFonts w:hint="eastAsia" w:ascii="宋体" w:hAnsi="宋体"/>
          <w:b/>
          <w:highlight w:val="none"/>
        </w:rPr>
        <w:t>必须用属于投标人的电子密钥</w:t>
      </w:r>
      <w:r>
        <w:rPr>
          <w:rFonts w:hint="eastAsia" w:ascii="宋体" w:hAnsi="宋体"/>
          <w:b/>
          <w:highlight w:val="none"/>
          <w:lang w:val="en-US" w:eastAsia="zh-CN"/>
        </w:rPr>
        <w:t>或电子营业执照</w:t>
      </w:r>
      <w:r>
        <w:rPr>
          <w:rFonts w:hint="eastAsia" w:ascii="宋体" w:hAnsi="宋体"/>
          <w:b/>
          <w:highlight w:val="none"/>
        </w:rPr>
        <w:t>进行加密，否则视同未盖公章，将导致投标文件无效。</w:t>
      </w:r>
    </w:p>
    <w:p>
      <w:pPr>
        <w:ind w:firstLine="411" w:firstLineChars="196"/>
        <w:rPr>
          <w:rFonts w:ascii="宋体" w:hAnsi="宋体"/>
          <w:highlight w:val="none"/>
        </w:rPr>
      </w:pPr>
      <w:r>
        <w:rPr>
          <w:rFonts w:hint="eastAsia" w:ascii="宋体" w:hAnsi="宋体"/>
          <w:highlight w:val="none"/>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pPr>
        <w:ind w:firstLine="411" w:firstLineChars="196"/>
        <w:rPr>
          <w:rFonts w:ascii="宋体" w:hAnsi="宋体"/>
          <w:highlight w:val="none"/>
        </w:rPr>
      </w:pPr>
      <w:r>
        <w:rPr>
          <w:rFonts w:hint="eastAsia" w:ascii="宋体" w:hAnsi="宋体"/>
          <w:highlight w:val="none"/>
        </w:rPr>
        <w:t>23.2.9如果开标时出现网络故障、技术故障，影响了政府采购活动，政府集中采购机构有权采取措施如延期、接受无法从网上上传的投标书等，以保障政府采购活动的公开、公平和公正。</w:t>
      </w:r>
    </w:p>
    <w:p>
      <w:pPr>
        <w:ind w:firstLine="411" w:firstLineChars="196"/>
        <w:rPr>
          <w:rFonts w:ascii="宋体" w:hAnsi="宋体"/>
          <w:highlight w:val="none"/>
        </w:rPr>
      </w:pPr>
      <w:r>
        <w:rPr>
          <w:rFonts w:hint="eastAsia" w:ascii="宋体" w:hAnsi="宋体"/>
          <w:highlight w:val="none"/>
        </w:rPr>
        <w:t>23.3电报、电话、传真形式的投标概不接受。</w:t>
      </w:r>
    </w:p>
    <w:p>
      <w:pPr>
        <w:ind w:firstLine="413" w:firstLineChars="196"/>
        <w:rPr>
          <w:rFonts w:ascii="宋体" w:hAnsi="宋体"/>
          <w:b/>
          <w:highlight w:val="none"/>
        </w:rPr>
      </w:pPr>
      <w:r>
        <w:rPr>
          <w:rFonts w:hint="eastAsia" w:ascii="宋体" w:hAnsi="宋体"/>
          <w:b/>
          <w:highlight w:val="none"/>
        </w:rPr>
        <w:t>23.4经投标人电子密钥</w:t>
      </w:r>
      <w:r>
        <w:rPr>
          <w:rFonts w:hint="eastAsia" w:ascii="宋体" w:hAnsi="宋体"/>
          <w:b/>
          <w:highlight w:val="none"/>
          <w:lang w:val="en-US" w:eastAsia="zh-CN"/>
        </w:rPr>
        <w:t>或电子营业执照</w:t>
      </w:r>
      <w:r>
        <w:rPr>
          <w:rFonts w:hint="eastAsia" w:ascii="宋体" w:hAnsi="宋体"/>
          <w:b/>
          <w:highlight w:val="none"/>
        </w:rPr>
        <w:t>加密的投标文件无须盖章或签字，</w:t>
      </w:r>
      <w:r>
        <w:rPr>
          <w:rFonts w:hint="eastAsia" w:ascii="宋体" w:hAnsi="宋体"/>
          <w:highlight w:val="none"/>
        </w:rPr>
        <w:t>专用条款另有要求的除外。</w:t>
      </w:r>
    </w:p>
    <w:p>
      <w:pPr>
        <w:ind w:firstLine="413" w:firstLineChars="196"/>
        <w:rPr>
          <w:rFonts w:ascii="宋体" w:hAnsi="宋体"/>
          <w:highlight w:val="none"/>
        </w:rPr>
      </w:pPr>
      <w:r>
        <w:rPr>
          <w:rFonts w:hint="eastAsia" w:ascii="宋体" w:hAnsi="宋体"/>
          <w:b/>
          <w:highlight w:val="none"/>
        </w:rPr>
        <w:t>23.5</w:t>
      </w:r>
      <w:r>
        <w:rPr>
          <w:rFonts w:hint="eastAsia" w:ascii="宋体" w:hAnsi="宋体"/>
          <w:highlight w:val="none"/>
        </w:rPr>
        <w:t xml:space="preserve"> 各类资格（资质）文件提供扫描件，专用条款另有要求的除外。</w:t>
      </w:r>
      <w:bookmarkEnd w:id="59"/>
    </w:p>
    <w:p>
      <w:pPr>
        <w:ind w:firstLine="411" w:firstLineChars="196"/>
        <w:rPr>
          <w:rFonts w:ascii="宋体" w:hAnsi="宋体"/>
          <w:szCs w:val="21"/>
          <w:highlight w:val="none"/>
        </w:rPr>
      </w:pPr>
    </w:p>
    <w:p>
      <w:pPr>
        <w:pStyle w:val="7"/>
        <w:numPr>
          <w:ilvl w:val="0"/>
          <w:numId w:val="14"/>
        </w:numPr>
        <w:spacing w:before="120" w:beforeLines="50" w:after="120" w:afterLines="50"/>
        <w:ind w:left="562" w:hanging="562"/>
        <w:rPr>
          <w:sz w:val="28"/>
          <w:szCs w:val="28"/>
          <w:highlight w:val="none"/>
        </w:rPr>
      </w:pPr>
      <w:r>
        <w:rPr>
          <w:rFonts w:hint="eastAsia"/>
          <w:sz w:val="28"/>
          <w:szCs w:val="28"/>
          <w:highlight w:val="none"/>
        </w:rPr>
        <w:t>投标文件的递交</w:t>
      </w:r>
    </w:p>
    <w:p>
      <w:pPr>
        <w:rPr>
          <w:rFonts w:ascii="黑体" w:hAnsi="宋体" w:eastAsia="黑体"/>
          <w:sz w:val="24"/>
          <w:highlight w:val="none"/>
        </w:rPr>
      </w:pPr>
      <w:bookmarkStart w:id="60" w:name="_Hlk72405459"/>
      <w:r>
        <w:rPr>
          <w:rFonts w:hint="eastAsia" w:ascii="黑体" w:hAnsi="宋体" w:eastAsia="黑体"/>
          <w:sz w:val="24"/>
          <w:highlight w:val="none"/>
        </w:rPr>
        <w:t>24．投标文件的保密</w:t>
      </w:r>
    </w:p>
    <w:p>
      <w:pPr>
        <w:spacing w:line="276" w:lineRule="auto"/>
        <w:ind w:firstLine="422" w:firstLineChars="200"/>
        <w:rPr>
          <w:rFonts w:hint="eastAsia"/>
          <w:b/>
          <w:bCs/>
          <w:highlight w:val="none"/>
        </w:rPr>
      </w:pPr>
      <w:r>
        <w:rPr>
          <w:rFonts w:hint="eastAsia"/>
          <w:b/>
          <w:bCs/>
          <w:highlight w:val="none"/>
        </w:rPr>
        <w:t xml:space="preserve">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 </w:t>
      </w:r>
    </w:p>
    <w:p>
      <w:pPr>
        <w:spacing w:line="276" w:lineRule="auto"/>
        <w:ind w:firstLine="422" w:firstLineChars="200"/>
        <w:rPr>
          <w:b/>
          <w:highlight w:val="none"/>
        </w:rPr>
      </w:pPr>
      <w:r>
        <w:rPr>
          <w:b/>
          <w:highlight w:val="none"/>
        </w:rPr>
        <w:t>24.2若采购项目出现延期情况：</w:t>
      </w:r>
    </w:p>
    <w:p>
      <w:pPr>
        <w:spacing w:line="276" w:lineRule="auto"/>
        <w:ind w:firstLine="422" w:firstLineChars="200"/>
        <w:rPr>
          <w:rFonts w:ascii="Times New Roman" w:hAnsi="Times New Roman" w:eastAsia="黑体" w:cs="Times New Roman"/>
          <w:b/>
          <w:sz w:val="24"/>
          <w:szCs w:val="24"/>
          <w:highlight w:val="none"/>
        </w:rPr>
      </w:pPr>
      <w:r>
        <w:rPr>
          <w:rFonts w:ascii="Times New Roman" w:hAnsi="Times New Roman" w:eastAsia="宋体" w:cs="Times New Roman"/>
          <w:b/>
          <w:szCs w:val="24"/>
          <w:highlight w:val="none"/>
        </w:rPr>
        <w:t>如果供下载的招标文件有更新，投标人必须重新下载招标文件、重新制作投标文件、重新加密投标文件、重新上传投标文件。</w:t>
      </w:r>
    </w:p>
    <w:p>
      <w:pPr>
        <w:spacing w:line="276" w:lineRule="auto"/>
        <w:rPr>
          <w:rFonts w:eastAsia="黑体"/>
          <w:sz w:val="24"/>
          <w:highlight w:val="none"/>
        </w:rPr>
      </w:pPr>
      <w:r>
        <w:rPr>
          <w:rFonts w:eastAsia="黑体"/>
          <w:sz w:val="24"/>
          <w:highlight w:val="none"/>
        </w:rPr>
        <w:t>25．上传投标文件及投标截止日期</w:t>
      </w:r>
    </w:p>
    <w:p>
      <w:pPr>
        <w:wordWrap w:val="0"/>
        <w:spacing w:line="276" w:lineRule="auto"/>
        <w:ind w:firstLine="411" w:firstLineChars="196"/>
        <w:rPr>
          <w:b/>
          <w:bCs/>
          <w:highlight w:val="none"/>
        </w:rPr>
      </w:pPr>
      <w:r>
        <w:rPr>
          <w:highlight w:val="none"/>
        </w:rPr>
        <w:t>25.1</w:t>
      </w:r>
      <w:r>
        <w:rPr>
          <w:b/>
          <w:bCs/>
          <w:highlight w:val="none"/>
        </w:rPr>
        <w:t>实行网上投标，</w:t>
      </w:r>
      <w:r>
        <w:rPr>
          <w:rFonts w:hint="eastAsia"/>
          <w:b/>
          <w:bCs/>
          <w:highlight w:val="none"/>
        </w:rPr>
        <w:t>投标人必须在招标文件规定的投标截止时间前用电子密钥登录“深圳市自行采购系统（https://trade.szggzy.com/ggzy/center/#/login）”上传投标文件。如上传过程中遇到问题，可拨打采购公告中的技术支持电话，联系方式：0755-36568999 1转7（按1再转7）。</w:t>
      </w:r>
    </w:p>
    <w:p>
      <w:pPr>
        <w:ind w:firstLine="411" w:firstLineChars="196"/>
        <w:rPr>
          <w:rFonts w:ascii="宋体" w:hAnsi="宋体"/>
          <w:highlight w:val="none"/>
        </w:rPr>
      </w:pPr>
      <w:r>
        <w:rPr>
          <w:rFonts w:hint="eastAsia" w:ascii="宋体" w:hAnsi="宋体"/>
          <w:highlight w:val="none"/>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ind w:firstLine="411" w:firstLineChars="196"/>
        <w:rPr>
          <w:rFonts w:ascii="宋体" w:hAnsi="宋体"/>
          <w:highlight w:val="none"/>
        </w:rPr>
      </w:pPr>
      <w:r>
        <w:rPr>
          <w:rFonts w:hint="eastAsia" w:ascii="宋体" w:hAnsi="宋体"/>
          <w:highlight w:val="none"/>
        </w:rPr>
        <w:t>25</w:t>
      </w:r>
      <w:r>
        <w:rPr>
          <w:rFonts w:ascii="宋体" w:hAnsi="宋体"/>
          <w:highlight w:val="none"/>
        </w:rPr>
        <w:t>.</w:t>
      </w:r>
      <w:r>
        <w:rPr>
          <w:rFonts w:hint="eastAsia" w:ascii="宋体" w:hAnsi="宋体"/>
          <w:highlight w:val="none"/>
        </w:rPr>
        <w:t>3投标截止时间以后不得上传投标文件。</w:t>
      </w:r>
    </w:p>
    <w:p>
      <w:pPr>
        <w:ind w:firstLine="411" w:firstLineChars="196"/>
        <w:rPr>
          <w:rFonts w:ascii="宋体" w:hAnsi="宋体"/>
          <w:highlight w:val="none"/>
        </w:rPr>
      </w:pPr>
    </w:p>
    <w:bookmarkEnd w:id="60"/>
    <w:p>
      <w:pPr>
        <w:rPr>
          <w:rFonts w:ascii="黑体" w:hAnsi="宋体" w:eastAsia="黑体"/>
          <w:sz w:val="24"/>
          <w:highlight w:val="none"/>
        </w:rPr>
      </w:pPr>
      <w:r>
        <w:rPr>
          <w:rFonts w:hint="eastAsia" w:ascii="黑体" w:hAnsi="宋体" w:eastAsia="黑体"/>
          <w:sz w:val="24"/>
          <w:highlight w:val="none"/>
        </w:rPr>
        <w:t>26. 样品、现场演示、方案讲解</w:t>
      </w:r>
    </w:p>
    <w:p>
      <w:pPr>
        <w:ind w:firstLine="411" w:firstLineChars="196"/>
        <w:rPr>
          <w:rFonts w:ascii="宋体" w:hAnsi="宋体"/>
          <w:szCs w:val="21"/>
          <w:highlight w:val="none"/>
        </w:rPr>
      </w:pPr>
      <w:r>
        <w:rPr>
          <w:rFonts w:hint="eastAsia" w:ascii="宋体" w:hAnsi="宋体"/>
          <w:szCs w:val="21"/>
          <w:highlight w:val="none"/>
        </w:rPr>
        <w:t>26.1 样品、现场演示、方案讲解等事项在招标文件专用条款中进行规定。</w:t>
      </w:r>
    </w:p>
    <w:p>
      <w:pPr>
        <w:rPr>
          <w:rFonts w:ascii="黑体" w:hAnsi="宋体" w:eastAsia="黑体"/>
          <w:sz w:val="24"/>
          <w:highlight w:val="none"/>
        </w:rPr>
      </w:pPr>
      <w:bookmarkStart w:id="61" w:name="_Hlk72428346"/>
      <w:r>
        <w:rPr>
          <w:rFonts w:ascii="黑体" w:hAnsi="宋体" w:eastAsia="黑体"/>
          <w:sz w:val="24"/>
          <w:highlight w:val="none"/>
        </w:rPr>
        <w:t>2</w:t>
      </w:r>
      <w:r>
        <w:rPr>
          <w:rFonts w:hint="eastAsia" w:ascii="黑体" w:hAnsi="宋体" w:eastAsia="黑体"/>
          <w:sz w:val="24"/>
          <w:highlight w:val="none"/>
        </w:rPr>
        <w:t>7．</w:t>
      </w:r>
      <w:r>
        <w:rPr>
          <w:rFonts w:ascii="黑体" w:hAnsi="宋体" w:eastAsia="黑体"/>
          <w:sz w:val="24"/>
          <w:highlight w:val="none"/>
        </w:rPr>
        <w:t>投标文件的修改和撤销</w:t>
      </w:r>
    </w:p>
    <w:p>
      <w:pPr>
        <w:ind w:firstLine="411" w:firstLineChars="196"/>
        <w:rPr>
          <w:rFonts w:ascii="宋体" w:hAnsi="宋体"/>
          <w:highlight w:val="none"/>
        </w:rPr>
      </w:pPr>
      <w:r>
        <w:rPr>
          <w:rFonts w:ascii="宋体" w:hAnsi="宋体"/>
          <w:highlight w:val="none"/>
        </w:rPr>
        <w:t>2</w:t>
      </w:r>
      <w:r>
        <w:rPr>
          <w:rFonts w:hint="eastAsia" w:ascii="宋体" w:hAnsi="宋体"/>
          <w:highlight w:val="none"/>
        </w:rPr>
        <w:t>7</w:t>
      </w:r>
      <w:r>
        <w:rPr>
          <w:rFonts w:ascii="宋体" w:hAnsi="宋体"/>
          <w:highlight w:val="none"/>
        </w:rPr>
        <w:t>.</w:t>
      </w:r>
      <w:r>
        <w:rPr>
          <w:rFonts w:hint="eastAsia" w:ascii="宋体" w:hAnsi="宋体"/>
          <w:highlight w:val="none"/>
        </w:rPr>
        <w:t>1</w:t>
      </w:r>
      <w:r>
        <w:rPr>
          <w:rFonts w:ascii="宋体" w:hAnsi="宋体"/>
          <w:highlight w:val="none"/>
        </w:rPr>
        <w:t>投标方在提交投标文件后可对其投标文件进行修改</w:t>
      </w:r>
      <w:r>
        <w:rPr>
          <w:rFonts w:hint="eastAsia" w:ascii="宋体" w:hAnsi="宋体"/>
          <w:highlight w:val="none"/>
        </w:rPr>
        <w:t>并重新上传投标文件</w:t>
      </w:r>
      <w:r>
        <w:rPr>
          <w:rFonts w:ascii="宋体" w:hAnsi="宋体"/>
          <w:highlight w:val="none"/>
        </w:rPr>
        <w:t>或</w:t>
      </w:r>
      <w:r>
        <w:rPr>
          <w:rFonts w:hint="eastAsia" w:ascii="宋体" w:hAnsi="宋体"/>
          <w:highlight w:val="none"/>
        </w:rPr>
        <w:t>在网上进行</w:t>
      </w:r>
      <w:r>
        <w:rPr>
          <w:rFonts w:ascii="宋体" w:hAnsi="宋体"/>
          <w:highlight w:val="none"/>
        </w:rPr>
        <w:t>撤销</w:t>
      </w:r>
      <w:r>
        <w:rPr>
          <w:rFonts w:hint="eastAsia" w:ascii="宋体" w:hAnsi="宋体"/>
          <w:highlight w:val="none"/>
        </w:rPr>
        <w:t>投标的操作</w:t>
      </w:r>
      <w:r>
        <w:rPr>
          <w:rFonts w:ascii="宋体" w:hAnsi="宋体"/>
          <w:highlight w:val="none"/>
        </w:rPr>
        <w:t>。</w:t>
      </w:r>
    </w:p>
    <w:p>
      <w:pPr>
        <w:ind w:firstLine="411" w:firstLineChars="196"/>
        <w:rPr>
          <w:rFonts w:ascii="宋体" w:hAnsi="宋体"/>
          <w:highlight w:val="none"/>
        </w:rPr>
      </w:pPr>
      <w:r>
        <w:rPr>
          <w:rFonts w:ascii="宋体" w:hAnsi="宋体"/>
          <w:highlight w:val="none"/>
        </w:rPr>
        <w:t>2</w:t>
      </w:r>
      <w:r>
        <w:rPr>
          <w:rFonts w:hint="eastAsia" w:ascii="宋体" w:hAnsi="宋体"/>
          <w:highlight w:val="none"/>
        </w:rPr>
        <w:t>7</w:t>
      </w:r>
      <w:r>
        <w:rPr>
          <w:rFonts w:ascii="宋体" w:hAnsi="宋体"/>
          <w:highlight w:val="none"/>
        </w:rPr>
        <w:t>.</w:t>
      </w:r>
      <w:r>
        <w:rPr>
          <w:rFonts w:hint="eastAsia" w:ascii="宋体" w:hAnsi="宋体"/>
          <w:highlight w:val="none"/>
        </w:rPr>
        <w:t>2</w:t>
      </w:r>
      <w:r>
        <w:rPr>
          <w:rFonts w:ascii="宋体" w:hAnsi="宋体"/>
          <w:highlight w:val="none"/>
        </w:rPr>
        <w:t>投标截止时间以后不得修改投标文件。</w:t>
      </w:r>
    </w:p>
    <w:p>
      <w:pPr>
        <w:ind w:firstLine="411" w:firstLineChars="196"/>
        <w:rPr>
          <w:rFonts w:ascii="宋体" w:hAnsi="宋体"/>
          <w:highlight w:val="none"/>
        </w:rPr>
      </w:pPr>
      <w:r>
        <w:rPr>
          <w:rFonts w:ascii="宋体" w:hAnsi="宋体"/>
          <w:highlight w:val="none"/>
        </w:rPr>
        <w:t>2</w:t>
      </w:r>
      <w:r>
        <w:rPr>
          <w:rFonts w:hint="eastAsia" w:ascii="宋体" w:hAnsi="宋体"/>
          <w:highlight w:val="none"/>
        </w:rPr>
        <w:t>7</w:t>
      </w:r>
      <w:r>
        <w:rPr>
          <w:rFonts w:ascii="宋体" w:hAnsi="宋体"/>
          <w:highlight w:val="none"/>
        </w:rPr>
        <w:t>.</w:t>
      </w:r>
      <w:r>
        <w:rPr>
          <w:rFonts w:hint="eastAsia" w:ascii="宋体" w:hAnsi="宋体"/>
          <w:highlight w:val="none"/>
        </w:rPr>
        <w:t>3从投标截止期至投标人在投标文件中确定的投标有效期之间的这段时间内，投标人不得撤回其投标。</w:t>
      </w:r>
    </w:p>
    <w:p>
      <w:pPr>
        <w:ind w:firstLine="411" w:firstLineChars="196"/>
        <w:rPr>
          <w:rFonts w:ascii="宋体" w:hAnsi="宋体"/>
          <w:szCs w:val="21"/>
          <w:highlight w:val="none"/>
        </w:rPr>
      </w:pPr>
      <w:r>
        <w:rPr>
          <w:rFonts w:hint="eastAsia" w:ascii="宋体" w:hAnsi="宋体"/>
          <w:szCs w:val="21"/>
          <w:highlight w:val="none"/>
        </w:rPr>
        <w:t>27.4政府集中采购机构不退还投标文件，专用条款另有规定的除外。</w:t>
      </w:r>
    </w:p>
    <w:bookmarkEnd w:id="61"/>
    <w:p>
      <w:pPr>
        <w:pStyle w:val="7"/>
        <w:numPr>
          <w:ilvl w:val="0"/>
          <w:numId w:val="14"/>
        </w:numPr>
        <w:spacing w:before="120" w:beforeLines="50" w:after="120" w:afterLines="50"/>
        <w:ind w:left="562" w:hanging="562"/>
        <w:rPr>
          <w:sz w:val="28"/>
          <w:szCs w:val="28"/>
          <w:highlight w:val="none"/>
        </w:rPr>
      </w:pPr>
      <w:r>
        <w:rPr>
          <w:rFonts w:hint="eastAsia"/>
          <w:sz w:val="28"/>
          <w:szCs w:val="28"/>
          <w:highlight w:val="none"/>
        </w:rPr>
        <w:t>开标</w:t>
      </w:r>
    </w:p>
    <w:p>
      <w:pPr>
        <w:rPr>
          <w:rFonts w:ascii="黑体" w:hAnsi="宋体" w:eastAsia="黑体"/>
          <w:sz w:val="24"/>
          <w:highlight w:val="none"/>
        </w:rPr>
      </w:pPr>
      <w:r>
        <w:rPr>
          <w:rFonts w:hint="eastAsia" w:ascii="黑体" w:hAnsi="宋体" w:eastAsia="黑体"/>
          <w:sz w:val="24"/>
          <w:highlight w:val="none"/>
        </w:rPr>
        <w:t>28．开标</w:t>
      </w:r>
    </w:p>
    <w:p>
      <w:pPr>
        <w:ind w:firstLine="315" w:firstLineChars="150"/>
        <w:rPr>
          <w:rFonts w:hint="eastAsia" w:ascii="宋体" w:hAnsi="宋体"/>
          <w:szCs w:val="21"/>
          <w:highlight w:val="none"/>
        </w:rPr>
      </w:pPr>
      <w:r>
        <w:rPr>
          <w:szCs w:val="21"/>
          <w:highlight w:val="none"/>
        </w:rPr>
        <w:t>28.1</w:t>
      </w:r>
      <w:r>
        <w:rPr>
          <w:rFonts w:hint="eastAsia"/>
          <w:b/>
          <w:bCs/>
          <w:highlight w:val="none"/>
        </w:rPr>
        <w:t>投标人须在开标当日的开标时间至解密截止时间内进行解密，逾期未解密的作无效处理。解密方法：登录“深圳市自行采购系统（https://trade.szggzy.com/ggzy/center/#/login）”，使用本单位制作电子投标文件同一个电子密钥进行在线解密、查询开标情况。</w:t>
      </w:r>
    </w:p>
    <w:p>
      <w:pPr>
        <w:ind w:firstLine="315" w:firstLineChars="150"/>
        <w:rPr>
          <w:rFonts w:ascii="宋体" w:hAnsi="宋体"/>
          <w:szCs w:val="21"/>
          <w:highlight w:val="none"/>
        </w:rPr>
      </w:pPr>
      <w:r>
        <w:rPr>
          <w:rFonts w:hint="eastAsia" w:ascii="宋体" w:hAnsi="宋体"/>
          <w:szCs w:val="21"/>
          <w:highlight w:val="none"/>
        </w:rPr>
        <w:t>28.2 政府集中采购机构将在满足开标条件（①解密时间结束，解密后的投标供应商数量满足开标要求或②解密时间结束前所有投标供应商均完成投标文件解密）后，对投标文件进行开标，并在网上公布开标结果。</w:t>
      </w:r>
    </w:p>
    <w:p>
      <w:pPr>
        <w:ind w:firstLine="315" w:firstLineChars="150"/>
        <w:rPr>
          <w:rFonts w:ascii="宋体" w:hAnsi="宋体"/>
          <w:szCs w:val="21"/>
          <w:highlight w:val="none"/>
        </w:rPr>
      </w:pPr>
    </w:p>
    <w:p>
      <w:pPr>
        <w:pStyle w:val="7"/>
        <w:numPr>
          <w:ilvl w:val="0"/>
          <w:numId w:val="14"/>
        </w:numPr>
        <w:spacing w:before="120" w:beforeLines="50" w:after="120" w:afterLines="50"/>
        <w:ind w:left="562" w:hanging="562"/>
        <w:rPr>
          <w:sz w:val="28"/>
          <w:szCs w:val="28"/>
          <w:highlight w:val="none"/>
        </w:rPr>
      </w:pPr>
      <w:r>
        <w:rPr>
          <w:rFonts w:hint="eastAsia"/>
          <w:sz w:val="28"/>
          <w:szCs w:val="28"/>
          <w:highlight w:val="none"/>
        </w:rPr>
        <w:t>评审要求</w:t>
      </w:r>
    </w:p>
    <w:p>
      <w:pPr>
        <w:rPr>
          <w:rFonts w:ascii="黑体" w:hAnsi="宋体" w:eastAsia="黑体"/>
          <w:sz w:val="24"/>
          <w:highlight w:val="none"/>
        </w:rPr>
      </w:pPr>
      <w:r>
        <w:rPr>
          <w:rFonts w:hint="eastAsia" w:ascii="黑体" w:hAnsi="宋体" w:eastAsia="黑体"/>
          <w:sz w:val="24"/>
          <w:highlight w:val="none"/>
        </w:rPr>
        <w:t>29．评审委员会组成</w:t>
      </w:r>
    </w:p>
    <w:p>
      <w:pPr>
        <w:ind w:firstLine="411" w:firstLineChars="196"/>
        <w:rPr>
          <w:rFonts w:ascii="宋体" w:hAnsi="宋体"/>
          <w:highlight w:val="none"/>
        </w:rPr>
      </w:pPr>
      <w:r>
        <w:rPr>
          <w:rFonts w:hint="eastAsia" w:ascii="宋体" w:hAnsi="宋体"/>
          <w:highlight w:val="none"/>
        </w:rPr>
        <w:t>29.1网上开标结束后召开评审会议，</w:t>
      </w:r>
      <w:r>
        <w:rPr>
          <w:rFonts w:hint="eastAsia" w:ascii="宋体" w:hAnsi="宋体"/>
          <w:szCs w:val="21"/>
          <w:highlight w:val="none"/>
        </w:rPr>
        <w:t>评审委员会</w:t>
      </w:r>
      <w:r>
        <w:rPr>
          <w:rFonts w:hint="eastAsia" w:ascii="宋体" w:hAnsi="宋体"/>
          <w:highlight w:val="none"/>
        </w:rPr>
        <w:t>由政府集中采购机构依法组建，负责评审活动。</w:t>
      </w:r>
    </w:p>
    <w:p>
      <w:pPr>
        <w:ind w:firstLine="411" w:firstLineChars="196"/>
        <w:rPr>
          <w:rFonts w:ascii="宋体" w:hAnsi="宋体"/>
          <w:highlight w:val="none"/>
        </w:rPr>
      </w:pPr>
      <w:bookmarkStart w:id="62" w:name="_Hlk72436580"/>
      <w:r>
        <w:rPr>
          <w:rFonts w:hint="eastAsia" w:ascii="宋体" w:hAnsi="宋体"/>
          <w:highlight w:val="none"/>
        </w:rPr>
        <w:t>评审委员会由采购人代表和评审专家组成，成员人数应当为5人以上单数（部分条件下为7人以上单数），其中评审专家不得少于成员总数的三分之二。</w:t>
      </w:r>
      <w:bookmarkEnd w:id="62"/>
      <w:r>
        <w:rPr>
          <w:rFonts w:hint="eastAsia" w:ascii="宋体" w:hAnsi="宋体"/>
          <w:highlight w:val="none"/>
        </w:rPr>
        <w:t>评定</w:t>
      </w:r>
      <w:r>
        <w:rPr>
          <w:rFonts w:hint="eastAsia"/>
          <w:highlight w:val="none"/>
        </w:rPr>
        <w:t>分离项目</w:t>
      </w:r>
      <w:r>
        <w:rPr>
          <w:highlight w:val="none"/>
        </w:rPr>
        <w:t>评审专家</w:t>
      </w:r>
      <w:r>
        <w:rPr>
          <w:rFonts w:hint="eastAsia"/>
          <w:highlight w:val="none"/>
        </w:rPr>
        <w:t>均</w:t>
      </w:r>
      <w:r>
        <w:rPr>
          <w:highlight w:val="none"/>
        </w:rPr>
        <w:t>由</w:t>
      </w:r>
      <w:r>
        <w:rPr>
          <w:rFonts w:hint="eastAsia"/>
          <w:highlight w:val="none"/>
        </w:rPr>
        <w:t>评审专家组成。</w:t>
      </w:r>
      <w:r>
        <w:rPr>
          <w:rFonts w:hint="eastAsia" w:ascii="宋体" w:hAnsi="宋体"/>
          <w:szCs w:val="21"/>
          <w:highlight w:val="none"/>
        </w:rPr>
        <w:t>评审专家一般是</w:t>
      </w:r>
      <w:r>
        <w:rPr>
          <w:rFonts w:hint="eastAsia" w:ascii="宋体" w:hAnsi="宋体"/>
          <w:highlight w:val="none"/>
        </w:rPr>
        <w:t>从深圳市政府采购评审专家库中随机抽取。采购人代表须持本单位签发的《评审授权书》参加评审。</w:t>
      </w:r>
    </w:p>
    <w:p>
      <w:pPr>
        <w:ind w:firstLine="411" w:firstLineChars="196"/>
        <w:rPr>
          <w:rFonts w:ascii="宋体" w:hAnsi="宋体"/>
          <w:highlight w:val="none"/>
        </w:rPr>
      </w:pPr>
      <w:r>
        <w:rPr>
          <w:rFonts w:hint="eastAsia" w:ascii="宋体" w:hAnsi="宋体"/>
          <w:highlight w:val="none"/>
        </w:rPr>
        <w:t>29.2评审定标应当遵循公平、公正、科学、择优的原则。</w:t>
      </w:r>
    </w:p>
    <w:p>
      <w:pPr>
        <w:ind w:firstLine="411" w:firstLineChars="196"/>
        <w:rPr>
          <w:rFonts w:ascii="宋体" w:hAnsi="宋体"/>
          <w:highlight w:val="none"/>
        </w:rPr>
      </w:pPr>
      <w:r>
        <w:rPr>
          <w:rFonts w:hint="eastAsia" w:ascii="宋体" w:hAnsi="宋体"/>
          <w:highlight w:val="none"/>
        </w:rPr>
        <w:t>29.3评审活动依法进行，任何单位和个人不得非法干预评标过程和结果。</w:t>
      </w:r>
    </w:p>
    <w:p>
      <w:pPr>
        <w:ind w:firstLine="411" w:firstLineChars="196"/>
        <w:rPr>
          <w:rFonts w:ascii="宋体" w:hAnsi="宋体"/>
          <w:highlight w:val="none"/>
        </w:rPr>
      </w:pPr>
      <w:r>
        <w:rPr>
          <w:rFonts w:hint="eastAsia" w:ascii="宋体" w:hAnsi="宋体"/>
          <w:highlight w:val="none"/>
        </w:rPr>
        <w:t>29.4评审过程中不允许违背评标程序或采用招标文件未载明的评标方法或评标因素进行评标。</w:t>
      </w:r>
    </w:p>
    <w:p>
      <w:pPr>
        <w:ind w:firstLine="411" w:firstLineChars="196"/>
        <w:rPr>
          <w:rFonts w:ascii="宋体" w:hAnsi="宋体"/>
          <w:bCs/>
          <w:highlight w:val="none"/>
        </w:rPr>
      </w:pPr>
      <w:r>
        <w:rPr>
          <w:rFonts w:hint="eastAsia" w:ascii="宋体" w:hAnsi="宋体"/>
          <w:bCs/>
          <w:highlight w:val="none"/>
        </w:rPr>
        <w:t>29.5 开标后，直到签订合同为止，凡属于对投标文件的审查、澄清、评价和比较的有关资料以及中标候选人的推荐情况、与评审有关的其他任何情况均严格保密（</w:t>
      </w:r>
      <w:r>
        <w:rPr>
          <w:rFonts w:hint="eastAsia"/>
          <w:highlight w:val="none"/>
        </w:rPr>
        <w:t>信息公开的内容除外</w:t>
      </w:r>
      <w:r>
        <w:rPr>
          <w:rFonts w:hint="eastAsia" w:ascii="宋体" w:hAnsi="宋体"/>
          <w:bCs/>
          <w:highlight w:val="none"/>
        </w:rPr>
        <w:t>）。</w:t>
      </w:r>
    </w:p>
    <w:p>
      <w:pPr>
        <w:rPr>
          <w:rFonts w:ascii="黑体" w:hAnsi="宋体" w:eastAsia="黑体"/>
          <w:sz w:val="24"/>
          <w:highlight w:val="none"/>
        </w:rPr>
      </w:pPr>
      <w:r>
        <w:rPr>
          <w:rFonts w:hint="eastAsia" w:ascii="黑体" w:hAnsi="宋体" w:eastAsia="黑体"/>
          <w:sz w:val="24"/>
          <w:highlight w:val="none"/>
        </w:rPr>
        <w:t>30．向评审委员会提供的资料</w:t>
      </w:r>
    </w:p>
    <w:p>
      <w:pPr>
        <w:ind w:firstLine="411" w:firstLineChars="196"/>
        <w:rPr>
          <w:rFonts w:ascii="宋体" w:hAnsi="宋体"/>
          <w:highlight w:val="none"/>
        </w:rPr>
      </w:pPr>
      <w:r>
        <w:rPr>
          <w:rFonts w:hint="eastAsia" w:ascii="宋体" w:hAnsi="宋体"/>
          <w:highlight w:val="none"/>
        </w:rPr>
        <w:t>30.1公开发布的招标文件，包括图纸、服务清单、答疑文件等；</w:t>
      </w:r>
    </w:p>
    <w:p>
      <w:pPr>
        <w:ind w:firstLine="411" w:firstLineChars="196"/>
        <w:rPr>
          <w:rFonts w:ascii="宋体" w:hAnsi="宋体"/>
          <w:highlight w:val="none"/>
        </w:rPr>
      </w:pPr>
      <w:r>
        <w:rPr>
          <w:rFonts w:hint="eastAsia" w:ascii="宋体" w:hAnsi="宋体"/>
          <w:highlight w:val="none"/>
        </w:rPr>
        <w:t>30.2其他评标必须的资料。</w:t>
      </w:r>
    </w:p>
    <w:p>
      <w:pPr>
        <w:ind w:firstLine="411" w:firstLineChars="196"/>
        <w:rPr>
          <w:rFonts w:ascii="宋体" w:hAnsi="宋体"/>
          <w:highlight w:val="none"/>
        </w:rPr>
      </w:pPr>
      <w:r>
        <w:rPr>
          <w:rFonts w:hint="eastAsia" w:ascii="宋体" w:hAnsi="宋体"/>
          <w:highlight w:val="none"/>
        </w:rPr>
        <w:t>30.3</w:t>
      </w:r>
      <w:r>
        <w:rPr>
          <w:rFonts w:hint="eastAsia" w:ascii="宋体" w:hAnsi="宋体"/>
          <w:szCs w:val="21"/>
          <w:highlight w:val="none"/>
        </w:rPr>
        <w:t>评审委员会</w:t>
      </w:r>
      <w:r>
        <w:rPr>
          <w:rFonts w:hint="eastAsia" w:ascii="宋体" w:hAnsi="宋体"/>
          <w:highlight w:val="none"/>
        </w:rPr>
        <w:t>应当认真研究招标文件，至少应了解熟悉以下内容：</w:t>
      </w:r>
    </w:p>
    <w:p>
      <w:pPr>
        <w:ind w:firstLine="411" w:firstLineChars="196"/>
        <w:rPr>
          <w:rFonts w:ascii="宋体" w:hAnsi="宋体"/>
          <w:highlight w:val="none"/>
        </w:rPr>
      </w:pPr>
      <w:r>
        <w:rPr>
          <w:rFonts w:hint="eastAsia" w:ascii="宋体" w:hAnsi="宋体"/>
          <w:highlight w:val="none"/>
        </w:rPr>
        <w:t>（1）招标的目的；</w:t>
      </w:r>
    </w:p>
    <w:p>
      <w:pPr>
        <w:ind w:firstLine="411" w:firstLineChars="196"/>
        <w:rPr>
          <w:rFonts w:ascii="宋体" w:hAnsi="宋体"/>
          <w:highlight w:val="none"/>
        </w:rPr>
      </w:pPr>
      <w:r>
        <w:rPr>
          <w:rFonts w:hint="eastAsia" w:ascii="宋体" w:hAnsi="宋体"/>
          <w:highlight w:val="none"/>
        </w:rPr>
        <w:t>（2）招标项目需求的范围和性质；</w:t>
      </w:r>
    </w:p>
    <w:p>
      <w:pPr>
        <w:ind w:firstLine="411" w:firstLineChars="196"/>
        <w:rPr>
          <w:rFonts w:ascii="宋体" w:hAnsi="宋体"/>
          <w:highlight w:val="none"/>
        </w:rPr>
      </w:pPr>
      <w:r>
        <w:rPr>
          <w:rFonts w:hint="eastAsia" w:ascii="宋体" w:hAnsi="宋体"/>
          <w:highlight w:val="none"/>
        </w:rPr>
        <w:t>（3）招标文件规定的投标人的资格、财政预算限额、商务条款；</w:t>
      </w:r>
    </w:p>
    <w:p>
      <w:pPr>
        <w:ind w:firstLine="411" w:firstLineChars="196"/>
        <w:rPr>
          <w:rFonts w:ascii="宋体" w:hAnsi="宋体"/>
          <w:highlight w:val="none"/>
        </w:rPr>
      </w:pPr>
      <w:r>
        <w:rPr>
          <w:rFonts w:hint="eastAsia" w:ascii="宋体" w:hAnsi="宋体"/>
          <w:highlight w:val="none"/>
        </w:rPr>
        <w:t>（4）招标文件规定的评标程序、评标方法和评标因素；</w:t>
      </w:r>
    </w:p>
    <w:p>
      <w:pPr>
        <w:ind w:firstLine="411" w:firstLineChars="196"/>
        <w:rPr>
          <w:rFonts w:ascii="宋体" w:hAnsi="宋体"/>
          <w:highlight w:val="none"/>
        </w:rPr>
      </w:pPr>
      <w:r>
        <w:rPr>
          <w:rFonts w:hint="eastAsia" w:ascii="宋体" w:hAnsi="宋体"/>
          <w:highlight w:val="none"/>
        </w:rPr>
        <w:t>（5）招标文件所列示的资格性审查表及符合性审查表。</w:t>
      </w:r>
    </w:p>
    <w:p>
      <w:pPr>
        <w:rPr>
          <w:rFonts w:ascii="黑体" w:hAnsi="宋体" w:eastAsia="黑体"/>
          <w:sz w:val="24"/>
          <w:highlight w:val="none"/>
        </w:rPr>
      </w:pPr>
      <w:r>
        <w:rPr>
          <w:rFonts w:hint="eastAsia" w:ascii="黑体" w:hAnsi="宋体" w:eastAsia="黑体"/>
          <w:sz w:val="24"/>
          <w:highlight w:val="none"/>
        </w:rPr>
        <w:t>31．独立评审</w:t>
      </w:r>
    </w:p>
    <w:p>
      <w:pPr>
        <w:ind w:firstLine="411" w:firstLineChars="196"/>
        <w:rPr>
          <w:rFonts w:ascii="宋体" w:hAnsi="宋体"/>
          <w:bCs/>
          <w:highlight w:val="none"/>
        </w:rPr>
      </w:pPr>
      <w:r>
        <w:rPr>
          <w:rFonts w:hint="eastAsia" w:ascii="宋体" w:hAnsi="宋体"/>
          <w:bCs/>
          <w:highlight w:val="none"/>
        </w:rPr>
        <w:t>3</w:t>
      </w:r>
      <w:r>
        <w:rPr>
          <w:rFonts w:ascii="宋体" w:hAnsi="宋体"/>
          <w:bCs/>
          <w:highlight w:val="none"/>
        </w:rPr>
        <w:t>1</w:t>
      </w:r>
      <w:r>
        <w:rPr>
          <w:rFonts w:hint="eastAsia" w:ascii="宋体" w:hAnsi="宋体"/>
          <w:bCs/>
          <w:highlight w:val="none"/>
        </w:rPr>
        <w:t>.1</w:t>
      </w:r>
      <w:r>
        <w:rPr>
          <w:rFonts w:hint="eastAsia" w:ascii="宋体" w:hAnsi="宋体"/>
          <w:szCs w:val="21"/>
          <w:highlight w:val="none"/>
        </w:rPr>
        <w:t>评审委员会</w:t>
      </w:r>
      <w:r>
        <w:rPr>
          <w:rFonts w:hint="eastAsia" w:ascii="宋体" w:hAnsi="宋体"/>
          <w:bCs/>
          <w:highlight w:val="none"/>
        </w:rPr>
        <w:t>成员的评标活动应当独立进行，并应遵循投标文件初审、澄清有关问题、比较与评价、确定中标供应商、编写评审报告的工作程序。</w:t>
      </w:r>
    </w:p>
    <w:p>
      <w:pPr>
        <w:ind w:firstLine="411" w:firstLineChars="196"/>
        <w:rPr>
          <w:rFonts w:ascii="宋体" w:hAnsi="宋体"/>
          <w:bCs/>
          <w:szCs w:val="21"/>
          <w:highlight w:val="none"/>
        </w:rPr>
      </w:pPr>
    </w:p>
    <w:p>
      <w:pPr>
        <w:pStyle w:val="7"/>
        <w:numPr>
          <w:ilvl w:val="0"/>
          <w:numId w:val="14"/>
        </w:numPr>
        <w:spacing w:before="120" w:beforeLines="50" w:after="120" w:afterLines="50"/>
        <w:ind w:left="562" w:hanging="562"/>
        <w:rPr>
          <w:sz w:val="28"/>
          <w:szCs w:val="28"/>
          <w:highlight w:val="none"/>
        </w:rPr>
      </w:pPr>
      <w:r>
        <w:rPr>
          <w:rFonts w:hint="eastAsia"/>
          <w:sz w:val="28"/>
          <w:szCs w:val="28"/>
          <w:highlight w:val="none"/>
        </w:rPr>
        <w:t>评审程序及评审方法</w:t>
      </w:r>
    </w:p>
    <w:p>
      <w:pPr>
        <w:rPr>
          <w:rFonts w:ascii="黑体" w:hAnsi="宋体" w:eastAsia="黑体"/>
          <w:sz w:val="24"/>
          <w:highlight w:val="none"/>
        </w:rPr>
      </w:pPr>
      <w:r>
        <w:rPr>
          <w:rFonts w:hint="eastAsia" w:ascii="黑体" w:hAnsi="宋体" w:eastAsia="黑体"/>
          <w:sz w:val="24"/>
          <w:highlight w:val="none"/>
        </w:rPr>
        <w:t>32．投标文件初审</w:t>
      </w:r>
    </w:p>
    <w:p>
      <w:pPr>
        <w:ind w:firstLine="411" w:firstLineChars="196"/>
        <w:rPr>
          <w:rFonts w:ascii="宋体" w:hAnsi="宋体"/>
          <w:highlight w:val="none"/>
        </w:rPr>
      </w:pPr>
      <w:r>
        <w:rPr>
          <w:rFonts w:hint="eastAsia" w:ascii="宋体" w:hAnsi="宋体"/>
          <w:highlight w:val="none"/>
        </w:rPr>
        <w:t>32.1投标文件初审包括资格性审查和符合性审查。</w:t>
      </w:r>
    </w:p>
    <w:p>
      <w:pPr>
        <w:ind w:firstLine="411" w:firstLineChars="196"/>
        <w:rPr>
          <w:rFonts w:ascii="宋体" w:hAnsi="宋体"/>
          <w:highlight w:val="none"/>
        </w:rPr>
      </w:pPr>
      <w:r>
        <w:rPr>
          <w:rFonts w:hint="eastAsia" w:ascii="宋体" w:hAnsi="宋体"/>
          <w:highlight w:val="none"/>
        </w:rPr>
        <w:t>资格性审查：依据法律法规和招标文件的规定，对投标文件中的资格证明等进行审查，以确定投标供应商是否具备投标资格。</w:t>
      </w:r>
    </w:p>
    <w:p>
      <w:pPr>
        <w:ind w:firstLine="411" w:firstLineChars="196"/>
        <w:rPr>
          <w:rFonts w:ascii="宋体" w:hAnsi="宋体"/>
          <w:highlight w:val="none"/>
        </w:rPr>
      </w:pPr>
      <w:r>
        <w:rPr>
          <w:rFonts w:hint="eastAsia" w:ascii="宋体" w:hAnsi="宋体"/>
          <w:highlight w:val="none"/>
        </w:rPr>
        <w:t>符合性审查：依据招标文件的规定，对投标文件的有效性、完整性和对招标文件的响应程度进行审查，以确定是否满足符合性审查的要求。</w:t>
      </w:r>
    </w:p>
    <w:p>
      <w:pPr>
        <w:ind w:firstLine="411" w:firstLineChars="196"/>
        <w:rPr>
          <w:rFonts w:ascii="宋体" w:hAnsi="宋体"/>
          <w:highlight w:val="none"/>
        </w:rPr>
      </w:pPr>
      <w:r>
        <w:rPr>
          <w:rFonts w:hint="eastAsia" w:ascii="宋体" w:hAnsi="宋体"/>
          <w:highlight w:val="none"/>
        </w:rPr>
        <w:t>32.2 投标文件初审内容请详见《资格性审查表》和《符合性审查表》部分。投标人若有一条审查不通过则按投标无效处理。</w:t>
      </w:r>
    </w:p>
    <w:p>
      <w:pPr>
        <w:ind w:firstLine="411" w:firstLineChars="196"/>
        <w:rPr>
          <w:rFonts w:ascii="宋体" w:hAnsi="宋体"/>
          <w:bCs/>
          <w:highlight w:val="none"/>
        </w:rPr>
      </w:pPr>
      <w:r>
        <w:rPr>
          <w:rFonts w:hint="eastAsia" w:ascii="宋体" w:hAnsi="宋体"/>
          <w:bCs/>
          <w:highlight w:val="none"/>
        </w:rPr>
        <w:t>32.3 投标文件初审中关于供应商家数的计算:</w:t>
      </w:r>
    </w:p>
    <w:p>
      <w:pPr>
        <w:ind w:firstLine="411" w:firstLineChars="196"/>
        <w:rPr>
          <w:rFonts w:ascii="宋体" w:hAnsi="宋体"/>
          <w:bCs/>
          <w:highlight w:val="none"/>
        </w:rPr>
      </w:pPr>
      <w:r>
        <w:rPr>
          <w:rFonts w:hint="eastAsia" w:ascii="宋体" w:hAnsi="宋体"/>
          <w:bCs/>
          <w:highlight w:val="none"/>
        </w:rPr>
        <w:t>32.3.1采用最低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ind w:firstLine="411" w:firstLineChars="196"/>
        <w:rPr>
          <w:rFonts w:ascii="宋体" w:hAnsi="宋体"/>
          <w:bCs/>
          <w:highlight w:val="none"/>
        </w:rPr>
      </w:pPr>
      <w:r>
        <w:rPr>
          <w:rFonts w:hint="eastAsia" w:ascii="宋体" w:hAnsi="宋体"/>
          <w:bCs/>
          <w:highlight w:val="none"/>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highlight w:val="none"/>
        </w:rPr>
        <w:t>评审委员会</w:t>
      </w:r>
      <w:r>
        <w:rPr>
          <w:rFonts w:hint="eastAsia" w:ascii="宋体" w:hAnsi="宋体"/>
          <w:bCs/>
          <w:highlight w:val="none"/>
        </w:rPr>
        <w:t>按照招标文件规定的方式确定一个投标人获得中标人推荐资格，招标文件未规定的采取随机抽取方式确定，其他同品牌投标人不作为中标候选人。</w:t>
      </w:r>
    </w:p>
    <w:p>
      <w:pPr>
        <w:ind w:firstLine="411" w:firstLineChars="196"/>
        <w:rPr>
          <w:rFonts w:ascii="宋体" w:hAnsi="宋体"/>
          <w:bCs/>
          <w:highlight w:val="none"/>
        </w:rPr>
      </w:pPr>
      <w:r>
        <w:rPr>
          <w:rFonts w:hint="eastAsia" w:ascii="宋体" w:hAnsi="宋体"/>
          <w:bCs/>
          <w:highlight w:val="none"/>
        </w:rPr>
        <w:t>32.3.3非单一产品采购项目，采购人应当根据采购项目技术构成、产品价格比重等合理确定核心产品，并在招标文件中载明。多家投标人提供的核心产品品牌相同的，按前两款规定处理。</w:t>
      </w:r>
    </w:p>
    <w:p>
      <w:pPr>
        <w:ind w:firstLine="411" w:firstLineChars="196"/>
        <w:rPr>
          <w:rFonts w:ascii="宋体" w:hAnsi="宋体"/>
          <w:highlight w:val="none"/>
        </w:rPr>
      </w:pPr>
      <w:r>
        <w:rPr>
          <w:rFonts w:hint="eastAsia" w:ascii="宋体" w:hAnsi="宋体"/>
          <w:highlight w:val="none"/>
        </w:rPr>
        <w:t>32.4投标人投标文件作无效处理的情形，具体包括但不限于以下：</w:t>
      </w:r>
    </w:p>
    <w:p>
      <w:pPr>
        <w:ind w:firstLine="411" w:firstLineChars="196"/>
        <w:rPr>
          <w:highlight w:val="none"/>
        </w:rPr>
      </w:pPr>
      <w:r>
        <w:rPr>
          <w:rFonts w:hint="eastAsia" w:ascii="宋体" w:hAnsi="宋体"/>
          <w:highlight w:val="none"/>
        </w:rPr>
        <w:t>32.4.1</w:t>
      </w:r>
      <w:r>
        <w:rPr>
          <w:rFonts w:hint="eastAsia"/>
          <w:highlight w:val="none"/>
        </w:rPr>
        <w:t>不同投标人的投标文件由同一单位或者同一个人编制，或者由同一个人分阶段参与编制；</w:t>
      </w:r>
    </w:p>
    <w:p>
      <w:pPr>
        <w:ind w:firstLine="411" w:firstLineChars="196"/>
        <w:rPr>
          <w:highlight w:val="none"/>
        </w:rPr>
      </w:pPr>
      <w:r>
        <w:rPr>
          <w:rFonts w:ascii="宋体" w:hAnsi="宋体"/>
          <w:highlight w:val="none"/>
        </w:rPr>
        <w:t>32.4.</w:t>
      </w:r>
      <w:r>
        <w:rPr>
          <w:rFonts w:hint="eastAsia" w:ascii="宋体" w:hAnsi="宋体"/>
          <w:highlight w:val="none"/>
        </w:rPr>
        <w:t>2</w:t>
      </w:r>
      <w:r>
        <w:rPr>
          <w:rFonts w:hint="eastAsia"/>
          <w:highlight w:val="none"/>
        </w:rPr>
        <w:t>不同投标人委托同一单位或者个人办理投标事宜；</w:t>
      </w:r>
    </w:p>
    <w:p>
      <w:pPr>
        <w:ind w:firstLine="411" w:firstLineChars="196"/>
        <w:rPr>
          <w:rFonts w:ascii="宋体" w:hAnsi="宋体"/>
          <w:highlight w:val="none"/>
        </w:rPr>
      </w:pPr>
      <w:r>
        <w:rPr>
          <w:rFonts w:hint="eastAsia" w:ascii="宋体" w:hAnsi="宋体"/>
          <w:highlight w:val="none"/>
        </w:rPr>
        <w:t>32.4.3不同投标人的投标文件载明的项目管理成员或者联系人员为同一人；</w:t>
      </w:r>
    </w:p>
    <w:p>
      <w:pPr>
        <w:ind w:firstLine="411" w:firstLineChars="196"/>
        <w:rPr>
          <w:rFonts w:ascii="宋体" w:hAnsi="宋体"/>
          <w:highlight w:val="none"/>
        </w:rPr>
      </w:pPr>
      <w:r>
        <w:rPr>
          <w:rFonts w:hint="eastAsia" w:ascii="宋体" w:hAnsi="宋体"/>
          <w:highlight w:val="none"/>
        </w:rPr>
        <w:t>32.4.4不同投标人的投标文件异常一致或者投标报价呈规律性差异；</w:t>
      </w:r>
    </w:p>
    <w:p>
      <w:pPr>
        <w:ind w:firstLine="411" w:firstLineChars="196"/>
        <w:rPr>
          <w:rFonts w:ascii="宋体" w:hAnsi="宋体"/>
          <w:highlight w:val="none"/>
        </w:rPr>
      </w:pPr>
      <w:r>
        <w:rPr>
          <w:rFonts w:hint="eastAsia" w:ascii="宋体" w:hAnsi="宋体"/>
          <w:highlight w:val="none"/>
        </w:rPr>
        <w:t>32.4.5</w:t>
      </w:r>
      <w:r>
        <w:rPr>
          <w:rFonts w:ascii="宋体" w:hAnsi="宋体"/>
          <w:highlight w:val="none"/>
        </w:rPr>
        <w:t>不同投标供应商的投标文件或部分投标文件相互混装</w:t>
      </w:r>
      <w:r>
        <w:rPr>
          <w:rFonts w:hint="eastAsia" w:ascii="宋体" w:hAnsi="宋体"/>
          <w:highlight w:val="none"/>
        </w:rPr>
        <w:t>；</w:t>
      </w:r>
    </w:p>
    <w:p>
      <w:pPr>
        <w:ind w:firstLine="411" w:firstLineChars="196"/>
        <w:rPr>
          <w:rFonts w:ascii="宋体" w:hAnsi="宋体"/>
          <w:highlight w:val="none"/>
        </w:rPr>
      </w:pPr>
      <w:r>
        <w:rPr>
          <w:rFonts w:hint="eastAsia" w:ascii="宋体" w:hAnsi="宋体"/>
          <w:highlight w:val="none"/>
        </w:rPr>
        <w:t>32.4.6投标供应商之间相互约定给予未中标的供应商利益补偿；</w:t>
      </w:r>
    </w:p>
    <w:p>
      <w:pPr>
        <w:ind w:firstLine="411" w:firstLineChars="196"/>
        <w:rPr>
          <w:rFonts w:ascii="宋体" w:hAnsi="宋体"/>
          <w:highlight w:val="none"/>
        </w:rPr>
      </w:pPr>
      <w:r>
        <w:rPr>
          <w:rFonts w:hint="eastAsia" w:ascii="宋体" w:hAnsi="宋体"/>
          <w:highlight w:val="none"/>
        </w:rPr>
        <w:t>32.4.7不同投标供应商的法定代表人、主要经营负责人、项目投标授权代表人、项目负责人、主要技术人员为同一人、属同一单位或者同一单位缴纳社会保险；</w:t>
      </w:r>
    </w:p>
    <w:p>
      <w:pPr>
        <w:ind w:firstLine="411" w:firstLineChars="196"/>
        <w:rPr>
          <w:rFonts w:ascii="宋体" w:hAnsi="宋体"/>
          <w:highlight w:val="none"/>
        </w:rPr>
      </w:pPr>
      <w:r>
        <w:rPr>
          <w:rFonts w:hint="eastAsia" w:ascii="宋体" w:hAnsi="宋体"/>
          <w:highlight w:val="none"/>
        </w:rPr>
        <w:t>32.4.8不同投标供应商的投标文件内容存在非正常一致；</w:t>
      </w:r>
    </w:p>
    <w:p>
      <w:pPr>
        <w:ind w:firstLine="411" w:firstLineChars="196"/>
        <w:rPr>
          <w:rFonts w:ascii="宋体" w:hAnsi="宋体"/>
          <w:highlight w:val="none"/>
        </w:rPr>
      </w:pPr>
      <w:r>
        <w:rPr>
          <w:rFonts w:hint="eastAsia" w:ascii="宋体" w:hAnsi="宋体"/>
          <w:highlight w:val="none"/>
        </w:rPr>
        <w:t>32.4.9在同一单位工作人员为两家以上（含两家）供应商进行同一项投标活动；</w:t>
      </w:r>
    </w:p>
    <w:p>
      <w:pPr>
        <w:ind w:firstLine="411" w:firstLineChars="196"/>
        <w:rPr>
          <w:rFonts w:ascii="宋体" w:hAnsi="宋体"/>
          <w:highlight w:val="none"/>
        </w:rPr>
      </w:pPr>
      <w:r>
        <w:rPr>
          <w:rFonts w:hint="eastAsia" w:ascii="宋体" w:hAnsi="宋体"/>
          <w:highlight w:val="none"/>
        </w:rPr>
        <w:t>32.4.10主管部门依照法律、法规认定的其他情形。</w:t>
      </w:r>
    </w:p>
    <w:p>
      <w:pPr>
        <w:ind w:firstLine="411" w:firstLineChars="196"/>
        <w:rPr>
          <w:rFonts w:ascii="宋体" w:hAnsi="宋体"/>
          <w:highlight w:val="none"/>
        </w:rPr>
      </w:pPr>
      <w:r>
        <w:rPr>
          <w:rFonts w:hint="eastAsia" w:ascii="宋体" w:hAnsi="宋体"/>
          <w:highlight w:val="none"/>
        </w:rPr>
        <w:t>32.5对不属于《资格性审查表》和《符合性审查表》所列的其他情形，除专用条款另有规定和32.4条款所列情形外，不得作为投标无效的理由。</w:t>
      </w:r>
    </w:p>
    <w:p>
      <w:pPr>
        <w:rPr>
          <w:rFonts w:ascii="黑体" w:hAnsi="宋体" w:eastAsia="黑体"/>
          <w:sz w:val="24"/>
          <w:highlight w:val="none"/>
        </w:rPr>
      </w:pPr>
      <w:r>
        <w:rPr>
          <w:rFonts w:hint="eastAsia" w:ascii="黑体" w:hAnsi="宋体" w:eastAsia="黑体"/>
          <w:sz w:val="24"/>
          <w:highlight w:val="none"/>
        </w:rPr>
        <w:t>33．澄清有关问题</w:t>
      </w:r>
    </w:p>
    <w:p>
      <w:pPr>
        <w:ind w:firstLine="411" w:firstLineChars="196"/>
        <w:rPr>
          <w:rFonts w:ascii="宋体" w:hAnsi="宋体"/>
          <w:highlight w:val="none"/>
        </w:rPr>
      </w:pPr>
      <w:bookmarkStart w:id="63" w:name="_Hlk71407321"/>
      <w:r>
        <w:rPr>
          <w:rFonts w:hint="eastAsia" w:ascii="宋体" w:hAnsi="宋体"/>
          <w:highlight w:val="none"/>
        </w:rPr>
        <w:t>3</w:t>
      </w:r>
      <w:r>
        <w:rPr>
          <w:rFonts w:ascii="宋体" w:hAnsi="宋体"/>
          <w:highlight w:val="none"/>
        </w:rPr>
        <w:t>3.1</w:t>
      </w:r>
      <w:r>
        <w:rPr>
          <w:rFonts w:hint="eastAsia" w:ascii="宋体" w:hAnsi="宋体"/>
          <w:highlight w:val="none"/>
        </w:rPr>
        <w:t>对招标文件中描述有歧义或前后不一致的地方（不含</w:t>
      </w:r>
      <w:r>
        <w:rPr>
          <w:szCs w:val="21"/>
          <w:highlight w:val="none"/>
        </w:rPr>
        <w:t>招标文件存在歧义、重大缺陷导致评</w:t>
      </w:r>
      <w:r>
        <w:rPr>
          <w:rFonts w:hint="eastAsia"/>
          <w:szCs w:val="21"/>
          <w:highlight w:val="none"/>
        </w:rPr>
        <w:t>审</w:t>
      </w:r>
      <w:r>
        <w:rPr>
          <w:szCs w:val="21"/>
          <w:highlight w:val="none"/>
        </w:rPr>
        <w:t>工作无法进行</w:t>
      </w:r>
      <w:r>
        <w:rPr>
          <w:rFonts w:hint="eastAsia"/>
          <w:szCs w:val="21"/>
          <w:highlight w:val="none"/>
        </w:rPr>
        <w:t>的情况）</w:t>
      </w:r>
      <w:r>
        <w:rPr>
          <w:rFonts w:hint="eastAsia" w:ascii="宋体" w:hAnsi="宋体"/>
          <w:highlight w:val="none"/>
        </w:rPr>
        <w:t>，评审委员会有权进行评判，但对同一条款的评判应适用于每个投标人。</w:t>
      </w:r>
      <w:bookmarkEnd w:id="63"/>
    </w:p>
    <w:p>
      <w:pPr>
        <w:ind w:firstLine="411" w:firstLineChars="196"/>
        <w:rPr>
          <w:rFonts w:ascii="宋体" w:hAnsi="宋体"/>
          <w:highlight w:val="none"/>
        </w:rPr>
      </w:pPr>
      <w:r>
        <w:rPr>
          <w:rFonts w:hint="eastAsia" w:ascii="宋体" w:hAnsi="宋体"/>
          <w:highlight w:val="none"/>
        </w:rPr>
        <w:t>3</w:t>
      </w:r>
      <w:r>
        <w:rPr>
          <w:rFonts w:ascii="宋体" w:hAnsi="宋体"/>
          <w:highlight w:val="none"/>
        </w:rPr>
        <w:t>3.2</w:t>
      </w:r>
      <w:r>
        <w:rPr>
          <w:szCs w:val="21"/>
          <w:highlight w:val="none"/>
        </w:rPr>
        <w:t>评</w:t>
      </w:r>
      <w:r>
        <w:rPr>
          <w:rFonts w:hint="eastAsia"/>
          <w:szCs w:val="21"/>
          <w:highlight w:val="none"/>
        </w:rPr>
        <w:t>审</w:t>
      </w:r>
      <w:r>
        <w:rPr>
          <w:szCs w:val="21"/>
          <w:highlight w:val="none"/>
        </w:rPr>
        <w:t>委员会发现招标文件存在歧义、重大缺陷导致评</w:t>
      </w:r>
      <w:r>
        <w:rPr>
          <w:rFonts w:hint="eastAsia"/>
          <w:szCs w:val="21"/>
          <w:highlight w:val="none"/>
        </w:rPr>
        <w:t>审</w:t>
      </w:r>
      <w:r>
        <w:rPr>
          <w:szCs w:val="21"/>
          <w:highlight w:val="none"/>
        </w:rPr>
        <w:t>工作无法进行，或者招标文件内容违反国家有关强制性规定的，应当停止评</w:t>
      </w:r>
      <w:r>
        <w:rPr>
          <w:rFonts w:hint="eastAsia"/>
          <w:szCs w:val="21"/>
          <w:highlight w:val="none"/>
        </w:rPr>
        <w:t>审</w:t>
      </w:r>
      <w:r>
        <w:rPr>
          <w:szCs w:val="21"/>
          <w:highlight w:val="none"/>
        </w:rPr>
        <w:t>工作，与</w:t>
      </w:r>
      <w:r>
        <w:rPr>
          <w:rFonts w:hint="eastAsia"/>
          <w:szCs w:val="21"/>
          <w:highlight w:val="none"/>
        </w:rPr>
        <w:t>政府集中采购机构</w:t>
      </w:r>
      <w:r>
        <w:rPr>
          <w:szCs w:val="21"/>
          <w:highlight w:val="none"/>
        </w:rPr>
        <w:t>沟通并作书面记录。</w:t>
      </w:r>
      <w:r>
        <w:rPr>
          <w:rFonts w:hint="eastAsia"/>
          <w:szCs w:val="21"/>
          <w:highlight w:val="none"/>
        </w:rPr>
        <w:t>经</w:t>
      </w:r>
      <w:r>
        <w:rPr>
          <w:szCs w:val="21"/>
          <w:highlight w:val="none"/>
        </w:rPr>
        <w:t>确认后，</w:t>
      </w:r>
      <w:r>
        <w:rPr>
          <w:rFonts w:hint="eastAsia"/>
          <w:szCs w:val="21"/>
          <w:highlight w:val="none"/>
        </w:rPr>
        <w:t>项目</w:t>
      </w:r>
      <w:r>
        <w:rPr>
          <w:szCs w:val="21"/>
          <w:highlight w:val="none"/>
        </w:rPr>
        <w:t>应当修改招标文件，重新组织采购活动。</w:t>
      </w:r>
    </w:p>
    <w:p>
      <w:pPr>
        <w:ind w:firstLine="411" w:firstLineChars="196"/>
        <w:rPr>
          <w:rFonts w:ascii="宋体" w:hAnsi="宋体"/>
          <w:highlight w:val="none"/>
        </w:rPr>
      </w:pPr>
      <w:r>
        <w:rPr>
          <w:rFonts w:ascii="宋体" w:hAnsi="宋体"/>
          <w:highlight w:val="none"/>
        </w:rPr>
        <w:t>33.3</w:t>
      </w:r>
      <w:r>
        <w:rPr>
          <w:rFonts w:hint="eastAsia" w:ascii="宋体" w:hAnsi="宋体"/>
          <w:highlight w:val="none"/>
        </w:rPr>
        <w:t>对于投标文件中含义不明确、同类问题表述不一致或者有明显文字和计算错误的内容，评审委员会应当以书面形式要求投标人作出必要的澄清、说明或者补正。</w:t>
      </w:r>
    </w:p>
    <w:p>
      <w:pPr>
        <w:ind w:firstLine="411" w:firstLineChars="196"/>
        <w:rPr>
          <w:rFonts w:ascii="宋体" w:hAnsi="宋体"/>
          <w:highlight w:val="none"/>
        </w:rPr>
      </w:pPr>
      <w:r>
        <w:rPr>
          <w:rFonts w:hint="eastAsia" w:ascii="宋体" w:hAnsi="宋体"/>
          <w:highlight w:val="none"/>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11" w:firstLineChars="196"/>
        <w:rPr>
          <w:rFonts w:ascii="宋体" w:hAnsi="宋体"/>
          <w:szCs w:val="21"/>
          <w:highlight w:val="none"/>
        </w:rPr>
      </w:pPr>
      <w:r>
        <w:rPr>
          <w:rFonts w:hint="eastAsia" w:ascii="宋体" w:hAnsi="宋体"/>
          <w:szCs w:val="21"/>
          <w:highlight w:val="none"/>
        </w:rPr>
        <w:t>根据本通用条款第34条，凡属于评审委员会在评审中发现的算术错误进行核实的修改不在此列。</w:t>
      </w:r>
    </w:p>
    <w:p>
      <w:pPr>
        <w:rPr>
          <w:rFonts w:ascii="黑体" w:hAnsi="宋体" w:eastAsia="黑体"/>
          <w:sz w:val="24"/>
          <w:highlight w:val="none"/>
        </w:rPr>
      </w:pPr>
      <w:bookmarkStart w:id="64" w:name="_Toc100052400"/>
      <w:bookmarkStart w:id="65" w:name="_Toc73518151"/>
      <w:bookmarkStart w:id="66" w:name="_Toc73517673"/>
      <w:bookmarkStart w:id="67" w:name="_Toc73521581"/>
      <w:bookmarkStart w:id="68" w:name="_Toc73521669"/>
      <w:r>
        <w:rPr>
          <w:rFonts w:hint="eastAsia" w:ascii="黑体" w:hAnsi="宋体" w:eastAsia="黑体"/>
          <w:sz w:val="24"/>
          <w:highlight w:val="none"/>
        </w:rPr>
        <w:t>34．错误的修正</w:t>
      </w:r>
      <w:bookmarkEnd w:id="64"/>
      <w:bookmarkEnd w:id="65"/>
      <w:bookmarkEnd w:id="66"/>
      <w:bookmarkEnd w:id="67"/>
      <w:bookmarkEnd w:id="68"/>
    </w:p>
    <w:p>
      <w:pPr>
        <w:ind w:firstLine="411" w:firstLineChars="196"/>
        <w:rPr>
          <w:rFonts w:ascii="宋体" w:hAnsi="宋体"/>
          <w:szCs w:val="21"/>
          <w:highlight w:val="none"/>
        </w:rPr>
      </w:pPr>
      <w:r>
        <w:rPr>
          <w:rFonts w:hint="eastAsia" w:ascii="宋体" w:hAnsi="宋体"/>
          <w:szCs w:val="21"/>
          <w:highlight w:val="none"/>
        </w:rPr>
        <w:t>投标文件报价出现前后不一致的，除专用条款另有规定外，按照下列规定修正：</w:t>
      </w:r>
    </w:p>
    <w:p>
      <w:pPr>
        <w:ind w:firstLine="411" w:firstLineChars="196"/>
        <w:rPr>
          <w:rFonts w:ascii="宋体" w:hAnsi="宋体"/>
          <w:szCs w:val="21"/>
          <w:highlight w:val="none"/>
        </w:rPr>
      </w:pPr>
      <w:r>
        <w:rPr>
          <w:rFonts w:hint="eastAsia" w:ascii="宋体" w:hAnsi="宋体"/>
          <w:szCs w:val="21"/>
          <w:highlight w:val="none"/>
        </w:rPr>
        <w:t>34.1投标文件中开标一览表投标报价内容与投标文件中投标报价相应内容不一致的，以开标一览表为准；</w:t>
      </w:r>
    </w:p>
    <w:p>
      <w:pPr>
        <w:ind w:firstLine="411" w:firstLineChars="196"/>
        <w:rPr>
          <w:rFonts w:ascii="宋体" w:hAnsi="宋体"/>
          <w:szCs w:val="21"/>
          <w:highlight w:val="none"/>
        </w:rPr>
      </w:pPr>
      <w:r>
        <w:rPr>
          <w:rFonts w:hint="eastAsia" w:ascii="宋体" w:hAnsi="宋体"/>
          <w:szCs w:val="21"/>
          <w:highlight w:val="none"/>
        </w:rPr>
        <w:t>34.2大写金额和小写金额不一致的，以大写金额为准；</w:t>
      </w:r>
    </w:p>
    <w:p>
      <w:pPr>
        <w:ind w:firstLine="411" w:firstLineChars="196"/>
        <w:rPr>
          <w:rFonts w:ascii="宋体" w:hAnsi="宋体"/>
          <w:szCs w:val="21"/>
          <w:highlight w:val="none"/>
        </w:rPr>
      </w:pPr>
      <w:r>
        <w:rPr>
          <w:rFonts w:hint="eastAsia" w:ascii="宋体" w:hAnsi="宋体"/>
          <w:szCs w:val="21"/>
          <w:highlight w:val="none"/>
        </w:rPr>
        <w:t>34.3单价金额小数点或者百分比有明显错位，以开标一览表的总价为准，并修改单价；</w:t>
      </w:r>
    </w:p>
    <w:p>
      <w:pPr>
        <w:ind w:firstLine="411" w:firstLineChars="196"/>
        <w:rPr>
          <w:rFonts w:ascii="宋体" w:hAnsi="宋体"/>
          <w:szCs w:val="21"/>
          <w:highlight w:val="none"/>
        </w:rPr>
      </w:pPr>
      <w:r>
        <w:rPr>
          <w:rFonts w:hint="eastAsia" w:ascii="宋体" w:hAnsi="宋体"/>
          <w:szCs w:val="21"/>
          <w:highlight w:val="none"/>
        </w:rPr>
        <w:t>34.4总价金额与按单价汇总金额不一致的，以单价金额计算结果为准。</w:t>
      </w:r>
    </w:p>
    <w:p>
      <w:pPr>
        <w:ind w:firstLine="411" w:firstLineChars="196"/>
        <w:rPr>
          <w:rFonts w:ascii="宋体" w:hAnsi="宋体"/>
          <w:szCs w:val="21"/>
          <w:highlight w:val="none"/>
        </w:rPr>
      </w:pPr>
      <w:r>
        <w:rPr>
          <w:rFonts w:hint="eastAsia" w:ascii="宋体" w:hAnsi="宋体"/>
          <w:szCs w:val="21"/>
          <w:highlight w:val="none"/>
        </w:rPr>
        <w:t>34.5同时出现两种以上不一致的，按照前款规定的顺序修正。修正后的报价按照本通用条款33条的规定，经投标人确认后产生约束力，投标人不确认的，其投标无效。</w:t>
      </w:r>
    </w:p>
    <w:p>
      <w:pPr>
        <w:rPr>
          <w:rFonts w:ascii="黑体" w:hAnsi="宋体" w:eastAsia="黑体"/>
          <w:sz w:val="24"/>
          <w:highlight w:val="none"/>
        </w:rPr>
      </w:pPr>
      <w:r>
        <w:rPr>
          <w:rFonts w:hint="eastAsia" w:ascii="黑体" w:hAnsi="宋体" w:eastAsia="黑体"/>
          <w:sz w:val="24"/>
          <w:highlight w:val="none"/>
        </w:rPr>
        <w:t>35．投标文件的比较与评价</w:t>
      </w:r>
    </w:p>
    <w:p>
      <w:pPr>
        <w:ind w:firstLine="411" w:firstLineChars="196"/>
        <w:rPr>
          <w:rFonts w:ascii="宋体" w:hAnsi="宋体"/>
          <w:szCs w:val="21"/>
          <w:highlight w:val="none"/>
        </w:rPr>
      </w:pPr>
      <w:r>
        <w:rPr>
          <w:rFonts w:hint="eastAsia" w:ascii="宋体" w:hAnsi="宋体"/>
          <w:szCs w:val="21"/>
          <w:highlight w:val="none"/>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ind w:firstLine="411" w:firstLineChars="196"/>
        <w:rPr>
          <w:rFonts w:ascii="宋体" w:hAnsi="宋体"/>
          <w:szCs w:val="21"/>
          <w:highlight w:val="none"/>
        </w:rPr>
      </w:pPr>
      <w:r>
        <w:rPr>
          <w:rFonts w:hint="eastAsia" w:ascii="宋体" w:hAnsi="宋体"/>
          <w:szCs w:val="21"/>
          <w:highlight w:val="none"/>
        </w:rPr>
        <w:t>评审委员会成员对需要共同认定的事项存在争议的，应当按照少数服从多数的原则作出结论。持不同意见的评审委员会成员应当书面作出说明，否则视为无异议。</w:t>
      </w:r>
    </w:p>
    <w:p>
      <w:pPr>
        <w:rPr>
          <w:rFonts w:ascii="黑体" w:hAnsi="宋体" w:eastAsia="黑体"/>
          <w:sz w:val="24"/>
          <w:highlight w:val="none"/>
        </w:rPr>
      </w:pPr>
      <w:r>
        <w:rPr>
          <w:rFonts w:hint="eastAsia" w:ascii="黑体" w:hAnsi="宋体" w:eastAsia="黑体"/>
          <w:sz w:val="24"/>
          <w:highlight w:val="none"/>
        </w:rPr>
        <w:t>36. 实地考察或资料查验</w:t>
      </w:r>
    </w:p>
    <w:p>
      <w:pPr>
        <w:ind w:firstLine="411" w:firstLineChars="196"/>
        <w:rPr>
          <w:rFonts w:ascii="宋体" w:hAnsi="宋体"/>
          <w:szCs w:val="21"/>
          <w:highlight w:val="none"/>
        </w:rPr>
      </w:pPr>
      <w:r>
        <w:rPr>
          <w:rFonts w:hint="eastAsia" w:ascii="宋体" w:hAnsi="宋体"/>
          <w:szCs w:val="21"/>
          <w:highlight w:val="none"/>
        </w:rPr>
        <w:t>36.1在评审过程中，评审委员会有权决定是否对本项目投标人进行实地考察或资料查验（原件）。投标人应随时做好接受实地考察或资料查验的准备。</w:t>
      </w:r>
    </w:p>
    <w:p>
      <w:pPr>
        <w:rPr>
          <w:rFonts w:ascii="黑体" w:hAnsi="宋体" w:eastAsia="黑体"/>
          <w:sz w:val="24"/>
          <w:highlight w:val="none"/>
        </w:rPr>
      </w:pPr>
      <w:r>
        <w:rPr>
          <w:rFonts w:hint="eastAsia" w:ascii="黑体" w:hAnsi="宋体" w:eastAsia="黑体"/>
          <w:sz w:val="24"/>
          <w:highlight w:val="none"/>
        </w:rPr>
        <w:t>37．评审方法</w:t>
      </w:r>
    </w:p>
    <w:p>
      <w:pPr>
        <w:ind w:firstLine="413" w:firstLineChars="196"/>
        <w:rPr>
          <w:rFonts w:ascii="宋体" w:hAnsi="宋体"/>
          <w:b/>
          <w:bCs/>
          <w:szCs w:val="21"/>
          <w:highlight w:val="none"/>
        </w:rPr>
      </w:pPr>
      <w:r>
        <w:rPr>
          <w:rFonts w:hint="eastAsia" w:ascii="宋体" w:hAnsi="宋体"/>
          <w:b/>
          <w:bCs/>
          <w:szCs w:val="21"/>
          <w:highlight w:val="none"/>
        </w:rPr>
        <w:t>37.1.1最低价法</w:t>
      </w:r>
    </w:p>
    <w:p>
      <w:pPr>
        <w:ind w:firstLine="411" w:firstLineChars="196"/>
        <w:rPr>
          <w:rFonts w:ascii="ˎ̥" w:hAnsi="ˎ̥"/>
          <w:highlight w:val="none"/>
        </w:rPr>
      </w:pPr>
      <w:bookmarkStart w:id="69" w:name="_Hlk72438142"/>
      <w:r>
        <w:rPr>
          <w:rFonts w:ascii="ˎ̥" w:hAnsi="ˎ̥"/>
          <w:highlight w:val="none"/>
        </w:rPr>
        <w:t>最低价法，是指</w:t>
      </w:r>
      <w:r>
        <w:rPr>
          <w:rFonts w:hint="eastAsia" w:ascii="ˎ̥" w:hAnsi="ˎ̥"/>
          <w:highlight w:val="none"/>
        </w:rPr>
        <w:t>完全</w:t>
      </w:r>
      <w:r>
        <w:rPr>
          <w:rFonts w:ascii="ˎ̥" w:hAnsi="ˎ̥"/>
          <w:highlight w:val="none"/>
        </w:rPr>
        <w:t>满足招标文件实质性要求，</w:t>
      </w:r>
      <w:r>
        <w:rPr>
          <w:rFonts w:hint="eastAsia" w:ascii="ˎ̥" w:hAnsi="ˎ̥"/>
          <w:highlight w:val="none"/>
        </w:rPr>
        <w:t>按照报价由低到高的顺序，依据招标文件中规定的数量或者比例推荐候选中标供应商。</w:t>
      </w:r>
    </w:p>
    <w:p>
      <w:pPr>
        <w:ind w:firstLine="413" w:firstLineChars="196"/>
        <w:rPr>
          <w:rFonts w:ascii="宋体" w:hAnsi="宋体"/>
          <w:b/>
          <w:bCs/>
          <w:szCs w:val="21"/>
          <w:highlight w:val="none"/>
        </w:rPr>
      </w:pPr>
      <w:r>
        <w:rPr>
          <w:rFonts w:hint="eastAsia" w:ascii="宋体" w:hAnsi="宋体"/>
          <w:b/>
          <w:bCs/>
          <w:szCs w:val="21"/>
          <w:highlight w:val="none"/>
        </w:rPr>
        <w:t>37.1.2综合评分法</w:t>
      </w:r>
    </w:p>
    <w:p>
      <w:pPr>
        <w:ind w:firstLine="411" w:firstLineChars="196"/>
        <w:rPr>
          <w:rFonts w:hint="eastAsia" w:ascii="ˎ̥" w:hAnsi="ˎ̥"/>
          <w:highlight w:val="none"/>
        </w:rPr>
      </w:pPr>
      <w:r>
        <w:rPr>
          <w:rFonts w:ascii="ˎ̥" w:hAnsi="ˎ̥"/>
          <w:highlight w:val="none"/>
        </w:rPr>
        <w:t>综合评分法，是指</w:t>
      </w:r>
      <w:r>
        <w:rPr>
          <w:rFonts w:hint="eastAsia" w:ascii="ˎ̥" w:hAnsi="ˎ̥"/>
          <w:highlight w:val="none"/>
        </w:rPr>
        <w:t>在</w:t>
      </w:r>
      <w:r>
        <w:rPr>
          <w:rFonts w:ascii="ˎ̥" w:hAnsi="ˎ̥"/>
          <w:highlight w:val="none"/>
        </w:rPr>
        <w:t>满足招标文件全部实质性要求</w:t>
      </w:r>
      <w:r>
        <w:rPr>
          <w:rFonts w:hint="eastAsia" w:ascii="ˎ̥" w:hAnsi="ˎ̥"/>
          <w:highlight w:val="none"/>
        </w:rPr>
        <w:t>的前提下</w:t>
      </w:r>
      <w:r>
        <w:rPr>
          <w:rFonts w:ascii="ˎ̥" w:hAnsi="ˎ̥"/>
          <w:highlight w:val="none"/>
        </w:rPr>
        <w:t>，</w:t>
      </w:r>
      <w:r>
        <w:rPr>
          <w:rFonts w:hint="eastAsia" w:ascii="ˎ̥" w:hAnsi="ˎ̥"/>
          <w:highlight w:val="none"/>
        </w:rPr>
        <w:t>按照招标文件中规定的各项因素进行综合评审，评审总得分排名前列的投标人，作为推荐的候选中标供应商。</w:t>
      </w:r>
      <w:bookmarkEnd w:id="69"/>
    </w:p>
    <w:p>
      <w:pPr>
        <w:ind w:firstLine="411" w:firstLineChars="196"/>
        <w:rPr>
          <w:rFonts w:ascii="宋体" w:hAnsi="宋体"/>
          <w:b/>
          <w:bCs/>
          <w:szCs w:val="21"/>
          <w:highlight w:val="none"/>
        </w:rPr>
      </w:pPr>
      <w:r>
        <w:rPr>
          <w:rFonts w:hint="eastAsia" w:ascii="ˎ̥" w:hAnsi="ˎ̥"/>
          <w:highlight w:val="none"/>
          <w:lang w:val="en-US" w:eastAsia="zh-CN"/>
        </w:rPr>
        <w:t>3</w:t>
      </w:r>
      <w:r>
        <w:rPr>
          <w:rFonts w:hint="eastAsia" w:ascii="宋体" w:hAnsi="宋体"/>
          <w:b/>
          <w:bCs/>
          <w:szCs w:val="21"/>
          <w:highlight w:val="none"/>
        </w:rPr>
        <w:t>7.2 本项目采用的评审方法见本项目招标文件第一册“专用条款”的相关内容。</w:t>
      </w:r>
    </w:p>
    <w:p>
      <w:pPr>
        <w:ind w:firstLine="413" w:firstLineChars="196"/>
        <w:rPr>
          <w:rFonts w:ascii="宋体" w:hAnsi="宋体"/>
          <w:b/>
          <w:bCs/>
          <w:szCs w:val="21"/>
          <w:highlight w:val="none"/>
        </w:rPr>
      </w:pPr>
      <w:r>
        <w:rPr>
          <w:rFonts w:hint="eastAsia" w:ascii="宋体" w:hAnsi="宋体"/>
          <w:b/>
          <w:bCs/>
          <w:szCs w:val="21"/>
          <w:highlight w:val="none"/>
        </w:rPr>
        <w:t>37.3重新评审的情形</w:t>
      </w:r>
    </w:p>
    <w:p>
      <w:pPr>
        <w:ind w:firstLine="411" w:firstLineChars="196"/>
        <w:rPr>
          <w:rFonts w:ascii="宋体" w:hAnsi="宋体"/>
          <w:b/>
          <w:bCs/>
          <w:szCs w:val="21"/>
          <w:highlight w:val="none"/>
        </w:rPr>
      </w:pPr>
      <w:r>
        <w:rPr>
          <w:rFonts w:hint="eastAsia" w:ascii="宋体" w:hAnsi="宋体" w:cs="宋体"/>
          <w:kern w:val="0"/>
          <w:szCs w:val="21"/>
          <w:highlight w:val="none"/>
        </w:rPr>
        <w:t>评审结果汇总完成后，除下列情形外，任何人不得修改评审结果：</w:t>
      </w:r>
    </w:p>
    <w:p>
      <w:pPr>
        <w:ind w:firstLine="411" w:firstLineChars="196"/>
        <w:rPr>
          <w:rFonts w:ascii="宋体" w:hAnsi="宋体" w:cs="宋体"/>
          <w:kern w:val="0"/>
          <w:szCs w:val="21"/>
          <w:highlight w:val="none"/>
        </w:rPr>
      </w:pPr>
      <w:r>
        <w:rPr>
          <w:rFonts w:hint="eastAsia" w:ascii="宋体" w:hAnsi="宋体" w:cs="宋体"/>
          <w:kern w:val="0"/>
          <w:szCs w:val="21"/>
          <w:highlight w:val="none"/>
        </w:rPr>
        <w:t>37.3.1分值汇总计算错误的；</w:t>
      </w:r>
    </w:p>
    <w:p>
      <w:pPr>
        <w:ind w:firstLine="411" w:firstLineChars="196"/>
        <w:rPr>
          <w:rFonts w:ascii="宋体" w:hAnsi="宋体" w:cs="宋体"/>
          <w:kern w:val="0"/>
          <w:szCs w:val="21"/>
          <w:highlight w:val="none"/>
        </w:rPr>
      </w:pPr>
      <w:r>
        <w:rPr>
          <w:rFonts w:hint="eastAsia" w:ascii="宋体" w:hAnsi="宋体" w:cs="宋体"/>
          <w:kern w:val="0"/>
          <w:szCs w:val="21"/>
          <w:highlight w:val="none"/>
        </w:rPr>
        <w:t>37.3.2分项评分超出评分标准范围的；</w:t>
      </w:r>
    </w:p>
    <w:p>
      <w:pPr>
        <w:ind w:firstLine="411" w:firstLineChars="196"/>
        <w:rPr>
          <w:rFonts w:ascii="宋体" w:hAnsi="宋体" w:cs="宋体"/>
          <w:kern w:val="0"/>
          <w:szCs w:val="21"/>
          <w:highlight w:val="none"/>
        </w:rPr>
      </w:pPr>
      <w:r>
        <w:rPr>
          <w:rFonts w:hint="eastAsia" w:ascii="宋体" w:hAnsi="宋体" w:cs="宋体"/>
          <w:kern w:val="0"/>
          <w:szCs w:val="21"/>
          <w:highlight w:val="none"/>
        </w:rPr>
        <w:t>37.3.3评审委员会成员对客观评审因素评分不一致的；</w:t>
      </w:r>
    </w:p>
    <w:p>
      <w:pPr>
        <w:ind w:firstLine="411" w:firstLineChars="196"/>
        <w:rPr>
          <w:rFonts w:ascii="宋体" w:hAnsi="宋体" w:cs="宋体"/>
          <w:kern w:val="0"/>
          <w:szCs w:val="21"/>
          <w:highlight w:val="none"/>
        </w:rPr>
      </w:pPr>
      <w:r>
        <w:rPr>
          <w:rFonts w:hint="eastAsia" w:ascii="宋体" w:hAnsi="宋体" w:cs="宋体"/>
          <w:kern w:val="0"/>
          <w:szCs w:val="21"/>
          <w:highlight w:val="none"/>
        </w:rPr>
        <w:t>37.3.4经评审委员会认定评分畸高、畸低的。</w:t>
      </w:r>
    </w:p>
    <w:p>
      <w:pPr>
        <w:ind w:firstLine="411" w:firstLineChars="196"/>
        <w:rPr>
          <w:rFonts w:ascii="宋体" w:hAnsi="宋体" w:cs="宋体"/>
          <w:kern w:val="0"/>
          <w:szCs w:val="21"/>
          <w:highlight w:val="none"/>
        </w:rPr>
      </w:pPr>
      <w:r>
        <w:rPr>
          <w:rFonts w:hint="eastAsia" w:ascii="宋体" w:hAnsi="宋体" w:cs="宋体"/>
          <w:kern w:val="0"/>
          <w:szCs w:val="21"/>
          <w:highlight w:val="none"/>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11" w:firstLineChars="196"/>
        <w:rPr>
          <w:rFonts w:ascii="宋体" w:hAnsi="宋体" w:cs="宋体"/>
          <w:kern w:val="0"/>
          <w:szCs w:val="21"/>
          <w:highlight w:val="none"/>
        </w:rPr>
      </w:pPr>
      <w:r>
        <w:rPr>
          <w:rFonts w:hint="eastAsia" w:ascii="宋体" w:hAnsi="宋体" w:cs="宋体"/>
          <w:kern w:val="0"/>
          <w:szCs w:val="21"/>
          <w:highlight w:val="none"/>
        </w:rPr>
        <w:t>投标人对本条第一款情形提出质疑的，采购人或者采购代理机构可以组织原评审委员会进行重新评审，重新评审改变评审结果的，应当书面报告本级财政部门。</w:t>
      </w:r>
    </w:p>
    <w:p>
      <w:pPr>
        <w:ind w:firstLine="413" w:firstLineChars="196"/>
        <w:rPr>
          <w:rFonts w:ascii="宋体" w:hAnsi="宋体"/>
          <w:b/>
          <w:bCs/>
          <w:szCs w:val="21"/>
          <w:highlight w:val="none"/>
        </w:rPr>
      </w:pPr>
      <w:r>
        <w:rPr>
          <w:rFonts w:hint="eastAsia" w:ascii="宋体" w:hAnsi="宋体"/>
          <w:b/>
          <w:bCs/>
          <w:szCs w:val="21"/>
          <w:highlight w:val="none"/>
        </w:rPr>
        <w:t>37.4重新组建评审委员会的情形</w:t>
      </w:r>
    </w:p>
    <w:p>
      <w:pPr>
        <w:ind w:firstLine="411" w:firstLineChars="196"/>
        <w:rPr>
          <w:rFonts w:ascii="宋体" w:hAnsi="宋体" w:cs="宋体"/>
          <w:kern w:val="0"/>
          <w:szCs w:val="21"/>
          <w:highlight w:val="none"/>
        </w:rPr>
      </w:pPr>
      <w:r>
        <w:rPr>
          <w:rFonts w:hint="eastAsia" w:ascii="宋体" w:hAnsi="宋体" w:cs="宋体"/>
          <w:kern w:val="0"/>
          <w:szCs w:val="21"/>
          <w:highlight w:val="none"/>
        </w:rPr>
        <w:t>评审委员会或者其成员存在下列情形导致评审结果无效的，重新组建评审委员会进行评标，并书面报告本级财政部门：</w:t>
      </w:r>
    </w:p>
    <w:p>
      <w:pPr>
        <w:ind w:firstLine="411" w:firstLineChars="196"/>
        <w:rPr>
          <w:rFonts w:ascii="宋体" w:hAnsi="宋体" w:cs="宋体"/>
          <w:kern w:val="0"/>
          <w:szCs w:val="21"/>
          <w:highlight w:val="none"/>
        </w:rPr>
      </w:pPr>
      <w:r>
        <w:rPr>
          <w:rFonts w:hint="eastAsia" w:ascii="宋体" w:hAnsi="宋体" w:cs="宋体"/>
          <w:kern w:val="0"/>
          <w:szCs w:val="21"/>
          <w:highlight w:val="none"/>
        </w:rPr>
        <w:t>37.4.1评审委员会组成不符合《政府采购货物和服务招标投标管理办法》规定的；</w:t>
      </w:r>
    </w:p>
    <w:p>
      <w:pPr>
        <w:ind w:firstLine="411" w:firstLineChars="196"/>
        <w:rPr>
          <w:rFonts w:ascii="宋体" w:hAnsi="宋体" w:cs="宋体"/>
          <w:kern w:val="0"/>
          <w:szCs w:val="21"/>
          <w:highlight w:val="none"/>
        </w:rPr>
      </w:pPr>
      <w:r>
        <w:rPr>
          <w:rFonts w:hint="eastAsia" w:ascii="宋体" w:hAnsi="宋体" w:cs="宋体"/>
          <w:kern w:val="0"/>
          <w:szCs w:val="21"/>
          <w:highlight w:val="none"/>
        </w:rPr>
        <w:t>37.4.2有《政府采购货物和服务招标投标管理办法》第六十二条第一至五项情形的；</w:t>
      </w:r>
    </w:p>
    <w:p>
      <w:pPr>
        <w:ind w:firstLine="411" w:firstLineChars="196"/>
        <w:rPr>
          <w:rFonts w:ascii="宋体" w:hAnsi="宋体" w:cs="宋体"/>
          <w:kern w:val="0"/>
          <w:szCs w:val="21"/>
          <w:highlight w:val="none"/>
        </w:rPr>
      </w:pPr>
      <w:r>
        <w:rPr>
          <w:rFonts w:hint="eastAsia" w:ascii="宋体" w:hAnsi="宋体" w:cs="宋体"/>
          <w:kern w:val="0"/>
          <w:szCs w:val="21"/>
          <w:highlight w:val="none"/>
        </w:rPr>
        <w:t>37.4.3评审委员会及其成员独立评标受到非法干预的；</w:t>
      </w:r>
    </w:p>
    <w:p>
      <w:pPr>
        <w:ind w:firstLine="411" w:firstLineChars="196"/>
        <w:rPr>
          <w:rFonts w:ascii="宋体" w:hAnsi="宋体" w:cs="宋体"/>
          <w:kern w:val="0"/>
          <w:szCs w:val="21"/>
          <w:highlight w:val="none"/>
        </w:rPr>
      </w:pPr>
      <w:r>
        <w:rPr>
          <w:rFonts w:hint="eastAsia" w:ascii="宋体" w:hAnsi="宋体" w:cs="宋体"/>
          <w:kern w:val="0"/>
          <w:szCs w:val="21"/>
          <w:highlight w:val="none"/>
        </w:rPr>
        <w:t>37.4.4有政府采购法实施条例第七十五条规定的违法行为的。</w:t>
      </w:r>
    </w:p>
    <w:p>
      <w:pPr>
        <w:ind w:firstLine="411" w:firstLineChars="196"/>
        <w:rPr>
          <w:rFonts w:ascii="宋体" w:hAnsi="宋体" w:cs="宋体"/>
          <w:kern w:val="0"/>
          <w:szCs w:val="21"/>
          <w:highlight w:val="none"/>
        </w:rPr>
      </w:pPr>
      <w:r>
        <w:rPr>
          <w:rFonts w:hint="eastAsia" w:ascii="宋体" w:hAnsi="宋体" w:cs="宋体"/>
          <w:kern w:val="0"/>
          <w:szCs w:val="21"/>
          <w:highlight w:val="none"/>
        </w:rPr>
        <w:t>有违法违规行为的原评审委员会成员不得参加重新组建的评审委员会。</w:t>
      </w:r>
    </w:p>
    <w:p>
      <w:pPr>
        <w:ind w:firstLine="411" w:firstLineChars="196"/>
        <w:rPr>
          <w:rFonts w:ascii="宋体" w:hAnsi="宋体"/>
          <w:szCs w:val="21"/>
          <w:highlight w:val="none"/>
        </w:rPr>
      </w:pPr>
    </w:p>
    <w:p>
      <w:pPr>
        <w:pStyle w:val="7"/>
        <w:numPr>
          <w:ilvl w:val="0"/>
          <w:numId w:val="14"/>
        </w:numPr>
        <w:spacing w:before="120" w:beforeLines="50" w:after="120" w:afterLines="50"/>
        <w:ind w:left="562" w:hanging="562"/>
        <w:rPr>
          <w:sz w:val="28"/>
          <w:szCs w:val="28"/>
          <w:highlight w:val="none"/>
        </w:rPr>
      </w:pPr>
      <w:r>
        <w:rPr>
          <w:rFonts w:hint="eastAsia"/>
          <w:sz w:val="28"/>
          <w:szCs w:val="28"/>
          <w:highlight w:val="none"/>
        </w:rPr>
        <w:t>定标及公示</w:t>
      </w:r>
    </w:p>
    <w:p>
      <w:pPr>
        <w:rPr>
          <w:rFonts w:ascii="黑体" w:hAnsi="宋体" w:eastAsia="黑体"/>
          <w:sz w:val="24"/>
          <w:highlight w:val="none"/>
        </w:rPr>
      </w:pPr>
      <w:r>
        <w:rPr>
          <w:rFonts w:hint="eastAsia" w:ascii="黑体" w:hAnsi="宋体" w:eastAsia="黑体"/>
          <w:sz w:val="24"/>
          <w:highlight w:val="none"/>
        </w:rPr>
        <w:t>38．定标方法</w:t>
      </w:r>
    </w:p>
    <w:p>
      <w:pPr>
        <w:ind w:firstLine="411" w:firstLineChars="196"/>
        <w:rPr>
          <w:rFonts w:ascii="宋体" w:hAnsi="宋体"/>
          <w:szCs w:val="21"/>
          <w:highlight w:val="none"/>
        </w:rPr>
      </w:pPr>
      <w:r>
        <w:rPr>
          <w:rFonts w:hint="eastAsia" w:ascii="宋体" w:hAnsi="宋体"/>
          <w:szCs w:val="21"/>
          <w:highlight w:val="none"/>
        </w:rPr>
        <w:t>38.1非评定分离项目定标方法</w:t>
      </w:r>
    </w:p>
    <w:p>
      <w:pPr>
        <w:ind w:firstLine="411" w:firstLineChars="196"/>
        <w:rPr>
          <w:rFonts w:ascii="宋体" w:hAnsi="宋体"/>
          <w:szCs w:val="21"/>
          <w:highlight w:val="none"/>
        </w:rPr>
      </w:pPr>
      <w:r>
        <w:rPr>
          <w:rFonts w:hint="eastAsia" w:ascii="宋体" w:hAnsi="宋体"/>
          <w:szCs w:val="21"/>
          <w:highlight w:val="none"/>
        </w:rPr>
        <w:t>38</w:t>
      </w:r>
      <w:r>
        <w:rPr>
          <w:rFonts w:ascii="宋体" w:hAnsi="宋体"/>
          <w:szCs w:val="21"/>
          <w:highlight w:val="none"/>
        </w:rPr>
        <w:t>.</w:t>
      </w:r>
      <w:r>
        <w:rPr>
          <w:rFonts w:hint="eastAsia" w:ascii="宋体" w:hAnsi="宋体"/>
          <w:szCs w:val="21"/>
          <w:highlight w:val="none"/>
        </w:rPr>
        <w:t>1.1评审委员会依据本项目招标文件所约定的评审方法进行评审和比较，向政府集中采购机构提交书面评审报告，并根据评审方法比较评价结果从优到劣进行排序，确定候选中标供应商。</w:t>
      </w:r>
    </w:p>
    <w:p>
      <w:pPr>
        <w:ind w:firstLine="411" w:firstLineChars="196"/>
        <w:rPr>
          <w:rFonts w:ascii="ˎ̥" w:hAnsi="ˎ̥"/>
          <w:highlight w:val="none"/>
        </w:rPr>
      </w:pPr>
      <w:r>
        <w:rPr>
          <w:rFonts w:hint="eastAsia" w:ascii="宋体" w:hAnsi="宋体"/>
          <w:szCs w:val="21"/>
          <w:highlight w:val="none"/>
        </w:rPr>
        <w:t>38</w:t>
      </w:r>
      <w:r>
        <w:rPr>
          <w:rFonts w:ascii="宋体" w:hAnsi="宋体"/>
          <w:szCs w:val="21"/>
          <w:highlight w:val="none"/>
        </w:rPr>
        <w:t>.</w:t>
      </w:r>
      <w:r>
        <w:rPr>
          <w:rFonts w:hint="eastAsia" w:ascii="宋体" w:hAnsi="宋体"/>
          <w:szCs w:val="21"/>
          <w:highlight w:val="none"/>
        </w:rPr>
        <w:t>1.2</w:t>
      </w:r>
      <w:r>
        <w:rPr>
          <w:rFonts w:ascii="ˎ̥" w:hAnsi="ˎ̥"/>
          <w:highlight w:val="none"/>
        </w:rPr>
        <w:t>采用最低价法的，评</w:t>
      </w:r>
      <w:r>
        <w:rPr>
          <w:rFonts w:hint="eastAsia" w:ascii="ˎ̥" w:hAnsi="ˎ̥"/>
          <w:highlight w:val="none"/>
        </w:rPr>
        <w:t>审</w:t>
      </w:r>
      <w:r>
        <w:rPr>
          <w:rFonts w:ascii="ˎ̥" w:hAnsi="ˎ̥"/>
          <w:highlight w:val="none"/>
        </w:rPr>
        <w:t>结果按投标报价由低到高顺序排列。投标报价相同的并列。投标文件满足招标文件全部实质性要求且投标报价最低的</w:t>
      </w:r>
      <w:r>
        <w:rPr>
          <w:rFonts w:hint="eastAsia" w:ascii="ˎ̥" w:hAnsi="ˎ̥"/>
          <w:highlight w:val="none"/>
        </w:rPr>
        <w:t>投标人为中标供应商</w:t>
      </w:r>
      <w:r>
        <w:rPr>
          <w:rFonts w:ascii="ˎ̥" w:hAnsi="ˎ̥"/>
          <w:highlight w:val="none"/>
        </w:rPr>
        <w:t>（</w:t>
      </w:r>
      <w:r>
        <w:rPr>
          <w:rFonts w:hint="eastAsia" w:ascii="ˎ̥" w:hAnsi="ˎ̥"/>
          <w:highlight w:val="none"/>
        </w:rPr>
        <w:t>排名</w:t>
      </w:r>
      <w:r>
        <w:rPr>
          <w:rFonts w:ascii="ˎ̥" w:hAnsi="ˎ̥"/>
          <w:highlight w:val="none"/>
        </w:rPr>
        <w:t>第二</w:t>
      </w:r>
      <w:r>
        <w:rPr>
          <w:rFonts w:hint="eastAsia" w:ascii="ˎ̥" w:hAnsi="ˎ̥"/>
          <w:highlight w:val="none"/>
        </w:rPr>
        <w:t>的投标人为第一替补中标候选人、排名</w:t>
      </w:r>
      <w:r>
        <w:rPr>
          <w:rFonts w:ascii="ˎ̥" w:hAnsi="ˎ̥"/>
          <w:highlight w:val="none"/>
        </w:rPr>
        <w:t>第</w:t>
      </w:r>
      <w:r>
        <w:rPr>
          <w:rFonts w:hint="eastAsia" w:ascii="ˎ̥" w:hAnsi="ˎ̥"/>
          <w:highlight w:val="none"/>
        </w:rPr>
        <w:t>三的投标人为第二替补中标候选人</w:t>
      </w:r>
      <w:r>
        <w:rPr>
          <w:rFonts w:ascii="ˎ̥" w:hAnsi="ˎ̥"/>
          <w:highlight w:val="none"/>
        </w:rPr>
        <w:t>）。</w:t>
      </w:r>
    </w:p>
    <w:p>
      <w:pPr>
        <w:ind w:firstLine="411" w:firstLineChars="196"/>
        <w:rPr>
          <w:rFonts w:ascii="ˎ̥" w:hAnsi="ˎ̥"/>
          <w:highlight w:val="none"/>
        </w:rPr>
      </w:pPr>
      <w:r>
        <w:rPr>
          <w:rFonts w:hint="eastAsia" w:ascii="宋体" w:hAnsi="宋体"/>
          <w:szCs w:val="21"/>
          <w:highlight w:val="none"/>
        </w:rPr>
        <w:t>38</w:t>
      </w:r>
      <w:r>
        <w:rPr>
          <w:rFonts w:ascii="宋体" w:hAnsi="宋体"/>
          <w:szCs w:val="21"/>
          <w:highlight w:val="none"/>
        </w:rPr>
        <w:t>.</w:t>
      </w:r>
      <w:r>
        <w:rPr>
          <w:rFonts w:hint="eastAsia" w:ascii="宋体" w:hAnsi="宋体"/>
          <w:szCs w:val="21"/>
          <w:highlight w:val="none"/>
        </w:rPr>
        <w:t>1.3</w:t>
      </w:r>
      <w:r>
        <w:rPr>
          <w:rFonts w:ascii="宋体" w:hAnsi="宋体"/>
          <w:szCs w:val="21"/>
          <w:highlight w:val="none"/>
        </w:rPr>
        <w:t>采</w:t>
      </w:r>
      <w:r>
        <w:rPr>
          <w:rFonts w:ascii="ˎ̥" w:hAnsi="ˎ̥"/>
          <w:highlight w:val="none"/>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highlight w:val="none"/>
        </w:rPr>
        <w:t>为中标供应商</w:t>
      </w:r>
      <w:r>
        <w:rPr>
          <w:rFonts w:ascii="ˎ̥" w:hAnsi="ˎ̥"/>
          <w:highlight w:val="none"/>
        </w:rPr>
        <w:t>（</w:t>
      </w:r>
      <w:r>
        <w:rPr>
          <w:rFonts w:hint="eastAsia" w:ascii="ˎ̥" w:hAnsi="ˎ̥"/>
          <w:highlight w:val="none"/>
        </w:rPr>
        <w:t>排名</w:t>
      </w:r>
      <w:r>
        <w:rPr>
          <w:rFonts w:ascii="ˎ̥" w:hAnsi="ˎ̥"/>
          <w:highlight w:val="none"/>
        </w:rPr>
        <w:t>第二</w:t>
      </w:r>
      <w:r>
        <w:rPr>
          <w:rFonts w:hint="eastAsia" w:ascii="ˎ̥" w:hAnsi="ˎ̥"/>
          <w:highlight w:val="none"/>
        </w:rPr>
        <w:t>的投标人为第一替补中标候选人、排名</w:t>
      </w:r>
      <w:r>
        <w:rPr>
          <w:rFonts w:ascii="ˎ̥" w:hAnsi="ˎ̥"/>
          <w:highlight w:val="none"/>
        </w:rPr>
        <w:t>第</w:t>
      </w:r>
      <w:r>
        <w:rPr>
          <w:rFonts w:hint="eastAsia" w:ascii="ˎ̥" w:hAnsi="ˎ̥"/>
          <w:highlight w:val="none"/>
        </w:rPr>
        <w:t>三的投标人为第二替补中标候选人</w:t>
      </w:r>
      <w:r>
        <w:rPr>
          <w:rFonts w:ascii="ˎ̥" w:hAnsi="ˎ̥"/>
          <w:highlight w:val="none"/>
        </w:rPr>
        <w:t>）。</w:t>
      </w:r>
      <w:r>
        <w:rPr>
          <w:rFonts w:hint="eastAsia" w:ascii="ˎ̥" w:hAnsi="ˎ̥"/>
          <w:highlight w:val="none"/>
        </w:rPr>
        <w:t>出现</w:t>
      </w:r>
      <w:r>
        <w:rPr>
          <w:rFonts w:ascii="ˎ̥" w:hAnsi="ˎ̥"/>
          <w:highlight w:val="none"/>
        </w:rPr>
        <w:t>得分且投标报价相同的并列</w:t>
      </w:r>
      <w:r>
        <w:rPr>
          <w:rFonts w:hint="eastAsia" w:ascii="ˎ̥" w:hAnsi="ˎ̥"/>
          <w:highlight w:val="none"/>
        </w:rPr>
        <w:t>情况时，采取随机抽取的方式确定，具体操作办法及流程由评审委员会确定。</w:t>
      </w:r>
    </w:p>
    <w:p>
      <w:pPr>
        <w:ind w:firstLine="411" w:firstLineChars="196"/>
        <w:rPr>
          <w:rFonts w:ascii="宋体" w:hAnsi="宋体"/>
          <w:szCs w:val="21"/>
          <w:highlight w:val="none"/>
        </w:rPr>
      </w:pPr>
      <w:r>
        <w:rPr>
          <w:rFonts w:hint="eastAsia" w:ascii="宋体" w:hAnsi="宋体"/>
          <w:szCs w:val="21"/>
          <w:highlight w:val="none"/>
        </w:rPr>
        <w:t>38.2评定分离项目定标方法</w:t>
      </w:r>
    </w:p>
    <w:p>
      <w:pPr>
        <w:ind w:firstLine="411" w:firstLineChars="196"/>
        <w:rPr>
          <w:rFonts w:ascii="宋体" w:hAnsi="宋体"/>
          <w:szCs w:val="21"/>
          <w:highlight w:val="none"/>
        </w:rPr>
      </w:pPr>
      <w:r>
        <w:rPr>
          <w:rFonts w:hint="eastAsia" w:ascii="宋体" w:hAnsi="宋体"/>
          <w:szCs w:val="21"/>
          <w:highlight w:val="none"/>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ind w:firstLine="411" w:firstLineChars="196"/>
        <w:rPr>
          <w:highlight w:val="none"/>
        </w:rPr>
      </w:pPr>
      <w:r>
        <w:rPr>
          <w:rFonts w:ascii="宋体" w:hAnsi="宋体"/>
          <w:szCs w:val="21"/>
          <w:highlight w:val="none"/>
        </w:rPr>
        <w:t xml:space="preserve">38.2.2 </w:t>
      </w:r>
      <w:bookmarkStart w:id="70" w:name="_Hlk71469733"/>
      <w:r>
        <w:rPr>
          <w:highlight w:val="none"/>
        </w:rPr>
        <w:t>适用评定分离的政府采购项目，采用综合评分法评</w:t>
      </w:r>
      <w:r>
        <w:rPr>
          <w:rFonts w:hint="eastAsia"/>
          <w:highlight w:val="none"/>
        </w:rPr>
        <w:t>审。</w:t>
      </w:r>
      <w:r>
        <w:rPr>
          <w:rFonts w:hint="eastAsia" w:ascii="宋体" w:hAnsi="宋体"/>
          <w:szCs w:val="21"/>
          <w:highlight w:val="none"/>
        </w:rPr>
        <w:t>评审委员会按照评审结果，推荐</w:t>
      </w:r>
      <w:r>
        <w:rPr>
          <w:highlight w:val="none"/>
        </w:rPr>
        <w:t>三个合格的候选中标供应商。</w:t>
      </w:r>
    </w:p>
    <w:p>
      <w:pPr>
        <w:ind w:firstLine="411" w:firstLineChars="196"/>
        <w:rPr>
          <w:rFonts w:ascii="宋体" w:hAnsi="宋体"/>
          <w:szCs w:val="21"/>
          <w:highlight w:val="none"/>
        </w:rPr>
      </w:pPr>
      <w:r>
        <w:rPr>
          <w:rFonts w:hint="eastAsia" w:ascii="宋体" w:hAnsi="宋体"/>
          <w:szCs w:val="21"/>
          <w:highlight w:val="none"/>
        </w:rPr>
        <w:t>38.2.3</w:t>
      </w:r>
      <w:bookmarkStart w:id="71" w:name="_Hlk71469688"/>
      <w:r>
        <w:rPr>
          <w:highlight w:val="none"/>
        </w:rPr>
        <w:t>适用评定分离的政府采购项目，</w:t>
      </w:r>
      <w:r>
        <w:rPr>
          <w:rFonts w:hint="eastAsia" w:ascii="宋体" w:hAnsi="宋体"/>
          <w:szCs w:val="21"/>
          <w:highlight w:val="none"/>
        </w:rPr>
        <w:t>按照自定法确定中标供应商：自定法是指采购人组织定标委员会，由定标委员会在三家候选中标供应商中确定中标供应商。</w:t>
      </w:r>
      <w:bookmarkEnd w:id="70"/>
      <w:bookmarkEnd w:id="71"/>
    </w:p>
    <w:p>
      <w:pPr>
        <w:ind w:firstLine="411" w:firstLineChars="196"/>
        <w:rPr>
          <w:rFonts w:ascii="宋体" w:hAnsi="宋体"/>
          <w:szCs w:val="21"/>
          <w:highlight w:val="none"/>
        </w:rPr>
      </w:pPr>
      <w:r>
        <w:rPr>
          <w:rFonts w:ascii="宋体" w:hAnsi="宋体"/>
          <w:szCs w:val="21"/>
          <w:highlight w:val="none"/>
        </w:rPr>
        <w:t>38.2.4</w:t>
      </w:r>
      <w:r>
        <w:rPr>
          <w:rFonts w:hint="eastAsia" w:ascii="宋体" w:hAnsi="宋体"/>
          <w:szCs w:val="21"/>
          <w:highlight w:val="none"/>
        </w:rPr>
        <w:t>政府集中采购机构</w:t>
      </w:r>
      <w:r>
        <w:rPr>
          <w:highlight w:val="none"/>
        </w:rPr>
        <w:t>应当自评审结束之日起两个工作日内将候选中标供应商名单及其投标文件、评审报告送交采购人</w:t>
      </w:r>
      <w:r>
        <w:rPr>
          <w:rFonts w:hint="eastAsia" w:ascii="宋体" w:hAnsi="宋体"/>
          <w:szCs w:val="21"/>
          <w:highlight w:val="none"/>
        </w:rPr>
        <w:t>。</w:t>
      </w:r>
      <w:r>
        <w:rPr>
          <w:highlight w:val="none"/>
        </w:rPr>
        <w:t>采购人应当安排专人对定标过程进行书面记录，形成定标报告，作为采购文件的组成部分存档，并及时将定标结果反馈</w:t>
      </w:r>
      <w:r>
        <w:rPr>
          <w:rFonts w:hint="eastAsia"/>
          <w:highlight w:val="none"/>
        </w:rPr>
        <w:t>政府集中采购机构。具体定标程序及相关要求以按照《深圳市财政局关于</w:t>
      </w:r>
      <w:r>
        <w:rPr>
          <w:rFonts w:hint="eastAsia" w:ascii="Times New Roman" w:eastAsia="宋体"/>
          <w:highlight w:val="none"/>
          <w:lang w:val="en-US" w:eastAsia="zh-CN"/>
        </w:rPr>
        <w:t>&lt;</w:t>
      </w:r>
      <w:r>
        <w:rPr>
          <w:rFonts w:hint="eastAsia"/>
          <w:highlight w:val="none"/>
        </w:rPr>
        <w:t>深圳市政府采购评标定标分离管理办法</w:t>
      </w:r>
      <w:r>
        <w:rPr>
          <w:rFonts w:hint="eastAsia" w:ascii="Times New Roman" w:eastAsia="宋体"/>
          <w:highlight w:val="none"/>
          <w:lang w:val="en-US" w:eastAsia="zh-CN"/>
        </w:rPr>
        <w:t>&gt;</w:t>
      </w:r>
      <w:r>
        <w:rPr>
          <w:rFonts w:hint="eastAsia"/>
          <w:highlight w:val="none"/>
        </w:rPr>
        <w:t>续期的通知》（深财规〔2023〕1号）执行。</w:t>
      </w:r>
    </w:p>
    <w:p>
      <w:pPr>
        <w:ind w:firstLine="411" w:firstLineChars="196"/>
        <w:rPr>
          <w:rFonts w:ascii="宋体" w:hAnsi="宋体"/>
          <w:szCs w:val="21"/>
          <w:highlight w:val="none"/>
        </w:rPr>
      </w:pPr>
      <w:r>
        <w:rPr>
          <w:rFonts w:hint="eastAsia" w:ascii="宋体" w:hAnsi="宋体"/>
          <w:szCs w:val="21"/>
          <w:highlight w:val="none"/>
        </w:rPr>
        <w:t>说明：采购人及投标供应商应按照上述方法提前做好相关准备。</w:t>
      </w:r>
    </w:p>
    <w:p>
      <w:pPr>
        <w:ind w:firstLine="411" w:firstLineChars="196"/>
        <w:rPr>
          <w:rFonts w:ascii="宋体" w:hAnsi="宋体"/>
          <w:szCs w:val="21"/>
          <w:highlight w:val="none"/>
        </w:rPr>
      </w:pPr>
      <w:r>
        <w:rPr>
          <w:rFonts w:hint="eastAsia" w:ascii="宋体" w:hAnsi="宋体"/>
          <w:szCs w:val="21"/>
          <w:highlight w:val="none"/>
        </w:rPr>
        <w:t>38.3专用条款另有规定的，按专用条款相关要求定标。</w:t>
      </w:r>
    </w:p>
    <w:p>
      <w:pPr>
        <w:rPr>
          <w:rFonts w:ascii="黑体" w:hAnsi="宋体" w:eastAsia="黑体"/>
          <w:sz w:val="24"/>
          <w:highlight w:val="none"/>
        </w:rPr>
      </w:pPr>
      <w:r>
        <w:rPr>
          <w:rFonts w:hint="eastAsia" w:ascii="黑体" w:hAnsi="宋体" w:eastAsia="黑体"/>
          <w:sz w:val="24"/>
          <w:highlight w:val="none"/>
        </w:rPr>
        <w:t>39．编写评审报告</w:t>
      </w:r>
    </w:p>
    <w:p>
      <w:pPr>
        <w:ind w:firstLine="411" w:firstLineChars="196"/>
        <w:rPr>
          <w:rFonts w:ascii="宋体" w:hAnsi="宋体"/>
          <w:szCs w:val="21"/>
          <w:highlight w:val="none"/>
        </w:rPr>
      </w:pPr>
      <w:r>
        <w:rPr>
          <w:rFonts w:hint="eastAsia" w:ascii="宋体" w:hAnsi="宋体"/>
          <w:szCs w:val="21"/>
          <w:highlight w:val="none"/>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rPr>
          <w:rFonts w:ascii="黑体" w:hAnsi="宋体" w:eastAsia="黑体"/>
          <w:sz w:val="24"/>
          <w:highlight w:val="none"/>
        </w:rPr>
      </w:pPr>
      <w:r>
        <w:rPr>
          <w:rFonts w:hint="eastAsia" w:ascii="黑体" w:hAnsi="宋体" w:eastAsia="黑体"/>
          <w:sz w:val="24"/>
          <w:highlight w:val="none"/>
        </w:rPr>
        <w:t>40．中标公告</w:t>
      </w:r>
    </w:p>
    <w:p>
      <w:pPr>
        <w:ind w:firstLine="411" w:firstLineChars="196"/>
        <w:rPr>
          <w:rFonts w:ascii="宋体" w:hAnsi="宋体"/>
          <w:szCs w:val="21"/>
          <w:highlight w:val="none"/>
        </w:rPr>
      </w:pPr>
      <w:r>
        <w:rPr>
          <w:rFonts w:hint="eastAsia" w:ascii="宋体" w:hAnsi="宋体"/>
          <w:szCs w:val="21"/>
          <w:highlight w:val="none"/>
        </w:rPr>
        <w:t>40.1</w:t>
      </w:r>
      <w:bookmarkStart w:id="72" w:name="_Hlk72438709"/>
      <w:r>
        <w:rPr>
          <w:rFonts w:hint="eastAsia" w:ascii="宋体" w:hAnsi="宋体"/>
          <w:szCs w:val="21"/>
          <w:highlight w:val="none"/>
        </w:rPr>
        <w:t>为体现“公开、公平、公正”的原则，评审结束后经采购人确认（确定）评审结果，政府集中采购机构将在</w:t>
      </w:r>
      <w:r>
        <w:rPr>
          <w:rFonts w:hint="eastAsia" w:ascii="宋体" w:hAnsi="宋体"/>
          <w:b/>
          <w:bCs/>
          <w:szCs w:val="21"/>
          <w:highlight w:val="none"/>
        </w:rPr>
        <w:t>“深圳公共资源交易网（https://szggzy.com/）”</w:t>
      </w:r>
      <w:r>
        <w:rPr>
          <w:rFonts w:hint="eastAsia" w:ascii="宋体" w:hAnsi="宋体"/>
          <w:szCs w:val="21"/>
          <w:highlight w:val="none"/>
        </w:rPr>
        <w:t>上发布中标结果公告。</w:t>
      </w:r>
      <w:bookmarkEnd w:id="72"/>
      <w:bookmarkStart w:id="73" w:name="_Hlk72438751"/>
      <w:r>
        <w:rPr>
          <w:rFonts w:hint="eastAsia" w:ascii="宋体" w:hAnsi="宋体"/>
          <w:szCs w:val="21"/>
          <w:highlight w:val="none"/>
        </w:rPr>
        <w:t>供应商如对评审结果有异议，</w:t>
      </w:r>
      <w:r>
        <w:rPr>
          <w:rFonts w:ascii="宋体" w:hAnsi="宋体"/>
          <w:szCs w:val="21"/>
          <w:highlight w:val="none"/>
        </w:rPr>
        <w:t>可在发布公示日期起</w:t>
      </w:r>
      <w:r>
        <w:rPr>
          <w:rFonts w:hint="eastAsia" w:ascii="宋体" w:hAnsi="宋体"/>
          <w:szCs w:val="21"/>
          <w:highlight w:val="none"/>
        </w:rPr>
        <w:t>七</w:t>
      </w:r>
      <w:r>
        <w:rPr>
          <w:rFonts w:ascii="宋体" w:hAnsi="宋体"/>
          <w:szCs w:val="21"/>
          <w:highlight w:val="none"/>
        </w:rPr>
        <w:t>个工作日内向</w:t>
      </w:r>
      <w:r>
        <w:rPr>
          <w:rFonts w:hint="eastAsia" w:ascii="宋体" w:hAnsi="宋体"/>
          <w:szCs w:val="21"/>
          <w:highlight w:val="none"/>
        </w:rPr>
        <w:t>政府集中采购机构</w:t>
      </w:r>
      <w:r>
        <w:rPr>
          <w:rFonts w:ascii="宋体" w:hAnsi="宋体"/>
          <w:szCs w:val="21"/>
          <w:highlight w:val="none"/>
        </w:rPr>
        <w:t>提出。 监督电话：0755-83948143。</w:t>
      </w:r>
      <w:r>
        <w:rPr>
          <w:rFonts w:hint="eastAsia" w:ascii="宋体" w:hAnsi="宋体"/>
          <w:szCs w:val="21"/>
          <w:highlight w:val="none"/>
        </w:rPr>
        <w:t>若在公示期内未提出质疑，则视为认同该评审结果。</w:t>
      </w:r>
    </w:p>
    <w:bookmarkEnd w:id="73"/>
    <w:p>
      <w:pPr>
        <w:ind w:firstLine="411" w:firstLineChars="196"/>
        <w:rPr>
          <w:rFonts w:ascii="宋体" w:hAnsi="宋体"/>
          <w:szCs w:val="21"/>
          <w:highlight w:val="none"/>
        </w:rPr>
      </w:pPr>
      <w:r>
        <w:rPr>
          <w:rFonts w:hint="eastAsia" w:ascii="宋体" w:hAnsi="宋体"/>
          <w:szCs w:val="21"/>
          <w:highlight w:val="none"/>
        </w:rPr>
        <w:t>40.2质疑、投诉供应商应保证质疑、投诉内容的真实性和可靠性，并承担相应的法律责任。</w:t>
      </w:r>
    </w:p>
    <w:p>
      <w:pPr>
        <w:rPr>
          <w:rFonts w:ascii="黑体" w:hAnsi="宋体" w:eastAsia="黑体"/>
          <w:sz w:val="24"/>
          <w:highlight w:val="none"/>
        </w:rPr>
      </w:pPr>
      <w:r>
        <w:rPr>
          <w:rFonts w:hint="eastAsia" w:ascii="黑体" w:hAnsi="宋体" w:eastAsia="黑体"/>
          <w:sz w:val="24"/>
          <w:highlight w:val="none"/>
        </w:rPr>
        <w:t>41．中标通知书</w:t>
      </w:r>
    </w:p>
    <w:p>
      <w:pPr>
        <w:spacing w:line="276" w:lineRule="auto"/>
        <w:ind w:firstLine="411" w:firstLineChars="196"/>
        <w:rPr>
          <w:rFonts w:ascii="宋体" w:hAnsi="宋体"/>
          <w:szCs w:val="21"/>
          <w:highlight w:val="none"/>
        </w:rPr>
      </w:pPr>
      <w:r>
        <w:rPr>
          <w:szCs w:val="21"/>
          <w:highlight w:val="none"/>
        </w:rPr>
        <w:t>41.1</w:t>
      </w:r>
      <w:r>
        <w:rPr>
          <w:rFonts w:hint="eastAsia"/>
          <w:szCs w:val="21"/>
          <w:highlight w:val="none"/>
        </w:rPr>
        <w:t>中标公告公布以后无异常的情况下,中标供应商和采购人可自行在“深圳市自行采购系统（https://trade.szggzy.com/ggzy/center/#/login）”上打印《数字中标通知书》。</w:t>
      </w:r>
    </w:p>
    <w:p>
      <w:pPr>
        <w:ind w:firstLine="411" w:firstLineChars="196"/>
        <w:rPr>
          <w:rFonts w:ascii="宋体" w:hAnsi="宋体"/>
          <w:szCs w:val="21"/>
          <w:highlight w:val="none"/>
        </w:rPr>
      </w:pPr>
      <w:r>
        <w:rPr>
          <w:rFonts w:hint="eastAsia" w:ascii="宋体" w:hAnsi="宋体"/>
          <w:szCs w:val="21"/>
          <w:highlight w:val="none"/>
        </w:rPr>
        <w:t>41</w:t>
      </w:r>
      <w:r>
        <w:rPr>
          <w:rFonts w:ascii="宋体" w:hAnsi="宋体"/>
          <w:szCs w:val="21"/>
          <w:highlight w:val="none"/>
        </w:rPr>
        <w:t>.2</w:t>
      </w:r>
      <w:r>
        <w:rPr>
          <w:rFonts w:hint="eastAsia" w:ascii="宋体" w:hAnsi="宋体"/>
          <w:szCs w:val="21"/>
          <w:highlight w:val="none"/>
        </w:rPr>
        <w:t>中标通知书是合同的重要组成部分。</w:t>
      </w:r>
    </w:p>
    <w:p>
      <w:pPr>
        <w:ind w:firstLine="411" w:firstLineChars="196"/>
        <w:rPr>
          <w:rFonts w:ascii="宋体" w:hAnsi="宋体"/>
          <w:szCs w:val="21"/>
          <w:highlight w:val="none"/>
        </w:rPr>
      </w:pPr>
      <w:bookmarkStart w:id="74" w:name="_Hlk71407340"/>
      <w:r>
        <w:rPr>
          <w:rFonts w:hint="eastAsia" w:ascii="宋体" w:hAnsi="宋体"/>
          <w:szCs w:val="21"/>
          <w:highlight w:val="none"/>
        </w:rPr>
        <w:t>41.3因质疑投诉或其它原因导致项目结果变更或采购终止的，政府集中采购机构有权吊销中标通知书。</w:t>
      </w:r>
    </w:p>
    <w:bookmarkEnd w:id="74"/>
    <w:p>
      <w:pPr>
        <w:ind w:firstLine="411" w:firstLineChars="196"/>
        <w:rPr>
          <w:rFonts w:ascii="宋体" w:hAnsi="宋体"/>
          <w:szCs w:val="21"/>
          <w:highlight w:val="none"/>
        </w:rPr>
      </w:pPr>
    </w:p>
    <w:p>
      <w:pPr>
        <w:pStyle w:val="7"/>
        <w:numPr>
          <w:ilvl w:val="0"/>
          <w:numId w:val="14"/>
        </w:numPr>
        <w:spacing w:before="120" w:beforeLines="50" w:after="120" w:afterLines="50"/>
        <w:ind w:left="562" w:hanging="562"/>
        <w:rPr>
          <w:sz w:val="28"/>
          <w:szCs w:val="28"/>
          <w:highlight w:val="none"/>
        </w:rPr>
      </w:pPr>
      <w:r>
        <w:rPr>
          <w:rFonts w:hint="eastAsia"/>
          <w:sz w:val="28"/>
          <w:szCs w:val="28"/>
          <w:highlight w:val="none"/>
        </w:rPr>
        <w:t>公开招标失败的后续处理</w:t>
      </w:r>
    </w:p>
    <w:p>
      <w:pPr>
        <w:rPr>
          <w:rFonts w:ascii="黑体" w:hAnsi="宋体" w:eastAsia="黑体"/>
          <w:sz w:val="24"/>
          <w:highlight w:val="none"/>
        </w:rPr>
      </w:pPr>
      <w:r>
        <w:rPr>
          <w:rFonts w:hint="eastAsia" w:ascii="黑体" w:hAnsi="宋体" w:eastAsia="黑体"/>
          <w:sz w:val="24"/>
          <w:highlight w:val="none"/>
        </w:rPr>
        <w:t>42．公开招标失败的处理</w:t>
      </w:r>
    </w:p>
    <w:p>
      <w:pPr>
        <w:ind w:firstLine="411" w:firstLineChars="196"/>
        <w:rPr>
          <w:rFonts w:ascii="宋体" w:hAnsi="宋体"/>
          <w:highlight w:val="none"/>
        </w:rPr>
      </w:pPr>
      <w:r>
        <w:rPr>
          <w:rFonts w:hint="eastAsia" w:ascii="宋体" w:hAnsi="宋体"/>
          <w:szCs w:val="21"/>
          <w:highlight w:val="none"/>
        </w:rPr>
        <w:t>42.1本项目公开招标过程中若由于投标截止后</w:t>
      </w:r>
      <w:r>
        <w:rPr>
          <w:rFonts w:hint="eastAsia" w:ascii="宋体" w:hAnsi="宋体"/>
          <w:highlight w:val="none"/>
        </w:rPr>
        <w:t>实际递交</w:t>
      </w:r>
      <w:r>
        <w:rPr>
          <w:rFonts w:ascii="宋体" w:hAnsi="宋体"/>
          <w:highlight w:val="none"/>
        </w:rPr>
        <w:t>投标</w:t>
      </w:r>
      <w:r>
        <w:rPr>
          <w:rFonts w:hint="eastAsia" w:ascii="宋体" w:hAnsi="宋体"/>
          <w:highlight w:val="none"/>
        </w:rPr>
        <w:t>文件的供应商数量不足、经</w:t>
      </w:r>
      <w:r>
        <w:rPr>
          <w:rFonts w:hint="eastAsia" w:ascii="宋体" w:hAnsi="宋体"/>
          <w:szCs w:val="21"/>
          <w:highlight w:val="none"/>
        </w:rPr>
        <w:t>评审委员会</w:t>
      </w:r>
      <w:r>
        <w:rPr>
          <w:rFonts w:hint="eastAsia" w:ascii="宋体" w:hAnsi="宋体"/>
          <w:highlight w:val="none"/>
        </w:rPr>
        <w:t>评审对招标文件作实质响应的供应商不足等原因造成公开招标失败，可由</w:t>
      </w:r>
      <w:r>
        <w:rPr>
          <w:rFonts w:hint="eastAsia" w:ascii="宋体" w:hAnsi="宋体" w:cs="宋体"/>
          <w:highlight w:val="none"/>
        </w:rPr>
        <w:t>政府集中采购机构</w:t>
      </w:r>
      <w:r>
        <w:rPr>
          <w:rFonts w:hint="eastAsia" w:ascii="宋体" w:hAnsi="宋体"/>
          <w:highlight w:val="none"/>
        </w:rPr>
        <w:t>重新组织采购。</w:t>
      </w:r>
    </w:p>
    <w:p>
      <w:pPr>
        <w:ind w:firstLine="411" w:firstLineChars="196"/>
        <w:rPr>
          <w:rFonts w:ascii="宋体" w:hAnsi="宋体"/>
          <w:szCs w:val="21"/>
          <w:highlight w:val="none"/>
        </w:rPr>
      </w:pPr>
      <w:r>
        <w:rPr>
          <w:rFonts w:hint="eastAsia" w:ascii="宋体" w:hAnsi="宋体"/>
          <w:szCs w:val="21"/>
          <w:highlight w:val="none"/>
        </w:rPr>
        <w:t>42.2对公开招标失败的项目，评审委员会在出具该项目招标失败结论的同时，可以提出重新采购组织形式的建议，以及进一步完善招标文件的资格、技术、商务要求的修改建议。</w:t>
      </w:r>
    </w:p>
    <w:p>
      <w:pPr>
        <w:ind w:firstLine="411" w:firstLineChars="196"/>
        <w:rPr>
          <w:rFonts w:ascii="宋体" w:hAnsi="宋体"/>
          <w:szCs w:val="21"/>
          <w:highlight w:val="none"/>
        </w:rPr>
      </w:pPr>
      <w:r>
        <w:rPr>
          <w:rFonts w:hint="eastAsia" w:ascii="宋体" w:hAnsi="宋体"/>
          <w:szCs w:val="21"/>
          <w:highlight w:val="none"/>
        </w:rPr>
        <w:t>42.3重新组织采购有以下两种组织形式：</w:t>
      </w:r>
    </w:p>
    <w:p>
      <w:pPr>
        <w:ind w:firstLine="411" w:firstLineChars="196"/>
        <w:rPr>
          <w:rFonts w:ascii="宋体" w:hAnsi="宋体"/>
          <w:highlight w:val="none"/>
        </w:rPr>
      </w:pPr>
      <w:r>
        <w:rPr>
          <w:rFonts w:hint="eastAsia" w:ascii="宋体" w:hAnsi="宋体"/>
          <w:highlight w:val="none"/>
        </w:rPr>
        <w:t>（1）由政府集中采购机构重新组织公开招标；</w:t>
      </w:r>
    </w:p>
    <w:p>
      <w:pPr>
        <w:ind w:firstLine="411" w:firstLineChars="196"/>
        <w:rPr>
          <w:rFonts w:ascii="宋体" w:hAnsi="宋体"/>
          <w:highlight w:val="none"/>
        </w:rPr>
      </w:pPr>
      <w:r>
        <w:rPr>
          <w:rFonts w:hint="eastAsia" w:ascii="宋体" w:hAnsi="宋体"/>
          <w:highlight w:val="none"/>
        </w:rPr>
        <w:t>（2）根据实际情况需要向同级财政部门提出非公开招标方式申请，经同级财政部门批准，公开招标失败采购项目可转为竞争性谈判或单一来源谈判方式采购。</w:t>
      </w:r>
    </w:p>
    <w:p>
      <w:pPr>
        <w:ind w:firstLine="411" w:firstLineChars="196"/>
        <w:rPr>
          <w:rFonts w:ascii="宋体" w:hAnsi="宋体"/>
          <w:highlight w:val="none"/>
        </w:rPr>
      </w:pPr>
      <w:r>
        <w:rPr>
          <w:rFonts w:hint="eastAsia" w:ascii="宋体" w:hAnsi="宋体"/>
          <w:highlight w:val="none"/>
        </w:rPr>
        <w:t>42.4公开招标失败的采购项目重新组织公开招标，由政府集中采购机构重新按公开招标流程组织采购活动。</w:t>
      </w:r>
    </w:p>
    <w:p>
      <w:pPr>
        <w:rPr>
          <w:rFonts w:ascii="宋体" w:hAnsi="宋体"/>
          <w:highlight w:val="none"/>
        </w:rPr>
      </w:pPr>
      <w:r>
        <w:rPr>
          <w:rFonts w:hint="eastAsia" w:ascii="黑体" w:hAnsi="宋体" w:eastAsia="黑体"/>
          <w:sz w:val="24"/>
          <w:highlight w:val="none"/>
        </w:rPr>
        <w:t xml:space="preserve">    </w:t>
      </w:r>
      <w:r>
        <w:rPr>
          <w:rFonts w:hint="eastAsia" w:ascii="宋体" w:hAnsi="宋体"/>
          <w:highlight w:val="none"/>
        </w:rPr>
        <w:t>42.5公开招标失败的采购项目经同级财政部门批准转为竞争性谈判或单一来源谈判方式采购的，按规定要求组织政府采购工作。</w:t>
      </w:r>
    </w:p>
    <w:p>
      <w:pPr>
        <w:rPr>
          <w:rFonts w:ascii="黑体" w:hAnsi="宋体" w:eastAsia="黑体"/>
          <w:sz w:val="24"/>
          <w:highlight w:val="none"/>
        </w:rPr>
      </w:pPr>
    </w:p>
    <w:p>
      <w:pPr>
        <w:pStyle w:val="7"/>
        <w:numPr>
          <w:ilvl w:val="0"/>
          <w:numId w:val="14"/>
        </w:numPr>
        <w:spacing w:before="120" w:beforeLines="50" w:after="120" w:afterLines="50"/>
        <w:ind w:left="562" w:hanging="562"/>
        <w:rPr>
          <w:sz w:val="28"/>
          <w:szCs w:val="28"/>
          <w:highlight w:val="none"/>
        </w:rPr>
      </w:pPr>
      <w:bookmarkStart w:id="75" w:name="_Hlk72439043"/>
      <w:r>
        <w:rPr>
          <w:rFonts w:hint="eastAsia"/>
          <w:sz w:val="28"/>
          <w:szCs w:val="28"/>
          <w:highlight w:val="none"/>
        </w:rPr>
        <w:t>合同的授予与备案</w:t>
      </w:r>
      <w:bookmarkEnd w:id="75"/>
    </w:p>
    <w:p>
      <w:pPr>
        <w:rPr>
          <w:rFonts w:ascii="黑体" w:hAnsi="宋体" w:eastAsia="黑体"/>
          <w:sz w:val="24"/>
          <w:highlight w:val="none"/>
        </w:rPr>
      </w:pPr>
      <w:bookmarkStart w:id="76" w:name="_Toc73521586"/>
      <w:bookmarkStart w:id="77" w:name="_Toc73521674"/>
      <w:bookmarkStart w:id="78" w:name="_Toc73518157"/>
      <w:bookmarkStart w:id="79" w:name="_Toc73517679"/>
      <w:bookmarkStart w:id="80" w:name="_Toc100052408"/>
      <w:bookmarkStart w:id="81" w:name="_Hlk72439088"/>
      <w:r>
        <w:rPr>
          <w:rFonts w:hint="eastAsia" w:ascii="黑体" w:hAnsi="宋体" w:eastAsia="黑体"/>
          <w:sz w:val="24"/>
          <w:highlight w:val="none"/>
        </w:rPr>
        <w:t>43．合同授予标准</w:t>
      </w:r>
      <w:bookmarkEnd w:id="76"/>
      <w:bookmarkEnd w:id="77"/>
      <w:bookmarkEnd w:id="78"/>
      <w:bookmarkEnd w:id="79"/>
      <w:bookmarkEnd w:id="80"/>
    </w:p>
    <w:p>
      <w:pPr>
        <w:ind w:firstLine="411" w:firstLineChars="196"/>
        <w:rPr>
          <w:rFonts w:ascii="宋体" w:hAnsi="宋体"/>
          <w:szCs w:val="21"/>
          <w:highlight w:val="none"/>
        </w:rPr>
      </w:pPr>
      <w:r>
        <w:rPr>
          <w:rFonts w:hint="eastAsia" w:ascii="宋体" w:hAnsi="宋体"/>
          <w:szCs w:val="21"/>
          <w:highlight w:val="none"/>
        </w:rPr>
        <w:t>本项目的合同将授予经本招标文件规定评审确定的中标供应商。</w:t>
      </w:r>
    </w:p>
    <w:p>
      <w:pPr>
        <w:rPr>
          <w:rFonts w:ascii="黑体" w:hAnsi="宋体" w:eastAsia="黑体"/>
          <w:sz w:val="24"/>
          <w:highlight w:val="none"/>
        </w:rPr>
      </w:pPr>
      <w:bookmarkStart w:id="82" w:name="_Toc73518158"/>
      <w:bookmarkStart w:id="83" w:name="_Toc73521587"/>
      <w:bookmarkStart w:id="84" w:name="_Toc73517680"/>
      <w:bookmarkStart w:id="85" w:name="_Toc100052409"/>
      <w:bookmarkStart w:id="86" w:name="_Toc73521675"/>
      <w:r>
        <w:rPr>
          <w:rFonts w:hint="eastAsia" w:ascii="黑体" w:hAnsi="宋体" w:eastAsia="黑体"/>
          <w:sz w:val="24"/>
          <w:highlight w:val="none"/>
        </w:rPr>
        <w:t>44．</w:t>
      </w:r>
      <w:bookmarkEnd w:id="82"/>
      <w:bookmarkEnd w:id="83"/>
      <w:bookmarkEnd w:id="84"/>
      <w:bookmarkEnd w:id="85"/>
      <w:bookmarkEnd w:id="86"/>
      <w:r>
        <w:rPr>
          <w:rFonts w:hint="eastAsia" w:ascii="黑体" w:hAnsi="宋体" w:eastAsia="黑体"/>
          <w:sz w:val="24"/>
          <w:highlight w:val="none"/>
        </w:rPr>
        <w:t>接受和拒绝任何或所有投标的权力</w:t>
      </w:r>
    </w:p>
    <w:p>
      <w:pPr>
        <w:ind w:firstLine="411" w:firstLineChars="196"/>
        <w:rPr>
          <w:rFonts w:ascii="宋体" w:hAnsi="宋体"/>
          <w:szCs w:val="21"/>
          <w:highlight w:val="none"/>
        </w:rPr>
      </w:pPr>
      <w:r>
        <w:rPr>
          <w:rFonts w:hint="eastAsia" w:ascii="宋体" w:hAnsi="宋体"/>
          <w:szCs w:val="21"/>
          <w:highlight w:val="none"/>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rPr>
          <w:rFonts w:ascii="黑体" w:hAnsi="宋体" w:eastAsia="黑体"/>
          <w:sz w:val="24"/>
          <w:highlight w:val="none"/>
        </w:rPr>
      </w:pPr>
      <w:bookmarkStart w:id="87" w:name="_Toc73521589"/>
      <w:bookmarkStart w:id="88" w:name="_Toc100052410"/>
      <w:bookmarkStart w:id="89" w:name="_Toc73517682"/>
      <w:bookmarkStart w:id="90" w:name="_Toc73518160"/>
      <w:bookmarkStart w:id="91" w:name="_Toc73521677"/>
      <w:r>
        <w:rPr>
          <w:rFonts w:hint="eastAsia" w:ascii="黑体" w:hAnsi="宋体" w:eastAsia="黑体"/>
          <w:sz w:val="24"/>
          <w:highlight w:val="none"/>
        </w:rPr>
        <w:t>45．合同的签订</w:t>
      </w:r>
      <w:bookmarkEnd w:id="87"/>
      <w:bookmarkEnd w:id="88"/>
      <w:bookmarkEnd w:id="89"/>
      <w:bookmarkEnd w:id="90"/>
      <w:bookmarkEnd w:id="91"/>
    </w:p>
    <w:p>
      <w:pPr>
        <w:ind w:firstLine="411" w:firstLineChars="196"/>
        <w:rPr>
          <w:rFonts w:ascii="宋体" w:hAnsi="宋体"/>
          <w:szCs w:val="21"/>
          <w:highlight w:val="none"/>
        </w:rPr>
      </w:pPr>
      <w:r>
        <w:rPr>
          <w:rFonts w:hint="eastAsia" w:ascii="宋体" w:hAnsi="宋体"/>
          <w:szCs w:val="21"/>
          <w:highlight w:val="none"/>
        </w:rPr>
        <w:t>45.1中标人将于中标通知书发出之日起十个工作日内，按照采购文件（招标文件和投标文件等）内容与采购人签订政府采购合同；合同的实质性内容应当符合招标文件的规定；</w:t>
      </w:r>
    </w:p>
    <w:p>
      <w:pPr>
        <w:ind w:firstLine="411" w:firstLineChars="196"/>
        <w:rPr>
          <w:rFonts w:ascii="宋体" w:hAnsi="宋体"/>
          <w:szCs w:val="21"/>
          <w:highlight w:val="none"/>
        </w:rPr>
      </w:pPr>
      <w:r>
        <w:rPr>
          <w:rFonts w:hint="eastAsia" w:ascii="宋体" w:hAnsi="宋体"/>
          <w:szCs w:val="21"/>
          <w:highlight w:val="none"/>
        </w:rPr>
        <w:t>45.2中标人如不按本通用条款第45</w:t>
      </w:r>
      <w:r>
        <w:rPr>
          <w:rFonts w:ascii="宋体" w:hAnsi="宋体"/>
          <w:szCs w:val="21"/>
          <w:highlight w:val="none"/>
        </w:rPr>
        <w:t>.1</w:t>
      </w:r>
      <w:r>
        <w:rPr>
          <w:rFonts w:hint="eastAsia" w:ascii="宋体" w:hAnsi="宋体"/>
          <w:szCs w:val="21"/>
          <w:highlight w:val="none"/>
        </w:rPr>
        <w:t>款的规定与采购人签订合同，</w:t>
      </w:r>
      <w:r>
        <w:rPr>
          <w:rFonts w:ascii="宋体" w:hAnsi="宋体" w:cs="宋体"/>
          <w:kern w:val="0"/>
          <w:szCs w:val="21"/>
          <w:highlight w:val="none"/>
        </w:rPr>
        <w:t>情节严重的，由</w:t>
      </w:r>
      <w:r>
        <w:rPr>
          <w:rFonts w:hint="eastAsia" w:ascii="宋体" w:hAnsi="宋体" w:cs="宋体"/>
          <w:kern w:val="0"/>
          <w:szCs w:val="21"/>
          <w:highlight w:val="none"/>
        </w:rPr>
        <w:t>同级财政</w:t>
      </w:r>
      <w:r>
        <w:rPr>
          <w:rFonts w:ascii="宋体" w:hAnsi="宋体" w:cs="宋体"/>
          <w:kern w:val="0"/>
          <w:szCs w:val="21"/>
          <w:highlight w:val="none"/>
        </w:rPr>
        <w:t>部门记入供应商诚信档案，予以通报</w:t>
      </w:r>
      <w:r>
        <w:rPr>
          <w:rFonts w:hint="eastAsia" w:ascii="宋体" w:hAnsi="宋体"/>
          <w:szCs w:val="21"/>
          <w:highlight w:val="none"/>
        </w:rPr>
        <w:t>；</w:t>
      </w:r>
    </w:p>
    <w:p>
      <w:pPr>
        <w:ind w:firstLine="411" w:firstLineChars="196"/>
        <w:rPr>
          <w:rFonts w:ascii="宋体" w:hAnsi="宋体"/>
          <w:szCs w:val="21"/>
          <w:highlight w:val="none"/>
        </w:rPr>
      </w:pPr>
      <w:r>
        <w:rPr>
          <w:rFonts w:hint="eastAsia" w:ascii="宋体" w:hAnsi="宋体"/>
          <w:szCs w:val="21"/>
          <w:highlight w:val="none"/>
        </w:rPr>
        <w:t>45.3中标人应当按照合同约定履行义务，完成中标项目，不得将中标项目转让（转包）给他人。</w:t>
      </w:r>
    </w:p>
    <w:p>
      <w:pPr>
        <w:rPr>
          <w:rFonts w:ascii="黑体" w:hAnsi="宋体" w:eastAsia="黑体"/>
          <w:sz w:val="24"/>
          <w:highlight w:val="none"/>
        </w:rPr>
      </w:pPr>
      <w:bookmarkStart w:id="92" w:name="_Toc73521590"/>
      <w:bookmarkStart w:id="93" w:name="_Toc73521678"/>
      <w:bookmarkStart w:id="94" w:name="_Toc73518161"/>
      <w:bookmarkStart w:id="95" w:name="_Toc73517683"/>
      <w:bookmarkStart w:id="96" w:name="_Toc100052411"/>
      <w:r>
        <w:rPr>
          <w:rFonts w:hint="eastAsia" w:ascii="黑体" w:hAnsi="宋体" w:eastAsia="黑体"/>
          <w:sz w:val="24"/>
          <w:highlight w:val="none"/>
        </w:rPr>
        <w:t>46．履约担保</w:t>
      </w:r>
      <w:bookmarkEnd w:id="92"/>
      <w:bookmarkEnd w:id="93"/>
      <w:bookmarkEnd w:id="94"/>
      <w:bookmarkEnd w:id="95"/>
      <w:bookmarkEnd w:id="96"/>
    </w:p>
    <w:p>
      <w:pPr>
        <w:ind w:firstLine="411" w:firstLineChars="196"/>
        <w:rPr>
          <w:rFonts w:ascii="宋体" w:hAnsi="宋体"/>
          <w:szCs w:val="21"/>
          <w:highlight w:val="none"/>
        </w:rPr>
      </w:pPr>
      <w:r>
        <w:rPr>
          <w:rFonts w:hint="eastAsia" w:ascii="宋体" w:hAnsi="宋体"/>
          <w:szCs w:val="21"/>
          <w:highlight w:val="none"/>
        </w:rPr>
        <w:t>46.1在签订项目合同的同时，中标人应按“对通用条款的补充内容”中规定的金额向采购人提交履约担保；</w:t>
      </w:r>
    </w:p>
    <w:p>
      <w:pPr>
        <w:ind w:firstLine="411" w:firstLineChars="196"/>
        <w:rPr>
          <w:rFonts w:ascii="宋体" w:hAnsi="宋体"/>
          <w:szCs w:val="21"/>
          <w:highlight w:val="none"/>
        </w:rPr>
      </w:pPr>
      <w:r>
        <w:rPr>
          <w:rFonts w:hint="eastAsia" w:ascii="宋体" w:hAnsi="宋体"/>
          <w:szCs w:val="21"/>
          <w:highlight w:val="none"/>
        </w:rPr>
        <w:t>46.2，允许供应商自主选择以支票、汇票、本票、保函等非现金方式提交履约担保；</w:t>
      </w:r>
      <w:r>
        <w:rPr>
          <w:highlight w:val="none"/>
        </w:rPr>
        <w:t>中标</w:t>
      </w:r>
      <w:r>
        <w:rPr>
          <w:rFonts w:hint="eastAsia"/>
          <w:highlight w:val="none"/>
        </w:rPr>
        <w:t>人</w:t>
      </w:r>
      <w:r>
        <w:rPr>
          <w:highlight w:val="none"/>
        </w:rPr>
        <w:t>提交履约</w:t>
      </w:r>
      <w:r>
        <w:rPr>
          <w:rFonts w:hint="eastAsia"/>
          <w:highlight w:val="none"/>
        </w:rPr>
        <w:t>担保不是</w:t>
      </w:r>
      <w:r>
        <w:rPr>
          <w:highlight w:val="none"/>
        </w:rPr>
        <w:t>合同签订的</w:t>
      </w:r>
      <w:r>
        <w:rPr>
          <w:rFonts w:hint="eastAsia"/>
          <w:highlight w:val="none"/>
        </w:rPr>
        <w:t>前提</w:t>
      </w:r>
      <w:r>
        <w:rPr>
          <w:highlight w:val="none"/>
        </w:rPr>
        <w:t>条件，不要求中标</w:t>
      </w:r>
      <w:r>
        <w:rPr>
          <w:rFonts w:hint="eastAsia"/>
          <w:highlight w:val="none"/>
        </w:rPr>
        <w:t>人</w:t>
      </w:r>
      <w:r>
        <w:rPr>
          <w:highlight w:val="none"/>
        </w:rPr>
        <w:t>提供除法律、法规明确规定外的其他担保</w:t>
      </w:r>
      <w:r>
        <w:rPr>
          <w:rFonts w:hint="eastAsia"/>
          <w:highlight w:val="none"/>
        </w:rPr>
        <w:t>。</w:t>
      </w:r>
    </w:p>
    <w:p>
      <w:pPr>
        <w:rPr>
          <w:rFonts w:ascii="黑体" w:hAnsi="宋体" w:eastAsia="黑体"/>
          <w:sz w:val="24"/>
          <w:highlight w:val="none"/>
        </w:rPr>
      </w:pPr>
      <w:r>
        <w:rPr>
          <w:rFonts w:hint="eastAsia" w:ascii="黑体" w:hAnsi="宋体" w:eastAsia="黑体"/>
          <w:sz w:val="24"/>
          <w:highlight w:val="none"/>
        </w:rPr>
        <w:t>47. 合同备案</w:t>
      </w:r>
    </w:p>
    <w:p>
      <w:pPr>
        <w:ind w:firstLine="411" w:firstLineChars="196"/>
        <w:rPr>
          <w:rFonts w:ascii="宋体" w:hAnsi="宋体"/>
          <w:szCs w:val="21"/>
          <w:highlight w:val="none"/>
        </w:rPr>
      </w:pPr>
      <w:r>
        <w:rPr>
          <w:rFonts w:hint="eastAsia" w:ascii="宋体" w:hAnsi="宋体" w:eastAsia="宋体" w:cs="Times New Roman"/>
          <w:kern w:val="2"/>
          <w:sz w:val="21"/>
          <w:szCs w:val="21"/>
          <w:highlight w:val="none"/>
          <w:lang w:eastAsia="zh-Hans"/>
        </w:rPr>
        <w:t>采购人与中标供应商自中标通知书发出之日起10个工作日内签订政府采购合同，</w:t>
      </w:r>
      <w:r>
        <w:rPr>
          <w:rFonts w:hint="eastAsia" w:ascii="宋体" w:hAnsi="宋体" w:eastAsia="宋体" w:cs="Times New Roman"/>
          <w:kern w:val="2"/>
          <w:sz w:val="21"/>
          <w:szCs w:val="21"/>
          <w:highlight w:val="none"/>
          <w:lang w:val="en-US" w:eastAsia="zh-CN"/>
        </w:rPr>
        <w:t>并按财政部门规定提交备案。</w:t>
      </w:r>
    </w:p>
    <w:p>
      <w:pPr>
        <w:rPr>
          <w:rFonts w:ascii="黑体" w:hAnsi="宋体" w:eastAsia="黑体"/>
          <w:sz w:val="24"/>
          <w:highlight w:val="none"/>
        </w:rPr>
      </w:pPr>
      <w:r>
        <w:rPr>
          <w:rFonts w:hint="eastAsia" w:ascii="黑体" w:hAnsi="宋体" w:eastAsia="黑体"/>
          <w:sz w:val="24"/>
          <w:highlight w:val="none"/>
        </w:rPr>
        <w:t>48. 合同变更</w:t>
      </w:r>
    </w:p>
    <w:p>
      <w:pPr>
        <w:ind w:firstLine="411" w:firstLineChars="196"/>
        <w:rPr>
          <w:rFonts w:ascii="宋体" w:hAnsi="宋体"/>
          <w:szCs w:val="21"/>
          <w:highlight w:val="none"/>
        </w:rPr>
      </w:pPr>
      <w:r>
        <w:rPr>
          <w:rFonts w:hint="eastAsia" w:ascii="宋体" w:hAnsi="宋体"/>
          <w:szCs w:val="21"/>
          <w:highlight w:val="none"/>
        </w:rPr>
        <w:t>合同变更事宜按《深圳市财政局关于优化政府采购合同备案的通知》（深财发保〔2022〕2号）相关规定执行。</w:t>
      </w:r>
    </w:p>
    <w:p>
      <w:pPr>
        <w:rPr>
          <w:rFonts w:ascii="黑体" w:hAnsi="宋体" w:eastAsia="黑体"/>
          <w:sz w:val="24"/>
          <w:highlight w:val="none"/>
        </w:rPr>
      </w:pPr>
      <w:r>
        <w:rPr>
          <w:rFonts w:hint="eastAsia" w:ascii="黑体" w:hAnsi="宋体" w:eastAsia="黑体"/>
          <w:sz w:val="24"/>
          <w:highlight w:val="none"/>
        </w:rPr>
        <w:t>49. 项目验收</w:t>
      </w:r>
    </w:p>
    <w:p>
      <w:pPr>
        <w:widowControl/>
        <w:ind w:right="176" w:firstLine="420"/>
        <w:jc w:val="left"/>
        <w:rPr>
          <w:rFonts w:ascii="宋体" w:hAnsi="宋体"/>
          <w:highlight w:val="none"/>
        </w:rPr>
      </w:pPr>
      <w:r>
        <w:rPr>
          <w:rFonts w:hint="eastAsia" w:ascii="宋体" w:hAnsi="宋体"/>
          <w:highlight w:val="none"/>
        </w:rPr>
        <w:t>49.1采购人应当按照招标文件和合同规定的标准和方法，及时组织验收。</w:t>
      </w:r>
      <w:r>
        <w:rPr>
          <w:rFonts w:ascii="宋体" w:hAnsi="宋体"/>
          <w:highlight w:val="none"/>
        </w:rPr>
        <w:t xml:space="preserve"> </w:t>
      </w:r>
    </w:p>
    <w:p>
      <w:pPr>
        <w:rPr>
          <w:rFonts w:ascii="黑体" w:hAnsi="宋体" w:eastAsia="黑体"/>
          <w:sz w:val="24"/>
          <w:highlight w:val="none"/>
        </w:rPr>
      </w:pPr>
      <w:r>
        <w:rPr>
          <w:rFonts w:hint="eastAsia" w:ascii="黑体" w:hAnsi="宋体" w:eastAsia="黑体"/>
          <w:sz w:val="24"/>
          <w:highlight w:val="none"/>
        </w:rPr>
        <w:t>50. 宣传</w:t>
      </w:r>
    </w:p>
    <w:p>
      <w:pPr>
        <w:ind w:left="210" w:leftChars="100" w:firstLine="411" w:firstLineChars="196"/>
        <w:rPr>
          <w:rFonts w:ascii="宋体" w:hAnsi="宋体"/>
          <w:highlight w:val="none"/>
        </w:rPr>
      </w:pPr>
      <w:r>
        <w:rPr>
          <w:rFonts w:hint="eastAsia" w:ascii="宋体" w:hAnsi="宋体"/>
          <w:highlight w:val="none"/>
        </w:rPr>
        <w:t>凡与政府采购活动有关的宣传或广告，若当中提及政府采购，</w:t>
      </w:r>
      <w:r>
        <w:rPr>
          <w:rFonts w:ascii="宋体" w:hAnsi="宋体"/>
          <w:highlight w:val="none"/>
        </w:rPr>
        <w:t>必须事先将具体对外宣传方案报</w:t>
      </w:r>
      <w:r>
        <w:rPr>
          <w:rFonts w:hint="eastAsia" w:ascii="宋体" w:hAnsi="宋体"/>
          <w:highlight w:val="none"/>
        </w:rPr>
        <w:t>同级财政部门</w:t>
      </w:r>
      <w:r>
        <w:rPr>
          <w:rFonts w:ascii="宋体" w:hAnsi="宋体"/>
          <w:highlight w:val="none"/>
        </w:rPr>
        <w:t>和</w:t>
      </w:r>
      <w:r>
        <w:rPr>
          <w:rFonts w:hint="eastAsia" w:ascii="宋体" w:hAnsi="宋体"/>
          <w:highlight w:val="none"/>
        </w:rPr>
        <w:t>政府集中采购机构</w:t>
      </w:r>
      <w:r>
        <w:rPr>
          <w:rFonts w:ascii="宋体" w:hAnsi="宋体"/>
          <w:highlight w:val="none"/>
        </w:rPr>
        <w:t>，并征得其同意。对外市场宣传包括但不限于以下形式：</w:t>
      </w:r>
    </w:p>
    <w:p>
      <w:pPr>
        <w:ind w:left="210" w:leftChars="100" w:firstLine="411" w:firstLineChars="196"/>
        <w:rPr>
          <w:rFonts w:ascii="宋体" w:hAnsi="宋体"/>
          <w:highlight w:val="none"/>
        </w:rPr>
      </w:pPr>
      <w:r>
        <w:rPr>
          <w:rFonts w:ascii="宋体" w:hAnsi="宋体"/>
          <w:highlight w:val="none"/>
        </w:rPr>
        <w:t>a.名片、宣传册、广告标语等；</w:t>
      </w:r>
    </w:p>
    <w:p>
      <w:pPr>
        <w:ind w:left="210" w:leftChars="100" w:firstLine="411" w:firstLineChars="196"/>
        <w:rPr>
          <w:rFonts w:ascii="宋体" w:hAnsi="宋体"/>
          <w:highlight w:val="none"/>
        </w:rPr>
      </w:pPr>
      <w:r>
        <w:rPr>
          <w:rFonts w:ascii="宋体" w:hAnsi="宋体"/>
          <w:highlight w:val="none"/>
        </w:rPr>
        <w:t>b.案例介绍、推广等；</w:t>
      </w:r>
    </w:p>
    <w:p>
      <w:pPr>
        <w:ind w:left="210" w:leftChars="100" w:firstLine="411" w:firstLineChars="196"/>
        <w:rPr>
          <w:rFonts w:ascii="宋体" w:hAnsi="宋体"/>
          <w:highlight w:val="none"/>
        </w:rPr>
      </w:pPr>
      <w:r>
        <w:rPr>
          <w:rFonts w:hint="eastAsia" w:ascii="宋体" w:hAnsi="宋体"/>
          <w:highlight w:val="none"/>
        </w:rPr>
        <w:t>c.工作</w:t>
      </w:r>
      <w:r>
        <w:rPr>
          <w:rFonts w:ascii="宋体" w:hAnsi="宋体"/>
          <w:highlight w:val="none"/>
        </w:rPr>
        <w:t>人员向其他消费群体宣传。</w:t>
      </w:r>
    </w:p>
    <w:p>
      <w:pPr>
        <w:rPr>
          <w:rFonts w:ascii="黑体" w:hAnsi="宋体" w:eastAsia="黑体"/>
          <w:sz w:val="24"/>
          <w:highlight w:val="none"/>
        </w:rPr>
      </w:pPr>
      <w:r>
        <w:rPr>
          <w:rFonts w:hint="eastAsia" w:ascii="黑体" w:hAnsi="宋体" w:eastAsia="黑体"/>
          <w:sz w:val="24"/>
          <w:highlight w:val="none"/>
        </w:rPr>
        <w:t>51. 供应商违法责任</w:t>
      </w:r>
    </w:p>
    <w:p>
      <w:pPr>
        <w:ind w:firstLine="411" w:firstLineChars="196"/>
        <w:rPr>
          <w:rFonts w:ascii="宋体" w:hAnsi="宋体"/>
          <w:szCs w:val="21"/>
          <w:highlight w:val="none"/>
        </w:rPr>
      </w:pPr>
      <w:r>
        <w:rPr>
          <w:rFonts w:hint="eastAsia" w:ascii="宋体" w:hAnsi="宋体"/>
          <w:szCs w:val="21"/>
          <w:highlight w:val="none"/>
        </w:rPr>
        <w:t>5</w:t>
      </w:r>
      <w:r>
        <w:rPr>
          <w:rFonts w:ascii="宋体" w:hAnsi="宋体"/>
          <w:szCs w:val="21"/>
          <w:highlight w:val="none"/>
        </w:rPr>
        <w:t>1.1</w:t>
      </w:r>
      <w:r>
        <w:rPr>
          <w:rFonts w:hint="eastAsia" w:ascii="宋体" w:hAnsi="宋体"/>
          <w:szCs w:val="21"/>
          <w:highlight w:val="none"/>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11" w:firstLineChars="196"/>
        <w:rPr>
          <w:rFonts w:ascii="宋体" w:hAnsi="宋体"/>
          <w:szCs w:val="21"/>
          <w:highlight w:val="none"/>
        </w:rPr>
      </w:pPr>
      <w:r>
        <w:rPr>
          <w:rFonts w:hint="eastAsia" w:ascii="宋体" w:hAnsi="宋体"/>
          <w:szCs w:val="21"/>
          <w:highlight w:val="none"/>
        </w:rPr>
        <w:t>（1）在采购活动中应当回避而未回避的；</w:t>
      </w:r>
    </w:p>
    <w:p>
      <w:pPr>
        <w:ind w:firstLine="411" w:firstLineChars="196"/>
        <w:rPr>
          <w:rFonts w:ascii="宋体" w:hAnsi="宋体"/>
          <w:szCs w:val="21"/>
          <w:highlight w:val="none"/>
        </w:rPr>
      </w:pPr>
      <w:r>
        <w:rPr>
          <w:rFonts w:hint="eastAsia" w:ascii="宋体" w:hAnsi="宋体"/>
          <w:szCs w:val="21"/>
          <w:highlight w:val="none"/>
        </w:rPr>
        <w:t>（2）未按本条例规定签订、履行采购合同，造成严重后果的；</w:t>
      </w:r>
    </w:p>
    <w:p>
      <w:pPr>
        <w:ind w:firstLine="411" w:firstLineChars="196"/>
        <w:rPr>
          <w:rFonts w:ascii="宋体" w:hAnsi="宋体"/>
          <w:szCs w:val="21"/>
          <w:highlight w:val="none"/>
        </w:rPr>
      </w:pPr>
      <w:r>
        <w:rPr>
          <w:rFonts w:hint="eastAsia" w:ascii="宋体" w:hAnsi="宋体"/>
          <w:szCs w:val="21"/>
          <w:highlight w:val="none"/>
        </w:rPr>
        <w:t>（3）隐瞒真实情况，提供虚假资料的；</w:t>
      </w:r>
    </w:p>
    <w:p>
      <w:pPr>
        <w:ind w:firstLine="411" w:firstLineChars="196"/>
        <w:rPr>
          <w:rFonts w:ascii="宋体" w:hAnsi="宋体"/>
          <w:szCs w:val="21"/>
          <w:highlight w:val="none"/>
        </w:rPr>
      </w:pPr>
      <w:r>
        <w:rPr>
          <w:rFonts w:hint="eastAsia" w:ascii="宋体" w:hAnsi="宋体"/>
          <w:szCs w:val="21"/>
          <w:highlight w:val="none"/>
        </w:rPr>
        <w:t>（4）以非法手段排斥其他供应商参与竞争的；</w:t>
      </w:r>
    </w:p>
    <w:p>
      <w:pPr>
        <w:ind w:firstLine="411" w:firstLineChars="196"/>
        <w:rPr>
          <w:rFonts w:ascii="宋体" w:hAnsi="宋体"/>
          <w:szCs w:val="21"/>
          <w:highlight w:val="none"/>
        </w:rPr>
      </w:pPr>
      <w:r>
        <w:rPr>
          <w:rFonts w:hint="eastAsia" w:ascii="宋体" w:hAnsi="宋体"/>
          <w:szCs w:val="21"/>
          <w:highlight w:val="none"/>
        </w:rPr>
        <w:t>（5）与其他采购参加人串通投标的；</w:t>
      </w:r>
    </w:p>
    <w:p>
      <w:pPr>
        <w:ind w:firstLine="411" w:firstLineChars="196"/>
        <w:rPr>
          <w:rFonts w:ascii="宋体" w:hAnsi="宋体"/>
          <w:szCs w:val="21"/>
          <w:highlight w:val="none"/>
        </w:rPr>
      </w:pPr>
      <w:r>
        <w:rPr>
          <w:rFonts w:hint="eastAsia" w:ascii="宋体" w:hAnsi="宋体"/>
          <w:szCs w:val="21"/>
          <w:highlight w:val="none"/>
        </w:rPr>
        <w:t>（6）恶意投诉的；</w:t>
      </w:r>
    </w:p>
    <w:p>
      <w:pPr>
        <w:ind w:firstLine="411" w:firstLineChars="196"/>
        <w:rPr>
          <w:rFonts w:ascii="宋体" w:hAnsi="宋体"/>
          <w:szCs w:val="21"/>
          <w:highlight w:val="none"/>
        </w:rPr>
      </w:pPr>
      <w:r>
        <w:rPr>
          <w:rFonts w:hint="eastAsia" w:ascii="宋体" w:hAnsi="宋体"/>
          <w:szCs w:val="21"/>
          <w:highlight w:val="none"/>
        </w:rPr>
        <w:t>（7）向采购项目相关人行贿或者提供其他不当利益的；</w:t>
      </w:r>
    </w:p>
    <w:p>
      <w:pPr>
        <w:ind w:firstLine="411" w:firstLineChars="196"/>
        <w:rPr>
          <w:rFonts w:ascii="宋体" w:hAnsi="宋体"/>
          <w:szCs w:val="21"/>
          <w:highlight w:val="none"/>
        </w:rPr>
      </w:pPr>
      <w:r>
        <w:rPr>
          <w:rFonts w:hint="eastAsia" w:ascii="宋体" w:hAnsi="宋体"/>
          <w:szCs w:val="21"/>
          <w:highlight w:val="none"/>
        </w:rPr>
        <w:t>（8）阻碍、抗拒主管部门监督检查的；</w:t>
      </w:r>
    </w:p>
    <w:p>
      <w:pPr>
        <w:ind w:firstLine="411" w:firstLineChars="196"/>
        <w:rPr>
          <w:rFonts w:ascii="宋体" w:hAnsi="宋体"/>
          <w:szCs w:val="21"/>
          <w:highlight w:val="none"/>
        </w:rPr>
      </w:pPr>
      <w:r>
        <w:rPr>
          <w:rFonts w:hint="eastAsia" w:ascii="宋体" w:hAnsi="宋体"/>
          <w:szCs w:val="21"/>
          <w:highlight w:val="none"/>
        </w:rPr>
        <w:t>（9）其他违反本条例规定的行为。</w:t>
      </w:r>
    </w:p>
    <w:p>
      <w:pPr>
        <w:ind w:firstLine="411" w:firstLineChars="196"/>
        <w:rPr>
          <w:rFonts w:ascii="宋体" w:hAnsi="宋体"/>
          <w:szCs w:val="21"/>
          <w:highlight w:val="none"/>
        </w:rPr>
      </w:pPr>
      <w:r>
        <w:rPr>
          <w:rFonts w:hint="eastAsia" w:ascii="宋体" w:hAnsi="宋体"/>
          <w:szCs w:val="21"/>
          <w:highlight w:val="none"/>
        </w:rPr>
        <w:t>5</w:t>
      </w:r>
      <w:r>
        <w:rPr>
          <w:rFonts w:ascii="宋体" w:hAnsi="宋体"/>
          <w:szCs w:val="21"/>
          <w:highlight w:val="none"/>
        </w:rPr>
        <w:t xml:space="preserve">1.2 </w:t>
      </w:r>
      <w:r>
        <w:rPr>
          <w:rFonts w:hint="eastAsia" w:ascii="宋体" w:hAnsi="宋体"/>
          <w:szCs w:val="21"/>
          <w:highlight w:val="none"/>
        </w:rPr>
        <w:t>根据《深圳市财政局关于调整政府采购投标（响应）保证金管理政策的通知 》（深财购〔2021〕51号）的要求，供应商在政府采购活动中出现《深圳经济特区政府采购条例实施细则》第八十条所列情形的，</w:t>
      </w:r>
      <w:bookmarkStart w:id="97" w:name="_Hlk72440769"/>
      <w:r>
        <w:rPr>
          <w:rFonts w:hint="eastAsia" w:ascii="宋体" w:hAnsi="宋体"/>
          <w:szCs w:val="21"/>
          <w:highlight w:val="none"/>
        </w:rPr>
        <w:t>政府集中采购机构或采购人不予退还其交纳的谈判保证金，情节严重的，并由主管部门</w:t>
      </w:r>
      <w:bookmarkEnd w:id="97"/>
      <w:r>
        <w:rPr>
          <w:rFonts w:hint="eastAsia" w:ascii="宋体" w:hAnsi="宋体"/>
          <w:szCs w:val="21"/>
          <w:highlight w:val="none"/>
        </w:rPr>
        <w:t>记入供应商诚信档案，予以通报：</w:t>
      </w:r>
    </w:p>
    <w:p>
      <w:pPr>
        <w:ind w:firstLine="411" w:firstLineChars="196"/>
        <w:rPr>
          <w:rFonts w:ascii="宋体" w:hAnsi="宋体"/>
          <w:szCs w:val="21"/>
          <w:highlight w:val="none"/>
        </w:rPr>
      </w:pPr>
      <w:r>
        <w:rPr>
          <w:rFonts w:hint="eastAsia" w:ascii="宋体" w:hAnsi="宋体"/>
          <w:szCs w:val="21"/>
          <w:highlight w:val="none"/>
        </w:rPr>
        <w:t>（1</w:t>
      </w:r>
      <w:r>
        <w:rPr>
          <w:rFonts w:ascii="宋体" w:hAnsi="宋体"/>
          <w:szCs w:val="21"/>
          <w:highlight w:val="none"/>
        </w:rPr>
        <w:t>）投标截止后，撤销投标的；</w:t>
      </w:r>
    </w:p>
    <w:p>
      <w:pPr>
        <w:ind w:firstLine="411" w:firstLineChars="196"/>
        <w:rPr>
          <w:rFonts w:ascii="宋体" w:hAnsi="宋体"/>
          <w:szCs w:val="21"/>
          <w:highlight w:val="none"/>
        </w:rPr>
      </w:pPr>
      <w:r>
        <w:rPr>
          <w:rFonts w:ascii="宋体" w:hAnsi="宋体"/>
          <w:szCs w:val="21"/>
          <w:highlight w:val="none"/>
        </w:rPr>
        <w:t>（</w:t>
      </w:r>
      <w:r>
        <w:rPr>
          <w:rFonts w:hint="eastAsia" w:ascii="宋体" w:hAnsi="宋体"/>
          <w:szCs w:val="21"/>
          <w:highlight w:val="none"/>
        </w:rPr>
        <w:t>2</w:t>
      </w:r>
      <w:r>
        <w:rPr>
          <w:rFonts w:ascii="宋体" w:hAnsi="宋体"/>
          <w:szCs w:val="21"/>
          <w:highlight w:val="none"/>
        </w:rPr>
        <w:t>）中标后无正当理由未在规定期限内签订合同的；</w:t>
      </w:r>
    </w:p>
    <w:p>
      <w:pPr>
        <w:ind w:firstLine="411" w:firstLineChars="196"/>
        <w:rPr>
          <w:rFonts w:ascii="宋体" w:hAnsi="宋体"/>
          <w:szCs w:val="21"/>
          <w:highlight w:val="none"/>
        </w:rPr>
      </w:pPr>
      <w:r>
        <w:rPr>
          <w:rFonts w:ascii="宋体" w:hAnsi="宋体"/>
          <w:szCs w:val="21"/>
          <w:highlight w:val="none"/>
        </w:rPr>
        <w:t>（</w:t>
      </w:r>
      <w:r>
        <w:rPr>
          <w:rFonts w:hint="eastAsia" w:ascii="宋体" w:hAnsi="宋体"/>
          <w:szCs w:val="21"/>
          <w:highlight w:val="none"/>
        </w:rPr>
        <w:t>3</w:t>
      </w:r>
      <w:r>
        <w:rPr>
          <w:rFonts w:ascii="宋体" w:hAnsi="宋体"/>
          <w:szCs w:val="21"/>
          <w:highlight w:val="none"/>
        </w:rPr>
        <w:t>）将中标项目转让给他人、或者在投标文件中未说明且未经采购人、采购招标机构同意，将中标项目分包给他人的；</w:t>
      </w:r>
    </w:p>
    <w:p>
      <w:pPr>
        <w:ind w:firstLine="411" w:firstLineChars="196"/>
        <w:rPr>
          <w:rFonts w:ascii="宋体" w:hAnsi="宋体"/>
          <w:szCs w:val="21"/>
          <w:highlight w:val="none"/>
        </w:rPr>
      </w:pPr>
      <w:r>
        <w:rPr>
          <w:rFonts w:ascii="宋体" w:hAnsi="宋体"/>
          <w:szCs w:val="21"/>
          <w:highlight w:val="none"/>
        </w:rPr>
        <w:t>（</w:t>
      </w:r>
      <w:r>
        <w:rPr>
          <w:rFonts w:hint="eastAsia" w:ascii="宋体" w:hAnsi="宋体"/>
          <w:szCs w:val="21"/>
          <w:highlight w:val="none"/>
        </w:rPr>
        <w:t>4</w:t>
      </w:r>
      <w:r>
        <w:rPr>
          <w:rFonts w:ascii="宋体" w:hAnsi="宋体"/>
          <w:szCs w:val="21"/>
          <w:highlight w:val="none"/>
        </w:rPr>
        <w:t>）拒绝履行合同义务的</w:t>
      </w:r>
      <w:r>
        <w:rPr>
          <w:rFonts w:hint="eastAsia" w:ascii="宋体" w:hAnsi="宋体"/>
          <w:szCs w:val="21"/>
          <w:highlight w:val="none"/>
        </w:rPr>
        <w:t>。</w:t>
      </w:r>
    </w:p>
    <w:bookmarkEnd w:id="81"/>
    <w:p>
      <w:pPr>
        <w:pStyle w:val="7"/>
        <w:numPr>
          <w:ilvl w:val="0"/>
          <w:numId w:val="14"/>
        </w:numPr>
        <w:spacing w:before="120" w:beforeLines="50" w:after="120" w:afterLines="50"/>
        <w:ind w:left="562" w:hanging="562"/>
        <w:rPr>
          <w:sz w:val="28"/>
          <w:szCs w:val="28"/>
          <w:highlight w:val="none"/>
        </w:rPr>
      </w:pPr>
      <w:r>
        <w:rPr>
          <w:rFonts w:hint="eastAsia"/>
          <w:sz w:val="28"/>
          <w:szCs w:val="28"/>
          <w:highlight w:val="none"/>
        </w:rPr>
        <w:t>质疑处理</w:t>
      </w:r>
    </w:p>
    <w:p>
      <w:pPr>
        <w:rPr>
          <w:rFonts w:ascii="黑体" w:hAnsi="宋体" w:eastAsia="黑体"/>
          <w:sz w:val="24"/>
          <w:highlight w:val="none"/>
        </w:rPr>
      </w:pPr>
      <w:bookmarkStart w:id="98" w:name="_Hlk72439706"/>
      <w:r>
        <w:rPr>
          <w:rFonts w:hint="eastAsia" w:ascii="黑体" w:hAnsi="宋体" w:eastAsia="黑体"/>
          <w:sz w:val="24"/>
          <w:highlight w:val="none"/>
        </w:rPr>
        <w:t>52.质疑提出与答复</w:t>
      </w:r>
    </w:p>
    <w:p>
      <w:pPr>
        <w:rPr>
          <w:rFonts w:ascii="宋体" w:hAnsi="宋体"/>
          <w:szCs w:val="21"/>
          <w:highlight w:val="none"/>
        </w:rPr>
      </w:pPr>
      <w:r>
        <w:rPr>
          <w:rFonts w:hint="eastAsia" w:ascii="宋体" w:hAnsi="宋体"/>
          <w:szCs w:val="21"/>
          <w:highlight w:val="none"/>
        </w:rPr>
        <w:t xml:space="preserve">    52.1提出质疑</w:t>
      </w:r>
    </w:p>
    <w:p>
      <w:pPr>
        <w:rPr>
          <w:rFonts w:ascii="宋体" w:hAnsi="宋体"/>
          <w:szCs w:val="21"/>
          <w:highlight w:val="none"/>
        </w:rPr>
      </w:pPr>
      <w:r>
        <w:rPr>
          <w:rFonts w:hint="eastAsia" w:ascii="宋体" w:hAnsi="宋体"/>
          <w:szCs w:val="21"/>
          <w:highlight w:val="none"/>
        </w:rPr>
        <w:t xml:space="preserve">    参与政府采购活动的供应商认为自己的权益在采购活动中受到损害的，应当自知道或者应当知道其权益受到损害之日起七个工作日内向采购人、政府集中采购机构以书面形式提出质疑。</w:t>
      </w:r>
    </w:p>
    <w:p>
      <w:pPr>
        <w:rPr>
          <w:rFonts w:ascii="宋体" w:hAnsi="宋体"/>
          <w:szCs w:val="21"/>
          <w:highlight w:val="none"/>
        </w:rPr>
      </w:pPr>
      <w:r>
        <w:rPr>
          <w:rFonts w:hint="eastAsia" w:ascii="宋体" w:hAnsi="宋体"/>
          <w:szCs w:val="21"/>
          <w:highlight w:val="none"/>
        </w:rPr>
        <w:t xml:space="preserve">    52.2</w:t>
      </w:r>
      <w:r>
        <w:rPr>
          <w:rFonts w:ascii="宋体" w:hAnsi="宋体"/>
          <w:szCs w:val="21"/>
          <w:highlight w:val="none"/>
        </w:rPr>
        <w:t>法律依据</w:t>
      </w:r>
    </w:p>
    <w:p>
      <w:pPr>
        <w:rPr>
          <w:rFonts w:ascii="宋体" w:hAnsi="宋体"/>
          <w:szCs w:val="21"/>
          <w:highlight w:val="none"/>
        </w:rPr>
      </w:pPr>
      <w:r>
        <w:rPr>
          <w:rFonts w:hint="eastAsia" w:ascii="宋体" w:hAnsi="宋体"/>
          <w:szCs w:val="21"/>
          <w:highlight w:val="none"/>
        </w:rPr>
        <w:t xml:space="preserve">    《中华人民共和国政府采购法》、《中华人民共和国政府采购法实施条例》、</w:t>
      </w:r>
      <w:r>
        <w:rPr>
          <w:rFonts w:ascii="宋体" w:hAnsi="宋体"/>
          <w:szCs w:val="21"/>
          <w:highlight w:val="none"/>
        </w:rPr>
        <w:t>《</w:t>
      </w:r>
      <w:r>
        <w:rPr>
          <w:rFonts w:hint="eastAsia" w:ascii="宋体" w:hAnsi="宋体"/>
          <w:szCs w:val="21"/>
          <w:highlight w:val="none"/>
        </w:rPr>
        <w:t>深圳经济特区政府采购</w:t>
      </w:r>
      <w:r>
        <w:rPr>
          <w:rFonts w:ascii="宋体" w:hAnsi="宋体"/>
          <w:szCs w:val="21"/>
          <w:highlight w:val="none"/>
        </w:rPr>
        <w:t>条例</w:t>
      </w:r>
      <w:r>
        <w:rPr>
          <w:rFonts w:hint="eastAsia" w:ascii="宋体" w:hAnsi="宋体"/>
          <w:szCs w:val="21"/>
          <w:highlight w:val="none"/>
        </w:rPr>
        <w:t>》、《深圳经济特区政府采购条例实施细则》、《政府采购质疑和投诉办法》（财政部令第94号）和其他有关法律法规规定。</w:t>
      </w:r>
    </w:p>
    <w:p>
      <w:pPr>
        <w:rPr>
          <w:rFonts w:ascii="宋体" w:hAnsi="宋体"/>
          <w:szCs w:val="21"/>
          <w:highlight w:val="none"/>
        </w:rPr>
      </w:pPr>
      <w:r>
        <w:rPr>
          <w:rFonts w:hint="eastAsia" w:ascii="宋体" w:hAnsi="宋体"/>
          <w:szCs w:val="21"/>
          <w:highlight w:val="none"/>
        </w:rPr>
        <w:t xml:space="preserve">  </w:t>
      </w:r>
      <w:r>
        <w:rPr>
          <w:rFonts w:hint="eastAsia" w:ascii="宋体" w:hAnsi="宋体"/>
          <w:color w:val="FF0000"/>
          <w:szCs w:val="21"/>
          <w:highlight w:val="none"/>
        </w:rPr>
        <w:t xml:space="preserve">  </w:t>
      </w:r>
      <w:r>
        <w:rPr>
          <w:rFonts w:hint="eastAsia" w:ascii="宋体" w:hAnsi="宋体"/>
          <w:szCs w:val="21"/>
          <w:highlight w:val="none"/>
        </w:rPr>
        <w:t>52.3质疑条件</w:t>
      </w:r>
    </w:p>
    <w:p>
      <w:pPr>
        <w:rPr>
          <w:rFonts w:ascii="宋体" w:hAnsi="宋体"/>
          <w:szCs w:val="21"/>
          <w:highlight w:val="none"/>
        </w:rPr>
      </w:pPr>
      <w:r>
        <w:rPr>
          <w:rFonts w:hint="eastAsia" w:ascii="宋体" w:hAnsi="宋体"/>
          <w:szCs w:val="21"/>
          <w:highlight w:val="none"/>
        </w:rPr>
        <w:t xml:space="preserve">    52.3.1提出质疑的供应商应当是参与所质疑项目采购活动的供应商；以联合体形式参与的，质疑应当由组成联合体的所有成员共同提出；</w:t>
      </w:r>
    </w:p>
    <w:p>
      <w:pPr>
        <w:rPr>
          <w:rFonts w:ascii="宋体" w:hAnsi="宋体"/>
          <w:szCs w:val="21"/>
          <w:highlight w:val="none"/>
        </w:rPr>
      </w:pPr>
      <w:r>
        <w:rPr>
          <w:rFonts w:hint="eastAsia" w:ascii="宋体" w:hAnsi="宋体"/>
          <w:szCs w:val="21"/>
          <w:highlight w:val="none"/>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ind w:firstLine="420"/>
        <w:rPr>
          <w:rFonts w:ascii="宋体" w:hAnsi="宋体"/>
          <w:szCs w:val="21"/>
          <w:highlight w:val="none"/>
        </w:rPr>
      </w:pPr>
      <w:r>
        <w:rPr>
          <w:rFonts w:hint="eastAsia" w:ascii="宋体" w:hAnsi="宋体"/>
          <w:szCs w:val="21"/>
          <w:highlight w:val="none"/>
        </w:rPr>
        <w:t>52.3.3应提交书面质疑函，质疑函应当包括以下内容：</w:t>
      </w:r>
      <w:r>
        <w:rPr>
          <w:rFonts w:ascii="宋体" w:hAnsi="宋体"/>
          <w:szCs w:val="21"/>
          <w:highlight w:val="none"/>
        </w:rPr>
        <w:t xml:space="preserve"> </w:t>
      </w:r>
    </w:p>
    <w:p>
      <w:pPr>
        <w:ind w:firstLine="420"/>
        <w:rPr>
          <w:rFonts w:ascii="宋体" w:hAnsi="宋体"/>
          <w:szCs w:val="21"/>
          <w:highlight w:val="none"/>
        </w:rPr>
      </w:pPr>
      <w:r>
        <w:rPr>
          <w:rFonts w:hint="eastAsia" w:ascii="宋体" w:hAnsi="宋体"/>
          <w:szCs w:val="21"/>
          <w:highlight w:val="none"/>
        </w:rPr>
        <w:t>（1）供应商的名称（或者姓名）、地址、邮编、邮箱、联系人及联系电话；</w:t>
      </w:r>
    </w:p>
    <w:p>
      <w:pPr>
        <w:ind w:firstLine="420" w:firstLineChars="200"/>
        <w:rPr>
          <w:rFonts w:ascii="宋体" w:hAnsi="宋体"/>
          <w:szCs w:val="21"/>
          <w:highlight w:val="none"/>
        </w:rPr>
      </w:pPr>
      <w:r>
        <w:rPr>
          <w:rFonts w:hint="eastAsia" w:ascii="宋体" w:hAnsi="宋体"/>
          <w:szCs w:val="21"/>
          <w:highlight w:val="none"/>
        </w:rPr>
        <w:t>（2）质疑项目的名称、编号；</w:t>
      </w:r>
    </w:p>
    <w:p>
      <w:pPr>
        <w:ind w:firstLine="420" w:firstLineChars="200"/>
        <w:rPr>
          <w:rFonts w:ascii="宋体" w:hAnsi="宋体"/>
          <w:szCs w:val="21"/>
          <w:highlight w:val="none"/>
        </w:rPr>
      </w:pPr>
      <w:r>
        <w:rPr>
          <w:rFonts w:hint="eastAsia" w:ascii="宋体" w:hAnsi="宋体"/>
          <w:szCs w:val="21"/>
          <w:highlight w:val="none"/>
        </w:rPr>
        <w:t>（3）具体、明确的质疑对象、质疑事项和质疑请求；</w:t>
      </w:r>
    </w:p>
    <w:p>
      <w:pPr>
        <w:ind w:firstLine="420" w:firstLineChars="200"/>
        <w:rPr>
          <w:rFonts w:ascii="宋体" w:hAnsi="宋体"/>
          <w:szCs w:val="21"/>
          <w:highlight w:val="none"/>
        </w:rPr>
      </w:pPr>
      <w:r>
        <w:rPr>
          <w:rFonts w:hint="eastAsia" w:ascii="宋体" w:hAnsi="宋体"/>
          <w:szCs w:val="21"/>
          <w:highlight w:val="none"/>
        </w:rPr>
        <w:t>（4）因质疑事项而受损害的权益；</w:t>
      </w:r>
    </w:p>
    <w:p>
      <w:pPr>
        <w:ind w:firstLine="420" w:firstLineChars="200"/>
        <w:rPr>
          <w:rFonts w:ascii="宋体" w:hAnsi="宋体"/>
          <w:szCs w:val="21"/>
          <w:highlight w:val="none"/>
        </w:rPr>
      </w:pPr>
      <w:r>
        <w:rPr>
          <w:rFonts w:hint="eastAsia" w:ascii="宋体" w:hAnsi="宋体"/>
          <w:szCs w:val="21"/>
          <w:highlight w:val="none"/>
        </w:rPr>
        <w:t>（5）事实依据；</w:t>
      </w:r>
    </w:p>
    <w:p>
      <w:pPr>
        <w:ind w:firstLine="420" w:firstLineChars="200"/>
        <w:rPr>
          <w:rFonts w:ascii="宋体" w:hAnsi="宋体"/>
          <w:szCs w:val="21"/>
          <w:highlight w:val="none"/>
        </w:rPr>
      </w:pPr>
      <w:r>
        <w:rPr>
          <w:rFonts w:hint="eastAsia" w:ascii="宋体" w:hAnsi="宋体"/>
          <w:szCs w:val="21"/>
          <w:highlight w:val="none"/>
        </w:rPr>
        <w:t>（6）必要的法律依据；</w:t>
      </w:r>
    </w:p>
    <w:p>
      <w:pPr>
        <w:ind w:firstLine="420" w:firstLineChars="200"/>
        <w:rPr>
          <w:rFonts w:ascii="宋体" w:hAnsi="宋体"/>
          <w:szCs w:val="21"/>
          <w:highlight w:val="none"/>
        </w:rPr>
      </w:pPr>
      <w:r>
        <w:rPr>
          <w:rFonts w:hint="eastAsia" w:ascii="宋体" w:hAnsi="宋体"/>
          <w:szCs w:val="21"/>
          <w:highlight w:val="none"/>
        </w:rPr>
        <w:t>（7）提出质疑的日期。</w:t>
      </w:r>
    </w:p>
    <w:p>
      <w:pPr>
        <w:ind w:firstLine="420" w:firstLineChars="200"/>
        <w:rPr>
          <w:rFonts w:ascii="宋体" w:hAnsi="宋体"/>
          <w:szCs w:val="21"/>
          <w:highlight w:val="none"/>
        </w:rPr>
      </w:pPr>
      <w:r>
        <w:rPr>
          <w:rFonts w:hint="eastAsia" w:ascii="宋体" w:hAnsi="宋体"/>
          <w:szCs w:val="21"/>
          <w:highlight w:val="none"/>
        </w:rPr>
        <w:t>供应商为自然人的，应当由本人签字；供应商为法人或者其他组织的，应当由法定代表人（负责人），或者其授权代理人签字或者盖章，并加盖公章。</w:t>
      </w:r>
    </w:p>
    <w:p>
      <w:pPr>
        <w:ind w:firstLine="420" w:firstLineChars="200"/>
        <w:rPr>
          <w:rFonts w:ascii="宋体" w:hAnsi="宋体"/>
          <w:szCs w:val="21"/>
          <w:highlight w:val="none"/>
        </w:rPr>
      </w:pPr>
      <w:r>
        <w:rPr>
          <w:rFonts w:hint="eastAsia" w:ascii="宋体" w:hAnsi="宋体"/>
          <w:szCs w:val="21"/>
          <w:highlight w:val="none"/>
        </w:rPr>
        <w:t>52.4提交</w:t>
      </w:r>
      <w:r>
        <w:rPr>
          <w:rFonts w:ascii="宋体" w:hAnsi="宋体"/>
          <w:szCs w:val="21"/>
          <w:highlight w:val="none"/>
        </w:rPr>
        <w:t>材料</w:t>
      </w:r>
    </w:p>
    <w:p>
      <w:pPr>
        <w:ind w:firstLine="420" w:firstLineChars="200"/>
        <w:rPr>
          <w:rFonts w:ascii="宋体" w:hAnsi="宋体"/>
          <w:szCs w:val="21"/>
          <w:highlight w:val="none"/>
        </w:rPr>
      </w:pPr>
      <w:r>
        <w:rPr>
          <w:rFonts w:hint="eastAsia" w:ascii="宋体" w:hAnsi="宋体"/>
          <w:szCs w:val="21"/>
          <w:highlight w:val="none"/>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20" w:firstLineChars="200"/>
        <w:rPr>
          <w:rFonts w:ascii="宋体" w:hAnsi="宋体"/>
          <w:szCs w:val="21"/>
          <w:highlight w:val="none"/>
        </w:rPr>
      </w:pPr>
      <w:r>
        <w:rPr>
          <w:rFonts w:hint="eastAsia" w:ascii="宋体" w:hAnsi="宋体"/>
          <w:szCs w:val="21"/>
          <w:highlight w:val="none"/>
        </w:rPr>
        <w:t>供应商可以委托代理人进行质疑。</w:t>
      </w:r>
      <w:r>
        <w:rPr>
          <w:rFonts w:ascii="宋体" w:hAnsi="宋体"/>
          <w:szCs w:val="21"/>
          <w:highlight w:val="none"/>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20" w:firstLineChars="200"/>
        <w:rPr>
          <w:rFonts w:ascii="宋体" w:hAnsi="宋体"/>
          <w:szCs w:val="21"/>
          <w:highlight w:val="none"/>
        </w:rPr>
      </w:pPr>
      <w:r>
        <w:rPr>
          <w:rFonts w:hint="eastAsia" w:ascii="宋体" w:hAnsi="宋体"/>
          <w:szCs w:val="21"/>
          <w:highlight w:val="none"/>
        </w:rPr>
        <w:t>52.5收文地点</w:t>
      </w:r>
    </w:p>
    <w:p>
      <w:pPr>
        <w:ind w:firstLine="422" w:firstLineChars="200"/>
        <w:rPr>
          <w:rFonts w:ascii="宋体" w:hAnsi="宋体"/>
          <w:b/>
          <w:bCs/>
          <w:szCs w:val="21"/>
          <w:highlight w:val="none"/>
        </w:rPr>
      </w:pPr>
      <w:r>
        <w:rPr>
          <w:rFonts w:hint="eastAsia" w:ascii="宋体" w:hAnsi="宋体"/>
          <w:b/>
          <w:bCs/>
          <w:szCs w:val="21"/>
          <w:highlight w:val="none"/>
        </w:rPr>
        <w:t>地址：深圳公共资源交易中心（深圳交易集团有限公司</w:t>
      </w:r>
      <w:r>
        <w:rPr>
          <w:rFonts w:hint="eastAsia" w:ascii="宋体" w:hAnsi="宋体"/>
          <w:b/>
          <w:bCs/>
          <w:szCs w:val="21"/>
          <w:highlight w:val="none"/>
          <w:lang w:val="en-US" w:eastAsia="zh-CN"/>
        </w:rPr>
        <w:t>福田</w:t>
      </w:r>
      <w:r>
        <w:rPr>
          <w:rFonts w:hint="eastAsia" w:ascii="宋体" w:hAnsi="宋体"/>
          <w:b/>
          <w:bCs/>
          <w:szCs w:val="21"/>
          <w:highlight w:val="none"/>
        </w:rPr>
        <w:t>分公司）</w:t>
      </w:r>
      <w:r>
        <w:rPr>
          <w:b/>
          <w:bCs/>
          <w:szCs w:val="21"/>
          <w:highlight w:val="none"/>
        </w:rPr>
        <w:t>深圳市南山区沙河西路3185号南山智谷A座（深圳交易集团总部大楼）27楼，质疑咨询电话：0755-</w:t>
      </w:r>
      <w:r>
        <w:rPr>
          <w:rFonts w:hint="eastAsia"/>
          <w:b/>
          <w:bCs/>
          <w:szCs w:val="21"/>
          <w:highlight w:val="none"/>
        </w:rPr>
        <w:t>23884457</w:t>
      </w:r>
      <w:r>
        <w:rPr>
          <w:b/>
          <w:bCs/>
          <w:szCs w:val="21"/>
          <w:highlight w:val="none"/>
        </w:rPr>
        <w:t>。</w:t>
      </w:r>
    </w:p>
    <w:p>
      <w:pPr>
        <w:ind w:firstLine="420" w:firstLineChars="200"/>
        <w:rPr>
          <w:rFonts w:ascii="宋体" w:hAnsi="宋体"/>
          <w:szCs w:val="21"/>
          <w:highlight w:val="none"/>
        </w:rPr>
      </w:pPr>
      <w:r>
        <w:rPr>
          <w:rFonts w:hint="eastAsia" w:ascii="宋体" w:hAnsi="宋体"/>
          <w:szCs w:val="21"/>
          <w:highlight w:val="none"/>
        </w:rPr>
        <w:t>52.6收文办理</w:t>
      </w:r>
      <w:r>
        <w:rPr>
          <w:rFonts w:ascii="宋体" w:hAnsi="宋体"/>
          <w:szCs w:val="21"/>
          <w:highlight w:val="none"/>
        </w:rPr>
        <w:t>程序</w:t>
      </w:r>
    </w:p>
    <w:p>
      <w:pPr>
        <w:ind w:firstLine="420" w:firstLineChars="200"/>
        <w:rPr>
          <w:rFonts w:ascii="宋体" w:hAnsi="宋体"/>
          <w:szCs w:val="21"/>
          <w:highlight w:val="none"/>
        </w:rPr>
      </w:pPr>
      <w:r>
        <w:rPr>
          <w:rFonts w:hint="eastAsia" w:ascii="宋体" w:hAnsi="宋体"/>
          <w:szCs w:val="21"/>
          <w:highlight w:val="none"/>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ind w:firstLine="420" w:firstLineChars="200"/>
        <w:rPr>
          <w:rFonts w:ascii="仿宋" w:hAnsi="仿宋" w:eastAsia="仿宋"/>
          <w:sz w:val="28"/>
          <w:szCs w:val="28"/>
          <w:highlight w:val="none"/>
        </w:rPr>
      </w:pPr>
      <w:r>
        <w:rPr>
          <w:rFonts w:hint="eastAsia" w:ascii="宋体" w:hAnsi="宋体"/>
          <w:szCs w:val="21"/>
          <w:highlight w:val="none"/>
        </w:rPr>
        <w:t>52.6.2供应商提交的质疑材料不符合质疑条件的，视情况处理：</w:t>
      </w:r>
    </w:p>
    <w:p>
      <w:pPr>
        <w:ind w:firstLine="420" w:firstLineChars="200"/>
        <w:rPr>
          <w:rFonts w:ascii="宋体" w:hAnsi="宋体"/>
          <w:szCs w:val="21"/>
          <w:highlight w:val="none"/>
        </w:rPr>
      </w:pPr>
      <w:r>
        <w:rPr>
          <w:rFonts w:hint="eastAsia" w:ascii="宋体" w:hAnsi="宋体"/>
          <w:szCs w:val="21"/>
          <w:highlight w:val="none"/>
        </w:rPr>
        <w:t>供应商提交的质疑材料不全或者未按要求签字或者盖章的，政府集中采购机构应当一次性告知供应商需补正的内容和补正期限。</w:t>
      </w:r>
    </w:p>
    <w:p>
      <w:pPr>
        <w:ind w:firstLine="420" w:firstLineChars="200"/>
        <w:rPr>
          <w:rFonts w:ascii="宋体" w:hAnsi="宋体"/>
          <w:szCs w:val="21"/>
          <w:highlight w:val="none"/>
        </w:rPr>
      </w:pPr>
      <w:r>
        <w:rPr>
          <w:rFonts w:hint="eastAsia" w:ascii="宋体" w:hAnsi="宋体"/>
          <w:szCs w:val="21"/>
          <w:highlight w:val="none"/>
        </w:rPr>
        <w:t>供应商提交的质疑存在下列情形之一的，不予受理：</w:t>
      </w:r>
    </w:p>
    <w:p>
      <w:pPr>
        <w:ind w:firstLine="420" w:firstLineChars="200"/>
        <w:rPr>
          <w:rFonts w:ascii="宋体" w:hAnsi="宋体"/>
          <w:szCs w:val="21"/>
          <w:highlight w:val="none"/>
        </w:rPr>
      </w:pPr>
      <w:r>
        <w:rPr>
          <w:rFonts w:hint="eastAsia" w:ascii="宋体" w:hAnsi="宋体"/>
          <w:szCs w:val="21"/>
          <w:highlight w:val="none"/>
        </w:rPr>
        <w:t>（1）质疑主体不满足要求的；</w:t>
      </w:r>
    </w:p>
    <w:p>
      <w:pPr>
        <w:ind w:firstLine="420" w:firstLineChars="200"/>
        <w:rPr>
          <w:rFonts w:ascii="宋体" w:hAnsi="宋体"/>
          <w:szCs w:val="21"/>
          <w:highlight w:val="none"/>
        </w:rPr>
      </w:pPr>
      <w:r>
        <w:rPr>
          <w:rFonts w:hint="eastAsia" w:ascii="宋体" w:hAnsi="宋体"/>
          <w:szCs w:val="21"/>
          <w:highlight w:val="none"/>
        </w:rPr>
        <w:t>（2）供应商自身权益未受到损害的；</w:t>
      </w:r>
    </w:p>
    <w:p>
      <w:pPr>
        <w:ind w:firstLine="420" w:firstLineChars="200"/>
        <w:rPr>
          <w:rFonts w:ascii="宋体" w:hAnsi="宋体"/>
          <w:szCs w:val="21"/>
          <w:highlight w:val="none"/>
        </w:rPr>
      </w:pPr>
      <w:r>
        <w:rPr>
          <w:rFonts w:hint="eastAsia" w:ascii="宋体" w:hAnsi="宋体"/>
          <w:szCs w:val="21"/>
          <w:highlight w:val="none"/>
        </w:rPr>
        <w:t>（3）供应商未在法定质疑期限内提出质疑的；</w:t>
      </w:r>
    </w:p>
    <w:p>
      <w:pPr>
        <w:ind w:firstLine="420" w:firstLineChars="200"/>
        <w:rPr>
          <w:rFonts w:ascii="宋体" w:hAnsi="宋体"/>
          <w:szCs w:val="21"/>
          <w:highlight w:val="none"/>
        </w:rPr>
      </w:pPr>
      <w:r>
        <w:rPr>
          <w:rFonts w:hint="eastAsia" w:ascii="宋体" w:hAnsi="宋体"/>
          <w:szCs w:val="21"/>
          <w:highlight w:val="none"/>
        </w:rPr>
        <w:t>（4）质疑材料不全或者未按要求签字或者盖章的情况下，要求补正后，逾期未补正或者补正后仍不符合规定的；</w:t>
      </w:r>
    </w:p>
    <w:p>
      <w:pPr>
        <w:ind w:firstLine="420" w:firstLineChars="200"/>
        <w:rPr>
          <w:rFonts w:ascii="宋体" w:hAnsi="宋体"/>
          <w:szCs w:val="21"/>
          <w:highlight w:val="none"/>
        </w:rPr>
      </w:pPr>
      <w:r>
        <w:rPr>
          <w:rFonts w:hint="eastAsia" w:ascii="宋体" w:hAnsi="宋体"/>
          <w:szCs w:val="21"/>
          <w:highlight w:val="none"/>
        </w:rPr>
        <w:t>（5）其他不符合受理条件情形的。</w:t>
      </w:r>
    </w:p>
    <w:p>
      <w:pPr>
        <w:ind w:firstLine="420" w:firstLineChars="200"/>
        <w:rPr>
          <w:rFonts w:ascii="宋体" w:hAnsi="宋体"/>
          <w:szCs w:val="21"/>
          <w:highlight w:val="none"/>
        </w:rPr>
      </w:pPr>
      <w:r>
        <w:rPr>
          <w:rFonts w:hint="eastAsia" w:ascii="宋体" w:hAnsi="宋体"/>
          <w:szCs w:val="21"/>
          <w:highlight w:val="none"/>
        </w:rPr>
        <w:t>质疑事项不予受理的，政府集中采购机构应当向供应商出具不符合质疑条件告知书。</w:t>
      </w:r>
    </w:p>
    <w:p>
      <w:pPr>
        <w:rPr>
          <w:rFonts w:ascii="宋体" w:hAnsi="宋体"/>
          <w:szCs w:val="21"/>
          <w:highlight w:val="none"/>
        </w:rPr>
      </w:pPr>
      <w:r>
        <w:rPr>
          <w:rFonts w:hint="eastAsia" w:ascii="宋体" w:hAnsi="宋体"/>
          <w:color w:val="FF0000"/>
          <w:szCs w:val="21"/>
          <w:highlight w:val="none"/>
        </w:rPr>
        <w:t xml:space="preserve">  </w:t>
      </w:r>
      <w:r>
        <w:rPr>
          <w:rFonts w:hint="eastAsia" w:ascii="宋体" w:hAnsi="宋体"/>
          <w:szCs w:val="21"/>
          <w:highlight w:val="none"/>
        </w:rPr>
        <w:t xml:space="preserve">  52.7质疑答复时限</w:t>
      </w:r>
    </w:p>
    <w:p>
      <w:pPr>
        <w:rPr>
          <w:rFonts w:ascii="宋体" w:hAnsi="宋体"/>
          <w:szCs w:val="21"/>
          <w:highlight w:val="none"/>
        </w:rPr>
      </w:pPr>
      <w:r>
        <w:rPr>
          <w:rFonts w:hint="eastAsia" w:ascii="宋体" w:hAnsi="宋体"/>
          <w:szCs w:val="21"/>
          <w:highlight w:val="none"/>
        </w:rPr>
        <w:t xml:space="preserve">    自收文之日起七个工作日内。</w:t>
      </w:r>
    </w:p>
    <w:p>
      <w:pPr>
        <w:rPr>
          <w:rFonts w:ascii="宋体" w:hAnsi="宋体"/>
          <w:szCs w:val="21"/>
          <w:highlight w:val="none"/>
        </w:rPr>
      </w:pPr>
      <w:r>
        <w:rPr>
          <w:rFonts w:hint="eastAsia" w:ascii="宋体" w:hAnsi="宋体"/>
          <w:szCs w:val="21"/>
          <w:highlight w:val="none"/>
        </w:rPr>
        <w:t xml:space="preserve">    52.8投诉</w:t>
      </w:r>
    </w:p>
    <w:p>
      <w:pPr>
        <w:rPr>
          <w:rFonts w:ascii="宋体" w:hAnsi="宋体"/>
          <w:szCs w:val="21"/>
          <w:highlight w:val="none"/>
        </w:rPr>
      </w:pPr>
      <w:r>
        <w:rPr>
          <w:rFonts w:hint="eastAsia" w:ascii="宋体" w:hAnsi="宋体"/>
          <w:szCs w:val="21"/>
          <w:highlight w:val="none"/>
        </w:rPr>
        <w:t xml:space="preserve">    对质疑答复不满意或者未在规定时间内答复的，提出质疑的供应商可以在答复期满后15个工作日内向同级财政部门投诉。</w:t>
      </w:r>
    </w:p>
    <w:p>
      <w:pPr>
        <w:rPr>
          <w:rFonts w:ascii="黑体" w:hAnsi="宋体" w:eastAsia="黑体"/>
          <w:sz w:val="24"/>
          <w:highlight w:val="none"/>
        </w:rPr>
      </w:pPr>
      <w:r>
        <w:rPr>
          <w:rFonts w:hint="eastAsia" w:ascii="黑体" w:hAnsi="宋体" w:eastAsia="黑体"/>
          <w:sz w:val="24"/>
          <w:highlight w:val="none"/>
        </w:rPr>
        <w:t>53. 质疑后续处理</w:t>
      </w:r>
    </w:p>
    <w:p>
      <w:pPr>
        <w:rPr>
          <w:rFonts w:ascii="宋体" w:hAnsi="宋体"/>
          <w:szCs w:val="21"/>
          <w:highlight w:val="none"/>
        </w:rPr>
      </w:pPr>
      <w:r>
        <w:rPr>
          <w:rFonts w:hint="eastAsia" w:ascii="宋体" w:hAnsi="宋体"/>
          <w:szCs w:val="21"/>
          <w:highlight w:val="none"/>
        </w:rPr>
        <w:t xml:space="preserve">    53.1供应商质疑不成立，或者成立但未对中标、成交结果构成影响的，继续开展采购活动。</w:t>
      </w:r>
    </w:p>
    <w:p>
      <w:pPr>
        <w:rPr>
          <w:rFonts w:ascii="宋体" w:hAnsi="宋体"/>
          <w:szCs w:val="21"/>
          <w:highlight w:val="none"/>
        </w:rPr>
      </w:pPr>
      <w:r>
        <w:rPr>
          <w:rFonts w:hint="eastAsia" w:ascii="宋体" w:hAnsi="宋体"/>
          <w:szCs w:val="21"/>
          <w:highlight w:val="none"/>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jc w:val="center"/>
        <w:rPr>
          <w:highlight w:val="none"/>
        </w:rPr>
      </w:pPr>
      <w:r>
        <w:rPr>
          <w:highlight w:val="none"/>
        </w:rPr>
        <w:t>---- END ----</w:t>
      </w:r>
    </w:p>
    <w:bookmarkEnd w:id="98"/>
    <w:p>
      <w:pPr>
        <w:rPr>
          <w:highlight w:val="none"/>
        </w:rPr>
      </w:pPr>
    </w:p>
    <w:p>
      <w:pPr>
        <w:ind w:firstLine="420" w:firstLineChars="200"/>
        <w:rPr>
          <w:rFonts w:ascii="宋体" w:hAnsi="宋体"/>
          <w:szCs w:val="21"/>
          <w:highlight w:val="none"/>
        </w:rPr>
      </w:pPr>
    </w:p>
    <w:sectPr>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隶书">
    <w:altName w:val="微软雅黑"/>
    <w:panose1 w:val="0201050906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t xml:space="preserve">- </w:t>
    </w:r>
    <w:r>
      <w:fldChar w:fldCharType="begin"/>
    </w:r>
    <w:r>
      <w:instrText xml:space="preserve"> PAGE </w:instrText>
    </w:r>
    <w:r>
      <w:fldChar w:fldCharType="separate"/>
    </w:r>
    <w:r>
      <w:t>29</w:t>
    </w:r>
    <w:r>
      <w:fldChar w:fldCharType="end"/>
    </w:r>
    <w:r>
      <w:t xml:space="preserve"> -</w:t>
    </w:r>
  </w:p>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rPr>
        <w:rStyle w:val="46"/>
      </w:rPr>
      <w:fldChar w:fldCharType="begin"/>
    </w:r>
    <w:r>
      <w:rPr>
        <w:rStyle w:val="46"/>
      </w:rPr>
      <w:instrText xml:space="preserve">PAGE  </w:instrText>
    </w:r>
    <w:r>
      <w:rPr>
        <w:rStyle w:val="46"/>
      </w:rPr>
      <w:fldChar w:fldCharType="end"/>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top w:val="none" w:color="auto" w:sz="0" w:space="0"/>
        <w:left w:val="none" w:color="auto" w:sz="0" w:space="0"/>
        <w:bottom w:val="none" w:color="auto" w:sz="0" w:space="1"/>
        <w:right w:val="none" w:color="auto" w:sz="0" w:space="0"/>
        <w:between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C3420A"/>
    <w:multiLevelType w:val="singleLevel"/>
    <w:tmpl w:val="97C3420A"/>
    <w:lvl w:ilvl="0" w:tentative="0">
      <w:start w:val="1"/>
      <w:numFmt w:val="decimal"/>
      <w:suff w:val="nothing"/>
      <w:lvlText w:val="%1、"/>
      <w:lvlJc w:val="left"/>
    </w:lvl>
  </w:abstractNum>
  <w:abstractNum w:abstractNumId="1">
    <w:nsid w:val="A702A6DD"/>
    <w:multiLevelType w:val="singleLevel"/>
    <w:tmpl w:val="A702A6DD"/>
    <w:lvl w:ilvl="0" w:tentative="0">
      <w:start w:val="1"/>
      <w:numFmt w:val="decimal"/>
      <w:suff w:val="nothing"/>
      <w:lvlText w:val="%1、"/>
      <w:lvlJc w:val="left"/>
    </w:lvl>
  </w:abstractNum>
  <w:abstractNum w:abstractNumId="2">
    <w:nsid w:val="A9F11B60"/>
    <w:multiLevelType w:val="singleLevel"/>
    <w:tmpl w:val="A9F11B60"/>
    <w:lvl w:ilvl="0" w:tentative="0">
      <w:start w:val="2"/>
      <w:numFmt w:val="chineseCounting"/>
      <w:suff w:val="nothing"/>
      <w:lvlText w:val="（%1）"/>
      <w:lvlJc w:val="left"/>
      <w:rPr>
        <w:rFonts w:hint="eastAsia"/>
      </w:rPr>
    </w:lvl>
  </w:abstractNum>
  <w:abstractNum w:abstractNumId="3">
    <w:nsid w:val="B4F30691"/>
    <w:multiLevelType w:val="singleLevel"/>
    <w:tmpl w:val="B4F30691"/>
    <w:lvl w:ilvl="0" w:tentative="0">
      <w:start w:val="3"/>
      <w:numFmt w:val="decimal"/>
      <w:suff w:val="nothing"/>
      <w:lvlText w:val="（%1）"/>
      <w:lvlJc w:val="left"/>
    </w:lvl>
  </w:abstractNum>
  <w:abstractNum w:abstractNumId="4">
    <w:nsid w:val="B9358C2E"/>
    <w:multiLevelType w:val="singleLevel"/>
    <w:tmpl w:val="B9358C2E"/>
    <w:lvl w:ilvl="0" w:tentative="0">
      <w:start w:val="2"/>
      <w:numFmt w:val="decimal"/>
      <w:suff w:val="nothing"/>
      <w:lvlText w:val="%1、"/>
      <w:lvlJc w:val="left"/>
    </w:lvl>
  </w:abstractNum>
  <w:abstractNum w:abstractNumId="5">
    <w:nsid w:val="C1865B49"/>
    <w:multiLevelType w:val="singleLevel"/>
    <w:tmpl w:val="C1865B49"/>
    <w:lvl w:ilvl="0" w:tentative="0">
      <w:start w:val="1"/>
      <w:numFmt w:val="decimal"/>
      <w:lvlText w:val="%1."/>
      <w:lvlJc w:val="left"/>
      <w:pPr>
        <w:tabs>
          <w:tab w:val="left" w:pos="312"/>
        </w:tabs>
      </w:pPr>
    </w:lvl>
  </w:abstractNum>
  <w:abstractNum w:abstractNumId="6">
    <w:nsid w:val="E3B2059C"/>
    <w:multiLevelType w:val="singleLevel"/>
    <w:tmpl w:val="E3B2059C"/>
    <w:lvl w:ilvl="0" w:tentative="0">
      <w:start w:val="1"/>
      <w:numFmt w:val="chineseCounting"/>
      <w:suff w:val="nothing"/>
      <w:lvlText w:val="（%1）"/>
      <w:lvlJc w:val="left"/>
      <w:rPr>
        <w:rFonts w:hint="eastAsia"/>
      </w:rPr>
    </w:lvl>
  </w:abstractNum>
  <w:abstractNum w:abstractNumId="7">
    <w:nsid w:val="FFFFFF7C"/>
    <w:multiLevelType w:val="singleLevel"/>
    <w:tmpl w:val="FFFFFF7C"/>
    <w:lvl w:ilvl="0" w:tentative="0">
      <w:start w:val="1"/>
      <w:numFmt w:val="decimal"/>
      <w:pStyle w:val="56"/>
      <w:lvlText w:val="%1."/>
      <w:lvlJc w:val="left"/>
      <w:pPr>
        <w:tabs>
          <w:tab w:val="left" w:pos="2040"/>
        </w:tabs>
        <w:ind w:left="2040" w:leftChars="800" w:hanging="360" w:hangingChars="200"/>
      </w:pPr>
    </w:lvl>
  </w:abstractNum>
  <w:abstractNum w:abstractNumId="8">
    <w:nsid w:val="FFFFFF89"/>
    <w:multiLevelType w:val="singleLevel"/>
    <w:tmpl w:val="FFFFFF89"/>
    <w:lvl w:ilvl="0" w:tentative="0">
      <w:start w:val="1"/>
      <w:numFmt w:val="bullet"/>
      <w:pStyle w:val="16"/>
      <w:lvlText w:val=""/>
      <w:lvlJc w:val="left"/>
      <w:pPr>
        <w:tabs>
          <w:tab w:val="left" w:pos="360"/>
        </w:tabs>
        <w:ind w:left="360" w:hanging="360" w:hangingChars="200"/>
      </w:pPr>
      <w:rPr>
        <w:rFonts w:hint="default" w:ascii="Wingdings" w:hAnsi="Wingdings"/>
      </w:rPr>
    </w:lvl>
  </w:abstractNum>
  <w:abstractNum w:abstractNumId="9">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2503483"/>
    <w:multiLevelType w:val="multilevel"/>
    <w:tmpl w:val="12503483"/>
    <w:lvl w:ilvl="0" w:tentative="0">
      <w:start w:val="1"/>
      <w:numFmt w:val="bullet"/>
      <w:pStyle w:val="104"/>
      <w:lvlText w:val=""/>
      <w:lvlJc w:val="left"/>
      <w:pPr>
        <w:tabs>
          <w:tab w:val="left" w:pos="420"/>
        </w:tabs>
        <w:ind w:left="420" w:hanging="420"/>
      </w:pPr>
      <w:rPr>
        <w:rFonts w:hint="default" w:ascii="Wingdings" w:hAnsi="Wingdings"/>
      </w:rPr>
    </w:lvl>
    <w:lvl w:ilvl="1" w:tentative="0">
      <w:start w:val="1"/>
      <w:numFmt w:val="bullet"/>
      <w:pStyle w:val="103"/>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160D20D0"/>
    <w:multiLevelType w:val="multilevel"/>
    <w:tmpl w:val="160D20D0"/>
    <w:lvl w:ilvl="0" w:tentative="0">
      <w:start w:val="1"/>
      <w:numFmt w:val="bullet"/>
      <w:pStyle w:val="72"/>
      <w:lvlText w:val=""/>
      <w:lvlJc w:val="left"/>
      <w:pPr>
        <w:tabs>
          <w:tab w:val="left" w:pos="840"/>
        </w:tabs>
        <w:ind w:left="840" w:hanging="420"/>
      </w:pPr>
      <w:rPr>
        <w:rFonts w:hint="default" w:ascii="Wingdings" w:hAnsi="Wingdings"/>
      </w:rPr>
    </w:lvl>
    <w:lvl w:ilvl="1" w:tentative="0">
      <w:start w:val="1"/>
      <w:numFmt w:val="bullet"/>
      <w:pStyle w:val="73"/>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2">
    <w:nsid w:val="2F395B7B"/>
    <w:multiLevelType w:val="multilevel"/>
    <w:tmpl w:val="2F395B7B"/>
    <w:lvl w:ilvl="0" w:tentative="0">
      <w:start w:val="1"/>
      <w:numFmt w:val="bullet"/>
      <w:pStyle w:val="164"/>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3">
    <w:nsid w:val="7AEF7716"/>
    <w:multiLevelType w:val="multilevel"/>
    <w:tmpl w:val="7AEF7716"/>
    <w:lvl w:ilvl="0" w:tentative="0">
      <w:start w:val="1"/>
      <w:numFmt w:val="chineseCountingThousand"/>
      <w:pStyle w:val="117"/>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7"/>
  </w:num>
  <w:num w:numId="3">
    <w:abstractNumId w:val="11"/>
  </w:num>
  <w:num w:numId="4">
    <w:abstractNumId w:val="10"/>
  </w:num>
  <w:num w:numId="5">
    <w:abstractNumId w:val="13"/>
  </w:num>
  <w:num w:numId="6">
    <w:abstractNumId w:val="12"/>
  </w:num>
  <w:num w:numId="7">
    <w:abstractNumId w:val="5"/>
  </w:num>
  <w:num w:numId="8">
    <w:abstractNumId w:val="2"/>
  </w:num>
  <w:num w:numId="9">
    <w:abstractNumId w:val="6"/>
  </w:num>
  <w:num w:numId="10">
    <w:abstractNumId w:val="3"/>
  </w:num>
  <w:num w:numId="11">
    <w:abstractNumId w:val="0"/>
  </w:num>
  <w:num w:numId="12">
    <w:abstractNumId w:val="1"/>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5OTcwMzQxZDVkODc4NGRlNTVhYjhlMWUxM2VjMzYifQ=="/>
  </w:docVars>
  <w:rsids>
    <w:rsidRoot w:val="006C5683"/>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1EA6"/>
    <w:rsid w:val="00012B21"/>
    <w:rsid w:val="0001300F"/>
    <w:rsid w:val="00013262"/>
    <w:rsid w:val="0001480D"/>
    <w:rsid w:val="00014A5C"/>
    <w:rsid w:val="00015388"/>
    <w:rsid w:val="00015BDD"/>
    <w:rsid w:val="00015C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CD1"/>
    <w:rsid w:val="00036A2B"/>
    <w:rsid w:val="000377D2"/>
    <w:rsid w:val="00040D3C"/>
    <w:rsid w:val="00040E5A"/>
    <w:rsid w:val="00042897"/>
    <w:rsid w:val="00042C84"/>
    <w:rsid w:val="00043739"/>
    <w:rsid w:val="00043A89"/>
    <w:rsid w:val="00045739"/>
    <w:rsid w:val="00046D30"/>
    <w:rsid w:val="000510B6"/>
    <w:rsid w:val="00051133"/>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335B"/>
    <w:rsid w:val="00063C25"/>
    <w:rsid w:val="00064231"/>
    <w:rsid w:val="00064892"/>
    <w:rsid w:val="00064C7A"/>
    <w:rsid w:val="00066026"/>
    <w:rsid w:val="000661FF"/>
    <w:rsid w:val="00066537"/>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0D4"/>
    <w:rsid w:val="00084857"/>
    <w:rsid w:val="00084F26"/>
    <w:rsid w:val="0008503C"/>
    <w:rsid w:val="000850AF"/>
    <w:rsid w:val="000852EB"/>
    <w:rsid w:val="00086539"/>
    <w:rsid w:val="000869D8"/>
    <w:rsid w:val="00086CA6"/>
    <w:rsid w:val="00090213"/>
    <w:rsid w:val="000903AC"/>
    <w:rsid w:val="00092FC7"/>
    <w:rsid w:val="00093133"/>
    <w:rsid w:val="0009395E"/>
    <w:rsid w:val="00094603"/>
    <w:rsid w:val="000954D5"/>
    <w:rsid w:val="00095723"/>
    <w:rsid w:val="0009618D"/>
    <w:rsid w:val="0009709B"/>
    <w:rsid w:val="000975E3"/>
    <w:rsid w:val="00097DDA"/>
    <w:rsid w:val="000A1DD1"/>
    <w:rsid w:val="000A21A5"/>
    <w:rsid w:val="000A3908"/>
    <w:rsid w:val="000A4C29"/>
    <w:rsid w:val="000A5EA4"/>
    <w:rsid w:val="000A6E2B"/>
    <w:rsid w:val="000A79D3"/>
    <w:rsid w:val="000B05E2"/>
    <w:rsid w:val="000B0C99"/>
    <w:rsid w:val="000B0F8B"/>
    <w:rsid w:val="000B2213"/>
    <w:rsid w:val="000B2568"/>
    <w:rsid w:val="000B41BB"/>
    <w:rsid w:val="000B5357"/>
    <w:rsid w:val="000B5853"/>
    <w:rsid w:val="000B597F"/>
    <w:rsid w:val="000B634D"/>
    <w:rsid w:val="000B7465"/>
    <w:rsid w:val="000C14CB"/>
    <w:rsid w:val="000C18BC"/>
    <w:rsid w:val="000C1EE4"/>
    <w:rsid w:val="000C1FF9"/>
    <w:rsid w:val="000C21C4"/>
    <w:rsid w:val="000C4151"/>
    <w:rsid w:val="000C4425"/>
    <w:rsid w:val="000C4B12"/>
    <w:rsid w:val="000C4FCB"/>
    <w:rsid w:val="000C5EA0"/>
    <w:rsid w:val="000C5FA7"/>
    <w:rsid w:val="000C7E71"/>
    <w:rsid w:val="000D16AA"/>
    <w:rsid w:val="000D1A7D"/>
    <w:rsid w:val="000D2309"/>
    <w:rsid w:val="000D2CCA"/>
    <w:rsid w:val="000D366B"/>
    <w:rsid w:val="000D38F9"/>
    <w:rsid w:val="000D5D6B"/>
    <w:rsid w:val="000D62C8"/>
    <w:rsid w:val="000D7A20"/>
    <w:rsid w:val="000E0BFC"/>
    <w:rsid w:val="000E161C"/>
    <w:rsid w:val="000E266E"/>
    <w:rsid w:val="000E2B61"/>
    <w:rsid w:val="000E470B"/>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425"/>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2FD3"/>
    <w:rsid w:val="00133A61"/>
    <w:rsid w:val="001341E8"/>
    <w:rsid w:val="001362BD"/>
    <w:rsid w:val="0013673A"/>
    <w:rsid w:val="00137F86"/>
    <w:rsid w:val="001410EB"/>
    <w:rsid w:val="00141B41"/>
    <w:rsid w:val="00143554"/>
    <w:rsid w:val="00143653"/>
    <w:rsid w:val="00143934"/>
    <w:rsid w:val="00143B3A"/>
    <w:rsid w:val="00143E43"/>
    <w:rsid w:val="00143FFC"/>
    <w:rsid w:val="001453B3"/>
    <w:rsid w:val="00146ABB"/>
    <w:rsid w:val="00147338"/>
    <w:rsid w:val="00147A48"/>
    <w:rsid w:val="00150143"/>
    <w:rsid w:val="001509AB"/>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96C"/>
    <w:rsid w:val="00191EA7"/>
    <w:rsid w:val="00192164"/>
    <w:rsid w:val="00193EB7"/>
    <w:rsid w:val="00194ACA"/>
    <w:rsid w:val="00194C98"/>
    <w:rsid w:val="00194FB7"/>
    <w:rsid w:val="00196B4E"/>
    <w:rsid w:val="001975A1"/>
    <w:rsid w:val="001A027A"/>
    <w:rsid w:val="001A08E4"/>
    <w:rsid w:val="001A0D2C"/>
    <w:rsid w:val="001A11D8"/>
    <w:rsid w:val="001A12B5"/>
    <w:rsid w:val="001A174B"/>
    <w:rsid w:val="001A1C72"/>
    <w:rsid w:val="001A2976"/>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4BB2"/>
    <w:rsid w:val="001B6FAD"/>
    <w:rsid w:val="001C04B2"/>
    <w:rsid w:val="001C1FDE"/>
    <w:rsid w:val="001C2063"/>
    <w:rsid w:val="001C21E1"/>
    <w:rsid w:val="001C3426"/>
    <w:rsid w:val="001C4768"/>
    <w:rsid w:val="001C5839"/>
    <w:rsid w:val="001C6431"/>
    <w:rsid w:val="001C6AF6"/>
    <w:rsid w:val="001C7129"/>
    <w:rsid w:val="001C77E1"/>
    <w:rsid w:val="001C7ADA"/>
    <w:rsid w:val="001D0FD3"/>
    <w:rsid w:val="001D121D"/>
    <w:rsid w:val="001D1C29"/>
    <w:rsid w:val="001D3543"/>
    <w:rsid w:val="001D35FD"/>
    <w:rsid w:val="001D3B85"/>
    <w:rsid w:val="001D3DF1"/>
    <w:rsid w:val="001D4151"/>
    <w:rsid w:val="001D4BB9"/>
    <w:rsid w:val="001D501B"/>
    <w:rsid w:val="001D58E5"/>
    <w:rsid w:val="001D5EAE"/>
    <w:rsid w:val="001E07AA"/>
    <w:rsid w:val="001E0FAB"/>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03B"/>
    <w:rsid w:val="00203267"/>
    <w:rsid w:val="00203897"/>
    <w:rsid w:val="0020391D"/>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67D"/>
    <w:rsid w:val="002166A1"/>
    <w:rsid w:val="002166A6"/>
    <w:rsid w:val="00216BB6"/>
    <w:rsid w:val="0022048B"/>
    <w:rsid w:val="0022175C"/>
    <w:rsid w:val="00221D76"/>
    <w:rsid w:val="00222261"/>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4711"/>
    <w:rsid w:val="00244AE4"/>
    <w:rsid w:val="00245EBE"/>
    <w:rsid w:val="00246C63"/>
    <w:rsid w:val="002472C1"/>
    <w:rsid w:val="002473F4"/>
    <w:rsid w:val="00250600"/>
    <w:rsid w:val="002506E1"/>
    <w:rsid w:val="00250F42"/>
    <w:rsid w:val="00252934"/>
    <w:rsid w:val="00252EBA"/>
    <w:rsid w:val="0025361A"/>
    <w:rsid w:val="002545EF"/>
    <w:rsid w:val="00254B44"/>
    <w:rsid w:val="00254E99"/>
    <w:rsid w:val="00255B9B"/>
    <w:rsid w:val="002562E9"/>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2AC"/>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4E82"/>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B0660"/>
    <w:rsid w:val="002B1286"/>
    <w:rsid w:val="002B18D6"/>
    <w:rsid w:val="002B1B98"/>
    <w:rsid w:val="002B22D4"/>
    <w:rsid w:val="002B3259"/>
    <w:rsid w:val="002B3984"/>
    <w:rsid w:val="002B4595"/>
    <w:rsid w:val="002B45EE"/>
    <w:rsid w:val="002B4BF3"/>
    <w:rsid w:val="002B55C8"/>
    <w:rsid w:val="002B5E4B"/>
    <w:rsid w:val="002B660D"/>
    <w:rsid w:val="002B7969"/>
    <w:rsid w:val="002C0031"/>
    <w:rsid w:val="002C0485"/>
    <w:rsid w:val="002C0762"/>
    <w:rsid w:val="002C0C86"/>
    <w:rsid w:val="002C1397"/>
    <w:rsid w:val="002C257A"/>
    <w:rsid w:val="002C2BEC"/>
    <w:rsid w:val="002C30C0"/>
    <w:rsid w:val="002C4F4B"/>
    <w:rsid w:val="002C6EC0"/>
    <w:rsid w:val="002C7A58"/>
    <w:rsid w:val="002D0356"/>
    <w:rsid w:val="002D07C0"/>
    <w:rsid w:val="002D0F98"/>
    <w:rsid w:val="002D1DFB"/>
    <w:rsid w:val="002D45BF"/>
    <w:rsid w:val="002D4A85"/>
    <w:rsid w:val="002D4B65"/>
    <w:rsid w:val="002D6162"/>
    <w:rsid w:val="002D64DF"/>
    <w:rsid w:val="002D71EF"/>
    <w:rsid w:val="002E00F3"/>
    <w:rsid w:val="002E242E"/>
    <w:rsid w:val="002E255F"/>
    <w:rsid w:val="002E2CED"/>
    <w:rsid w:val="002E2FEC"/>
    <w:rsid w:val="002E38DB"/>
    <w:rsid w:val="002E4AB1"/>
    <w:rsid w:val="002E4F8A"/>
    <w:rsid w:val="002E505D"/>
    <w:rsid w:val="002E73B8"/>
    <w:rsid w:val="002F0823"/>
    <w:rsid w:val="002F0F0F"/>
    <w:rsid w:val="002F113B"/>
    <w:rsid w:val="002F2471"/>
    <w:rsid w:val="002F2B7A"/>
    <w:rsid w:val="002F3105"/>
    <w:rsid w:val="002F4864"/>
    <w:rsid w:val="002F5E6C"/>
    <w:rsid w:val="002F6DD7"/>
    <w:rsid w:val="002F72FF"/>
    <w:rsid w:val="002F7987"/>
    <w:rsid w:val="002F79D4"/>
    <w:rsid w:val="003005C9"/>
    <w:rsid w:val="00300BF3"/>
    <w:rsid w:val="0030143F"/>
    <w:rsid w:val="00301BCD"/>
    <w:rsid w:val="003024C7"/>
    <w:rsid w:val="00303636"/>
    <w:rsid w:val="00303ACF"/>
    <w:rsid w:val="0030463E"/>
    <w:rsid w:val="003047AB"/>
    <w:rsid w:val="00304ED6"/>
    <w:rsid w:val="0030661C"/>
    <w:rsid w:val="00306D5D"/>
    <w:rsid w:val="00306FF4"/>
    <w:rsid w:val="003074C6"/>
    <w:rsid w:val="00307A08"/>
    <w:rsid w:val="0031060A"/>
    <w:rsid w:val="00310EE1"/>
    <w:rsid w:val="003122B0"/>
    <w:rsid w:val="00312390"/>
    <w:rsid w:val="003138EB"/>
    <w:rsid w:val="003139DD"/>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18A6"/>
    <w:rsid w:val="00331D51"/>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494"/>
    <w:rsid w:val="00360C00"/>
    <w:rsid w:val="00360E7E"/>
    <w:rsid w:val="00361935"/>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FA4"/>
    <w:rsid w:val="003756C6"/>
    <w:rsid w:val="00375EFF"/>
    <w:rsid w:val="00376E35"/>
    <w:rsid w:val="003773E4"/>
    <w:rsid w:val="00377F6C"/>
    <w:rsid w:val="00380094"/>
    <w:rsid w:val="00380256"/>
    <w:rsid w:val="0038165D"/>
    <w:rsid w:val="00381812"/>
    <w:rsid w:val="00383071"/>
    <w:rsid w:val="00383BBC"/>
    <w:rsid w:val="0038418D"/>
    <w:rsid w:val="003849DF"/>
    <w:rsid w:val="00385444"/>
    <w:rsid w:val="00385717"/>
    <w:rsid w:val="00385C8D"/>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298"/>
    <w:rsid w:val="003A3304"/>
    <w:rsid w:val="003A3551"/>
    <w:rsid w:val="003A38F0"/>
    <w:rsid w:val="003A443D"/>
    <w:rsid w:val="003A4708"/>
    <w:rsid w:val="003A4BAB"/>
    <w:rsid w:val="003A6A5A"/>
    <w:rsid w:val="003A72E9"/>
    <w:rsid w:val="003B06AD"/>
    <w:rsid w:val="003B06B9"/>
    <w:rsid w:val="003B0979"/>
    <w:rsid w:val="003B15E9"/>
    <w:rsid w:val="003B175A"/>
    <w:rsid w:val="003B3231"/>
    <w:rsid w:val="003B357A"/>
    <w:rsid w:val="003B4714"/>
    <w:rsid w:val="003B499C"/>
    <w:rsid w:val="003B4CCD"/>
    <w:rsid w:val="003B53D4"/>
    <w:rsid w:val="003B7298"/>
    <w:rsid w:val="003C0036"/>
    <w:rsid w:val="003C0FF8"/>
    <w:rsid w:val="003C43DA"/>
    <w:rsid w:val="003C4FD5"/>
    <w:rsid w:val="003C5585"/>
    <w:rsid w:val="003C57DD"/>
    <w:rsid w:val="003C582B"/>
    <w:rsid w:val="003C614D"/>
    <w:rsid w:val="003C77E9"/>
    <w:rsid w:val="003D152F"/>
    <w:rsid w:val="003D19EE"/>
    <w:rsid w:val="003D2333"/>
    <w:rsid w:val="003D2374"/>
    <w:rsid w:val="003D2B3A"/>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6E11"/>
    <w:rsid w:val="003E7BA8"/>
    <w:rsid w:val="003F0536"/>
    <w:rsid w:val="003F10D3"/>
    <w:rsid w:val="003F1548"/>
    <w:rsid w:val="003F2B3D"/>
    <w:rsid w:val="003F2EDF"/>
    <w:rsid w:val="003F3105"/>
    <w:rsid w:val="003F3BBA"/>
    <w:rsid w:val="003F3C44"/>
    <w:rsid w:val="003F4172"/>
    <w:rsid w:val="003F4249"/>
    <w:rsid w:val="003F4E3B"/>
    <w:rsid w:val="003F5086"/>
    <w:rsid w:val="003F5108"/>
    <w:rsid w:val="003F5D2C"/>
    <w:rsid w:val="003F64BC"/>
    <w:rsid w:val="003F6CAF"/>
    <w:rsid w:val="003F7679"/>
    <w:rsid w:val="004001D3"/>
    <w:rsid w:val="00400C13"/>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96"/>
    <w:rsid w:val="00411B37"/>
    <w:rsid w:val="004125ED"/>
    <w:rsid w:val="00412B4D"/>
    <w:rsid w:val="00413B39"/>
    <w:rsid w:val="00413D4D"/>
    <w:rsid w:val="0041450E"/>
    <w:rsid w:val="0041456E"/>
    <w:rsid w:val="00414BE5"/>
    <w:rsid w:val="00415370"/>
    <w:rsid w:val="00415781"/>
    <w:rsid w:val="00416485"/>
    <w:rsid w:val="00416F40"/>
    <w:rsid w:val="00417769"/>
    <w:rsid w:val="00417F0D"/>
    <w:rsid w:val="00421795"/>
    <w:rsid w:val="00421EF2"/>
    <w:rsid w:val="00422668"/>
    <w:rsid w:val="004252CD"/>
    <w:rsid w:val="0042602D"/>
    <w:rsid w:val="00427004"/>
    <w:rsid w:val="0042772E"/>
    <w:rsid w:val="00430CF3"/>
    <w:rsid w:val="00431AC1"/>
    <w:rsid w:val="00431DE1"/>
    <w:rsid w:val="004329C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3F8A"/>
    <w:rsid w:val="00454597"/>
    <w:rsid w:val="004548E6"/>
    <w:rsid w:val="0045543A"/>
    <w:rsid w:val="00455880"/>
    <w:rsid w:val="00455D1D"/>
    <w:rsid w:val="004561F9"/>
    <w:rsid w:val="0045637C"/>
    <w:rsid w:val="004569A3"/>
    <w:rsid w:val="00456A7F"/>
    <w:rsid w:val="004578ED"/>
    <w:rsid w:val="004611B6"/>
    <w:rsid w:val="00461997"/>
    <w:rsid w:val="00463F8B"/>
    <w:rsid w:val="004649AD"/>
    <w:rsid w:val="004650E7"/>
    <w:rsid w:val="0046687B"/>
    <w:rsid w:val="004674FB"/>
    <w:rsid w:val="00470418"/>
    <w:rsid w:val="004704DA"/>
    <w:rsid w:val="004704EA"/>
    <w:rsid w:val="0047056A"/>
    <w:rsid w:val="0047071D"/>
    <w:rsid w:val="00471464"/>
    <w:rsid w:val="004727C4"/>
    <w:rsid w:val="00473579"/>
    <w:rsid w:val="00474E5A"/>
    <w:rsid w:val="004754AE"/>
    <w:rsid w:val="0047558F"/>
    <w:rsid w:val="0047561A"/>
    <w:rsid w:val="00475FD5"/>
    <w:rsid w:val="0047770B"/>
    <w:rsid w:val="00477AFC"/>
    <w:rsid w:val="004812F4"/>
    <w:rsid w:val="0048231B"/>
    <w:rsid w:val="00482BD9"/>
    <w:rsid w:val="004838D4"/>
    <w:rsid w:val="004845AC"/>
    <w:rsid w:val="00484C31"/>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78"/>
    <w:rsid w:val="004B1CAB"/>
    <w:rsid w:val="004B2FF9"/>
    <w:rsid w:val="004B3506"/>
    <w:rsid w:val="004B36ED"/>
    <w:rsid w:val="004B3D73"/>
    <w:rsid w:val="004B40DB"/>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1240"/>
    <w:rsid w:val="004D133B"/>
    <w:rsid w:val="004D49EE"/>
    <w:rsid w:val="004D4AE0"/>
    <w:rsid w:val="004D4C0B"/>
    <w:rsid w:val="004D512D"/>
    <w:rsid w:val="004D6042"/>
    <w:rsid w:val="004D62C0"/>
    <w:rsid w:val="004D69FC"/>
    <w:rsid w:val="004D77BD"/>
    <w:rsid w:val="004D77DE"/>
    <w:rsid w:val="004D7BF4"/>
    <w:rsid w:val="004D7C92"/>
    <w:rsid w:val="004E0D46"/>
    <w:rsid w:val="004E295C"/>
    <w:rsid w:val="004E38B2"/>
    <w:rsid w:val="004E3936"/>
    <w:rsid w:val="004E4277"/>
    <w:rsid w:val="004E490B"/>
    <w:rsid w:val="004E57F7"/>
    <w:rsid w:val="004E5D9C"/>
    <w:rsid w:val="004E6707"/>
    <w:rsid w:val="004E6985"/>
    <w:rsid w:val="004E6B8E"/>
    <w:rsid w:val="004F0543"/>
    <w:rsid w:val="004F126D"/>
    <w:rsid w:val="004F2385"/>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1923"/>
    <w:rsid w:val="005622F8"/>
    <w:rsid w:val="0056310A"/>
    <w:rsid w:val="00563236"/>
    <w:rsid w:val="0056336F"/>
    <w:rsid w:val="005636C6"/>
    <w:rsid w:val="00565366"/>
    <w:rsid w:val="00565AF7"/>
    <w:rsid w:val="00570C34"/>
    <w:rsid w:val="00571020"/>
    <w:rsid w:val="0057189C"/>
    <w:rsid w:val="00571BD2"/>
    <w:rsid w:val="00571CD7"/>
    <w:rsid w:val="00571D59"/>
    <w:rsid w:val="00572E3E"/>
    <w:rsid w:val="005732E0"/>
    <w:rsid w:val="005738F7"/>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C14"/>
    <w:rsid w:val="005A7C48"/>
    <w:rsid w:val="005A7DBE"/>
    <w:rsid w:val="005A7E1A"/>
    <w:rsid w:val="005B0476"/>
    <w:rsid w:val="005B1482"/>
    <w:rsid w:val="005B152C"/>
    <w:rsid w:val="005B1C64"/>
    <w:rsid w:val="005B1DE8"/>
    <w:rsid w:val="005B2590"/>
    <w:rsid w:val="005B25BC"/>
    <w:rsid w:val="005B2807"/>
    <w:rsid w:val="005B3606"/>
    <w:rsid w:val="005B3BFF"/>
    <w:rsid w:val="005B3E08"/>
    <w:rsid w:val="005B49B6"/>
    <w:rsid w:val="005B56EE"/>
    <w:rsid w:val="005B672C"/>
    <w:rsid w:val="005B747D"/>
    <w:rsid w:val="005B7733"/>
    <w:rsid w:val="005B7A22"/>
    <w:rsid w:val="005C0602"/>
    <w:rsid w:val="005C0D5D"/>
    <w:rsid w:val="005C0D70"/>
    <w:rsid w:val="005C191A"/>
    <w:rsid w:val="005C2AA9"/>
    <w:rsid w:val="005C330D"/>
    <w:rsid w:val="005C40C7"/>
    <w:rsid w:val="005C4114"/>
    <w:rsid w:val="005C4B98"/>
    <w:rsid w:val="005C4EFF"/>
    <w:rsid w:val="005C4F43"/>
    <w:rsid w:val="005D0B55"/>
    <w:rsid w:val="005D160D"/>
    <w:rsid w:val="005D356C"/>
    <w:rsid w:val="005D4A04"/>
    <w:rsid w:val="005D4CF7"/>
    <w:rsid w:val="005D5347"/>
    <w:rsid w:val="005D5CC5"/>
    <w:rsid w:val="005D5FE6"/>
    <w:rsid w:val="005D61EA"/>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5573"/>
    <w:rsid w:val="005F5D1D"/>
    <w:rsid w:val="005F60C9"/>
    <w:rsid w:val="005F64C6"/>
    <w:rsid w:val="005F6F05"/>
    <w:rsid w:val="006008F1"/>
    <w:rsid w:val="00601714"/>
    <w:rsid w:val="00601735"/>
    <w:rsid w:val="00602BD2"/>
    <w:rsid w:val="00604980"/>
    <w:rsid w:val="00605BDB"/>
    <w:rsid w:val="0060614D"/>
    <w:rsid w:val="0061005A"/>
    <w:rsid w:val="006101C5"/>
    <w:rsid w:val="00610871"/>
    <w:rsid w:val="00610E48"/>
    <w:rsid w:val="0061160D"/>
    <w:rsid w:val="0061286C"/>
    <w:rsid w:val="00612E83"/>
    <w:rsid w:val="00613C47"/>
    <w:rsid w:val="00615086"/>
    <w:rsid w:val="00615B0A"/>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1"/>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2DFC"/>
    <w:rsid w:val="00672F5B"/>
    <w:rsid w:val="00673BD7"/>
    <w:rsid w:val="00673DEE"/>
    <w:rsid w:val="00674E69"/>
    <w:rsid w:val="00675A33"/>
    <w:rsid w:val="0067602A"/>
    <w:rsid w:val="006763ED"/>
    <w:rsid w:val="00676433"/>
    <w:rsid w:val="006767FD"/>
    <w:rsid w:val="0067720F"/>
    <w:rsid w:val="0067738E"/>
    <w:rsid w:val="00677F23"/>
    <w:rsid w:val="00680936"/>
    <w:rsid w:val="00680BBE"/>
    <w:rsid w:val="00680D8C"/>
    <w:rsid w:val="00680D99"/>
    <w:rsid w:val="006821B2"/>
    <w:rsid w:val="00682725"/>
    <w:rsid w:val="00682A1B"/>
    <w:rsid w:val="00682D73"/>
    <w:rsid w:val="00682ED3"/>
    <w:rsid w:val="006846E8"/>
    <w:rsid w:val="0068541E"/>
    <w:rsid w:val="00685E9D"/>
    <w:rsid w:val="00685EBD"/>
    <w:rsid w:val="0068605C"/>
    <w:rsid w:val="006861C3"/>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A01FB"/>
    <w:rsid w:val="006A07DF"/>
    <w:rsid w:val="006A1093"/>
    <w:rsid w:val="006A1D3D"/>
    <w:rsid w:val="006A2150"/>
    <w:rsid w:val="006A2216"/>
    <w:rsid w:val="006A241D"/>
    <w:rsid w:val="006A3288"/>
    <w:rsid w:val="006A43E6"/>
    <w:rsid w:val="006A4AEE"/>
    <w:rsid w:val="006A526F"/>
    <w:rsid w:val="006A70BE"/>
    <w:rsid w:val="006A7934"/>
    <w:rsid w:val="006B0001"/>
    <w:rsid w:val="006B04AF"/>
    <w:rsid w:val="006B059F"/>
    <w:rsid w:val="006B0A56"/>
    <w:rsid w:val="006B2048"/>
    <w:rsid w:val="006B20A6"/>
    <w:rsid w:val="006B32D5"/>
    <w:rsid w:val="006B342E"/>
    <w:rsid w:val="006B3812"/>
    <w:rsid w:val="006B3B80"/>
    <w:rsid w:val="006B6870"/>
    <w:rsid w:val="006B6F32"/>
    <w:rsid w:val="006B7130"/>
    <w:rsid w:val="006B73CC"/>
    <w:rsid w:val="006B7695"/>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6"/>
    <w:rsid w:val="006D1D3F"/>
    <w:rsid w:val="006D253B"/>
    <w:rsid w:val="006D325A"/>
    <w:rsid w:val="006D407B"/>
    <w:rsid w:val="006D4242"/>
    <w:rsid w:val="006D44E6"/>
    <w:rsid w:val="006D45F0"/>
    <w:rsid w:val="006D4C8F"/>
    <w:rsid w:val="006D52A0"/>
    <w:rsid w:val="006D57CB"/>
    <w:rsid w:val="006D5819"/>
    <w:rsid w:val="006D5E6F"/>
    <w:rsid w:val="006D693F"/>
    <w:rsid w:val="006D6CDD"/>
    <w:rsid w:val="006D7604"/>
    <w:rsid w:val="006D765E"/>
    <w:rsid w:val="006E03D1"/>
    <w:rsid w:val="006E0455"/>
    <w:rsid w:val="006E150D"/>
    <w:rsid w:val="006E3289"/>
    <w:rsid w:val="006E33E4"/>
    <w:rsid w:val="006E4238"/>
    <w:rsid w:val="006E5F01"/>
    <w:rsid w:val="006E5F88"/>
    <w:rsid w:val="006E7404"/>
    <w:rsid w:val="006E7B97"/>
    <w:rsid w:val="006F1DE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44BF"/>
    <w:rsid w:val="00706A58"/>
    <w:rsid w:val="00707517"/>
    <w:rsid w:val="007078ED"/>
    <w:rsid w:val="00710187"/>
    <w:rsid w:val="007110E1"/>
    <w:rsid w:val="00711B18"/>
    <w:rsid w:val="00714394"/>
    <w:rsid w:val="00714ED6"/>
    <w:rsid w:val="007151B7"/>
    <w:rsid w:val="00715E8D"/>
    <w:rsid w:val="00716D8A"/>
    <w:rsid w:val="00717854"/>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34510"/>
    <w:rsid w:val="00734887"/>
    <w:rsid w:val="007365B6"/>
    <w:rsid w:val="007373C8"/>
    <w:rsid w:val="007401E2"/>
    <w:rsid w:val="00740205"/>
    <w:rsid w:val="00740D67"/>
    <w:rsid w:val="007411E5"/>
    <w:rsid w:val="00741605"/>
    <w:rsid w:val="00742AD3"/>
    <w:rsid w:val="00742F72"/>
    <w:rsid w:val="007436F2"/>
    <w:rsid w:val="0074436D"/>
    <w:rsid w:val="007446DA"/>
    <w:rsid w:val="007462C2"/>
    <w:rsid w:val="00746772"/>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0C9"/>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606"/>
    <w:rsid w:val="007908ED"/>
    <w:rsid w:val="00790F74"/>
    <w:rsid w:val="007912E8"/>
    <w:rsid w:val="00792288"/>
    <w:rsid w:val="00792447"/>
    <w:rsid w:val="007928C6"/>
    <w:rsid w:val="007929C0"/>
    <w:rsid w:val="00794F7C"/>
    <w:rsid w:val="007951F4"/>
    <w:rsid w:val="0079694C"/>
    <w:rsid w:val="00797AF9"/>
    <w:rsid w:val="00797FBD"/>
    <w:rsid w:val="007A0187"/>
    <w:rsid w:val="007A19AC"/>
    <w:rsid w:val="007A2640"/>
    <w:rsid w:val="007A268F"/>
    <w:rsid w:val="007A4A53"/>
    <w:rsid w:val="007A4C93"/>
    <w:rsid w:val="007A4E17"/>
    <w:rsid w:val="007A5AC6"/>
    <w:rsid w:val="007A6A01"/>
    <w:rsid w:val="007A7D0A"/>
    <w:rsid w:val="007A7F6D"/>
    <w:rsid w:val="007B0799"/>
    <w:rsid w:val="007B0FBD"/>
    <w:rsid w:val="007B1BAF"/>
    <w:rsid w:val="007B2393"/>
    <w:rsid w:val="007B2FE8"/>
    <w:rsid w:val="007B30DB"/>
    <w:rsid w:val="007B35F7"/>
    <w:rsid w:val="007B4DD5"/>
    <w:rsid w:val="007B4F72"/>
    <w:rsid w:val="007B5148"/>
    <w:rsid w:val="007B5A16"/>
    <w:rsid w:val="007B660D"/>
    <w:rsid w:val="007B7219"/>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53B"/>
    <w:rsid w:val="007D1E37"/>
    <w:rsid w:val="007D2256"/>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3A4"/>
    <w:rsid w:val="00807C6C"/>
    <w:rsid w:val="00807C7A"/>
    <w:rsid w:val="008115ED"/>
    <w:rsid w:val="00811A42"/>
    <w:rsid w:val="0081254B"/>
    <w:rsid w:val="008132BB"/>
    <w:rsid w:val="0081340B"/>
    <w:rsid w:val="00813788"/>
    <w:rsid w:val="00813F40"/>
    <w:rsid w:val="00814FED"/>
    <w:rsid w:val="00815822"/>
    <w:rsid w:val="00815B93"/>
    <w:rsid w:val="00815BA2"/>
    <w:rsid w:val="00816585"/>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6F4C"/>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1F"/>
    <w:rsid w:val="00845898"/>
    <w:rsid w:val="00845A15"/>
    <w:rsid w:val="0084632F"/>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1C1"/>
    <w:rsid w:val="00876C1B"/>
    <w:rsid w:val="00876E70"/>
    <w:rsid w:val="008804E1"/>
    <w:rsid w:val="00880E30"/>
    <w:rsid w:val="008815B6"/>
    <w:rsid w:val="008818F6"/>
    <w:rsid w:val="00881D45"/>
    <w:rsid w:val="008829F8"/>
    <w:rsid w:val="0088398E"/>
    <w:rsid w:val="00885182"/>
    <w:rsid w:val="0088647E"/>
    <w:rsid w:val="00887E02"/>
    <w:rsid w:val="00890382"/>
    <w:rsid w:val="0089046A"/>
    <w:rsid w:val="00891106"/>
    <w:rsid w:val="00892833"/>
    <w:rsid w:val="00893479"/>
    <w:rsid w:val="0089375D"/>
    <w:rsid w:val="008943CB"/>
    <w:rsid w:val="008946B9"/>
    <w:rsid w:val="008960A2"/>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46C3"/>
    <w:rsid w:val="008C522A"/>
    <w:rsid w:val="008C5E71"/>
    <w:rsid w:val="008C64E3"/>
    <w:rsid w:val="008C6A8B"/>
    <w:rsid w:val="008C77F7"/>
    <w:rsid w:val="008D00EA"/>
    <w:rsid w:val="008D0D1E"/>
    <w:rsid w:val="008D1175"/>
    <w:rsid w:val="008D13C7"/>
    <w:rsid w:val="008D1627"/>
    <w:rsid w:val="008D1DA0"/>
    <w:rsid w:val="008D284E"/>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2A60"/>
    <w:rsid w:val="008F310D"/>
    <w:rsid w:val="008F3888"/>
    <w:rsid w:val="008F3A90"/>
    <w:rsid w:val="008F3B22"/>
    <w:rsid w:val="008F43C7"/>
    <w:rsid w:val="008F4823"/>
    <w:rsid w:val="008F551B"/>
    <w:rsid w:val="008F606D"/>
    <w:rsid w:val="008F6597"/>
    <w:rsid w:val="008F7150"/>
    <w:rsid w:val="008F71CC"/>
    <w:rsid w:val="008F721C"/>
    <w:rsid w:val="008F757D"/>
    <w:rsid w:val="00900662"/>
    <w:rsid w:val="00901953"/>
    <w:rsid w:val="00901DF8"/>
    <w:rsid w:val="00902166"/>
    <w:rsid w:val="00902A0C"/>
    <w:rsid w:val="009040A1"/>
    <w:rsid w:val="009043AA"/>
    <w:rsid w:val="0090473B"/>
    <w:rsid w:val="0090487F"/>
    <w:rsid w:val="00905282"/>
    <w:rsid w:val="00905908"/>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33CE"/>
    <w:rsid w:val="00923C3F"/>
    <w:rsid w:val="00924853"/>
    <w:rsid w:val="009252E0"/>
    <w:rsid w:val="00925501"/>
    <w:rsid w:val="00926982"/>
    <w:rsid w:val="00926B5A"/>
    <w:rsid w:val="00926D4C"/>
    <w:rsid w:val="009270C4"/>
    <w:rsid w:val="00931743"/>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827"/>
    <w:rsid w:val="00943BC0"/>
    <w:rsid w:val="00944BF0"/>
    <w:rsid w:val="00946136"/>
    <w:rsid w:val="00946CD9"/>
    <w:rsid w:val="00947046"/>
    <w:rsid w:val="00947A00"/>
    <w:rsid w:val="009505F4"/>
    <w:rsid w:val="00951216"/>
    <w:rsid w:val="0095279B"/>
    <w:rsid w:val="0095316C"/>
    <w:rsid w:val="00954282"/>
    <w:rsid w:val="00954427"/>
    <w:rsid w:val="009545B9"/>
    <w:rsid w:val="009564ED"/>
    <w:rsid w:val="00956CA2"/>
    <w:rsid w:val="00960385"/>
    <w:rsid w:val="0096079B"/>
    <w:rsid w:val="00960CA9"/>
    <w:rsid w:val="0096218D"/>
    <w:rsid w:val="00964509"/>
    <w:rsid w:val="00964525"/>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3583"/>
    <w:rsid w:val="00983EFD"/>
    <w:rsid w:val="009855B0"/>
    <w:rsid w:val="009859A8"/>
    <w:rsid w:val="00985A7D"/>
    <w:rsid w:val="00986257"/>
    <w:rsid w:val="0098658A"/>
    <w:rsid w:val="00986861"/>
    <w:rsid w:val="00987CBC"/>
    <w:rsid w:val="00990E34"/>
    <w:rsid w:val="00991EB0"/>
    <w:rsid w:val="0099212B"/>
    <w:rsid w:val="0099245F"/>
    <w:rsid w:val="009928FA"/>
    <w:rsid w:val="009937B4"/>
    <w:rsid w:val="00994B5F"/>
    <w:rsid w:val="00995768"/>
    <w:rsid w:val="00996326"/>
    <w:rsid w:val="00996B7D"/>
    <w:rsid w:val="00996F95"/>
    <w:rsid w:val="00997745"/>
    <w:rsid w:val="00997EA5"/>
    <w:rsid w:val="009A07D5"/>
    <w:rsid w:val="009A1303"/>
    <w:rsid w:val="009A1BC9"/>
    <w:rsid w:val="009A1FE7"/>
    <w:rsid w:val="009A2967"/>
    <w:rsid w:val="009A36B7"/>
    <w:rsid w:val="009A3720"/>
    <w:rsid w:val="009A42CF"/>
    <w:rsid w:val="009A44E8"/>
    <w:rsid w:val="009A4A49"/>
    <w:rsid w:val="009A581E"/>
    <w:rsid w:val="009A679E"/>
    <w:rsid w:val="009B0460"/>
    <w:rsid w:val="009B13AF"/>
    <w:rsid w:val="009B1DA5"/>
    <w:rsid w:val="009B1E1D"/>
    <w:rsid w:val="009B2602"/>
    <w:rsid w:val="009B28FD"/>
    <w:rsid w:val="009B2AD6"/>
    <w:rsid w:val="009B3172"/>
    <w:rsid w:val="009B4575"/>
    <w:rsid w:val="009B461D"/>
    <w:rsid w:val="009B5594"/>
    <w:rsid w:val="009B59ED"/>
    <w:rsid w:val="009B6EE8"/>
    <w:rsid w:val="009B729E"/>
    <w:rsid w:val="009B7498"/>
    <w:rsid w:val="009C264B"/>
    <w:rsid w:val="009C34F1"/>
    <w:rsid w:val="009C381A"/>
    <w:rsid w:val="009C3B80"/>
    <w:rsid w:val="009C3D84"/>
    <w:rsid w:val="009C48C6"/>
    <w:rsid w:val="009C5D76"/>
    <w:rsid w:val="009C5DFB"/>
    <w:rsid w:val="009C5FDE"/>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4BB"/>
    <w:rsid w:val="009E0525"/>
    <w:rsid w:val="009E05A9"/>
    <w:rsid w:val="009E1370"/>
    <w:rsid w:val="009E20A6"/>
    <w:rsid w:val="009E233F"/>
    <w:rsid w:val="009E2F30"/>
    <w:rsid w:val="009E323A"/>
    <w:rsid w:val="009E328B"/>
    <w:rsid w:val="009E4130"/>
    <w:rsid w:val="009E6122"/>
    <w:rsid w:val="009E6DD0"/>
    <w:rsid w:val="009E6DEE"/>
    <w:rsid w:val="009E6E87"/>
    <w:rsid w:val="009E700C"/>
    <w:rsid w:val="009E7F79"/>
    <w:rsid w:val="009F082A"/>
    <w:rsid w:val="009F0BD9"/>
    <w:rsid w:val="009F12B4"/>
    <w:rsid w:val="009F33FA"/>
    <w:rsid w:val="009F347C"/>
    <w:rsid w:val="009F4D19"/>
    <w:rsid w:val="009F54D7"/>
    <w:rsid w:val="009F6619"/>
    <w:rsid w:val="009F68FF"/>
    <w:rsid w:val="009F6FEE"/>
    <w:rsid w:val="009F768E"/>
    <w:rsid w:val="009F7F88"/>
    <w:rsid w:val="00A00E77"/>
    <w:rsid w:val="00A01A4C"/>
    <w:rsid w:val="00A01C1F"/>
    <w:rsid w:val="00A01C98"/>
    <w:rsid w:val="00A04B6F"/>
    <w:rsid w:val="00A054CB"/>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67968"/>
    <w:rsid w:val="00A7040E"/>
    <w:rsid w:val="00A70D5A"/>
    <w:rsid w:val="00A734F2"/>
    <w:rsid w:val="00A73DEE"/>
    <w:rsid w:val="00A74678"/>
    <w:rsid w:val="00A75AEA"/>
    <w:rsid w:val="00A75EA3"/>
    <w:rsid w:val="00A76063"/>
    <w:rsid w:val="00A767EB"/>
    <w:rsid w:val="00A771BF"/>
    <w:rsid w:val="00A77299"/>
    <w:rsid w:val="00A803C1"/>
    <w:rsid w:val="00A805F1"/>
    <w:rsid w:val="00A815B6"/>
    <w:rsid w:val="00A81953"/>
    <w:rsid w:val="00A827C9"/>
    <w:rsid w:val="00A83BF3"/>
    <w:rsid w:val="00A85B31"/>
    <w:rsid w:val="00A860FD"/>
    <w:rsid w:val="00A861F3"/>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A16"/>
    <w:rsid w:val="00A97B61"/>
    <w:rsid w:val="00A97C2E"/>
    <w:rsid w:val="00A97CE3"/>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71A"/>
    <w:rsid w:val="00AA5EB3"/>
    <w:rsid w:val="00AA5F1A"/>
    <w:rsid w:val="00AA6916"/>
    <w:rsid w:val="00AB022F"/>
    <w:rsid w:val="00AB110E"/>
    <w:rsid w:val="00AB11CF"/>
    <w:rsid w:val="00AB1287"/>
    <w:rsid w:val="00AB1CE8"/>
    <w:rsid w:val="00AB2470"/>
    <w:rsid w:val="00AB3FCD"/>
    <w:rsid w:val="00AB4506"/>
    <w:rsid w:val="00AB5190"/>
    <w:rsid w:val="00AB5513"/>
    <w:rsid w:val="00AB6DFC"/>
    <w:rsid w:val="00AB6E0F"/>
    <w:rsid w:val="00AB7354"/>
    <w:rsid w:val="00AB75DD"/>
    <w:rsid w:val="00AB7C46"/>
    <w:rsid w:val="00AC071C"/>
    <w:rsid w:val="00AC2076"/>
    <w:rsid w:val="00AC3637"/>
    <w:rsid w:val="00AC3D4F"/>
    <w:rsid w:val="00AC3DB7"/>
    <w:rsid w:val="00AC4699"/>
    <w:rsid w:val="00AC57CD"/>
    <w:rsid w:val="00AC59DF"/>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330"/>
    <w:rsid w:val="00AE27D6"/>
    <w:rsid w:val="00AE55BC"/>
    <w:rsid w:val="00AE5A99"/>
    <w:rsid w:val="00AE62E7"/>
    <w:rsid w:val="00AE686D"/>
    <w:rsid w:val="00AE6B27"/>
    <w:rsid w:val="00AE77AC"/>
    <w:rsid w:val="00AF0DC0"/>
    <w:rsid w:val="00AF0F96"/>
    <w:rsid w:val="00AF17E4"/>
    <w:rsid w:val="00AF21D7"/>
    <w:rsid w:val="00AF282C"/>
    <w:rsid w:val="00AF28EB"/>
    <w:rsid w:val="00AF31BA"/>
    <w:rsid w:val="00AF36B6"/>
    <w:rsid w:val="00AF4803"/>
    <w:rsid w:val="00AF4D10"/>
    <w:rsid w:val="00AF58CB"/>
    <w:rsid w:val="00AF7217"/>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4AA"/>
    <w:rsid w:val="00B147C9"/>
    <w:rsid w:val="00B15BB2"/>
    <w:rsid w:val="00B1666B"/>
    <w:rsid w:val="00B16EBE"/>
    <w:rsid w:val="00B20655"/>
    <w:rsid w:val="00B21443"/>
    <w:rsid w:val="00B21D0E"/>
    <w:rsid w:val="00B22C57"/>
    <w:rsid w:val="00B23C76"/>
    <w:rsid w:val="00B23EEE"/>
    <w:rsid w:val="00B25E1E"/>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6B6"/>
    <w:rsid w:val="00B42C20"/>
    <w:rsid w:val="00B43AD9"/>
    <w:rsid w:val="00B443D5"/>
    <w:rsid w:val="00B44482"/>
    <w:rsid w:val="00B45012"/>
    <w:rsid w:val="00B450D9"/>
    <w:rsid w:val="00B45D36"/>
    <w:rsid w:val="00B46FF2"/>
    <w:rsid w:val="00B539EB"/>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3D1E"/>
    <w:rsid w:val="00B74530"/>
    <w:rsid w:val="00B74E4D"/>
    <w:rsid w:val="00B75D3F"/>
    <w:rsid w:val="00B75D4C"/>
    <w:rsid w:val="00B76F2C"/>
    <w:rsid w:val="00B774EE"/>
    <w:rsid w:val="00B77723"/>
    <w:rsid w:val="00B77863"/>
    <w:rsid w:val="00B80008"/>
    <w:rsid w:val="00B801AC"/>
    <w:rsid w:val="00B809E2"/>
    <w:rsid w:val="00B815D3"/>
    <w:rsid w:val="00B8270D"/>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BE5"/>
    <w:rsid w:val="00B9556B"/>
    <w:rsid w:val="00B96069"/>
    <w:rsid w:val="00B968F3"/>
    <w:rsid w:val="00BA0A76"/>
    <w:rsid w:val="00BA11A9"/>
    <w:rsid w:val="00BA30C2"/>
    <w:rsid w:val="00BA31C6"/>
    <w:rsid w:val="00BA4B0A"/>
    <w:rsid w:val="00BA699B"/>
    <w:rsid w:val="00BA76AB"/>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6FE"/>
    <w:rsid w:val="00BC1221"/>
    <w:rsid w:val="00BC1765"/>
    <w:rsid w:val="00BC1FD6"/>
    <w:rsid w:val="00BC25D7"/>
    <w:rsid w:val="00BC320C"/>
    <w:rsid w:val="00BC43C2"/>
    <w:rsid w:val="00BC464D"/>
    <w:rsid w:val="00BC4883"/>
    <w:rsid w:val="00BC5454"/>
    <w:rsid w:val="00BC5F7F"/>
    <w:rsid w:val="00BC72BA"/>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A5B"/>
    <w:rsid w:val="00BE5B7C"/>
    <w:rsid w:val="00BE61C4"/>
    <w:rsid w:val="00BE72FD"/>
    <w:rsid w:val="00BE733C"/>
    <w:rsid w:val="00BE73D4"/>
    <w:rsid w:val="00BE791F"/>
    <w:rsid w:val="00BE7AF2"/>
    <w:rsid w:val="00BF1EF8"/>
    <w:rsid w:val="00BF25A9"/>
    <w:rsid w:val="00BF2DE5"/>
    <w:rsid w:val="00BF39B7"/>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439"/>
    <w:rsid w:val="00C2092E"/>
    <w:rsid w:val="00C20F37"/>
    <w:rsid w:val="00C211AE"/>
    <w:rsid w:val="00C213FD"/>
    <w:rsid w:val="00C21C42"/>
    <w:rsid w:val="00C23520"/>
    <w:rsid w:val="00C23FE1"/>
    <w:rsid w:val="00C24AE3"/>
    <w:rsid w:val="00C25082"/>
    <w:rsid w:val="00C2570A"/>
    <w:rsid w:val="00C25B91"/>
    <w:rsid w:val="00C265D4"/>
    <w:rsid w:val="00C26DC6"/>
    <w:rsid w:val="00C27447"/>
    <w:rsid w:val="00C275FC"/>
    <w:rsid w:val="00C2772B"/>
    <w:rsid w:val="00C30615"/>
    <w:rsid w:val="00C30715"/>
    <w:rsid w:val="00C30D84"/>
    <w:rsid w:val="00C3131B"/>
    <w:rsid w:val="00C317A7"/>
    <w:rsid w:val="00C33383"/>
    <w:rsid w:val="00C33614"/>
    <w:rsid w:val="00C33AEC"/>
    <w:rsid w:val="00C35493"/>
    <w:rsid w:val="00C35C8E"/>
    <w:rsid w:val="00C361E9"/>
    <w:rsid w:val="00C3671E"/>
    <w:rsid w:val="00C36B1D"/>
    <w:rsid w:val="00C3742C"/>
    <w:rsid w:val="00C410D2"/>
    <w:rsid w:val="00C41363"/>
    <w:rsid w:val="00C42209"/>
    <w:rsid w:val="00C429D5"/>
    <w:rsid w:val="00C42A78"/>
    <w:rsid w:val="00C42DC9"/>
    <w:rsid w:val="00C437D6"/>
    <w:rsid w:val="00C45897"/>
    <w:rsid w:val="00C4601D"/>
    <w:rsid w:val="00C470F6"/>
    <w:rsid w:val="00C47B1C"/>
    <w:rsid w:val="00C504EF"/>
    <w:rsid w:val="00C509D2"/>
    <w:rsid w:val="00C51CCA"/>
    <w:rsid w:val="00C53131"/>
    <w:rsid w:val="00C54473"/>
    <w:rsid w:val="00C55945"/>
    <w:rsid w:val="00C55D94"/>
    <w:rsid w:val="00C55DCB"/>
    <w:rsid w:val="00C55FBB"/>
    <w:rsid w:val="00C57582"/>
    <w:rsid w:val="00C608EF"/>
    <w:rsid w:val="00C60E9C"/>
    <w:rsid w:val="00C612BB"/>
    <w:rsid w:val="00C612BF"/>
    <w:rsid w:val="00C61338"/>
    <w:rsid w:val="00C6207E"/>
    <w:rsid w:val="00C6324D"/>
    <w:rsid w:val="00C64773"/>
    <w:rsid w:val="00C64FAE"/>
    <w:rsid w:val="00C653CC"/>
    <w:rsid w:val="00C66344"/>
    <w:rsid w:val="00C66EDC"/>
    <w:rsid w:val="00C674F7"/>
    <w:rsid w:val="00C67D05"/>
    <w:rsid w:val="00C714EE"/>
    <w:rsid w:val="00C731E1"/>
    <w:rsid w:val="00C7335A"/>
    <w:rsid w:val="00C741A7"/>
    <w:rsid w:val="00C745D7"/>
    <w:rsid w:val="00C74F7C"/>
    <w:rsid w:val="00C75F87"/>
    <w:rsid w:val="00C7702A"/>
    <w:rsid w:val="00C773C8"/>
    <w:rsid w:val="00C806B8"/>
    <w:rsid w:val="00C80A25"/>
    <w:rsid w:val="00C80E5E"/>
    <w:rsid w:val="00C82930"/>
    <w:rsid w:val="00C82C9E"/>
    <w:rsid w:val="00C83945"/>
    <w:rsid w:val="00C841BF"/>
    <w:rsid w:val="00C84BF3"/>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34A5"/>
    <w:rsid w:val="00CD42CF"/>
    <w:rsid w:val="00CD4BF8"/>
    <w:rsid w:val="00CD52CD"/>
    <w:rsid w:val="00CD58F5"/>
    <w:rsid w:val="00CD644F"/>
    <w:rsid w:val="00CD6525"/>
    <w:rsid w:val="00CD652E"/>
    <w:rsid w:val="00CD68DD"/>
    <w:rsid w:val="00CD6A0A"/>
    <w:rsid w:val="00CD6EF2"/>
    <w:rsid w:val="00CD786B"/>
    <w:rsid w:val="00CD7B8B"/>
    <w:rsid w:val="00CE01F8"/>
    <w:rsid w:val="00CE08BB"/>
    <w:rsid w:val="00CE24B9"/>
    <w:rsid w:val="00CE2ADD"/>
    <w:rsid w:val="00CE2B04"/>
    <w:rsid w:val="00CE2C27"/>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59E0"/>
    <w:rsid w:val="00D27131"/>
    <w:rsid w:val="00D31AD0"/>
    <w:rsid w:val="00D31B9E"/>
    <w:rsid w:val="00D31BBD"/>
    <w:rsid w:val="00D32658"/>
    <w:rsid w:val="00D34E83"/>
    <w:rsid w:val="00D35189"/>
    <w:rsid w:val="00D352D0"/>
    <w:rsid w:val="00D3701D"/>
    <w:rsid w:val="00D37354"/>
    <w:rsid w:val="00D404B1"/>
    <w:rsid w:val="00D40C33"/>
    <w:rsid w:val="00D4104F"/>
    <w:rsid w:val="00D4313E"/>
    <w:rsid w:val="00D43988"/>
    <w:rsid w:val="00D4707E"/>
    <w:rsid w:val="00D47238"/>
    <w:rsid w:val="00D4762C"/>
    <w:rsid w:val="00D47867"/>
    <w:rsid w:val="00D47EAF"/>
    <w:rsid w:val="00D50B2A"/>
    <w:rsid w:val="00D5132A"/>
    <w:rsid w:val="00D51517"/>
    <w:rsid w:val="00D52D7F"/>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54F8"/>
    <w:rsid w:val="00D66697"/>
    <w:rsid w:val="00D676B3"/>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4E38"/>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679"/>
    <w:rsid w:val="00D90F8A"/>
    <w:rsid w:val="00D91621"/>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87B"/>
    <w:rsid w:val="00D97BA1"/>
    <w:rsid w:val="00D97F28"/>
    <w:rsid w:val="00DA09FC"/>
    <w:rsid w:val="00DA28A7"/>
    <w:rsid w:val="00DA2BB0"/>
    <w:rsid w:val="00DA2BCC"/>
    <w:rsid w:val="00DA2FCA"/>
    <w:rsid w:val="00DA348E"/>
    <w:rsid w:val="00DA373A"/>
    <w:rsid w:val="00DA5162"/>
    <w:rsid w:val="00DA59D2"/>
    <w:rsid w:val="00DA5A9C"/>
    <w:rsid w:val="00DA5F60"/>
    <w:rsid w:val="00DA6E9D"/>
    <w:rsid w:val="00DA6FF3"/>
    <w:rsid w:val="00DB1595"/>
    <w:rsid w:val="00DB297D"/>
    <w:rsid w:val="00DB2B7E"/>
    <w:rsid w:val="00DB2BA7"/>
    <w:rsid w:val="00DB2F6C"/>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2547"/>
    <w:rsid w:val="00DD3316"/>
    <w:rsid w:val="00DD3E02"/>
    <w:rsid w:val="00DD5654"/>
    <w:rsid w:val="00DD594C"/>
    <w:rsid w:val="00DD5E57"/>
    <w:rsid w:val="00DD5F57"/>
    <w:rsid w:val="00DD60E3"/>
    <w:rsid w:val="00DD7F9B"/>
    <w:rsid w:val="00DE3385"/>
    <w:rsid w:val="00DE3503"/>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125E"/>
    <w:rsid w:val="00E41E22"/>
    <w:rsid w:val="00E4239D"/>
    <w:rsid w:val="00E429A0"/>
    <w:rsid w:val="00E42D39"/>
    <w:rsid w:val="00E4337B"/>
    <w:rsid w:val="00E44CD4"/>
    <w:rsid w:val="00E45B91"/>
    <w:rsid w:val="00E46804"/>
    <w:rsid w:val="00E46C57"/>
    <w:rsid w:val="00E470BF"/>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F49"/>
    <w:rsid w:val="00E67F4F"/>
    <w:rsid w:val="00E721A9"/>
    <w:rsid w:val="00E72ABF"/>
    <w:rsid w:val="00E73549"/>
    <w:rsid w:val="00E74861"/>
    <w:rsid w:val="00E748DD"/>
    <w:rsid w:val="00E74EC9"/>
    <w:rsid w:val="00E750A5"/>
    <w:rsid w:val="00E75733"/>
    <w:rsid w:val="00E75A9D"/>
    <w:rsid w:val="00E76B19"/>
    <w:rsid w:val="00E80CF7"/>
    <w:rsid w:val="00E81B8E"/>
    <w:rsid w:val="00E81ED7"/>
    <w:rsid w:val="00E82FC0"/>
    <w:rsid w:val="00E8369B"/>
    <w:rsid w:val="00E8377F"/>
    <w:rsid w:val="00E83850"/>
    <w:rsid w:val="00E85244"/>
    <w:rsid w:val="00E86159"/>
    <w:rsid w:val="00E86741"/>
    <w:rsid w:val="00E87AE4"/>
    <w:rsid w:val="00E90C1F"/>
    <w:rsid w:val="00E9124A"/>
    <w:rsid w:val="00E91A8F"/>
    <w:rsid w:val="00E9222C"/>
    <w:rsid w:val="00E92AA5"/>
    <w:rsid w:val="00E9314A"/>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AF"/>
    <w:rsid w:val="00EB57BD"/>
    <w:rsid w:val="00EB623E"/>
    <w:rsid w:val="00EB6502"/>
    <w:rsid w:val="00EB7D9C"/>
    <w:rsid w:val="00EC1076"/>
    <w:rsid w:val="00EC1406"/>
    <w:rsid w:val="00EC1526"/>
    <w:rsid w:val="00EC16C0"/>
    <w:rsid w:val="00EC23F3"/>
    <w:rsid w:val="00EC2677"/>
    <w:rsid w:val="00EC2AB5"/>
    <w:rsid w:val="00EC36F2"/>
    <w:rsid w:val="00EC46CC"/>
    <w:rsid w:val="00EC4856"/>
    <w:rsid w:val="00EC4B79"/>
    <w:rsid w:val="00EC4F33"/>
    <w:rsid w:val="00EC5115"/>
    <w:rsid w:val="00EC7E82"/>
    <w:rsid w:val="00EC7E91"/>
    <w:rsid w:val="00ED0B81"/>
    <w:rsid w:val="00ED166B"/>
    <w:rsid w:val="00ED1A64"/>
    <w:rsid w:val="00ED28DD"/>
    <w:rsid w:val="00ED2E31"/>
    <w:rsid w:val="00ED3133"/>
    <w:rsid w:val="00ED35A0"/>
    <w:rsid w:val="00ED43A6"/>
    <w:rsid w:val="00ED69B3"/>
    <w:rsid w:val="00ED6FB9"/>
    <w:rsid w:val="00ED7371"/>
    <w:rsid w:val="00ED7E2F"/>
    <w:rsid w:val="00ED7EA8"/>
    <w:rsid w:val="00EE02A3"/>
    <w:rsid w:val="00EE0650"/>
    <w:rsid w:val="00EE1313"/>
    <w:rsid w:val="00EE1F82"/>
    <w:rsid w:val="00EE2126"/>
    <w:rsid w:val="00EE3363"/>
    <w:rsid w:val="00EE4C7E"/>
    <w:rsid w:val="00EE556D"/>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7063"/>
    <w:rsid w:val="00F11635"/>
    <w:rsid w:val="00F12D86"/>
    <w:rsid w:val="00F131AA"/>
    <w:rsid w:val="00F131FD"/>
    <w:rsid w:val="00F1350B"/>
    <w:rsid w:val="00F13B05"/>
    <w:rsid w:val="00F13B5A"/>
    <w:rsid w:val="00F13EA5"/>
    <w:rsid w:val="00F13EED"/>
    <w:rsid w:val="00F14263"/>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21EF"/>
    <w:rsid w:val="00F72AAF"/>
    <w:rsid w:val="00F72AC2"/>
    <w:rsid w:val="00F72F17"/>
    <w:rsid w:val="00F73923"/>
    <w:rsid w:val="00F73D91"/>
    <w:rsid w:val="00F74168"/>
    <w:rsid w:val="00F742F1"/>
    <w:rsid w:val="00F7470C"/>
    <w:rsid w:val="00F74942"/>
    <w:rsid w:val="00F76037"/>
    <w:rsid w:val="00F76171"/>
    <w:rsid w:val="00F761E0"/>
    <w:rsid w:val="00F76832"/>
    <w:rsid w:val="00F76B53"/>
    <w:rsid w:val="00F7761D"/>
    <w:rsid w:val="00F77724"/>
    <w:rsid w:val="00F77839"/>
    <w:rsid w:val="00F77AF3"/>
    <w:rsid w:val="00F77CE6"/>
    <w:rsid w:val="00F77DD1"/>
    <w:rsid w:val="00F77E8E"/>
    <w:rsid w:val="00F8023F"/>
    <w:rsid w:val="00F82021"/>
    <w:rsid w:val="00F82080"/>
    <w:rsid w:val="00F82566"/>
    <w:rsid w:val="00F82A7B"/>
    <w:rsid w:val="00F8476C"/>
    <w:rsid w:val="00F850A1"/>
    <w:rsid w:val="00F855B8"/>
    <w:rsid w:val="00F85CBD"/>
    <w:rsid w:val="00F86B84"/>
    <w:rsid w:val="00F905B8"/>
    <w:rsid w:val="00F91164"/>
    <w:rsid w:val="00F91D47"/>
    <w:rsid w:val="00F92B0F"/>
    <w:rsid w:val="00F9354E"/>
    <w:rsid w:val="00F941FC"/>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6970"/>
    <w:rsid w:val="00FC072E"/>
    <w:rsid w:val="00FC3497"/>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3256"/>
    <w:rsid w:val="00FE3B9B"/>
    <w:rsid w:val="00FE3F8E"/>
    <w:rsid w:val="00FE47ED"/>
    <w:rsid w:val="00FE5101"/>
    <w:rsid w:val="00FE61DC"/>
    <w:rsid w:val="00FE67D0"/>
    <w:rsid w:val="00FE689B"/>
    <w:rsid w:val="00FE79CE"/>
    <w:rsid w:val="00FF02D0"/>
    <w:rsid w:val="00FF081E"/>
    <w:rsid w:val="00FF1406"/>
    <w:rsid w:val="00FF145C"/>
    <w:rsid w:val="00FF26EE"/>
    <w:rsid w:val="00FF28EC"/>
    <w:rsid w:val="00FF47A3"/>
    <w:rsid w:val="00FF4B3F"/>
    <w:rsid w:val="00FF4B43"/>
    <w:rsid w:val="00FF574F"/>
    <w:rsid w:val="00FF6146"/>
    <w:rsid w:val="00FF7956"/>
    <w:rsid w:val="018F4DD0"/>
    <w:rsid w:val="02034A18"/>
    <w:rsid w:val="0345528A"/>
    <w:rsid w:val="03613039"/>
    <w:rsid w:val="036202D4"/>
    <w:rsid w:val="03D07714"/>
    <w:rsid w:val="04B94B88"/>
    <w:rsid w:val="05262D76"/>
    <w:rsid w:val="056F462F"/>
    <w:rsid w:val="06270849"/>
    <w:rsid w:val="06552DE0"/>
    <w:rsid w:val="067D4F9E"/>
    <w:rsid w:val="06D71535"/>
    <w:rsid w:val="07515FD1"/>
    <w:rsid w:val="07991A83"/>
    <w:rsid w:val="079E2C7E"/>
    <w:rsid w:val="08CA370B"/>
    <w:rsid w:val="09F07824"/>
    <w:rsid w:val="0A0932C7"/>
    <w:rsid w:val="0A506477"/>
    <w:rsid w:val="0A8A4C86"/>
    <w:rsid w:val="0C327D59"/>
    <w:rsid w:val="0C8D726E"/>
    <w:rsid w:val="0CE05750"/>
    <w:rsid w:val="0D1077DD"/>
    <w:rsid w:val="0DB0299C"/>
    <w:rsid w:val="0EA162F1"/>
    <w:rsid w:val="0F4F55B5"/>
    <w:rsid w:val="0F523385"/>
    <w:rsid w:val="10907D14"/>
    <w:rsid w:val="110658A6"/>
    <w:rsid w:val="114A387E"/>
    <w:rsid w:val="11A5684D"/>
    <w:rsid w:val="120E7E09"/>
    <w:rsid w:val="123D4E07"/>
    <w:rsid w:val="12562AA0"/>
    <w:rsid w:val="156B7273"/>
    <w:rsid w:val="159B504D"/>
    <w:rsid w:val="167F40D4"/>
    <w:rsid w:val="169B65A7"/>
    <w:rsid w:val="16CB4F50"/>
    <w:rsid w:val="17853B61"/>
    <w:rsid w:val="17CB121D"/>
    <w:rsid w:val="183A1C0C"/>
    <w:rsid w:val="199E5A21"/>
    <w:rsid w:val="1B942A09"/>
    <w:rsid w:val="1BB61013"/>
    <w:rsid w:val="1BBB16A3"/>
    <w:rsid w:val="1BCE272A"/>
    <w:rsid w:val="1BDF7E16"/>
    <w:rsid w:val="1C4C11C0"/>
    <w:rsid w:val="1D035455"/>
    <w:rsid w:val="1D2B1804"/>
    <w:rsid w:val="1D2D465B"/>
    <w:rsid w:val="1E3950C5"/>
    <w:rsid w:val="1E4808ED"/>
    <w:rsid w:val="20913CBA"/>
    <w:rsid w:val="20DB5404"/>
    <w:rsid w:val="210118AD"/>
    <w:rsid w:val="2257299E"/>
    <w:rsid w:val="25B12A01"/>
    <w:rsid w:val="26EB7AB1"/>
    <w:rsid w:val="27034AD1"/>
    <w:rsid w:val="280C250B"/>
    <w:rsid w:val="28CF69C0"/>
    <w:rsid w:val="28DD6E23"/>
    <w:rsid w:val="2A4F0167"/>
    <w:rsid w:val="2AAF0BE3"/>
    <w:rsid w:val="2ADE7026"/>
    <w:rsid w:val="2AFB4EE8"/>
    <w:rsid w:val="2BAD6033"/>
    <w:rsid w:val="2CDD21EA"/>
    <w:rsid w:val="2D8206C8"/>
    <w:rsid w:val="2EEC40A0"/>
    <w:rsid w:val="2FD74BE1"/>
    <w:rsid w:val="307410C2"/>
    <w:rsid w:val="308D0856"/>
    <w:rsid w:val="31121EF5"/>
    <w:rsid w:val="31EF7704"/>
    <w:rsid w:val="33305B83"/>
    <w:rsid w:val="338B6C3E"/>
    <w:rsid w:val="359F3A67"/>
    <w:rsid w:val="35AF558A"/>
    <w:rsid w:val="382A25AB"/>
    <w:rsid w:val="39E14173"/>
    <w:rsid w:val="3A660185"/>
    <w:rsid w:val="3B53272C"/>
    <w:rsid w:val="3BDD4E74"/>
    <w:rsid w:val="3C7E4EDD"/>
    <w:rsid w:val="3E824310"/>
    <w:rsid w:val="3EB53DB8"/>
    <w:rsid w:val="3F2415CF"/>
    <w:rsid w:val="405C2C22"/>
    <w:rsid w:val="40B97C69"/>
    <w:rsid w:val="41103AB3"/>
    <w:rsid w:val="411A2A57"/>
    <w:rsid w:val="4185067D"/>
    <w:rsid w:val="41A2641C"/>
    <w:rsid w:val="426828AB"/>
    <w:rsid w:val="428F6B14"/>
    <w:rsid w:val="42A11473"/>
    <w:rsid w:val="42D24149"/>
    <w:rsid w:val="42E51F94"/>
    <w:rsid w:val="4428574B"/>
    <w:rsid w:val="44502E5B"/>
    <w:rsid w:val="44C558EE"/>
    <w:rsid w:val="45E17242"/>
    <w:rsid w:val="46CF4FC2"/>
    <w:rsid w:val="46EC288D"/>
    <w:rsid w:val="47B6656B"/>
    <w:rsid w:val="48C170B3"/>
    <w:rsid w:val="49574862"/>
    <w:rsid w:val="49B24AC9"/>
    <w:rsid w:val="4A5406A2"/>
    <w:rsid w:val="4AC519F6"/>
    <w:rsid w:val="4B110B90"/>
    <w:rsid w:val="4D16117C"/>
    <w:rsid w:val="4D4B1098"/>
    <w:rsid w:val="4D624570"/>
    <w:rsid w:val="4E444B87"/>
    <w:rsid w:val="53083749"/>
    <w:rsid w:val="5355411C"/>
    <w:rsid w:val="53590226"/>
    <w:rsid w:val="54803EF9"/>
    <w:rsid w:val="54E45D80"/>
    <w:rsid w:val="55FD133D"/>
    <w:rsid w:val="560551A1"/>
    <w:rsid w:val="561244DD"/>
    <w:rsid w:val="562B3B54"/>
    <w:rsid w:val="563A27AE"/>
    <w:rsid w:val="56F15429"/>
    <w:rsid w:val="573F362D"/>
    <w:rsid w:val="58B205DA"/>
    <w:rsid w:val="59562254"/>
    <w:rsid w:val="5AB92201"/>
    <w:rsid w:val="5B847B74"/>
    <w:rsid w:val="5C620F7F"/>
    <w:rsid w:val="5CED3FF9"/>
    <w:rsid w:val="5D4476FB"/>
    <w:rsid w:val="5E8B3C4B"/>
    <w:rsid w:val="5ED8763C"/>
    <w:rsid w:val="5FC96642"/>
    <w:rsid w:val="60032513"/>
    <w:rsid w:val="601574AE"/>
    <w:rsid w:val="60257F58"/>
    <w:rsid w:val="61250170"/>
    <w:rsid w:val="614B2DC9"/>
    <w:rsid w:val="62111B39"/>
    <w:rsid w:val="634925E3"/>
    <w:rsid w:val="65735661"/>
    <w:rsid w:val="665E5750"/>
    <w:rsid w:val="678877B3"/>
    <w:rsid w:val="67E1648C"/>
    <w:rsid w:val="68DA5D31"/>
    <w:rsid w:val="69A9410F"/>
    <w:rsid w:val="6B100175"/>
    <w:rsid w:val="6D0E2679"/>
    <w:rsid w:val="6D4621DE"/>
    <w:rsid w:val="6DE55656"/>
    <w:rsid w:val="6E261BA7"/>
    <w:rsid w:val="6E660432"/>
    <w:rsid w:val="6E681C31"/>
    <w:rsid w:val="6E8D3E82"/>
    <w:rsid w:val="6ED7625C"/>
    <w:rsid w:val="6F135292"/>
    <w:rsid w:val="70184246"/>
    <w:rsid w:val="70F50EBA"/>
    <w:rsid w:val="71266569"/>
    <w:rsid w:val="717C6A58"/>
    <w:rsid w:val="71D60130"/>
    <w:rsid w:val="73FA5E27"/>
    <w:rsid w:val="741E4FC3"/>
    <w:rsid w:val="7447637A"/>
    <w:rsid w:val="74C667AB"/>
    <w:rsid w:val="74C876B4"/>
    <w:rsid w:val="757440A2"/>
    <w:rsid w:val="75F73A2A"/>
    <w:rsid w:val="75FC7405"/>
    <w:rsid w:val="765E68AF"/>
    <w:rsid w:val="769958F2"/>
    <w:rsid w:val="76E96805"/>
    <w:rsid w:val="770266B0"/>
    <w:rsid w:val="77E577FB"/>
    <w:rsid w:val="77F21F94"/>
    <w:rsid w:val="784576F8"/>
    <w:rsid w:val="78767A5E"/>
    <w:rsid w:val="793D0B51"/>
    <w:rsid w:val="7B471C92"/>
    <w:rsid w:val="7CFE3D1B"/>
    <w:rsid w:val="7DEB27D3"/>
    <w:rsid w:val="7E816BC7"/>
    <w:rsid w:val="7EF402AF"/>
    <w:rsid w:val="7F2E3DC9"/>
    <w:rsid w:val="7FF037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53"/>
    <w:qFormat/>
    <w:uiPriority w:val="0"/>
    <w:pPr>
      <w:spacing w:before="340" w:after="330" w:line="360" w:lineRule="auto"/>
      <w:jc w:val="center"/>
      <w:outlineLvl w:val="0"/>
    </w:pPr>
    <w:rPr>
      <w:rFonts w:eastAsia="黑体"/>
      <w:kern w:val="44"/>
      <w:szCs w:val="44"/>
    </w:rPr>
  </w:style>
  <w:style w:type="paragraph" w:styleId="7">
    <w:name w:val="heading 2"/>
    <w:basedOn w:val="5"/>
    <w:next w:val="6"/>
    <w:link w:val="68"/>
    <w:qFormat/>
    <w:uiPriority w:val="0"/>
    <w:pPr>
      <w:adjustRightInd w:val="0"/>
      <w:jc w:val="center"/>
      <w:textAlignment w:val="baseline"/>
      <w:outlineLvl w:val="1"/>
    </w:pPr>
    <w:rPr>
      <w:kern w:val="0"/>
      <w:sz w:val="24"/>
      <w:szCs w:val="20"/>
    </w:rPr>
  </w:style>
  <w:style w:type="paragraph" w:styleId="5">
    <w:name w:val="heading 3"/>
    <w:basedOn w:val="6"/>
    <w:next w:val="1"/>
    <w:link w:val="52"/>
    <w:qFormat/>
    <w:uiPriority w:val="9"/>
    <w:pPr>
      <w:spacing w:before="260" w:after="260" w:line="240" w:lineRule="auto"/>
      <w:outlineLvl w:val="2"/>
    </w:pPr>
    <w:rPr>
      <w:rFonts w:ascii="宋体" w:hAnsi="宋体" w:eastAsia="宋体"/>
      <w:szCs w:val="32"/>
    </w:rPr>
  </w:style>
  <w:style w:type="paragraph" w:styleId="6">
    <w:name w:val="heading 4"/>
    <w:basedOn w:val="1"/>
    <w:next w:val="1"/>
    <w:link w:val="50"/>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77"/>
    <w:qFormat/>
    <w:uiPriority w:val="0"/>
    <w:pPr>
      <w:keepNext/>
      <w:keepLines/>
      <w:spacing w:before="280" w:after="290" w:line="376" w:lineRule="auto"/>
      <w:outlineLvl w:val="4"/>
    </w:pPr>
    <w:rPr>
      <w:b/>
      <w:sz w:val="28"/>
      <w:szCs w:val="20"/>
    </w:rPr>
  </w:style>
  <w:style w:type="paragraph" w:styleId="10">
    <w:name w:val="heading 6"/>
    <w:basedOn w:val="1"/>
    <w:next w:val="9"/>
    <w:link w:val="80"/>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9"/>
    <w:link w:val="81"/>
    <w:qFormat/>
    <w:uiPriority w:val="0"/>
    <w:pPr>
      <w:keepNext/>
      <w:keepLines/>
      <w:spacing w:before="240" w:after="64" w:line="320" w:lineRule="auto"/>
      <w:outlineLvl w:val="6"/>
    </w:pPr>
    <w:rPr>
      <w:b/>
      <w:sz w:val="24"/>
      <w:szCs w:val="20"/>
    </w:rPr>
  </w:style>
  <w:style w:type="paragraph" w:styleId="12">
    <w:name w:val="heading 8"/>
    <w:basedOn w:val="1"/>
    <w:next w:val="9"/>
    <w:link w:val="82"/>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9"/>
    <w:link w:val="83"/>
    <w:qFormat/>
    <w:uiPriority w:val="0"/>
    <w:pPr>
      <w:keepNext/>
      <w:keepLines/>
      <w:spacing w:before="240" w:after="64" w:line="320" w:lineRule="auto"/>
      <w:outlineLvl w:val="8"/>
    </w:pPr>
    <w:rPr>
      <w:rFonts w:ascii="Arial" w:hAnsi="Arial" w:eastAsia="黑体"/>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89"/>
    <w:qFormat/>
    <w:uiPriority w:val="0"/>
    <w:pPr>
      <w:spacing w:line="360" w:lineRule="auto"/>
    </w:pPr>
    <w:rPr>
      <w:b/>
      <w:bCs/>
      <w:sz w:val="24"/>
    </w:rPr>
  </w:style>
  <w:style w:type="paragraph" w:styleId="3">
    <w:name w:val="Body Text 2"/>
    <w:basedOn w:val="1"/>
    <w:link w:val="93"/>
    <w:qFormat/>
    <w:uiPriority w:val="0"/>
    <w:pPr>
      <w:spacing w:line="360" w:lineRule="auto"/>
    </w:pPr>
    <w:rPr>
      <w:sz w:val="24"/>
    </w:rPr>
  </w:style>
  <w:style w:type="paragraph" w:styleId="9">
    <w:name w:val="Normal Indent"/>
    <w:basedOn w:val="1"/>
    <w:next w:val="2"/>
    <w:link w:val="54"/>
    <w:qFormat/>
    <w:uiPriority w:val="0"/>
    <w:pPr>
      <w:ind w:firstLine="420"/>
    </w:pPr>
    <w:rPr>
      <w:szCs w:val="20"/>
    </w:rPr>
  </w:style>
  <w:style w:type="paragraph" w:styleId="14">
    <w:name w:val="toc 7"/>
    <w:basedOn w:val="1"/>
    <w:next w:val="1"/>
    <w:semiHidden/>
    <w:qFormat/>
    <w:uiPriority w:val="0"/>
    <w:pPr>
      <w:ind w:left="1260"/>
      <w:jc w:val="left"/>
    </w:pPr>
    <w:rPr>
      <w:szCs w:val="21"/>
    </w:rPr>
  </w:style>
  <w:style w:type="paragraph" w:styleId="15">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6">
    <w:name w:val="List Bullet"/>
    <w:basedOn w:val="1"/>
    <w:qFormat/>
    <w:uiPriority w:val="0"/>
    <w:pPr>
      <w:numPr>
        <w:ilvl w:val="0"/>
        <w:numId w:val="1"/>
      </w:numPr>
    </w:pPr>
    <w:rPr>
      <w:szCs w:val="20"/>
    </w:rPr>
  </w:style>
  <w:style w:type="paragraph" w:styleId="17">
    <w:name w:val="Document Map"/>
    <w:basedOn w:val="1"/>
    <w:semiHidden/>
    <w:qFormat/>
    <w:uiPriority w:val="0"/>
    <w:pPr>
      <w:shd w:val="clear" w:color="auto" w:fill="000080"/>
    </w:pPr>
  </w:style>
  <w:style w:type="paragraph" w:styleId="18">
    <w:name w:val="annotation text"/>
    <w:basedOn w:val="1"/>
    <w:link w:val="181"/>
    <w:qFormat/>
    <w:uiPriority w:val="99"/>
    <w:pPr>
      <w:autoSpaceDE w:val="0"/>
      <w:autoSpaceDN w:val="0"/>
      <w:adjustRightInd w:val="0"/>
      <w:jc w:val="left"/>
      <w:textAlignment w:val="baseline"/>
    </w:pPr>
    <w:rPr>
      <w:rFonts w:ascii="宋体"/>
      <w:kern w:val="0"/>
      <w:sz w:val="34"/>
      <w:szCs w:val="20"/>
    </w:rPr>
  </w:style>
  <w:style w:type="paragraph" w:styleId="19">
    <w:name w:val="Body Text 3"/>
    <w:basedOn w:val="1"/>
    <w:link w:val="95"/>
    <w:qFormat/>
    <w:uiPriority w:val="0"/>
    <w:pPr>
      <w:spacing w:after="120"/>
    </w:pPr>
    <w:rPr>
      <w:sz w:val="16"/>
      <w:szCs w:val="16"/>
    </w:rPr>
  </w:style>
  <w:style w:type="paragraph" w:styleId="20">
    <w:name w:val="Body Text Indent"/>
    <w:basedOn w:val="1"/>
    <w:link w:val="76"/>
    <w:qFormat/>
    <w:uiPriority w:val="0"/>
    <w:pPr>
      <w:spacing w:line="360" w:lineRule="auto"/>
      <w:ind w:firstLine="420" w:firstLineChars="200"/>
    </w:pPr>
  </w:style>
  <w:style w:type="paragraph" w:styleId="21">
    <w:name w:val="toc 5"/>
    <w:basedOn w:val="1"/>
    <w:next w:val="1"/>
    <w:semiHidden/>
    <w:qFormat/>
    <w:uiPriority w:val="0"/>
    <w:pPr>
      <w:ind w:left="840"/>
      <w:jc w:val="left"/>
    </w:pPr>
    <w:rPr>
      <w:szCs w:val="21"/>
    </w:rPr>
  </w:style>
  <w:style w:type="paragraph" w:styleId="22">
    <w:name w:val="toc 3"/>
    <w:basedOn w:val="1"/>
    <w:next w:val="1"/>
    <w:semiHidden/>
    <w:qFormat/>
    <w:uiPriority w:val="0"/>
    <w:pPr>
      <w:ind w:left="420"/>
      <w:jc w:val="left"/>
    </w:pPr>
    <w:rPr>
      <w:i/>
      <w:iCs/>
    </w:rPr>
  </w:style>
  <w:style w:type="paragraph" w:styleId="23">
    <w:name w:val="Plain Text"/>
    <w:basedOn w:val="1"/>
    <w:link w:val="87"/>
    <w:qFormat/>
    <w:uiPriority w:val="0"/>
    <w:rPr>
      <w:rFonts w:ascii="宋体" w:hAnsi="Courier New"/>
      <w:szCs w:val="20"/>
    </w:rPr>
  </w:style>
  <w:style w:type="paragraph" w:styleId="24">
    <w:name w:val="toc 8"/>
    <w:basedOn w:val="1"/>
    <w:next w:val="1"/>
    <w:semiHidden/>
    <w:qFormat/>
    <w:uiPriority w:val="0"/>
    <w:pPr>
      <w:ind w:left="1470"/>
      <w:jc w:val="left"/>
    </w:pPr>
    <w:rPr>
      <w:szCs w:val="21"/>
    </w:rPr>
  </w:style>
  <w:style w:type="paragraph" w:styleId="25">
    <w:name w:val="Date"/>
    <w:basedOn w:val="1"/>
    <w:next w:val="1"/>
    <w:link w:val="85"/>
    <w:qFormat/>
    <w:uiPriority w:val="0"/>
    <w:rPr>
      <w:rFonts w:ascii="宋体" w:hAnsi="Courier New"/>
      <w:sz w:val="32"/>
      <w:szCs w:val="20"/>
    </w:rPr>
  </w:style>
  <w:style w:type="paragraph" w:styleId="26">
    <w:name w:val="Body Text Indent 2"/>
    <w:basedOn w:val="1"/>
    <w:link w:val="90"/>
    <w:qFormat/>
    <w:uiPriority w:val="0"/>
    <w:pPr>
      <w:spacing w:beforeLines="50" w:afterLines="50" w:line="120" w:lineRule="auto"/>
      <w:ind w:firstLine="840" w:firstLineChars="400"/>
      <w:jc w:val="left"/>
    </w:pPr>
    <w:rPr>
      <w:rFonts w:ascii="宋体" w:hAnsi="宋体"/>
    </w:rPr>
  </w:style>
  <w:style w:type="paragraph" w:styleId="27">
    <w:name w:val="Balloon Text"/>
    <w:basedOn w:val="1"/>
    <w:link w:val="96"/>
    <w:semiHidden/>
    <w:qFormat/>
    <w:uiPriority w:val="99"/>
    <w:rPr>
      <w:sz w:val="18"/>
      <w:szCs w:val="18"/>
    </w:rPr>
  </w:style>
  <w:style w:type="paragraph" w:styleId="28">
    <w:name w:val="footer"/>
    <w:basedOn w:val="1"/>
    <w:link w:val="94"/>
    <w:qFormat/>
    <w:uiPriority w:val="0"/>
    <w:pPr>
      <w:tabs>
        <w:tab w:val="center" w:pos="4153"/>
        <w:tab w:val="right" w:pos="8306"/>
      </w:tabs>
      <w:snapToGrid w:val="0"/>
      <w:jc w:val="left"/>
    </w:pPr>
    <w:rPr>
      <w:sz w:val="18"/>
      <w:szCs w:val="18"/>
    </w:rPr>
  </w:style>
  <w:style w:type="paragraph" w:styleId="29">
    <w:name w:val="header"/>
    <w:basedOn w:val="1"/>
    <w:link w:val="91"/>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0"/>
    <w:pPr>
      <w:spacing w:before="120" w:after="120"/>
      <w:jc w:val="left"/>
    </w:pPr>
    <w:rPr>
      <w:b/>
      <w:bCs/>
      <w:caps/>
    </w:rPr>
  </w:style>
  <w:style w:type="paragraph" w:styleId="31">
    <w:name w:val="toc 4"/>
    <w:basedOn w:val="1"/>
    <w:next w:val="1"/>
    <w:semiHidden/>
    <w:qFormat/>
    <w:uiPriority w:val="0"/>
    <w:pPr>
      <w:ind w:left="630"/>
      <w:jc w:val="left"/>
    </w:pPr>
    <w:rPr>
      <w:szCs w:val="21"/>
    </w:rPr>
  </w:style>
  <w:style w:type="paragraph" w:styleId="32">
    <w:name w:val="toc 6"/>
    <w:basedOn w:val="1"/>
    <w:next w:val="1"/>
    <w:semiHidden/>
    <w:qFormat/>
    <w:uiPriority w:val="0"/>
    <w:pPr>
      <w:ind w:left="1050"/>
      <w:jc w:val="left"/>
    </w:pPr>
    <w:rPr>
      <w:szCs w:val="21"/>
    </w:rPr>
  </w:style>
  <w:style w:type="paragraph" w:styleId="33">
    <w:name w:val="Body Text Indent 3"/>
    <w:basedOn w:val="1"/>
    <w:link w:val="92"/>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HTML Preformatted"/>
    <w:basedOn w:val="1"/>
    <w:link w:val="8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187"/>
    <w:qFormat/>
    <w:uiPriority w:val="99"/>
    <w:rPr>
      <w:sz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84"/>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8"/>
    <w:next w:val="18"/>
    <w:link w:val="182"/>
    <w:qFormat/>
    <w:uiPriority w:val="99"/>
    <w:pPr>
      <w:autoSpaceDE/>
      <w:autoSpaceDN/>
      <w:adjustRightInd/>
      <w:textAlignment w:val="auto"/>
    </w:pPr>
    <w:rPr>
      <w:rFonts w:ascii="Times New Roman"/>
      <w:b/>
      <w:bCs/>
      <w:kern w:val="2"/>
      <w:sz w:val="21"/>
      <w:szCs w:val="24"/>
    </w:rPr>
  </w:style>
  <w:style w:type="paragraph" w:styleId="41">
    <w:name w:val="Body Text First Indent"/>
    <w:basedOn w:val="2"/>
    <w:link w:val="127"/>
    <w:qFormat/>
    <w:uiPriority w:val="0"/>
    <w:pPr>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yperlink"/>
    <w:qFormat/>
    <w:uiPriority w:val="0"/>
    <w:rPr>
      <w:color w:val="0000FF"/>
      <w:u w:val="single"/>
    </w:rPr>
  </w:style>
  <w:style w:type="character" w:styleId="49">
    <w:name w:val="annotation reference"/>
    <w:basedOn w:val="44"/>
    <w:qFormat/>
    <w:uiPriority w:val="99"/>
    <w:rPr>
      <w:sz w:val="21"/>
      <w:szCs w:val="21"/>
    </w:rPr>
  </w:style>
  <w:style w:type="character" w:customStyle="1" w:styleId="50">
    <w:name w:val="标题 4 Char"/>
    <w:link w:val="6"/>
    <w:qFormat/>
    <w:uiPriority w:val="9"/>
    <w:rPr>
      <w:rFonts w:ascii="Arial" w:hAnsi="Arial" w:eastAsia="黑体"/>
      <w:b/>
      <w:bCs/>
      <w:kern w:val="2"/>
      <w:sz w:val="28"/>
      <w:szCs w:val="28"/>
      <w:lang w:val="en-US" w:eastAsia="zh-CN" w:bidi="ar-SA"/>
    </w:rPr>
  </w:style>
  <w:style w:type="paragraph" w:customStyle="1" w:styleId="51">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2">
    <w:name w:val="标题 3 Char1"/>
    <w:link w:val="5"/>
    <w:qFormat/>
    <w:uiPriority w:val="9"/>
    <w:rPr>
      <w:rFonts w:ascii="宋体" w:hAnsi="宋体" w:eastAsia="宋体"/>
      <w:b/>
      <w:bCs/>
      <w:kern w:val="2"/>
      <w:sz w:val="28"/>
      <w:szCs w:val="32"/>
      <w:lang w:val="en-US" w:eastAsia="zh-CN" w:bidi="ar-SA"/>
    </w:rPr>
  </w:style>
  <w:style w:type="character" w:customStyle="1" w:styleId="53">
    <w:name w:val="标题 1 Char"/>
    <w:link w:val="4"/>
    <w:qFormat/>
    <w:uiPriority w:val="0"/>
    <w:rPr>
      <w:rFonts w:ascii="宋体" w:hAnsi="宋体" w:eastAsia="黑体"/>
      <w:b/>
      <w:bCs/>
      <w:kern w:val="44"/>
      <w:sz w:val="28"/>
      <w:szCs w:val="44"/>
      <w:lang w:val="en-US" w:eastAsia="zh-CN" w:bidi="ar-SA"/>
    </w:rPr>
  </w:style>
  <w:style w:type="character" w:customStyle="1" w:styleId="54">
    <w:name w:val="正文缩进 Char"/>
    <w:link w:val="9"/>
    <w:qFormat/>
    <w:uiPriority w:val="0"/>
    <w:rPr>
      <w:rFonts w:eastAsia="宋体"/>
      <w:kern w:val="2"/>
      <w:sz w:val="21"/>
      <w:lang w:val="en-US" w:eastAsia="zh-CN" w:bidi="ar-SA"/>
    </w:rPr>
  </w:style>
  <w:style w:type="character" w:customStyle="1" w:styleId="55">
    <w:name w:val="标题 3 Char"/>
    <w:qFormat/>
    <w:uiPriority w:val="0"/>
    <w:rPr>
      <w:rFonts w:ascii="黑体" w:eastAsia="黑体"/>
      <w:bCs/>
      <w:sz w:val="30"/>
    </w:rPr>
  </w:style>
  <w:style w:type="paragraph" w:customStyle="1" w:styleId="56">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57">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58">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59">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0">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1">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3">
    <w:name w:val="自定义正文"/>
    <w:basedOn w:val="1"/>
    <w:qFormat/>
    <w:uiPriority w:val="0"/>
    <w:pPr>
      <w:spacing w:afterLines="50"/>
      <w:ind w:left="600" w:leftChars="600"/>
    </w:pPr>
  </w:style>
  <w:style w:type="paragraph" w:customStyle="1" w:styleId="64">
    <w:name w:val="Char Char Char Char Char"/>
    <w:basedOn w:val="1"/>
    <w:qFormat/>
    <w:uiPriority w:val="0"/>
    <w:rPr>
      <w:rFonts w:ascii="Tahoma" w:hAnsi="Tahoma"/>
      <w:sz w:val="24"/>
      <w:szCs w:val="20"/>
    </w:rPr>
  </w:style>
  <w:style w:type="paragraph" w:customStyle="1" w:styleId="65">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66">
    <w:name w:val="Char Char"/>
    <w:basedOn w:val="1"/>
    <w:qFormat/>
    <w:uiPriority w:val="0"/>
    <w:rPr>
      <w:rFonts w:ascii="Tahoma" w:hAnsi="Tahoma"/>
      <w:sz w:val="24"/>
      <w:szCs w:val="20"/>
    </w:rPr>
  </w:style>
  <w:style w:type="paragraph" w:customStyle="1" w:styleId="67">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68">
    <w:name w:val="标题 2 Char"/>
    <w:link w:val="7"/>
    <w:qFormat/>
    <w:uiPriority w:val="0"/>
    <w:rPr>
      <w:rFonts w:ascii="宋体" w:hAnsi="宋体" w:eastAsia="宋体"/>
      <w:b/>
      <w:bCs/>
      <w:sz w:val="24"/>
      <w:lang w:val="en-US" w:eastAsia="zh-CN" w:bidi="ar-SA"/>
    </w:rPr>
  </w:style>
  <w:style w:type="paragraph" w:customStyle="1" w:styleId="6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0">
    <w:name w:val="List Paragraph"/>
    <w:basedOn w:val="1"/>
    <w:qFormat/>
    <w:uiPriority w:val="34"/>
    <w:pPr>
      <w:ind w:firstLine="420" w:firstLineChars="200"/>
    </w:pPr>
    <w:rPr>
      <w:rFonts w:ascii="Calibri" w:hAnsi="Calibri"/>
      <w:szCs w:val="22"/>
    </w:rPr>
  </w:style>
  <w:style w:type="paragraph" w:customStyle="1" w:styleId="71">
    <w:name w:val="USE 1"/>
    <w:basedOn w:val="1"/>
    <w:qFormat/>
    <w:uiPriority w:val="0"/>
    <w:pPr>
      <w:spacing w:line="200" w:lineRule="atLeast"/>
      <w:jc w:val="left"/>
    </w:pPr>
    <w:rPr>
      <w:rFonts w:ascii="宋体" w:hAnsi="宋体"/>
      <w:b/>
      <w:sz w:val="24"/>
      <w:szCs w:val="28"/>
    </w:rPr>
  </w:style>
  <w:style w:type="paragraph" w:customStyle="1" w:styleId="72">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3">
    <w:name w:val="正文文字缩进项目"/>
    <w:basedOn w:val="20"/>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4">
    <w:name w:val="样式 标题 2 + 段前: 13 磅 段后: 13 磅 行距: 单倍行距"/>
    <w:basedOn w:val="7"/>
    <w:qFormat/>
    <w:uiPriority w:val="0"/>
    <w:pPr>
      <w:adjustRightInd/>
      <w:spacing w:before="0" w:after="0"/>
      <w:jc w:val="both"/>
      <w:textAlignment w:val="auto"/>
    </w:pPr>
    <w:rPr>
      <w:rFonts w:ascii="Cambria" w:hAnsi="Cambria" w:cs="宋体"/>
      <w:kern w:val="2"/>
      <w:sz w:val="32"/>
    </w:rPr>
  </w:style>
  <w:style w:type="character" w:customStyle="1" w:styleId="75">
    <w:name w:val="H4 Char2"/>
    <w:qFormat/>
    <w:uiPriority w:val="0"/>
    <w:rPr>
      <w:rFonts w:ascii="Arial" w:hAnsi="Arial" w:eastAsia="黑体"/>
      <w:b/>
      <w:bCs/>
      <w:kern w:val="2"/>
      <w:sz w:val="28"/>
      <w:szCs w:val="28"/>
      <w:lang w:val="en-US" w:eastAsia="zh-CN" w:bidi="ar-SA"/>
    </w:rPr>
  </w:style>
  <w:style w:type="character" w:customStyle="1" w:styleId="76">
    <w:name w:val="正文文本缩进 Char"/>
    <w:link w:val="20"/>
    <w:qFormat/>
    <w:uiPriority w:val="0"/>
    <w:rPr>
      <w:rFonts w:eastAsia="宋体"/>
      <w:kern w:val="2"/>
      <w:sz w:val="21"/>
      <w:szCs w:val="24"/>
      <w:lang w:val="en-US" w:eastAsia="zh-CN" w:bidi="ar-SA"/>
    </w:rPr>
  </w:style>
  <w:style w:type="character" w:customStyle="1" w:styleId="77">
    <w:name w:val="标题 5 Char"/>
    <w:link w:val="8"/>
    <w:qFormat/>
    <w:uiPriority w:val="0"/>
    <w:rPr>
      <w:rFonts w:eastAsia="宋体"/>
      <w:b/>
      <w:kern w:val="2"/>
      <w:sz w:val="28"/>
      <w:lang w:val="en-US" w:eastAsia="zh-CN" w:bidi="ar-SA"/>
    </w:rPr>
  </w:style>
  <w:style w:type="character" w:customStyle="1" w:styleId="78">
    <w:name w:val="第*章 Char"/>
    <w:qFormat/>
    <w:uiPriority w:val="0"/>
    <w:rPr>
      <w:rFonts w:ascii="Arial" w:hAnsi="Arial" w:eastAsia="黑体"/>
      <w:b/>
      <w:bCs/>
      <w:kern w:val="2"/>
      <w:sz w:val="32"/>
      <w:szCs w:val="32"/>
    </w:rPr>
  </w:style>
  <w:style w:type="character" w:customStyle="1" w:styleId="79">
    <w:name w:val="章标题1 Char"/>
    <w:qFormat/>
    <w:uiPriority w:val="0"/>
    <w:rPr>
      <w:rFonts w:eastAsia="宋体"/>
      <w:b/>
      <w:bCs/>
      <w:kern w:val="2"/>
      <w:sz w:val="32"/>
      <w:szCs w:val="32"/>
      <w:lang w:val="en-US" w:eastAsia="zh-CN" w:bidi="ar-SA"/>
    </w:rPr>
  </w:style>
  <w:style w:type="character" w:customStyle="1" w:styleId="80">
    <w:name w:val="标题 6 Char"/>
    <w:link w:val="10"/>
    <w:qFormat/>
    <w:uiPriority w:val="0"/>
    <w:rPr>
      <w:rFonts w:ascii="Arial" w:hAnsi="Arial" w:eastAsia="黑体"/>
      <w:b/>
      <w:kern w:val="2"/>
      <w:sz w:val="24"/>
      <w:lang w:val="en-US" w:eastAsia="zh-CN" w:bidi="ar-SA"/>
    </w:rPr>
  </w:style>
  <w:style w:type="character" w:customStyle="1" w:styleId="81">
    <w:name w:val="标题 7 Char"/>
    <w:link w:val="11"/>
    <w:qFormat/>
    <w:uiPriority w:val="0"/>
    <w:rPr>
      <w:rFonts w:eastAsia="宋体"/>
      <w:b/>
      <w:kern w:val="2"/>
      <w:sz w:val="24"/>
      <w:lang w:val="en-US" w:eastAsia="zh-CN" w:bidi="ar-SA"/>
    </w:rPr>
  </w:style>
  <w:style w:type="character" w:customStyle="1" w:styleId="82">
    <w:name w:val="标题 8 Char"/>
    <w:link w:val="12"/>
    <w:qFormat/>
    <w:uiPriority w:val="0"/>
    <w:rPr>
      <w:rFonts w:ascii="Arial" w:hAnsi="Arial" w:eastAsia="黑体"/>
      <w:kern w:val="2"/>
      <w:sz w:val="24"/>
      <w:lang w:val="en-US" w:eastAsia="zh-CN" w:bidi="ar-SA"/>
    </w:rPr>
  </w:style>
  <w:style w:type="character" w:customStyle="1" w:styleId="83">
    <w:name w:val="标题 9 Char"/>
    <w:link w:val="13"/>
    <w:qFormat/>
    <w:uiPriority w:val="0"/>
    <w:rPr>
      <w:rFonts w:ascii="Arial" w:hAnsi="Arial" w:eastAsia="黑体"/>
      <w:kern w:val="2"/>
      <w:sz w:val="21"/>
      <w:lang w:val="en-US" w:eastAsia="zh-CN" w:bidi="ar-SA"/>
    </w:rPr>
  </w:style>
  <w:style w:type="character" w:customStyle="1" w:styleId="84">
    <w:name w:val="标题 Char"/>
    <w:link w:val="39"/>
    <w:qFormat/>
    <w:uiPriority w:val="0"/>
    <w:rPr>
      <w:rFonts w:ascii="Arial" w:hAnsi="Arial" w:eastAsia="隶书" w:cs="Arial"/>
      <w:b/>
      <w:bCs/>
      <w:kern w:val="2"/>
      <w:sz w:val="32"/>
      <w:szCs w:val="32"/>
      <w:lang w:val="en-US" w:eastAsia="zh-CN" w:bidi="ar-SA"/>
    </w:rPr>
  </w:style>
  <w:style w:type="character" w:customStyle="1" w:styleId="85">
    <w:name w:val="日期 Char"/>
    <w:link w:val="25"/>
    <w:qFormat/>
    <w:uiPriority w:val="0"/>
    <w:rPr>
      <w:rFonts w:ascii="宋体" w:hAnsi="Courier New" w:eastAsia="宋体"/>
      <w:kern w:val="2"/>
      <w:sz w:val="32"/>
      <w:lang w:val="en-US" w:eastAsia="zh-CN" w:bidi="ar-SA"/>
    </w:rPr>
  </w:style>
  <w:style w:type="character" w:customStyle="1" w:styleId="86">
    <w:name w:val="HTML 预设格式 Char"/>
    <w:link w:val="36"/>
    <w:qFormat/>
    <w:uiPriority w:val="0"/>
    <w:rPr>
      <w:rFonts w:ascii="Arial Unicode MS" w:hAnsi="Arial Unicode MS" w:eastAsia="Arial Unicode MS"/>
      <w:color w:val="000000"/>
      <w:lang w:val="en-US" w:eastAsia="zh-CN" w:bidi="ar-SA"/>
    </w:rPr>
  </w:style>
  <w:style w:type="character" w:customStyle="1" w:styleId="87">
    <w:name w:val="纯文本 Char"/>
    <w:link w:val="23"/>
    <w:qFormat/>
    <w:uiPriority w:val="0"/>
    <w:rPr>
      <w:rFonts w:ascii="宋体" w:hAnsi="Courier New" w:eastAsia="宋体"/>
      <w:kern w:val="2"/>
      <w:sz w:val="21"/>
      <w:lang w:val="en-US" w:eastAsia="zh-CN" w:bidi="ar-SA"/>
    </w:rPr>
  </w:style>
  <w:style w:type="character" w:customStyle="1" w:styleId="88">
    <w:name w:val="正文文字首行缩进 Char"/>
    <w:qFormat/>
    <w:uiPriority w:val="0"/>
    <w:rPr>
      <w:kern w:val="2"/>
      <w:sz w:val="21"/>
      <w:szCs w:val="24"/>
    </w:rPr>
  </w:style>
  <w:style w:type="character" w:customStyle="1" w:styleId="89">
    <w:name w:val="正文文本 Char"/>
    <w:link w:val="2"/>
    <w:qFormat/>
    <w:uiPriority w:val="0"/>
    <w:rPr>
      <w:rFonts w:eastAsia="宋体"/>
      <w:b/>
      <w:bCs/>
      <w:kern w:val="2"/>
      <w:sz w:val="24"/>
      <w:szCs w:val="24"/>
      <w:lang w:val="en-US" w:eastAsia="zh-CN" w:bidi="ar-SA"/>
    </w:rPr>
  </w:style>
  <w:style w:type="character" w:customStyle="1" w:styleId="90">
    <w:name w:val="正文文本缩进 2 Char"/>
    <w:link w:val="26"/>
    <w:qFormat/>
    <w:uiPriority w:val="0"/>
    <w:rPr>
      <w:rFonts w:ascii="宋体" w:hAnsi="宋体" w:eastAsia="宋体"/>
      <w:kern w:val="2"/>
      <w:sz w:val="21"/>
      <w:szCs w:val="24"/>
      <w:lang w:val="en-US" w:eastAsia="zh-CN" w:bidi="ar-SA"/>
    </w:rPr>
  </w:style>
  <w:style w:type="character" w:customStyle="1" w:styleId="91">
    <w:name w:val="页眉 Char"/>
    <w:link w:val="29"/>
    <w:qFormat/>
    <w:uiPriority w:val="99"/>
    <w:rPr>
      <w:rFonts w:eastAsia="宋体"/>
      <w:kern w:val="2"/>
      <w:sz w:val="18"/>
      <w:szCs w:val="18"/>
      <w:lang w:val="en-US" w:eastAsia="zh-CN" w:bidi="ar-SA"/>
    </w:rPr>
  </w:style>
  <w:style w:type="character" w:customStyle="1" w:styleId="92">
    <w:name w:val="正文文本缩进 3 Char"/>
    <w:link w:val="33"/>
    <w:qFormat/>
    <w:uiPriority w:val="0"/>
    <w:rPr>
      <w:rFonts w:ascii="宋体" w:eastAsia="宋体"/>
      <w:b/>
      <w:bCs/>
      <w:kern w:val="2"/>
      <w:sz w:val="24"/>
      <w:szCs w:val="24"/>
      <w:lang w:val="en-US" w:eastAsia="zh-CN" w:bidi="ar-SA"/>
    </w:rPr>
  </w:style>
  <w:style w:type="character" w:customStyle="1" w:styleId="93">
    <w:name w:val="正文文本 2 Char"/>
    <w:link w:val="3"/>
    <w:qFormat/>
    <w:uiPriority w:val="0"/>
    <w:rPr>
      <w:rFonts w:eastAsia="宋体"/>
      <w:kern w:val="2"/>
      <w:sz w:val="24"/>
      <w:szCs w:val="24"/>
      <w:lang w:val="en-US" w:eastAsia="zh-CN" w:bidi="ar-SA"/>
    </w:rPr>
  </w:style>
  <w:style w:type="character" w:customStyle="1" w:styleId="94">
    <w:name w:val="页脚 Char"/>
    <w:link w:val="28"/>
    <w:qFormat/>
    <w:uiPriority w:val="0"/>
    <w:rPr>
      <w:rFonts w:eastAsia="宋体"/>
      <w:kern w:val="2"/>
      <w:sz w:val="18"/>
      <w:szCs w:val="18"/>
      <w:lang w:val="en-US" w:eastAsia="zh-CN" w:bidi="ar-SA"/>
    </w:rPr>
  </w:style>
  <w:style w:type="character" w:customStyle="1" w:styleId="95">
    <w:name w:val="正文文本 3 Char"/>
    <w:link w:val="19"/>
    <w:qFormat/>
    <w:uiPriority w:val="0"/>
    <w:rPr>
      <w:rFonts w:eastAsia="宋体"/>
      <w:kern w:val="2"/>
      <w:sz w:val="16"/>
      <w:szCs w:val="16"/>
      <w:lang w:val="en-US" w:eastAsia="zh-CN" w:bidi="ar-SA"/>
    </w:rPr>
  </w:style>
  <w:style w:type="character" w:customStyle="1" w:styleId="96">
    <w:name w:val="批注框文本 Char"/>
    <w:link w:val="27"/>
    <w:semiHidden/>
    <w:qFormat/>
    <w:uiPriority w:val="99"/>
    <w:rPr>
      <w:rFonts w:eastAsia="宋体"/>
      <w:kern w:val="2"/>
      <w:sz w:val="18"/>
      <w:szCs w:val="18"/>
      <w:lang w:val="en-US" w:eastAsia="zh-CN" w:bidi="ar-SA"/>
    </w:rPr>
  </w:style>
  <w:style w:type="paragraph" w:customStyle="1" w:styleId="97">
    <w:name w:val="样式1"/>
    <w:basedOn w:val="39"/>
    <w:qFormat/>
    <w:uiPriority w:val="0"/>
    <w:pPr>
      <w:spacing w:before="120" w:after="120"/>
    </w:pPr>
    <w:rPr>
      <w:rFonts w:eastAsia="黑体"/>
      <w:b w:val="0"/>
      <w:sz w:val="30"/>
      <w:szCs w:val="21"/>
    </w:rPr>
  </w:style>
  <w:style w:type="paragraph" w:customStyle="1" w:styleId="98">
    <w:name w:val="样式2"/>
    <w:basedOn w:val="39"/>
    <w:next w:val="97"/>
    <w:qFormat/>
    <w:uiPriority w:val="0"/>
    <w:pPr>
      <w:spacing w:before="120" w:after="120"/>
    </w:pPr>
    <w:rPr>
      <w:rFonts w:eastAsia="黑体"/>
      <w:b w:val="0"/>
      <w:sz w:val="30"/>
      <w:szCs w:val="30"/>
    </w:rPr>
  </w:style>
  <w:style w:type="character" w:customStyle="1" w:styleId="99">
    <w:name w:val="标题 3 Char Char"/>
    <w:qFormat/>
    <w:uiPriority w:val="0"/>
    <w:rPr>
      <w:rFonts w:eastAsia="宋体"/>
      <w:b/>
      <w:bCs/>
      <w:kern w:val="2"/>
      <w:sz w:val="32"/>
      <w:szCs w:val="32"/>
      <w:lang w:val="en-US" w:eastAsia="zh-CN" w:bidi="ar-SA"/>
    </w:rPr>
  </w:style>
  <w:style w:type="paragraph" w:customStyle="1" w:styleId="100">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1">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2">
    <w:name w:val="--规划正文"/>
    <w:basedOn w:val="1"/>
    <w:qFormat/>
    <w:uiPriority w:val="0"/>
    <w:pPr>
      <w:spacing w:line="360" w:lineRule="auto"/>
      <w:ind w:firstLine="200" w:firstLineChars="200"/>
    </w:pPr>
    <w:rPr>
      <w:szCs w:val="20"/>
    </w:rPr>
  </w:style>
  <w:style w:type="paragraph" w:customStyle="1" w:styleId="103">
    <w:name w:val="设计依据"/>
    <w:basedOn w:val="2"/>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4">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05">
    <w:name w:val="样式4"/>
    <w:basedOn w:val="1"/>
    <w:qFormat/>
    <w:uiPriority w:val="0"/>
    <w:pPr>
      <w:tabs>
        <w:tab w:val="left" w:pos="842"/>
      </w:tabs>
      <w:spacing w:line="360" w:lineRule="auto"/>
      <w:ind w:left="842" w:hanging="420"/>
    </w:pPr>
    <w:rPr>
      <w:sz w:val="24"/>
    </w:rPr>
  </w:style>
  <w:style w:type="paragraph" w:customStyle="1" w:styleId="106">
    <w:name w:val="文字"/>
    <w:basedOn w:val="1"/>
    <w:qFormat/>
    <w:uiPriority w:val="0"/>
    <w:pPr>
      <w:tabs>
        <w:tab w:val="left" w:pos="8520"/>
      </w:tabs>
      <w:spacing w:line="312" w:lineRule="auto"/>
      <w:ind w:right="-210" w:firstLine="556"/>
    </w:pPr>
    <w:rPr>
      <w:rFonts w:ascii="宋体"/>
      <w:sz w:val="28"/>
      <w:szCs w:val="20"/>
    </w:rPr>
  </w:style>
  <w:style w:type="paragraph" w:customStyle="1" w:styleId="107">
    <w:name w:val="--规划-表格-居左"/>
    <w:basedOn w:val="102"/>
    <w:qFormat/>
    <w:uiPriority w:val="0"/>
    <w:pPr>
      <w:spacing w:line="240" w:lineRule="auto"/>
      <w:ind w:firstLine="0" w:firstLineChars="0"/>
    </w:pPr>
    <w:rPr>
      <w:sz w:val="20"/>
    </w:rPr>
  </w:style>
  <w:style w:type="paragraph" w:customStyle="1" w:styleId="108">
    <w:name w:val="--规划-表格-居中"/>
    <w:basedOn w:val="102"/>
    <w:qFormat/>
    <w:uiPriority w:val="0"/>
    <w:pPr>
      <w:spacing w:line="240" w:lineRule="auto"/>
      <w:ind w:firstLine="0" w:firstLineChars="0"/>
      <w:jc w:val="center"/>
    </w:pPr>
    <w:rPr>
      <w:sz w:val="20"/>
    </w:rPr>
  </w:style>
  <w:style w:type="paragraph" w:customStyle="1" w:styleId="109">
    <w:name w:val="--编号内缩进"/>
    <w:basedOn w:val="1"/>
    <w:qFormat/>
    <w:uiPriority w:val="0"/>
    <w:pPr>
      <w:spacing w:line="360" w:lineRule="auto"/>
      <w:ind w:left="420" w:firstLine="200" w:firstLineChars="200"/>
    </w:pPr>
    <w:rPr>
      <w:szCs w:val="21"/>
    </w:rPr>
  </w:style>
  <w:style w:type="paragraph" w:customStyle="1" w:styleId="110">
    <w:name w:val="--规划-题注"/>
    <w:basedOn w:val="1"/>
    <w:next w:val="102"/>
    <w:qFormat/>
    <w:uiPriority w:val="0"/>
    <w:pPr>
      <w:spacing w:line="360" w:lineRule="auto"/>
      <w:jc w:val="center"/>
    </w:pPr>
    <w:rPr>
      <w:rFonts w:eastAsia="黑体"/>
    </w:rPr>
  </w:style>
  <w:style w:type="paragraph" w:customStyle="1" w:styleId="111">
    <w:name w:val="--规划-图和表"/>
    <w:next w:val="102"/>
    <w:qFormat/>
    <w:uiPriority w:val="0"/>
    <w:pPr>
      <w:jc w:val="center"/>
    </w:pPr>
    <w:rPr>
      <w:rFonts w:ascii="Times New Roman" w:hAnsi="Times New Roman" w:eastAsia="宋体" w:cs="Times New Roman"/>
      <w:kern w:val="2"/>
      <w:sz w:val="21"/>
      <w:lang w:val="en-US" w:eastAsia="zh-CN" w:bidi="ar-SA"/>
    </w:rPr>
  </w:style>
  <w:style w:type="paragraph" w:customStyle="1" w:styleId="112">
    <w:name w:val="--规划-小标题"/>
    <w:basedOn w:val="1"/>
    <w:next w:val="102"/>
    <w:qFormat/>
    <w:uiPriority w:val="0"/>
    <w:pPr>
      <w:keepNext/>
      <w:keepLines/>
      <w:spacing w:line="360" w:lineRule="auto"/>
      <w:outlineLvl w:val="4"/>
    </w:pPr>
    <w:rPr>
      <w:rFonts w:eastAsia="黑体"/>
    </w:rPr>
  </w:style>
  <w:style w:type="paragraph" w:customStyle="1" w:styleId="113">
    <w:name w:val="--规划正文 Char"/>
    <w:basedOn w:val="1"/>
    <w:qFormat/>
    <w:uiPriority w:val="0"/>
    <w:pPr>
      <w:spacing w:line="360" w:lineRule="auto"/>
      <w:ind w:firstLine="200" w:firstLineChars="200"/>
    </w:pPr>
    <w:rPr>
      <w:sz w:val="24"/>
    </w:rPr>
  </w:style>
  <w:style w:type="paragraph" w:customStyle="1" w:styleId="114">
    <w:name w:val="缺省文本"/>
    <w:basedOn w:val="1"/>
    <w:qFormat/>
    <w:uiPriority w:val="0"/>
    <w:pPr>
      <w:autoSpaceDE w:val="0"/>
      <w:autoSpaceDN w:val="0"/>
      <w:adjustRightInd w:val="0"/>
      <w:jc w:val="left"/>
    </w:pPr>
    <w:rPr>
      <w:kern w:val="0"/>
    </w:rPr>
  </w:style>
  <w:style w:type="paragraph" w:customStyle="1" w:styleId="115">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16">
    <w:name w:val="--规划正文 Char Char"/>
    <w:qFormat/>
    <w:uiPriority w:val="0"/>
    <w:rPr>
      <w:rFonts w:eastAsia="宋体"/>
      <w:kern w:val="2"/>
      <w:sz w:val="24"/>
      <w:szCs w:val="24"/>
      <w:lang w:val="en-US" w:eastAsia="zh-CN" w:bidi="ar-SA"/>
    </w:rPr>
  </w:style>
  <w:style w:type="paragraph" w:customStyle="1" w:styleId="117">
    <w:name w:val="样式3"/>
    <w:basedOn w:val="4"/>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18">
    <w:name w:val="--规划正文 Char1"/>
    <w:qFormat/>
    <w:uiPriority w:val="0"/>
    <w:rPr>
      <w:rFonts w:eastAsia="宋体"/>
      <w:kern w:val="2"/>
      <w:sz w:val="21"/>
      <w:lang w:val="en-US" w:eastAsia="zh-CN" w:bidi="ar-SA"/>
    </w:rPr>
  </w:style>
  <w:style w:type="paragraph" w:customStyle="1" w:styleId="119">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0">
    <w:name w:val="列表项目"/>
    <w:basedOn w:val="1"/>
    <w:qFormat/>
    <w:uiPriority w:val="0"/>
    <w:pPr>
      <w:tabs>
        <w:tab w:val="left" w:pos="420"/>
        <w:tab w:val="left" w:pos="1080"/>
      </w:tabs>
      <w:spacing w:line="288" w:lineRule="auto"/>
      <w:ind w:left="1080" w:hanging="360"/>
    </w:pPr>
    <w:rPr>
      <w:sz w:val="24"/>
      <w:szCs w:val="20"/>
    </w:rPr>
  </w:style>
  <w:style w:type="character" w:customStyle="1" w:styleId="121">
    <w:name w:val="content1"/>
    <w:qFormat/>
    <w:uiPriority w:val="0"/>
    <w:rPr>
      <w:rFonts w:hint="default" w:ascii="??" w:hAnsi="??"/>
      <w:sz w:val="16"/>
      <w:szCs w:val="16"/>
      <w:u w:val="none"/>
    </w:rPr>
  </w:style>
  <w:style w:type="character" w:customStyle="1" w:styleId="122">
    <w:name w:val="unnamed4"/>
    <w:basedOn w:val="44"/>
    <w:qFormat/>
    <w:uiPriority w:val="0"/>
  </w:style>
  <w:style w:type="character" w:customStyle="1" w:styleId="123">
    <w:name w:val="font2"/>
    <w:basedOn w:val="44"/>
    <w:qFormat/>
    <w:uiPriority w:val="0"/>
  </w:style>
  <w:style w:type="character" w:customStyle="1" w:styleId="124">
    <w:name w:val="font41"/>
    <w:qFormat/>
    <w:uiPriority w:val="0"/>
    <w:rPr>
      <w:color w:val="000000"/>
      <w:spacing w:val="260"/>
      <w:sz w:val="18"/>
      <w:szCs w:val="18"/>
      <w:u w:val="none"/>
    </w:rPr>
  </w:style>
  <w:style w:type="paragraph" w:customStyle="1" w:styleId="125">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6">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27">
    <w:name w:val="正文首行缩进 Char"/>
    <w:link w:val="41"/>
    <w:qFormat/>
    <w:uiPriority w:val="0"/>
    <w:rPr>
      <w:rFonts w:eastAsia="宋体"/>
      <w:b/>
      <w:bCs/>
      <w:kern w:val="2"/>
      <w:sz w:val="21"/>
      <w:szCs w:val="24"/>
      <w:lang w:val="en-US" w:eastAsia="zh-CN" w:bidi="ar-SA"/>
    </w:rPr>
  </w:style>
  <w:style w:type="paragraph" w:customStyle="1" w:styleId="128">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29">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0">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1">
    <w:name w:val="mode"/>
    <w:basedOn w:val="44"/>
    <w:qFormat/>
    <w:uiPriority w:val="0"/>
  </w:style>
  <w:style w:type="paragraph" w:customStyle="1" w:styleId="132">
    <w:name w:val="9"/>
    <w:basedOn w:val="1"/>
    <w:next w:val="9"/>
    <w:qFormat/>
    <w:uiPriority w:val="0"/>
    <w:pPr>
      <w:autoSpaceDE w:val="0"/>
      <w:autoSpaceDN w:val="0"/>
      <w:adjustRightInd w:val="0"/>
      <w:ind w:firstLine="420"/>
      <w:jc w:val="left"/>
      <w:textAlignment w:val="baseline"/>
    </w:pPr>
    <w:rPr>
      <w:rFonts w:ascii="宋体"/>
      <w:kern w:val="0"/>
      <w:sz w:val="34"/>
      <w:szCs w:val="20"/>
    </w:rPr>
  </w:style>
  <w:style w:type="character" w:customStyle="1" w:styleId="133">
    <w:name w:val="unnamed3"/>
    <w:basedOn w:val="44"/>
    <w:qFormat/>
    <w:uiPriority w:val="0"/>
  </w:style>
  <w:style w:type="paragraph" w:customStyle="1" w:styleId="134">
    <w:name w:val="8"/>
    <w:basedOn w:val="1"/>
    <w:next w:val="20"/>
    <w:qFormat/>
    <w:uiPriority w:val="0"/>
    <w:pPr>
      <w:spacing w:after="120"/>
      <w:ind w:left="420" w:leftChars="200"/>
    </w:pPr>
  </w:style>
  <w:style w:type="paragraph" w:customStyle="1" w:styleId="135">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36">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37">
    <w:name w:val="5"/>
    <w:basedOn w:val="1"/>
    <w:qFormat/>
    <w:uiPriority w:val="0"/>
    <w:pPr>
      <w:autoSpaceDE w:val="0"/>
      <w:autoSpaceDN w:val="0"/>
      <w:adjustRightInd w:val="0"/>
      <w:jc w:val="left"/>
    </w:pPr>
    <w:rPr>
      <w:rFonts w:ascii="宋体"/>
      <w:b/>
      <w:bCs/>
      <w:kern w:val="0"/>
      <w:sz w:val="18"/>
      <w:szCs w:val="18"/>
    </w:rPr>
  </w:style>
  <w:style w:type="paragraph" w:customStyle="1" w:styleId="138">
    <w:name w:val="6"/>
    <w:basedOn w:val="137"/>
    <w:qFormat/>
    <w:uiPriority w:val="0"/>
    <w:pPr>
      <w:spacing w:line="270" w:lineRule="atLeast"/>
      <w:jc w:val="both"/>
    </w:pPr>
    <w:rPr>
      <w:b w:val="0"/>
      <w:bCs w:val="0"/>
    </w:rPr>
  </w:style>
  <w:style w:type="paragraph" w:customStyle="1" w:styleId="139">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0">
    <w:name w:val="姜文清定义的正文"/>
    <w:basedOn w:val="1"/>
    <w:qFormat/>
    <w:uiPriority w:val="0"/>
    <w:pPr>
      <w:spacing w:line="240" w:lineRule="atLeast"/>
      <w:ind w:firstLine="567"/>
    </w:pPr>
    <w:rPr>
      <w:szCs w:val="20"/>
    </w:rPr>
  </w:style>
  <w:style w:type="paragraph" w:customStyle="1" w:styleId="141">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42">
    <w:name w:val="CM2"/>
    <w:basedOn w:val="141"/>
    <w:next w:val="141"/>
    <w:qFormat/>
    <w:uiPriority w:val="0"/>
    <w:pPr>
      <w:spacing w:line="200" w:lineRule="atLeast"/>
    </w:pPr>
    <w:rPr>
      <w:rFonts w:ascii="Arial" w:hAnsi="Arial" w:eastAsia="宋体" w:cs="Times New Roman"/>
      <w:color w:val="auto"/>
    </w:rPr>
  </w:style>
  <w:style w:type="paragraph" w:customStyle="1" w:styleId="143">
    <w:name w:val="Normal Paragraph"/>
    <w:basedOn w:val="1"/>
    <w:qFormat/>
    <w:uiPriority w:val="0"/>
    <w:pPr>
      <w:widowControl/>
      <w:spacing w:before="120" w:line="360" w:lineRule="auto"/>
      <w:ind w:firstLine="425"/>
    </w:pPr>
    <w:rPr>
      <w:kern w:val="0"/>
      <w:sz w:val="24"/>
    </w:rPr>
  </w:style>
  <w:style w:type="character" w:customStyle="1" w:styleId="144">
    <w:name w:val="blue"/>
    <w:basedOn w:val="44"/>
    <w:qFormat/>
    <w:uiPriority w:val="0"/>
  </w:style>
  <w:style w:type="paragraph" w:customStyle="1" w:styleId="145">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46">
    <w:name w:val="font"/>
    <w:basedOn w:val="44"/>
    <w:qFormat/>
    <w:uiPriority w:val="0"/>
  </w:style>
  <w:style w:type="character" w:customStyle="1" w:styleId="147">
    <w:name w:val="font11"/>
    <w:qFormat/>
    <w:uiPriority w:val="0"/>
    <w:rPr>
      <w:rFonts w:hint="default" w:ascii="ˎ̥" w:hAnsi="ˎ̥"/>
    </w:rPr>
  </w:style>
  <w:style w:type="paragraph" w:customStyle="1" w:styleId="148">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49">
    <w:name w:val="proddescription"/>
    <w:basedOn w:val="44"/>
    <w:qFormat/>
    <w:uiPriority w:val="0"/>
  </w:style>
  <w:style w:type="character" w:customStyle="1" w:styleId="150">
    <w:name w:val="prodheadlines"/>
    <w:basedOn w:val="44"/>
    <w:qFormat/>
    <w:uiPriority w:val="0"/>
  </w:style>
  <w:style w:type="character" w:customStyle="1" w:styleId="151">
    <w:name w:val="text"/>
    <w:basedOn w:val="44"/>
    <w:qFormat/>
    <w:uiPriority w:val="0"/>
  </w:style>
  <w:style w:type="paragraph" w:customStyle="1" w:styleId="152">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3">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54">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55">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56">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57">
    <w:name w:val="段落正文"/>
    <w:basedOn w:val="23"/>
    <w:qFormat/>
    <w:uiPriority w:val="0"/>
    <w:pPr>
      <w:ind w:firstLine="560" w:firstLineChars="200"/>
    </w:pPr>
    <w:rPr>
      <w:sz w:val="28"/>
    </w:rPr>
  </w:style>
  <w:style w:type="character" w:customStyle="1" w:styleId="158">
    <w:name w:val="gray6"/>
    <w:basedOn w:val="44"/>
    <w:qFormat/>
    <w:uiPriority w:val="0"/>
  </w:style>
  <w:style w:type="character" w:customStyle="1" w:styleId="159">
    <w:name w:val="style9"/>
    <w:basedOn w:val="44"/>
    <w:qFormat/>
    <w:uiPriority w:val="0"/>
  </w:style>
  <w:style w:type="paragraph" w:customStyle="1" w:styleId="160">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1">
    <w:name w:val="grame"/>
    <w:basedOn w:val="44"/>
    <w:qFormat/>
    <w:uiPriority w:val="0"/>
  </w:style>
  <w:style w:type="paragraph" w:customStyle="1" w:styleId="162">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3">
    <w:name w:val="Char1"/>
    <w:basedOn w:val="1"/>
    <w:qFormat/>
    <w:uiPriority w:val="0"/>
    <w:pPr>
      <w:jc w:val="left"/>
    </w:pPr>
    <w:rPr>
      <w:rFonts w:ascii="Tahoma" w:hAnsi="Tahoma"/>
      <w:sz w:val="24"/>
      <w:szCs w:val="20"/>
    </w:rPr>
  </w:style>
  <w:style w:type="paragraph" w:customStyle="1" w:styleId="164">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65">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6">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6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68">
    <w:name w:val="font6"/>
    <w:basedOn w:val="1"/>
    <w:qFormat/>
    <w:uiPriority w:val="0"/>
    <w:pPr>
      <w:widowControl/>
      <w:spacing w:before="100" w:beforeAutospacing="1" w:after="100" w:afterAutospacing="1"/>
      <w:jc w:val="left"/>
    </w:pPr>
    <w:rPr>
      <w:kern w:val="0"/>
      <w:sz w:val="24"/>
    </w:rPr>
  </w:style>
  <w:style w:type="paragraph" w:customStyle="1" w:styleId="16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1">
    <w:name w:val="表格字"/>
    <w:basedOn w:val="1"/>
    <w:qFormat/>
    <w:uiPriority w:val="0"/>
    <w:pPr>
      <w:adjustRightInd w:val="0"/>
      <w:jc w:val="center"/>
    </w:pPr>
    <w:rPr>
      <w:rFonts w:ascii="宋体"/>
      <w:sz w:val="24"/>
      <w:szCs w:val="20"/>
    </w:rPr>
  </w:style>
  <w:style w:type="character" w:customStyle="1" w:styleId="172">
    <w:name w:val="样式 小三 加粗"/>
    <w:qFormat/>
    <w:uiPriority w:val="0"/>
    <w:rPr>
      <w:rFonts w:eastAsia="宋体"/>
      <w:b/>
      <w:bCs/>
      <w:sz w:val="32"/>
    </w:rPr>
  </w:style>
  <w:style w:type="paragraph" w:customStyle="1" w:styleId="17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4">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5">
    <w:name w:val="Char Char Char"/>
    <w:basedOn w:val="1"/>
    <w:qFormat/>
    <w:uiPriority w:val="0"/>
    <w:rPr>
      <w:rFonts w:ascii="Tahoma" w:hAnsi="Tahoma"/>
      <w:sz w:val="24"/>
      <w:szCs w:val="20"/>
    </w:rPr>
  </w:style>
  <w:style w:type="paragraph" w:customStyle="1" w:styleId="176">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77">
    <w:name w:val="info4"/>
    <w:basedOn w:val="44"/>
    <w:qFormat/>
    <w:uiPriority w:val="0"/>
  </w:style>
  <w:style w:type="paragraph" w:customStyle="1" w:styleId="178">
    <w:name w:val="缩进正文"/>
    <w:basedOn w:val="1"/>
    <w:link w:val="179"/>
    <w:qFormat/>
    <w:uiPriority w:val="0"/>
    <w:pPr>
      <w:ind w:firstLine="560" w:firstLineChars="200"/>
    </w:pPr>
    <w:rPr>
      <w:rFonts w:eastAsia="仿宋_GB2312" w:cs="宋体"/>
      <w:sz w:val="28"/>
      <w:szCs w:val="20"/>
    </w:rPr>
  </w:style>
  <w:style w:type="character" w:customStyle="1" w:styleId="179">
    <w:name w:val="缩进正文 Char"/>
    <w:link w:val="178"/>
    <w:qFormat/>
    <w:uiPriority w:val="0"/>
    <w:rPr>
      <w:rFonts w:eastAsia="仿宋_GB2312" w:cs="宋体"/>
      <w:kern w:val="2"/>
      <w:sz w:val="28"/>
      <w:lang w:val="en-US" w:eastAsia="zh-CN" w:bidi="ar-SA"/>
    </w:rPr>
  </w:style>
  <w:style w:type="paragraph" w:customStyle="1" w:styleId="180">
    <w:name w:val="列出段落1"/>
    <w:basedOn w:val="1"/>
    <w:qFormat/>
    <w:uiPriority w:val="0"/>
    <w:pPr>
      <w:ind w:firstLine="420" w:firstLineChars="200"/>
    </w:pPr>
    <w:rPr>
      <w:rFonts w:ascii="Calibri" w:hAnsi="Calibri" w:cs="Calibri"/>
      <w:szCs w:val="21"/>
    </w:rPr>
  </w:style>
  <w:style w:type="character" w:customStyle="1" w:styleId="181">
    <w:name w:val="批注文字 Char"/>
    <w:basedOn w:val="44"/>
    <w:link w:val="18"/>
    <w:qFormat/>
    <w:uiPriority w:val="99"/>
    <w:rPr>
      <w:rFonts w:ascii="宋体"/>
      <w:sz w:val="34"/>
    </w:rPr>
  </w:style>
  <w:style w:type="character" w:customStyle="1" w:styleId="182">
    <w:name w:val="批注主题 Char"/>
    <w:basedOn w:val="181"/>
    <w:link w:val="40"/>
    <w:qFormat/>
    <w:uiPriority w:val="99"/>
    <w:rPr>
      <w:rFonts w:ascii="宋体"/>
      <w:sz w:val="34"/>
    </w:rPr>
  </w:style>
  <w:style w:type="paragraph" w:customStyle="1" w:styleId="183">
    <w:name w:val="评价"/>
    <w:basedOn w:val="1"/>
    <w:qFormat/>
    <w:uiPriority w:val="0"/>
    <w:pPr>
      <w:spacing w:afterLines="20"/>
      <w:ind w:firstLine="1446" w:firstLineChars="200"/>
    </w:pPr>
    <w:rPr>
      <w:rFonts w:ascii="Calibri" w:hAnsi="Calibri"/>
      <w:sz w:val="24"/>
    </w:rPr>
  </w:style>
  <w:style w:type="paragraph" w:customStyle="1" w:styleId="18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5">
    <w:name w:val="alt-edited1"/>
    <w:qFormat/>
    <w:uiPriority w:val="0"/>
    <w:rPr>
      <w:color w:val="4D90F0"/>
    </w:rPr>
  </w:style>
  <w:style w:type="character" w:customStyle="1" w:styleId="186">
    <w:name w:val="body text Char1"/>
    <w:qFormat/>
    <w:uiPriority w:val="0"/>
    <w:rPr>
      <w:rFonts w:eastAsia="宋体"/>
      <w:kern w:val="2"/>
      <w:sz w:val="21"/>
      <w:lang w:val="en-US" w:eastAsia="zh-CN" w:bidi="ar-SA"/>
    </w:rPr>
  </w:style>
  <w:style w:type="character" w:customStyle="1" w:styleId="187">
    <w:name w:val="普通(网站) Char"/>
    <w:link w:val="37"/>
    <w:qFormat/>
    <w:uiPriority w:val="0"/>
    <w:rPr>
      <w:kern w:val="2"/>
      <w:sz w:val="24"/>
      <w:szCs w:val="24"/>
    </w:rPr>
  </w:style>
  <w:style w:type="character" w:customStyle="1" w:styleId="188">
    <w:name w:val="批注文字 Char1"/>
    <w:qFormat/>
    <w:uiPriority w:val="99"/>
    <w:rPr>
      <w:rFonts w:ascii="宋体"/>
      <w:sz w:val="34"/>
    </w:rPr>
  </w:style>
  <w:style w:type="character" w:customStyle="1" w:styleId="189">
    <w:name w:val="正文缩进 Char1"/>
    <w:qFormat/>
    <w:uiPriority w:val="0"/>
    <w:rPr>
      <w:rFonts w:eastAsia="宋体"/>
      <w:kern w:val="2"/>
      <w:sz w:val="21"/>
      <w:lang w:val="en-US" w:eastAsia="zh-CN" w:bidi="ar-SA"/>
    </w:rPr>
  </w:style>
  <w:style w:type="table" w:customStyle="1" w:styleId="190">
    <w:name w:val="网格型1"/>
    <w:basedOn w:val="42"/>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1">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F8195-465B-44FE-B08A-3EF6B09C32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51</Pages>
  <Words>43516</Words>
  <Characters>46044</Characters>
  <Lines>332</Lines>
  <Paragraphs>93</Paragraphs>
  <TotalTime>7</TotalTime>
  <ScaleCrop>false</ScaleCrop>
  <LinksUpToDate>false</LinksUpToDate>
  <CharactersWithSpaces>47940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2021-04-19T08:29:00Z</dcterms:created>
  <dc:creator>thsware</dc:creator>
  <cp:lastModifiedBy>Administrator</cp:lastModifiedBy>
  <cp:lastPrinted>2021-05-09T08:02:00Z</cp:lastPrinted>
  <dcterms:modified xsi:type="dcterms:W3CDTF">2024-09-19T11:03:20Z</dcterms:modified>
  <dc:title>招  标　文　件</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A9D8EFBAE24240BDAB2BB793F524C176</vt:lpwstr>
  </property>
</Properties>
</file>