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360" w:lineRule="auto"/>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22" w:firstLineChars="200"/>
        <w:textAlignment w:val="auto"/>
        <w:rPr>
          <w:rFonts w:hint="eastAsia"/>
          <w:b/>
          <w:color w:val="FF0000"/>
        </w:rPr>
      </w:pP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color w:val="FF0000"/>
          <w:kern w:val="2"/>
          <w:sz w:val="21"/>
          <w:szCs w:val="24"/>
          <w:lang w:val="en-US" w:eastAsia="zh-CN" w:bidi="ar-SA"/>
        </w:rPr>
      </w:pPr>
    </w:p>
    <w:p>
      <w:pPr>
        <w:keepNext w:val="0"/>
        <w:keepLines w:val="0"/>
        <w:pageBreakBefore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firstLine="422" w:firstLineChars="200"/>
        <w:textAlignment w:val="auto"/>
        <w:rPr>
          <w:rFonts w:hint="eastAsia" w:ascii="黑体" w:hAnsi="宋体" w:eastAsia="黑体" w:cs="黑体"/>
          <w:kern w:val="0"/>
          <w:sz w:val="40"/>
          <w:szCs w:val="40"/>
        </w:rPr>
        <w:sectPr>
          <w:headerReference r:id="rId3" w:type="first"/>
          <w:footerReference r:id="rId6" w:type="first"/>
          <w:footerReference r:id="rId4" w:type="default"/>
          <w:footerReference r:id="rId5" w:type="even"/>
          <w:pgSz w:w="11907" w:h="16840"/>
          <w:pgMar w:top="1440" w:right="1417" w:bottom="1440" w:left="1417" w:header="851" w:footer="992" w:gutter="0"/>
          <w:pgNumType w:fmt="decimal"/>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23"/>
        <w:tblW w:w="7938" w:type="dxa"/>
        <w:jc w:val="center"/>
        <w:tblCellSpacing w:w="0" w:type="dxa"/>
        <w:tblLayout w:type="fixed"/>
        <w:tblCellMar>
          <w:top w:w="36" w:type="dxa"/>
          <w:left w:w="36" w:type="dxa"/>
          <w:bottom w:w="36" w:type="dxa"/>
          <w:right w:w="36" w:type="dxa"/>
        </w:tblCellMar>
      </w:tblPr>
      <w:tblGrid>
        <w:gridCol w:w="2116"/>
        <w:gridCol w:w="5822"/>
      </w:tblGrid>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项目编号：</w:t>
            </w:r>
          </w:p>
        </w:tc>
        <w:tc>
          <w:tcPr>
            <w:tcW w:w="5822" w:type="dxa"/>
            <w:vAlign w:val="center"/>
          </w:tcPr>
          <w:p>
            <w:pPr>
              <w:rPr>
                <w:b/>
                <w:bCs/>
                <w:sz w:val="30"/>
                <w:szCs w:val="30"/>
              </w:rPr>
            </w:pPr>
            <w:r>
              <w:rPr>
                <w:rFonts w:hint="eastAsia"/>
                <w:b/>
                <w:bCs/>
                <w:sz w:val="30"/>
                <w:szCs w:val="30"/>
              </w:rPr>
              <w:t>LHAZXCG-2025-00071</w:t>
            </w:r>
          </w:p>
        </w:tc>
      </w:tr>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项目名称：</w:t>
            </w:r>
          </w:p>
        </w:tc>
        <w:tc>
          <w:tcPr>
            <w:tcW w:w="5822" w:type="dxa"/>
            <w:vAlign w:val="center"/>
          </w:tcPr>
          <w:p>
            <w:pPr>
              <w:rPr>
                <w:rFonts w:hint="default" w:eastAsiaTheme="minorEastAsia"/>
                <w:sz w:val="30"/>
                <w:szCs w:val="30"/>
                <w:lang w:val="en-US" w:eastAsia="zh-CN"/>
              </w:rPr>
            </w:pPr>
            <w:bookmarkStart w:id="0" w:name="OLE_LINK1"/>
            <w:r>
              <w:rPr>
                <w:rFonts w:hint="default" w:ascii="宋体" w:hAnsi="宋体" w:eastAsia="宋体" w:cs="Times New Roman"/>
                <w:sz w:val="28"/>
                <w:szCs w:val="28"/>
                <w:lang w:val="en-US" w:eastAsia="zh-CN"/>
              </w:rPr>
              <w:t>深圳市龙华科技实验高级中学教职工食堂运营服务项目</w:t>
            </w:r>
            <w:bookmarkEnd w:id="0"/>
          </w:p>
        </w:tc>
      </w:tr>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包</w:t>
            </w:r>
            <w:r>
              <w:rPr>
                <w:rFonts w:hint="eastAsia"/>
                <w:sz w:val="30"/>
                <w:szCs w:val="30"/>
              </w:rPr>
              <w:t xml:space="preserve">    </w:t>
            </w:r>
            <w:r>
              <w:rPr>
                <w:sz w:val="30"/>
                <w:szCs w:val="30"/>
              </w:rPr>
              <w:t>号：</w:t>
            </w:r>
          </w:p>
        </w:tc>
        <w:tc>
          <w:tcPr>
            <w:tcW w:w="5822" w:type="dxa"/>
            <w:vAlign w:val="center"/>
          </w:tcPr>
          <w:p>
            <w:pPr>
              <w:rPr>
                <w:rFonts w:hint="default" w:eastAsiaTheme="minorEastAsia"/>
                <w:sz w:val="30"/>
                <w:szCs w:val="30"/>
                <w:lang w:val="en-US" w:eastAsia="zh-CN"/>
              </w:rPr>
            </w:pPr>
            <w:r>
              <w:rPr>
                <w:sz w:val="30"/>
                <w:szCs w:val="30"/>
              </w:rPr>
              <w:t>A</w:t>
            </w:r>
          </w:p>
        </w:tc>
      </w:tr>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项目类型：</w:t>
            </w:r>
          </w:p>
        </w:tc>
        <w:tc>
          <w:tcPr>
            <w:tcW w:w="5822" w:type="dxa"/>
            <w:vAlign w:val="center"/>
          </w:tcPr>
          <w:p>
            <w:pPr>
              <w:rPr>
                <w:sz w:val="30"/>
                <w:szCs w:val="30"/>
              </w:rPr>
            </w:pPr>
            <w:r>
              <w:rPr>
                <w:rFonts w:hint="eastAsia"/>
                <w:sz w:val="30"/>
                <w:szCs w:val="30"/>
              </w:rPr>
              <w:t>服务</w:t>
            </w:r>
            <w:r>
              <w:rPr>
                <w:sz w:val="30"/>
                <w:szCs w:val="30"/>
              </w:rPr>
              <w:t>类</w:t>
            </w:r>
          </w:p>
        </w:tc>
      </w:tr>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采购方式：</w:t>
            </w:r>
          </w:p>
        </w:tc>
        <w:tc>
          <w:tcPr>
            <w:tcW w:w="5822" w:type="dxa"/>
            <w:vAlign w:val="center"/>
          </w:tcPr>
          <w:p>
            <w:pPr>
              <w:rPr>
                <w:sz w:val="30"/>
                <w:szCs w:val="30"/>
              </w:rPr>
            </w:pPr>
            <w:r>
              <w:rPr>
                <w:sz w:val="30"/>
                <w:szCs w:val="30"/>
              </w:rPr>
              <w:t>公开招标</w:t>
            </w:r>
          </w:p>
        </w:tc>
      </w:tr>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货币类型：</w:t>
            </w:r>
          </w:p>
        </w:tc>
        <w:tc>
          <w:tcPr>
            <w:tcW w:w="5822" w:type="dxa"/>
            <w:vAlign w:val="center"/>
          </w:tcPr>
          <w:p>
            <w:pPr>
              <w:rPr>
                <w:sz w:val="30"/>
                <w:szCs w:val="30"/>
              </w:rPr>
            </w:pPr>
            <w:r>
              <w:rPr>
                <w:sz w:val="30"/>
                <w:szCs w:val="30"/>
              </w:rPr>
              <w:t>人民币</w:t>
            </w:r>
          </w:p>
        </w:tc>
      </w:tr>
      <w:tr>
        <w:tblPrEx>
          <w:tblCellMar>
            <w:top w:w="36" w:type="dxa"/>
            <w:left w:w="36" w:type="dxa"/>
            <w:bottom w:w="36" w:type="dxa"/>
            <w:right w:w="36" w:type="dxa"/>
          </w:tblCellMar>
        </w:tblPrEx>
        <w:trPr>
          <w:trHeight w:val="737" w:hRule="atLeast"/>
          <w:tblCellSpacing w:w="0" w:type="dxa"/>
          <w:jc w:val="center"/>
        </w:trPr>
        <w:tc>
          <w:tcPr>
            <w:tcW w:w="2116" w:type="dxa"/>
            <w:vAlign w:val="center"/>
          </w:tcPr>
          <w:p>
            <w:pPr>
              <w:jc w:val="right"/>
              <w:rPr>
                <w:sz w:val="30"/>
                <w:szCs w:val="30"/>
              </w:rPr>
            </w:pPr>
            <w:r>
              <w:rPr>
                <w:sz w:val="30"/>
                <w:szCs w:val="30"/>
              </w:rPr>
              <w:t>评标方法：</w:t>
            </w:r>
          </w:p>
        </w:tc>
        <w:tc>
          <w:tcPr>
            <w:tcW w:w="5822" w:type="dxa"/>
            <w:vAlign w:val="center"/>
          </w:tcPr>
          <w:p>
            <w:pPr>
              <w:rPr>
                <w:sz w:val="30"/>
                <w:szCs w:val="30"/>
              </w:rPr>
            </w:pPr>
            <w:r>
              <w:rPr>
                <w:rFonts w:ascii="宋体" w:hAnsi="宋体" w:cs="宋体"/>
                <w:kern w:val="0"/>
                <w:sz w:val="30"/>
                <w:szCs w:val="30"/>
                <w:lang w:bidi="ar"/>
              </w:rPr>
              <w:t>综合评分法</w:t>
            </w:r>
          </w:p>
        </w:tc>
      </w:tr>
    </w:tbl>
    <w:p>
      <w:pPr>
        <w:tabs>
          <w:tab w:val="left" w:pos="2790"/>
        </w:tabs>
        <w:snapToGrid w:val="0"/>
        <w:jc w:val="center"/>
        <w:outlineLvl w:val="0"/>
        <w:rPr>
          <w:rFonts w:ascii="黑体" w:hAnsi="黑体" w:eastAsia="黑体" w:cs="Times New Roman"/>
          <w:sz w:val="40"/>
          <w:szCs w:val="40"/>
        </w:rPr>
      </w:pPr>
      <w:bookmarkStart w:id="1" w:name="OLE_LINK47"/>
      <w:r>
        <w:rPr>
          <w:rFonts w:hint="eastAsia" w:ascii="黑体" w:hAnsi="黑体" w:eastAsia="黑体" w:cs="Times New Roman"/>
          <w:sz w:val="40"/>
          <w:szCs w:val="40"/>
        </w:rPr>
        <w:t>资格性审查</w:t>
      </w:r>
      <w:bookmarkEnd w:id="1"/>
      <w:r>
        <w:rPr>
          <w:rFonts w:hint="eastAsia" w:ascii="黑体" w:hAnsi="黑体" w:eastAsia="黑体" w:cs="Times New Roman"/>
          <w:sz w:val="40"/>
          <w:szCs w:val="40"/>
        </w:rPr>
        <w:t>表</w:t>
      </w:r>
    </w:p>
    <w:tbl>
      <w:tblPr>
        <w:tblStyle w:val="23"/>
        <w:tblW w:w="894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1"/>
        <w:gridCol w:w="81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1"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16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1"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164"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rFonts w:ascii="宋体" w:hAnsi="宋体" w:eastAsia="宋体" w:cs="宋体"/>
                <w:kern w:val="0"/>
                <w:szCs w:val="21"/>
              </w:rPr>
              <w:t>投标人不</w:t>
            </w:r>
            <w:r>
              <w:rPr>
                <w:rFonts w:hint="eastAsia" w:ascii="宋体" w:hAnsi="宋体" w:eastAsia="宋体" w:cs="宋体"/>
                <w:kern w:val="0"/>
                <w:szCs w:val="21"/>
              </w:rPr>
              <w:t>符合</w:t>
            </w:r>
            <w:r>
              <w:rPr>
                <w:rFonts w:ascii="宋体" w:hAnsi="宋体" w:eastAsia="宋体" w:cs="宋体"/>
                <w:kern w:val="0"/>
                <w:szCs w:val="21"/>
              </w:rPr>
              <w:t>资格要求，或未提交相应的资格证明资料（详见招标公告</w:t>
            </w:r>
            <w:r>
              <w:rPr>
                <w:rFonts w:hint="eastAsia" w:ascii="宋体" w:hAnsi="宋体" w:eastAsia="宋体" w:cs="Times New Roman"/>
                <w:szCs w:val="21"/>
              </w:rPr>
              <w:t>投标人资格要求，即申请人的资格要求</w:t>
            </w:r>
            <w:r>
              <w:rPr>
                <w:rFonts w:ascii="宋体" w:hAnsi="宋体" w:eastAsia="宋体" w:cs="宋体"/>
                <w:kern w:val="0"/>
                <w:szCs w:val="21"/>
              </w:rPr>
              <w:t>）。</w:t>
            </w:r>
          </w:p>
        </w:tc>
      </w:tr>
    </w:tbl>
    <w:p>
      <w:pPr>
        <w:tabs>
          <w:tab w:val="left" w:pos="2790"/>
        </w:tabs>
        <w:snapToGrid w:val="0"/>
        <w:jc w:val="center"/>
        <w:rPr>
          <w:rFonts w:ascii="黑体" w:hAnsi="黑体" w:eastAsia="黑体" w:cs="Times New Roman"/>
          <w:sz w:val="40"/>
          <w:szCs w:val="40"/>
        </w:rPr>
      </w:pPr>
    </w:p>
    <w:p>
      <w:pPr>
        <w:tabs>
          <w:tab w:val="left" w:pos="2790"/>
        </w:tabs>
        <w:snapToGrid w:val="0"/>
        <w:jc w:val="center"/>
        <w:outlineLvl w:val="0"/>
        <w:rPr>
          <w:rFonts w:ascii="黑体" w:hAnsi="黑体" w:eastAsia="黑体" w:cs="Times New Roman"/>
          <w:sz w:val="40"/>
          <w:szCs w:val="40"/>
        </w:rPr>
      </w:pPr>
      <w:bookmarkStart w:id="2" w:name="OLE_LINK48"/>
      <w:r>
        <w:rPr>
          <w:rFonts w:hint="eastAsia" w:ascii="黑体" w:hAnsi="黑体" w:eastAsia="黑体" w:cs="Times New Roman"/>
          <w:sz w:val="40"/>
          <w:szCs w:val="40"/>
        </w:rPr>
        <w:t>符合性审查</w:t>
      </w:r>
      <w:bookmarkEnd w:id="2"/>
      <w:r>
        <w:rPr>
          <w:rFonts w:hint="eastAsia" w:ascii="黑体" w:hAnsi="黑体" w:eastAsia="黑体" w:cs="Times New Roman"/>
          <w:sz w:val="40"/>
          <w:szCs w:val="40"/>
        </w:rPr>
        <w:t>表</w:t>
      </w:r>
    </w:p>
    <w:tbl>
      <w:tblPr>
        <w:tblStyle w:val="23"/>
        <w:tblW w:w="89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1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序号</w:t>
            </w:r>
          </w:p>
        </w:tc>
        <w:tc>
          <w:tcPr>
            <w:tcW w:w="8153"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1"/>
                <w:szCs w:val="21"/>
              </w:rPr>
            </w:pPr>
            <w:r>
              <w:rPr>
                <w:rFonts w:hint="eastAsia" w:ascii="宋体" w:hAnsi="宋体" w:eastAsia="宋体" w:cs="宋体"/>
                <w:kern w:val="0"/>
                <w:sz w:val="21"/>
                <w:szCs w:val="21"/>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Theme="minorEastAsia" w:hAnsiTheme="minorEastAsia" w:eastAsiaTheme="minorEastAsia" w:cstheme="minorEastAsia"/>
              </w:rPr>
              <w:t>分项报价或投标总价</w:t>
            </w:r>
            <w:r>
              <w:rPr>
                <w:rFonts w:hint="eastAsia" w:asciiTheme="minorEastAsia" w:hAnsiTheme="minorEastAsia" w:eastAsiaTheme="minorEastAsia" w:cstheme="minorEastAsia"/>
                <w:lang w:val="en-US" w:eastAsia="zh-CN"/>
              </w:rPr>
              <w:t>不得</w:t>
            </w:r>
            <w:r>
              <w:rPr>
                <w:rFonts w:hint="eastAsia" w:asciiTheme="minorEastAsia" w:hAnsiTheme="minorEastAsia" w:eastAsiaTheme="minorEastAsia" w:cstheme="minorEastAsia"/>
              </w:rPr>
              <w:t>高于</w:t>
            </w:r>
            <w:bookmarkStart w:id="3" w:name="_Hlk71832186"/>
            <w:r>
              <w:rPr>
                <w:rFonts w:hint="eastAsia" w:asciiTheme="minorEastAsia" w:hAnsiTheme="minorEastAsia" w:eastAsiaTheme="minorEastAsia" w:cstheme="minorEastAsia"/>
              </w:rPr>
              <w:t>相应预算金额（或设定的预算金额下的最高限价）</w:t>
            </w:r>
            <w:bookmarkEnd w:id="3"/>
            <w:r>
              <w:rPr>
                <w:rFonts w:hint="eastAsia" w:asciiTheme="minorEastAsia" w:hAnsiTheme="minorEastAsia" w:eastAsiaTheme="minorEastAsia" w:cstheme="minor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rPr>
            </w:pPr>
            <w:r>
              <w:rPr>
                <w:rFonts w:hint="eastAsia" w:ascii="宋体" w:hAnsi="宋体" w:eastAsia="宋体" w:cs="宋体"/>
                <w:sz w:val="21"/>
                <w:szCs w:val="21"/>
              </w:rPr>
              <w:t>7</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采购标的/所投产品/货物清单/报价等任意一类有缺漏项或响应不全，或者对招标文件规定的项目需求内容或者需求数量进行修改，评审委员会判定投标响应不满足采购需求；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8</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eastAsia" w:ascii="宋体" w:hAnsi="宋体" w:eastAsia="宋体" w:cs="宋体"/>
                <w:sz w:val="21"/>
                <w:szCs w:val="21"/>
                <w:lang w:eastAsia="zh-CN"/>
              </w:rPr>
            </w:pPr>
            <w:r>
              <w:rPr>
                <w:rFonts w:hint="eastAsia" w:ascii="宋体" w:hAnsi="宋体" w:eastAsia="宋体" w:cs="宋体"/>
                <w:kern w:val="0"/>
                <w:sz w:val="21"/>
                <w:szCs w:val="21"/>
                <w:lang w:val="en-US" w:eastAsia="zh-CN" w:bidi="ar"/>
              </w:rPr>
              <w:t>9</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不同投标供应商投标文件“文件制作机器码”一致；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不同投标供应商投标文件“文件创建标识码”一致；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bidi="ar"/>
              </w:rPr>
              <w:t>12</w:t>
            </w:r>
          </w:p>
        </w:tc>
        <w:tc>
          <w:tcPr>
            <w:tcW w:w="8153"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eastAsia="宋体" w:cs="宋体"/>
                <w:sz w:val="21"/>
                <w:szCs w:val="21"/>
              </w:rPr>
            </w:pPr>
            <w:r>
              <w:rPr>
                <w:rFonts w:hint="eastAsia" w:ascii="宋体" w:hAnsi="宋体" w:eastAsia="宋体" w:cs="宋体"/>
                <w:sz w:val="21"/>
                <w:szCs w:val="21"/>
              </w:rPr>
              <w:t>法律、法规、规章、规范性文件规定的其他情形。</w:t>
            </w:r>
          </w:p>
        </w:tc>
      </w:tr>
    </w:tbl>
    <w:p>
      <w:pPr>
        <w:pStyle w:val="20"/>
        <w:jc w:val="center"/>
        <w:outlineLvl w:val="0"/>
        <w:rPr>
          <w:rFonts w:hint="eastAsia" w:ascii="黑体" w:hAnsi="黑体" w:eastAsia="黑体"/>
          <w:sz w:val="40"/>
          <w:szCs w:val="40"/>
        </w:rPr>
      </w:pPr>
      <w:r>
        <w:rPr>
          <w:rFonts w:hint="eastAsia" w:ascii="黑体" w:hAnsi="黑体" w:eastAsia="黑体"/>
          <w:sz w:val="40"/>
          <w:szCs w:val="40"/>
        </w:rPr>
        <w:t>评标信息</w:t>
      </w:r>
    </w:p>
    <w:p>
      <w:pPr>
        <w:spacing w:line="240" w:lineRule="auto"/>
        <w:ind w:firstLine="420"/>
        <w:rPr>
          <w:rFonts w:hint="eastAsia" w:ascii="宋体" w:hAnsi="宋体" w:eastAsia="宋体" w:cs="宋体"/>
          <w:b/>
          <w:bCs/>
          <w:sz w:val="21"/>
          <w:szCs w:val="21"/>
        </w:rPr>
      </w:pPr>
      <w:r>
        <w:rPr>
          <w:rFonts w:hint="eastAsia" w:ascii="宋体" w:hAnsi="宋体" w:eastAsia="宋体" w:cs="宋体"/>
          <w:b/>
          <w:bCs/>
          <w:sz w:val="21"/>
          <w:szCs w:val="21"/>
        </w:rPr>
        <w:t>评标方法：综合评分法</w:t>
      </w:r>
    </w:p>
    <w:p>
      <w:pPr>
        <w:spacing w:line="240" w:lineRule="auto"/>
        <w:ind w:firstLine="420"/>
        <w:rPr>
          <w:rFonts w:hint="eastAsia" w:ascii="宋体" w:hAnsi="宋体" w:eastAsia="宋体" w:cs="宋体"/>
          <w:sz w:val="21"/>
          <w:szCs w:val="21"/>
        </w:rPr>
      </w:pPr>
      <w:r>
        <w:rPr>
          <w:rFonts w:hint="eastAsia" w:ascii="宋体" w:hAnsi="宋体" w:eastAsia="宋体" w:cs="宋体"/>
          <w:sz w:val="21"/>
          <w:szCs w:val="21"/>
        </w:rPr>
        <w:t>综合评分法，是指投标文件满足招标文件全部实质性要求，且按照评审因素的量化指标评审得分排名前列的投标人为中标候选人的评标方法。</w:t>
      </w:r>
    </w:p>
    <w:p>
      <w:pPr>
        <w:spacing w:line="240" w:lineRule="auto"/>
        <w:ind w:firstLine="420"/>
        <w:rPr>
          <w:rFonts w:hint="eastAsia" w:ascii="宋体" w:hAnsi="宋体" w:eastAsia="宋体" w:cs="宋体"/>
          <w:sz w:val="21"/>
          <w:szCs w:val="21"/>
        </w:rPr>
      </w:pPr>
      <w:r>
        <w:rPr>
          <w:rFonts w:hint="eastAsia" w:ascii="宋体" w:hAnsi="宋体" w:eastAsia="宋体" w:cs="宋体"/>
          <w:sz w:val="21"/>
          <w:szCs w:val="21"/>
        </w:rPr>
        <w:t>价格分计算方法：</w:t>
      </w:r>
    </w:p>
    <w:p>
      <w:pPr>
        <w:pStyle w:val="20"/>
        <w:spacing w:beforeAutospacing="0" w:afterAutospacing="0" w:line="240" w:lineRule="auto"/>
        <w:ind w:left="420"/>
        <w:rPr>
          <w:rFonts w:hint="eastAsia" w:ascii="宋体" w:hAnsi="宋体" w:eastAsia="宋体" w:cs="宋体"/>
          <w:sz w:val="21"/>
          <w:szCs w:val="21"/>
        </w:rPr>
      </w:pPr>
      <w:r>
        <w:rPr>
          <w:rFonts w:hint="eastAsia" w:ascii="宋体" w:hAnsi="宋体" w:eastAsia="宋体" w:cs="宋体"/>
          <w:sz w:val="21"/>
          <w:szCs w:val="21"/>
        </w:rPr>
        <w:t xml:space="preserve">采用低价优先法计算，即满足招标文件要求且投标价格最低的投标报价为评标基准价，其价格分为满分。其他投标人的价格分统一按照下列公式计算： </w:t>
      </w:r>
    </w:p>
    <w:p>
      <w:pPr>
        <w:pStyle w:val="20"/>
        <w:spacing w:beforeAutospacing="0" w:afterAutospacing="0" w:line="240" w:lineRule="auto"/>
        <w:ind w:left="420"/>
        <w:rPr>
          <w:rFonts w:hint="eastAsia" w:ascii="宋体" w:hAnsi="宋体" w:eastAsia="宋体" w:cs="宋体"/>
          <w:sz w:val="21"/>
          <w:szCs w:val="21"/>
        </w:rPr>
      </w:pPr>
      <w:r>
        <w:rPr>
          <w:rFonts w:hint="eastAsia" w:ascii="宋体" w:hAnsi="宋体" w:eastAsia="宋体" w:cs="宋体"/>
          <w:sz w:val="21"/>
          <w:szCs w:val="21"/>
        </w:rPr>
        <w:t>投标报价得分=</w:t>
      </w:r>
      <w:r>
        <w:rPr>
          <w:rFonts w:hint="eastAsia" w:ascii="宋体" w:hAnsi="宋体" w:eastAsia="宋体" w:cs="宋体"/>
          <w:sz w:val="21"/>
          <w:szCs w:val="21"/>
          <w:lang w:eastAsia="zh-CN"/>
        </w:rPr>
        <w:t>（</w:t>
      </w:r>
      <w:r>
        <w:rPr>
          <w:rFonts w:hint="eastAsia" w:ascii="宋体" w:hAnsi="宋体" w:eastAsia="宋体" w:cs="宋体"/>
          <w:sz w:val="21"/>
          <w:szCs w:val="21"/>
        </w:rPr>
        <w:t>评标基准价／投标报价</w:t>
      </w:r>
      <w:r>
        <w:rPr>
          <w:rFonts w:hint="eastAsia" w:ascii="宋体" w:hAnsi="宋体" w:eastAsia="宋体" w:cs="宋体"/>
          <w:sz w:val="21"/>
          <w:szCs w:val="21"/>
          <w:lang w:eastAsia="zh-CN"/>
        </w:rPr>
        <w:t>）</w:t>
      </w:r>
      <w:r>
        <w:rPr>
          <w:rFonts w:hint="eastAsia" w:ascii="宋体" w:hAnsi="宋体" w:eastAsia="宋体" w:cs="宋体"/>
          <w:sz w:val="21"/>
          <w:szCs w:val="21"/>
        </w:rPr>
        <w:t xml:space="preserve">×100 </w:t>
      </w:r>
    </w:p>
    <w:p>
      <w:pPr>
        <w:pStyle w:val="20"/>
        <w:spacing w:beforeAutospacing="0" w:afterAutospacing="0" w:line="240" w:lineRule="auto"/>
        <w:ind w:left="420"/>
        <w:rPr>
          <w:rFonts w:hint="eastAsia" w:ascii="宋体" w:hAnsi="宋体" w:eastAsia="宋体" w:cs="宋体"/>
          <w:sz w:val="21"/>
          <w:szCs w:val="21"/>
        </w:rPr>
      </w:pPr>
      <w:r>
        <w:rPr>
          <w:rFonts w:hint="eastAsia" w:ascii="宋体" w:hAnsi="宋体" w:eastAsia="宋体" w:cs="宋体"/>
          <w:sz w:val="21"/>
          <w:szCs w:val="21"/>
        </w:rPr>
        <w:t xml:space="preserve">评标总得分＝F1×A1＋F2×A2＋……＋Fn×An </w:t>
      </w:r>
    </w:p>
    <w:p>
      <w:pPr>
        <w:pStyle w:val="20"/>
        <w:spacing w:beforeAutospacing="0" w:afterAutospacing="0" w:line="240" w:lineRule="auto"/>
        <w:ind w:left="420"/>
        <w:rPr>
          <w:rFonts w:hint="eastAsia" w:ascii="宋体" w:hAnsi="宋体" w:eastAsia="宋体" w:cs="宋体"/>
          <w:sz w:val="21"/>
          <w:szCs w:val="21"/>
        </w:rPr>
      </w:pPr>
      <w:r>
        <w:rPr>
          <w:rFonts w:hint="eastAsia" w:ascii="宋体" w:hAnsi="宋体" w:eastAsia="宋体" w:cs="宋体"/>
          <w:sz w:val="21"/>
          <w:szCs w:val="21"/>
        </w:rPr>
        <w:t xml:space="preserve">F1、F2……Fn分别为各项评审因素的得分； </w:t>
      </w:r>
    </w:p>
    <w:p>
      <w:pPr>
        <w:pStyle w:val="20"/>
        <w:spacing w:beforeAutospacing="0" w:afterAutospacing="0" w:line="240" w:lineRule="auto"/>
        <w:ind w:left="420"/>
        <w:rPr>
          <w:rFonts w:hint="eastAsia" w:ascii="宋体" w:hAnsi="宋体" w:eastAsia="宋体" w:cs="宋体"/>
          <w:sz w:val="21"/>
          <w:szCs w:val="21"/>
        </w:rPr>
      </w:pPr>
      <w:r>
        <w:rPr>
          <w:rFonts w:hint="eastAsia" w:ascii="宋体" w:hAnsi="宋体" w:eastAsia="宋体" w:cs="宋体"/>
          <w:sz w:val="21"/>
          <w:szCs w:val="21"/>
        </w:rPr>
        <w:t>A1、A2、……An 分别为各项评审因素所占的权重</w:t>
      </w:r>
      <w:r>
        <w:rPr>
          <w:rFonts w:hint="eastAsia" w:ascii="宋体" w:hAnsi="宋体" w:eastAsia="宋体" w:cs="宋体"/>
          <w:sz w:val="21"/>
          <w:szCs w:val="21"/>
          <w:lang w:eastAsia="zh-CN"/>
        </w:rPr>
        <w:t>（</w:t>
      </w:r>
      <w:r>
        <w:rPr>
          <w:rFonts w:hint="eastAsia" w:ascii="宋体" w:hAnsi="宋体" w:eastAsia="宋体" w:cs="宋体"/>
          <w:sz w:val="21"/>
          <w:szCs w:val="21"/>
        </w:rPr>
        <w:t>A1＋A2＋……＋An＝1</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pStyle w:val="20"/>
        <w:spacing w:beforeAutospacing="0" w:afterAutospacing="0"/>
        <w:ind w:left="420"/>
        <w:jc w:val="left"/>
        <w:outlineLvl w:val="9"/>
        <w:rPr>
          <w:rFonts w:hint="eastAsia" w:ascii="宋体" w:hAnsi="宋体" w:eastAsia="宋体" w:cs="宋体"/>
          <w:sz w:val="21"/>
          <w:szCs w:val="21"/>
        </w:rPr>
      </w:pPr>
      <w:r>
        <w:rPr>
          <w:rFonts w:hint="eastAsia" w:ascii="宋体" w:hAnsi="宋体" w:eastAsia="宋体" w:cs="宋体"/>
          <w:sz w:val="21"/>
          <w:szCs w:val="21"/>
        </w:rPr>
        <w:t>评标过程中，不得去掉报价中的最高报价和最低报价。</w:t>
      </w:r>
    </w:p>
    <w:p>
      <w:pPr>
        <w:pStyle w:val="20"/>
        <w:spacing w:beforeAutospacing="0" w:afterAutospacing="0"/>
        <w:ind w:left="420"/>
        <w:jc w:val="left"/>
        <w:outlineLvl w:val="9"/>
        <w:rPr>
          <w:rFonts w:hint="eastAsia" w:ascii="黑体" w:hAnsi="黑体" w:eastAsia="黑体"/>
          <w:sz w:val="40"/>
          <w:szCs w:val="40"/>
        </w:rPr>
      </w:pPr>
      <w:r>
        <w:rPr>
          <w:rFonts w:hint="eastAsia" w:ascii="宋体" w:hAnsi="宋体" w:eastAsia="宋体" w:cs="宋体"/>
          <w:sz w:val="21"/>
          <w:szCs w:val="21"/>
        </w:rPr>
        <w:t>因落实政府采购政策进行价格调整的，以调整后的价格计算评标基准价和投标报价。</w:t>
      </w:r>
    </w:p>
    <w:tbl>
      <w:tblPr>
        <w:tblStyle w:val="23"/>
        <w:tblW w:w="9365" w:type="dxa"/>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24"/>
        <w:gridCol w:w="681"/>
        <w:gridCol w:w="19"/>
        <w:gridCol w:w="2689"/>
        <w:gridCol w:w="827"/>
        <w:gridCol w:w="4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4216" w:type="dxa"/>
            <w:gridSpan w:val="4"/>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4425"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rHeight w:val="90" w:hRule="atLeast"/>
          <w:tblCellSpacing w:w="0" w:type="dxa"/>
          <w:jc w:val="center"/>
        </w:trPr>
        <w:tc>
          <w:tcPr>
            <w:tcW w:w="724" w:type="dxa"/>
            <w:vMerge w:val="restart"/>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w:t>
            </w:r>
          </w:p>
        </w:tc>
        <w:tc>
          <w:tcPr>
            <w:tcW w:w="4216"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4425"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8641" w:type="dxa"/>
            <w:gridSpan w:val="5"/>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restart"/>
            <w:tcBorders>
              <w:top w:val="single" w:color="000000" w:sz="8" w:space="0"/>
              <w:left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bookmarkStart w:id="4" w:name="OLE_LINK4" w:colFirst="0" w:colLast="4"/>
            <w:r>
              <w:rPr>
                <w:rFonts w:hint="eastAsia" w:ascii="宋体" w:hAnsi="宋体" w:eastAsia="宋体" w:cs="宋体"/>
                <w:b/>
                <w:bCs/>
                <w:color w:val="0000FF"/>
                <w:sz w:val="21"/>
                <w:szCs w:val="21"/>
                <w:highlight w:val="none"/>
                <w:lang w:eastAsia="zh-CN"/>
              </w:rPr>
              <w:t>2</w:t>
            </w:r>
          </w:p>
        </w:tc>
        <w:tc>
          <w:tcPr>
            <w:tcW w:w="4216"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lang w:eastAsia="zh-CN"/>
              </w:rPr>
            </w:pPr>
            <w:r>
              <w:rPr>
                <w:rFonts w:hint="eastAsia" w:ascii="宋体" w:hAnsi="宋体" w:eastAsia="宋体" w:cs="宋体"/>
                <w:b/>
                <w:bCs/>
                <w:color w:val="0000FF"/>
                <w:sz w:val="21"/>
                <w:szCs w:val="21"/>
                <w:highlight w:val="none"/>
                <w:lang w:eastAsia="zh-CN"/>
              </w:rPr>
              <w:t>商务部分</w:t>
            </w:r>
          </w:p>
        </w:tc>
        <w:tc>
          <w:tcPr>
            <w:tcW w:w="4425"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8641" w:type="dxa"/>
            <w:gridSpan w:val="5"/>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shd w:val="clear" w:color="auto" w:fill="E6EFFA"/>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708"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8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val="0"/>
                <w:bCs w:val="0"/>
                <w:color w:val="auto"/>
                <w:sz w:val="21"/>
                <w:szCs w:val="21"/>
                <w:highlight w:val="none"/>
              </w:rPr>
              <w:t>权重</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w:t>
            </w:r>
          </w:p>
        </w:tc>
        <w:tc>
          <w:tcPr>
            <w:tcW w:w="44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bookmarkStart w:id="5" w:name="OLE_LINK5" w:colFirst="2" w:colLast="2"/>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eastAsia="宋体"/>
                <w:szCs w:val="24"/>
              </w:rPr>
              <w:t>认证情况</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7</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1）投标人具有食品安全管理体系认证证书得1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2）投标人具有环境管理体系认证证书得1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3）投标人具有职业健康安全管理体系认证证书得1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4）投标人具有危害分析与关键控制点体系认证证书得1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5）投标人具有能源体系管理认证证书得1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6）投标人具有客户投诉管理体系认证证书得1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7）投标人具有供应商综合实力评价认证证书得1</w:t>
            </w:r>
            <w:r>
              <w:rPr>
                <w:rFonts w:hint="eastAsia"/>
                <w:szCs w:val="24"/>
                <w:lang w:val="en-US" w:eastAsia="zh-CN"/>
              </w:rPr>
              <w:t>5</w:t>
            </w:r>
            <w:r>
              <w:rPr>
                <w:rFonts w:hint="eastAsia" w:eastAsia="宋体"/>
                <w:szCs w:val="24"/>
                <w:lang w:val="en-US" w:eastAsia="zh-CN"/>
              </w:rPr>
              <w:t>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以上最高得100分。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b/>
                <w:bCs/>
                <w:szCs w:val="24"/>
                <w:lang w:val="en-US" w:eastAsia="zh-CN"/>
              </w:rPr>
            </w:pPr>
            <w:r>
              <w:rPr>
                <w:rFonts w:hint="eastAsia" w:eastAsia="宋体"/>
                <w:b/>
                <w:bCs/>
                <w:szCs w:val="24"/>
                <w:lang w:val="en-US" w:eastAsia="zh-CN"/>
              </w:rPr>
              <w:t>评审依据：</w:t>
            </w:r>
          </w:p>
          <w:p>
            <w:pPr>
              <w:keepNext w:val="0"/>
              <w:keepLines w:val="0"/>
              <w:pageBreakBefore w:val="0"/>
              <w:widowControl/>
              <w:numPr>
                <w:ilvl w:val="-1"/>
                <w:numId w:val="0"/>
              </w:numPr>
              <w:kinsoku/>
              <w:overflowPunct/>
              <w:topLinePunct w:val="0"/>
              <w:autoSpaceDE/>
              <w:autoSpaceDN/>
              <w:bidi w:val="0"/>
              <w:adjustRightInd/>
              <w:snapToGrid/>
              <w:spacing w:line="264" w:lineRule="auto"/>
              <w:ind w:left="0" w:leftChars="0" w:firstLine="0" w:firstLineChars="0"/>
              <w:jc w:val="left"/>
              <w:textAlignment w:val="auto"/>
              <w:rPr>
                <w:rFonts w:hint="eastAsia" w:eastAsia="宋体"/>
                <w:szCs w:val="24"/>
                <w:lang w:val="en-US" w:eastAsia="zh-CN"/>
              </w:rPr>
            </w:pPr>
            <w:r>
              <w:rPr>
                <w:rFonts w:hint="eastAsia" w:eastAsia="宋体"/>
                <w:szCs w:val="24"/>
                <w:lang w:val="en-US" w:eastAsia="zh-CN"/>
              </w:rPr>
              <w:t>投标人提供有效期内的认证证书扫描件，</w:t>
            </w:r>
            <w:r>
              <w:rPr>
                <w:rFonts w:hint="eastAsia" w:ascii="宋体" w:hAnsi="宋体" w:eastAsia="宋体" w:cs="宋体"/>
                <w:sz w:val="21"/>
                <w:szCs w:val="21"/>
                <w:lang w:val="en-US" w:eastAsia="zh-CN"/>
              </w:rPr>
              <w:t>且还需同时提供相关认证证书在全国认证认可信息公共服务平台（认e云）（http://cx.cnca.cn/CertECloud/index/index/page）查询有效的截图</w:t>
            </w:r>
            <w:r>
              <w:rPr>
                <w:rFonts w:hint="eastAsia" w:eastAsia="宋体"/>
                <w:szCs w:val="24"/>
                <w:lang w:val="en-US" w:eastAsia="zh-CN"/>
              </w:rPr>
              <w:t>。</w:t>
            </w:r>
          </w:p>
          <w:p>
            <w:pPr>
              <w:keepNext w:val="0"/>
              <w:keepLines w:val="0"/>
              <w:pageBreakBefore w:val="0"/>
              <w:widowControl/>
              <w:numPr>
                <w:ilvl w:val="-1"/>
                <w:numId w:val="0"/>
              </w:numPr>
              <w:kinsoku/>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eastAsia="宋体"/>
                <w:szCs w:val="24"/>
              </w:rPr>
              <w:t>同类项目业绩</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5</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考察投标人2022年1月1日至本项目投标截止日（以合同签订日期为准），承担过行政机关或事业单位食堂承包或食堂运营项目业绩经验，每1个得20分，最高得100分。</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b/>
                <w:bCs/>
                <w:szCs w:val="24"/>
                <w:lang w:val="en-US" w:eastAsia="zh-CN"/>
              </w:rPr>
            </w:pPr>
            <w:r>
              <w:rPr>
                <w:rFonts w:hint="eastAsia" w:eastAsia="宋体"/>
                <w:b/>
                <w:bCs/>
                <w:szCs w:val="24"/>
                <w:lang w:val="en-US" w:eastAsia="zh-CN"/>
              </w:rPr>
              <w:t>评审依据：</w:t>
            </w:r>
          </w:p>
          <w:p>
            <w:pPr>
              <w:keepNext w:val="0"/>
              <w:keepLines w:val="0"/>
              <w:pageBreakBefore w:val="0"/>
              <w:widowControl/>
              <w:numPr>
                <w:ilvl w:val="0"/>
                <w:numId w:val="0"/>
              </w:numPr>
              <w:kinsoku/>
              <w:overflowPunct/>
              <w:topLinePunct w:val="0"/>
              <w:autoSpaceDE/>
              <w:autoSpaceDN/>
              <w:bidi w:val="0"/>
              <w:adjustRightInd/>
              <w:snapToGrid/>
              <w:spacing w:line="264" w:lineRule="auto"/>
              <w:jc w:val="left"/>
              <w:textAlignment w:val="auto"/>
              <w:rPr>
                <w:rFonts w:hint="eastAsia" w:eastAsia="宋体"/>
                <w:szCs w:val="24"/>
                <w:lang w:val="en-US" w:eastAsia="zh-CN"/>
              </w:rPr>
            </w:pPr>
            <w:r>
              <w:rPr>
                <w:rFonts w:hint="eastAsia" w:eastAsia="宋体"/>
                <w:szCs w:val="24"/>
                <w:lang w:val="en-US" w:eastAsia="zh-CN"/>
              </w:rPr>
              <w:t>投标人提供合同关键信息</w:t>
            </w:r>
            <w:r>
              <w:rPr>
                <w:rFonts w:hint="eastAsia"/>
              </w:rPr>
              <w:t>（关键信息包括但不仅限于合同的项目名称、服务内容、合同服务的起止时间、签订日期等）</w:t>
            </w:r>
            <w:r>
              <w:rPr>
                <w:rFonts w:hint="eastAsia" w:eastAsia="宋体"/>
                <w:szCs w:val="24"/>
                <w:lang w:val="en-US" w:eastAsia="zh-CN"/>
              </w:rPr>
              <w:t>扫描件。</w:t>
            </w:r>
          </w:p>
          <w:p>
            <w:pPr>
              <w:keepNext w:val="0"/>
              <w:keepLines w:val="0"/>
              <w:pageBreakBefore w:val="0"/>
              <w:widowControl/>
              <w:numPr>
                <w:ilvl w:val="-1"/>
                <w:numId w:val="0"/>
              </w:numPr>
              <w:kinsoku/>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eastAsia="宋体"/>
                <w:szCs w:val="24"/>
              </w:rPr>
              <w:t>食品保险</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cs="宋体"/>
                <w:kern w:val="2"/>
                <w:sz w:val="21"/>
                <w:szCs w:val="21"/>
                <w:lang w:val="en-US" w:eastAsia="zh-CN"/>
              </w:rPr>
              <w:t>5</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1.投标人购买相关食品安全责任险【保险购买时间在本项目投标截止日之前，且投标截止日包含在保险合同（或保险单）的保险期间内】</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1）年度累计赔偿限额</w:t>
            </w:r>
            <w:r>
              <w:rPr>
                <w:rFonts w:hint="eastAsia" w:eastAsia="宋体"/>
                <w:szCs w:val="24"/>
                <w:lang w:val="en-US" w:eastAsia="zh-CN"/>
              </w:rPr>
              <w:t>3亿</w:t>
            </w:r>
            <w:r>
              <w:rPr>
                <w:rFonts w:hint="eastAsia" w:eastAsia="宋体"/>
                <w:szCs w:val="24"/>
              </w:rPr>
              <w:t>元及以上得</w:t>
            </w:r>
            <w:r>
              <w:rPr>
                <w:rFonts w:hint="eastAsia" w:eastAsia="宋体"/>
                <w:szCs w:val="24"/>
                <w:lang w:val="en-US" w:eastAsia="zh-CN"/>
              </w:rPr>
              <w:t>50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2）2</w:t>
            </w:r>
            <w:r>
              <w:rPr>
                <w:rFonts w:hint="eastAsia" w:eastAsia="宋体"/>
                <w:szCs w:val="24"/>
                <w:lang w:val="en-US" w:eastAsia="zh-CN"/>
              </w:rPr>
              <w:t>亿</w:t>
            </w:r>
            <w:r>
              <w:rPr>
                <w:rFonts w:hint="eastAsia" w:eastAsia="宋体"/>
                <w:szCs w:val="24"/>
              </w:rPr>
              <w:t>元≤年度累计赔偿限额＜3</w:t>
            </w:r>
            <w:r>
              <w:rPr>
                <w:rFonts w:hint="eastAsia" w:eastAsia="宋体"/>
                <w:szCs w:val="24"/>
                <w:lang w:val="en-US" w:eastAsia="zh-CN"/>
              </w:rPr>
              <w:t>亿</w:t>
            </w:r>
            <w:r>
              <w:rPr>
                <w:rFonts w:hint="eastAsia" w:eastAsia="宋体"/>
                <w:szCs w:val="24"/>
              </w:rPr>
              <w:t>元得</w:t>
            </w:r>
            <w:r>
              <w:rPr>
                <w:rFonts w:hint="eastAsia" w:eastAsia="宋体"/>
                <w:szCs w:val="24"/>
                <w:lang w:val="en-US" w:eastAsia="zh-CN"/>
              </w:rPr>
              <w:t>30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3）1</w:t>
            </w:r>
            <w:r>
              <w:rPr>
                <w:rFonts w:hint="eastAsia" w:eastAsia="宋体"/>
                <w:szCs w:val="24"/>
                <w:lang w:val="en-US" w:eastAsia="zh-CN"/>
              </w:rPr>
              <w:t>亿</w:t>
            </w:r>
            <w:r>
              <w:rPr>
                <w:rFonts w:hint="eastAsia" w:eastAsia="宋体"/>
                <w:szCs w:val="24"/>
              </w:rPr>
              <w:t>元≤年度累计赔偿限额＜2</w:t>
            </w:r>
            <w:r>
              <w:rPr>
                <w:rFonts w:hint="eastAsia" w:eastAsia="宋体"/>
                <w:szCs w:val="24"/>
                <w:lang w:val="en-US" w:eastAsia="zh-CN"/>
              </w:rPr>
              <w:t>亿</w:t>
            </w:r>
            <w:r>
              <w:rPr>
                <w:rFonts w:hint="eastAsia" w:eastAsia="宋体"/>
                <w:szCs w:val="24"/>
              </w:rPr>
              <w:t>元得</w:t>
            </w:r>
            <w:r>
              <w:rPr>
                <w:rFonts w:hint="eastAsia" w:eastAsia="宋体"/>
                <w:szCs w:val="24"/>
                <w:lang w:val="en-US" w:eastAsia="zh-CN"/>
              </w:rPr>
              <w:t>10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4）1</w:t>
            </w:r>
            <w:r>
              <w:rPr>
                <w:rFonts w:hint="eastAsia" w:eastAsia="宋体"/>
                <w:szCs w:val="24"/>
                <w:lang w:val="en-US" w:eastAsia="zh-CN"/>
              </w:rPr>
              <w:t>亿</w:t>
            </w:r>
            <w:r>
              <w:rPr>
                <w:rFonts w:hint="eastAsia" w:eastAsia="宋体"/>
                <w:szCs w:val="24"/>
              </w:rPr>
              <w:t>元＜年度累计赔偿限额，不得分。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以上不累计得分，本小项最高得50分。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2.投标人购买相关公众责任险【保险购买时间在本项目投标截止日之前，且投标截止日包含在保险合同（或保险单）的保险期间内】</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1）年度累计赔偿限额</w:t>
            </w:r>
            <w:r>
              <w:rPr>
                <w:rFonts w:hint="eastAsia" w:eastAsia="宋体"/>
                <w:szCs w:val="24"/>
                <w:lang w:val="en-US" w:eastAsia="zh-CN"/>
              </w:rPr>
              <w:t>3亿</w:t>
            </w:r>
            <w:r>
              <w:rPr>
                <w:rFonts w:hint="eastAsia" w:eastAsia="宋体"/>
                <w:szCs w:val="24"/>
              </w:rPr>
              <w:t>元及以上得</w:t>
            </w:r>
            <w:r>
              <w:rPr>
                <w:rFonts w:hint="eastAsia" w:eastAsia="宋体"/>
                <w:szCs w:val="24"/>
                <w:lang w:val="en-US" w:eastAsia="zh-CN"/>
              </w:rPr>
              <w:t>50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2）2</w:t>
            </w:r>
            <w:r>
              <w:rPr>
                <w:rFonts w:hint="eastAsia" w:eastAsia="宋体"/>
                <w:szCs w:val="24"/>
                <w:lang w:val="en-US" w:eastAsia="zh-CN"/>
              </w:rPr>
              <w:t>亿</w:t>
            </w:r>
            <w:r>
              <w:rPr>
                <w:rFonts w:hint="eastAsia" w:eastAsia="宋体"/>
                <w:szCs w:val="24"/>
              </w:rPr>
              <w:t>元≤年度累计赔偿限额＜3</w:t>
            </w:r>
            <w:r>
              <w:rPr>
                <w:rFonts w:hint="eastAsia" w:eastAsia="宋体"/>
                <w:szCs w:val="24"/>
                <w:lang w:val="en-US" w:eastAsia="zh-CN"/>
              </w:rPr>
              <w:t>亿</w:t>
            </w:r>
            <w:r>
              <w:rPr>
                <w:rFonts w:hint="eastAsia" w:eastAsia="宋体"/>
                <w:szCs w:val="24"/>
              </w:rPr>
              <w:t>元得</w:t>
            </w:r>
            <w:r>
              <w:rPr>
                <w:rFonts w:hint="eastAsia" w:eastAsia="宋体"/>
                <w:szCs w:val="24"/>
                <w:lang w:val="en-US" w:eastAsia="zh-CN"/>
              </w:rPr>
              <w:t>30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3）1</w:t>
            </w:r>
            <w:r>
              <w:rPr>
                <w:rFonts w:hint="eastAsia" w:eastAsia="宋体"/>
                <w:szCs w:val="24"/>
                <w:lang w:val="en-US" w:eastAsia="zh-CN"/>
              </w:rPr>
              <w:t>亿</w:t>
            </w:r>
            <w:r>
              <w:rPr>
                <w:rFonts w:hint="eastAsia" w:eastAsia="宋体"/>
                <w:szCs w:val="24"/>
              </w:rPr>
              <w:t>元≤年度累计赔偿限额＜2</w:t>
            </w:r>
            <w:r>
              <w:rPr>
                <w:rFonts w:hint="eastAsia" w:eastAsia="宋体"/>
                <w:szCs w:val="24"/>
                <w:lang w:val="en-US" w:eastAsia="zh-CN"/>
              </w:rPr>
              <w:t>亿</w:t>
            </w:r>
            <w:r>
              <w:rPr>
                <w:rFonts w:hint="eastAsia" w:eastAsia="宋体"/>
                <w:szCs w:val="24"/>
              </w:rPr>
              <w:t>元得</w:t>
            </w:r>
            <w:r>
              <w:rPr>
                <w:rFonts w:hint="eastAsia" w:eastAsia="宋体"/>
                <w:szCs w:val="24"/>
                <w:lang w:val="en-US" w:eastAsia="zh-CN"/>
              </w:rPr>
              <w:t>10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4）1</w:t>
            </w:r>
            <w:r>
              <w:rPr>
                <w:rFonts w:hint="eastAsia" w:eastAsia="宋体"/>
                <w:szCs w:val="24"/>
                <w:lang w:val="en-US" w:eastAsia="zh-CN"/>
              </w:rPr>
              <w:t>亿</w:t>
            </w:r>
            <w:r>
              <w:rPr>
                <w:rFonts w:hint="eastAsia" w:eastAsia="宋体"/>
                <w:szCs w:val="24"/>
              </w:rPr>
              <w:t>元＜年度累计赔偿限额，不得分。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以上不累计得分，本小项最高得50分。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评审依据：</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提供保险合同或保险单关键页（包括投标人、投保内容、保额）及保费发票，有效期涵盖本项目投标截止日期。</w:t>
            </w:r>
          </w:p>
          <w:p>
            <w:pPr>
              <w:keepNext w:val="0"/>
              <w:keepLines w:val="0"/>
              <w:pageBreakBefore w:val="0"/>
              <w:kinsoku/>
              <w:overflowPunct/>
              <w:topLinePunct w:val="0"/>
              <w:autoSpaceDE/>
              <w:autoSpaceDN/>
              <w:bidi w:val="0"/>
              <w:adjustRightInd/>
              <w:snapToGrid/>
              <w:spacing w:line="264"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default" w:ascii="宋体" w:hAnsi="宋体" w:eastAsia="宋体" w:cs="宋体"/>
                <w:sz w:val="21"/>
                <w:szCs w:val="21"/>
                <w:highlight w:val="none"/>
                <w:lang w:val="en-US" w:eastAsia="zh-CN"/>
              </w:rPr>
            </w:pPr>
            <w:r>
              <w:rPr>
                <w:rFonts w:hint="eastAsia" w:eastAsia="宋体"/>
                <w:szCs w:val="24"/>
                <w:lang w:val="en-US" w:eastAsia="zh-CN"/>
              </w:rPr>
              <w:t>荣誉情况</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12</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lang w:val="en-US" w:eastAsia="zh-CN"/>
              </w:rPr>
              <w:t>投标人</w:t>
            </w:r>
            <w:r>
              <w:rPr>
                <w:rFonts w:hint="eastAsia" w:eastAsia="宋体"/>
                <w:szCs w:val="24"/>
              </w:rPr>
              <w:t>2019年1月1日至今获得政府</w:t>
            </w:r>
            <w:r>
              <w:rPr>
                <w:rFonts w:hint="eastAsia" w:eastAsia="宋体"/>
                <w:szCs w:val="24"/>
                <w:lang w:val="en-US" w:eastAsia="zh-CN"/>
              </w:rPr>
              <w:t>或行政</w:t>
            </w:r>
            <w:r>
              <w:rPr>
                <w:rFonts w:hint="eastAsia" w:eastAsia="宋体"/>
                <w:szCs w:val="24"/>
              </w:rPr>
              <w:t>部门</w:t>
            </w:r>
            <w:r>
              <w:rPr>
                <w:rFonts w:hint="eastAsia" w:eastAsia="宋体"/>
                <w:szCs w:val="24"/>
                <w:lang w:val="en-US" w:eastAsia="zh-CN"/>
              </w:rPr>
              <w:t>颁发的</w:t>
            </w:r>
            <w:r>
              <w:rPr>
                <w:rFonts w:hint="eastAsia"/>
                <w:szCs w:val="24"/>
              </w:rPr>
              <w:t>食品类或农业类</w:t>
            </w:r>
            <w:r>
              <w:rPr>
                <w:rFonts w:hint="eastAsia" w:eastAsia="宋体"/>
                <w:szCs w:val="24"/>
              </w:rPr>
              <w:t>相关荣誉的，</w:t>
            </w:r>
            <w:r>
              <w:rPr>
                <w:rFonts w:hint="eastAsia" w:eastAsia="宋体"/>
                <w:szCs w:val="24"/>
                <w:lang w:val="en-US" w:eastAsia="zh-CN"/>
              </w:rPr>
              <w:t>每提供一个</w:t>
            </w:r>
            <w:r>
              <w:rPr>
                <w:rFonts w:hint="eastAsia" w:eastAsia="宋体"/>
                <w:szCs w:val="24"/>
              </w:rPr>
              <w:t>省级</w:t>
            </w:r>
            <w:r>
              <w:rPr>
                <w:rFonts w:hint="eastAsia" w:eastAsia="宋体"/>
                <w:szCs w:val="24"/>
                <w:lang w:val="en-US" w:eastAsia="zh-CN"/>
              </w:rPr>
              <w:t>或以上奖项</w:t>
            </w:r>
            <w:r>
              <w:rPr>
                <w:rFonts w:hint="eastAsia" w:eastAsia="宋体"/>
                <w:szCs w:val="24"/>
              </w:rPr>
              <w:t>得</w:t>
            </w:r>
            <w:r>
              <w:rPr>
                <w:rFonts w:hint="eastAsia" w:eastAsia="宋体"/>
                <w:szCs w:val="24"/>
                <w:lang w:val="en-US" w:eastAsia="zh-CN"/>
              </w:rPr>
              <w:t>40</w:t>
            </w:r>
            <w:r>
              <w:rPr>
                <w:rFonts w:hint="eastAsia" w:eastAsia="宋体"/>
                <w:szCs w:val="24"/>
              </w:rPr>
              <w:t>分，</w:t>
            </w:r>
            <w:r>
              <w:rPr>
                <w:rFonts w:hint="eastAsia" w:eastAsia="宋体"/>
                <w:szCs w:val="24"/>
                <w:lang w:val="en-US" w:eastAsia="zh-CN"/>
              </w:rPr>
              <w:t>每提供一个</w:t>
            </w:r>
            <w:r>
              <w:rPr>
                <w:rFonts w:hint="eastAsia" w:eastAsia="宋体"/>
                <w:szCs w:val="24"/>
              </w:rPr>
              <w:t>市级</w:t>
            </w:r>
            <w:r>
              <w:rPr>
                <w:rFonts w:hint="eastAsia" w:eastAsia="宋体"/>
                <w:szCs w:val="24"/>
                <w:lang w:val="en-US" w:eastAsia="zh-CN"/>
              </w:rPr>
              <w:t>奖项</w:t>
            </w:r>
            <w:r>
              <w:rPr>
                <w:rFonts w:hint="eastAsia" w:eastAsia="宋体"/>
                <w:szCs w:val="24"/>
              </w:rPr>
              <w:t>得</w:t>
            </w:r>
            <w:r>
              <w:rPr>
                <w:rFonts w:hint="eastAsia"/>
                <w:szCs w:val="24"/>
                <w:lang w:val="en-US" w:eastAsia="zh-CN"/>
              </w:rPr>
              <w:t>3</w:t>
            </w:r>
            <w:r>
              <w:rPr>
                <w:rFonts w:hint="eastAsia" w:eastAsia="宋体"/>
                <w:szCs w:val="24"/>
                <w:lang w:val="en-US" w:eastAsia="zh-CN"/>
              </w:rPr>
              <w:t>0</w:t>
            </w:r>
            <w:r>
              <w:rPr>
                <w:rFonts w:hint="eastAsia" w:eastAsia="宋体"/>
                <w:szCs w:val="24"/>
              </w:rPr>
              <w:t>分</w:t>
            </w:r>
            <w:r>
              <w:rPr>
                <w:rFonts w:hint="eastAsia" w:eastAsia="宋体"/>
                <w:szCs w:val="24"/>
                <w:lang w:eastAsia="zh-CN"/>
              </w:rPr>
              <w:t>，</w:t>
            </w:r>
            <w:r>
              <w:rPr>
                <w:rFonts w:hint="eastAsia" w:eastAsia="宋体"/>
                <w:szCs w:val="24"/>
                <w:lang w:val="en-US" w:eastAsia="zh-CN"/>
              </w:rPr>
              <w:t>每提供一个区</w:t>
            </w:r>
            <w:r>
              <w:rPr>
                <w:rFonts w:hint="eastAsia" w:eastAsia="宋体"/>
                <w:szCs w:val="24"/>
              </w:rPr>
              <w:t>级</w:t>
            </w:r>
            <w:r>
              <w:rPr>
                <w:rFonts w:hint="eastAsia" w:eastAsia="宋体"/>
                <w:szCs w:val="24"/>
                <w:lang w:val="en-US" w:eastAsia="zh-CN"/>
              </w:rPr>
              <w:t>奖项</w:t>
            </w:r>
            <w:r>
              <w:rPr>
                <w:rFonts w:hint="eastAsia" w:eastAsia="宋体"/>
                <w:szCs w:val="24"/>
              </w:rPr>
              <w:t>得</w:t>
            </w:r>
            <w:r>
              <w:rPr>
                <w:rFonts w:hint="eastAsia" w:eastAsia="宋体"/>
                <w:szCs w:val="24"/>
                <w:lang w:val="en-US" w:eastAsia="zh-CN"/>
              </w:rPr>
              <w:t>10</w:t>
            </w:r>
            <w:r>
              <w:rPr>
                <w:rFonts w:hint="eastAsia" w:eastAsia="宋体"/>
                <w:szCs w:val="24"/>
              </w:rPr>
              <w:t>分</w:t>
            </w:r>
            <w:r>
              <w:rPr>
                <w:rFonts w:hint="eastAsia" w:eastAsia="宋体"/>
                <w:szCs w:val="24"/>
                <w:lang w:eastAsia="zh-CN"/>
              </w:rPr>
              <w:t>，</w:t>
            </w:r>
            <w:r>
              <w:rPr>
                <w:rFonts w:hint="eastAsia" w:eastAsia="宋体"/>
                <w:szCs w:val="24"/>
              </w:rPr>
              <w:t>最高得</w:t>
            </w:r>
            <w:r>
              <w:rPr>
                <w:rFonts w:hint="eastAsia" w:eastAsia="宋体"/>
                <w:szCs w:val="24"/>
                <w:lang w:val="en-US" w:eastAsia="zh-CN"/>
              </w:rPr>
              <w:t>100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lang w:val="en-US" w:eastAsia="zh-CN"/>
              </w:rPr>
              <w:t>注：同一个</w:t>
            </w:r>
            <w:r>
              <w:rPr>
                <w:rFonts w:hint="eastAsia" w:eastAsia="宋体"/>
                <w:szCs w:val="24"/>
              </w:rPr>
              <w:t>奖项荣誉不得重复计分。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评审依据：</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eastAsia="宋体"/>
                <w:szCs w:val="24"/>
              </w:rPr>
            </w:pPr>
            <w:r>
              <w:rPr>
                <w:rFonts w:hint="eastAsia" w:eastAsia="宋体"/>
                <w:szCs w:val="24"/>
                <w:lang w:val="en-US" w:eastAsia="zh-CN"/>
              </w:rPr>
              <w:t>投标人</w:t>
            </w:r>
            <w:r>
              <w:rPr>
                <w:rFonts w:hint="eastAsia" w:eastAsia="宋体"/>
                <w:szCs w:val="24"/>
              </w:rPr>
              <w:t>提供</w:t>
            </w:r>
            <w:r>
              <w:rPr>
                <w:rFonts w:hint="eastAsia" w:eastAsia="宋体"/>
                <w:szCs w:val="24"/>
                <w:lang w:val="en-US" w:eastAsia="zh-CN"/>
              </w:rPr>
              <w:t>相关证书</w:t>
            </w:r>
            <w:r>
              <w:rPr>
                <w:rFonts w:hint="eastAsia"/>
                <w:szCs w:val="24"/>
                <w:lang w:val="en-US" w:eastAsia="zh-CN"/>
              </w:rPr>
              <w:t>扫描</w:t>
            </w:r>
            <w:r>
              <w:rPr>
                <w:rFonts w:hint="eastAsia" w:eastAsia="宋体"/>
                <w:szCs w:val="24"/>
                <w:lang w:val="en-US" w:eastAsia="zh-CN"/>
              </w:rPr>
              <w:t>件，</w:t>
            </w:r>
            <w:r>
              <w:rPr>
                <w:rFonts w:hint="eastAsia"/>
                <w:szCs w:val="24"/>
                <w:lang w:val="en-US" w:eastAsia="zh-CN"/>
              </w:rPr>
              <w:t>若证书不显示投标人名称或评审信息的，需提供相关部门官网查询截图或盖章证明文件等证明材料</w:t>
            </w:r>
            <w:r>
              <w:rPr>
                <w:rFonts w:hint="eastAsia" w:eastAsia="宋体"/>
                <w:szCs w:val="24"/>
              </w:rPr>
              <w:t>。</w:t>
            </w:r>
          </w:p>
          <w:p>
            <w:pPr>
              <w:pStyle w:val="59"/>
              <w:keepNext w:val="0"/>
              <w:keepLines w:val="0"/>
              <w:pageBreakBefore w:val="0"/>
              <w:kinsoku/>
              <w:overflowPunct/>
              <w:topLinePunct w:val="0"/>
              <w:autoSpaceDE/>
              <w:autoSpaceDN/>
              <w:bidi w:val="0"/>
              <w:adjustRightInd/>
              <w:snapToGrid/>
              <w:spacing w:line="264"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rightChars="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eastAsia="宋体"/>
                <w:szCs w:val="24"/>
                <w:lang w:val="en-US" w:eastAsia="zh-CN"/>
              </w:rPr>
              <w:t>经营能力</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5</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rPr>
              <w:t>对投标人经营食堂</w:t>
            </w:r>
            <w:r>
              <w:rPr>
                <w:rFonts w:hint="eastAsia" w:eastAsia="宋体"/>
                <w:szCs w:val="24"/>
                <w:lang w:eastAsia="zh-CN"/>
              </w:rPr>
              <w:t>的</w:t>
            </w:r>
            <w:r>
              <w:rPr>
                <w:rFonts w:hint="eastAsia" w:eastAsia="宋体"/>
                <w:szCs w:val="24"/>
              </w:rPr>
              <w:t>食品安全量化等级情况</w:t>
            </w:r>
            <w:r>
              <w:rPr>
                <w:rFonts w:hint="eastAsia" w:eastAsia="宋体"/>
                <w:szCs w:val="24"/>
                <w:lang w:val="en-US" w:eastAsia="zh-CN"/>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所经营</w:t>
            </w:r>
            <w:r>
              <w:rPr>
                <w:rFonts w:hint="eastAsia" w:eastAsia="宋体"/>
                <w:szCs w:val="24"/>
                <w:lang w:val="en-US" w:eastAsia="zh-CN"/>
              </w:rPr>
              <w:t>行政机关或</w:t>
            </w:r>
            <w:r>
              <w:rPr>
                <w:rFonts w:hint="eastAsia"/>
                <w:szCs w:val="24"/>
                <w:lang w:val="en-US" w:eastAsia="zh-CN"/>
              </w:rPr>
              <w:t>企</w:t>
            </w:r>
            <w:r>
              <w:rPr>
                <w:rFonts w:hint="eastAsia" w:eastAsia="宋体"/>
                <w:szCs w:val="24"/>
                <w:lang w:val="en-US" w:eastAsia="zh-CN"/>
              </w:rPr>
              <w:t>事业单位的</w:t>
            </w:r>
            <w:r>
              <w:rPr>
                <w:rFonts w:hint="eastAsia" w:eastAsia="宋体"/>
                <w:szCs w:val="24"/>
              </w:rPr>
              <w:t>食堂或餐厅每获得市场监督管理局出具餐饮服务食品安全量化等级为优秀（A级）的食堂管理经验证明的，每提供1个得</w:t>
            </w:r>
            <w:r>
              <w:rPr>
                <w:rFonts w:hint="eastAsia" w:eastAsia="宋体"/>
                <w:szCs w:val="24"/>
                <w:lang w:val="en-US" w:eastAsia="zh-CN"/>
              </w:rPr>
              <w:t>20</w:t>
            </w:r>
            <w:r>
              <w:rPr>
                <w:rFonts w:hint="eastAsia" w:eastAsia="宋体"/>
                <w:szCs w:val="24"/>
              </w:rPr>
              <w:t>分，最高得</w:t>
            </w:r>
            <w:r>
              <w:rPr>
                <w:rFonts w:hint="eastAsia" w:eastAsia="宋体"/>
                <w:szCs w:val="24"/>
                <w:lang w:val="en-US" w:eastAsia="zh-CN"/>
              </w:rPr>
              <w:t>100</w:t>
            </w:r>
            <w:r>
              <w:rPr>
                <w:rFonts w:hint="eastAsia" w:eastAsia="宋体"/>
                <w:szCs w:val="24"/>
              </w:rPr>
              <w:t>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评审依据：</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lang w:val="en-US" w:eastAsia="zh-CN"/>
              </w:rPr>
              <w:t>同时</w:t>
            </w:r>
            <w:r>
              <w:rPr>
                <w:rFonts w:hint="eastAsia" w:eastAsia="宋体"/>
                <w:szCs w:val="24"/>
              </w:rPr>
              <w:t>提供</w:t>
            </w:r>
            <w:r>
              <w:rPr>
                <w:rFonts w:hint="eastAsia" w:eastAsia="宋体"/>
                <w:szCs w:val="24"/>
                <w:lang w:eastAsia="zh-CN"/>
              </w:rPr>
              <w:t>：①</w:t>
            </w:r>
            <w:r>
              <w:rPr>
                <w:rFonts w:hint="eastAsia" w:eastAsia="宋体"/>
                <w:szCs w:val="24"/>
              </w:rPr>
              <w:t>所经营食堂合作协议或合同、②20</w:t>
            </w:r>
            <w:r>
              <w:rPr>
                <w:rFonts w:hint="eastAsia" w:eastAsia="宋体"/>
                <w:szCs w:val="24"/>
                <w:lang w:val="en-US" w:eastAsia="zh-CN"/>
              </w:rPr>
              <w:t>19</w:t>
            </w:r>
            <w:r>
              <w:rPr>
                <w:rFonts w:hint="eastAsia" w:eastAsia="宋体"/>
                <w:szCs w:val="24"/>
              </w:rPr>
              <w:t>年1月1日至投标截止日期前被评为餐饮服务食品安全量化等级为优秀（A级）证书（如为网上公示的需提供202</w:t>
            </w:r>
            <w:r>
              <w:rPr>
                <w:rFonts w:hint="eastAsia" w:eastAsia="宋体"/>
                <w:szCs w:val="24"/>
                <w:lang w:val="en-US" w:eastAsia="zh-CN"/>
              </w:rPr>
              <w:t>2</w:t>
            </w:r>
            <w:r>
              <w:rPr>
                <w:rFonts w:hint="eastAsia" w:eastAsia="宋体"/>
                <w:szCs w:val="24"/>
              </w:rPr>
              <w:t>年1月1日至投标截止日期前网上公示的显示查询网址和查询时间的截屏）。</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rightChars="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lang w:val="en-US" w:eastAsia="zh-CN"/>
              </w:rPr>
            </w:pPr>
            <w:r>
              <w:rPr>
                <w:rFonts w:hint="eastAsia" w:eastAsia="宋体"/>
                <w:szCs w:val="24"/>
                <w:lang w:val="en-US" w:eastAsia="zh-CN"/>
              </w:rPr>
              <w:t>应急保障能力</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5</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投标人或投标人分公司具有集体配餐能力，能保障突发用餐需求；</w:t>
            </w:r>
          </w:p>
          <w:p>
            <w:pPr>
              <w:keepNext w:val="0"/>
              <w:keepLines w:val="0"/>
              <w:pageBreakBefore w:val="0"/>
              <w:numPr>
                <w:ilvl w:val="-1"/>
                <w:numId w:val="0"/>
              </w:numPr>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1、提供</w:t>
            </w:r>
            <w:r>
              <w:rPr>
                <w:rFonts w:hint="eastAsia"/>
                <w:szCs w:val="24"/>
                <w:lang w:val="en-US" w:eastAsia="zh-CN"/>
              </w:rPr>
              <w:t>市场监督管理部门</w:t>
            </w:r>
            <w:r>
              <w:rPr>
                <w:rFonts w:hint="eastAsia" w:eastAsia="宋体"/>
                <w:szCs w:val="24"/>
                <w:lang w:val="en-US" w:eastAsia="zh-CN"/>
              </w:rPr>
              <w:t>出具的产能证明，产能不低于5000份的，得35分；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2、提供场地证明（自有的产权证明或租赁合同）场地面积不低于4000㎡得35分；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3、承诺自接到招标人突发用餐需求后，1个小时内配送到指定位置，提供承诺函（格式自拟），得30分。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评审依据：</w:t>
            </w:r>
          </w:p>
          <w:p>
            <w:pPr>
              <w:pStyle w:val="59"/>
              <w:keepNext w:val="0"/>
              <w:keepLines w:val="0"/>
              <w:pageBreakBefore w:val="0"/>
              <w:kinsoku/>
              <w:overflowPunct/>
              <w:topLinePunct w:val="0"/>
              <w:autoSpaceDE/>
              <w:autoSpaceDN/>
              <w:bidi w:val="0"/>
              <w:adjustRightInd/>
              <w:snapToGrid/>
              <w:spacing w:line="264" w:lineRule="auto"/>
              <w:textAlignment w:val="auto"/>
              <w:rPr>
                <w:rFonts w:hint="eastAsia"/>
                <w:szCs w:val="24"/>
                <w:lang w:val="en-US" w:eastAsia="zh-CN"/>
              </w:rPr>
            </w:pPr>
            <w:r>
              <w:rPr>
                <w:rFonts w:hint="eastAsia"/>
                <w:szCs w:val="24"/>
                <w:lang w:val="en-US" w:eastAsia="zh-CN"/>
              </w:rPr>
              <w:t>1、提供相关产能证明文件扫描件；</w:t>
            </w:r>
          </w:p>
          <w:p>
            <w:pPr>
              <w:pStyle w:val="59"/>
              <w:keepNext w:val="0"/>
              <w:keepLines w:val="0"/>
              <w:pageBreakBefore w:val="0"/>
              <w:kinsoku/>
              <w:overflowPunct/>
              <w:topLinePunct w:val="0"/>
              <w:autoSpaceDE/>
              <w:autoSpaceDN/>
              <w:bidi w:val="0"/>
              <w:adjustRightInd/>
              <w:snapToGrid/>
              <w:spacing w:line="264" w:lineRule="auto"/>
              <w:textAlignment w:val="auto"/>
              <w:rPr>
                <w:rFonts w:hint="eastAsia"/>
                <w:szCs w:val="24"/>
                <w:lang w:val="en-US" w:eastAsia="zh-CN"/>
              </w:rPr>
            </w:pPr>
            <w:r>
              <w:rPr>
                <w:rFonts w:hint="eastAsia"/>
                <w:szCs w:val="24"/>
                <w:lang w:val="en-US" w:eastAsia="zh-CN"/>
              </w:rPr>
              <w:t>2、提供自有产权证明或租赁合同扫描件；</w:t>
            </w:r>
          </w:p>
          <w:p>
            <w:pPr>
              <w:pStyle w:val="59"/>
              <w:keepNext w:val="0"/>
              <w:keepLines w:val="0"/>
              <w:pageBreakBefore w:val="0"/>
              <w:kinsoku/>
              <w:overflowPunct/>
              <w:topLinePunct w:val="0"/>
              <w:autoSpaceDE/>
              <w:autoSpaceDN/>
              <w:bidi w:val="0"/>
              <w:adjustRightInd/>
              <w:snapToGrid/>
              <w:spacing w:line="264" w:lineRule="auto"/>
              <w:textAlignment w:val="auto"/>
              <w:rPr>
                <w:rFonts w:hint="default"/>
                <w:szCs w:val="24"/>
                <w:lang w:val="en-US" w:eastAsia="zh-CN"/>
              </w:rPr>
            </w:pPr>
            <w:r>
              <w:rPr>
                <w:rFonts w:hint="eastAsia"/>
                <w:szCs w:val="24"/>
                <w:lang w:val="en-US" w:eastAsia="zh-CN"/>
              </w:rPr>
              <w:t>3、按要求提供相关承诺函。</w:t>
            </w:r>
          </w:p>
          <w:p>
            <w:pPr>
              <w:keepNext w:val="0"/>
              <w:keepLines w:val="0"/>
              <w:pageBreakBefore w:val="0"/>
              <w:widowControl/>
              <w:numPr>
                <w:ilvl w:val="-1"/>
                <w:numId w:val="0"/>
              </w:numPr>
              <w:kinsoku/>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bookmarkEnd w:id="4"/>
      <w:bookmarkEnd w:id="5"/>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restart"/>
            <w:tcBorders>
              <w:top w:val="single" w:color="000000" w:sz="8" w:space="0"/>
              <w:left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lang w:eastAsia="zh-CN"/>
              </w:rPr>
            </w:pPr>
            <w:r>
              <w:rPr>
                <w:rFonts w:hint="eastAsia" w:ascii="宋体" w:hAnsi="宋体" w:eastAsia="宋体" w:cs="宋体"/>
                <w:b/>
                <w:bCs/>
                <w:color w:val="0000FF"/>
                <w:sz w:val="21"/>
                <w:szCs w:val="21"/>
                <w:highlight w:val="none"/>
                <w:lang w:val="en-US" w:eastAsia="zh-CN"/>
              </w:rPr>
              <w:t>3</w:t>
            </w:r>
          </w:p>
        </w:tc>
        <w:tc>
          <w:tcPr>
            <w:tcW w:w="4216"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4425"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46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8641" w:type="dxa"/>
            <w:gridSpan w:val="5"/>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shd w:val="clear" w:color="auto" w:fill="E6EFFA"/>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700"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689"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8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tc>
        <w:tc>
          <w:tcPr>
            <w:tcW w:w="44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bookmarkStart w:id="6" w:name="OLE_LINK6" w:colFirst="2" w:colLast="2"/>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lang w:val="en-US" w:eastAsia="zh-CN"/>
              </w:rPr>
              <w:t>项目服务方案</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3</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考察投标人提供的项目服务方案，包含以下内容：</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1、对项目服务需求的理解；</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2、项目实施计划；</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3、项目管理服务承诺。</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rPr>
            </w:pPr>
            <w:r>
              <w:rPr>
                <w:rFonts w:hint="eastAsia" w:eastAsia="宋体"/>
                <w:b/>
                <w:bCs/>
                <w:szCs w:val="24"/>
              </w:rPr>
              <w:t>评分</w:t>
            </w:r>
            <w:r>
              <w:rPr>
                <w:rFonts w:hint="eastAsia" w:eastAsia="宋体"/>
                <w:b/>
                <w:bCs/>
                <w:szCs w:val="24"/>
                <w:lang w:val="en-US" w:eastAsia="zh-CN"/>
              </w:rPr>
              <w:t>依据</w:t>
            </w:r>
            <w:r>
              <w:rPr>
                <w:rFonts w:hint="eastAsia" w:eastAsia="宋体"/>
                <w:b/>
                <w:bCs/>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方案包含以上三项内容得40分；包含以上二项内容得20分；其他情况不得分。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在此基础上，根据方案响应情况进一步评审：</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1、方案内容全面、具体，可行性高，加60分；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2、方案内容较全面，可行性较高，加40分；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3、方案全面性、可行性一般，加20分；</w:t>
            </w:r>
          </w:p>
          <w:p>
            <w:pPr>
              <w:keepNext w:val="0"/>
              <w:keepLines w:val="0"/>
              <w:pageBreakBefore w:val="0"/>
              <w:widowControl w:val="0"/>
              <w:numPr>
                <w:ilvl w:val="0"/>
                <w:numId w:val="0"/>
              </w:numPr>
              <w:shd w:val="clear" w:fill="auto"/>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rPr>
            </w:pPr>
            <w:r>
              <w:rPr>
                <w:rFonts w:hint="eastAsia" w:eastAsia="宋体"/>
                <w:szCs w:val="24"/>
                <w:lang w:val="en-US" w:eastAsia="zh-CN"/>
              </w:rPr>
              <w:t>4、方案不全，可行性低，不加分。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rPr>
              <w:t>质量保障措施</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3</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考察投标人提供的质量保障措施，包含以下内容：</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1、项目质量管理制度；</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2、服务质量检查、整改方案；</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3、项目成果安全性保障措施。</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rPr>
            </w:pPr>
            <w:r>
              <w:rPr>
                <w:rFonts w:hint="eastAsia" w:eastAsia="宋体"/>
                <w:b/>
                <w:bCs/>
                <w:szCs w:val="24"/>
              </w:rPr>
              <w:t>评分</w:t>
            </w:r>
            <w:r>
              <w:rPr>
                <w:rFonts w:hint="eastAsia" w:eastAsia="宋体"/>
                <w:b/>
                <w:bCs/>
                <w:szCs w:val="24"/>
                <w:lang w:val="en-US" w:eastAsia="zh-CN"/>
              </w:rPr>
              <w:t>依据</w:t>
            </w:r>
            <w:r>
              <w:rPr>
                <w:rFonts w:hint="eastAsia" w:eastAsia="宋体"/>
                <w:b/>
                <w:bCs/>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方案包含以上三项内容得40分；包含以上二项内容得30分；包含以上一项内容得20分；其他情况不得分。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在此基础上，根据方案响应情况进一步评审：</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1、方案内容全面、具体，可行性高，加60分；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2、方案内容较全面，可行性较高，加40分；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3、方案全面性、可行性一般，加20分；</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lang w:val="en-US" w:eastAsia="zh-CN"/>
              </w:rPr>
            </w:pPr>
            <w:r>
              <w:rPr>
                <w:rFonts w:hint="eastAsia" w:eastAsia="宋体"/>
                <w:szCs w:val="24"/>
              </w:rPr>
              <w:t>4</w:t>
            </w:r>
            <w:r>
              <w:rPr>
                <w:rFonts w:hint="eastAsia" w:eastAsia="宋体"/>
                <w:szCs w:val="24"/>
                <w:lang w:eastAsia="zh-CN"/>
              </w:rPr>
              <w:t>、</w:t>
            </w:r>
            <w:r>
              <w:rPr>
                <w:rFonts w:hint="eastAsia" w:eastAsia="宋体"/>
                <w:szCs w:val="24"/>
              </w:rPr>
              <w:t>方案不全，可行性低，不加分。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rPr>
              <w:t>项目重点难点分析、应对措施及相关的合理化建议</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3</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考察投标人提供的项目重点难点分析、应对措施及相关的合理化建议，包含以下内容：</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1、项目重点难点分析；</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2、针对项目重点难点逐项提出应对措施；</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3、相关的合理化建议。</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rPr>
            </w:pPr>
            <w:r>
              <w:rPr>
                <w:rFonts w:hint="eastAsia" w:eastAsia="宋体"/>
                <w:b/>
                <w:bCs/>
                <w:szCs w:val="24"/>
              </w:rPr>
              <w:t>评分</w:t>
            </w:r>
            <w:r>
              <w:rPr>
                <w:rFonts w:hint="eastAsia" w:eastAsia="宋体"/>
                <w:b/>
                <w:bCs/>
                <w:szCs w:val="24"/>
                <w:lang w:val="en-US" w:eastAsia="zh-CN"/>
              </w:rPr>
              <w:t>依据</w:t>
            </w:r>
            <w:r>
              <w:rPr>
                <w:rFonts w:hint="eastAsia" w:eastAsia="宋体"/>
                <w:b/>
                <w:bCs/>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案包含以上三项内容得40分；包含以上二项内容得20分；其他情况不得分。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lang w:val="en-US" w:eastAsia="zh-CN"/>
              </w:rPr>
              <w:t>在此基础上，根据方案响应情况进一步评审：</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1、方案内容全面、具体，可行性高，加60分；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2、方案内容较全面，可行性较高，加40分；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3、方案全面性、可行性一般，加20分；</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rPr>
            </w:pPr>
            <w:r>
              <w:rPr>
                <w:rFonts w:hint="eastAsia" w:eastAsia="宋体"/>
                <w:szCs w:val="24"/>
              </w:rPr>
              <w:t>4</w:t>
            </w:r>
            <w:r>
              <w:rPr>
                <w:rFonts w:hint="eastAsia" w:eastAsia="宋体"/>
                <w:szCs w:val="24"/>
                <w:lang w:eastAsia="zh-CN"/>
              </w:rPr>
              <w:t>、</w:t>
            </w:r>
            <w:r>
              <w:rPr>
                <w:rFonts w:hint="eastAsia" w:eastAsia="宋体"/>
                <w:szCs w:val="24"/>
              </w:rPr>
              <w:t>方案不全，可行性低，不加分。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rPr>
              <w:t>项目菜品设计方案</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3</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考察投标人提供的项目菜品设计方案，包含以下内容：</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1、菜品设计原则；</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2、菜品设计理念；</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3、菜品构成。</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rPr>
            </w:pPr>
            <w:r>
              <w:rPr>
                <w:rFonts w:hint="eastAsia" w:eastAsia="宋体"/>
                <w:b/>
                <w:bCs/>
                <w:szCs w:val="24"/>
              </w:rPr>
              <w:t>评分</w:t>
            </w:r>
            <w:r>
              <w:rPr>
                <w:rFonts w:hint="eastAsia" w:eastAsia="宋体"/>
                <w:b/>
                <w:bCs/>
                <w:szCs w:val="24"/>
                <w:lang w:val="en-US" w:eastAsia="zh-CN"/>
              </w:rPr>
              <w:t>依据</w:t>
            </w:r>
            <w:r>
              <w:rPr>
                <w:rFonts w:hint="eastAsia" w:eastAsia="宋体"/>
                <w:b/>
                <w:bCs/>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方案包含以上三项内容得40分；包含以上二项内容得30分；包含以上一项内容得20分；其他情况不得分。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在此基础上，根据方案响应情况进一步评审：</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1、方案内容全面、具体，可行性高，加60分；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2、方案内容较全面，可行性较高，加40分；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3、方案全面性、可行性一般，加20分；</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rPr>
            </w:pPr>
            <w:r>
              <w:rPr>
                <w:rFonts w:hint="eastAsia" w:eastAsia="宋体"/>
                <w:szCs w:val="24"/>
                <w:lang w:val="en-US" w:eastAsia="zh-CN"/>
              </w:rPr>
              <w:t>4、方案不全，可行性低，不加分。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rPr>
              <w:t>环境卫生管理方案</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kern w:val="2"/>
                <w:sz w:val="21"/>
                <w:szCs w:val="21"/>
                <w:lang w:val="en-US" w:eastAsia="zh-CN" w:bidi="ar-SA"/>
              </w:rPr>
              <w:t>3</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考察投标人提供的设环境卫生管理方案，包含以下内容：</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1、环境卫生管理</w:t>
            </w:r>
            <w:r>
              <w:rPr>
                <w:rFonts w:hint="eastAsia" w:eastAsia="宋体"/>
                <w:szCs w:val="24"/>
                <w:lang w:val="en-US" w:eastAsia="zh-CN"/>
              </w:rPr>
              <w:t>目标与原则</w:t>
            </w:r>
            <w:r>
              <w:rPr>
                <w:rFonts w:hint="eastAsia" w:eastAsia="宋体"/>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2、环境卫生管理制度；</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3、</w:t>
            </w:r>
            <w:r>
              <w:rPr>
                <w:rFonts w:hint="eastAsia" w:eastAsia="宋体"/>
                <w:szCs w:val="24"/>
                <w:lang w:val="en-US" w:eastAsia="zh-CN"/>
              </w:rPr>
              <w:t>环境卫生监督考核方案</w:t>
            </w:r>
            <w:r>
              <w:rPr>
                <w:rFonts w:hint="eastAsia" w:eastAsia="宋体"/>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rPr>
            </w:pPr>
            <w:r>
              <w:rPr>
                <w:rFonts w:hint="eastAsia" w:eastAsia="宋体"/>
                <w:b/>
                <w:bCs/>
                <w:szCs w:val="24"/>
                <w:lang w:val="en-US" w:eastAsia="zh-CN"/>
              </w:rPr>
              <w:t>评分依据</w:t>
            </w:r>
            <w:r>
              <w:rPr>
                <w:rFonts w:hint="eastAsia" w:eastAsia="宋体"/>
                <w:b/>
                <w:bCs/>
                <w:szCs w:val="24"/>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方案包含以上三项内容得40分；包含以上二项内容得30分；包含以上一项内容得20分；其他情况不得分。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在此基础上，根据方案响应情况进一步评审：</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1、方案内容全面、具体，可行性高，加60分；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2、方案内容较全面，可行性较高，加40分；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3、方案全面性、可行性一般，加20分；</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rPr>
            </w:pPr>
            <w:r>
              <w:rPr>
                <w:rFonts w:hint="eastAsia" w:eastAsia="宋体"/>
                <w:szCs w:val="24"/>
              </w:rPr>
              <w:t>4</w:t>
            </w:r>
            <w:r>
              <w:rPr>
                <w:rFonts w:hint="eastAsia" w:eastAsia="宋体"/>
                <w:szCs w:val="24"/>
                <w:lang w:eastAsia="zh-CN"/>
              </w:rPr>
              <w:t>、</w:t>
            </w:r>
            <w:r>
              <w:rPr>
                <w:rFonts w:hint="eastAsia" w:eastAsia="宋体"/>
                <w:szCs w:val="24"/>
              </w:rPr>
              <w:t>方案不全，可行性低，不加分。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rPr>
              <w:t>拟安排的项目负责人情况（仅限1人）</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b/>
                <w:bCs/>
                <w:color w:val="0000FF"/>
                <w:sz w:val="21"/>
                <w:szCs w:val="21"/>
                <w:highlight w:val="none"/>
                <w:lang w:val="en-US" w:eastAsia="zh-CN"/>
              </w:rPr>
            </w:pPr>
            <w:r>
              <w:rPr>
                <w:rFonts w:hint="eastAsia" w:eastAsia="宋体"/>
                <w:szCs w:val="24"/>
                <w:lang w:val="en-US" w:eastAsia="zh-CN"/>
              </w:rPr>
              <w:t>13</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autoSpaceDE/>
              <w:autoSpaceDN/>
              <w:bidi w:val="0"/>
              <w:adjustRightInd/>
              <w:snapToGrid/>
              <w:spacing w:line="264" w:lineRule="auto"/>
              <w:textAlignment w:val="auto"/>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拟安排的项目负责人为投标人自有员工（以社保为准），否则本项不得分。</w:t>
            </w:r>
          </w:p>
          <w:p>
            <w:pPr>
              <w:keepNext w:val="0"/>
              <w:keepLines w:val="0"/>
              <w:pageBreakBefore w:val="0"/>
              <w:kinsoku/>
              <w:wordWrap w:val="0"/>
              <w:overflowPunct/>
              <w:topLinePunct w:val="0"/>
              <w:autoSpaceDE/>
              <w:autoSpaceDN/>
              <w:bidi w:val="0"/>
              <w:adjustRightInd/>
              <w:snapToGrid/>
              <w:spacing w:line="264" w:lineRule="auto"/>
              <w:textAlignment w:val="auto"/>
              <w:rPr>
                <w:rFonts w:hint="eastAsia" w:ascii="宋体" w:hAnsi="宋体" w:eastAsia="宋体" w:cs="宋体"/>
                <w:color w:val="auto"/>
                <w:sz w:val="21"/>
                <w:szCs w:val="21"/>
              </w:rPr>
            </w:pPr>
            <w:r>
              <w:rPr>
                <w:rFonts w:hint="eastAsia" w:ascii="宋体" w:hAnsi="宋体" w:eastAsia="宋体" w:cs="宋体"/>
                <w:b/>
                <w:bCs/>
                <w:sz w:val="21"/>
                <w:szCs w:val="21"/>
                <w:lang w:val="en-US" w:eastAsia="zh-CN"/>
              </w:rPr>
              <w:t>评审标准</w:t>
            </w:r>
            <w:r>
              <w:rPr>
                <w:rFonts w:hint="eastAsia" w:ascii="宋体" w:hAnsi="宋体" w:eastAsia="宋体" w:cs="宋体"/>
                <w:b/>
                <w:bCs/>
                <w:sz w:val="21"/>
                <w:szCs w:val="21"/>
              </w:rPr>
              <w:t>：</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具有本科或以上学历得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r>
              <w:rPr>
                <w:rFonts w:hint="eastAsia" w:ascii="宋体" w:hAnsi="宋体" w:eastAsia="宋体" w:cs="宋体"/>
                <w:sz w:val="21"/>
                <w:szCs w:val="21"/>
              </w:rPr>
              <w:t>，</w:t>
            </w:r>
            <w:r>
              <w:rPr>
                <w:rFonts w:hint="eastAsia" w:ascii="宋体" w:hAnsi="宋体" w:eastAsia="宋体" w:cs="宋体"/>
                <w:sz w:val="21"/>
                <w:szCs w:val="21"/>
                <w:lang w:val="en-US" w:eastAsia="zh-CN"/>
              </w:rPr>
              <w:t>本小项最高得20</w:t>
            </w:r>
            <w:r>
              <w:rPr>
                <w:rFonts w:hint="eastAsia" w:ascii="宋体" w:hAnsi="宋体" w:eastAsia="宋体" w:cs="宋体"/>
                <w:sz w:val="21"/>
                <w:szCs w:val="21"/>
              </w:rPr>
              <w:t>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w:t>
            </w:r>
            <w:r>
              <w:rPr>
                <w:rFonts w:hint="eastAsia" w:ascii="宋体" w:hAnsi="宋体" w:eastAsia="宋体" w:cs="宋体"/>
                <w:sz w:val="21"/>
                <w:szCs w:val="21"/>
                <w:lang w:val="en-US" w:eastAsia="zh-CN"/>
              </w:rPr>
              <w:t>人社部门或人社部门备案的第三方评价机构颁发的</w:t>
            </w:r>
            <w:r>
              <w:rPr>
                <w:rFonts w:hint="eastAsia" w:ascii="宋体" w:hAnsi="宋体" w:eastAsia="宋体" w:cs="宋体"/>
                <w:color w:val="auto"/>
                <w:sz w:val="21"/>
                <w:szCs w:val="21"/>
                <w:lang w:val="en-US" w:eastAsia="zh-CN"/>
              </w:rPr>
              <w:t>三级或以上公共营养师职业资格（或职业技能等级）证书</w:t>
            </w:r>
            <w:r>
              <w:rPr>
                <w:rFonts w:hint="eastAsia" w:ascii="宋体" w:hAnsi="宋体" w:eastAsia="宋体" w:cs="宋体"/>
                <w:color w:val="auto"/>
                <w:sz w:val="21"/>
                <w:szCs w:val="21"/>
              </w:rPr>
              <w:t>的得</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分</w:t>
            </w:r>
            <w:r>
              <w:rPr>
                <w:rFonts w:hint="eastAsia" w:ascii="宋体" w:hAnsi="宋体" w:eastAsia="宋体" w:cs="宋体"/>
                <w:sz w:val="21"/>
                <w:szCs w:val="21"/>
              </w:rPr>
              <w:t>，</w:t>
            </w:r>
            <w:r>
              <w:rPr>
                <w:rFonts w:hint="eastAsia" w:ascii="宋体" w:hAnsi="宋体" w:eastAsia="宋体" w:cs="宋体"/>
                <w:sz w:val="21"/>
                <w:szCs w:val="21"/>
                <w:lang w:val="en-US" w:eastAsia="zh-CN"/>
              </w:rPr>
              <w:t>本小项最高得40</w:t>
            </w:r>
            <w:r>
              <w:rPr>
                <w:rFonts w:hint="eastAsia" w:ascii="宋体" w:hAnsi="宋体" w:eastAsia="宋体" w:cs="宋体"/>
                <w:sz w:val="21"/>
                <w:szCs w:val="21"/>
              </w:rPr>
              <w:t>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行政机关或事业单位或行业协会颁发的</w:t>
            </w:r>
            <w:r>
              <w:rPr>
                <w:rFonts w:hint="eastAsia" w:ascii="宋体" w:hAnsi="宋体" w:eastAsia="宋体" w:cs="宋体"/>
                <w:color w:val="auto"/>
                <w:sz w:val="21"/>
                <w:szCs w:val="21"/>
                <w:highlight w:val="none"/>
              </w:rPr>
              <w:t>一级餐饮业职业经理人证书的得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sz w:val="21"/>
                <w:szCs w:val="21"/>
              </w:rPr>
              <w:t>，</w:t>
            </w:r>
            <w:r>
              <w:rPr>
                <w:rFonts w:hint="eastAsia" w:ascii="宋体" w:hAnsi="宋体" w:eastAsia="宋体" w:cs="宋体"/>
                <w:sz w:val="21"/>
                <w:szCs w:val="21"/>
                <w:lang w:val="en-US" w:eastAsia="zh-CN"/>
              </w:rPr>
              <w:t>本小项最高得10</w:t>
            </w:r>
            <w:r>
              <w:rPr>
                <w:rFonts w:hint="eastAsia" w:ascii="宋体" w:hAnsi="宋体" w:eastAsia="宋体" w:cs="宋体"/>
                <w:sz w:val="21"/>
                <w:szCs w:val="21"/>
              </w:rPr>
              <w:t>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具有</w:t>
            </w:r>
            <w:r>
              <w:rPr>
                <w:rFonts w:hint="eastAsia"/>
                <w:lang w:eastAsia="zh-CN"/>
              </w:rPr>
              <w:t>行政机关或事业单位</w:t>
            </w:r>
            <w:r>
              <w:rPr>
                <w:rFonts w:hint="eastAsia"/>
                <w:color w:val="000000" w:themeColor="text1"/>
                <w14:textFill>
                  <w14:solidFill>
                    <w14:schemeClr w14:val="tx1"/>
                  </w14:solidFill>
                </w14:textFill>
              </w:rPr>
              <w:t>颁发的</w:t>
            </w:r>
            <w:r>
              <w:rPr>
                <w:rFonts w:hint="eastAsia" w:ascii="宋体" w:hAnsi="宋体" w:eastAsia="宋体" w:cs="宋体"/>
                <w:color w:val="auto"/>
                <w:sz w:val="21"/>
                <w:szCs w:val="21"/>
                <w:highlight w:val="none"/>
              </w:rPr>
              <w:t>食品安全总监证书的得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sz w:val="21"/>
                <w:szCs w:val="21"/>
              </w:rPr>
              <w:t>，</w:t>
            </w:r>
            <w:r>
              <w:rPr>
                <w:rFonts w:hint="eastAsia" w:ascii="宋体" w:hAnsi="宋体" w:eastAsia="宋体" w:cs="宋体"/>
                <w:sz w:val="21"/>
                <w:szCs w:val="21"/>
                <w:lang w:val="en-US" w:eastAsia="zh-CN"/>
              </w:rPr>
              <w:t>本小项最高得20</w:t>
            </w:r>
            <w:r>
              <w:rPr>
                <w:rFonts w:hint="eastAsia" w:ascii="宋体" w:hAnsi="宋体" w:eastAsia="宋体" w:cs="宋体"/>
                <w:sz w:val="21"/>
                <w:szCs w:val="21"/>
              </w:rPr>
              <w:t>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具有累计8年及以上同类型项目的项目负责人管理经验的，得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sz w:val="21"/>
                <w:szCs w:val="21"/>
              </w:rPr>
              <w:t>，</w:t>
            </w:r>
            <w:r>
              <w:rPr>
                <w:rFonts w:hint="eastAsia" w:ascii="宋体" w:hAnsi="宋体" w:eastAsia="宋体" w:cs="宋体"/>
                <w:sz w:val="21"/>
                <w:szCs w:val="21"/>
                <w:lang w:val="en-US" w:eastAsia="zh-CN"/>
              </w:rPr>
              <w:t>本小项最高得10</w:t>
            </w:r>
            <w:r>
              <w:rPr>
                <w:rFonts w:hint="eastAsia" w:ascii="宋体" w:hAnsi="宋体" w:eastAsia="宋体" w:cs="宋体"/>
                <w:sz w:val="21"/>
                <w:szCs w:val="21"/>
              </w:rPr>
              <w:t>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以上小项累计加分，最高得100分。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评分依据</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自有员工证明】投标人提供投标人为上述人员缴交的近三个月任意一个月（具体指投标截止日所在月的上一个月起倒算）社保缴交证明材料（证明资料可为社保收缴部门盖章证明资料、社保窗口打印资料或社保官网截图）。如投标人注册成立时间不足1个月的，可提供承诺函证明拟投入的项目负责人为其自有员工（格式自拟），否则投入的该人员作不得分处理</w:t>
            </w:r>
            <w:r>
              <w:rPr>
                <w:rFonts w:hint="eastAsia" w:ascii="宋体" w:hAnsi="宋体" w:eastAsia="宋体" w:cs="宋体"/>
                <w:color w:val="auto"/>
                <w:sz w:val="21"/>
                <w:szCs w:val="21"/>
              </w:rPr>
              <w:t>。</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第</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项</w:t>
            </w:r>
            <w:r>
              <w:rPr>
                <w:rFonts w:hint="eastAsia" w:ascii="宋体" w:hAnsi="宋体" w:eastAsia="宋体" w:cs="宋体"/>
                <w:color w:val="auto"/>
                <w:sz w:val="21"/>
                <w:szCs w:val="21"/>
                <w:highlight w:val="none"/>
                <w:lang w:val="en-US" w:eastAsia="zh-CN"/>
              </w:rPr>
              <w:t>提供毕业证书扫描件及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第</w:t>
            </w: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项</w:t>
            </w:r>
            <w:r>
              <w:rPr>
                <w:rFonts w:hint="eastAsia" w:ascii="宋体" w:hAnsi="宋体" w:eastAsia="宋体" w:cs="宋体"/>
                <w:color w:val="auto"/>
                <w:szCs w:val="21"/>
              </w:rPr>
              <w:t>提供</w:t>
            </w:r>
            <w:r>
              <w:rPr>
                <w:rFonts w:hint="eastAsia" w:ascii="宋体" w:hAnsi="宋体" w:eastAsia="宋体" w:cs="宋体"/>
                <w:color w:val="auto"/>
                <w:szCs w:val="21"/>
                <w:lang w:val="en-US" w:eastAsia="zh-CN"/>
              </w:rPr>
              <w:t>相关</w:t>
            </w:r>
            <w:r>
              <w:rPr>
                <w:rFonts w:hint="eastAsia" w:ascii="宋体" w:hAnsi="宋体" w:eastAsia="宋体" w:cs="宋体"/>
                <w:color w:val="auto"/>
                <w:sz w:val="21"/>
                <w:szCs w:val="21"/>
                <w:lang w:val="en-US" w:eastAsia="zh-CN"/>
              </w:rPr>
              <w:t>职业资格（或职业技能等级）</w:t>
            </w:r>
            <w:r>
              <w:rPr>
                <w:rFonts w:hint="eastAsia" w:ascii="宋体" w:hAnsi="宋体" w:eastAsia="宋体" w:cs="宋体"/>
                <w:color w:val="auto"/>
                <w:szCs w:val="21"/>
                <w:lang w:val="en-US" w:eastAsia="zh-CN"/>
              </w:rPr>
              <w:t>证书扫描件</w:t>
            </w:r>
            <w:r>
              <w:rPr>
                <w:rFonts w:hint="eastAsia" w:ascii="宋体" w:hAnsi="宋体" w:eastAsia="宋体" w:cs="宋体"/>
                <w:color w:val="auto"/>
                <w:szCs w:val="21"/>
              </w:rPr>
              <w:t>和在技能人才评价证书全国联网查询截图（http://zscx.osta.org.cn/），如是人社部备案的第三方机构颁发的，还需提供该第三方机构在职业技能等级评价机构公示查询系统（http://pjjg.osta.org.cn/index.html）的查询截图等证明材料作为得分依据，不提供则不得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Cs w:val="21"/>
                <w:lang w:val="en-US" w:eastAsia="zh-CN"/>
              </w:rPr>
              <w:t>4、第3项</w:t>
            </w:r>
            <w:r>
              <w:rPr>
                <w:rFonts w:hint="eastAsia" w:ascii="宋体" w:hAnsi="宋体" w:eastAsia="宋体" w:cs="宋体"/>
                <w:color w:val="auto"/>
                <w:sz w:val="21"/>
                <w:szCs w:val="21"/>
              </w:rPr>
              <w:t>提供</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证书扫描件，若由协会颁发的证书，还需提供该协会在“中国社会组织政务服务平台（全国社会组织信用信息公示平台）https://xxgs.chinanpo.mca.gov.cn/”的查询截图（截图状态为正常），不提供则不得分；</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第4项提供相关证书扫描件；</w:t>
            </w:r>
          </w:p>
          <w:p>
            <w:pPr>
              <w:keepNext w:val="0"/>
              <w:keepLines w:val="0"/>
              <w:pageBreakBefore w:val="0"/>
              <w:kinsoku/>
              <w:wordWrap w:val="0"/>
              <w:overflowPunct/>
              <w:topLinePunct w:val="0"/>
              <w:autoSpaceDE/>
              <w:autoSpaceDN/>
              <w:bidi w:val="0"/>
              <w:adjustRightInd/>
              <w:snapToGrid/>
              <w:spacing w:line="264" w:lineRule="auto"/>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涉及项目经理工作经验的，</w:t>
            </w:r>
            <w:r>
              <w:rPr>
                <w:rFonts w:hint="eastAsia" w:ascii="宋体" w:hAnsi="宋体" w:eastAsia="宋体" w:cs="宋体"/>
                <w:b/>
                <w:bCs/>
                <w:color w:val="auto"/>
                <w:sz w:val="21"/>
                <w:szCs w:val="21"/>
              </w:rPr>
              <w:t>提供</w:t>
            </w:r>
            <w:r>
              <w:rPr>
                <w:rFonts w:hint="eastAsia" w:ascii="宋体" w:hAnsi="宋体" w:eastAsia="宋体" w:cs="宋体"/>
                <w:b/>
                <w:bCs/>
                <w:color w:val="auto"/>
                <w:sz w:val="21"/>
                <w:szCs w:val="21"/>
                <w:lang w:val="en-US" w:eastAsia="zh-CN"/>
              </w:rPr>
              <w:t>加盖投标人公章的</w:t>
            </w:r>
            <w:r>
              <w:rPr>
                <w:rFonts w:hint="eastAsia" w:ascii="宋体" w:hAnsi="宋体" w:eastAsia="宋体" w:cs="宋体"/>
                <w:b/>
                <w:bCs/>
                <w:color w:val="auto"/>
                <w:sz w:val="21"/>
                <w:szCs w:val="21"/>
              </w:rPr>
              <w:t>承诺函</w:t>
            </w:r>
            <w:r>
              <w:rPr>
                <w:rFonts w:hint="eastAsia" w:ascii="宋体" w:hAnsi="宋体" w:eastAsia="宋体" w:cs="宋体"/>
                <w:color w:val="auto"/>
                <w:sz w:val="21"/>
                <w:szCs w:val="21"/>
              </w:rPr>
              <w:t>（格式自拟）。</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left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eastAsia" w:ascii="宋体" w:hAnsi="宋体" w:eastAsia="宋体" w:cs="宋体"/>
                <w:sz w:val="21"/>
                <w:szCs w:val="21"/>
                <w:highlight w:val="none"/>
              </w:rPr>
            </w:pPr>
            <w:r>
              <w:rPr>
                <w:rFonts w:hint="eastAsia" w:eastAsia="宋体"/>
                <w:szCs w:val="24"/>
              </w:rPr>
              <w:t>拟安排的项目团队成员情况（项目负责人除外）</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widowControl/>
              <w:kinsoku/>
              <w:wordWrap w:val="0"/>
              <w:overflowPunct/>
              <w:topLinePunct w:val="0"/>
              <w:autoSpaceDE/>
              <w:autoSpaceDN/>
              <w:bidi w:val="0"/>
              <w:adjustRightInd/>
              <w:snapToGrid/>
              <w:spacing w:line="264" w:lineRule="auto"/>
              <w:ind w:firstLine="0" w:firstLineChars="0"/>
              <w:jc w:val="center"/>
              <w:textAlignment w:val="auto"/>
              <w:rPr>
                <w:rFonts w:hint="default" w:ascii="宋体" w:hAnsi="宋体" w:eastAsia="宋体" w:cs="宋体"/>
                <w:b/>
                <w:bCs/>
                <w:color w:val="0000FF"/>
                <w:sz w:val="21"/>
                <w:szCs w:val="21"/>
                <w:highlight w:val="none"/>
                <w:lang w:val="en-US" w:eastAsia="zh-CN"/>
              </w:rPr>
            </w:pPr>
            <w:r>
              <w:rPr>
                <w:rFonts w:hint="eastAsia" w:eastAsia="宋体"/>
                <w:szCs w:val="24"/>
                <w:lang w:val="en-US" w:eastAsia="zh-CN"/>
              </w:rPr>
              <w:t>18</w:t>
            </w:r>
          </w:p>
        </w:tc>
        <w:tc>
          <w:tcPr>
            <w:tcW w:w="4425" w:type="dxa"/>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wordWrap w:val="0"/>
              <w:overflowPunct/>
              <w:topLinePunct w:val="0"/>
              <w:autoSpaceDE/>
              <w:autoSpaceDN/>
              <w:bidi w:val="0"/>
              <w:adjustRightInd/>
              <w:snapToGrid/>
              <w:spacing w:line="264"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拟安排的项目团队成员情况（项目负责人除外）为投标人自有员工（以社保为准），否则本项不得分。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b/>
                <w:bCs/>
                <w:szCs w:val="24"/>
                <w:lang w:val="en-US" w:eastAsia="zh-CN"/>
              </w:rPr>
            </w:pPr>
            <w:r>
              <w:rPr>
                <w:rFonts w:hint="eastAsia" w:eastAsia="宋体"/>
                <w:b/>
                <w:bCs/>
                <w:szCs w:val="24"/>
                <w:lang w:val="en-US" w:eastAsia="zh-CN"/>
              </w:rPr>
              <w:t>评审标准：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1）每提供1人具有</w:t>
            </w:r>
            <w:r>
              <w:rPr>
                <w:rFonts w:hint="eastAsia" w:ascii="宋体" w:hAnsi="宋体" w:eastAsia="宋体" w:cs="宋体"/>
                <w:sz w:val="21"/>
                <w:szCs w:val="21"/>
                <w:lang w:val="en-US" w:eastAsia="zh-CN"/>
              </w:rPr>
              <w:t>人社部门或人社部门备案的第三方评价机构颁发的</w:t>
            </w:r>
            <w:r>
              <w:rPr>
                <w:rFonts w:hint="eastAsia" w:eastAsia="宋体"/>
                <w:szCs w:val="24"/>
                <w:lang w:val="en-US" w:eastAsia="zh-CN"/>
              </w:rPr>
              <w:t>二级或以上中式烹调师</w:t>
            </w:r>
            <w:r>
              <w:rPr>
                <w:rFonts w:hint="eastAsia" w:ascii="宋体" w:hAnsi="宋体" w:eastAsia="宋体" w:cs="宋体"/>
                <w:b/>
                <w:bCs/>
                <w:color w:val="auto"/>
                <w:sz w:val="21"/>
                <w:szCs w:val="21"/>
                <w:lang w:val="en-US" w:eastAsia="zh-CN"/>
              </w:rPr>
              <w:t>职业资格（或职业技能等级）</w:t>
            </w:r>
            <w:r>
              <w:rPr>
                <w:rFonts w:hint="eastAsia" w:eastAsia="宋体"/>
                <w:szCs w:val="24"/>
                <w:lang w:val="en-US" w:eastAsia="zh-CN"/>
              </w:rPr>
              <w:t>证书得15分，本项最高得45分；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2）每提供1人具有</w:t>
            </w:r>
            <w:r>
              <w:rPr>
                <w:rFonts w:hint="eastAsia" w:ascii="宋体" w:hAnsi="宋体" w:eastAsia="宋体" w:cs="宋体"/>
                <w:sz w:val="21"/>
                <w:szCs w:val="21"/>
                <w:lang w:val="en-US" w:eastAsia="zh-CN"/>
              </w:rPr>
              <w:t>人社部门或人社部门备案的第三方评价机构颁发的</w:t>
            </w:r>
            <w:r>
              <w:rPr>
                <w:rFonts w:hint="eastAsia" w:eastAsia="宋体"/>
                <w:szCs w:val="24"/>
                <w:lang w:val="en-US" w:eastAsia="zh-CN"/>
              </w:rPr>
              <w:t>二级或以上中式面点师</w:t>
            </w:r>
            <w:r>
              <w:rPr>
                <w:rFonts w:hint="eastAsia" w:ascii="宋体" w:hAnsi="宋体" w:eastAsia="宋体" w:cs="宋体"/>
                <w:b/>
                <w:bCs/>
                <w:color w:val="auto"/>
                <w:sz w:val="21"/>
                <w:szCs w:val="21"/>
                <w:lang w:val="en-US" w:eastAsia="zh-CN"/>
              </w:rPr>
              <w:t>职业资格（或职业技能等级）</w:t>
            </w:r>
            <w:r>
              <w:rPr>
                <w:rFonts w:hint="eastAsia" w:eastAsia="宋体"/>
                <w:szCs w:val="24"/>
                <w:lang w:val="en-US" w:eastAsia="zh-CN"/>
              </w:rPr>
              <w:t>证书得10分，本项最高得20分；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3）每提供1人具有</w:t>
            </w:r>
            <w:r>
              <w:rPr>
                <w:rFonts w:hint="eastAsia" w:ascii="宋体" w:hAnsi="宋体" w:eastAsia="宋体" w:cs="宋体"/>
                <w:sz w:val="21"/>
                <w:szCs w:val="21"/>
                <w:lang w:val="en-US" w:eastAsia="zh-CN"/>
              </w:rPr>
              <w:t>人社部门或人社部门备案的第三方评价机构颁发的</w:t>
            </w:r>
            <w:r>
              <w:rPr>
                <w:rFonts w:hint="eastAsia" w:eastAsia="宋体"/>
                <w:szCs w:val="24"/>
                <w:lang w:val="en-US" w:eastAsia="zh-CN"/>
              </w:rPr>
              <w:t>三级或以上公共营养师</w:t>
            </w:r>
            <w:r>
              <w:rPr>
                <w:rFonts w:hint="eastAsia" w:ascii="宋体" w:hAnsi="宋体" w:eastAsia="宋体" w:cs="宋体"/>
                <w:b/>
                <w:bCs/>
                <w:color w:val="auto"/>
                <w:sz w:val="21"/>
                <w:szCs w:val="21"/>
                <w:lang w:val="en-US" w:eastAsia="zh-CN"/>
              </w:rPr>
              <w:t>职业资格（或职业技能等级）</w:t>
            </w:r>
            <w:r>
              <w:rPr>
                <w:rFonts w:hint="eastAsia" w:eastAsia="宋体"/>
                <w:szCs w:val="24"/>
                <w:lang w:val="en-US" w:eastAsia="zh-CN"/>
              </w:rPr>
              <w:t>证书得10分，本项最高得20分；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4）每提供1人具有</w:t>
            </w:r>
            <w:r>
              <w:rPr>
                <w:rFonts w:hint="eastAsia"/>
                <w:lang w:eastAsia="zh-CN"/>
              </w:rPr>
              <w:t>行政机关或事业单位</w:t>
            </w:r>
            <w:r>
              <w:rPr>
                <w:rFonts w:hint="eastAsia" w:eastAsia="宋体"/>
                <w:szCs w:val="24"/>
                <w:lang w:val="en-US" w:eastAsia="zh-CN"/>
              </w:rPr>
              <w:t>颁发的食品安全总监证书的得5分，本项最高得15分；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以上累计最高得100分。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rPr>
            </w:pPr>
            <w:r>
              <w:rPr>
                <w:rFonts w:hint="eastAsia" w:eastAsia="宋体"/>
                <w:szCs w:val="24"/>
              </w:rPr>
              <w:t>注：同一人员不可累计得分，如同一人员具有上述多个证书的，按得分最优情况计分。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（二）评分依据：</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1、</w:t>
            </w:r>
            <w:r>
              <w:rPr>
                <w:rFonts w:hint="eastAsia" w:ascii="宋体" w:hAnsi="宋体" w:eastAsia="宋体" w:cs="宋体"/>
                <w:color w:val="auto"/>
                <w:sz w:val="21"/>
                <w:szCs w:val="21"/>
                <w:lang w:val="en-US" w:eastAsia="zh-CN"/>
              </w:rPr>
              <w:t>【自有员工证明】投标人提供投标人为上述人员缴交的近三个月任意一个月（具体指投标截止日所在月的上一个月起倒算）社保缴交证明材料（证明资料可为社保收缴部门盖章证明资料、社保窗口打印资料或社保官网截图）。如投标人注册成立时间不足1个月的，可提供承诺函证明拟投入的项目负责人为其自有员工（格式自拟），否则投入的该人员作不得分处理</w:t>
            </w:r>
            <w:r>
              <w:rPr>
                <w:rFonts w:hint="eastAsia" w:ascii="宋体" w:hAnsi="宋体" w:eastAsia="宋体" w:cs="宋体"/>
                <w:color w:val="auto"/>
                <w:sz w:val="21"/>
                <w:szCs w:val="21"/>
              </w:rPr>
              <w:t>。</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2、第1-3项提供</w:t>
            </w:r>
            <w:r>
              <w:rPr>
                <w:rFonts w:hint="eastAsia" w:ascii="宋体" w:hAnsi="宋体" w:eastAsia="宋体" w:cs="宋体"/>
                <w:color w:val="auto"/>
                <w:szCs w:val="21"/>
                <w:lang w:val="en-US" w:eastAsia="zh-CN"/>
              </w:rPr>
              <w:t>相关</w:t>
            </w:r>
            <w:r>
              <w:rPr>
                <w:rFonts w:hint="eastAsia" w:ascii="宋体" w:hAnsi="宋体" w:eastAsia="宋体" w:cs="宋体"/>
                <w:color w:val="auto"/>
                <w:sz w:val="21"/>
                <w:szCs w:val="21"/>
                <w:lang w:val="en-US" w:eastAsia="zh-CN"/>
              </w:rPr>
              <w:t>职业资格（或职业技能等级）</w:t>
            </w:r>
            <w:r>
              <w:rPr>
                <w:rFonts w:hint="eastAsia" w:eastAsia="宋体"/>
                <w:szCs w:val="24"/>
                <w:lang w:val="en-US" w:eastAsia="zh-CN"/>
              </w:rPr>
              <w:t>证书和在技能人才评价证书全国联网查询截图（http://zscx.osta.org.cn/），如是人社部备案的第三方机构颁发的，还需提供该第三方机构在职业技能等级评价机构公示查询系统（http://pjjg.osta.org.cn/index.html）的查询截图等证明材料作为得分依据，不提供则不得分。</w:t>
            </w:r>
          </w:p>
          <w:p>
            <w:pPr>
              <w:keepNext w:val="0"/>
              <w:keepLines w:val="0"/>
              <w:pageBreakBefore w:val="0"/>
              <w:kinsoku/>
              <w:overflowPunct/>
              <w:topLinePunct w:val="0"/>
              <w:autoSpaceDE/>
              <w:autoSpaceDN/>
              <w:bidi w:val="0"/>
              <w:adjustRightInd/>
              <w:snapToGrid/>
              <w:spacing w:line="264" w:lineRule="auto"/>
              <w:textAlignment w:val="auto"/>
              <w:rPr>
                <w:rFonts w:hint="eastAsia" w:eastAsia="宋体"/>
                <w:szCs w:val="24"/>
                <w:lang w:val="en-US" w:eastAsia="zh-CN"/>
              </w:rPr>
            </w:pPr>
            <w:r>
              <w:rPr>
                <w:rFonts w:hint="eastAsia" w:eastAsia="宋体"/>
                <w:szCs w:val="24"/>
                <w:lang w:val="en-US" w:eastAsia="zh-CN"/>
              </w:rPr>
              <w:t>3、第4项提供相关证书扫描件；</w:t>
            </w:r>
          </w:p>
          <w:p>
            <w:pPr>
              <w:keepNext w:val="0"/>
              <w:keepLines w:val="0"/>
              <w:pageBreakBefore w:val="0"/>
              <w:widowControl w:val="0"/>
              <w:numPr>
                <w:ilvl w:val="0"/>
                <w:numId w:val="0"/>
              </w:numPr>
              <w:tabs>
                <w:tab w:val="left" w:pos="312"/>
              </w:tabs>
              <w:kinsoku/>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lang w:val="en-US" w:eastAsia="zh-CN"/>
              </w:rPr>
              <w:t>原件备查，</w:t>
            </w:r>
            <w:r>
              <w:rPr>
                <w:rFonts w:hint="eastAsia" w:ascii="宋体" w:hAnsi="宋体" w:eastAsia="宋体" w:cs="宋体"/>
                <w:sz w:val="21"/>
                <w:szCs w:val="21"/>
                <w:lang w:eastAsia="zh-CN"/>
              </w:rPr>
              <w:t>未提供或提供不齐全或提供不清晰或提供材料导致评委无法判断的，不得分。</w:t>
            </w:r>
          </w:p>
        </w:tc>
      </w:tr>
      <w:bookmarkEnd w:id="6"/>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restart"/>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4</w:t>
            </w:r>
          </w:p>
        </w:tc>
        <w:tc>
          <w:tcPr>
            <w:tcW w:w="4216" w:type="dxa"/>
            <w:gridSpan w:val="4"/>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诚信情况</w:t>
            </w:r>
          </w:p>
        </w:tc>
        <w:tc>
          <w:tcPr>
            <w:tcW w:w="4425" w:type="dxa"/>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8641" w:type="dxa"/>
            <w:gridSpan w:val="5"/>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708" w:type="dxa"/>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827"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p>
        </w:tc>
        <w:tc>
          <w:tcPr>
            <w:tcW w:w="4425" w:type="dxa"/>
            <w:tcBorders>
              <w:top w:val="outset" w:color="000000" w:sz="6" w:space="0"/>
              <w:left w:val="outset" w:color="000000" w:sz="6" w:space="0"/>
              <w:bottom w:val="outset" w:color="000000" w:sz="6" w:space="0"/>
              <w:right w:val="outset" w:color="000000" w:sz="6" w:space="0"/>
            </w:tcBorders>
            <w:shd w:val="clear" w:color="auto" w:fill="E6EFFA"/>
            <w:vAlign w:val="center"/>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681"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08" w:type="dxa"/>
            <w:gridSpan w:val="2"/>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诚信情况</w:t>
            </w:r>
          </w:p>
        </w:tc>
        <w:tc>
          <w:tcPr>
            <w:tcW w:w="827" w:type="dxa"/>
            <w:tcBorders>
              <w:top w:val="single" w:color="000000" w:sz="8" w:space="0"/>
              <w:left w:val="single" w:color="000000" w:sz="8" w:space="0"/>
              <w:bottom w:val="single" w:color="000000" w:sz="8" w:space="0"/>
              <w:right w:val="single" w:color="000000" w:sz="8" w:space="0"/>
            </w:tcBorders>
            <w:vAlign w:val="top"/>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4425" w:type="dxa"/>
            <w:tcBorders>
              <w:top w:val="single" w:color="000000" w:sz="8" w:space="0"/>
              <w:left w:val="single" w:color="000000" w:sz="8" w:space="0"/>
              <w:bottom w:val="single" w:color="000000" w:sz="8" w:space="0"/>
              <w:right w:val="single" w:color="000000" w:sz="8" w:space="0"/>
            </w:tcBorders>
          </w:tcPr>
          <w:p>
            <w:pPr>
              <w:pStyle w:val="10"/>
              <w:keepNext w:val="0"/>
              <w:keepLines w:val="0"/>
              <w:pageBreakBefore w:val="0"/>
              <w:widowControl w:val="0"/>
              <w:kinsoku/>
              <w:wordWrap w:val="0"/>
              <w:overflowPunct/>
              <w:topLinePunct w:val="0"/>
              <w:autoSpaceDE/>
              <w:autoSpaceDN/>
              <w:bidi w:val="0"/>
              <w:adjustRightInd/>
              <w:snapToGrid/>
              <w:spacing w:line="264" w:lineRule="auto"/>
              <w:textAlignment w:val="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highlight w:val="none"/>
                <w:lang w:val="en-US" w:eastAsia="zh-CN"/>
              </w:rPr>
              <w:t>有关</w:t>
            </w:r>
            <w:r>
              <w:rPr>
                <w:rFonts w:hint="eastAsia" w:asciiTheme="minorEastAsia" w:hAnsiTheme="minorEastAsia" w:eastAsiaTheme="minorEastAsia" w:cstheme="minorEastAsia"/>
                <w:b w:val="0"/>
                <w:bCs w:val="0"/>
                <w:sz w:val="21"/>
                <w:szCs w:val="21"/>
                <w:highlight w:val="none"/>
              </w:rPr>
              <w:t>供应商诚信查询结果。</w:t>
            </w:r>
          </w:p>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cantSplit/>
          <w:tblCellSpacing w:w="0" w:type="dxa"/>
          <w:jc w:val="center"/>
        </w:trPr>
        <w:tc>
          <w:tcPr>
            <w:tcW w:w="724" w:type="dxa"/>
            <w:vMerge w:val="continue"/>
            <w:tcBorders>
              <w:top w:val="single" w:color="000000" w:sz="8" w:space="0"/>
              <w:left w:val="single" w:color="000000" w:sz="8" w:space="0"/>
              <w:bottom w:val="single" w:color="000000" w:sz="8" w:space="0"/>
              <w:right w:val="single" w:color="000000" w:sz="8" w:space="0"/>
            </w:tcBorders>
            <w:vAlign w:val="center"/>
          </w:tcPr>
          <w:p>
            <w:pPr>
              <w:keepNext w:val="0"/>
              <w:keepLines w:val="0"/>
              <w:pageBreakBefore w:val="0"/>
              <w:kinsoku/>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b/>
                <w:bCs/>
                <w:color w:val="0000FF"/>
                <w:sz w:val="21"/>
                <w:szCs w:val="21"/>
                <w:highlight w:val="none"/>
              </w:rPr>
            </w:pPr>
          </w:p>
        </w:tc>
        <w:tc>
          <w:tcPr>
            <w:tcW w:w="8641" w:type="dxa"/>
            <w:gridSpan w:val="5"/>
            <w:tcBorders>
              <w:top w:val="single" w:color="000000" w:sz="8" w:space="0"/>
              <w:left w:val="single" w:color="000000" w:sz="8" w:space="0"/>
              <w:bottom w:val="single" w:color="000000" w:sz="8" w:space="0"/>
              <w:right w:val="single" w:color="000000" w:sz="8" w:space="0"/>
            </w:tcBorders>
          </w:tcPr>
          <w:p>
            <w:pPr>
              <w:keepNext w:val="0"/>
              <w:keepLines w:val="0"/>
              <w:pageBreakBefore w:val="0"/>
              <w:kinsoku/>
              <w:wordWrap w:val="0"/>
              <w:overflowPunct/>
              <w:topLinePunct w:val="0"/>
              <w:autoSpaceDE/>
              <w:autoSpaceDN/>
              <w:bidi w:val="0"/>
              <w:adjustRightInd/>
              <w:snapToGrid/>
              <w:spacing w:beforeAutospacing="0" w:afterAutospacing="0" w:line="264" w:lineRule="auto"/>
              <w:ind w:left="0" w:leftChars="0" w:right="0" w:firstLine="0" w:firstLineChars="0"/>
              <w:textAlignment w:val="auto"/>
              <w:rPr>
                <w:rFonts w:hint="eastAsia" w:ascii="宋体" w:hAnsi="宋体" w:eastAsia="宋体" w:cs="宋体"/>
                <w:sz w:val="21"/>
                <w:szCs w:val="21"/>
                <w:highlight w:val="none"/>
              </w:rPr>
            </w:pPr>
          </w:p>
        </w:tc>
      </w:tr>
    </w:tbl>
    <w:p>
      <w:pPr>
        <w:rPr>
          <w:b/>
          <w:sz w:val="120"/>
          <w:szCs w:val="120"/>
        </w:rPr>
      </w:pPr>
    </w:p>
    <w:p>
      <w:pPr>
        <w:jc w:val="center"/>
        <w:rPr>
          <w:b/>
          <w:sz w:val="120"/>
          <w:szCs w:val="120"/>
        </w:rPr>
      </w:pPr>
    </w:p>
    <w:p>
      <w:pPr>
        <w:rPr>
          <w:rFonts w:hint="eastAsia"/>
          <w:b/>
          <w:sz w:val="120"/>
          <w:szCs w:val="120"/>
        </w:rPr>
      </w:pPr>
      <w:r>
        <w:rPr>
          <w:rFonts w:hint="eastAsia"/>
          <w:b/>
          <w:sz w:val="120"/>
          <w:szCs w:val="120"/>
        </w:rPr>
        <w:br w:type="page"/>
      </w:r>
    </w:p>
    <w:p>
      <w:pPr>
        <w:jc w:val="center"/>
        <w:rPr>
          <w:rFonts w:hint="eastAsia"/>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2"/>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szCs w:val="21"/>
        </w:rPr>
        <w:t>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w:t>
      </w:r>
    </w:p>
    <w:p>
      <w:pPr>
        <w:ind w:firstLine="630" w:firstLineChars="300"/>
        <w:rPr>
          <w:rFonts w:hint="eastAsia" w:ascii="宋体" w:hAnsi="宋体" w:cs="宋体"/>
          <w:szCs w:val="21"/>
        </w:rPr>
      </w:pPr>
      <w:r>
        <w:rPr>
          <w:rFonts w:hint="eastAsia" w:ascii="宋体" w:hAnsi="宋体" w:cs="宋体"/>
          <w:kern w:val="0"/>
          <w:szCs w:val="21"/>
        </w:rPr>
        <w:t>2.本项目不接受联合体投标，不接受投标人选用进口产品参与投标；</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lang w:val="en-US" w:eastAsia="zh-CN"/>
        </w:rPr>
      </w:pPr>
      <w:r>
        <w:rPr>
          <w:rFonts w:hint="eastAsia" w:ascii="宋体" w:hAnsi="宋体" w:cs="宋体" w:eastAsiaTheme="minorEastAsia"/>
          <w:b w:val="0"/>
          <w:bCs w:val="0"/>
          <w:kern w:val="0"/>
          <w:szCs w:val="21"/>
          <w:lang w:val="en-US" w:eastAsia="zh-CN"/>
        </w:rPr>
        <w:t>9.投标人具有有效期内的《食品经营许可证》（提供证书扫描件，原件备查）。</w:t>
      </w:r>
    </w:p>
    <w:p>
      <w:pPr>
        <w:ind w:firstLine="630" w:firstLineChars="300"/>
        <w:rPr>
          <w:rFonts w:hint="eastAsia" w:ascii="宋体" w:hAnsi="宋体" w:cs="宋体" w:eastAsiaTheme="minorEastAsia"/>
          <w:kern w:val="0"/>
          <w:szCs w:val="21"/>
          <w:lang w:eastAsia="zh-CN"/>
        </w:rPr>
      </w:pPr>
      <w:r>
        <w:rPr>
          <w:rFonts w:hint="eastAsia" w:ascii="宋体" w:hAnsi="宋体" w:cs="宋体"/>
          <w:kern w:val="0"/>
          <w:szCs w:val="21"/>
          <w:lang w:val="en-US" w:eastAsia="zh-CN"/>
        </w:rPr>
        <w:t>10.</w:t>
      </w:r>
      <w:r>
        <w:rPr>
          <w:rFonts w:hint="eastAsia" w:ascii="宋体" w:hAnsi="宋体" w:cs="宋体" w:eastAsiaTheme="minorEastAsia"/>
          <w:kern w:val="0"/>
          <w:szCs w:val="21"/>
        </w:rPr>
        <w:t>本项目是（否）专门面向中小企业采购：否</w:t>
      </w:r>
      <w:r>
        <w:rPr>
          <w:rFonts w:hint="eastAsia" w:ascii="宋体" w:hAnsi="宋体" w:cs="宋体" w:eastAsiaTheme="minorEastAsia"/>
          <w:kern w:val="0"/>
          <w:szCs w:val="21"/>
          <w:lang w:eastAsia="zh-CN"/>
        </w:rPr>
        <w:t>。</w:t>
      </w:r>
    </w:p>
    <w:p>
      <w:pPr>
        <w:ind w:firstLine="630" w:firstLineChars="300"/>
        <w:rPr>
          <w:rFonts w:hint="eastAsia" w:asciiTheme="minorEastAsia" w:hAnsiTheme="minorEastAsia" w:eastAsiaTheme="minorEastAsia" w:cstheme="minorEastAsia"/>
          <w:color w:val="auto"/>
          <w:kern w:val="0"/>
          <w:szCs w:val="21"/>
          <w:highlight w:val="none"/>
          <w:lang w:eastAsia="zh-CN"/>
        </w:rPr>
      </w:pPr>
    </w:p>
    <w:p>
      <w:pPr>
        <w:ind w:firstLine="630" w:firstLineChars="300"/>
        <w:rPr>
          <w:rFonts w:hint="eastAsia" w:asciiTheme="minorEastAsia" w:hAnsiTheme="minorEastAsia" w:eastAsiaTheme="minorEastAsia" w:cstheme="minorEastAsia"/>
          <w:color w:val="auto"/>
          <w:kern w:val="0"/>
          <w:szCs w:val="21"/>
          <w:highlight w:val="none"/>
          <w:lang w:eastAsia="zh-CN"/>
        </w:rPr>
      </w:pPr>
    </w:p>
    <w:p>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numPr>
          <w:ilvl w:val="0"/>
          <w:numId w:val="2"/>
        </w:numPr>
        <w:ind w:firstLine="420" w:firstLineChars="200"/>
        <w:rPr>
          <w:rFonts w:hint="eastAsia" w:ascii="宋体" w:hAnsi="宋体"/>
        </w:rPr>
      </w:pPr>
      <w:r>
        <w:rPr>
          <w:rFonts w:hint="eastAsia" w:ascii="宋体" w:hAnsi="宋体"/>
        </w:rPr>
        <w:t>供应商投标（上传投标文件）必须先行办理注册手续，具体请按照相关内容指引办理。</w:t>
      </w:r>
    </w:p>
    <w:p>
      <w:pPr>
        <w:numPr>
          <w:ilvl w:val="0"/>
          <w:numId w:val="0"/>
        </w:numPr>
        <w:rPr>
          <w:rFonts w:hint="eastAsia" w:ascii="宋体" w:hAnsi="宋体"/>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w:t>
      </w:r>
      <w:bookmarkStart w:id="7" w:name="OLE_LINK52"/>
      <w:r>
        <w:rPr>
          <w:rFonts w:hint="eastAsia"/>
          <w:b/>
          <w:color w:val="FF0000"/>
          <w:sz w:val="30"/>
          <w:szCs w:val="30"/>
        </w:rPr>
        <w:t>https://zxcg.szggzy.com/home/index.html</w:t>
      </w:r>
      <w:bookmarkEnd w:id="7"/>
      <w:r>
        <w:rPr>
          <w:rFonts w:hint="eastAsia"/>
          <w:b/>
          <w:color w:val="FF0000"/>
          <w:sz w:val="30"/>
          <w:szCs w:val="30"/>
        </w:rPr>
        <w:t>）</w:t>
      </w: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8" w:name="OLE_LINK39"/>
      <w:bookmarkStart w:id="9" w:name="_Hlk71926094"/>
      <w:r>
        <w:rPr>
          <w:rFonts w:hint="eastAsia" w:ascii="宋体" w:hAnsi="宋体" w:eastAsia="宋体" w:cs="Times New Roman"/>
          <w:b/>
          <w:bCs/>
          <w:kern w:val="0"/>
          <w:sz w:val="28"/>
          <w:szCs w:val="28"/>
        </w:rPr>
        <w:t>对通用条款的补充内容及其他关键信息</w:t>
      </w:r>
      <w:bookmarkEnd w:id="8"/>
      <w:bookmarkEnd w:id="9"/>
    </w:p>
    <w:p>
      <w:pPr>
        <w:keepNext/>
        <w:keepLines/>
        <w:adjustRightInd w:val="0"/>
        <w:spacing w:before="156" w:beforeLines="50" w:after="156" w:afterLines="50"/>
        <w:jc w:val="center"/>
        <w:textAlignment w:val="baseline"/>
        <w:outlineLvl w:val="2"/>
        <w:rPr>
          <w:rFonts w:ascii="宋体" w:hAnsi="宋体" w:eastAsia="宋体" w:cs="Times New Roman"/>
          <w:b/>
          <w:bCs/>
          <w:kern w:val="0"/>
          <w:sz w:val="24"/>
          <w:szCs w:val="24"/>
        </w:rPr>
      </w:pPr>
      <w:bookmarkStart w:id="10" w:name="_Toc101074876"/>
      <w:bookmarkStart w:id="11" w:name="_Toc73521547"/>
      <w:bookmarkStart w:id="12" w:name="_Toc100052364"/>
      <w:bookmarkStart w:id="13" w:name="_Toc73518117"/>
      <w:bookmarkStart w:id="14" w:name="_Toc60560625"/>
      <w:bookmarkStart w:id="15" w:name="_Toc73517639"/>
      <w:bookmarkStart w:id="16" w:name="_Toc73521635"/>
      <w:bookmarkStart w:id="17" w:name="_Toc60631620"/>
      <w:r>
        <w:rPr>
          <w:rFonts w:hint="eastAsia" w:ascii="宋体" w:hAnsi="宋体" w:eastAsia="宋体" w:cs="Times New Roman"/>
          <w:b/>
          <w:bCs/>
          <w:kern w:val="0"/>
          <w:sz w:val="24"/>
          <w:szCs w:val="24"/>
        </w:rPr>
        <w:t>一、对通用条款的补充内容</w:t>
      </w:r>
    </w:p>
    <w:tbl>
      <w:tblPr>
        <w:tblStyle w:val="23"/>
        <w:tblW w:w="90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78"/>
        <w:gridCol w:w="1965"/>
        <w:gridCol w:w="616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b/>
                <w:bCs/>
              </w:rPr>
            </w:pPr>
            <w:r>
              <w:rPr>
                <w:rFonts w:hint="eastAsia" w:ascii="宋体" w:hAnsi="宋体"/>
                <w:b/>
                <w:bCs/>
              </w:rPr>
              <w:t>通用条款序号</w:t>
            </w:r>
          </w:p>
        </w:tc>
        <w:tc>
          <w:tcPr>
            <w:tcW w:w="1965" w:type="dxa"/>
            <w:vAlign w:val="center"/>
          </w:tcPr>
          <w:p>
            <w:pPr>
              <w:jc w:val="center"/>
              <w:rPr>
                <w:rFonts w:ascii="宋体" w:hAnsi="宋体"/>
                <w:b/>
                <w:bCs/>
              </w:rPr>
            </w:pPr>
            <w:r>
              <w:rPr>
                <w:rFonts w:hint="eastAsia" w:ascii="宋体" w:hAnsi="宋体"/>
                <w:b/>
                <w:bCs/>
              </w:rPr>
              <w:t>涉及事项</w:t>
            </w:r>
          </w:p>
        </w:tc>
        <w:tc>
          <w:tcPr>
            <w:tcW w:w="6162" w:type="dxa"/>
            <w:vAlign w:val="center"/>
          </w:tcPr>
          <w:p>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3</w:t>
            </w:r>
            <w:r>
              <w:rPr>
                <w:rFonts w:ascii="宋体" w:hAnsi="宋体"/>
              </w:rPr>
              <w:t>.1</w:t>
            </w:r>
          </w:p>
        </w:tc>
        <w:tc>
          <w:tcPr>
            <w:tcW w:w="1965" w:type="dxa"/>
            <w:vAlign w:val="center"/>
          </w:tcPr>
          <w:p>
            <w:pPr>
              <w:jc w:val="center"/>
            </w:pPr>
            <w:r>
              <w:rPr>
                <w:rFonts w:hint="eastAsia"/>
              </w:rPr>
              <w:t>采购人</w:t>
            </w:r>
          </w:p>
        </w:tc>
        <w:tc>
          <w:tcPr>
            <w:tcW w:w="6162" w:type="dxa"/>
            <w:vAlign w:val="center"/>
          </w:tcPr>
          <w:p>
            <w:pPr>
              <w:jc w:val="center"/>
              <w:rPr>
                <w:rFonts w:ascii="宋体" w:hAnsi="宋体"/>
                <w:color w:val="0000FF"/>
              </w:rPr>
            </w:pPr>
            <w:r>
              <w:rPr>
                <w:rFonts w:hint="eastAsia" w:ascii="宋体" w:hAnsi="宋体"/>
                <w:b/>
                <w:bCs/>
                <w:color w:val="0000FF"/>
                <w:highlight w:val="none"/>
                <w:lang w:eastAsia="zh-CN"/>
              </w:rPr>
              <w:t>深圳市</w:t>
            </w:r>
            <w:r>
              <w:rPr>
                <w:rFonts w:hint="eastAsia" w:ascii="宋体" w:hAnsi="宋体"/>
                <w:b/>
                <w:bCs/>
                <w:color w:val="0000FF"/>
                <w:highlight w:val="none"/>
                <w:lang w:val="en-US" w:eastAsia="zh-CN"/>
              </w:rPr>
              <w:t>龙华科技实验高级中学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3</w:t>
            </w:r>
            <w:r>
              <w:rPr>
                <w:rFonts w:ascii="宋体" w:hAnsi="宋体"/>
              </w:rPr>
              <w:t>.2</w:t>
            </w:r>
          </w:p>
        </w:tc>
        <w:tc>
          <w:tcPr>
            <w:tcW w:w="1965" w:type="dxa"/>
            <w:vAlign w:val="center"/>
          </w:tcPr>
          <w:p>
            <w:pPr>
              <w:jc w:val="center"/>
              <w:rPr>
                <w:rFonts w:ascii="宋体" w:hAnsi="宋体"/>
              </w:rPr>
            </w:pPr>
            <w:r>
              <w:rPr>
                <w:rFonts w:hint="eastAsia" w:ascii="宋体" w:hAnsi="宋体"/>
              </w:rPr>
              <w:t>政府集中采购机构</w:t>
            </w:r>
          </w:p>
        </w:tc>
        <w:tc>
          <w:tcPr>
            <w:tcW w:w="6162" w:type="dxa"/>
            <w:vAlign w:val="center"/>
          </w:tcPr>
          <w:p>
            <w:pPr>
              <w:jc w:val="center"/>
              <w:rPr>
                <w:rFonts w:hint="eastAsia" w:ascii="Arial" w:hAnsi="Arial" w:eastAsia="宋体" w:cs="Times New Roman"/>
                <w:szCs w:val="24"/>
              </w:rPr>
            </w:pPr>
            <w:r>
              <w:rPr>
                <w:rFonts w:hint="eastAsia" w:ascii="Arial" w:hAnsi="Arial" w:eastAsia="宋体" w:cs="Times New Roman"/>
                <w:szCs w:val="24"/>
              </w:rPr>
              <w:t>深圳公共资源交易中心</w:t>
            </w:r>
          </w:p>
          <w:p>
            <w:pPr>
              <w:jc w:val="center"/>
              <w:rPr>
                <w:rFonts w:ascii="宋体" w:hAnsi="宋体"/>
              </w:rPr>
            </w:pPr>
            <w:r>
              <w:rPr>
                <w:rFonts w:hint="eastAsia" w:ascii="Arial" w:hAnsi="Arial" w:eastAsia="宋体" w:cs="Times New Roman"/>
                <w:szCs w:val="24"/>
              </w:rPr>
              <w:t>（深圳交易集团有限公司龙华分公司）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9</w:t>
            </w:r>
          </w:p>
        </w:tc>
        <w:tc>
          <w:tcPr>
            <w:tcW w:w="1965" w:type="dxa"/>
            <w:vAlign w:val="center"/>
          </w:tcPr>
          <w:p>
            <w:pPr>
              <w:jc w:val="center"/>
              <w:rPr>
                <w:rFonts w:ascii="宋体" w:hAnsi="宋体"/>
              </w:rPr>
            </w:pPr>
            <w:r>
              <w:rPr>
                <w:rFonts w:hint="eastAsia" w:ascii="宋体" w:hAnsi="宋体"/>
              </w:rPr>
              <w:t>踏勘现场</w:t>
            </w:r>
          </w:p>
        </w:tc>
        <w:tc>
          <w:tcPr>
            <w:tcW w:w="6162" w:type="dxa"/>
            <w:vAlign w:val="center"/>
          </w:tcPr>
          <w:p>
            <w:pPr>
              <w:jc w:val="center"/>
              <w:rPr>
                <w:rFonts w:ascii="Arial" w:hAnsi="Arial" w:eastAsia="宋体" w:cs="Times New Roman"/>
                <w:szCs w:val="24"/>
                <w:highlight w:val="yellow"/>
              </w:rPr>
            </w:pPr>
            <w:r>
              <w:rPr>
                <w:rFonts w:hint="eastAsia" w:ascii="Arial" w:hAnsi="Arial" w:eastAsia="宋体" w:cs="Times New Roman"/>
                <w:szCs w:val="24"/>
                <w:highlight w:val="yellow"/>
                <w:lang w:eastAsia="zh-CN"/>
              </w:rPr>
              <w:t>不</w:t>
            </w:r>
            <w:r>
              <w:rPr>
                <w:rFonts w:hint="eastAsia" w:ascii="Arial" w:hAnsi="Arial" w:eastAsia="宋体" w:cs="Times New Roman"/>
                <w:szCs w:val="24"/>
                <w:highlight w:val="yellow"/>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1</w:t>
            </w:r>
            <w:r>
              <w:rPr>
                <w:rFonts w:ascii="宋体" w:hAnsi="宋体"/>
              </w:rPr>
              <w:t>0</w:t>
            </w:r>
          </w:p>
        </w:tc>
        <w:tc>
          <w:tcPr>
            <w:tcW w:w="1965" w:type="dxa"/>
            <w:vAlign w:val="center"/>
          </w:tcPr>
          <w:p>
            <w:pPr>
              <w:jc w:val="center"/>
              <w:rPr>
                <w:rFonts w:ascii="宋体" w:hAnsi="宋体"/>
              </w:rPr>
            </w:pPr>
            <w:r>
              <w:rPr>
                <w:rFonts w:hint="eastAsia" w:ascii="宋体" w:hAnsi="宋体"/>
              </w:rPr>
              <w:t>标前会议</w:t>
            </w:r>
          </w:p>
        </w:tc>
        <w:tc>
          <w:tcPr>
            <w:tcW w:w="6162" w:type="dxa"/>
            <w:vAlign w:val="center"/>
          </w:tcPr>
          <w:p>
            <w:pPr>
              <w:jc w:val="center"/>
              <w:rPr>
                <w:rFonts w:ascii="Arial" w:hAnsi="Arial" w:eastAsia="宋体" w:cs="Times New Roman"/>
                <w:szCs w:val="24"/>
                <w:highlight w:val="yellow"/>
              </w:rPr>
            </w:pPr>
            <w:r>
              <w:rPr>
                <w:rFonts w:hint="eastAsia" w:ascii="Arial" w:hAnsi="Arial" w:eastAsia="宋体" w:cs="Times New Roman"/>
                <w:szCs w:val="24"/>
                <w:highlight w:val="yellow"/>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965" w:type="dxa"/>
            <w:vAlign w:val="center"/>
          </w:tcPr>
          <w:p>
            <w:pPr>
              <w:jc w:val="center"/>
              <w:rPr>
                <w:rFonts w:ascii="宋体" w:hAnsi="宋体"/>
              </w:rPr>
            </w:pPr>
            <w:r>
              <w:rPr>
                <w:rFonts w:hint="eastAsia" w:ascii="宋体" w:hAnsi="宋体"/>
              </w:rPr>
              <w:t>招标文件的澄清和修改</w:t>
            </w:r>
          </w:p>
        </w:tc>
        <w:tc>
          <w:tcPr>
            <w:tcW w:w="6162" w:type="dxa"/>
            <w:vAlign w:val="center"/>
          </w:tcPr>
          <w:p>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2</w:t>
            </w:r>
            <w:r>
              <w:rPr>
                <w:rFonts w:ascii="宋体" w:hAnsi="宋体"/>
              </w:rPr>
              <w:t>0</w:t>
            </w:r>
          </w:p>
        </w:tc>
        <w:tc>
          <w:tcPr>
            <w:tcW w:w="1965" w:type="dxa"/>
            <w:vAlign w:val="center"/>
          </w:tcPr>
          <w:p>
            <w:pPr>
              <w:jc w:val="center"/>
              <w:rPr>
                <w:rFonts w:ascii="宋体" w:hAnsi="宋体"/>
              </w:rPr>
            </w:pPr>
            <w:r>
              <w:rPr>
                <w:rFonts w:hint="eastAsia" w:ascii="宋体" w:hAnsi="宋体"/>
              </w:rPr>
              <w:t>投标有效期</w:t>
            </w:r>
          </w:p>
        </w:tc>
        <w:tc>
          <w:tcPr>
            <w:tcW w:w="6162" w:type="dxa"/>
            <w:vAlign w:val="center"/>
          </w:tcPr>
          <w:p>
            <w:pPr>
              <w:jc w:val="center"/>
              <w:rPr>
                <w:rFonts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2</w:t>
            </w:r>
            <w:r>
              <w:rPr>
                <w:rFonts w:ascii="宋体" w:hAnsi="宋体"/>
              </w:rPr>
              <w:t>2</w:t>
            </w:r>
          </w:p>
        </w:tc>
        <w:tc>
          <w:tcPr>
            <w:tcW w:w="1965" w:type="dxa"/>
            <w:vAlign w:val="center"/>
          </w:tcPr>
          <w:p>
            <w:pPr>
              <w:jc w:val="center"/>
              <w:rPr>
                <w:rFonts w:ascii="宋体" w:hAnsi="宋体"/>
              </w:rPr>
            </w:pPr>
            <w:r>
              <w:rPr>
                <w:rFonts w:hint="eastAsia" w:ascii="宋体" w:hAnsi="宋体"/>
              </w:rPr>
              <w:t>投标人的替代方案</w:t>
            </w:r>
          </w:p>
        </w:tc>
        <w:tc>
          <w:tcPr>
            <w:tcW w:w="6162" w:type="dxa"/>
            <w:vAlign w:val="center"/>
          </w:tcPr>
          <w:p>
            <w:pPr>
              <w:jc w:val="center"/>
              <w:rPr>
                <w:rFonts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2</w:t>
            </w:r>
            <w:r>
              <w:rPr>
                <w:rFonts w:ascii="宋体" w:hAnsi="宋体"/>
              </w:rPr>
              <w:t>5</w:t>
            </w:r>
          </w:p>
        </w:tc>
        <w:tc>
          <w:tcPr>
            <w:tcW w:w="1965" w:type="dxa"/>
            <w:vAlign w:val="center"/>
          </w:tcPr>
          <w:p>
            <w:pPr>
              <w:jc w:val="center"/>
              <w:rPr>
                <w:rFonts w:ascii="宋体" w:hAnsi="宋体"/>
              </w:rPr>
            </w:pPr>
            <w:r>
              <w:rPr>
                <w:rFonts w:hint="eastAsia" w:ascii="宋体" w:hAnsi="宋体"/>
              </w:rPr>
              <w:t>投标文件的大小</w:t>
            </w:r>
          </w:p>
        </w:tc>
        <w:tc>
          <w:tcPr>
            <w:tcW w:w="6162" w:type="dxa"/>
            <w:vAlign w:val="center"/>
          </w:tcPr>
          <w:p>
            <w:pPr>
              <w:jc w:val="center"/>
              <w:rPr>
                <w:rFonts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2</w:t>
            </w:r>
            <w:r>
              <w:rPr>
                <w:rFonts w:ascii="宋体" w:hAnsi="宋体"/>
              </w:rPr>
              <w:t>6</w:t>
            </w:r>
          </w:p>
        </w:tc>
        <w:tc>
          <w:tcPr>
            <w:tcW w:w="1965" w:type="dxa"/>
            <w:vAlign w:val="center"/>
          </w:tcPr>
          <w:p>
            <w:pPr>
              <w:jc w:val="center"/>
              <w:rPr>
                <w:rFonts w:ascii="宋体" w:hAnsi="宋体"/>
              </w:rPr>
            </w:pPr>
            <w:bookmarkStart w:id="18" w:name="_Hlk71664860"/>
            <w:r>
              <w:rPr>
                <w:rFonts w:hint="eastAsia" w:ascii="宋体" w:hAnsi="宋体"/>
              </w:rPr>
              <w:t>样品、现场演示、方案讲解</w:t>
            </w:r>
            <w:bookmarkEnd w:id="18"/>
          </w:p>
        </w:tc>
        <w:tc>
          <w:tcPr>
            <w:tcW w:w="6162" w:type="dxa"/>
            <w:vAlign w:val="center"/>
          </w:tcPr>
          <w:p>
            <w:pPr>
              <w:jc w:val="center"/>
              <w:rPr>
                <w:rFonts w:hint="eastAsia" w:asciiTheme="minorEastAsia" w:hAnsiTheme="minorEastAsia" w:eastAsiaTheme="minorEastAsia"/>
              </w:rPr>
            </w:pPr>
            <w:r>
              <w:rPr>
                <w:rFonts w:hint="eastAsia" w:asciiTheme="minorEastAsia" w:hAnsiTheme="minorEastAsia" w:eastAsiaTheme="minorEastAsia"/>
              </w:rPr>
              <w:t>如有样品、</w:t>
            </w:r>
            <w:r>
              <w:rPr>
                <w:rFonts w:hint="eastAsia" w:asciiTheme="minorEastAsia" w:hAnsiTheme="minorEastAsia"/>
                <w:lang w:eastAsia="zh-CN"/>
              </w:rPr>
              <w:t>现场</w:t>
            </w:r>
            <w:r>
              <w:rPr>
                <w:rFonts w:hint="eastAsia" w:asciiTheme="minorEastAsia" w:hAnsiTheme="minorEastAsia" w:eastAsiaTheme="minorEastAsia"/>
              </w:rPr>
              <w:t>演示、方案讲解，</w:t>
            </w:r>
          </w:p>
          <w:p>
            <w:pPr>
              <w:jc w:val="center"/>
              <w:rPr>
                <w:rFonts w:ascii="宋体" w:hAnsi="宋体"/>
              </w:rPr>
            </w:pPr>
            <w:r>
              <w:rPr>
                <w:rFonts w:hint="eastAsia" w:asciiTheme="minorEastAsia" w:hAnsiTheme="minorEastAsia" w:eastAsiaTheme="minorEastAsia"/>
              </w:rPr>
              <w:t>具体安排见用户需求书相关要求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3</w:t>
            </w:r>
            <w:r>
              <w:rPr>
                <w:rFonts w:ascii="宋体" w:hAnsi="宋体"/>
              </w:rPr>
              <w:t>7</w:t>
            </w:r>
          </w:p>
        </w:tc>
        <w:tc>
          <w:tcPr>
            <w:tcW w:w="1965" w:type="dxa"/>
            <w:vAlign w:val="center"/>
          </w:tcPr>
          <w:p>
            <w:pPr>
              <w:jc w:val="center"/>
              <w:rPr>
                <w:rFonts w:ascii="宋体" w:hAnsi="宋体"/>
              </w:rPr>
            </w:pPr>
            <w:r>
              <w:rPr>
                <w:rFonts w:hint="eastAsia" w:ascii="宋体" w:hAnsi="宋体"/>
              </w:rPr>
              <w:t>评审方法</w:t>
            </w:r>
          </w:p>
        </w:tc>
        <w:tc>
          <w:tcPr>
            <w:tcW w:w="6162" w:type="dxa"/>
            <w:vAlign w:val="center"/>
          </w:tcPr>
          <w:p>
            <w:pPr>
              <w:jc w:val="center"/>
              <w:rPr>
                <w:rFonts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3</w:t>
            </w:r>
            <w:r>
              <w:rPr>
                <w:rFonts w:ascii="宋体" w:hAnsi="宋体"/>
              </w:rPr>
              <w:t>8</w:t>
            </w:r>
          </w:p>
        </w:tc>
        <w:tc>
          <w:tcPr>
            <w:tcW w:w="1965" w:type="dxa"/>
            <w:vAlign w:val="center"/>
          </w:tcPr>
          <w:p>
            <w:pPr>
              <w:jc w:val="center"/>
              <w:rPr>
                <w:rFonts w:ascii="宋体" w:hAnsi="宋体"/>
              </w:rPr>
            </w:pPr>
            <w:r>
              <w:rPr>
                <w:rFonts w:hint="eastAsia" w:ascii="宋体" w:hAnsi="宋体"/>
              </w:rPr>
              <w:t>定标方法</w:t>
            </w:r>
          </w:p>
        </w:tc>
        <w:tc>
          <w:tcPr>
            <w:tcW w:w="6162" w:type="dxa"/>
            <w:vAlign w:val="center"/>
          </w:tcPr>
          <w:p>
            <w:pPr>
              <w:jc w:val="center"/>
              <w:rPr>
                <w:rFonts w:ascii="宋体" w:hAnsi="宋体"/>
                <w:b/>
                <w:bCs/>
                <w:highlight w:val="yellow"/>
              </w:rPr>
            </w:pPr>
            <w:r>
              <w:rPr>
                <w:rFonts w:hint="eastAsia" w:ascii="宋体" w:hAnsi="宋体" w:eastAsia="宋体" w:cs="Times New Roman"/>
                <w:b/>
                <w:bCs/>
                <w:szCs w:val="21"/>
                <w:highlight w:val="yellow"/>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8" w:type="dxa"/>
            <w:vAlign w:val="center"/>
          </w:tcPr>
          <w:p>
            <w:pPr>
              <w:jc w:val="center"/>
              <w:rPr>
                <w:rFonts w:ascii="宋体" w:hAnsi="宋体"/>
              </w:rPr>
            </w:pPr>
            <w:r>
              <w:rPr>
                <w:rFonts w:hint="eastAsia" w:ascii="宋体" w:hAnsi="宋体"/>
              </w:rPr>
              <w:t>4</w:t>
            </w:r>
            <w:r>
              <w:rPr>
                <w:rFonts w:ascii="宋体" w:hAnsi="宋体"/>
              </w:rPr>
              <w:t>6</w:t>
            </w:r>
          </w:p>
        </w:tc>
        <w:tc>
          <w:tcPr>
            <w:tcW w:w="1965" w:type="dxa"/>
            <w:vAlign w:val="center"/>
          </w:tcPr>
          <w:p>
            <w:pPr>
              <w:jc w:val="center"/>
              <w:rPr>
                <w:rFonts w:ascii="宋体" w:hAnsi="宋体"/>
              </w:rPr>
            </w:pPr>
            <w:r>
              <w:rPr>
                <w:rFonts w:hint="eastAsia" w:ascii="宋体" w:hAnsi="宋体"/>
              </w:rPr>
              <w:t>履约担保</w:t>
            </w:r>
          </w:p>
        </w:tc>
        <w:tc>
          <w:tcPr>
            <w:tcW w:w="6162" w:type="dxa"/>
            <w:vAlign w:val="center"/>
          </w:tcPr>
          <w:p>
            <w:pPr>
              <w:jc w:val="center"/>
              <w:rPr>
                <w:rFonts w:ascii="宋体" w:hAnsi="宋体"/>
              </w:rPr>
            </w:pPr>
            <w:r>
              <w:rPr>
                <w:rFonts w:hint="eastAsia" w:ascii="宋体" w:hAnsi="宋体"/>
              </w:rPr>
              <w:t>不需要</w:t>
            </w:r>
          </w:p>
        </w:tc>
      </w:tr>
      <w:bookmarkEnd w:id="10"/>
      <w:bookmarkEnd w:id="11"/>
      <w:bookmarkEnd w:id="12"/>
      <w:bookmarkEnd w:id="13"/>
      <w:bookmarkEnd w:id="14"/>
      <w:bookmarkEnd w:id="15"/>
      <w:bookmarkEnd w:id="16"/>
      <w:bookmarkEnd w:id="17"/>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w:t>
      </w:r>
      <w:bookmarkStart w:id="19" w:name="OLE_LINK36"/>
      <w:r>
        <w:rPr>
          <w:rFonts w:hint="eastAsia" w:ascii="宋体" w:hAnsi="宋体" w:eastAsia="宋体" w:cs="Times New Roman"/>
          <w:b/>
          <w:bCs/>
          <w:kern w:val="0"/>
          <w:sz w:val="24"/>
          <w:szCs w:val="24"/>
        </w:rPr>
        <w:t>其他关键信息</w:t>
      </w:r>
      <w:bookmarkEnd w:id="19"/>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2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jc w:val="center"/>
            </w:pPr>
            <w:r>
              <w:rPr>
                <w:rFonts w:hint="eastAsia"/>
              </w:rPr>
              <w:t>候选中标供应商家数</w:t>
            </w:r>
          </w:p>
        </w:tc>
        <w:tc>
          <w:tcPr>
            <w:tcW w:w="3235" w:type="dxa"/>
          </w:tcPr>
          <w:p>
            <w:pPr>
              <w:jc w:val="center"/>
              <w:rPr>
                <w:rFonts w:hint="eastAsia" w:eastAsia="宋体"/>
                <w:lang w:eastAsia="zh-CN"/>
              </w:rPr>
            </w:pPr>
            <w:r>
              <w:rPr>
                <w:rFonts w:hint="default" w:eastAsia="宋体"/>
                <w:lang w:val="en-US"/>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tcPr>
          <w:p>
            <w:pPr>
              <w:jc w:val="center"/>
            </w:pPr>
            <w:r>
              <w:rPr>
                <w:rFonts w:hint="eastAsia"/>
              </w:rPr>
              <w:t>中标供应商家数</w:t>
            </w:r>
          </w:p>
        </w:tc>
        <w:tc>
          <w:tcPr>
            <w:tcW w:w="3235" w:type="dxa"/>
          </w:tcPr>
          <w:p>
            <w:pPr>
              <w:jc w:val="center"/>
              <w:rPr>
                <w:rFonts w:hint="eastAsia" w:eastAsiaTheme="minorEastAsia"/>
                <w:lang w:eastAsia="zh-CN"/>
              </w:rPr>
            </w:pPr>
            <w:r>
              <w:rPr>
                <w:rFonts w:hint="default"/>
                <w:lang w:val="en-US"/>
              </w:rPr>
              <w:t>1</w:t>
            </w:r>
          </w:p>
        </w:tc>
        <w:tc>
          <w:tcPr>
            <w:tcW w:w="2450" w:type="dxa"/>
          </w:tcPr>
          <w:p>
            <w:pPr>
              <w:jc w:val="center"/>
            </w:pPr>
            <w:r>
              <w:rPr>
                <w:rFonts w:hint="eastAsia"/>
              </w:rPr>
              <w:t>1</w:t>
            </w:r>
          </w:p>
        </w:tc>
      </w:tr>
    </w:tbl>
    <w:p>
      <w:pPr>
        <w:tabs>
          <w:tab w:val="left" w:pos="720"/>
        </w:tabs>
        <w:rPr>
          <w:rFonts w:ascii="黑体" w:hAnsi="宋体" w:eastAsia="黑体"/>
          <w:sz w:val="24"/>
        </w:rPr>
      </w:pPr>
    </w:p>
    <w:p>
      <w:pPr>
        <w:tabs>
          <w:tab w:val="left" w:pos="720"/>
        </w:tabs>
        <w:spacing w:line="240" w:lineRule="auto"/>
        <w:rPr>
          <w:rFonts w:ascii="黑体" w:hAnsi="宋体" w:eastAsia="黑体"/>
          <w:sz w:val="24"/>
        </w:rPr>
      </w:pPr>
      <w:r>
        <w:rPr>
          <w:rFonts w:hint="eastAsia" w:ascii="黑体" w:hAnsi="宋体" w:eastAsia="黑体"/>
          <w:sz w:val="24"/>
        </w:rPr>
        <w:t>（二）其他事项</w:t>
      </w:r>
    </w:p>
    <w:p>
      <w:pPr>
        <w:tabs>
          <w:tab w:val="left" w:pos="720"/>
        </w:tabs>
        <w:spacing w:line="240" w:lineRule="auto"/>
        <w:ind w:left="0" w:leftChars="0" w:firstLine="420" w:firstLineChars="175"/>
        <w:rPr>
          <w:rFonts w:ascii="黑体" w:hAnsi="宋体" w:eastAsia="黑体"/>
          <w:sz w:val="24"/>
        </w:rPr>
      </w:pPr>
      <w:r>
        <w:rPr>
          <w:rFonts w:hint="eastAsia" w:ascii="黑体" w:hAnsi="宋体" w:eastAsia="黑体"/>
          <w:sz w:val="24"/>
        </w:rPr>
        <w:t>1、关于享受优惠政策的主体、价格扣除比例及采购标的所属行业</w:t>
      </w:r>
    </w:p>
    <w:p>
      <w:pPr>
        <w:spacing w:line="240" w:lineRule="auto"/>
        <w:ind w:firstLine="413" w:firstLineChars="196"/>
        <w:rPr>
          <w:rFonts w:ascii="宋体" w:hAnsi="宋体"/>
          <w:b/>
          <w:bCs/>
        </w:rPr>
      </w:pPr>
      <w:r>
        <w:rPr>
          <w:rFonts w:hint="eastAsia" w:ascii="宋体" w:hAnsi="宋体"/>
          <w:b/>
          <w:bCs/>
        </w:rPr>
        <w:t>（1）</w:t>
      </w:r>
      <w:r>
        <w:rPr>
          <w:rFonts w:hint="eastAsia"/>
          <w:b/>
          <w:bCs/>
        </w:rPr>
        <w:t>专门面向中小企业采购的项目（包括联合体或分包预留中小企业份额的项目），不再执行价格扣除比例。</w:t>
      </w:r>
    </w:p>
    <w:p>
      <w:pPr>
        <w:spacing w:line="240" w:lineRule="auto"/>
        <w:ind w:firstLine="411" w:firstLineChars="196"/>
        <w:rPr>
          <w:rFonts w:ascii="Arial" w:hAnsi="Arial" w:eastAsia="宋体" w:cs="Times New Roman"/>
          <w:b/>
          <w:color w:val="0000FF"/>
          <w:szCs w:val="21"/>
          <w:highlight w:val="yellow"/>
        </w:rPr>
      </w:pPr>
      <w:r>
        <w:rPr>
          <w:rFonts w:hint="eastAsia" w:ascii="宋体" w:hAnsi="宋体"/>
        </w:rPr>
        <w:t>（2）</w:t>
      </w:r>
      <w:r>
        <w:rPr>
          <w:rFonts w:hint="eastAsia"/>
        </w:rPr>
        <w:t>非</w:t>
      </w:r>
      <w:r>
        <w:rPr>
          <w:rFonts w:hint="eastAsia" w:ascii="Times New Roman" w:eastAsia="宋体"/>
        </w:rPr>
        <w:t>专门面向中小企业采购的项目，</w:t>
      </w:r>
      <w:r>
        <w:rPr>
          <w:rFonts w:hint="eastAsia"/>
        </w:rPr>
        <w:t>应</w:t>
      </w:r>
      <w:r>
        <w:rPr>
          <w:rFonts w:hint="eastAsia" w:ascii="Times New Roman" w:eastAsia="宋体"/>
        </w:rPr>
        <w:t>执行价格扣除比例</w:t>
      </w:r>
      <w:r>
        <w:rPr>
          <w:rFonts w:hint="eastAsia"/>
        </w:rPr>
        <w:t>：</w:t>
      </w:r>
      <w:r>
        <w:rPr>
          <w:rFonts w:hint="eastAsia" w:ascii="宋体" w:hAnsi="宋体"/>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 xml:space="preserve"> </w:t>
      </w:r>
      <w:r>
        <w:rPr>
          <w:rFonts w:hint="eastAsia" w:ascii="宋体" w:hAnsi="宋体"/>
          <w:b/>
          <w:bCs/>
          <w:color w:val="FF0000"/>
          <w:highlight w:val="yellow"/>
          <w:u w:val="single"/>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rPr>
        <w:t>的扣除，用扣除后的价格参与评审。满足多项优惠政策的企业，不重复享受多项价格扣除政策。</w:t>
      </w:r>
      <w:r>
        <w:rPr>
          <w:rFonts w:hint="eastAsia" w:ascii="Arial" w:hAnsi="Arial" w:eastAsia="宋体" w:cs="Times New Roman"/>
          <w:b/>
          <w:szCs w:val="21"/>
        </w:rPr>
        <w:t>政策调整后价格仅作为评审依据，不作为中标价格。</w:t>
      </w:r>
    </w:p>
    <w:p>
      <w:pPr>
        <w:spacing w:line="24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w:t>
      </w:r>
      <w:r>
        <w:rPr>
          <w:rFonts w:hint="eastAsia" w:ascii="宋体" w:hAnsi="宋体"/>
          <w:lang w:eastAsia="zh-CN"/>
        </w:rPr>
        <w:t>（</w:t>
      </w:r>
      <w:r>
        <w:rPr>
          <w:rFonts w:hint="eastAsia" w:ascii="宋体" w:hAnsi="宋体"/>
        </w:rPr>
        <w:t>财库〔2014〕68号</w:t>
      </w:r>
      <w:r>
        <w:rPr>
          <w:rFonts w:hint="eastAsia" w:ascii="宋体" w:hAnsi="宋体"/>
          <w:lang w:eastAsia="zh-CN"/>
        </w:rPr>
        <w:t>）</w:t>
      </w:r>
      <w:r>
        <w:rPr>
          <w:rFonts w:hint="eastAsia" w:ascii="宋体" w:hAnsi="宋体"/>
        </w:rPr>
        <w:t>，在政府采购活动中，监狱企业视同小型、微型企业；根据《关于促进残疾人就业政府采购政策的通知》</w:t>
      </w:r>
      <w:r>
        <w:rPr>
          <w:rFonts w:hint="eastAsia" w:ascii="宋体" w:hAnsi="宋体"/>
          <w:lang w:eastAsia="zh-CN"/>
        </w:rPr>
        <w:t>（</w:t>
      </w:r>
      <w:r>
        <w:rPr>
          <w:rFonts w:hint="eastAsia" w:ascii="宋体" w:hAnsi="宋体"/>
        </w:rPr>
        <w:t>财库〔2017〕141号</w:t>
      </w:r>
      <w:r>
        <w:rPr>
          <w:rFonts w:hint="eastAsia" w:ascii="宋体" w:hAnsi="宋体"/>
          <w:lang w:eastAsia="zh-CN"/>
        </w:rPr>
        <w:t>）</w:t>
      </w:r>
      <w:r>
        <w:rPr>
          <w:rFonts w:hint="eastAsia" w:ascii="宋体" w:hAnsi="宋体"/>
        </w:rPr>
        <w:t>，在政府采购活动中，残疾人福利性单位视同小型、微型企业；</w:t>
      </w:r>
      <w:r>
        <w:rPr>
          <w:rFonts w:hint="eastAsia" w:ascii="宋体" w:hAnsi="宋体"/>
          <w:lang w:eastAsia="zh-CN"/>
        </w:rPr>
        <w:t>（</w:t>
      </w:r>
      <w:r>
        <w:rPr>
          <w:rFonts w:hint="eastAsia" w:asciiTheme="minorEastAsia" w:hAnsiTheme="minorEastAsia" w:cstheme="minorEastAsia"/>
          <w:b/>
          <w:bCs/>
          <w:szCs w:val="21"/>
        </w:rPr>
        <w:t>b</w:t>
      </w:r>
      <w:r>
        <w:rPr>
          <w:rFonts w:hint="eastAsia" w:asciiTheme="minorEastAsia" w:hAnsiTheme="minorEastAsia" w:cstheme="minorEastAsia"/>
          <w:b/>
          <w:bCs/>
          <w:szCs w:val="21"/>
          <w:lang w:eastAsia="zh-CN"/>
        </w:rPr>
        <w:t>）</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pStyle w:val="9"/>
        <w:rPr>
          <w:rFonts w:asciiTheme="minorEastAsia" w:hAnsiTheme="minorEastAsia" w:cstheme="minorEastAsia"/>
          <w:szCs w:val="21"/>
        </w:rPr>
      </w:pPr>
      <w:r>
        <w:rPr>
          <w:rFonts w:hint="eastAsia" w:asciiTheme="minorEastAsia" w:hAnsiTheme="minorEastAsia" w:cstheme="minorEastAsia"/>
          <w:szCs w:val="21"/>
        </w:rPr>
        <w:t>（3）</w:t>
      </w:r>
      <w:bookmarkStart w:id="20"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20"/>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spacing w:line="24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w:t>
      </w:r>
      <w:r>
        <w:rPr>
          <w:rFonts w:hint="eastAsia" w:asciiTheme="minorEastAsia" w:hAnsiTheme="minorEastAsia" w:cstheme="minorEastAsia"/>
          <w:szCs w:val="21"/>
          <w:lang w:eastAsia="zh-CN"/>
        </w:rPr>
        <w:t>》《</w:t>
      </w:r>
      <w:r>
        <w:rPr>
          <w:rFonts w:hint="eastAsia" w:asciiTheme="minorEastAsia" w:hAnsiTheme="minorEastAsia" w:cstheme="minorEastAsia"/>
          <w:szCs w:val="21"/>
        </w:rPr>
        <w:t>残疾人福利性单位声明函》；监狱企业作为优惠主体的认定资料为省级以上监狱管理局、戒毒管理局出具的监狱企业证明文件。声明函样式见本招标文件第一册专用条款第四章“投标文件组成要求及格式”中“中小企业声明函、残疾人福利性单位声明函及监狱企业声明函”章节提供的格式。</w:t>
      </w:r>
    </w:p>
    <w:p>
      <w:pPr>
        <w:tabs>
          <w:tab w:val="left" w:pos="720"/>
        </w:tabs>
        <w:spacing w:line="24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spacing w:line="240" w:lineRule="auto"/>
        <w:ind w:firstLine="422" w:firstLineChars="200"/>
        <w:rPr>
          <w:rFonts w:ascii="宋体" w:hAnsi="宋体"/>
          <w:b/>
          <w:bCs/>
          <w:color w:val="FF0000"/>
        </w:rPr>
      </w:pPr>
      <w:r>
        <w:rPr>
          <w:rFonts w:hint="eastAsia" w:ascii="宋体" w:hAnsi="宋体"/>
          <w:b/>
          <w:bCs/>
          <w:color w:val="FF0000"/>
          <w:lang w:val="en-US" w:eastAsia="zh-CN"/>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spacing w:line="240" w:lineRule="auto"/>
        <w:ind w:firstLine="420"/>
        <w:jc w:val="left"/>
        <w:rPr>
          <w:rFonts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服务采购</w:t>
      </w:r>
      <w:r>
        <w:rPr>
          <w:rFonts w:hint="eastAsia" w:ascii="宋体" w:hAnsi="宋体"/>
          <w:color w:val="FF0000"/>
          <w:szCs w:val="21"/>
        </w:rPr>
        <w:t>：</w:t>
      </w:r>
    </w:p>
    <w:p>
      <w:pPr>
        <w:widowControl/>
        <w:spacing w:line="240" w:lineRule="auto"/>
        <w:ind w:firstLine="420"/>
        <w:jc w:val="left"/>
        <w:rPr>
          <w:rFonts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spacing w:line="240" w:lineRule="auto"/>
        <w:ind w:firstLine="420"/>
        <w:jc w:val="left"/>
        <w:rPr>
          <w:rFonts w:ascii="宋体" w:hAnsi="宋体"/>
          <w:color w:val="FF0000"/>
          <w:szCs w:val="21"/>
        </w:rPr>
      </w:pPr>
      <w:r>
        <w:rPr>
          <w:rFonts w:hint="eastAsia" w:ascii="宋体" w:hAnsi="宋体"/>
          <w:color w:val="FF0000"/>
          <w:szCs w:val="21"/>
        </w:rPr>
        <w:t>（2）中标（成交）金额的各部分费率如下表：</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中标（成交）金额</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货物采购</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服务采购</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100万元以下</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100万元（含）-500万元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1.1%</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0.8%</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500万元（含）-1000万元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0.8%</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0.45%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1000万元（含）-5000万元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0.25%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5000万元（含）-1亿元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0.25%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0.1%</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1亿元（含）-5亿元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5亿元（含）-10亿元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0.035%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0.035%</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10亿元（含）-50亿元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0.008%</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0.008%</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50亿元（含）-100亿元</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0.006%</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0.006%</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100亿元（含）以上</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0.004%</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0.004%</w:t>
            </w:r>
          </w:p>
        </w:tc>
        <w:tc>
          <w:tcPr>
            <w:tcW w:w="1799" w:type="dxa"/>
            <w:vAlign w:val="center"/>
          </w:tcPr>
          <w:p>
            <w:pPr>
              <w:widowControl/>
              <w:spacing w:line="240" w:lineRule="auto"/>
              <w:ind w:firstLine="420"/>
              <w:jc w:val="left"/>
              <w:rPr>
                <w:rFonts w:ascii="宋体" w:hAnsi="宋体"/>
                <w:color w:val="FF0000"/>
                <w:szCs w:val="21"/>
              </w:rPr>
            </w:pPr>
            <w:r>
              <w:rPr>
                <w:rFonts w:hint="eastAsia" w:ascii="宋体" w:hAnsi="宋体"/>
                <w:color w:val="FF0000"/>
                <w:szCs w:val="21"/>
              </w:rPr>
              <w:t>0.004%</w:t>
            </w:r>
          </w:p>
        </w:tc>
      </w:tr>
    </w:tbl>
    <w:p>
      <w:pPr>
        <w:widowControl/>
        <w:spacing w:line="240" w:lineRule="auto"/>
        <w:ind w:firstLine="420"/>
        <w:jc w:val="left"/>
        <w:rPr>
          <w:rFonts w:ascii="宋体" w:hAnsi="宋体"/>
          <w:color w:val="FF0000"/>
          <w:szCs w:val="21"/>
        </w:rPr>
      </w:pPr>
      <w:r>
        <w:rPr>
          <w:rFonts w:hint="eastAsia" w:ascii="宋体" w:hAnsi="宋体"/>
          <w:color w:val="FF0000"/>
          <w:szCs w:val="21"/>
        </w:rPr>
        <w:t>备注：1.每宗交易代理服务费不低于 5000 元；</w:t>
      </w:r>
    </w:p>
    <w:p>
      <w:pPr>
        <w:widowControl/>
        <w:spacing w:line="240" w:lineRule="auto"/>
        <w:ind w:firstLine="420"/>
        <w:jc w:val="left"/>
        <w:rPr>
          <w:rFonts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spacing w:line="240" w:lineRule="auto"/>
        <w:ind w:firstLine="420"/>
        <w:jc w:val="left"/>
        <w:rPr>
          <w:rFonts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spacing w:line="240" w:lineRule="auto"/>
        <w:ind w:firstLine="420"/>
        <w:jc w:val="left"/>
        <w:rPr>
          <w:rFonts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numPr>
          <w:ilvl w:val="0"/>
          <w:numId w:val="2"/>
        </w:numPr>
        <w:spacing w:line="240" w:lineRule="auto"/>
        <w:ind w:firstLine="420" w:firstLineChars="200"/>
        <w:jc w:val="left"/>
        <w:rPr>
          <w:rFonts w:hint="eastAsia" w:ascii="宋体" w:hAnsi="宋体"/>
          <w:color w:val="FF0000"/>
          <w:szCs w:val="21"/>
        </w:rPr>
      </w:pPr>
      <w:r>
        <w:rPr>
          <w:rFonts w:hint="eastAsia" w:ascii="宋体" w:hAnsi="宋体"/>
          <w:color w:val="FF0000"/>
          <w:szCs w:val="21"/>
        </w:rPr>
        <w:t>中标（成交）供应商成交后，必须按规定采用银行对公转账方式向深圳交易集团有限公司直接交纳代理服务费，交纳信息及要求按照缴款（付款）通知书执行。</w:t>
      </w:r>
    </w:p>
    <w:p>
      <w:pPr>
        <w:keepNext/>
        <w:keepLines/>
        <w:adjustRightInd/>
        <w:spacing w:before="260" w:beforeLines="-2147483648" w:after="260" w:afterLines="-2147483648" w:line="416" w:lineRule="auto"/>
        <w:jc w:val="center"/>
        <w:textAlignment w:val="auto"/>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numPr>
          <w:ilvl w:val="0"/>
          <w:numId w:val="3"/>
        </w:numPr>
        <w:tabs>
          <w:tab w:val="left" w:pos="1680"/>
        </w:tabs>
        <w:spacing w:before="260" w:after="78" w:afterLines="25" w:line="240" w:lineRule="auto"/>
        <w:ind w:left="0" w:leftChars="0" w:firstLine="420" w:firstLineChars="0"/>
        <w:jc w:val="center"/>
        <w:outlineLvl w:val="2"/>
        <w:rPr>
          <w:rFonts w:hint="default" w:ascii="Arial" w:hAnsi="Arial" w:eastAsia="宋体" w:cs="Times New Roman"/>
          <w:b/>
          <w:sz w:val="28"/>
          <w:szCs w:val="28"/>
          <w:lang w:val="en-US" w:eastAsia="zh-CN"/>
        </w:rPr>
      </w:pPr>
      <w:r>
        <w:rPr>
          <w:rFonts w:hint="eastAsia" w:ascii="Arial" w:hAnsi="Arial" w:eastAsia="宋体" w:cs="Times New Roman"/>
          <w:b/>
          <w:sz w:val="28"/>
          <w:szCs w:val="28"/>
        </w:rPr>
        <w:t>项目基本信息</w:t>
      </w:r>
      <w:r>
        <w:rPr>
          <w:rFonts w:hint="eastAsia" w:ascii="Arial" w:hAnsi="Arial" w:eastAsia="宋体" w:cs="Times New Roman"/>
          <w:b/>
          <w:sz w:val="28"/>
          <w:szCs w:val="28"/>
          <w:lang w:val="en-US" w:eastAsia="zh-CN"/>
        </w:rPr>
        <w:t>及服务需求明细</w:t>
      </w:r>
    </w:p>
    <w:tbl>
      <w:tblPr>
        <w:tblStyle w:val="23"/>
        <w:tblW w:w="921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15" w:type="dxa"/>
          <w:left w:w="15" w:type="dxa"/>
          <w:bottom w:w="15" w:type="dxa"/>
          <w:right w:w="15" w:type="dxa"/>
        </w:tblCellMar>
      </w:tblPr>
      <w:tblGrid>
        <w:gridCol w:w="494"/>
        <w:gridCol w:w="2893"/>
        <w:gridCol w:w="1963"/>
        <w:gridCol w:w="1287"/>
        <w:gridCol w:w="1287"/>
        <w:gridCol w:w="128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552" w:hRule="atLeast"/>
          <w:jc w:val="center"/>
        </w:trPr>
        <w:tc>
          <w:tcPr>
            <w:tcW w:w="494" w:type="dxa"/>
            <w:tcBorders>
              <w:bottom w:val="single" w:color="000000" w:sz="4" w:space="0"/>
              <w:right w:val="single" w:color="auto" w:sz="4" w:space="0"/>
            </w:tcBorders>
            <w:shd w:val="clear" w:color="auto" w:fill="C6D9F0" w:themeFill="text2" w:themeFillTint="33"/>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93" w:type="dxa"/>
            <w:tcBorders>
              <w:left w:val="single" w:color="000000" w:sz="4" w:space="0"/>
              <w:bottom w:val="single" w:color="000000" w:sz="4" w:space="0"/>
              <w:right w:val="single" w:color="000000" w:sz="4" w:space="0"/>
            </w:tcBorders>
            <w:shd w:val="clear" w:color="auto" w:fill="C6D9F0" w:themeFill="text2" w:themeFillTint="33"/>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采购项目名称</w:t>
            </w:r>
          </w:p>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（标的名称）</w:t>
            </w:r>
          </w:p>
        </w:tc>
        <w:tc>
          <w:tcPr>
            <w:tcW w:w="1963" w:type="dxa"/>
            <w:tcBorders>
              <w:left w:val="single" w:color="000000" w:sz="4" w:space="0"/>
              <w:bottom w:val="single" w:color="000000" w:sz="4" w:space="0"/>
            </w:tcBorders>
            <w:shd w:val="clear" w:color="auto" w:fill="C6D9F0" w:themeFill="text2" w:themeFillTint="33"/>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财政预算限额</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（元）</w:t>
            </w:r>
          </w:p>
        </w:tc>
        <w:tc>
          <w:tcPr>
            <w:tcW w:w="1287" w:type="dxa"/>
            <w:tcBorders>
              <w:left w:val="single" w:color="000000" w:sz="4" w:space="0"/>
              <w:bottom w:val="single" w:color="000000" w:sz="4" w:space="0"/>
            </w:tcBorders>
            <w:shd w:val="clear" w:color="auto" w:fill="C6D9F0" w:themeFill="text2" w:themeFillTint="33"/>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Cs/>
                <w:color w:val="auto"/>
                <w:sz w:val="21"/>
                <w:szCs w:val="21"/>
                <w:lang w:eastAsia="zh-CN"/>
              </w:rPr>
              <w:t>数量</w:t>
            </w:r>
          </w:p>
        </w:tc>
        <w:tc>
          <w:tcPr>
            <w:tcW w:w="1287" w:type="dxa"/>
            <w:tcBorders>
              <w:left w:val="single" w:color="000000" w:sz="4" w:space="0"/>
              <w:bottom w:val="single" w:color="000000" w:sz="4" w:space="0"/>
            </w:tcBorders>
            <w:shd w:val="clear" w:color="auto" w:fill="C6D9F0" w:themeFill="text2" w:themeFillTint="33"/>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Cs/>
                <w:color w:val="auto"/>
                <w:kern w:val="2"/>
                <w:sz w:val="21"/>
                <w:szCs w:val="21"/>
                <w:lang w:val="en-US" w:eastAsia="zh-CN" w:bidi="ar-SA"/>
              </w:rPr>
              <w:t>单位</w:t>
            </w:r>
          </w:p>
        </w:tc>
        <w:tc>
          <w:tcPr>
            <w:tcW w:w="1287" w:type="dxa"/>
            <w:tcBorders>
              <w:left w:val="single" w:color="000000" w:sz="4" w:space="0"/>
              <w:bottom w:val="single" w:color="000000" w:sz="4" w:space="0"/>
            </w:tcBorders>
            <w:shd w:val="clear" w:color="auto" w:fill="C6D9F0" w:themeFill="text2" w:themeFillTint="33"/>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Cs/>
                <w:color w:val="auto"/>
                <w:kern w:val="2"/>
                <w:sz w:val="21"/>
                <w:szCs w:val="21"/>
                <w:lang w:val="en-US" w:eastAsia="zh-CN" w:bidi="ar-SA"/>
              </w:rPr>
              <w:t>标的所属行业</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15" w:type="dxa"/>
            <w:left w:w="15" w:type="dxa"/>
            <w:bottom w:w="15" w:type="dxa"/>
            <w:right w:w="15" w:type="dxa"/>
          </w:tblCellMar>
        </w:tblPrEx>
        <w:trPr>
          <w:trHeight w:val="353" w:hRule="atLeast"/>
          <w:jc w:val="center"/>
        </w:trPr>
        <w:tc>
          <w:tcPr>
            <w:tcW w:w="494" w:type="dxa"/>
            <w:tcBorders>
              <w:top w:val="single" w:color="000000"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893" w:type="dxa"/>
            <w:tcBorders>
              <w:top w:val="single" w:color="000000" w:sz="4" w:space="0"/>
              <w:left w:val="single" w:color="000000" w:sz="4" w:space="0"/>
              <w:right w:val="single" w:color="000000" w:sz="4" w:space="0"/>
            </w:tcBorders>
            <w:vAlign w:val="center"/>
          </w:tcPr>
          <w:p>
            <w:pPr>
              <w:widowControl/>
              <w:kinsoku/>
              <w:overflowPunct/>
              <w:topLinePunct w:val="0"/>
              <w:bidi w:val="0"/>
              <w:spacing w:line="360" w:lineRule="auto"/>
              <w:ind w:firstLine="0" w:firstLineChars="0"/>
              <w:jc w:val="center"/>
              <w:rPr>
                <w:rFonts w:hint="eastAsia" w:ascii="宋体" w:hAnsi="宋体" w:eastAsia="宋体" w:cs="宋体"/>
                <w:sz w:val="21"/>
                <w:szCs w:val="21"/>
              </w:rPr>
            </w:pPr>
            <w:r>
              <w:rPr>
                <w:rFonts w:hint="eastAsia" w:asciiTheme="minorEastAsia" w:hAnsiTheme="minorEastAsia" w:eastAsiaTheme="minorEastAsia" w:cstheme="minorEastAsia"/>
                <w:lang w:eastAsia="zh-CN"/>
              </w:rPr>
              <w:t>深圳市龙华科技实验高级中学教职工食堂运营服务项目</w:t>
            </w:r>
          </w:p>
        </w:tc>
        <w:tc>
          <w:tcPr>
            <w:tcW w:w="1963" w:type="dxa"/>
            <w:tcBorders>
              <w:top w:val="single" w:color="000000" w:sz="4" w:space="0"/>
              <w:left w:val="single" w:color="000000" w:sz="4" w:space="0"/>
            </w:tcBorders>
            <w:vAlign w:val="center"/>
          </w:tcPr>
          <w:p>
            <w:pPr>
              <w:widowControl/>
              <w:kinsoku/>
              <w:overflowPunct/>
              <w:topLinePunct w:val="0"/>
              <w:bidi w:val="0"/>
              <w:spacing w:line="360" w:lineRule="auto"/>
              <w:ind w:firstLine="0" w:firstLineChars="0"/>
              <w:jc w:val="center"/>
              <w:rPr>
                <w:rFonts w:hint="eastAsia" w:hAnsi="宋体" w:eastAsia="宋体" w:cs="宋体"/>
                <w:sz w:val="21"/>
                <w:szCs w:val="21"/>
                <w:lang w:val="en-US" w:eastAsia="zh-CN"/>
              </w:rPr>
            </w:pPr>
            <w:r>
              <w:rPr>
                <w:rFonts w:hint="eastAsia" w:asciiTheme="minorEastAsia" w:hAnsiTheme="minorEastAsia" w:cstheme="minorEastAsia"/>
                <w:sz w:val="21"/>
                <w:szCs w:val="22"/>
                <w:lang w:val="en-US" w:eastAsia="zh-CN"/>
              </w:rPr>
              <w:t>709,500.00</w:t>
            </w:r>
          </w:p>
        </w:tc>
        <w:tc>
          <w:tcPr>
            <w:tcW w:w="1287" w:type="dxa"/>
            <w:tcBorders>
              <w:top w:val="single" w:color="000000" w:sz="4" w:space="0"/>
              <w:lef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cstheme="minorEastAsia"/>
                <w:sz w:val="21"/>
                <w:szCs w:val="22"/>
                <w:lang w:val="en-US" w:eastAsia="zh-CN"/>
              </w:rPr>
            </w:pPr>
            <w:r>
              <w:rPr>
                <w:rFonts w:hint="eastAsia" w:ascii="宋体" w:hAnsi="宋体" w:eastAsia="宋体" w:cs="宋体"/>
                <w:color w:val="auto"/>
                <w:kern w:val="2"/>
                <w:sz w:val="21"/>
                <w:szCs w:val="21"/>
                <w:lang w:val="en-US" w:eastAsia="zh-CN" w:bidi="ar-SA"/>
              </w:rPr>
              <w:t>1</w:t>
            </w:r>
          </w:p>
        </w:tc>
        <w:tc>
          <w:tcPr>
            <w:tcW w:w="1287" w:type="dxa"/>
            <w:tcBorders>
              <w:top w:val="single" w:color="000000" w:sz="4" w:space="0"/>
              <w:left w:val="single" w:color="000000" w:sz="4" w:space="0"/>
            </w:tcBorders>
            <w:vAlign w:val="center"/>
          </w:tcPr>
          <w:p>
            <w:pPr>
              <w:pageBreakBefore w:val="0"/>
              <w:kinsoku/>
              <w:overflowPunct/>
              <w:topLinePunct w:val="0"/>
              <w:bidi w:val="0"/>
              <w:spacing w:beforeAutospacing="0" w:afterAutospacing="0" w:line="360" w:lineRule="auto"/>
              <w:ind w:left="0" w:leftChars="0" w:right="0" w:rightChars="0" w:firstLine="0" w:firstLineChars="0"/>
              <w:jc w:val="center"/>
              <w:rPr>
                <w:rFonts w:hint="eastAsia" w:asciiTheme="minorEastAsia" w:hAnsiTheme="minorEastAsia" w:cstheme="minorEastAsia"/>
                <w:sz w:val="21"/>
                <w:szCs w:val="22"/>
                <w:lang w:val="en-US" w:eastAsia="zh-CN"/>
              </w:rPr>
            </w:pPr>
            <w:r>
              <w:rPr>
                <w:rFonts w:hint="eastAsia" w:ascii="宋体" w:hAnsi="宋体" w:eastAsia="宋体" w:cs="宋体"/>
                <w:bCs/>
                <w:szCs w:val="21"/>
                <w:lang w:val="en-US" w:eastAsia="zh-CN"/>
              </w:rPr>
              <w:t>项</w:t>
            </w:r>
          </w:p>
        </w:tc>
        <w:tc>
          <w:tcPr>
            <w:tcW w:w="1287" w:type="dxa"/>
            <w:tcBorders>
              <w:top w:val="single" w:color="000000" w:sz="4" w:space="0"/>
              <w:left w:val="single" w:color="000000" w:sz="4" w:space="0"/>
            </w:tcBorders>
            <w:vAlign w:val="center"/>
          </w:tcPr>
          <w:p>
            <w:pPr>
              <w:pageBreakBefore w:val="0"/>
              <w:kinsoku/>
              <w:overflowPunct/>
              <w:topLinePunct w:val="0"/>
              <w:bidi w:val="0"/>
              <w:spacing w:beforeAutospacing="0" w:afterAutospacing="0" w:line="360" w:lineRule="auto"/>
              <w:ind w:left="0" w:leftChars="0" w:right="0" w:rightChars="0" w:firstLine="0" w:firstLineChars="0"/>
              <w:jc w:val="center"/>
              <w:rPr>
                <w:rFonts w:hint="eastAsia" w:asciiTheme="minorEastAsia" w:hAnsiTheme="minorEastAsia" w:cstheme="minorEastAsia"/>
                <w:sz w:val="21"/>
                <w:szCs w:val="22"/>
                <w:lang w:val="en-US" w:eastAsia="zh-CN"/>
              </w:rPr>
            </w:pPr>
            <w:r>
              <w:rPr>
                <w:rFonts w:hint="eastAsia" w:ascii="宋体" w:hAnsi="宋体" w:eastAsia="宋体" w:cs="宋体"/>
                <w:bCs/>
                <w:szCs w:val="21"/>
                <w:lang w:val="en-US" w:eastAsia="zh-CN"/>
              </w:rPr>
              <w:t>餐饮业</w:t>
            </w:r>
          </w:p>
        </w:tc>
      </w:tr>
    </w:tbl>
    <w:p>
      <w:pPr>
        <w:keepNext/>
        <w:keepLines/>
        <w:numPr>
          <w:ilvl w:val="0"/>
          <w:numId w:val="3"/>
        </w:numPr>
        <w:tabs>
          <w:tab w:val="left" w:pos="1680"/>
        </w:tabs>
        <w:spacing w:before="260" w:after="78" w:afterLines="25" w:line="240" w:lineRule="auto"/>
        <w:ind w:left="0" w:leftChars="0" w:firstLine="420" w:firstLineChars="0"/>
        <w:jc w:val="center"/>
        <w:outlineLvl w:val="2"/>
        <w:rPr>
          <w:rFonts w:hint="eastAsia" w:ascii="Arial" w:hAnsi="Arial" w:eastAsia="宋体" w:cs="Times New Roman"/>
          <w:b/>
          <w:sz w:val="28"/>
          <w:szCs w:val="28"/>
        </w:rPr>
      </w:pPr>
      <w:r>
        <w:rPr>
          <w:rFonts w:hint="eastAsia" w:ascii="Arial" w:hAnsi="Arial" w:eastAsia="宋体" w:cs="Times New Roman"/>
          <w:b/>
          <w:sz w:val="28"/>
          <w:szCs w:val="28"/>
        </w:rPr>
        <w:t>项目</w:t>
      </w:r>
      <w:r>
        <w:rPr>
          <w:rFonts w:hint="eastAsia" w:ascii="Arial" w:hAnsi="Arial" w:eastAsia="宋体" w:cs="Times New Roman"/>
          <w:b/>
          <w:sz w:val="28"/>
          <w:szCs w:val="28"/>
          <w:lang w:val="en-US" w:eastAsia="zh-CN"/>
        </w:rPr>
        <w:t>概况</w:t>
      </w:r>
    </w:p>
    <w:p>
      <w:pPr>
        <w:pStyle w:val="15"/>
        <w:spacing w:line="240" w:lineRule="auto"/>
        <w:ind w:firstLine="440" w:firstLineChars="200"/>
        <w:rPr>
          <w:rFonts w:hint="eastAsia" w:ascii="宋体" w:hAnsi="宋体" w:eastAsia="宋体" w:cs="宋体"/>
          <w:kern w:val="0"/>
          <w:sz w:val="21"/>
          <w:szCs w:val="18"/>
          <w:lang w:bidi="ar"/>
        </w:rPr>
      </w:pPr>
      <w:r>
        <w:rPr>
          <w:rFonts w:hint="eastAsia" w:ascii="宋体" w:hAnsi="宋体" w:eastAsia="宋体" w:cs="宋体"/>
          <w:b w:val="0"/>
          <w:bCs/>
          <w:sz w:val="22"/>
          <w:szCs w:val="22"/>
          <w:highlight w:val="none"/>
          <w:lang w:val="en-US" w:eastAsia="zh-CN"/>
        </w:rPr>
        <w:t>本项目为深圳市</w:t>
      </w:r>
      <w:r>
        <w:rPr>
          <w:rFonts w:hint="eastAsia" w:ascii="宋体" w:hAnsi="宋体" w:cs="宋体"/>
          <w:b w:val="0"/>
          <w:bCs/>
          <w:sz w:val="22"/>
          <w:szCs w:val="22"/>
          <w:highlight w:val="none"/>
          <w:lang w:val="en-US" w:eastAsia="zh-CN"/>
        </w:rPr>
        <w:t>龙华科技实验高级中学教职工餐厅，2025年9月就餐人数预计约215名教职工</w:t>
      </w:r>
      <w:r>
        <w:rPr>
          <w:rFonts w:hint="eastAsia" w:ascii="宋体" w:hAnsi="宋体" w:eastAsia="宋体" w:cs="宋体"/>
          <w:b w:val="0"/>
          <w:bCs/>
          <w:sz w:val="22"/>
          <w:szCs w:val="22"/>
          <w:highlight w:val="none"/>
          <w:lang w:val="en-US" w:eastAsia="zh-CN"/>
        </w:rPr>
        <w:t>。教职工包括</w:t>
      </w:r>
      <w:r>
        <w:rPr>
          <w:rFonts w:hint="eastAsia" w:ascii="宋体" w:hAnsi="宋体" w:eastAsia="宋体" w:cs="宋体"/>
          <w:b w:val="0"/>
          <w:bCs/>
          <w:sz w:val="22"/>
          <w:szCs w:val="22"/>
          <w:highlight w:val="none"/>
        </w:rPr>
        <w:t>早餐、午餐、晚餐</w:t>
      </w:r>
      <w:r>
        <w:rPr>
          <w:rFonts w:hint="eastAsia" w:ascii="宋体" w:hAnsi="宋体" w:cs="宋体"/>
          <w:b w:val="0"/>
          <w:bCs/>
          <w:sz w:val="22"/>
          <w:szCs w:val="22"/>
          <w:highlight w:val="none"/>
          <w:lang w:val="en-US" w:eastAsia="zh-CN"/>
        </w:rPr>
        <w:t>三</w:t>
      </w:r>
      <w:r>
        <w:rPr>
          <w:rFonts w:hint="eastAsia" w:ascii="宋体" w:hAnsi="宋体" w:eastAsia="宋体" w:cs="宋体"/>
          <w:b w:val="0"/>
          <w:bCs/>
          <w:sz w:val="22"/>
          <w:szCs w:val="22"/>
          <w:highlight w:val="none"/>
          <w:lang w:eastAsia="zh-CN"/>
        </w:rPr>
        <w:t>餐。供餐时间</w:t>
      </w:r>
      <w:r>
        <w:rPr>
          <w:rFonts w:hint="eastAsia" w:ascii="宋体" w:hAnsi="宋体" w:eastAsia="宋体" w:cs="宋体"/>
          <w:b w:val="0"/>
          <w:bCs/>
          <w:sz w:val="22"/>
          <w:szCs w:val="22"/>
          <w:highlight w:val="none"/>
        </w:rPr>
        <w:t>包括</w:t>
      </w:r>
      <w:r>
        <w:rPr>
          <w:rFonts w:hint="eastAsia" w:ascii="宋体" w:hAnsi="宋体" w:eastAsia="宋体" w:cs="宋体"/>
          <w:b w:val="0"/>
          <w:bCs/>
          <w:sz w:val="22"/>
          <w:szCs w:val="22"/>
          <w:highlight w:val="none"/>
          <w:lang w:eastAsia="zh-CN"/>
        </w:rPr>
        <w:t>但不限于正常工作日、</w:t>
      </w:r>
      <w:r>
        <w:rPr>
          <w:rFonts w:hint="eastAsia" w:ascii="宋体" w:hAnsi="宋体" w:eastAsia="宋体" w:cs="宋体"/>
          <w:b w:val="0"/>
          <w:bCs/>
          <w:sz w:val="22"/>
          <w:szCs w:val="22"/>
          <w:highlight w:val="none"/>
        </w:rPr>
        <w:t>节假日值班</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临</w:t>
      </w:r>
      <w:r>
        <w:rPr>
          <w:rFonts w:hint="eastAsia" w:ascii="宋体" w:hAnsi="宋体" w:eastAsia="宋体" w:cs="宋体"/>
          <w:b w:val="0"/>
          <w:bCs/>
          <w:sz w:val="22"/>
          <w:szCs w:val="22"/>
        </w:rPr>
        <w:t>时加班</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rPr>
        <w:t>寒暑假等。如遇特殊情况需进行特别保障的，</w:t>
      </w:r>
      <w:r>
        <w:rPr>
          <w:rFonts w:hint="eastAsia" w:ascii="宋体" w:hAnsi="宋体" w:eastAsia="宋体" w:cs="宋体"/>
          <w:b w:val="0"/>
          <w:bCs/>
          <w:sz w:val="22"/>
          <w:szCs w:val="22"/>
          <w:lang w:eastAsia="zh-CN"/>
        </w:rPr>
        <w:t>服务方</w:t>
      </w:r>
      <w:r>
        <w:rPr>
          <w:rFonts w:hint="eastAsia" w:ascii="宋体" w:hAnsi="宋体" w:eastAsia="宋体" w:cs="宋体"/>
          <w:b w:val="0"/>
          <w:bCs/>
          <w:sz w:val="22"/>
          <w:szCs w:val="22"/>
        </w:rPr>
        <w:t>必须无条件进行保障。</w:t>
      </w:r>
      <w:r>
        <w:rPr>
          <w:rFonts w:hint="eastAsia" w:ascii="宋体" w:hAnsi="宋体" w:eastAsia="宋体" w:cs="宋体"/>
          <w:b w:val="0"/>
          <w:bCs/>
          <w:sz w:val="22"/>
          <w:szCs w:val="22"/>
          <w:lang w:eastAsia="zh-CN"/>
        </w:rPr>
        <w:t>服务方要</w:t>
      </w:r>
      <w:r>
        <w:rPr>
          <w:rFonts w:hint="eastAsia" w:ascii="宋体" w:hAnsi="宋体" w:eastAsia="宋体" w:cs="宋体"/>
          <w:b w:val="0"/>
          <w:bCs/>
          <w:sz w:val="22"/>
          <w:szCs w:val="22"/>
        </w:rPr>
        <w:t>根据</w:t>
      </w:r>
      <w:r>
        <w:rPr>
          <w:rFonts w:hint="eastAsia" w:ascii="宋体" w:hAnsi="宋体" w:eastAsia="宋体" w:cs="宋体"/>
          <w:b w:val="0"/>
          <w:bCs/>
          <w:sz w:val="22"/>
          <w:szCs w:val="22"/>
          <w:lang w:eastAsia="zh-CN"/>
        </w:rPr>
        <w:t>季节和</w:t>
      </w:r>
      <w:r>
        <w:rPr>
          <w:rFonts w:hint="eastAsia" w:ascii="宋体" w:hAnsi="宋体" w:eastAsia="宋体" w:cs="宋体"/>
          <w:b w:val="0"/>
          <w:bCs/>
          <w:sz w:val="22"/>
          <w:szCs w:val="22"/>
        </w:rPr>
        <w:t>气候条件，</w:t>
      </w:r>
      <w:r>
        <w:rPr>
          <w:rFonts w:hint="eastAsia" w:ascii="宋体" w:hAnsi="宋体" w:eastAsia="宋体" w:cs="宋体"/>
          <w:b w:val="0"/>
          <w:bCs/>
          <w:sz w:val="22"/>
          <w:szCs w:val="22"/>
          <w:lang w:eastAsia="zh-CN"/>
        </w:rPr>
        <w:t>加工制作</w:t>
      </w:r>
      <w:r>
        <w:rPr>
          <w:rFonts w:hint="eastAsia" w:ascii="宋体" w:hAnsi="宋体" w:eastAsia="宋体" w:cs="宋体"/>
          <w:b w:val="0"/>
          <w:bCs/>
          <w:sz w:val="22"/>
          <w:szCs w:val="22"/>
        </w:rPr>
        <w:t>煲煮凉茶、糖水、御寒姜汤</w:t>
      </w:r>
      <w:r>
        <w:rPr>
          <w:rFonts w:hint="eastAsia" w:ascii="宋体" w:hAnsi="宋体" w:eastAsia="宋体" w:cs="宋体"/>
          <w:b w:val="0"/>
          <w:bCs/>
          <w:sz w:val="22"/>
          <w:szCs w:val="22"/>
          <w:lang w:eastAsia="zh-CN"/>
        </w:rPr>
        <w:t>等</w:t>
      </w:r>
      <w:r>
        <w:rPr>
          <w:rFonts w:hint="eastAsia" w:ascii="宋体" w:hAnsi="宋体" w:eastAsia="宋体" w:cs="宋体"/>
          <w:b w:val="0"/>
          <w:bCs/>
          <w:sz w:val="22"/>
          <w:szCs w:val="22"/>
        </w:rPr>
        <w:t>。根据节日需求，如元宵节、端午节、冬至等，</w:t>
      </w:r>
      <w:r>
        <w:rPr>
          <w:rFonts w:hint="eastAsia" w:ascii="宋体" w:hAnsi="宋体" w:eastAsia="宋体" w:cs="宋体"/>
          <w:b w:val="0"/>
          <w:bCs/>
          <w:sz w:val="22"/>
          <w:szCs w:val="22"/>
          <w:lang w:eastAsia="zh-CN"/>
        </w:rPr>
        <w:t>加工制作</w:t>
      </w:r>
      <w:r>
        <w:rPr>
          <w:rFonts w:hint="eastAsia" w:ascii="宋体" w:hAnsi="宋体" w:eastAsia="宋体" w:cs="宋体"/>
          <w:b w:val="0"/>
          <w:bCs/>
          <w:sz w:val="22"/>
          <w:szCs w:val="22"/>
        </w:rPr>
        <w:t>汤圆、粽子、饺子等</w:t>
      </w:r>
      <w:r>
        <w:rPr>
          <w:rFonts w:hint="eastAsia" w:ascii="宋体" w:hAnsi="宋体" w:eastAsia="宋体" w:cs="宋体"/>
          <w:b w:val="0"/>
          <w:bCs/>
          <w:sz w:val="22"/>
          <w:szCs w:val="22"/>
          <w:lang w:eastAsia="zh-CN"/>
        </w:rPr>
        <w:t>节日食品。</w:t>
      </w:r>
      <w:r>
        <w:rPr>
          <w:rFonts w:hint="eastAsia" w:ascii="宋体" w:hAnsi="宋体" w:cs="宋体"/>
          <w:b w:val="0"/>
          <w:bCs/>
          <w:sz w:val="22"/>
          <w:szCs w:val="22"/>
          <w:lang w:val="en-US" w:eastAsia="zh-CN"/>
        </w:rPr>
        <w:t>教职工</w:t>
      </w:r>
      <w:r>
        <w:rPr>
          <w:rFonts w:hint="eastAsia" w:ascii="宋体" w:hAnsi="宋体" w:eastAsia="宋体" w:cs="宋体"/>
          <w:b w:val="0"/>
          <w:bCs/>
          <w:sz w:val="22"/>
          <w:szCs w:val="22"/>
          <w:lang w:eastAsia="zh-CN"/>
        </w:rPr>
        <w:t>食堂位于学校，统一加工</w:t>
      </w:r>
      <w:r>
        <w:rPr>
          <w:rFonts w:hint="eastAsia" w:ascii="宋体" w:hAnsi="宋体" w:cs="宋体"/>
          <w:b w:val="0"/>
          <w:bCs/>
          <w:sz w:val="22"/>
          <w:szCs w:val="22"/>
          <w:lang w:val="en-US" w:eastAsia="zh-CN"/>
        </w:rPr>
        <w:t>全校教职工</w:t>
      </w:r>
      <w:r>
        <w:rPr>
          <w:rFonts w:hint="eastAsia" w:ascii="宋体" w:hAnsi="宋体" w:eastAsia="宋体" w:cs="宋体"/>
          <w:b w:val="0"/>
          <w:bCs/>
          <w:sz w:val="22"/>
          <w:szCs w:val="22"/>
          <w:lang w:eastAsia="zh-CN"/>
        </w:rPr>
        <w:t>餐饮食品</w:t>
      </w:r>
      <w:r>
        <w:rPr>
          <w:rFonts w:hint="eastAsia" w:ascii="宋体" w:hAnsi="宋体" w:eastAsia="宋体" w:cs="宋体"/>
          <w:b w:val="0"/>
          <w:bCs/>
          <w:sz w:val="22"/>
          <w:szCs w:val="22"/>
        </w:rPr>
        <w:t>。</w:t>
      </w:r>
    </w:p>
    <w:p>
      <w:pPr>
        <w:keepNext/>
        <w:keepLines/>
        <w:numPr>
          <w:ilvl w:val="0"/>
          <w:numId w:val="3"/>
        </w:numPr>
        <w:tabs>
          <w:tab w:val="left" w:pos="1680"/>
        </w:tabs>
        <w:spacing w:before="260" w:after="78" w:afterLines="25" w:line="240" w:lineRule="auto"/>
        <w:ind w:left="0" w:leftChars="0" w:firstLine="420" w:firstLineChars="0"/>
        <w:jc w:val="center"/>
        <w:outlineLvl w:val="2"/>
        <w:rPr>
          <w:rFonts w:hint="eastAsia" w:ascii="Arial" w:hAnsi="Arial" w:eastAsia="宋体" w:cs="Times New Roman"/>
          <w:b/>
          <w:sz w:val="28"/>
          <w:szCs w:val="28"/>
        </w:rPr>
      </w:pPr>
      <w:bookmarkStart w:id="21" w:name="_Toc128884461"/>
      <w:r>
        <w:rPr>
          <w:rFonts w:hint="eastAsia" w:ascii="Arial" w:hAnsi="Arial" w:eastAsia="宋体" w:cs="Times New Roman"/>
          <w:b/>
          <w:sz w:val="28"/>
          <w:szCs w:val="28"/>
        </w:rPr>
        <w:t>实质性条款</w:t>
      </w:r>
    </w:p>
    <w:tbl>
      <w:tblPr>
        <w:tblStyle w:val="23"/>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pPr>
              <w:spacing w:line="240" w:lineRule="auto"/>
            </w:pPr>
            <w:r>
              <w:rPr>
                <w:rFonts w:hint="eastAsia"/>
              </w:rPr>
              <w:t>序号</w:t>
            </w:r>
          </w:p>
        </w:tc>
        <w:tc>
          <w:tcPr>
            <w:tcW w:w="7483" w:type="dxa"/>
            <w:vAlign w:val="center"/>
          </w:tcPr>
          <w:p>
            <w:pPr>
              <w:spacing w:line="240" w:lineRule="auto"/>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spacing w:line="240" w:lineRule="auto"/>
              <w:jc w:val="center"/>
            </w:pPr>
            <w:r>
              <w:rPr>
                <w:rFonts w:hint="eastAsia"/>
              </w:rPr>
              <w:t>1</w:t>
            </w:r>
          </w:p>
        </w:tc>
        <w:tc>
          <w:tcPr>
            <w:tcW w:w="7483" w:type="dxa"/>
          </w:tcPr>
          <w:p>
            <w:pPr>
              <w:spacing w:line="240" w:lineRule="auto"/>
              <w:jc w:val="center"/>
            </w:pPr>
            <w:r>
              <w:rPr>
                <w:rFonts w:hint="eastAsia"/>
              </w:rPr>
              <w:t>本项目招标文件中所有带★号条款内容</w:t>
            </w:r>
          </w:p>
        </w:tc>
      </w:tr>
      <w:bookmarkEnd w:id="21"/>
    </w:tbl>
    <w:p>
      <w:pPr>
        <w:spacing w:line="240" w:lineRule="auto"/>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w:t>
      </w:r>
    </w:p>
    <w:p>
      <w:pPr>
        <w:keepNext/>
        <w:keepLines/>
        <w:numPr>
          <w:ilvl w:val="0"/>
          <w:numId w:val="3"/>
        </w:numPr>
        <w:tabs>
          <w:tab w:val="left" w:pos="1680"/>
        </w:tabs>
        <w:spacing w:before="260" w:after="78" w:afterLines="25" w:line="240" w:lineRule="auto"/>
        <w:ind w:left="0" w:leftChars="0" w:firstLine="420" w:firstLineChars="0"/>
        <w:jc w:val="center"/>
        <w:outlineLvl w:val="2"/>
        <w:rPr>
          <w:rFonts w:hint="eastAsia" w:ascii="Arial" w:hAnsi="Arial" w:eastAsia="宋体" w:cs="Times New Roman"/>
          <w:b/>
          <w:sz w:val="28"/>
          <w:szCs w:val="28"/>
          <w:lang w:val="en-US" w:eastAsia="zh-CN"/>
        </w:rPr>
      </w:pPr>
      <w:r>
        <w:rPr>
          <w:rFonts w:hint="eastAsia" w:ascii="Arial" w:hAnsi="Arial" w:eastAsia="宋体" w:cs="Times New Roman"/>
          <w:b/>
          <w:sz w:val="28"/>
          <w:szCs w:val="28"/>
        </w:rPr>
        <w:t>★服务</w:t>
      </w:r>
      <w:r>
        <w:rPr>
          <w:rFonts w:hint="eastAsia" w:ascii="Arial" w:hAnsi="Arial" w:eastAsia="宋体" w:cs="Times New Roman"/>
          <w:b/>
          <w:sz w:val="28"/>
          <w:szCs w:val="28"/>
          <w:lang w:val="en-US" w:eastAsia="zh-CN"/>
        </w:rPr>
        <w:t>要求</w:t>
      </w:r>
    </w:p>
    <w:p>
      <w:pPr>
        <w:spacing w:line="520" w:lineRule="exact"/>
        <w:ind w:firstLine="422" w:firstLineChars="200"/>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（一）履约地点：</w:t>
      </w:r>
    </w:p>
    <w:p>
      <w:pPr>
        <w:spacing w:line="520" w:lineRule="exact"/>
        <w:ind w:firstLine="420" w:firstLineChars="200"/>
        <w:jc w:val="left"/>
        <w:rPr>
          <w:rFonts w:hint="eastAsia" w:ascii="宋体" w:hAnsi="宋体" w:eastAsia="宋体" w:cs="宋体"/>
          <w:b/>
          <w:bCs w:val="0"/>
          <w:sz w:val="21"/>
          <w:szCs w:val="21"/>
        </w:rPr>
      </w:pPr>
      <w:r>
        <w:rPr>
          <w:rFonts w:hint="eastAsia" w:ascii="宋体" w:hAnsi="宋体" w:eastAsia="宋体" w:cs="宋体"/>
          <w:b w:val="0"/>
          <w:bCs/>
          <w:sz w:val="21"/>
          <w:szCs w:val="21"/>
          <w:lang w:val="en-US" w:eastAsia="zh-CN"/>
        </w:rPr>
        <w:t>深圳市龙华科技实验高级中学。</w:t>
      </w:r>
      <w:r>
        <w:rPr>
          <w:rFonts w:hint="eastAsia" w:ascii="宋体" w:hAnsi="宋体" w:eastAsia="宋体" w:cs="宋体"/>
          <w:b/>
          <w:bCs w:val="0"/>
          <w:sz w:val="21"/>
          <w:szCs w:val="21"/>
          <w:lang w:val="en-US" w:eastAsia="zh-CN"/>
        </w:rPr>
        <w:t xml:space="preserve"> </w:t>
      </w:r>
    </w:p>
    <w:p>
      <w:pPr>
        <w:spacing w:line="520" w:lineRule="exact"/>
        <w:ind w:firstLine="422" w:firstLineChars="200"/>
        <w:jc w:val="left"/>
        <w:rPr>
          <w:rFonts w:hint="eastAsia" w:ascii="宋体" w:hAnsi="宋体" w:eastAsia="宋体" w:cs="宋体"/>
          <w:b/>
          <w:bCs w:val="0"/>
          <w:sz w:val="21"/>
          <w:szCs w:val="21"/>
        </w:rPr>
      </w:pPr>
      <w:r>
        <w:rPr>
          <w:rFonts w:hint="eastAsia" w:ascii="宋体" w:hAnsi="宋体" w:eastAsia="宋体" w:cs="宋体"/>
          <w:b/>
          <w:bCs w:val="0"/>
          <w:sz w:val="21"/>
          <w:szCs w:val="21"/>
        </w:rPr>
        <w:t>（</w:t>
      </w:r>
      <w:r>
        <w:rPr>
          <w:rFonts w:hint="eastAsia" w:ascii="宋体" w:hAnsi="宋体" w:eastAsia="宋体" w:cs="宋体"/>
          <w:b/>
          <w:bCs w:val="0"/>
          <w:sz w:val="21"/>
          <w:szCs w:val="21"/>
          <w:lang w:val="en-US" w:eastAsia="zh-CN"/>
        </w:rPr>
        <w:t>二</w:t>
      </w:r>
      <w:r>
        <w:rPr>
          <w:rFonts w:hint="eastAsia" w:ascii="宋体" w:hAnsi="宋体" w:eastAsia="宋体" w:cs="宋体"/>
          <w:b/>
          <w:bCs w:val="0"/>
          <w:sz w:val="21"/>
          <w:szCs w:val="21"/>
        </w:rPr>
        <w:t>）服务范围</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1.负责采购方食堂食品加工和日常事务管理，保证全体</w:t>
      </w:r>
      <w:r>
        <w:rPr>
          <w:rFonts w:hint="eastAsia" w:ascii="宋体" w:hAnsi="宋体" w:eastAsia="宋体" w:cs="宋体"/>
          <w:bCs/>
          <w:sz w:val="21"/>
          <w:szCs w:val="21"/>
          <w:lang w:val="en-US" w:eastAsia="zh-CN"/>
        </w:rPr>
        <w:t>教职工</w:t>
      </w:r>
      <w:r>
        <w:rPr>
          <w:rFonts w:hint="eastAsia" w:ascii="宋体" w:hAnsi="宋体" w:eastAsia="宋体" w:cs="宋体"/>
          <w:bCs/>
          <w:sz w:val="21"/>
          <w:szCs w:val="21"/>
        </w:rPr>
        <w:t>正常就餐和食品安全，中标方应严格执行国家、广东省、深圳市的食品卫生安全法规的规范要求；食堂工作人员必须持有效健康证上岗；做好个人卫生、环境卫生和餐厨用具用品的消毒工作，保障食堂出品的食品卫生安全；严防食物中毒和食源性疾病；严格执行安全生产制度，做好防火防盗的预防工作，杜绝重大事故的发生。</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2.饭菜质量：食堂供应的食品，必须符合食品卫生安全规范的质量要求，注重食品营养结构和风味搭配，确保热饭热菜供应服务，努力提高烹调服务水平。</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3.环境卫生：食堂环境卫生清洁要达到 A 级食堂标准和国家有关规定及行业规范的标准。食堂工作场所应做到每天及时清洁，每周彻底保洁一次。</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4.工作团队人员管理：所有人员的薪酬、福利、员工节假日加班费、高温补贴、休假、商业保险、装置费、住宿费、培训费、健康体检费、服务费、税费、企业合理利润、健康管理及社会保障事务等所有费用由中标企业负责。对不适合在本项目团队中工作的人员，双方商议后可以调换，有离职时需立即补上合适的人员。接替人员应该具有被调换或主动离职人员相同的职业资格。所有人员都需持有既定的、有效的健康及卫生培训证明，该类证书在到期前由中标企业负责监督续办，不得延误。</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5.工作内容：食材验收、仓管、烹制、留样、分装、运输、派发、回收、清洁、消毒等供餐全链条各项服务。</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6.整理归集各项上级要求的检查资料。</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7.食堂财务管理按照教育主管部门相关规定执行。</w:t>
      </w:r>
    </w:p>
    <w:p>
      <w:pPr>
        <w:spacing w:line="520" w:lineRule="exact"/>
        <w:ind w:firstLine="422" w:firstLineChars="200"/>
        <w:jc w:val="left"/>
        <w:rPr>
          <w:rFonts w:hint="eastAsia" w:ascii="宋体" w:hAnsi="宋体" w:eastAsia="宋体" w:cs="宋体"/>
          <w:b/>
          <w:bCs w:val="0"/>
          <w:sz w:val="21"/>
          <w:szCs w:val="21"/>
        </w:rPr>
      </w:pPr>
      <w:r>
        <w:rPr>
          <w:rFonts w:hint="eastAsia" w:ascii="宋体" w:hAnsi="宋体" w:eastAsia="宋体" w:cs="宋体"/>
          <w:b/>
          <w:bCs w:val="0"/>
          <w:sz w:val="21"/>
          <w:szCs w:val="21"/>
        </w:rPr>
        <w:t>（</w:t>
      </w:r>
      <w:r>
        <w:rPr>
          <w:rFonts w:hint="eastAsia" w:ascii="宋体" w:hAnsi="宋体" w:eastAsia="宋体" w:cs="宋体"/>
          <w:b/>
          <w:bCs w:val="0"/>
          <w:sz w:val="21"/>
          <w:szCs w:val="21"/>
          <w:lang w:val="en-US" w:eastAsia="zh-CN"/>
        </w:rPr>
        <w:t>三</w:t>
      </w:r>
      <w:r>
        <w:rPr>
          <w:rFonts w:hint="eastAsia" w:ascii="宋体" w:hAnsi="宋体" w:eastAsia="宋体" w:cs="宋体"/>
          <w:b/>
          <w:bCs w:val="0"/>
          <w:sz w:val="21"/>
          <w:szCs w:val="21"/>
        </w:rPr>
        <w:t>）服务内容</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中标方须同时提供学生食堂运营服务，</w:t>
      </w:r>
      <w:r>
        <w:rPr>
          <w:rFonts w:hint="eastAsia" w:ascii="宋体" w:hAnsi="宋体" w:eastAsia="宋体" w:cs="宋体"/>
          <w:bCs/>
          <w:sz w:val="21"/>
          <w:szCs w:val="21"/>
        </w:rPr>
        <w:t>中标方负责拟定菜单，需考虑营养均衡，花色品种应经常变化，两周不同样，至少提前一周将教职工和学生餐菜单提交给采购方审核。</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早餐：提供不少于8种菜品以上，如小菜、粥品、汤粉面、茶点、蛋类、豆浆、粗粮、青菜等供教职工选择。中、晚餐：中餐最低保证四荤两素，不得少于6种以上菜品、老火靓汤、米饭、粗粮等，配备甜点及水果。晚餐最低保证两荤两素。花色品种应经常变化，供应面食，夏季视气温情况不定期供应清凉饮料、凉茶或糖水，做到基本满足教职工人员需求，中餐以自主餐方式供应。教职工餐以采购方确认的菜单为准。</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2.学生中餐、晚餐：两层共设20个档口。6个大餐自选餐线。教师采用自助餐模式。</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3.就餐时间：根据学校作息时间安排。</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如遇特殊情况需进行特别保障的（如节假日供餐、提前或延后开饭等有关情形），中标方需无条件执行保障任务。中标方应按规定时间准时开餐，每餐所供应食品在开餐前15分钟布置完毕，如变更或其他情况，不能准时开餐，中标方应提前通知采购方，并留有充分时间做出补救。合理安排就餐人数，做好用餐人员分流工作，保持供餐器皿内食品在一半以上，不可出现用餐人员等候拥挤混乱现象。当采购方增加或减少餐费标准时，中标方应在采购方指定的时间内对饭菜做出调整，调整前必须提前制定出方案，经采购方审核、确认、批准后方可实施。</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4.按照采购方需求，提供误餐、客餐等。</w:t>
      </w:r>
    </w:p>
    <w:p>
      <w:pPr>
        <w:spacing w:line="520" w:lineRule="exact"/>
        <w:ind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5.食品安全保险：中标方须购买（或在原有保险基础上补充相关协议）食品安全险和公共责任险（须确保所购保额可覆盖所有就餐人员），受益人必须为所有就餐人员，且保险期限涵盖整个合同服务期。</w:t>
      </w:r>
    </w:p>
    <w:p>
      <w:pPr>
        <w:spacing w:line="520" w:lineRule="exact"/>
        <w:ind w:firstLine="420" w:firstLineChars="200"/>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6.应急保障能力：中标方需具备自有或租赁的场地，满足本项目实施过程中的各类突发情况（如自然灾害、疫情等）下的应急配餐能力，保障核心需求的稳定供应。在突发情况发生后，需在 2 小时内启动应急配餐机制，确保在 4 小时内为学校全体师生提供符合营养标准和食品安全要求的餐食，且单次应急配餐能力不少于学校师生总人数的 2 倍份数。</w:t>
      </w:r>
    </w:p>
    <w:p>
      <w:pPr>
        <w:spacing w:line="520" w:lineRule="exact"/>
        <w:ind w:firstLine="422" w:firstLineChars="200"/>
        <w:jc w:val="left"/>
        <w:rPr>
          <w:rFonts w:hint="eastAsia" w:ascii="宋体" w:hAnsi="宋体" w:eastAsia="宋体" w:cs="宋体"/>
          <w:szCs w:val="21"/>
          <w:lang w:val="en-US" w:eastAsia="zh-CN"/>
        </w:rPr>
      </w:pPr>
      <w:r>
        <w:rPr>
          <w:rFonts w:hint="eastAsia" w:ascii="宋体" w:hAnsi="宋体" w:eastAsia="宋体" w:cs="宋体"/>
          <w:b/>
          <w:bCs w:val="0"/>
          <w:sz w:val="21"/>
          <w:szCs w:val="21"/>
          <w:lang w:val="en-US" w:eastAsia="zh-CN"/>
        </w:rPr>
        <w:t>（四）人员要求</w:t>
      </w:r>
    </w:p>
    <w:p>
      <w:pPr>
        <w:spacing w:line="520" w:lineRule="exact"/>
        <w:ind w:firstLine="422" w:firstLineChars="200"/>
        <w:jc w:val="left"/>
        <w:rPr>
          <w:rFonts w:hint="eastAsia" w:ascii="宋体" w:hAnsi="宋体" w:eastAsia="宋体" w:cs="宋体"/>
          <w:b/>
          <w:bCs w:val="0"/>
          <w:sz w:val="21"/>
          <w:szCs w:val="21"/>
          <w:highlight w:val="yellow"/>
          <w:lang w:val="en-US" w:eastAsia="zh-CN"/>
        </w:rPr>
      </w:pPr>
      <w:r>
        <w:rPr>
          <w:rFonts w:hint="eastAsia" w:ascii="宋体" w:hAnsi="宋体" w:eastAsia="宋体" w:cs="宋体"/>
          <w:b/>
          <w:bCs w:val="0"/>
          <w:sz w:val="21"/>
          <w:szCs w:val="21"/>
          <w:highlight w:val="yellow"/>
          <w:lang w:val="en-US" w:eastAsia="zh-CN"/>
        </w:rPr>
        <w:t>1.教职工餐厅人员配置要求：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43"/>
        <w:gridCol w:w="670"/>
        <w:gridCol w:w="5662"/>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岗位</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人数</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sz w:val="21"/>
                <w:szCs w:val="21"/>
              </w:rPr>
              <w:t>岗位职责</w:t>
            </w:r>
          </w:p>
        </w:tc>
        <w:tc>
          <w:tcPr>
            <w:tcW w:w="939"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项目负责人</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val="0"/>
                <w:bCs w:val="0"/>
                <w:kern w:val="0"/>
                <w:sz w:val="21"/>
                <w:szCs w:val="21"/>
                <w:lang w:val="en-US" w:eastAsia="zh-CN" w:bidi="ar-SA"/>
              </w:rPr>
              <w:t>负责食堂员工管理、进货管理、餐食供应、制度制定、食品安全管理等各项管理事宜</w:t>
            </w:r>
          </w:p>
        </w:tc>
        <w:tc>
          <w:tcPr>
            <w:tcW w:w="939" w:type="dxa"/>
            <w:vAlign w:val="center"/>
          </w:tcPr>
          <w:p>
            <w:pPr>
              <w:spacing w:line="240" w:lineRule="auto"/>
              <w:jc w:val="center"/>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早餐大师傅</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5662" w:type="dxa"/>
            <w:shd w:val="clear" w:color="auto" w:fill="auto"/>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val="0"/>
                <w:bCs w:val="0"/>
                <w:kern w:val="0"/>
                <w:sz w:val="21"/>
                <w:szCs w:val="21"/>
                <w:lang w:val="en-US" w:eastAsia="zh-CN" w:bidi="ar-SA"/>
              </w:rPr>
              <w:t>负责食堂的早餐菜品制作及管理等工作。</w:t>
            </w:r>
          </w:p>
        </w:tc>
        <w:tc>
          <w:tcPr>
            <w:tcW w:w="939" w:type="dxa"/>
            <w:shd w:val="clear" w:color="auto" w:fill="auto"/>
            <w:vAlign w:val="center"/>
          </w:tcPr>
          <w:p>
            <w:pPr>
              <w:widowControl w:val="0"/>
              <w:spacing w:line="240" w:lineRule="auto"/>
              <w:jc w:val="both"/>
              <w:rPr>
                <w:rFonts w:hint="eastAsia" w:ascii="宋体" w:hAnsi="宋体" w:eastAsia="宋体" w:cs="宋体"/>
                <w:b w:val="0"/>
                <w:bCs w:val="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早餐师傅</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val="0"/>
                <w:bCs w:val="0"/>
                <w:kern w:val="0"/>
                <w:sz w:val="21"/>
                <w:szCs w:val="21"/>
                <w:lang w:val="en-US" w:eastAsia="zh-CN" w:bidi="ar-SA"/>
              </w:rPr>
              <w:t>负责食堂的早餐菜品制作。</w:t>
            </w:r>
          </w:p>
        </w:tc>
        <w:tc>
          <w:tcPr>
            <w:tcW w:w="939" w:type="dxa"/>
            <w:vAlign w:val="center"/>
          </w:tcPr>
          <w:p>
            <w:pPr>
              <w:spacing w:line="240" w:lineRule="auto"/>
              <w:jc w:val="left"/>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厨师</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val="0"/>
                <w:bCs w:val="0"/>
                <w:kern w:val="0"/>
                <w:sz w:val="21"/>
                <w:szCs w:val="21"/>
                <w:lang w:val="en-US" w:eastAsia="zh-CN" w:bidi="ar-SA"/>
              </w:rPr>
              <w:t>负责食堂的菜品制作等工作。</w:t>
            </w:r>
          </w:p>
        </w:tc>
        <w:tc>
          <w:tcPr>
            <w:tcW w:w="939" w:type="dxa"/>
            <w:vAlign w:val="center"/>
          </w:tcPr>
          <w:p>
            <w:pPr>
              <w:spacing w:line="240" w:lineRule="auto"/>
              <w:jc w:val="left"/>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厨工</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val="0"/>
                <w:bCs w:val="0"/>
                <w:kern w:val="0"/>
                <w:sz w:val="21"/>
                <w:szCs w:val="21"/>
                <w:lang w:val="en-US" w:eastAsia="zh-CN" w:bidi="ar-SA"/>
              </w:rPr>
              <w:t>负责食堂的原料加工切配、配餐、卫生等厨房的各种工作，负责餐厅卫生及餐具、用品用具的清洁保养、厨房的其他工作等。</w:t>
            </w:r>
          </w:p>
        </w:tc>
        <w:tc>
          <w:tcPr>
            <w:tcW w:w="939" w:type="dxa"/>
            <w:vAlign w:val="center"/>
          </w:tcPr>
          <w:p>
            <w:pPr>
              <w:spacing w:line="240" w:lineRule="auto"/>
              <w:jc w:val="both"/>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洗碗工</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 w:val="0"/>
                <w:bCs w:val="0"/>
                <w:kern w:val="0"/>
                <w:sz w:val="21"/>
                <w:szCs w:val="21"/>
                <w:lang w:val="en-US" w:eastAsia="zh-CN" w:bidi="ar-SA"/>
              </w:rPr>
              <w:t>负责食堂餐具各项清洁工作。</w:t>
            </w:r>
          </w:p>
        </w:tc>
        <w:tc>
          <w:tcPr>
            <w:tcW w:w="939" w:type="dxa"/>
            <w:vAlign w:val="center"/>
          </w:tcPr>
          <w:p>
            <w:pPr>
              <w:spacing w:line="240" w:lineRule="auto"/>
              <w:jc w:val="both"/>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高级服务员</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负责就餐过程中的服务</w:t>
            </w:r>
          </w:p>
        </w:tc>
        <w:tc>
          <w:tcPr>
            <w:tcW w:w="939" w:type="dxa"/>
            <w:vAlign w:val="center"/>
          </w:tcPr>
          <w:p>
            <w:pPr>
              <w:spacing w:line="240" w:lineRule="auto"/>
              <w:jc w:val="both"/>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1343"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服务员</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负责就餐过程中的服务</w:t>
            </w:r>
          </w:p>
        </w:tc>
        <w:tc>
          <w:tcPr>
            <w:tcW w:w="939" w:type="dxa"/>
            <w:vAlign w:val="center"/>
          </w:tcPr>
          <w:p>
            <w:pPr>
              <w:spacing w:line="240" w:lineRule="auto"/>
              <w:jc w:val="left"/>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gridSpan w:val="2"/>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合计</w:t>
            </w:r>
          </w:p>
        </w:tc>
        <w:tc>
          <w:tcPr>
            <w:tcW w:w="670" w:type="dxa"/>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5662" w:type="dxa"/>
            <w:vAlign w:val="center"/>
          </w:tcPr>
          <w:p>
            <w:pPr>
              <w:spacing w:line="240" w:lineRule="auto"/>
              <w:jc w:val="center"/>
              <w:rPr>
                <w:rFonts w:hint="eastAsia" w:ascii="宋体" w:hAnsi="宋体" w:eastAsia="宋体" w:cs="宋体"/>
                <w:bCs/>
                <w:sz w:val="21"/>
                <w:szCs w:val="21"/>
                <w:vertAlign w:val="baseline"/>
                <w:lang w:val="en-US" w:eastAsia="zh-CN"/>
              </w:rPr>
            </w:pPr>
          </w:p>
        </w:tc>
        <w:tc>
          <w:tcPr>
            <w:tcW w:w="939" w:type="dxa"/>
            <w:vAlign w:val="center"/>
          </w:tcPr>
          <w:p>
            <w:pPr>
              <w:spacing w:line="240" w:lineRule="auto"/>
              <w:jc w:val="center"/>
              <w:rPr>
                <w:rFonts w:hint="eastAsia" w:ascii="宋体" w:hAnsi="宋体" w:eastAsia="宋体" w:cs="宋体"/>
                <w:bCs/>
                <w:sz w:val="21"/>
                <w:szCs w:val="21"/>
                <w:vertAlign w:val="baseline"/>
                <w:lang w:val="en-US" w:eastAsia="zh-CN"/>
              </w:rPr>
            </w:pPr>
          </w:p>
        </w:tc>
      </w:tr>
    </w:tbl>
    <w:p>
      <w:pPr>
        <w:spacing w:line="520" w:lineRule="exact"/>
        <w:ind w:firstLine="422" w:firstLineChars="200"/>
        <w:jc w:val="left"/>
        <w:rPr>
          <w:rFonts w:hint="eastAsia" w:ascii="宋体" w:hAnsi="宋体" w:eastAsia="宋体" w:cs="宋体"/>
          <w:b/>
          <w:bCs w:val="0"/>
          <w:sz w:val="21"/>
          <w:szCs w:val="21"/>
          <w:highlight w:val="yellow"/>
          <w:lang w:val="en-US" w:eastAsia="zh-CN"/>
        </w:rPr>
      </w:pPr>
      <w:r>
        <w:rPr>
          <w:rFonts w:hint="eastAsia" w:ascii="宋体" w:hAnsi="宋体" w:eastAsia="宋体" w:cs="宋体"/>
          <w:b/>
          <w:bCs w:val="0"/>
          <w:sz w:val="21"/>
          <w:szCs w:val="21"/>
          <w:highlight w:val="yellow"/>
          <w:lang w:val="en-US" w:eastAsia="zh-CN"/>
        </w:rPr>
        <w:t>2.学生餐厅人员配置要求：</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342"/>
        <w:gridCol w:w="687"/>
        <w:gridCol w:w="6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序号</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岗位</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人数</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color w:val="FF0000"/>
                <w:sz w:val="21"/>
                <w:szCs w:val="21"/>
                <w:vertAlign w:val="baseline"/>
                <w:lang w:val="en-US" w:eastAsia="zh-CN"/>
              </w:rPr>
              <w:t>现场经理</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2</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厨师长</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3</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财务</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Merge w:val="restart"/>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薪资对标教职工餐厅早餐师傅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4</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内审专员</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Merge w:val="continue"/>
          </w:tcPr>
          <w:p>
            <w:pPr>
              <w:spacing w:line="240" w:lineRule="auto"/>
              <w:jc w:val="center"/>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食品安全员</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Merge w:val="continue"/>
          </w:tcPr>
          <w:p>
            <w:pPr>
              <w:spacing w:line="240" w:lineRule="auto"/>
              <w:jc w:val="center"/>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客服主管</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Merge w:val="continue"/>
          </w:tcPr>
          <w:p>
            <w:pPr>
              <w:spacing w:line="240" w:lineRule="auto"/>
              <w:jc w:val="center"/>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综合主管</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w:t>
            </w:r>
          </w:p>
        </w:tc>
        <w:tc>
          <w:tcPr>
            <w:tcW w:w="3528" w:type="pct"/>
            <w:vMerge w:val="restart"/>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薪资对标教职工餐厅早餐大师傅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厨师</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3528" w:type="pct"/>
            <w:vMerge w:val="continue"/>
            <w:vAlign w:val="center"/>
          </w:tcPr>
          <w:p>
            <w:pPr>
              <w:spacing w:line="240" w:lineRule="auto"/>
              <w:jc w:val="center"/>
              <w:rPr>
                <w:rFonts w:hint="eastAsia" w:ascii="宋体" w:hAnsi="宋体" w:eastAsia="宋体" w:cs="宋体"/>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厨工</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3528" w:type="pct"/>
            <w:vAlign w:val="center"/>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薪资对标教职工餐厅高级服务员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10</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助厨</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11</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早餐师傅</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薪资对标教职工餐厅早餐师傅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炒锅师傅</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8</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薪资对标教职工餐厅早餐师傅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13</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特色餐师傅</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12</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薪资对标教职工餐厅早餐师傅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14</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服务员</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9</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15</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收银员</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5</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薪资对标教职工餐厅厨工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16</w:t>
            </w:r>
          </w:p>
        </w:tc>
        <w:tc>
          <w:tcPr>
            <w:tcW w:w="722"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洗碗工</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6</w:t>
            </w:r>
          </w:p>
        </w:tc>
        <w:tc>
          <w:tcPr>
            <w:tcW w:w="3528"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薪资对标教职工餐厅洗碗工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pct"/>
            <w:gridSpan w:val="2"/>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合计</w:t>
            </w:r>
          </w:p>
        </w:tc>
        <w:tc>
          <w:tcPr>
            <w:tcW w:w="370" w:type="pct"/>
          </w:tcPr>
          <w:p>
            <w:pPr>
              <w:spacing w:line="240" w:lineRule="auto"/>
              <w:jc w:val="center"/>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77</w:t>
            </w:r>
          </w:p>
        </w:tc>
        <w:tc>
          <w:tcPr>
            <w:tcW w:w="3528" w:type="pct"/>
          </w:tcPr>
          <w:p>
            <w:pPr>
              <w:spacing w:line="240" w:lineRule="auto"/>
              <w:jc w:val="left"/>
              <w:rPr>
                <w:rFonts w:hint="eastAsia" w:ascii="宋体" w:hAnsi="宋体" w:eastAsia="宋体" w:cs="宋体"/>
                <w:bCs/>
                <w:sz w:val="21"/>
                <w:szCs w:val="21"/>
                <w:vertAlign w:val="baseline"/>
                <w:lang w:val="en-US" w:eastAsia="zh-CN"/>
              </w:rPr>
            </w:pPr>
          </w:p>
        </w:tc>
      </w:tr>
    </w:tbl>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1.项目负责人岗位要求</w:t>
      </w:r>
    </w:p>
    <w:p>
      <w:pPr>
        <w:spacing w:line="520" w:lineRule="exact"/>
        <w:ind w:firstLine="420" w:firstLineChars="200"/>
        <w:jc w:val="left"/>
        <w:rPr>
          <w:rFonts w:hint="eastAsia" w:ascii="宋体" w:hAnsi="宋体" w:eastAsia="宋体" w:cs="宋体"/>
          <w:bCs/>
          <w:sz w:val="21"/>
          <w:szCs w:val="21"/>
          <w:vertAlign w:val="baseline"/>
          <w:lang w:val="en-US" w:eastAsia="zh-CN"/>
        </w:rPr>
      </w:pPr>
      <w:r>
        <w:rPr>
          <w:rFonts w:hint="eastAsia" w:ascii="宋体" w:hAnsi="宋体" w:eastAsia="宋体" w:cs="宋体"/>
          <w:bCs/>
          <w:sz w:val="21"/>
          <w:szCs w:val="21"/>
          <w:vertAlign w:val="baseline"/>
          <w:lang w:val="en-US" w:eastAsia="zh-CN"/>
        </w:rPr>
        <w:t>本科或以上学历，具有餐饮管理经验，具有公共营养师证书、餐饮职业经理人、食品安全总监等证书，熟悉食品安全管理体系和质量管理体系，责任心强，善于沟通协调。</w:t>
      </w:r>
    </w:p>
    <w:p>
      <w:pPr>
        <w:spacing w:line="520" w:lineRule="exact"/>
        <w:ind w:firstLine="420" w:firstLineChars="200"/>
        <w:jc w:val="left"/>
        <w:rPr>
          <w:rFonts w:hint="eastAsia" w:ascii="宋体" w:hAnsi="宋体" w:eastAsia="宋体" w:cs="宋体"/>
          <w:szCs w:val="21"/>
        </w:rPr>
      </w:pPr>
      <w:r>
        <w:rPr>
          <w:rFonts w:hint="eastAsia" w:ascii="宋体" w:hAnsi="宋体" w:eastAsia="宋体" w:cs="宋体"/>
          <w:szCs w:val="21"/>
        </w:rPr>
        <w:t>具体工作职责：1）依据国家学生餐营养指南及不同年龄段学生的生理需求，结合学校食堂的实际供餐条件，为食堂制定科学合理的每周菜谱，确保食材搭配均衡，涵盖蛋白质、维生素、矿物质等各类营养素，满足学生生长发育需要。</w:t>
      </w:r>
    </w:p>
    <w:p>
      <w:pPr>
        <w:numPr>
          <w:ilvl w:val="0"/>
          <w:numId w:val="4"/>
        </w:numPr>
        <w:spacing w:line="520" w:lineRule="exact"/>
        <w:ind w:firstLine="420" w:firstLineChars="200"/>
        <w:jc w:val="left"/>
        <w:rPr>
          <w:rFonts w:hint="eastAsia" w:ascii="宋体" w:hAnsi="宋体" w:eastAsia="宋体" w:cs="宋体"/>
          <w:szCs w:val="21"/>
        </w:rPr>
      </w:pPr>
      <w:r>
        <w:rPr>
          <w:rFonts w:hint="eastAsia" w:ascii="宋体" w:hAnsi="宋体" w:eastAsia="宋体" w:cs="宋体"/>
          <w:szCs w:val="21"/>
        </w:rPr>
        <w:t>设立健康咨询窗口或线上咨询渠道，定期为师生提供一对一咨询服务，解答关于饮食健康、体重管理、常见慢性病预防（如近视、贫血等）、作息调整等方面的问题。</w:t>
      </w:r>
    </w:p>
    <w:p>
      <w:pPr>
        <w:numPr>
          <w:ilvl w:val="0"/>
          <w:numId w:val="4"/>
        </w:num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szCs w:val="21"/>
        </w:rPr>
        <w:t>每学期制定健康讲座计划，根据不同年级学生的认知水平和健康关注点，确定讲座主题</w:t>
      </w:r>
      <w:r>
        <w:rPr>
          <w:rFonts w:hint="eastAsia" w:ascii="宋体" w:hAnsi="宋体" w:eastAsia="宋体" w:cs="宋体"/>
          <w:szCs w:val="21"/>
          <w:lang w:eastAsia="zh-CN"/>
        </w:rPr>
        <w:t>。</w:t>
      </w:r>
    </w:p>
    <w:p>
      <w:pPr>
        <w:numPr>
          <w:ilvl w:val="0"/>
          <w:numId w:val="4"/>
        </w:num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szCs w:val="21"/>
          <w:lang w:val="en-US" w:eastAsia="zh-CN"/>
        </w:rPr>
        <w:t>具有专业的餐饮管理经验及食品安全经验，负责把控项目整体实施及食品安全。</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2.项目团队成员岗位要求</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（1）厨师长具有二级或以上中式烹调师证书，协助项目负责人管理监督食堂员工，负责新菜品开发、食品卫生和质量、制定菜单、菜谱。</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（2）教职工和学生服务团队各配备1人具有二级或以上中式烹调师证书的厨师，协助厨师长管理监督食堂员工，负责新菜品开发、食品卫生和质量、制定菜单、菜谱。</w:t>
      </w:r>
    </w:p>
    <w:p>
      <w:pPr>
        <w:pStyle w:val="60"/>
        <w:bidi w:val="0"/>
        <w:rPr>
          <w:rFonts w:hint="eastAsia" w:ascii="宋体" w:hAnsi="宋体" w:eastAsia="宋体" w:cs="宋体"/>
          <w:bCs/>
          <w:color w:val="auto"/>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bCs/>
          <w:color w:val="auto"/>
          <w:kern w:val="2"/>
          <w:sz w:val="21"/>
          <w:szCs w:val="21"/>
          <w:lang w:val="en-US" w:eastAsia="zh-CN" w:bidi="ar-SA"/>
        </w:rPr>
        <w:t>早餐师傅配备2人具有二级或以上中式面点师证书的面点师，负责制作中西式点心。</w:t>
      </w:r>
    </w:p>
    <w:p>
      <w:pPr>
        <w:pStyle w:val="60"/>
        <w:bidi w:val="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（4）拟派团队人员中有2人具有三级或以上公共营养师证书。</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（5）拟派团队人员中有3人具有食品安全总监证书，并定期针对食堂食品安全进行检查。</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（6）财务、内审员，有3年以上经验，具备相关从业证书。</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（7）综合主管，有3年以上经验。</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（8）厨师，负责日常工作餐制作，主要包括拟定菜谱、菜肴制作、卫生、配餐 服务等工作。5年以上本岗位工作经验，熟悉大锅菜和小锅菜制作，工作责任心强，具有高度 的自觉性和服务意识。具有市场监督管理局或食品药品监督局颁发的高级食品安全管理员（师）证书或高级食品安全管理员培训考核合格证明、中式烹调师证、中式/西式面点师证的优先。</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（9）厨工：餐具用品清洁保养及协助厨房其他工作。初中以上学历，2 年以上本岗位工作经验，形象气质佳，具有高度的服务意识和责任心。</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（10）中标方按国家规定为服务人员支付社会保险费及其它应付费用。若发生劳动争议的由中标方自行解决，采购人无需承担任何连带关系和责任。</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（11）临时用工人员由中标方组建，由中标方按照国家规定进行管理。负责从食堂配送餐食到教室。不足部分在固定人员中协调解决。</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本招标文件人员数量要求基于目前状况核算，后续区教育主管部门有新规定按照最新规定及标准进行调整，并以合同补充协议方式进行约定。</w:t>
      </w:r>
    </w:p>
    <w:p>
      <w:pPr>
        <w:spacing w:line="520" w:lineRule="exact"/>
        <w:ind w:firstLine="422" w:firstLineChars="200"/>
        <w:jc w:val="left"/>
        <w:rPr>
          <w:rFonts w:hint="eastAsia" w:ascii="宋体" w:hAnsi="宋体" w:eastAsia="宋体" w:cs="宋体"/>
          <w:b/>
          <w:bCs w:val="0"/>
          <w:sz w:val="21"/>
          <w:szCs w:val="21"/>
          <w:lang w:val="en-US" w:eastAsia="zh-CN"/>
        </w:rPr>
      </w:pPr>
      <w:bookmarkStart w:id="22" w:name="OLE_LINK2"/>
      <w:r>
        <w:rPr>
          <w:rFonts w:hint="eastAsia" w:ascii="宋体" w:hAnsi="宋体" w:eastAsia="宋体" w:cs="宋体"/>
          <w:b/>
          <w:bCs w:val="0"/>
          <w:sz w:val="21"/>
          <w:szCs w:val="21"/>
          <w:lang w:val="en-US" w:eastAsia="zh-CN"/>
        </w:rPr>
        <w:t>（五）</w:t>
      </w:r>
      <w:bookmarkEnd w:id="22"/>
      <w:r>
        <w:rPr>
          <w:rFonts w:hint="eastAsia" w:ascii="宋体" w:hAnsi="宋体" w:eastAsia="宋体" w:cs="宋体"/>
          <w:b/>
          <w:bCs w:val="0"/>
          <w:sz w:val="21"/>
          <w:szCs w:val="21"/>
          <w:lang w:val="en-US" w:eastAsia="zh-CN"/>
        </w:rPr>
        <w:t>运营管理服务要求</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中标方严格执行《中华人民共和国食品安全法》，按照学校、教育行政主管部门、市场监督管理局的要求执行。并接受各级各类政府部门检查指导，接受家长委员会的监督检查。</w:t>
      </w:r>
    </w:p>
    <w:p>
      <w:pPr>
        <w:spacing w:line="520" w:lineRule="exact"/>
        <w:ind w:firstLine="422" w:firstLineChars="200"/>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其他要求：</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1.中标方每周五前出下周菜单给校方审核，通过后并公示在学校食堂菜单公示处。</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2.中标方不得将服务项目非法分包或转包给任何单位和个人。</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3.如因中标方团队工作人员操作不当，出现任何安全事故，中标方自行负责，如因此给采购方造成损失的，中标方需承担全部责任。</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4.因中标方团队工作人员加工过程操作不当而导致采购方用餐职工食物中毒（依据用餐留样检测且经相应权威部门确认） ，由中标方负责由此引起的相关经济及法律责任。</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校方前期调研教师2025年9月用餐人数215人，学生2025年9月开餐人数约2300人左右（具体用餐以实际情况为准）；依据学校实际用餐人数，如需减少服务人员，可根据岗位需求提前15天以书面的形式通知中标方减少人员并按相应岗位扣减费用。</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6.合同生效前5天要求最少80%的人员到位；合同生效正式运营当天要求100%的人员到位，如在规定的时间内中标方未能招足采购人的岗位人数的，每缺1人，扣罚中标方相应岗位1.5人的服务费。</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7.如中标方在合同期限内管理不善，导致学校不能正常运营，采购人有权依法单方面终止合同。</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8.项目中标方，还需包括项目内容如下：员工招聘；入职体检；入职培训；劳动合同管理；档案考勤管理；意外伤害保险；社会保险管理薪酬管理；医疗保险；劳动争议处理；工作期间所有劳保及办公用品；人员工资待遇的发放等； </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9.中标方需提供满足2300名学生订餐、请假小程序。</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10.投标人承诺派驻本项目的所有人员均符合履行职责所需达到国家规定的饮食从业人员健康标准，且在中标后提供所有人员的健康证，投标人提供承诺函，格式自拟。</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11.本项目人员数量要求基于目前状况核算，后续区教育主管部门有新规定按照最新规定及标准进行调整，并以合同补充协议方式进行约定。</w:t>
      </w:r>
    </w:p>
    <w:p>
      <w:pPr>
        <w:spacing w:line="520" w:lineRule="exact"/>
        <w:ind w:firstLine="422" w:firstLineChars="200"/>
        <w:jc w:val="left"/>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（六）</w:t>
      </w:r>
      <w:r>
        <w:rPr>
          <w:rFonts w:hint="eastAsia" w:ascii="宋体" w:hAnsi="宋体" w:eastAsia="宋体" w:cs="宋体"/>
          <w:b/>
          <w:bCs w:val="0"/>
          <w:sz w:val="21"/>
          <w:szCs w:val="21"/>
        </w:rPr>
        <w:t>其他服务要求</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中标方在经营活动中，应坚持学校食堂公益性，服务性的原则，努力提供价廉物美，质优卫生的膳食品种，全心全意服务：</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（1）中标方必须负责所属人员的卫生教育，确保所属人员须持有效健康证、服务证，统一着装上岗；</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（2）中标方须根据学校规定时间按时提供优质服务，不得提前或延迟开饭时间(特殊情况如开会、放假、考试等要服从学校指定的时间)，做到热情服务、文明接待；</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（3）如遇停电、停水、停气等突发情况，应迅速做好应急预案，保障正常供餐；</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（4）建立规范的、可供采购人核查的采购台账、财务帐册，按月向采购人递送报表，按月公示，积极配合采购方全过程监管；</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（5）承诺1小时（含）内响应食品安全应急事件，即在1小时内完成上报市场监督管理局、教育局等主管部门以及封存留样食品等工作。</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6）中标方食品生产流程管理制度严格按照国家食品卫生安全法及相关餐饮管理规定和市场监督部门管理要求执行，如有违规操作或产生任何不良影响，所有处罚与责任由中标方自行承担，并需消除由此为采购方带来的一切不良影响。</w:t>
      </w:r>
    </w:p>
    <w:p>
      <w:pPr>
        <w:spacing w:line="52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7）应加强企业内部的管理。食堂员工应当每年进行健康检查，取得全省统一格式的食品从业人员健康证明后方可上岗工作，接触直接入口食品的从业人员出现发热、泻、皮肤伤口或感染、咽部炎症以及《有碍食品安全疾病目录》所列等病症的，应立即调离工作岗位，待查明原因并将有碍食品安全的病症治愈后，方可重新上岗。合同期内，如发生劳资纠纷、安全责任等事故，应自行妥善处理，因处理不善影响食堂的正常运作，波及学校稳定时，应承担一切责任并赔偿损失、消除影响；</w:t>
      </w:r>
    </w:p>
    <w:p>
      <w:pPr>
        <w:spacing w:line="520" w:lineRule="exact"/>
        <w:ind w:firstLine="420"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Cs/>
          <w:sz w:val="21"/>
          <w:szCs w:val="21"/>
        </w:rPr>
        <w:t>（8）应加强节能管理，节约用水用电，严格遵守节能减排，创建和谐校园。</w:t>
      </w:r>
    </w:p>
    <w:p>
      <w:pPr>
        <w:keepNext/>
        <w:keepLines/>
        <w:numPr>
          <w:ilvl w:val="0"/>
          <w:numId w:val="3"/>
        </w:numPr>
        <w:tabs>
          <w:tab w:val="left" w:pos="1680"/>
        </w:tabs>
        <w:spacing w:before="260" w:after="78" w:afterLines="25" w:line="240" w:lineRule="auto"/>
        <w:ind w:left="0" w:leftChars="0" w:firstLine="420" w:firstLineChars="0"/>
        <w:jc w:val="center"/>
        <w:outlineLvl w:val="2"/>
        <w:rPr>
          <w:rFonts w:hint="eastAsia" w:ascii="Arial" w:hAnsi="Arial" w:eastAsia="宋体" w:cs="Times New Roman"/>
          <w:b/>
          <w:sz w:val="28"/>
          <w:szCs w:val="28"/>
        </w:rPr>
      </w:pPr>
      <w:r>
        <w:rPr>
          <w:rFonts w:hint="eastAsia" w:ascii="Arial" w:hAnsi="Arial" w:eastAsia="宋体" w:cs="Times New Roman"/>
          <w:b/>
          <w:sz w:val="28"/>
          <w:szCs w:val="28"/>
        </w:rPr>
        <w:t>★商务要求</w:t>
      </w:r>
    </w:p>
    <w:p>
      <w:pPr>
        <w:spacing w:line="520" w:lineRule="exact"/>
        <w:ind w:firstLine="422" w:firstLineChars="200"/>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（一）服务期限：</w:t>
      </w:r>
    </w:p>
    <w:p>
      <w:pPr>
        <w:spacing w:line="520" w:lineRule="exact"/>
        <w:ind w:firstLine="420" w:firstLineChars="200"/>
        <w:jc w:val="left"/>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本项目服务期限为自合同签订生效之日起一年。服务期间如遇到政府政策调整，则应按照政策要求，采购人可提前依法终止合同并不承担违约责任。若政府采购主管部门发现项目有异常情况，以主管部门意见为准。</w:t>
      </w:r>
    </w:p>
    <w:p>
      <w:pPr>
        <w:widowControl w:val="0"/>
        <w:wordWrap w:val="0"/>
        <w:bidi w:val="0"/>
        <w:spacing w:line="360" w:lineRule="auto"/>
        <w:ind w:firstLine="211" w:firstLineChars="100"/>
        <w:jc w:val="both"/>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（二）报价要求：</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1.投标人需在投标文件中列明教职工餐饮服务人员用人成本。</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投标报价为一年服务费用。投标人的投标报价为包干价，包括供应产品价格和产品运输到使用单位的服务费、检测费、保险、搬运费、人工费、管理费、税金等一切将可能发生的费用。以上报价以人民币为报价和结算单位，须开具国家正规发票。</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3.食堂设施设备的中、大修及更新改造项目，由采购人负责。</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4.办公用房和就餐：采购人提供办公用房，该用房在委托管理期限内由中标人免费使用，并接受采购人管理。</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5.管理费标准</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由投标人根据招标文件所提供的资料自行测算。</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6.安全管理服务</w:t>
      </w:r>
    </w:p>
    <w:p>
      <w:pPr>
        <w:widowControl w:val="0"/>
        <w:wordWrap w:val="0"/>
        <w:bidi w:val="0"/>
        <w:spacing w:line="360" w:lineRule="auto"/>
        <w:ind w:firstLine="482"/>
        <w:jc w:val="both"/>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中标人必须按采购人要求的食堂安全管理工作提供专业化的安全生产服务。</w:t>
      </w:r>
    </w:p>
    <w:p>
      <w:pPr>
        <w:pStyle w:val="10"/>
        <w:numPr>
          <w:ilvl w:val="0"/>
          <w:numId w:val="0"/>
        </w:numPr>
        <w:rPr>
          <w:rFonts w:hint="eastAsia" w:ascii="宋体" w:hAnsi="宋体" w:eastAsia="宋体" w:cs="宋体"/>
          <w:sz w:val="21"/>
          <w:szCs w:val="21"/>
          <w:lang w:val="en-US" w:eastAsia="zh-CN"/>
        </w:rPr>
      </w:pP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7.成本管控:由中标方负责项目整体成本管控，总成本(总成本=食材费用+杂费劳务服务费)不得高于总收入，此项与服务费结算相关，如总成本高于总收入采购人有权扣除中标人相应比例的劳务服务费。</w:t>
      </w:r>
    </w:p>
    <w:p>
      <w:pPr>
        <w:spacing w:line="520" w:lineRule="exact"/>
        <w:ind w:firstLine="422" w:firstLineChars="200"/>
        <w:jc w:val="left"/>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lang w:val="en-US" w:eastAsia="zh-CN"/>
        </w:rPr>
        <w:t>（</w:t>
      </w:r>
      <w:r>
        <w:rPr>
          <w:rFonts w:hint="eastAsia" w:ascii="宋体" w:hAnsi="宋体" w:eastAsia="宋体" w:cs="宋体"/>
          <w:b/>
          <w:bCs w:val="0"/>
          <w:sz w:val="21"/>
          <w:szCs w:val="21"/>
          <w:highlight w:val="none"/>
          <w:lang w:val="en-US" w:eastAsia="zh-CN"/>
        </w:rPr>
        <w:t>三）付款方式：</w:t>
      </w:r>
    </w:p>
    <w:p>
      <w:pPr>
        <w:spacing w:line="520" w:lineRule="exact"/>
        <w:ind w:firstLine="420" w:firstLineChars="200"/>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服务费用由两部分组成。教职工食堂运营服务费用以财政当年拨付经费为准执行支付，由学校按实际就餐人数向中标人每月结算一次费用，中标人应先行垫付上个月产生费用，校方于收到相应发票或单据的次月10日前向中标人结算费用；学生食堂运营服务费用由学校核算后从学生餐费中支出，由学校按实际就餐人数向中标人每月结算一次费用，中标人需协助学校做到账目清晰，中标人应先行垫付上个月产生费用，校方于收到相应发票或单据的次月10日前向中标人结算费用。</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sz w:val="21"/>
          <w:szCs w:val="21"/>
        </w:rPr>
        <w:t>因财政资金拨款未到位、财政审批、放假等原因而导致甲方未在约定期限内支付合同费用的，不视为甲方违约，乙方不得要求甲方承担逾期付款的违约责任</w:t>
      </w:r>
      <w:r>
        <w:rPr>
          <w:rFonts w:hint="eastAsia" w:ascii="宋体" w:hAnsi="宋体" w:eastAsia="宋体" w:cs="宋体"/>
          <w:sz w:val="21"/>
          <w:szCs w:val="21"/>
          <w:lang w:eastAsia="zh-CN"/>
        </w:rPr>
        <w:t>，</w:t>
      </w:r>
      <w:r>
        <w:rPr>
          <w:rFonts w:hint="eastAsia" w:ascii="宋体" w:hAnsi="宋体" w:eastAsia="宋体" w:cs="宋体"/>
          <w:bCs/>
          <w:sz w:val="21"/>
          <w:szCs w:val="21"/>
          <w:lang w:val="en-US" w:eastAsia="zh-CN"/>
        </w:rPr>
        <w:t>乙方不得因此要求甲方承担责任，应当继续履行完成任务</w:t>
      </w:r>
      <w:r>
        <w:rPr>
          <w:rFonts w:hint="eastAsia" w:ascii="宋体" w:hAnsi="宋体" w:eastAsia="宋体" w:cs="宋体"/>
          <w:sz w:val="21"/>
          <w:szCs w:val="21"/>
        </w:rPr>
        <w:t>。付款前，乙方应需先提供相应额度的正规</w:t>
      </w:r>
      <w:r>
        <w:rPr>
          <w:rFonts w:hint="eastAsia" w:ascii="宋体" w:hAnsi="宋体" w:eastAsia="宋体" w:cs="宋体"/>
          <w:sz w:val="21"/>
          <w:szCs w:val="21"/>
          <w:lang w:val="en-US" w:eastAsia="zh-CN"/>
        </w:rPr>
        <w:t>普通</w:t>
      </w:r>
      <w:r>
        <w:rPr>
          <w:rFonts w:hint="eastAsia" w:ascii="宋体" w:hAnsi="宋体" w:eastAsia="宋体" w:cs="宋体"/>
          <w:sz w:val="21"/>
          <w:szCs w:val="21"/>
        </w:rPr>
        <w:t>发票给甲方，以便办理支付手续。</w:t>
      </w:r>
    </w:p>
    <w:p>
      <w:pPr>
        <w:spacing w:line="520" w:lineRule="exact"/>
        <w:ind w:firstLine="422" w:firstLineChars="200"/>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（四）考核评价：</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按月支付，每月服务完成后10天内，经采购人验收合格后，采购人向中标方支付该月服务费用。具体量化考核表见附件一。</w:t>
      </w:r>
    </w:p>
    <w:p>
      <w:pPr>
        <w:spacing w:line="520" w:lineRule="exact"/>
        <w:ind w:firstLine="422" w:firstLineChars="200"/>
        <w:jc w:val="left"/>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（五）违约责任：</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（1）本合同签订后，由甲方制作关于乙方工作质量的考核标准，乙方验收确认。乙方应严格按照甲方的考核标准执行，否则，甲方有权依法单方终止合同。</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（2）合同期内非法定事由或本合同条款约定的，甲乙双方不得提前终止合同。</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（3）合同期内非法定事由或本合同条款约定，单方有意提前终止合同的，需提前30天通知对方，没有提前通知对方并取得同意的，违约方应向守约方支付3个月的运营服务的管理费作为违约金。</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（4）因乙方提供不合格食物造成甲方人员食品卫生安全事故的，由乙方负责赔偿并承担相应的法律后果。</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（5）甲、乙双方无故未按时结清乙方账款超过15日（以结算单确认日起算）的，应每天承担应付款的0.3%作为违约金。</w:t>
      </w:r>
    </w:p>
    <w:p>
      <w:pPr>
        <w:spacing w:line="520" w:lineRule="exact"/>
        <w:ind w:firstLine="420" w:firstLineChars="200"/>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（6）若甲方因财政审批程序的缘故未能按合同约定及时向乙方支付上述费用的，乙方不得因此要求甲方承担责任，应当继续履行完成任务。</w:t>
      </w:r>
    </w:p>
    <w:p>
      <w:pPr>
        <w:spacing w:line="520" w:lineRule="exact"/>
        <w:ind w:firstLine="420" w:firstLineChars="200"/>
        <w:jc w:val="left"/>
        <w:rPr>
          <w:rFonts w:hint="eastAsia" w:ascii="宋体" w:hAnsi="宋体" w:eastAsia="宋体" w:cs="宋体"/>
          <w:bCs/>
          <w:sz w:val="21"/>
          <w:szCs w:val="21"/>
          <w:lang w:val="en-US" w:eastAsia="zh-CN"/>
        </w:rPr>
      </w:pP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附件一：月度考核表</w:t>
      </w:r>
    </w:p>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考核内容及评分细则按下表执行：</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5"/>
        <w:gridCol w:w="845"/>
        <w:gridCol w:w="964"/>
        <w:gridCol w:w="5079"/>
        <w:gridCol w:w="839"/>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695"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序号</w:t>
            </w:r>
          </w:p>
        </w:tc>
        <w:tc>
          <w:tcPr>
            <w:tcW w:w="845"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类别</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内容</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评分细则</w:t>
            </w:r>
          </w:p>
        </w:tc>
        <w:tc>
          <w:tcPr>
            <w:tcW w:w="83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分值</w:t>
            </w:r>
          </w:p>
        </w:tc>
        <w:tc>
          <w:tcPr>
            <w:tcW w:w="852"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695"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w:t>
            </w:r>
          </w:p>
        </w:tc>
        <w:tc>
          <w:tcPr>
            <w:tcW w:w="845"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人员配备</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人员配备情况</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是否依照招标文件、投标文件、合同约定配备服务人员；相关人员是否具备约定的资质要求。每发现1次，扣2分，累计最高扣分5分。</w:t>
            </w:r>
          </w:p>
        </w:tc>
        <w:tc>
          <w:tcPr>
            <w:tcW w:w="83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jc w:val="center"/>
        </w:trPr>
        <w:tc>
          <w:tcPr>
            <w:tcW w:w="69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w:t>
            </w:r>
          </w:p>
        </w:tc>
        <w:tc>
          <w:tcPr>
            <w:tcW w:w="84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质量方面</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物品质量</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是否存在使用霉烂、变质、过期、破损等不符质量要求的食材情况；是否存在以次充好达不到采购方要求的情况。每发现1次扣5分，累计每月最高扣分15分。</w:t>
            </w:r>
          </w:p>
        </w:tc>
        <w:tc>
          <w:tcPr>
            <w:tcW w:w="839"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30</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69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4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食品检测</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采购方对食品行食品安全检测，每发现1项不合格的，直接扣10分。</w:t>
            </w:r>
          </w:p>
        </w:tc>
        <w:tc>
          <w:tcPr>
            <w:tcW w:w="839"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atLeast"/>
          <w:jc w:val="center"/>
        </w:trPr>
        <w:tc>
          <w:tcPr>
            <w:tcW w:w="69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4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索证制度</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是否建立相应的追踪溯源体系，专门台账档案；是否有清晰的货物来源或产地；是否有留样；是否及时提供相关的票、据、证等材料。每发现1次扣5分，累计每月最高扣分5分。</w:t>
            </w:r>
          </w:p>
        </w:tc>
        <w:tc>
          <w:tcPr>
            <w:tcW w:w="839"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695"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845"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数量方面</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物品数量</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若是否存在缺斤少两的情况；是否按照采购方订单品种和数量进行备餐。与订单数量相差相差20%，扣2分；相差30%，扣5分；与订单品种每相差1个，扣1分；累计每月最高扣分10分。</w:t>
            </w:r>
          </w:p>
        </w:tc>
        <w:tc>
          <w:tcPr>
            <w:tcW w:w="83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69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p>
        </w:tc>
        <w:tc>
          <w:tcPr>
            <w:tcW w:w="84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时间方面</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配餐准时性</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是否按照每天的开餐计划备餐，每晚于计划时间10分钟扣2.5分，累计每月最高扣分10分。</w:t>
            </w:r>
          </w:p>
        </w:tc>
        <w:tc>
          <w:tcPr>
            <w:tcW w:w="839" w:type="dxa"/>
            <w:vMerge w:val="restart"/>
            <w:vAlign w:val="center"/>
          </w:tcPr>
          <w:p>
            <w:pPr>
              <w:spacing w:line="520" w:lineRule="exact"/>
              <w:jc w:val="left"/>
              <w:rPr>
                <w:rFonts w:hint="eastAsia" w:ascii="宋体" w:hAnsi="宋体" w:eastAsia="宋体" w:cs="宋体"/>
                <w:bCs/>
                <w:sz w:val="21"/>
                <w:szCs w:val="21"/>
                <w:lang w:val="en-US" w:eastAsia="zh-CN"/>
              </w:rPr>
            </w:pPr>
          </w:p>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69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4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应急响应时间</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是否按照采购方的要求，以最快的速度，按照招标时的承诺进行应急处理。发现1次扣5分，累计每月最高扣分10分。</w:t>
            </w:r>
          </w:p>
        </w:tc>
        <w:tc>
          <w:tcPr>
            <w:tcW w:w="839"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69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w:t>
            </w:r>
          </w:p>
        </w:tc>
        <w:tc>
          <w:tcPr>
            <w:tcW w:w="84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卫生方面</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服务人员</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是否有健康证，是否统一穿工服，是否存在盗取货物等情况，每发现1次扣2分，累计每月最高扣分5分。</w:t>
            </w:r>
          </w:p>
        </w:tc>
        <w:tc>
          <w:tcPr>
            <w:tcW w:w="839"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15</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69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4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食品加工</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是否严格按照《国家食品卫生标准》、《食品安全法》等相关规定进行食品加工；是否加工完成后将加工场所垃圾清理干净。每发现1次扣2分，累计每月最高扣分10分。</w:t>
            </w:r>
          </w:p>
        </w:tc>
        <w:tc>
          <w:tcPr>
            <w:tcW w:w="839"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69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w:t>
            </w:r>
          </w:p>
        </w:tc>
        <w:tc>
          <w:tcPr>
            <w:tcW w:w="845"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态度方面</w:t>
            </w: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服务态度</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服务团队服务态度是否良好。每接到1次有效投诉扣5分，累计每月最高扣分10分。</w:t>
            </w:r>
          </w:p>
        </w:tc>
        <w:tc>
          <w:tcPr>
            <w:tcW w:w="839" w:type="dxa"/>
            <w:vMerge w:val="restart"/>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20</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69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45"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964"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反馈整改情况</w:t>
            </w:r>
          </w:p>
        </w:tc>
        <w:tc>
          <w:tcPr>
            <w:tcW w:w="507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是否对采购方的反馈意见进行认真及时的整改，每发现1次未整改情况扣5分，累计每月最高扣分10分。</w:t>
            </w:r>
          </w:p>
        </w:tc>
        <w:tc>
          <w:tcPr>
            <w:tcW w:w="839" w:type="dxa"/>
            <w:vMerge w:val="continue"/>
            <w:vAlign w:val="center"/>
          </w:tcPr>
          <w:p>
            <w:pPr>
              <w:spacing w:line="520" w:lineRule="exact"/>
              <w:jc w:val="left"/>
              <w:rPr>
                <w:rFonts w:hint="eastAsia" w:ascii="宋体" w:hAnsi="宋体" w:eastAsia="宋体" w:cs="宋体"/>
                <w:bCs/>
                <w:sz w:val="21"/>
                <w:szCs w:val="21"/>
                <w:lang w:val="en-US" w:eastAsia="zh-CN"/>
              </w:rPr>
            </w:pPr>
          </w:p>
        </w:tc>
        <w:tc>
          <w:tcPr>
            <w:tcW w:w="852" w:type="dxa"/>
            <w:vAlign w:val="center"/>
          </w:tcPr>
          <w:p>
            <w:pPr>
              <w:spacing w:line="520" w:lineRule="exact"/>
              <w:jc w:val="left"/>
              <w:rPr>
                <w:rFonts w:hint="eastAsia" w:ascii="宋体" w:hAnsi="宋体" w:eastAsia="宋体" w:cs="宋体"/>
                <w:bCs/>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2504" w:type="dxa"/>
            <w:gridSpan w:val="3"/>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总分</w:t>
            </w:r>
          </w:p>
        </w:tc>
        <w:tc>
          <w:tcPr>
            <w:tcW w:w="5079" w:type="dxa"/>
            <w:vAlign w:val="center"/>
          </w:tcPr>
          <w:p>
            <w:pPr>
              <w:spacing w:line="520" w:lineRule="exact"/>
              <w:jc w:val="left"/>
              <w:rPr>
                <w:rFonts w:hint="eastAsia" w:ascii="宋体" w:hAnsi="宋体" w:eastAsia="宋体" w:cs="宋体"/>
                <w:bCs/>
                <w:sz w:val="21"/>
                <w:szCs w:val="21"/>
                <w:lang w:val="en-US" w:eastAsia="zh-CN"/>
              </w:rPr>
            </w:pPr>
          </w:p>
        </w:tc>
        <w:tc>
          <w:tcPr>
            <w:tcW w:w="839" w:type="dxa"/>
            <w:vAlign w:val="center"/>
          </w:tcPr>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100</w:t>
            </w:r>
          </w:p>
        </w:tc>
        <w:tc>
          <w:tcPr>
            <w:tcW w:w="852" w:type="dxa"/>
            <w:vAlign w:val="center"/>
          </w:tcPr>
          <w:p>
            <w:pPr>
              <w:spacing w:line="520" w:lineRule="exact"/>
              <w:jc w:val="left"/>
              <w:rPr>
                <w:rFonts w:hint="eastAsia" w:ascii="宋体" w:hAnsi="宋体" w:eastAsia="宋体" w:cs="宋体"/>
                <w:bCs/>
                <w:sz w:val="21"/>
                <w:szCs w:val="21"/>
                <w:lang w:val="en-US" w:eastAsia="zh-CN"/>
              </w:rPr>
            </w:pPr>
          </w:p>
        </w:tc>
      </w:tr>
    </w:tbl>
    <w:p>
      <w:pPr>
        <w:spacing w:line="520" w:lineRule="exact"/>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备注：若因操作不当或者弄虚作假，导致严重影响的，采购方具有一票否决权。</w:t>
      </w:r>
    </w:p>
    <w:p>
      <w:pPr>
        <w:spacing w:line="520" w:lineRule="exact"/>
        <w:ind w:firstLine="420" w:firstLineChars="200"/>
        <w:jc w:val="left"/>
        <w:rPr>
          <w:rFonts w:hint="eastAsia" w:ascii="宋体" w:hAnsi="宋体" w:eastAsia="宋体" w:cs="宋体"/>
          <w:bCs/>
          <w:sz w:val="21"/>
          <w:szCs w:val="21"/>
          <w:lang w:val="en-US" w:eastAsia="zh-CN"/>
        </w:rPr>
      </w:pPr>
    </w:p>
    <w:p>
      <w:pPr>
        <w:pStyle w:val="4"/>
        <w:spacing w:before="156" w:beforeLines="50" w:after="156" w:afterLines="50" w:line="240" w:lineRule="auto"/>
        <w:jc w:val="center"/>
        <w:rPr>
          <w:szCs w:val="28"/>
        </w:rPr>
      </w:pPr>
      <w:r>
        <w:rPr>
          <w:rFonts w:hint="eastAsia"/>
          <w:szCs w:val="28"/>
        </w:rPr>
        <w:t>其他重要条款</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bookmarkStart w:id="106" w:name="_GoBack"/>
      <w:bookmarkEnd w:id="106"/>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Cs/>
          <w:szCs w:val="21"/>
        </w:rPr>
      </w:pPr>
      <w:r>
        <w:rPr>
          <w:rFonts w:hint="eastAsia"/>
          <w:bCs/>
          <w:szCs w:val="21"/>
        </w:rPr>
        <w:t>4、除政府采购合同继续履行将损害国家利益和社会公共利益外，双方当事人不得擅自变更、中止或者终止合同。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pStyle w:val="15"/>
        <w:rPr>
          <w:rFonts w:hint="eastAsia"/>
          <w:bCs/>
          <w:szCs w:val="21"/>
        </w:rPr>
        <w:sectPr>
          <w:headerReference r:id="rId8" w:type="first"/>
          <w:footerReference r:id="rId11" w:type="first"/>
          <w:footerReference r:id="rId9" w:type="default"/>
          <w:headerReference r:id="rId7" w:type="even"/>
          <w:footerReference r:id="rId10" w:type="even"/>
          <w:pgSz w:w="11906" w:h="16838"/>
          <w:pgMar w:top="1440" w:right="1417" w:bottom="1440" w:left="1417" w:header="851" w:footer="992" w:gutter="0"/>
          <w:pgNumType w:fmt="decimal" w:start="3"/>
          <w:cols w:space="425" w:num="1"/>
          <w:docGrid w:type="lines" w:linePitch="312" w:charSpace="0"/>
        </w:sectPr>
      </w:pPr>
    </w:p>
    <w:p>
      <w:pPr>
        <w:keepNext/>
        <w:keepLines/>
        <w:adjustRightInd w:val="0"/>
        <w:spacing w:line="320" w:lineRule="atLeast"/>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numPr>
          <w:ilvl w:val="0"/>
          <w:numId w:val="5"/>
        </w:numPr>
        <w:rPr>
          <w:rFonts w:hint="eastAsia"/>
          <w:szCs w:val="21"/>
        </w:rPr>
      </w:pPr>
      <w:bookmarkStart w:id="23" w:name="_Hlk72070784"/>
      <w:bookmarkStart w:id="24" w:name="_Hlk72257771"/>
      <w:r>
        <w:rPr>
          <w:rFonts w:hint="eastAsia"/>
          <w:szCs w:val="21"/>
        </w:rPr>
        <w:t>投标函</w:t>
      </w:r>
      <w:bookmarkEnd w:id="23"/>
    </w:p>
    <w:p>
      <w:pPr>
        <w:numPr>
          <w:ilvl w:val="0"/>
          <w:numId w:val="5"/>
        </w:numPr>
        <w:rPr>
          <w:rFonts w:hint="eastAsia"/>
          <w:szCs w:val="21"/>
        </w:rPr>
      </w:pPr>
      <w:bookmarkStart w:id="25" w:name="_Hlk72062521"/>
      <w:r>
        <w:rPr>
          <w:rFonts w:hint="eastAsia"/>
          <w:szCs w:val="21"/>
        </w:rPr>
        <w:t>政府采购投标及履约承诺函</w:t>
      </w:r>
      <w:bookmarkEnd w:id="25"/>
    </w:p>
    <w:p>
      <w:pPr>
        <w:numPr>
          <w:ilvl w:val="0"/>
          <w:numId w:val="5"/>
        </w:numPr>
        <w:rPr>
          <w:rFonts w:hint="eastAsia"/>
          <w:szCs w:val="21"/>
        </w:rPr>
      </w:pPr>
      <w:r>
        <w:rPr>
          <w:rFonts w:hint="eastAsia"/>
          <w:szCs w:val="21"/>
        </w:rPr>
        <w:t>投标人情况及资格证明文件</w:t>
      </w:r>
      <w:r>
        <w:rPr>
          <w:rFonts w:hint="eastAsia"/>
          <w:szCs w:val="21"/>
          <w:lang w:eastAsia="zh-CN"/>
        </w:rPr>
        <w:t>、供应商情况表</w:t>
      </w:r>
    </w:p>
    <w:p>
      <w:pPr>
        <w:numPr>
          <w:ilvl w:val="0"/>
          <w:numId w:val="5"/>
        </w:numPr>
        <w:rPr>
          <w:rFonts w:hint="eastAsia"/>
          <w:szCs w:val="21"/>
        </w:rPr>
      </w:pPr>
      <w:r>
        <w:rPr>
          <w:rFonts w:hint="eastAsia"/>
          <w:szCs w:val="21"/>
        </w:rPr>
        <w:t>法定代表人（负责人）证明书</w:t>
      </w:r>
    </w:p>
    <w:p>
      <w:pPr>
        <w:numPr>
          <w:ilvl w:val="0"/>
          <w:numId w:val="5"/>
        </w:numPr>
        <w:rPr>
          <w:rFonts w:hint="eastAsia"/>
          <w:szCs w:val="21"/>
        </w:rPr>
      </w:pPr>
      <w:r>
        <w:rPr>
          <w:rFonts w:hint="eastAsia"/>
          <w:szCs w:val="21"/>
        </w:rPr>
        <w:t>投标文件签署授权委托书</w:t>
      </w:r>
    </w:p>
    <w:p>
      <w:pPr>
        <w:numPr>
          <w:ilvl w:val="0"/>
          <w:numId w:val="5"/>
        </w:numPr>
        <w:rPr>
          <w:rFonts w:hint="eastAsia"/>
        </w:rPr>
      </w:pPr>
      <w:bookmarkStart w:id="26" w:name="_Hlk72257201"/>
      <w:bookmarkStart w:id="27" w:name="OLE_LINK7"/>
      <w:r>
        <w:rPr>
          <w:rFonts w:hint="eastAsia"/>
          <w:szCs w:val="21"/>
        </w:rPr>
        <w:t>项目详细报价</w:t>
      </w:r>
      <w:bookmarkEnd w:id="26"/>
      <w:bookmarkEnd w:id="27"/>
    </w:p>
    <w:p>
      <w:pPr>
        <w:numPr>
          <w:ilvl w:val="0"/>
          <w:numId w:val="5"/>
        </w:numPr>
        <w:rPr>
          <w:rFonts w:hint="eastAsia"/>
          <w:szCs w:val="21"/>
        </w:rPr>
      </w:pPr>
      <w:r>
        <w:rPr>
          <w:rFonts w:hint="eastAsia"/>
          <w:szCs w:val="21"/>
        </w:rPr>
        <w:t>实质性条款响应情况表</w:t>
      </w:r>
    </w:p>
    <w:p>
      <w:pPr>
        <w:numPr>
          <w:ilvl w:val="0"/>
          <w:numId w:val="5"/>
        </w:numPr>
        <w:rPr>
          <w:rFonts w:hint="eastAsia"/>
          <w:szCs w:val="21"/>
          <w:lang w:val="en-US" w:eastAsia="zh-CN"/>
        </w:rPr>
      </w:pPr>
      <w:r>
        <w:rPr>
          <w:rFonts w:hint="eastAsia"/>
          <w:szCs w:val="21"/>
          <w:lang w:val="en-US" w:eastAsia="zh-CN"/>
        </w:rPr>
        <w:t>认证情况</w:t>
      </w:r>
    </w:p>
    <w:p>
      <w:pPr>
        <w:numPr>
          <w:ilvl w:val="0"/>
          <w:numId w:val="5"/>
        </w:numPr>
        <w:rPr>
          <w:rFonts w:hint="eastAsia"/>
          <w:szCs w:val="21"/>
          <w:lang w:val="en-US" w:eastAsia="zh-CN"/>
        </w:rPr>
      </w:pPr>
      <w:r>
        <w:rPr>
          <w:rFonts w:hint="eastAsia"/>
          <w:szCs w:val="21"/>
          <w:lang w:val="en-US" w:eastAsia="zh-CN"/>
        </w:rPr>
        <w:t>同类项目业绩</w:t>
      </w:r>
    </w:p>
    <w:p>
      <w:pPr>
        <w:numPr>
          <w:ilvl w:val="0"/>
          <w:numId w:val="5"/>
        </w:numPr>
        <w:rPr>
          <w:rFonts w:hint="eastAsia"/>
          <w:szCs w:val="21"/>
          <w:lang w:val="en-US" w:eastAsia="zh-CN"/>
        </w:rPr>
      </w:pPr>
      <w:r>
        <w:rPr>
          <w:rFonts w:hint="eastAsia"/>
          <w:szCs w:val="21"/>
          <w:lang w:val="en-US" w:eastAsia="zh-CN"/>
        </w:rPr>
        <w:t>食品保险</w:t>
      </w:r>
    </w:p>
    <w:p>
      <w:pPr>
        <w:numPr>
          <w:ilvl w:val="0"/>
          <w:numId w:val="5"/>
        </w:numPr>
        <w:rPr>
          <w:rFonts w:hint="eastAsia"/>
          <w:szCs w:val="21"/>
          <w:lang w:val="en-US" w:eastAsia="zh-CN"/>
        </w:rPr>
      </w:pPr>
      <w:r>
        <w:rPr>
          <w:rFonts w:hint="eastAsia"/>
          <w:szCs w:val="21"/>
          <w:lang w:val="en-US" w:eastAsia="zh-CN"/>
        </w:rPr>
        <w:t>荣誉情况</w:t>
      </w:r>
    </w:p>
    <w:p>
      <w:pPr>
        <w:numPr>
          <w:ilvl w:val="0"/>
          <w:numId w:val="5"/>
        </w:numPr>
        <w:rPr>
          <w:rFonts w:hint="eastAsia"/>
          <w:szCs w:val="21"/>
          <w:lang w:val="en-US" w:eastAsia="zh-CN"/>
        </w:rPr>
      </w:pPr>
      <w:r>
        <w:rPr>
          <w:rFonts w:hint="eastAsia"/>
          <w:szCs w:val="21"/>
          <w:lang w:val="en-US" w:eastAsia="zh-CN"/>
        </w:rPr>
        <w:t>经营能力</w:t>
      </w:r>
    </w:p>
    <w:p>
      <w:pPr>
        <w:numPr>
          <w:ilvl w:val="0"/>
          <w:numId w:val="5"/>
        </w:numPr>
        <w:rPr>
          <w:rFonts w:hint="eastAsia"/>
          <w:szCs w:val="21"/>
        </w:rPr>
      </w:pPr>
      <w:r>
        <w:rPr>
          <w:rFonts w:hint="eastAsia"/>
          <w:szCs w:val="21"/>
          <w:lang w:val="en-US" w:eastAsia="zh-CN"/>
        </w:rPr>
        <w:t>应急保障能力</w:t>
      </w:r>
    </w:p>
    <w:p>
      <w:pPr>
        <w:numPr>
          <w:ilvl w:val="0"/>
          <w:numId w:val="5"/>
        </w:numPr>
        <w:rPr>
          <w:rFonts w:hint="eastAsia"/>
          <w:szCs w:val="21"/>
          <w:lang w:val="en-US" w:eastAsia="zh-CN"/>
        </w:rPr>
      </w:pPr>
      <w:r>
        <w:rPr>
          <w:rFonts w:hint="eastAsia"/>
          <w:szCs w:val="21"/>
          <w:lang w:val="en-US" w:eastAsia="zh-CN"/>
        </w:rPr>
        <w:t>项目服务方案</w:t>
      </w:r>
    </w:p>
    <w:p>
      <w:pPr>
        <w:numPr>
          <w:ilvl w:val="0"/>
          <w:numId w:val="5"/>
        </w:numPr>
        <w:rPr>
          <w:rFonts w:hint="eastAsia"/>
          <w:szCs w:val="21"/>
          <w:lang w:val="en-US" w:eastAsia="zh-CN"/>
        </w:rPr>
      </w:pPr>
      <w:r>
        <w:rPr>
          <w:rFonts w:hint="eastAsia"/>
          <w:szCs w:val="21"/>
          <w:lang w:val="en-US" w:eastAsia="zh-CN"/>
        </w:rPr>
        <w:t>质量保障措施</w:t>
      </w:r>
    </w:p>
    <w:p>
      <w:pPr>
        <w:numPr>
          <w:ilvl w:val="0"/>
          <w:numId w:val="5"/>
        </w:numPr>
        <w:rPr>
          <w:rFonts w:hint="eastAsia"/>
          <w:szCs w:val="21"/>
          <w:lang w:val="en-US" w:eastAsia="zh-CN"/>
        </w:rPr>
      </w:pPr>
      <w:r>
        <w:rPr>
          <w:rFonts w:hint="eastAsia"/>
          <w:szCs w:val="21"/>
          <w:lang w:val="en-US" w:eastAsia="zh-CN"/>
        </w:rPr>
        <w:t>项目重点难点分析、应对措施及相关的合理化建议</w:t>
      </w:r>
    </w:p>
    <w:p>
      <w:pPr>
        <w:numPr>
          <w:ilvl w:val="0"/>
          <w:numId w:val="5"/>
        </w:numPr>
        <w:rPr>
          <w:rFonts w:hint="eastAsia"/>
          <w:szCs w:val="21"/>
          <w:lang w:val="en-US" w:eastAsia="zh-CN"/>
        </w:rPr>
      </w:pPr>
      <w:r>
        <w:rPr>
          <w:rFonts w:hint="eastAsia"/>
          <w:szCs w:val="21"/>
          <w:lang w:val="en-US" w:eastAsia="zh-CN"/>
        </w:rPr>
        <w:t>项目菜品设计方案</w:t>
      </w:r>
    </w:p>
    <w:p>
      <w:pPr>
        <w:numPr>
          <w:ilvl w:val="0"/>
          <w:numId w:val="5"/>
        </w:numPr>
        <w:rPr>
          <w:rFonts w:hint="eastAsia"/>
          <w:szCs w:val="21"/>
          <w:lang w:val="en-US" w:eastAsia="zh-CN"/>
        </w:rPr>
      </w:pPr>
      <w:r>
        <w:rPr>
          <w:rFonts w:hint="eastAsia"/>
          <w:szCs w:val="21"/>
          <w:lang w:val="en-US" w:eastAsia="zh-CN"/>
        </w:rPr>
        <w:t>环境卫生管理方案</w:t>
      </w:r>
    </w:p>
    <w:p>
      <w:pPr>
        <w:numPr>
          <w:ilvl w:val="0"/>
          <w:numId w:val="5"/>
        </w:numPr>
        <w:rPr>
          <w:rFonts w:hint="eastAsia"/>
          <w:szCs w:val="21"/>
          <w:lang w:val="en-US" w:eastAsia="zh-CN"/>
        </w:rPr>
      </w:pPr>
      <w:r>
        <w:rPr>
          <w:rFonts w:hint="eastAsia"/>
          <w:szCs w:val="21"/>
          <w:lang w:val="en-US" w:eastAsia="zh-CN"/>
        </w:rPr>
        <w:t>拟安排的项目负责人情况（仅限1人）</w:t>
      </w:r>
    </w:p>
    <w:p>
      <w:pPr>
        <w:numPr>
          <w:ilvl w:val="0"/>
          <w:numId w:val="5"/>
        </w:numPr>
        <w:rPr>
          <w:rFonts w:hint="eastAsia"/>
          <w:szCs w:val="21"/>
        </w:rPr>
      </w:pPr>
      <w:r>
        <w:rPr>
          <w:rFonts w:hint="eastAsia"/>
          <w:szCs w:val="21"/>
          <w:lang w:val="en-US" w:eastAsia="zh-CN"/>
        </w:rPr>
        <w:t>拟安排的项目团队成员情况（项目负责人除外）</w:t>
      </w:r>
    </w:p>
    <w:p>
      <w:pPr>
        <w:numPr>
          <w:ilvl w:val="0"/>
          <w:numId w:val="5"/>
        </w:numPr>
        <w:rPr>
          <w:rFonts w:hint="eastAsia"/>
          <w:szCs w:val="21"/>
        </w:rPr>
      </w:pPr>
      <w:r>
        <w:rPr>
          <w:rFonts w:hint="eastAsia"/>
          <w:szCs w:val="21"/>
        </w:rPr>
        <w:t>投标人认为需要加以说明的其他内容</w:t>
      </w:r>
    </w:p>
    <w:p>
      <w:pPr>
        <w:spacing w:line="320" w:lineRule="atLeast"/>
        <w:rPr>
          <w:rFonts w:hint="eastAsia" w:ascii="宋体" w:hAnsi="宋体"/>
          <w:b/>
          <w:sz w:val="24"/>
          <w:szCs w:val="24"/>
        </w:rPr>
      </w:pPr>
    </w:p>
    <w:p>
      <w:pPr>
        <w:spacing w:line="320" w:lineRule="atLeast"/>
        <w:rPr>
          <w:rFonts w:hint="eastAsia" w:ascii="宋体" w:hAnsi="宋体"/>
          <w:b/>
          <w:sz w:val="24"/>
          <w:szCs w:val="24"/>
        </w:rPr>
      </w:pPr>
    </w:p>
    <w:p>
      <w:pPr>
        <w:spacing w:line="320" w:lineRule="atLeast"/>
        <w:rPr>
          <w:rFonts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ascii="宋体" w:hAnsi="宋体" w:eastAsia="黑体" w:cs="Times New Roman"/>
          <w:bCs/>
          <w:kern w:val="44"/>
          <w:sz w:val="32"/>
          <w:szCs w:val="32"/>
        </w:rPr>
      </w:pPr>
      <w:bookmarkStart w:id="28" w:name="_Hlk72263559"/>
      <w:r>
        <w:rPr>
          <w:rFonts w:hint="eastAsia" w:ascii="宋体" w:hAnsi="宋体"/>
          <w:b/>
          <w:sz w:val="24"/>
          <w:szCs w:val="24"/>
        </w:rPr>
        <w:t>2.关于填写“开标一览表”的说明：“开标一览表”中除“投标总价”外，其他信息不作评审依据。</w:t>
      </w:r>
      <w:bookmarkEnd w:id="24"/>
      <w:bookmarkEnd w:id="28"/>
      <w:r>
        <w:rPr>
          <w:rFonts w:ascii="宋体" w:hAnsi="宋体" w:eastAsia="黑体" w:cs="Times New Roman"/>
          <w:bCs/>
          <w:kern w:val="44"/>
          <w:sz w:val="32"/>
          <w:szCs w:val="32"/>
        </w:rPr>
        <w:br w:type="page"/>
      </w:r>
    </w:p>
    <w:p>
      <w:pPr>
        <w:pStyle w:val="4"/>
        <w:numPr>
          <w:ilvl w:val="0"/>
          <w:numId w:val="6"/>
        </w:numPr>
        <w:ind w:left="0" w:leftChars="0" w:firstLine="0" w:firstLineChars="0"/>
        <w:jc w:val="center"/>
        <w:rPr>
          <w:rFonts w:ascii="黑体" w:eastAsia="黑体"/>
          <w:b w:val="0"/>
          <w:sz w:val="24"/>
        </w:rPr>
      </w:pPr>
      <w:bookmarkStart w:id="29" w:name="OLE_LINK16"/>
      <w:r>
        <w:rPr>
          <w:rFonts w:hint="eastAsia" w:ascii="黑体" w:eastAsia="黑体"/>
          <w:b w:val="0"/>
          <w:sz w:val="24"/>
        </w:rPr>
        <w:t>投标函</w:t>
      </w:r>
    </w:p>
    <w:bookmarkEnd w:id="29"/>
    <w:p>
      <w:pPr>
        <w:spacing w:line="360" w:lineRule="auto"/>
        <w:rPr>
          <w:rFonts w:ascii="宋体" w:hAnsi="宋体"/>
          <w:szCs w:val="21"/>
        </w:rPr>
      </w:pPr>
      <w:bookmarkStart w:id="30"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31"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32" w:name="_Hlk72263588"/>
      <w:r>
        <w:rPr>
          <w:rFonts w:hint="eastAsia"/>
          <w:szCs w:val="21"/>
        </w:rPr>
        <w:t>愿意按照招标文件要求承包上述项目并修补其任何缺陷。</w:t>
      </w:r>
      <w:bookmarkEnd w:id="32"/>
    </w:p>
    <w:p>
      <w:pPr>
        <w:ind w:firstLine="420" w:firstLineChars="200"/>
        <w:rPr>
          <w:rFonts w:ascii="宋体" w:hAnsi="宋体"/>
          <w:szCs w:val="21"/>
        </w:rPr>
      </w:pPr>
      <w:r>
        <w:rPr>
          <w:rFonts w:ascii="宋体" w:hAnsi="宋体"/>
          <w:szCs w:val="21"/>
        </w:rPr>
        <w:t>2</w:t>
      </w:r>
      <w:r>
        <w:rPr>
          <w:rFonts w:hint="eastAsia" w:ascii="宋体" w:hAnsi="宋体"/>
          <w:szCs w:val="21"/>
        </w:rPr>
        <w:t>、</w:t>
      </w:r>
      <w:bookmarkStart w:id="33" w:name="_Hlk73819847"/>
      <w:r>
        <w:rPr>
          <w:rFonts w:hint="eastAsia" w:ascii="宋体" w:hAnsi="宋体"/>
          <w:szCs w:val="21"/>
        </w:rPr>
        <w:t>投标价格见</w:t>
      </w:r>
      <w:r>
        <w:rPr>
          <w:rFonts w:hint="eastAsia"/>
          <w:szCs w:val="21"/>
        </w:rPr>
        <w:t>投标书编制软件中《开标一览表》中填写的投标总价。</w:t>
      </w:r>
      <w:bookmarkEnd w:id="33"/>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1"/>
    </w:p>
    <w:p>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ascii="Times New Roman" w:eastAsia="宋体"/>
          <w:szCs w:val="21"/>
        </w:rPr>
        <w:t>开户银行名称：</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ascii="Times New Roman" w:eastAsia="宋体"/>
          <w:szCs w:val="21"/>
        </w:rPr>
        <w:t>开户银行账号：</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ascii="黑体" w:hAnsi="宋体" w:eastAsia="黑体"/>
        </w:rPr>
      </w:pPr>
    </w:p>
    <w:p>
      <w:pPr>
        <w:rPr>
          <w:rFonts w:ascii="黑体" w:hAnsi="宋体" w:eastAsia="黑体"/>
        </w:rPr>
      </w:pPr>
    </w:p>
    <w:bookmarkEnd w:id="30"/>
    <w:p>
      <w:pPr>
        <w:pStyle w:val="4"/>
        <w:numPr>
          <w:ilvl w:val="0"/>
          <w:numId w:val="6"/>
        </w:numPr>
        <w:ind w:left="0" w:leftChars="0" w:firstLine="0" w:firstLineChars="0"/>
        <w:jc w:val="center"/>
        <w:rPr>
          <w:rFonts w:hint="eastAsia" w:ascii="黑体" w:hAnsi="宋体" w:eastAsia="黑体"/>
          <w:b w:val="0"/>
          <w:sz w:val="24"/>
        </w:rPr>
      </w:pPr>
      <w:r>
        <w:rPr>
          <w:rFonts w:hint="eastAsia" w:ascii="黑体" w:hAnsi="宋体" w:eastAsia="黑体"/>
          <w:b w:val="0"/>
          <w:sz w:val="24"/>
        </w:rPr>
        <w:t>政府采购投标及履约承诺函</w:t>
      </w:r>
    </w:p>
    <w:p>
      <w:pPr>
        <w:rPr>
          <w:rFonts w:ascii="宋体" w:hAnsi="宋体"/>
          <w:color w:val="FF0000"/>
          <w:szCs w:val="21"/>
        </w:rPr>
      </w:pPr>
      <w:bookmarkStart w:id="34"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eastAsia="宋体"/>
        </w:rPr>
      </w:pPr>
      <w:r>
        <w:rPr>
          <w:rFonts w:hint="eastAsia" w:ascii="宋体" w:hAnsi="宋体"/>
          <w:szCs w:val="21"/>
        </w:rPr>
        <w:t>4.我单位</w:t>
      </w:r>
      <w:r>
        <w:rPr>
          <w:rFonts w:hint="eastAsia"/>
        </w:rPr>
        <w:t xml:space="preserve">未被列入失信被执行人、重大税收违法案件当事人名单、政府采购严重违法失信行为记录名单。 </w:t>
      </w:r>
    </w:p>
    <w:p>
      <w:pPr>
        <w:ind w:firstLine="420" w:firstLineChars="200"/>
        <w:rPr>
          <w:rFonts w:eastAsia="宋体"/>
          <w:color w:val="FF0000"/>
        </w:rPr>
      </w:pPr>
      <w:r>
        <w:rPr>
          <w:rFonts w:hint="eastAsia"/>
          <w:color w:val="FF0000"/>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rPr>
        <w:t>6.</w:t>
      </w:r>
      <w:bookmarkStart w:id="35" w:name="_Hlk72587269"/>
      <w:bookmarkStart w:id="36"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35"/>
      <w:r>
        <w:rPr>
          <w:rFonts w:hint="eastAsia" w:ascii="宋体" w:hAnsi="宋体"/>
          <w:szCs w:val="21"/>
        </w:rPr>
        <w:t>。</w:t>
      </w:r>
    </w:p>
    <w:bookmarkEnd w:id="36"/>
    <w:p>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rPr>
        <w:t>9.我单位承诺中标后项目不转包，未经采购人同意不进行分包。</w:t>
      </w:r>
    </w:p>
    <w:p>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eastAsia="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w:t>
      </w:r>
      <w:r>
        <w:rPr>
          <w:rFonts w:hint="eastAsia"/>
          <w:lang w:eastAsia="zh-CN"/>
        </w:rPr>
        <w:t>〈</w:t>
      </w:r>
      <w:r>
        <w:rPr>
          <w:rFonts w:hint="eastAsia"/>
        </w:rPr>
        <w:t>绿色数据中心政府采购需求标准（试行）</w:t>
      </w:r>
      <w:r>
        <w:rPr>
          <w:rFonts w:hint="eastAsia"/>
          <w:lang w:eastAsia="zh-CN"/>
        </w:rPr>
        <w:t>〉</w:t>
      </w:r>
      <w:r>
        <w:rPr>
          <w:rFonts w:hint="eastAsia"/>
        </w:rPr>
        <w:t>的通知》（财库〔2023〕7号）要求。若所投产品涉及国家强制性标准的，所投产品应符合国家强制性标准相关要求。</w:t>
      </w:r>
    </w:p>
    <w:p>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pPr>
        <w:ind w:firstLine="420" w:firstLineChars="200"/>
        <w:rPr>
          <w:rFonts w:ascii="宋体" w:hAnsi="宋体" w:eastAsia="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ascii="宋体" w:hAnsi="宋体"/>
          <w:b/>
          <w:szCs w:val="21"/>
        </w:rPr>
      </w:pPr>
      <w:r>
        <w:rPr>
          <w:rFonts w:hint="eastAsia" w:ascii="宋体" w:hAnsi="宋体"/>
          <w:b/>
        </w:rPr>
        <w:t>14.我单位清楚，如存在违反投标承诺行为情节严重的，将根据《深圳市财政局关于印发</w:t>
      </w:r>
      <w:r>
        <w:rPr>
          <w:rFonts w:hint="eastAsia" w:ascii="宋体" w:hAnsi="宋体"/>
          <w:b/>
          <w:lang w:eastAsia="zh-CN"/>
        </w:rPr>
        <w:t>〈</w:t>
      </w:r>
      <w:r>
        <w:rPr>
          <w:rFonts w:hint="eastAsia" w:ascii="宋体" w:hAnsi="宋体"/>
          <w:b/>
        </w:rPr>
        <w:t>深圳市财政局政府采购供应商信用信息管理办法</w:t>
      </w:r>
      <w:r>
        <w:rPr>
          <w:rFonts w:hint="eastAsia" w:ascii="宋体" w:hAnsi="宋体"/>
          <w:b/>
          <w:lang w:eastAsia="zh-CN"/>
        </w:rPr>
        <w:t>〉</w:t>
      </w:r>
      <w:r>
        <w:rPr>
          <w:rFonts w:hint="eastAsia" w:ascii="宋体" w:hAnsi="宋体"/>
          <w:b/>
        </w:rPr>
        <w:t>的通知》，依法被列入失信信息。</w:t>
      </w:r>
    </w:p>
    <w:p>
      <w:pPr>
        <w:ind w:firstLine="420"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ascii="宋体" w:hAnsi="宋体"/>
          <w:szCs w:val="21"/>
        </w:rPr>
      </w:pPr>
      <w:r>
        <w:rPr>
          <w:rFonts w:hint="eastAsia" w:ascii="宋体" w:hAnsi="宋体"/>
          <w:szCs w:val="21"/>
        </w:rPr>
        <w:t xml:space="preserve">                                    </w:t>
      </w:r>
    </w:p>
    <w:bookmarkEnd w:id="34"/>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ascii="宋体" w:hAnsi="宋体"/>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rPr>
          <w:rFonts w:ascii="宋体"/>
          <w:b/>
          <w:szCs w:val="21"/>
        </w:rPr>
      </w:pPr>
    </w:p>
    <w:p>
      <w:pPr>
        <w:pStyle w:val="10"/>
      </w:pPr>
    </w:p>
    <w:p>
      <w:pPr>
        <w:pStyle w:val="4"/>
        <w:numPr>
          <w:ilvl w:val="0"/>
          <w:numId w:val="6"/>
        </w:numPr>
        <w:ind w:left="0" w:leftChars="0" w:firstLine="0" w:firstLineChars="0"/>
        <w:jc w:val="center"/>
        <w:rPr>
          <w:rFonts w:hint="eastAsia" w:ascii="黑体" w:hAnsi="宋体" w:eastAsia="黑体"/>
          <w:b w:val="0"/>
          <w:sz w:val="24"/>
        </w:rPr>
      </w:pPr>
      <w:r>
        <w:rPr>
          <w:rFonts w:hint="eastAsia" w:ascii="黑体" w:hAnsi="宋体" w:eastAsia="黑体"/>
          <w:b w:val="0"/>
          <w:sz w:val="24"/>
        </w:rPr>
        <w:t>投标人情况及资格证明文件</w:t>
      </w:r>
    </w:p>
    <w:p>
      <w:pPr>
        <w:jc w:val="center"/>
        <w:outlineLvl w:val="3"/>
        <w:rPr>
          <w:rFonts w:ascii="黑体" w:hAnsi="宋体" w:eastAsia="黑体"/>
          <w:bCs/>
          <w:kern w:val="0"/>
          <w:sz w:val="24"/>
          <w:szCs w:val="32"/>
        </w:rPr>
      </w:pPr>
      <w:bookmarkStart w:id="37" w:name="_Hlk72257590"/>
      <w:r>
        <w:rPr>
          <w:rFonts w:hint="eastAsia" w:ascii="黑体" w:hAnsi="宋体" w:eastAsia="黑体"/>
          <w:bCs/>
          <w:kern w:val="0"/>
          <w:sz w:val="24"/>
          <w:szCs w:val="32"/>
        </w:rPr>
        <w:t>（一）投标人资格证明文件</w:t>
      </w:r>
    </w:p>
    <w:p>
      <w:pPr>
        <w:spacing w:before="156" w:beforeLines="50"/>
        <w:ind w:firstLine="422" w:firstLineChars="200"/>
        <w:rPr>
          <w:rFonts w:hint="eastAsia"/>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pPr>
        <w:spacing w:before="156" w:beforeLines="50"/>
        <w:ind w:firstLine="422" w:firstLineChars="200"/>
        <w:rPr>
          <w:rFonts w:hint="eastAsia"/>
          <w:b/>
          <w:bCs/>
          <w:color w:val="FF0000"/>
        </w:rPr>
      </w:pPr>
    </w:p>
    <w:p>
      <w:pPr>
        <w:spacing w:before="156" w:beforeLines="50"/>
        <w:ind w:firstLine="422" w:firstLineChars="200"/>
        <w:rPr>
          <w:rFonts w:hint="eastAsia"/>
          <w:b/>
          <w:bCs/>
          <w:color w:val="FF0000"/>
        </w:rPr>
      </w:pPr>
    </w:p>
    <w:p/>
    <w:p>
      <w:pPr>
        <w:pStyle w:val="10"/>
      </w:pPr>
    </w:p>
    <w:p>
      <w:pPr>
        <w:jc w:val="center"/>
        <w:outlineLvl w:val="3"/>
        <w:rPr>
          <w:rFonts w:hint="eastAsia" w:ascii="黑体" w:hAnsi="宋体" w:eastAsia="黑体"/>
          <w:bCs/>
          <w:kern w:val="0"/>
          <w:sz w:val="24"/>
          <w:szCs w:val="32"/>
        </w:rPr>
      </w:pPr>
      <w:r>
        <w:rPr>
          <w:rFonts w:hint="eastAsia" w:ascii="黑体" w:hAnsi="宋体" w:eastAsia="黑体"/>
          <w:bCs/>
          <w:kern w:val="0"/>
          <w:sz w:val="24"/>
          <w:szCs w:val="32"/>
          <w:lang w:val="en-US" w:eastAsia="zh-CN"/>
        </w:rPr>
        <w:t>（二）</w:t>
      </w:r>
      <w:r>
        <w:rPr>
          <w:rFonts w:hint="eastAsia" w:ascii="黑体" w:hAnsi="宋体" w:eastAsia="黑体"/>
          <w:bCs/>
          <w:kern w:val="0"/>
          <w:sz w:val="24"/>
          <w:szCs w:val="32"/>
        </w:rPr>
        <w:t>供应商基本情况表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vAlign w:val="center"/>
          </w:tcPr>
          <w:p>
            <w:pPr>
              <w:jc w:val="center"/>
              <w:rPr>
                <w:rFonts w:ascii="宋体" w:hAnsi="宋体" w:eastAsia="宋体" w:cs="宋体"/>
                <w:szCs w:val="21"/>
              </w:rPr>
            </w:pPr>
            <w:r>
              <w:rPr>
                <w:rFonts w:hint="eastAsia" w:ascii="宋体" w:hAnsi="宋体" w:eastAsia="宋体" w:cs="宋体"/>
                <w:szCs w:val="21"/>
              </w:rPr>
              <w:t>投标（响应）供应商</w:t>
            </w:r>
          </w:p>
        </w:tc>
        <w:tc>
          <w:tcPr>
            <w:tcW w:w="2431" w:type="dxa"/>
            <w:gridSpan w:val="2"/>
            <w:vAlign w:val="center"/>
          </w:tcPr>
          <w:p>
            <w:pPr>
              <w:jc w:val="center"/>
              <w:rPr>
                <w:rFonts w:ascii="宋体" w:hAnsi="宋体" w:eastAsia="宋体" w:cs="宋体"/>
                <w:szCs w:val="21"/>
              </w:rPr>
            </w:pPr>
          </w:p>
        </w:tc>
        <w:tc>
          <w:tcPr>
            <w:tcW w:w="1896" w:type="dxa"/>
            <w:gridSpan w:val="2"/>
            <w:vAlign w:val="center"/>
          </w:tcPr>
          <w:p>
            <w:pPr>
              <w:jc w:val="center"/>
              <w:rPr>
                <w:rFonts w:ascii="宋体" w:hAnsi="宋体" w:eastAsia="宋体" w:cs="宋体"/>
                <w:szCs w:val="21"/>
              </w:rPr>
            </w:pPr>
            <w:r>
              <w:rPr>
                <w:rFonts w:hint="eastAsia" w:ascii="宋体" w:hAnsi="宋体" w:eastAsia="宋体" w:cs="宋体"/>
                <w:szCs w:val="21"/>
              </w:rPr>
              <w:t>项目名称及编号</w:t>
            </w:r>
          </w:p>
        </w:tc>
        <w:tc>
          <w:tcPr>
            <w:tcW w:w="2848" w:type="dxa"/>
            <w:gridSpan w:val="2"/>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pPr>
              <w:jc w:val="center"/>
              <w:rPr>
                <w:rFonts w:ascii="宋体" w:hAnsi="宋体" w:eastAsia="宋体" w:cs="宋体"/>
                <w:szCs w:val="21"/>
              </w:rPr>
            </w:pPr>
            <w:r>
              <w:rPr>
                <w:rFonts w:hint="eastAsia" w:ascii="宋体" w:hAnsi="宋体" w:eastAsia="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序号</w:t>
            </w:r>
          </w:p>
        </w:tc>
        <w:tc>
          <w:tcPr>
            <w:tcW w:w="2172" w:type="dxa"/>
            <w:gridSpan w:val="2"/>
            <w:tcBorders>
              <w:bottom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职务</w:t>
            </w:r>
          </w:p>
        </w:tc>
        <w:tc>
          <w:tcPr>
            <w:tcW w:w="903" w:type="dxa"/>
            <w:tcBorders>
              <w:bottom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896" w:type="dxa"/>
            <w:gridSpan w:val="2"/>
            <w:tcBorders>
              <w:bottom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身份证号码</w:t>
            </w:r>
          </w:p>
        </w:tc>
        <w:tc>
          <w:tcPr>
            <w:tcW w:w="1428" w:type="dxa"/>
            <w:tcBorders>
              <w:bottom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劳动合同</w:t>
            </w:r>
          </w:p>
          <w:p>
            <w:pPr>
              <w:snapToGrid w:val="0"/>
              <w:jc w:val="center"/>
              <w:rPr>
                <w:rFonts w:ascii="宋体" w:hAnsi="宋体" w:eastAsia="宋体" w:cs="宋体"/>
                <w:szCs w:val="21"/>
              </w:rPr>
            </w:pPr>
            <w:r>
              <w:rPr>
                <w:rFonts w:hint="eastAsia" w:ascii="宋体" w:hAnsi="宋体" w:eastAsia="宋体" w:cs="宋体"/>
                <w:szCs w:val="21"/>
              </w:rPr>
              <w:t>关系单位</w:t>
            </w:r>
          </w:p>
        </w:tc>
        <w:tc>
          <w:tcPr>
            <w:tcW w:w="1420" w:type="dxa"/>
            <w:tcBorders>
              <w:bottom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缴纳社会</w:t>
            </w:r>
          </w:p>
          <w:p>
            <w:pPr>
              <w:snapToGrid w:val="0"/>
              <w:jc w:val="center"/>
              <w:rPr>
                <w:rFonts w:ascii="宋体" w:hAnsi="宋体" w:eastAsia="宋体" w:cs="宋体"/>
                <w:szCs w:val="21"/>
              </w:rPr>
            </w:pPr>
            <w:r>
              <w:rPr>
                <w:rFonts w:hint="eastAsia" w:ascii="宋体" w:hAnsi="宋体" w:eastAsia="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1</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eastAsia="宋体" w:cs="宋体"/>
                <w:szCs w:val="21"/>
              </w:rPr>
            </w:pPr>
            <w:r>
              <w:rPr>
                <w:rFonts w:hint="eastAsia" w:ascii="宋体" w:hAnsi="宋体" w:eastAsia="宋体" w:cs="宋体"/>
                <w:szCs w:val="21"/>
              </w:rPr>
              <w:t>法定代表人/单位负责人/主要经营负责人</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项目投标授权代表人</w:t>
            </w:r>
          </w:p>
        </w:tc>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89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tcBorders>
            <w:vAlign w:val="center"/>
          </w:tcPr>
          <w:p>
            <w:pPr>
              <w:jc w:val="center"/>
              <w:rPr>
                <w:rFonts w:ascii="宋体" w:hAnsi="宋体" w:eastAsia="宋体" w:cs="宋体"/>
                <w:szCs w:val="21"/>
              </w:rPr>
            </w:pPr>
            <w:r>
              <w:rPr>
                <w:rFonts w:hint="eastAsia" w:ascii="宋体" w:hAnsi="宋体" w:eastAsia="宋体" w:cs="宋体"/>
                <w:szCs w:val="21"/>
                <w:lang w:bidi="ar"/>
              </w:rPr>
              <w:t>3</w:t>
            </w:r>
          </w:p>
        </w:tc>
        <w:tc>
          <w:tcPr>
            <w:tcW w:w="2172" w:type="dxa"/>
            <w:gridSpan w:val="2"/>
            <w:tcBorders>
              <w:top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项目负责人</w:t>
            </w:r>
          </w:p>
        </w:tc>
        <w:tc>
          <w:tcPr>
            <w:tcW w:w="903" w:type="dxa"/>
            <w:tcBorders>
              <w:top w:val="single" w:color="auto" w:sz="4" w:space="0"/>
            </w:tcBorders>
            <w:vAlign w:val="center"/>
          </w:tcPr>
          <w:p>
            <w:pPr>
              <w:jc w:val="center"/>
              <w:rPr>
                <w:rFonts w:ascii="宋体" w:hAnsi="宋体" w:eastAsia="宋体" w:cs="宋体"/>
                <w:szCs w:val="21"/>
              </w:rPr>
            </w:pPr>
          </w:p>
        </w:tc>
        <w:tc>
          <w:tcPr>
            <w:tcW w:w="1896" w:type="dxa"/>
            <w:gridSpan w:val="2"/>
            <w:tcBorders>
              <w:top w:val="single" w:color="auto" w:sz="4" w:space="0"/>
            </w:tcBorders>
            <w:vAlign w:val="center"/>
          </w:tcPr>
          <w:p>
            <w:pPr>
              <w:jc w:val="center"/>
              <w:rPr>
                <w:rFonts w:ascii="宋体" w:hAnsi="宋体" w:eastAsia="宋体" w:cs="宋体"/>
                <w:szCs w:val="21"/>
              </w:rPr>
            </w:pPr>
          </w:p>
        </w:tc>
        <w:tc>
          <w:tcPr>
            <w:tcW w:w="1428" w:type="dxa"/>
            <w:tcBorders>
              <w:top w:val="single" w:color="auto" w:sz="4" w:space="0"/>
            </w:tcBorders>
            <w:vAlign w:val="center"/>
          </w:tcPr>
          <w:p>
            <w:pPr>
              <w:jc w:val="center"/>
              <w:rPr>
                <w:rFonts w:ascii="宋体" w:hAnsi="宋体" w:eastAsia="宋体" w:cs="宋体"/>
                <w:szCs w:val="21"/>
              </w:rPr>
            </w:pPr>
          </w:p>
        </w:tc>
        <w:tc>
          <w:tcPr>
            <w:tcW w:w="1420" w:type="dxa"/>
            <w:tcBorders>
              <w:top w:val="single" w:color="auto" w:sz="4" w:space="0"/>
            </w:tcBorders>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jc w:val="center"/>
              <w:rPr>
                <w:rFonts w:ascii="宋体" w:hAnsi="宋体" w:eastAsia="宋体" w:cs="宋体"/>
                <w:szCs w:val="21"/>
              </w:rPr>
            </w:pPr>
            <w:r>
              <w:rPr>
                <w:rFonts w:hint="eastAsia" w:ascii="宋体" w:hAnsi="宋体" w:eastAsia="宋体" w:cs="宋体"/>
                <w:szCs w:val="21"/>
                <w:lang w:bidi="ar"/>
              </w:rPr>
              <w:t>4</w:t>
            </w:r>
          </w:p>
        </w:tc>
        <w:tc>
          <w:tcPr>
            <w:tcW w:w="2172" w:type="dxa"/>
            <w:gridSpan w:val="2"/>
            <w:vAlign w:val="center"/>
          </w:tcPr>
          <w:p>
            <w:pPr>
              <w:jc w:val="center"/>
              <w:rPr>
                <w:rFonts w:ascii="宋体" w:hAnsi="宋体" w:eastAsia="宋体" w:cs="宋体"/>
                <w:szCs w:val="21"/>
              </w:rPr>
            </w:pPr>
            <w:r>
              <w:rPr>
                <w:rFonts w:hint="eastAsia" w:ascii="宋体" w:hAnsi="宋体" w:eastAsia="宋体" w:cs="宋体"/>
                <w:szCs w:val="21"/>
              </w:rPr>
              <w:t>主要技术人员</w:t>
            </w:r>
          </w:p>
        </w:tc>
        <w:tc>
          <w:tcPr>
            <w:tcW w:w="903" w:type="dxa"/>
            <w:vAlign w:val="center"/>
          </w:tcPr>
          <w:p>
            <w:pPr>
              <w:jc w:val="center"/>
              <w:rPr>
                <w:rFonts w:ascii="宋体" w:hAnsi="宋体" w:eastAsia="宋体" w:cs="宋体"/>
                <w:szCs w:val="21"/>
              </w:rPr>
            </w:pPr>
          </w:p>
        </w:tc>
        <w:tc>
          <w:tcPr>
            <w:tcW w:w="1896" w:type="dxa"/>
            <w:gridSpan w:val="2"/>
            <w:vAlign w:val="center"/>
          </w:tcPr>
          <w:p>
            <w:pPr>
              <w:jc w:val="center"/>
              <w:rPr>
                <w:rFonts w:ascii="宋体" w:hAnsi="宋体" w:eastAsia="宋体" w:cs="宋体"/>
                <w:szCs w:val="21"/>
              </w:rPr>
            </w:pPr>
          </w:p>
        </w:tc>
        <w:tc>
          <w:tcPr>
            <w:tcW w:w="1428" w:type="dxa"/>
            <w:vAlign w:val="center"/>
          </w:tcPr>
          <w:p>
            <w:pPr>
              <w:jc w:val="center"/>
              <w:rPr>
                <w:rFonts w:ascii="宋体" w:hAnsi="宋体" w:eastAsia="宋体" w:cs="宋体"/>
                <w:szCs w:val="21"/>
              </w:rPr>
            </w:pPr>
          </w:p>
        </w:tc>
        <w:tc>
          <w:tcPr>
            <w:tcW w:w="142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jc w:val="center"/>
              <w:rPr>
                <w:rFonts w:ascii="宋体" w:hAnsi="宋体" w:eastAsia="宋体" w:cs="宋体"/>
                <w:szCs w:val="21"/>
              </w:rPr>
            </w:pPr>
            <w:r>
              <w:rPr>
                <w:rFonts w:hint="eastAsia" w:ascii="宋体" w:hAnsi="宋体" w:eastAsia="宋体" w:cs="宋体"/>
                <w:szCs w:val="21"/>
                <w:lang w:bidi="ar"/>
              </w:rPr>
              <w:t>5</w:t>
            </w:r>
          </w:p>
        </w:tc>
        <w:tc>
          <w:tcPr>
            <w:tcW w:w="2172" w:type="dxa"/>
            <w:gridSpan w:val="2"/>
            <w:vAlign w:val="center"/>
          </w:tcPr>
          <w:p>
            <w:pPr>
              <w:snapToGrid w:val="0"/>
              <w:jc w:val="center"/>
              <w:rPr>
                <w:rFonts w:ascii="宋体" w:hAnsi="宋体" w:eastAsia="宋体" w:cs="宋体"/>
                <w:szCs w:val="21"/>
              </w:rPr>
            </w:pPr>
            <w:r>
              <w:rPr>
                <w:rFonts w:hint="eastAsia" w:ascii="宋体" w:hAnsi="宋体" w:eastAsia="宋体" w:cs="宋体"/>
                <w:szCs w:val="21"/>
              </w:rPr>
              <w:t>投标文件编制人员</w:t>
            </w:r>
          </w:p>
        </w:tc>
        <w:tc>
          <w:tcPr>
            <w:tcW w:w="903" w:type="dxa"/>
            <w:vAlign w:val="center"/>
          </w:tcPr>
          <w:p>
            <w:pPr>
              <w:jc w:val="center"/>
              <w:rPr>
                <w:rFonts w:ascii="宋体" w:hAnsi="宋体" w:eastAsia="宋体" w:cs="宋体"/>
                <w:szCs w:val="21"/>
              </w:rPr>
            </w:pPr>
          </w:p>
        </w:tc>
        <w:tc>
          <w:tcPr>
            <w:tcW w:w="1896" w:type="dxa"/>
            <w:gridSpan w:val="2"/>
            <w:vAlign w:val="center"/>
          </w:tcPr>
          <w:p>
            <w:pPr>
              <w:jc w:val="center"/>
              <w:rPr>
                <w:rFonts w:ascii="宋体" w:hAnsi="宋体" w:eastAsia="宋体" w:cs="宋体"/>
                <w:szCs w:val="21"/>
              </w:rPr>
            </w:pPr>
          </w:p>
        </w:tc>
        <w:tc>
          <w:tcPr>
            <w:tcW w:w="1428" w:type="dxa"/>
            <w:vAlign w:val="center"/>
          </w:tcPr>
          <w:p>
            <w:pPr>
              <w:jc w:val="center"/>
              <w:rPr>
                <w:rFonts w:ascii="宋体" w:hAnsi="宋体" w:eastAsia="宋体" w:cs="宋体"/>
                <w:szCs w:val="21"/>
              </w:rPr>
            </w:pPr>
          </w:p>
        </w:tc>
        <w:tc>
          <w:tcPr>
            <w:tcW w:w="1420" w:type="dxa"/>
            <w:vAlign w:val="center"/>
          </w:tcPr>
          <w:p>
            <w:pPr>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pPr>
              <w:jc w:val="left"/>
              <w:rPr>
                <w:rFonts w:ascii="宋体" w:hAnsi="宋体" w:eastAsia="宋体" w:cs="宋体"/>
                <w:szCs w:val="21"/>
              </w:rPr>
            </w:pPr>
            <w:r>
              <w:rPr>
                <w:rFonts w:hint="eastAsia" w:ascii="宋体" w:hAnsi="宋体" w:eastAsia="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vAlign w:val="center"/>
          </w:tcPr>
          <w:p>
            <w:pPr>
              <w:jc w:val="center"/>
              <w:rPr>
                <w:rFonts w:ascii="宋体" w:hAnsi="宋体" w:eastAsia="宋体" w:cs="宋体"/>
                <w:b/>
                <w:bCs/>
                <w:szCs w:val="21"/>
              </w:rPr>
            </w:pPr>
            <w:r>
              <w:rPr>
                <w:rFonts w:hint="eastAsia" w:ascii="宋体" w:hAnsi="宋体" w:eastAsia="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bottom w:val="single" w:color="auto" w:sz="4" w:space="0"/>
            </w:tcBorders>
            <w:vAlign w:val="center"/>
          </w:tcPr>
          <w:p>
            <w:pPr>
              <w:jc w:val="center"/>
              <w:rPr>
                <w:rFonts w:ascii="宋体" w:hAnsi="宋体" w:eastAsia="宋体" w:cs="宋体"/>
                <w:szCs w:val="21"/>
                <w:lang w:bidi="ar"/>
              </w:rPr>
            </w:pPr>
            <w:r>
              <w:rPr>
                <w:rFonts w:hint="eastAsia" w:ascii="宋体" w:hAnsi="宋体" w:eastAsia="宋体" w:cs="宋体"/>
                <w:szCs w:val="21"/>
                <w:lang w:bidi="ar"/>
              </w:rPr>
              <w:t>序号</w:t>
            </w:r>
          </w:p>
        </w:tc>
        <w:tc>
          <w:tcPr>
            <w:tcW w:w="2172" w:type="dxa"/>
            <w:gridSpan w:val="2"/>
            <w:tcBorders>
              <w:bottom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关联关系类型</w:t>
            </w:r>
          </w:p>
        </w:tc>
        <w:tc>
          <w:tcPr>
            <w:tcW w:w="1654" w:type="dxa"/>
            <w:gridSpan w:val="2"/>
            <w:tcBorders>
              <w:bottom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关联主体名称</w:t>
            </w:r>
          </w:p>
        </w:tc>
        <w:tc>
          <w:tcPr>
            <w:tcW w:w="3993" w:type="dxa"/>
            <w:gridSpan w:val="3"/>
            <w:tcBorders>
              <w:bottom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lang w:bidi="ar"/>
              </w:rPr>
            </w:pPr>
            <w:r>
              <w:rPr>
                <w:rFonts w:hint="eastAsia" w:ascii="宋体" w:hAnsi="宋体" w:eastAsia="宋体" w:cs="宋体"/>
                <w:szCs w:val="21"/>
                <w:lang w:bidi="ar"/>
              </w:rPr>
              <w:t>1</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控股股东</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3993"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szCs w:val="21"/>
              </w:rPr>
            </w:pPr>
            <w:r>
              <w:rPr>
                <w:rFonts w:hint="eastAsia" w:ascii="宋体" w:hAnsi="宋体" w:eastAsia="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7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lang w:bidi="ar"/>
              </w:rPr>
            </w:pPr>
            <w:r>
              <w:rPr>
                <w:rFonts w:hint="eastAsia" w:ascii="宋体" w:hAnsi="宋体" w:eastAsia="宋体" w:cs="宋体"/>
                <w:szCs w:val="21"/>
                <w:lang w:bidi="ar"/>
              </w:rPr>
              <w:t>2</w:t>
            </w:r>
          </w:p>
        </w:tc>
        <w:tc>
          <w:tcPr>
            <w:tcW w:w="21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管理关系</w:t>
            </w:r>
          </w:p>
        </w:tc>
        <w:tc>
          <w:tcPr>
            <w:tcW w:w="16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3993"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szCs w:val="21"/>
              </w:rPr>
            </w:pPr>
            <w:r>
              <w:rPr>
                <w:rFonts w:hint="eastAsia" w:ascii="宋体" w:hAnsi="宋体" w:eastAsia="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eastAsia="宋体" w:cs="宋体"/>
                <w:b/>
                <w:bCs/>
                <w:color w:val="FF0000"/>
                <w:szCs w:val="21"/>
              </w:rPr>
            </w:pPr>
            <w:r>
              <w:rPr>
                <w:rFonts w:ascii="宋体" w:hAnsi="宋体" w:eastAsia="宋体" w:cs="宋体"/>
                <w:b/>
                <w:bCs/>
                <w:color w:val="FF0000"/>
                <w:szCs w:val="21"/>
              </w:rPr>
              <w:t>说明：1.同一关联关系类型有多个主体的，应分行填写。</w:t>
            </w:r>
          </w:p>
          <w:p>
            <w:pPr>
              <w:snapToGrid w:val="0"/>
              <w:jc w:val="left"/>
              <w:rPr>
                <w:rFonts w:ascii="宋体" w:hAnsi="宋体" w:eastAsia="宋体" w:cs="宋体"/>
                <w:szCs w:val="21"/>
              </w:rPr>
            </w:pPr>
            <w:r>
              <w:rPr>
                <w:rFonts w:ascii="宋体" w:hAnsi="宋体" w:eastAsia="宋体" w:cs="宋体"/>
                <w:b/>
                <w:bCs/>
                <w:color w:val="FF0000"/>
                <w:szCs w:val="21"/>
                <w:highlight w:val="yellow"/>
              </w:rPr>
              <w:t>2.《供应商基本情况表》为必填内容，若存在异常且不符合要求的供应商资格性审查将不予通过，作投标无效处理。</w:t>
            </w:r>
          </w:p>
        </w:tc>
      </w:tr>
    </w:tbl>
    <w:p>
      <w:pPr>
        <w:pStyle w:val="10"/>
        <w:rPr>
          <w:rFonts w:hint="eastAsia" w:eastAsiaTheme="minorEastAsia"/>
          <w:lang w:eastAsia="zh-CN"/>
        </w:rPr>
      </w:pPr>
    </w:p>
    <w:p>
      <w:pPr>
        <w:ind w:firstLine="480" w:firstLineChars="200"/>
        <w:outlineLvl w:val="3"/>
        <w:rPr>
          <w:rFonts w:ascii="黑体" w:hAnsi="宋体" w:eastAsia="黑体"/>
          <w:bCs/>
          <w:kern w:val="0"/>
          <w:sz w:val="24"/>
          <w:szCs w:val="32"/>
        </w:rPr>
      </w:pPr>
      <w:bookmarkStart w:id="38" w:name="_Hlk72257908"/>
      <w:r>
        <w:rPr>
          <w:rFonts w:hint="eastAsia" w:ascii="黑体" w:hAnsi="宋体" w:eastAsia="黑体"/>
          <w:bCs/>
          <w:kern w:val="0"/>
          <w:sz w:val="24"/>
          <w:szCs w:val="32"/>
        </w:rPr>
        <w:t>（</w:t>
      </w:r>
      <w:r>
        <w:rPr>
          <w:rFonts w:hint="eastAsia" w:ascii="黑体" w:hAnsi="宋体" w:eastAsia="黑体"/>
          <w:bCs/>
          <w:kern w:val="0"/>
          <w:sz w:val="24"/>
          <w:szCs w:val="32"/>
          <w:lang w:eastAsia="zh-CN"/>
        </w:rPr>
        <w:t>三</w:t>
      </w:r>
      <w:r>
        <w:rPr>
          <w:rFonts w:hint="eastAsia" w:ascii="黑体" w:hAnsi="宋体" w:eastAsia="黑体"/>
          <w:bCs/>
          <w:kern w:val="0"/>
          <w:sz w:val="24"/>
          <w:szCs w:val="32"/>
        </w:rPr>
        <w:t>）中小企业声明函、残疾人福利性单位声明函及监狱企业声明函</w:t>
      </w:r>
      <w:bookmarkEnd w:id="37"/>
    </w:p>
    <w:p>
      <w:pPr>
        <w:bidi w:val="0"/>
      </w:pPr>
    </w:p>
    <w:p>
      <w:pPr>
        <w:bidi w:val="0"/>
      </w:pPr>
      <w:r>
        <w:rPr>
          <w:rFonts w:hint="eastAsia"/>
        </w:rPr>
        <w:t>填写指引：</w:t>
      </w:r>
    </w:p>
    <w:p>
      <w:pPr>
        <w:bidi w:val="0"/>
      </w:pPr>
      <w:r>
        <w:rPr>
          <w:rFonts w:hint="eastAsia"/>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bidi w:val="0"/>
      </w:pPr>
      <w:r>
        <w:rPr>
          <w:rFonts w:hint="eastAsia"/>
        </w:rPr>
        <w:t>2、该部分内容填写需要参考的相关文件：</w:t>
      </w:r>
    </w:p>
    <w:p>
      <w:pPr>
        <w:bidi w:val="0"/>
      </w:pPr>
      <w:r>
        <w:rPr>
          <w:rFonts w:hint="eastAsia"/>
          <w:lang w:eastAsia="zh-CN"/>
        </w:rPr>
        <w:t>（</w:t>
      </w:r>
      <w:r>
        <w:t>1</w:t>
      </w:r>
      <w:r>
        <w:rPr>
          <w:rFonts w:hint="eastAsia"/>
          <w:lang w:eastAsia="zh-CN"/>
        </w:rPr>
        <w:t>）</w:t>
      </w:r>
      <w:r>
        <w:rPr>
          <w:rFonts w:hint="eastAsia"/>
        </w:rPr>
        <w:t>财政部《政府采购促进中小企业发展管理办法》（财库〔2020〕46号）</w:t>
      </w:r>
    </w:p>
    <w:p>
      <w:pPr>
        <w:bidi w:val="0"/>
      </w:pPr>
      <w:r>
        <w:rPr>
          <w:rFonts w:hint="eastAsia"/>
        </w:rPr>
        <w:t>(</w:t>
      </w:r>
      <w:r>
        <w:t>2</w:t>
      </w:r>
      <w:r>
        <w:rPr>
          <w:rFonts w:hint="eastAsia"/>
        </w:rPr>
        <w:t>)</w:t>
      </w:r>
      <w:bookmarkStart w:id="39" w:name="_Hlk71925120"/>
      <w:r>
        <w:rPr>
          <w:rFonts w:hint="eastAsia"/>
        </w:rPr>
        <w:t>《工业和信息化部、国家统计局、国家发展和改革委员会、财政部关于印发中小企业划型标准规定的通知》（工信部联企业〔2011〕300号</w:t>
      </w:r>
      <w:bookmarkEnd w:id="39"/>
      <w:r>
        <w:rPr>
          <w:rFonts w:hint="eastAsia"/>
        </w:rPr>
        <w:t>）</w:t>
      </w:r>
    </w:p>
    <w:p>
      <w:pPr>
        <w:bidi w:val="0"/>
      </w:pPr>
      <w:r>
        <w:rPr>
          <w:rFonts w:hint="eastAsia"/>
        </w:rPr>
        <w:t>(3)《统计上大中小微型企业划分办法</w:t>
      </w:r>
      <w:r>
        <w:rPr>
          <w:rFonts w:hint="eastAsia"/>
          <w:lang w:eastAsia="zh-CN"/>
        </w:rPr>
        <w:t>（</w:t>
      </w:r>
      <w:r>
        <w:rPr>
          <w:rFonts w:hint="eastAsia"/>
        </w:rPr>
        <w:t>2017</w:t>
      </w:r>
      <w:r>
        <w:rPr>
          <w:rFonts w:hint="eastAsia"/>
          <w:lang w:eastAsia="zh-CN"/>
        </w:rPr>
        <w:t>）</w:t>
      </w:r>
      <w:r>
        <w:rPr>
          <w:rFonts w:hint="eastAsia"/>
        </w:rPr>
        <w:t>》（国统字〔2017〕213号）</w:t>
      </w:r>
    </w:p>
    <w:p>
      <w:pPr>
        <w:bidi w:val="0"/>
      </w:pPr>
      <w:r>
        <w:rPr>
          <w:rFonts w:hint="eastAsia"/>
        </w:rPr>
        <w:t>(4)《关于促进残疾人就业政府采购政策的通知》（财库〔2017〕141号）</w:t>
      </w:r>
    </w:p>
    <w:p>
      <w:pPr>
        <w:bidi w:val="0"/>
      </w:pPr>
      <w:r>
        <w:rPr>
          <w:rFonts w:hint="eastAsia"/>
        </w:rPr>
        <w:t>(5)《关于政府采购支持监狱企业发展有关问题的通知》（财库〔2014〕68号）</w:t>
      </w:r>
    </w:p>
    <w:p>
      <w:pPr>
        <w:bidi w:val="0"/>
      </w:pPr>
      <w:r>
        <w:rPr>
          <w:rFonts w:hint="eastAsia"/>
        </w:rPr>
        <w:t>3、请依照提供的格式和内容填写声明函，不要随意变更格式；声明函不需要盖章或签字；满足多项优惠政策的投标人，不重复享受多项价格扣除政策。</w:t>
      </w:r>
    </w:p>
    <w:p>
      <w:pPr>
        <w:bidi w:val="0"/>
      </w:pPr>
      <w:r>
        <w:rPr>
          <w:rFonts w:hint="eastAsia"/>
        </w:rPr>
        <w:t>4、声明函具体填写要求：</w:t>
      </w:r>
    </w:p>
    <w:p>
      <w:pPr>
        <w:bidi w:val="0"/>
      </w:pPr>
      <w:r>
        <w:rPr>
          <w:rFonts w:hint="eastAsia"/>
        </w:rPr>
        <w:t>（1）声明是中小企业须填写《中小企业声明函》的以下内容：</w:t>
      </w:r>
    </w:p>
    <w:p>
      <w:pPr>
        <w:bidi w:val="0"/>
        <w:ind w:left="0" w:leftChars="0" w:firstLine="420" w:firstLineChars="200"/>
      </w:pPr>
      <w:r>
        <w:rPr>
          <w:rFonts w:hint="eastAsia"/>
        </w:rPr>
        <w:t>第一处，</w:t>
      </w:r>
      <w:r>
        <w:rPr>
          <w:rFonts w:hint="eastAsia"/>
          <w:highlight w:val="yellow"/>
        </w:rPr>
        <w:t>在“单位名称”下划线处如实填写采购人名称</w:t>
      </w:r>
      <w:r>
        <w:rPr>
          <w:rFonts w:hint="eastAsia"/>
        </w:rPr>
        <w:t>（深圳公共资源交易中心不是本项目的采购人，而是组织实施机构）；</w:t>
      </w:r>
    </w:p>
    <w:p>
      <w:pPr>
        <w:bidi w:val="0"/>
        <w:ind w:left="0" w:leftChars="0" w:firstLine="420" w:firstLineChars="200"/>
      </w:pPr>
      <w:r>
        <w:rPr>
          <w:rFonts w:hint="eastAsia"/>
        </w:rPr>
        <w:t>第二处，</w:t>
      </w:r>
      <w:r>
        <w:rPr>
          <w:rFonts w:hint="eastAsia"/>
          <w:highlight w:val="yellow"/>
        </w:rPr>
        <w:t>在“项目名称”下划线处如实填写采购</w:t>
      </w:r>
      <w:r>
        <w:rPr>
          <w:rFonts w:hint="eastAsia"/>
          <w:highlight w:val="yellow"/>
          <w:lang w:val="en-US" w:eastAsia="zh-CN"/>
        </w:rPr>
        <w:t>文件中确定的</w:t>
      </w:r>
      <w:r>
        <w:rPr>
          <w:rFonts w:hint="eastAsia"/>
          <w:highlight w:val="yellow"/>
        </w:rPr>
        <w:t>项目名称</w:t>
      </w:r>
      <w:r>
        <w:rPr>
          <w:rFonts w:hint="eastAsia"/>
          <w:lang w:eastAsia="zh-CN"/>
        </w:rPr>
        <w:t>。对于分包方式面向中小企业采购的项目，应标明中小企业的具体分包内容；对于以联合体方式面向中小企业采购的项目，应标明联合体中中小企业所承担的具体内容</w:t>
      </w:r>
      <w:r>
        <w:rPr>
          <w:rFonts w:hint="eastAsia"/>
        </w:rPr>
        <w:t>；</w:t>
      </w:r>
    </w:p>
    <w:p>
      <w:pPr>
        <w:bidi w:val="0"/>
        <w:ind w:left="0" w:leftChars="0" w:firstLine="420" w:firstLineChars="200"/>
      </w:pPr>
      <w:r>
        <w:rPr>
          <w:rFonts w:hint="eastAsia"/>
        </w:rPr>
        <w:t>第三处，</w:t>
      </w:r>
      <w:r>
        <w:rPr>
          <w:rFonts w:hint="eastAsia"/>
          <w:highlight w:val="yellow"/>
        </w:rPr>
        <w:t>在“标的名称”下划线处填写所采购标的具体名称</w:t>
      </w:r>
      <w:r>
        <w:rPr>
          <w:rFonts w:hint="eastAsia"/>
        </w:rPr>
        <w:t>（以招标文件第一册第三章用户需求书“</w:t>
      </w:r>
      <w:bookmarkStart w:id="40" w:name="OLE_LINK35"/>
      <w:r>
        <w:rPr>
          <w:rFonts w:hint="eastAsia"/>
        </w:rPr>
        <w:t>标的名称</w:t>
      </w:r>
      <w:bookmarkEnd w:id="40"/>
      <w:r>
        <w:rPr>
          <w:rFonts w:hint="eastAsia"/>
        </w:rPr>
        <w:t>”一栏为准）；如果涉及多项</w:t>
      </w:r>
      <w:r>
        <w:rPr>
          <w:rFonts w:hint="eastAsia"/>
          <w:lang w:val="en-US" w:eastAsia="zh-CN"/>
        </w:rPr>
        <w:t>服务</w:t>
      </w:r>
      <w:r>
        <w:rPr>
          <w:rFonts w:hint="eastAsia"/>
        </w:rPr>
        <w:t>（标的）为同一企业</w:t>
      </w:r>
      <w:r>
        <w:rPr>
          <w:rFonts w:hint="eastAsia"/>
          <w:lang w:val="en-US" w:eastAsia="zh-CN"/>
        </w:rPr>
        <w:t>承接的</w:t>
      </w:r>
      <w:r>
        <w:rPr>
          <w:rFonts w:hint="eastAsia"/>
        </w:rPr>
        <w:t>，“标的名称”下划线处可以如实填写多项</w:t>
      </w:r>
      <w:r>
        <w:rPr>
          <w:rFonts w:hint="eastAsia"/>
          <w:lang w:val="en-US" w:eastAsia="zh-CN"/>
        </w:rPr>
        <w:t>服务</w:t>
      </w:r>
      <w:r>
        <w:rPr>
          <w:rFonts w:hint="eastAsia"/>
        </w:rPr>
        <w:t>；对于分包方式面向中小企业采购的项目</w:t>
      </w:r>
      <w:r>
        <w:rPr>
          <w:rFonts w:hint="eastAsia"/>
          <w:lang w:eastAsia="zh-CN"/>
        </w:rPr>
        <w:t>，</w:t>
      </w:r>
      <w:r>
        <w:rPr>
          <w:rFonts w:hint="eastAsia"/>
        </w:rPr>
        <w:t>“标的名称”应填写采购文件中注明的分包给中小企业的采购标的名称；对于以联合体方式面向中小企业采购的项目“标的名称”应填写采购文件中注明的联合体中中小企业承担的采购标的名称。</w:t>
      </w:r>
    </w:p>
    <w:p>
      <w:pPr>
        <w:bidi w:val="0"/>
        <w:ind w:left="0" w:leftChars="0" w:firstLine="420" w:firstLineChars="200"/>
      </w:pPr>
      <w:r>
        <w:rPr>
          <w:rFonts w:hint="eastAsia"/>
        </w:rPr>
        <w:t>第四处，在“</w:t>
      </w:r>
      <w:r>
        <w:rPr>
          <w:rFonts w:hint="eastAsia"/>
          <w:lang w:val="en-US" w:eastAsia="zh-CN"/>
        </w:rPr>
        <w:t>采购</w:t>
      </w:r>
      <w:r>
        <w:rPr>
          <w:rFonts w:hint="eastAsia"/>
        </w:rPr>
        <w:t>文件中明确的所属行业”下划线处填写采购标的对应的中小企业划分标准所属行业（所属行业以招标文件第一册第</w:t>
      </w:r>
      <w:r>
        <w:rPr>
          <w:rFonts w:hint="eastAsia"/>
          <w:lang w:eastAsia="zh-CN"/>
        </w:rPr>
        <w:t>二</w:t>
      </w:r>
      <w:r>
        <w:rPr>
          <w:rFonts w:hint="eastAsia"/>
        </w:rPr>
        <w:t>章对通用条款的补充内容及其他关键信息的“</w:t>
      </w:r>
      <w:r>
        <w:rPr>
          <w:rFonts w:hint="eastAsia"/>
          <w:lang w:val="en-US" w:eastAsia="zh-CN"/>
        </w:rPr>
        <w:t>标的所属行业</w:t>
      </w:r>
      <w:r>
        <w:rPr>
          <w:rFonts w:hint="eastAsia"/>
        </w:rPr>
        <w:t>”一栏为准）</w:t>
      </w:r>
      <w:r>
        <w:rPr>
          <w:rFonts w:hint="eastAsia"/>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bidi w:val="0"/>
        <w:ind w:left="0" w:leftChars="0" w:firstLine="420" w:firstLineChars="200"/>
        <w:rPr>
          <w:rFonts w:hint="eastAsia"/>
          <w:lang w:eastAsia="zh-CN"/>
        </w:rPr>
      </w:pPr>
      <w:r>
        <w:rPr>
          <w:rFonts w:hint="eastAsia"/>
        </w:rPr>
        <w:t>第五处，在“企业名称”下划线处如实填写</w:t>
      </w:r>
      <w:r>
        <w:rPr>
          <w:rFonts w:hint="eastAsia"/>
          <w:lang w:eastAsia="zh-CN"/>
        </w:rPr>
        <w:t>服务承接商</w:t>
      </w:r>
      <w:r>
        <w:rPr>
          <w:rFonts w:hint="eastAsia"/>
        </w:rPr>
        <w:t>名称</w:t>
      </w:r>
      <w:r>
        <w:rPr>
          <w:rFonts w:hint="eastAsia"/>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bidi w:val="0"/>
        <w:ind w:left="0" w:leftChars="0" w:firstLine="420" w:firstLineChars="200"/>
        <w:rPr>
          <w:rFonts w:hint="eastAsia"/>
        </w:rPr>
      </w:pPr>
      <w:r>
        <w:rPr>
          <w:rFonts w:hint="eastAsia"/>
          <w:lang w:val="en-US" w:eastAsia="zh-CN"/>
        </w:rPr>
        <w:t>第六、七、八处，</w:t>
      </w:r>
      <w:r>
        <w:rPr>
          <w:rFonts w:hint="eastAsia"/>
        </w:rPr>
        <w:t>在“从业人员”、“营业收入”、“资产总额”下划线处如实填写从业人员、营业收入、资产总额</w:t>
      </w:r>
      <w:r>
        <w:rPr>
          <w:rFonts w:hint="eastAsia"/>
          <w:lang w:eastAsia="zh-CN"/>
        </w:rPr>
        <w:t>。从业人员、资产总额指标以上年度末数据为依据，营业收入指标以上年度累计数据为依据。无上年度数据的新成立企业可不填报。</w:t>
      </w:r>
    </w:p>
    <w:p>
      <w:pPr>
        <w:bidi w:val="0"/>
        <w:ind w:left="0" w:leftChars="0" w:firstLine="420" w:firstLineChars="200"/>
        <w:rPr>
          <w:rFonts w:hint="eastAsia"/>
        </w:rPr>
      </w:pPr>
      <w:r>
        <w:rPr>
          <w:rFonts w:hint="eastAsia"/>
          <w:lang w:val="en-US" w:eastAsia="zh-CN"/>
        </w:rPr>
        <w:t>第九处，</w:t>
      </w:r>
      <w:r>
        <w:rPr>
          <w:rFonts w:hint="eastAsia"/>
        </w:rPr>
        <w:t>在“中型企业、小型企业、微型企业”下划线处应依据企业上年度从业人员、营业收入、资产总额等指标</w:t>
      </w:r>
      <w:r>
        <w:rPr>
          <w:rFonts w:hint="eastAsia"/>
          <w:lang w:eastAsia="zh-CN"/>
        </w:rPr>
        <w:t>，</w:t>
      </w:r>
      <w:r>
        <w:rPr>
          <w:rFonts w:hint="eastAsia"/>
        </w:rPr>
        <w:t>按照《中小企业划型标准规定》（工信部联企业〔2011〕300号）、《金融业企业划型标准规定》（银发〔2015〕309号）</w:t>
      </w:r>
      <w:r>
        <w:rPr>
          <w:rFonts w:hint="eastAsia"/>
          <w:lang w:eastAsia="zh-CN"/>
        </w:rPr>
        <w:t>，</w:t>
      </w:r>
      <w:r>
        <w:rPr>
          <w:rFonts w:hint="eastAsia"/>
        </w:rPr>
        <w:t>判断《中小企业声明函》载明的</w:t>
      </w:r>
      <w:r>
        <w:rPr>
          <w:rFonts w:hint="eastAsia"/>
          <w:lang w:eastAsia="zh-CN"/>
        </w:rPr>
        <w:t>服务承接商</w:t>
      </w:r>
      <w:r>
        <w:rPr>
          <w:rFonts w:hint="eastAsia"/>
        </w:rPr>
        <w:t>是否属于采购文件所属行业的中型企业/小型企业/微型企业。</w:t>
      </w:r>
    </w:p>
    <w:p>
      <w:pPr>
        <w:bidi w:val="0"/>
        <w:ind w:left="0" w:leftChars="0" w:firstLine="420" w:firstLineChars="200"/>
        <w:rPr>
          <w:rFonts w:hint="eastAsia"/>
          <w:lang w:eastAsia="zh-CN"/>
        </w:rPr>
      </w:pPr>
      <w:r>
        <w:rPr>
          <w:rFonts w:hint="eastAsia"/>
          <w:lang w:eastAsia="zh-CN"/>
        </w:rPr>
        <w:t>（</w:t>
      </w:r>
      <w:r>
        <w:rPr>
          <w:rFonts w:hint="eastAsia"/>
          <w:lang w:val="en-US" w:eastAsia="zh-CN"/>
        </w:rPr>
        <w:t>2</w:t>
      </w:r>
      <w:r>
        <w:rPr>
          <w:rFonts w:hint="eastAsia"/>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bidi w:val="0"/>
        <w:ind w:left="0" w:leftChars="0" w:firstLine="420" w:firstLineChars="20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highlight w:val="yellow"/>
        </w:rPr>
        <w:t>事业单位、社会组织等非企业主体不享受中小企业扶持政策</w:t>
      </w:r>
      <w:r>
        <w:rPr>
          <w:rFonts w:hint="eastAsia"/>
          <w:highlight w:val="yellow"/>
          <w:lang w:eastAsia="zh-CN"/>
        </w:rPr>
        <w:t>。</w:t>
      </w:r>
    </w:p>
    <w:p>
      <w:pPr>
        <w:bidi w:val="0"/>
        <w:ind w:left="0" w:leftChars="0" w:firstLine="420" w:firstLineChars="200"/>
      </w:pPr>
      <w:r>
        <w:rPr>
          <w:rFonts w:hint="eastAsia"/>
        </w:rPr>
        <w:t>（</w:t>
      </w:r>
      <w:r>
        <w:rPr>
          <w:rFonts w:hint="eastAsia"/>
          <w:lang w:val="en-US" w:eastAsia="zh-CN"/>
        </w:rPr>
        <w:t>4</w:t>
      </w:r>
      <w:r>
        <w:rPr>
          <w:rFonts w:hint="eastAsia"/>
        </w:rPr>
        <w:t>）声明是残疾人福利性单位须填写《残疾人福利性单位声明函》的相关内容，具体参照以上《中小企业声明函》填写要求执行。</w:t>
      </w:r>
    </w:p>
    <w:p>
      <w:pPr>
        <w:bidi w:val="0"/>
        <w:ind w:left="0" w:leftChars="0" w:firstLine="420" w:firstLineChars="200"/>
      </w:pPr>
      <w:r>
        <w:rPr>
          <w:rFonts w:hint="eastAsia"/>
        </w:rPr>
        <w:t>（</w:t>
      </w:r>
      <w:r>
        <w:rPr>
          <w:rFonts w:hint="eastAsia"/>
          <w:lang w:val="en-US" w:eastAsia="zh-CN"/>
        </w:rPr>
        <w:t>5</w:t>
      </w:r>
      <w:r>
        <w:rPr>
          <w:rFonts w:hint="eastAsia"/>
        </w:rPr>
        <w:t>）声明是监狱企业须填写《监狱企业声明函》的三项内容（填写位置的字体已加粗），具体参照以上《中小企业声明函》填写要求执行。</w:t>
      </w:r>
    </w:p>
    <w:p>
      <w:pPr>
        <w:bidi w:val="0"/>
        <w:ind w:left="0" w:leftChars="0" w:firstLine="420" w:firstLineChars="200"/>
        <w:rPr>
          <w:rFonts w:hint="eastAsia"/>
          <w:lang w:val="en-US" w:eastAsia="zh-CN"/>
        </w:rPr>
      </w:pPr>
      <w:r>
        <w:rPr>
          <w:rFonts w:hint="eastAsia"/>
          <w:lang w:val="en-US" w:eastAsia="zh-CN"/>
        </w:rPr>
        <w:t>5、本项目属于服务类项目，相关服务承接商应当为中小企业或残疾人福利性单位或监狱企业，如包含硬件设备、产品等货物采购的，不再对其中涉及的货物制造商作出要求。</w:t>
      </w:r>
    </w:p>
    <w:p>
      <w:pPr>
        <w:bidi w:val="0"/>
        <w:ind w:left="0" w:leftChars="0" w:firstLine="420" w:firstLineChars="200"/>
        <w:rPr>
          <w:rFonts w:hint="eastAsia"/>
          <w:lang w:val="en-US" w:eastAsia="zh-CN"/>
        </w:rPr>
      </w:pPr>
      <w:r>
        <w:rPr>
          <w:rFonts w:hint="eastAsia"/>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bidi w:val="0"/>
        <w:ind w:left="0" w:leftChars="0" w:firstLine="420" w:firstLineChars="200"/>
        <w:rPr>
          <w:rFonts w:hint="eastAsia"/>
          <w:lang w:val="en-US" w:eastAsia="zh-CN"/>
        </w:rPr>
      </w:pPr>
      <w:r>
        <w:rPr>
          <w:rFonts w:hint="eastAsia"/>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pStyle w:val="10"/>
      </w:pPr>
    </w:p>
    <w:bookmarkEnd w:id="38"/>
    <w:p>
      <w:pPr>
        <w:numPr>
          <w:ilvl w:val="0"/>
          <w:numId w:val="7"/>
        </w:numPr>
        <w:jc w:val="center"/>
        <w:outlineLvl w:val="3"/>
        <w:rPr>
          <w:b/>
          <w:sz w:val="24"/>
        </w:rPr>
      </w:pPr>
      <w:r>
        <w:rPr>
          <w:b/>
          <w:sz w:val="24"/>
        </w:rPr>
        <w:t>中小企业声明函（</w:t>
      </w:r>
      <w:r>
        <w:rPr>
          <w:rFonts w:hint="eastAsia"/>
          <w:b/>
          <w:sz w:val="24"/>
        </w:rPr>
        <w:t>服务</w:t>
      </w:r>
      <w:r>
        <w:rPr>
          <w:b/>
          <w:sz w:val="24"/>
        </w:rPr>
        <w:t>）</w:t>
      </w:r>
    </w:p>
    <w:p>
      <w:pPr>
        <w:pStyle w:val="10"/>
      </w:pPr>
    </w:p>
    <w:p>
      <w:pPr>
        <w:bidi w:val="0"/>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本公司郑重声明，根据《政府采购促进中小企业发展管理办法》（财库﹝2020﹞46号）的规定，本公司参加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采购活动，服务全部由符合政策要求的中小企业承接。相关企业（含联合体中的中小企业、签订分包意向协议的中小企业）的具体情况如下：</w:t>
      </w:r>
    </w:p>
    <w:p>
      <w:pPr>
        <w:bidi w:val="0"/>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pPr>
        <w:bidi w:val="0"/>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2.</w:t>
      </w:r>
      <w:r>
        <w:rPr>
          <w:rFonts w:hint="eastAsia" w:asciiTheme="minorEastAsia" w:hAnsiTheme="minorEastAsia" w:cstheme="minorEastAsia"/>
          <w:b/>
          <w:bCs/>
          <w:i/>
          <w:iCs/>
          <w:szCs w:val="21"/>
          <w:u w:val="single"/>
        </w:rPr>
        <w:t xml:space="preserve">    （标的名称）     </w:t>
      </w:r>
      <w:r>
        <w:rPr>
          <w:rFonts w:hint="eastAsia" w:asciiTheme="minorEastAsia" w:hAnsiTheme="minorEastAsia" w:cstheme="minorEastAsia"/>
          <w:szCs w:val="21"/>
        </w:rPr>
        <w:t>，属于</w:t>
      </w:r>
      <w:r>
        <w:rPr>
          <w:rFonts w:hint="eastAsia" w:asciiTheme="minorEastAsia" w:hAnsiTheme="minorEastAsia" w:cstheme="minorEastAsia"/>
          <w:b/>
          <w:bCs/>
          <w:i/>
          <w:iCs/>
          <w:szCs w:val="21"/>
          <w:u w:val="single"/>
        </w:rPr>
        <w:t xml:space="preserve">    （采购文件中明确的所属行业）    </w:t>
      </w:r>
      <w:r>
        <w:rPr>
          <w:rFonts w:hint="eastAsia" w:asciiTheme="minorEastAsia" w:hAnsiTheme="minorEastAsia" w:cstheme="minorEastAsia"/>
          <w:szCs w:val="21"/>
        </w:rPr>
        <w:t>行业；承接企业为</w:t>
      </w:r>
      <w:r>
        <w:rPr>
          <w:rFonts w:hint="eastAsia" w:asciiTheme="minorEastAsia" w:hAnsi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cstheme="minorEastAsia"/>
          <w:szCs w:val="21"/>
        </w:rPr>
        <w:t>，从业人员</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人，营业收入为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万元，资产总额为</w:t>
      </w:r>
      <w:r>
        <w:rPr>
          <w:rFonts w:hint="eastAsia" w:asciiTheme="minorEastAsia" w:hAnsiTheme="minorEastAsia" w:cstheme="minorEastAsia"/>
          <w:b/>
          <w:bCs/>
          <w:i/>
          <w:iCs/>
          <w:szCs w:val="21"/>
          <w:u w:val="single"/>
        </w:rPr>
        <w:t xml:space="preserve">        </w:t>
      </w:r>
      <w:r>
        <w:rPr>
          <w:rFonts w:hint="eastAsia" w:asciiTheme="minorEastAsia" w:hAnsiTheme="minorEastAsia" w:cstheme="minorEastAsia"/>
          <w:szCs w:val="21"/>
        </w:rPr>
        <w:t>万元，属于</w:t>
      </w:r>
      <w:r>
        <w:rPr>
          <w:rFonts w:hint="eastAsia" w:asciiTheme="minorEastAsia" w:hAnsiTheme="minorEastAsia" w:cstheme="minorEastAsia"/>
          <w:b/>
          <w:bCs/>
          <w:i/>
          <w:iCs/>
          <w:szCs w:val="21"/>
          <w:u w:val="single"/>
        </w:rPr>
        <w:t xml:space="preserve">    （中型企业、小型企业、微型企业）    </w:t>
      </w:r>
      <w:r>
        <w:rPr>
          <w:rFonts w:hint="eastAsia" w:asciiTheme="minorEastAsia" w:hAnsiTheme="minorEastAsia" w:cstheme="minorEastAsia"/>
          <w:szCs w:val="21"/>
        </w:rPr>
        <w:t>；</w:t>
      </w:r>
    </w:p>
    <w:p>
      <w:pPr>
        <w:bidi w:val="0"/>
        <w:ind w:left="0" w:leftChars="0" w:firstLine="420" w:firstLineChars="200"/>
      </w:pPr>
      <w:r>
        <w:rPr>
          <w:rFonts w:hint="eastAsia"/>
        </w:rPr>
        <w:t>……</w:t>
      </w:r>
    </w:p>
    <w:p>
      <w:pPr>
        <w:bidi w:val="0"/>
        <w:ind w:left="0" w:leftChars="0" w:firstLine="420" w:firstLineChars="200"/>
      </w:pPr>
      <w:r>
        <w:rPr>
          <w:rFonts w:hint="eastAsia"/>
        </w:rPr>
        <w:t>以上企业，不属于大企业的分支机构，不存在控股股东为大企业的情形，也不存在与大企业的负责人为同一人的情形。</w:t>
      </w:r>
    </w:p>
    <w:p>
      <w:pPr>
        <w:bidi w:val="0"/>
        <w:ind w:left="0" w:leftChars="0" w:firstLine="420" w:firstLineChars="200"/>
      </w:pPr>
      <w:r>
        <w:rPr>
          <w:rFonts w:hint="eastAsia"/>
        </w:rPr>
        <w:t>本企业对上述声明内容的真实性负责。如有虚假，将依法承担相应责任。</w:t>
      </w:r>
    </w:p>
    <w:p>
      <w:pPr>
        <w:bidi w:val="0"/>
        <w:ind w:left="0" w:leftChars="0" w:firstLine="420" w:firstLineChars="200"/>
      </w:pPr>
      <w:bookmarkStart w:id="41"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pPr>
    </w:p>
    <w:p>
      <w:pPr>
        <w:jc w:val="center"/>
        <w:outlineLvl w:val="3"/>
        <w:rPr>
          <w:b/>
          <w:sz w:val="24"/>
        </w:rPr>
      </w:pPr>
      <w:r>
        <w:rPr>
          <w:rFonts w:hint="eastAsia"/>
          <w:b/>
          <w:sz w:val="24"/>
        </w:rPr>
        <w:t>2、残疾人福利性单位声明函（服务类）</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项目采购活动由本单位提供服务。</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bidi w:val="0"/>
        <w:ind w:left="0" w:leftChars="0" w:firstLine="420" w:firstLineChars="200"/>
      </w:pPr>
      <w:r>
        <w:t xml:space="preserve">…… </w:t>
      </w:r>
    </w:p>
    <w:p>
      <w:pPr>
        <w:ind w:firstLine="420" w:firstLineChars="200"/>
        <w:rPr>
          <w:rFonts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pStyle w:val="10"/>
      </w:pPr>
    </w:p>
    <w:p>
      <w:pPr>
        <w:pStyle w:val="4"/>
        <w:numPr>
          <w:ilvl w:val="0"/>
          <w:numId w:val="6"/>
        </w:numPr>
        <w:ind w:left="0" w:leftChars="0" w:firstLine="0" w:firstLineChars="0"/>
        <w:jc w:val="center"/>
        <w:rPr>
          <w:rFonts w:ascii="黑体" w:eastAsia="黑体"/>
          <w:b w:val="0"/>
          <w:sz w:val="24"/>
        </w:rPr>
      </w:pPr>
      <w:bookmarkStart w:id="42" w:name="OLE_LINK22"/>
      <w:bookmarkStart w:id="43" w:name="_Hlk72092499"/>
      <w:bookmarkStart w:id="44" w:name="OLE_LINK17"/>
      <w:r>
        <w:rPr>
          <w:rFonts w:hint="eastAsia" w:ascii="黑体" w:eastAsia="黑体"/>
          <w:b w:val="0"/>
          <w:sz w:val="24"/>
        </w:rPr>
        <w:t>法定代表人（负责人）证明书</w:t>
      </w:r>
      <w:bookmarkEnd w:id="42"/>
      <w:bookmarkEnd w:id="43"/>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szCs w:val="21"/>
        </w:rPr>
      </w:pPr>
      <w:r>
        <w:rPr>
          <w:rFonts w:hint="eastAsia"/>
          <w:szCs w:val="21"/>
          <w:lang w:eastAsia="zh-Hans"/>
        </w:rPr>
        <w:t>本证明书</w:t>
      </w:r>
      <w:r>
        <w:rPr>
          <w:rFonts w:hint="eastAsia"/>
          <w:szCs w:val="21"/>
          <w:lang w:eastAsia="zh-CN"/>
        </w:rPr>
        <w:t>要提</w:t>
      </w:r>
      <w:r>
        <w:rPr>
          <w:rFonts w:hint="eastAsia"/>
          <w:szCs w:val="21"/>
          <w:lang w:eastAsia="zh-Hans"/>
        </w:rPr>
        <w:t>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8"/>
        </w:numPr>
        <w:spacing w:line="360" w:lineRule="auto"/>
        <w:ind w:firstLine="420" w:firstLineChars="200"/>
        <w:rPr>
          <w:szCs w:val="21"/>
        </w:rPr>
      </w:pPr>
      <w:r>
        <w:rPr>
          <w:rFonts w:hint="eastAsia"/>
          <w:szCs w:val="21"/>
        </w:rPr>
        <w:t>内容必须填写真实、清楚，涂改无效，不得转让、买卖。</w:t>
      </w:r>
    </w:p>
    <w:p>
      <w:pPr>
        <w:pStyle w:val="10"/>
      </w:pPr>
    </w:p>
    <w:tbl>
      <w:tblPr>
        <w:tblStyle w:val="2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jc w:val="center"/>
            </w:pPr>
            <w:r>
              <w:rPr>
                <w:rFonts w:hint="eastAsia"/>
              </w:rPr>
              <w:t>证件扫描件正面</w:t>
            </w:r>
          </w:p>
          <w:p>
            <w:pPr>
              <w:pStyle w:val="10"/>
              <w:jc w:val="center"/>
            </w:pPr>
          </w:p>
          <w:p>
            <w:pPr>
              <w:pStyle w:val="11"/>
              <w:jc w:val="center"/>
            </w:pPr>
          </w:p>
          <w:p>
            <w:pPr>
              <w:pStyle w:val="11"/>
              <w:jc w:val="center"/>
            </w:pPr>
          </w:p>
        </w:tc>
        <w:tc>
          <w:tcPr>
            <w:tcW w:w="4265" w:type="dxa"/>
          </w:tcPr>
          <w:p>
            <w:pPr>
              <w:jc w:val="center"/>
            </w:pPr>
            <w:r>
              <w:rPr>
                <w:rFonts w:hint="eastAsia"/>
              </w:rPr>
              <w:t>证件扫描件反面</w:t>
            </w:r>
          </w:p>
          <w:p>
            <w:pPr>
              <w:pStyle w:val="10"/>
              <w:jc w:val="center"/>
            </w:pPr>
          </w:p>
          <w:p>
            <w:pPr>
              <w:pStyle w:val="11"/>
              <w:jc w:val="center"/>
            </w:pPr>
          </w:p>
          <w:p>
            <w:pPr>
              <w:pStyle w:val="11"/>
              <w:jc w:val="center"/>
            </w:pPr>
          </w:p>
        </w:tc>
      </w:tr>
    </w:tbl>
    <w:p>
      <w:pPr>
        <w:spacing w:line="360" w:lineRule="auto"/>
        <w:ind w:firstLine="422" w:firstLineChars="200"/>
        <w:rPr>
          <w:rFonts w:hint="eastAsia"/>
          <w:lang w:val="en-US" w:eastAsia="zh-CN"/>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sz w:val="24"/>
        </w:rPr>
      </w:pPr>
    </w:p>
    <w:p>
      <w:pPr>
        <w:pStyle w:val="4"/>
        <w:numPr>
          <w:ilvl w:val="0"/>
          <w:numId w:val="6"/>
        </w:numPr>
        <w:ind w:left="0" w:leftChars="0" w:firstLine="0" w:firstLineChars="0"/>
        <w:jc w:val="center"/>
        <w:rPr>
          <w:rFonts w:hint="eastAsia" w:ascii="黑体" w:hAnsi="宋体" w:eastAsia="黑体"/>
          <w:b w:val="0"/>
          <w:sz w:val="24"/>
        </w:rPr>
      </w:pPr>
      <w:bookmarkStart w:id="45" w:name="OLE_LINK23"/>
      <w:r>
        <w:rPr>
          <w:rFonts w:hint="eastAsia" w:ascii="黑体" w:hAnsi="宋体" w:eastAsia="黑体"/>
          <w:b w:val="0"/>
          <w:sz w:val="24"/>
        </w:rPr>
        <w:t>投标文件签署授权委托书</w:t>
      </w:r>
    </w:p>
    <w:bookmarkEnd w:id="45"/>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rFonts w:hint="eastAsia"/>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p>
      <w:pPr>
        <w:pStyle w:val="10"/>
      </w:pPr>
    </w:p>
    <w:tbl>
      <w:tblPr>
        <w:tblStyle w:val="2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jc w:val="center"/>
            </w:pPr>
            <w:r>
              <w:rPr>
                <w:rFonts w:hint="eastAsia" w:ascii="Times New Roman" w:eastAsia="宋体"/>
              </w:rPr>
              <w:t>证件扫描件正面</w:t>
            </w:r>
          </w:p>
          <w:p>
            <w:pPr>
              <w:pStyle w:val="10"/>
              <w:jc w:val="center"/>
            </w:pPr>
          </w:p>
          <w:p>
            <w:pPr>
              <w:pStyle w:val="11"/>
              <w:jc w:val="center"/>
            </w:pPr>
          </w:p>
          <w:p>
            <w:pPr>
              <w:pStyle w:val="11"/>
              <w:jc w:val="center"/>
            </w:pPr>
          </w:p>
        </w:tc>
        <w:tc>
          <w:tcPr>
            <w:tcW w:w="4265" w:type="dxa"/>
          </w:tcPr>
          <w:p>
            <w:pPr>
              <w:jc w:val="center"/>
            </w:pPr>
            <w:r>
              <w:rPr>
                <w:rFonts w:hint="eastAsia" w:ascii="Times New Roman" w:eastAsia="宋体"/>
              </w:rPr>
              <w:t>证件扫描件反面</w:t>
            </w:r>
          </w:p>
          <w:p>
            <w:pPr>
              <w:pStyle w:val="10"/>
              <w:jc w:val="center"/>
            </w:pPr>
          </w:p>
          <w:p>
            <w:pPr>
              <w:pStyle w:val="11"/>
              <w:jc w:val="center"/>
            </w:pPr>
          </w:p>
          <w:p>
            <w:pPr>
              <w:pStyle w:val="11"/>
              <w:jc w:val="center"/>
            </w:pPr>
          </w:p>
        </w:tc>
      </w:tr>
    </w:tbl>
    <w:p>
      <w:pPr>
        <w:spacing w:line="360" w:lineRule="auto"/>
        <w:ind w:firstLine="422" w:firstLineChars="200"/>
        <w:rPr>
          <w:rFonts w:hint="eastAsia" w:ascii="黑体" w:hAnsi="宋体" w:eastAsia="黑体"/>
          <w:b w:val="0"/>
          <w:sz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pStyle w:val="4"/>
        <w:numPr>
          <w:ilvl w:val="0"/>
          <w:numId w:val="6"/>
        </w:numPr>
        <w:ind w:left="0" w:leftChars="0" w:firstLine="0" w:firstLineChars="0"/>
        <w:jc w:val="center"/>
        <w:rPr>
          <w:rFonts w:hint="eastAsia" w:ascii="黑体" w:hAnsi="宋体" w:eastAsia="黑体"/>
          <w:b w:val="0"/>
          <w:sz w:val="24"/>
        </w:rPr>
      </w:pPr>
      <w:r>
        <w:rPr>
          <w:rFonts w:hint="eastAsia" w:ascii="黑体" w:hAnsi="宋体" w:eastAsia="黑体"/>
          <w:b w:val="0"/>
          <w:sz w:val="24"/>
        </w:rPr>
        <w:t>项目详细报价</w:t>
      </w:r>
    </w:p>
    <w:bookmarkEnd w:id="44"/>
    <w:p>
      <w:pPr>
        <w:tabs>
          <w:tab w:val="left" w:pos="720"/>
        </w:tabs>
        <w:ind w:firstLine="3132" w:firstLineChars="1300"/>
        <w:rPr>
          <w:b/>
          <w:sz w:val="24"/>
        </w:rPr>
      </w:pPr>
      <w:r>
        <w:rPr>
          <w:rFonts w:hint="eastAsia"/>
          <w:b/>
          <w:sz w:val="24"/>
        </w:rPr>
        <w:t>（一）分项报价表</w:t>
      </w:r>
    </w:p>
    <w:tbl>
      <w:tblPr>
        <w:tblStyle w:val="23"/>
        <w:tblW w:w="8794" w:type="dxa"/>
        <w:jc w:val="center"/>
        <w:tblLayout w:type="fixed"/>
        <w:tblCellMar>
          <w:top w:w="0" w:type="dxa"/>
          <w:left w:w="108" w:type="dxa"/>
          <w:bottom w:w="0" w:type="dxa"/>
          <w:right w:w="108" w:type="dxa"/>
        </w:tblCellMar>
      </w:tblPr>
      <w:tblGrid>
        <w:gridCol w:w="618"/>
        <w:gridCol w:w="1016"/>
        <w:gridCol w:w="3152"/>
        <w:gridCol w:w="1559"/>
        <w:gridCol w:w="2449"/>
      </w:tblGrid>
      <w:tr>
        <w:tblPrEx>
          <w:tblCellMar>
            <w:top w:w="0" w:type="dxa"/>
            <w:left w:w="108" w:type="dxa"/>
            <w:bottom w:w="0" w:type="dxa"/>
            <w:right w:w="108" w:type="dxa"/>
          </w:tblCellMar>
        </w:tblPrEx>
        <w:trPr>
          <w:trHeight w:val="285" w:hRule="atLeast"/>
          <w:jc w:val="center"/>
        </w:trPr>
        <w:tc>
          <w:tcPr>
            <w:tcW w:w="618" w:type="dxa"/>
            <w:tcBorders>
              <w:top w:val="single" w:color="auto" w:sz="8" w:space="0"/>
              <w:left w:val="single" w:color="auto" w:sz="8" w:space="0"/>
              <w:bottom w:val="single" w:color="auto" w:sz="4" w:space="0"/>
              <w:right w:val="single" w:color="auto" w:sz="4" w:space="0"/>
            </w:tcBorders>
            <w:shd w:val="clear" w:color="000000" w:fill="E7E6E6"/>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449" w:type="dxa"/>
            <w:tcBorders>
              <w:top w:val="single" w:color="auto" w:sz="8" w:space="0"/>
              <w:left w:val="nil"/>
              <w:bottom w:val="single" w:color="auto" w:sz="4" w:space="0"/>
              <w:right w:val="single" w:color="auto" w:sz="8" w:space="0"/>
            </w:tcBorders>
            <w:shd w:val="clear" w:color="000000" w:fill="E7E6E6"/>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宋体" w:hAnsi="宋体" w:cs="宋体"/>
                <w:kern w:val="0"/>
                <w:sz w:val="20"/>
                <w:szCs w:val="20"/>
              </w:rPr>
            </w:pPr>
          </w:p>
        </w:tc>
        <w:tc>
          <w:tcPr>
            <w:tcW w:w="1559"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single" w:color="auto" w:sz="4" w:space="0"/>
              <w:left w:val="nil"/>
              <w:bottom w:val="single" w:color="auto" w:sz="4" w:space="0"/>
              <w:right w:val="single" w:color="auto" w:sz="8" w:space="0"/>
            </w:tcBorders>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00" w:hRule="atLeast"/>
          <w:jc w:val="center"/>
        </w:trPr>
        <w:tc>
          <w:tcPr>
            <w:tcW w:w="618" w:type="dxa"/>
            <w:vMerge w:val="restart"/>
            <w:tcBorders>
              <w:top w:val="nil"/>
              <w:left w:val="single" w:color="auto" w:sz="8"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2449" w:type="dxa"/>
            <w:vMerge w:val="restart"/>
            <w:tcBorders>
              <w:top w:val="nil"/>
              <w:left w:val="nil"/>
              <w:right w:val="single" w:color="auto" w:sz="8" w:space="0"/>
            </w:tcBorders>
            <w:noWrap w:val="0"/>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分项报价应列明</w:t>
            </w:r>
            <w:r>
              <w:rPr>
                <w:rFonts w:hint="eastAsia" w:ascii="宋体" w:hAnsi="宋体" w:cs="宋体"/>
                <w:b/>
                <w:bCs/>
                <w:kern w:val="0"/>
                <w:sz w:val="20"/>
                <w:szCs w:val="20"/>
                <w:lang w:val="en-US" w:eastAsia="zh-CN"/>
              </w:rPr>
              <w:t>教职工餐厅人员</w:t>
            </w:r>
            <w:r>
              <w:rPr>
                <w:rFonts w:hint="eastAsia" w:ascii="宋体" w:hAnsi="宋体" w:cs="宋体"/>
                <w:kern w:val="0"/>
                <w:sz w:val="20"/>
                <w:szCs w:val="20"/>
                <w:lang w:val="en-US" w:eastAsia="zh-CN"/>
              </w:rPr>
              <w:t>各岗位人员工资</w:t>
            </w: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right w:val="single" w:color="auto" w:sz="4" w:space="0"/>
            </w:tcBorders>
            <w:noWrap w:val="0"/>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2449" w:type="dxa"/>
            <w:vMerge w:val="continue"/>
            <w:tcBorders>
              <w:left w:val="nil"/>
              <w:right w:val="single" w:color="auto" w:sz="8" w:space="0"/>
            </w:tcBorders>
            <w:noWrap w:val="0"/>
            <w:vAlign w:val="center"/>
          </w:tcPr>
          <w:p>
            <w:pPr>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right w:val="single" w:color="auto" w:sz="4" w:space="0"/>
            </w:tcBorders>
            <w:noWrap w:val="0"/>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2449" w:type="dxa"/>
            <w:vMerge w:val="continue"/>
            <w:tcBorders>
              <w:left w:val="nil"/>
              <w:right w:val="single" w:color="auto" w:sz="8" w:space="0"/>
            </w:tcBorders>
            <w:noWrap w:val="0"/>
            <w:vAlign w:val="center"/>
          </w:tcPr>
          <w:p>
            <w:pPr>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right w:val="single" w:color="auto" w:sz="4" w:space="0"/>
            </w:tcBorders>
            <w:noWrap w:val="0"/>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2449" w:type="dxa"/>
            <w:vMerge w:val="continue"/>
            <w:tcBorders>
              <w:left w:val="nil"/>
              <w:right w:val="single" w:color="auto" w:sz="8" w:space="0"/>
            </w:tcBorders>
            <w:noWrap w:val="0"/>
            <w:vAlign w:val="center"/>
          </w:tcPr>
          <w:p>
            <w:pPr>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right w:val="single" w:color="auto" w:sz="4" w:space="0"/>
            </w:tcBorders>
            <w:noWrap w:val="0"/>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2449" w:type="dxa"/>
            <w:vMerge w:val="continue"/>
            <w:tcBorders>
              <w:left w:val="nil"/>
              <w:right w:val="single" w:color="auto" w:sz="8" w:space="0"/>
            </w:tcBorders>
            <w:noWrap w:val="0"/>
            <w:vAlign w:val="center"/>
          </w:tcPr>
          <w:p>
            <w:pPr>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right w:val="single" w:color="auto" w:sz="4" w:space="0"/>
            </w:tcBorders>
            <w:noWrap w:val="0"/>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2449" w:type="dxa"/>
            <w:vMerge w:val="continue"/>
            <w:tcBorders>
              <w:left w:val="nil"/>
              <w:bottom w:val="single" w:color="auto" w:sz="4" w:space="0"/>
              <w:right w:val="single" w:color="auto" w:sz="8" w:space="0"/>
            </w:tcBorders>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restart"/>
            <w:tcBorders>
              <w:top w:val="nil"/>
              <w:left w:val="single" w:color="auto" w:sz="8"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right w:val="single" w:color="auto" w:sz="4" w:space="0"/>
            </w:tcBorders>
            <w:shd w:val="clear" w:color="000000" w:fill="FFFFFF"/>
            <w:noWrap w:val="0"/>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vMerge w:val="continue"/>
            <w:tcBorders>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285" w:hRule="atLeast"/>
          <w:jc w:val="center"/>
        </w:trPr>
        <w:tc>
          <w:tcPr>
            <w:tcW w:w="618" w:type="dxa"/>
            <w:tcBorders>
              <w:top w:val="nil"/>
              <w:left w:val="single" w:color="auto" w:sz="8" w:space="0"/>
              <w:bottom w:val="single" w:color="auto" w:sz="4" w:space="0"/>
              <w:right w:val="single" w:color="auto" w:sz="4" w:space="0"/>
            </w:tcBorders>
            <w:shd w:val="clear" w:color="000000" w:fill="FFFFFF"/>
            <w:noWrap w:val="0"/>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w:t>
            </w:r>
            <w:r>
              <w:rPr>
                <w:rFonts w:hint="eastAsia" w:ascii="宋体" w:hAnsi="宋体" w:eastAsia="宋体" w:cs="宋体"/>
                <w:b/>
                <w:bCs/>
                <w:kern w:val="0"/>
                <w:sz w:val="20"/>
                <w:szCs w:val="20"/>
                <w:lang w:eastAsia="zh-CN"/>
              </w:rPr>
              <w:t>（</w:t>
            </w:r>
            <w:r>
              <w:rPr>
                <w:rFonts w:hint="eastAsia" w:ascii="宋体" w:hAnsi="宋体" w:cs="宋体"/>
                <w:b/>
                <w:bCs/>
                <w:kern w:val="0"/>
                <w:sz w:val="20"/>
                <w:szCs w:val="20"/>
              </w:rPr>
              <w:t>元</w:t>
            </w:r>
            <w:r>
              <w:rPr>
                <w:rFonts w:hint="eastAsia" w:ascii="宋体" w:hAnsi="宋体" w:eastAsia="宋体" w:cs="宋体"/>
                <w:b/>
                <w:bCs/>
                <w:kern w:val="0"/>
                <w:sz w:val="20"/>
                <w:szCs w:val="20"/>
                <w:lang w:eastAsia="zh-CN"/>
              </w:rPr>
              <w:t>）</w:t>
            </w:r>
          </w:p>
        </w:tc>
        <w:tc>
          <w:tcPr>
            <w:tcW w:w="1559" w:type="dxa"/>
            <w:tcBorders>
              <w:top w:val="nil"/>
              <w:left w:val="nil"/>
              <w:bottom w:val="single" w:color="auto" w:sz="4" w:space="0"/>
              <w:right w:val="single" w:color="auto" w:sz="4" w:space="0"/>
            </w:tcBorders>
            <w:shd w:val="clear" w:color="000000" w:fill="FFFFFF"/>
            <w:noWrap w:val="0"/>
            <w:vAlign w:val="center"/>
          </w:tcPr>
          <w:p>
            <w:pPr>
              <w:widowControl/>
              <w:jc w:val="right"/>
              <w:rPr>
                <w:rFonts w:ascii="宋体" w:hAnsi="宋体" w:cs="宋体"/>
                <w:b/>
                <w:bCs/>
                <w:kern w:val="0"/>
                <w:sz w:val="20"/>
                <w:szCs w:val="20"/>
              </w:rPr>
            </w:pPr>
          </w:p>
        </w:tc>
        <w:tc>
          <w:tcPr>
            <w:tcW w:w="2449" w:type="dxa"/>
            <w:tcBorders>
              <w:top w:val="nil"/>
              <w:left w:val="nil"/>
              <w:bottom w:val="single" w:color="auto" w:sz="4" w:space="0"/>
              <w:right w:val="single" w:color="auto" w:sz="8" w:space="0"/>
            </w:tcBorders>
            <w:shd w:val="clear" w:color="000000" w:fill="FFFFFF"/>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以上各项之和</w:t>
            </w:r>
          </w:p>
        </w:tc>
      </w:tr>
    </w:tbl>
    <w:p>
      <w:pPr>
        <w:spacing w:after="60"/>
        <w:rPr>
          <w:rFonts w:hint="eastAsia" w:ascii="宋体" w:hAnsi="宋体" w:eastAsia="宋体" w:cs="宋体"/>
          <w:sz w:val="21"/>
          <w:szCs w:val="21"/>
        </w:rPr>
      </w:pPr>
      <w:r>
        <w:rPr>
          <w:rFonts w:hint="eastAsia" w:ascii="宋体" w:hAnsi="宋体"/>
        </w:rPr>
        <w:t>注：</w:t>
      </w:r>
      <w:r>
        <w:rPr>
          <w:rFonts w:hint="eastAsia" w:ascii="宋体" w:hAnsi="宋体" w:eastAsia="宋体" w:cs="宋体"/>
          <w:sz w:val="21"/>
          <w:szCs w:val="21"/>
        </w:rPr>
        <w:t>1、所有价格应按“招标文件”中规定的货币单位填写；</w:t>
      </w:r>
    </w:p>
    <w:p>
      <w:pPr>
        <w:numPr>
          <w:ilvl w:val="0"/>
          <w:numId w:val="9"/>
        </w:numPr>
        <w:spacing w:after="60"/>
        <w:rPr>
          <w:rFonts w:hint="eastAsia" w:ascii="宋体" w:hAnsi="宋体" w:eastAsia="宋体" w:cs="宋体"/>
          <w:sz w:val="21"/>
          <w:szCs w:val="21"/>
        </w:rPr>
      </w:pPr>
      <w:r>
        <w:rPr>
          <w:rFonts w:hint="eastAsia" w:ascii="宋体" w:hAnsi="宋体" w:eastAsia="宋体" w:cs="宋体"/>
          <w:sz w:val="21"/>
          <w:szCs w:val="21"/>
        </w:rPr>
        <w:t>投标总价应为以上各分项价格之和；</w:t>
      </w:r>
    </w:p>
    <w:p>
      <w:pPr>
        <w:numPr>
          <w:ilvl w:val="0"/>
          <w:numId w:val="0"/>
        </w:numPr>
        <w:spacing w:after="60"/>
        <w:rPr>
          <w:rFonts w:hint="eastAsia" w:ascii="宋体" w:hAnsi="宋体" w:eastAsia="宋体" w:cs="宋体"/>
          <w:b/>
          <w:bCs/>
          <w:sz w:val="21"/>
          <w:szCs w:val="21"/>
        </w:rPr>
      </w:pPr>
      <w:r>
        <w:rPr>
          <w:rFonts w:hint="eastAsia" w:ascii="宋体" w:hAnsi="宋体" w:eastAsia="宋体" w:cs="宋体"/>
          <w:b/>
          <w:sz w:val="21"/>
          <w:szCs w:val="21"/>
        </w:rPr>
        <w:t>3、投标人如果需要对报价或其它内容加以说明，可在备注栏填写</w:t>
      </w:r>
      <w:r>
        <w:rPr>
          <w:rFonts w:hint="eastAsia" w:ascii="宋体" w:hAnsi="宋体" w:eastAsia="宋体" w:cs="宋体"/>
          <w:b/>
          <w:bCs/>
          <w:sz w:val="21"/>
          <w:szCs w:val="21"/>
        </w:rPr>
        <w:t>。</w:t>
      </w:r>
    </w:p>
    <w:p>
      <w:pPr>
        <w:pStyle w:val="22"/>
        <w:rPr>
          <w:rFonts w:hint="eastAsia"/>
          <w:lang w:val="en-US" w:eastAsia="zh-CN"/>
        </w:rPr>
      </w:pPr>
    </w:p>
    <w:p>
      <w:pPr>
        <w:tabs>
          <w:tab w:val="left" w:pos="720"/>
        </w:tabs>
        <w:jc w:val="center"/>
        <w:rPr>
          <w:b/>
          <w:bCs/>
        </w:rPr>
      </w:pPr>
      <w:r>
        <w:rPr>
          <w:rFonts w:hint="eastAsia"/>
          <w:b/>
          <w:sz w:val="24"/>
        </w:rPr>
        <w:t>（二）</w:t>
      </w:r>
      <w:bookmarkStart w:id="46" w:name="_Hlk72073235"/>
      <w:r>
        <w:rPr>
          <w:rFonts w:hint="eastAsia"/>
          <w:b/>
          <w:sz w:val="24"/>
        </w:rPr>
        <w:t>投标人认为需要涉及的其他内容报价清单</w:t>
      </w:r>
      <w:bookmarkEnd w:id="46"/>
    </w:p>
    <w:p>
      <w:pPr>
        <w:tabs>
          <w:tab w:val="left" w:pos="651"/>
        </w:tabs>
        <w:snapToGrid w:val="0"/>
        <w:jc w:val="center"/>
        <w:rPr>
          <w:rFonts w:ascii="黑体" w:eastAsia="黑体"/>
          <w:kern w:val="0"/>
          <w:sz w:val="24"/>
          <w:szCs w:val="24"/>
        </w:rPr>
      </w:pPr>
    </w:p>
    <w:p>
      <w:pPr>
        <w:pStyle w:val="4"/>
        <w:numPr>
          <w:ilvl w:val="0"/>
          <w:numId w:val="6"/>
        </w:numPr>
        <w:ind w:left="0" w:leftChars="0" w:firstLine="0" w:firstLineChars="0"/>
        <w:jc w:val="center"/>
        <w:rPr>
          <w:rFonts w:hint="eastAsia" w:ascii="黑体" w:hAnsi="宋体" w:eastAsia="黑体"/>
          <w:b w:val="0"/>
          <w:sz w:val="24"/>
        </w:rPr>
      </w:pPr>
      <w:bookmarkStart w:id="47" w:name="_Hlk72092634"/>
      <w:bookmarkStart w:id="48" w:name="OLE_LINK10"/>
      <w:r>
        <w:rPr>
          <w:rFonts w:hint="eastAsia" w:ascii="黑体" w:hAnsi="宋体" w:eastAsia="黑体"/>
          <w:b w:val="0"/>
          <w:sz w:val="24"/>
        </w:rPr>
        <w:t>实质性条款响应情况表</w:t>
      </w:r>
      <w:bookmarkEnd w:id="47"/>
      <w:bookmarkEnd w:id="48"/>
    </w:p>
    <w:tbl>
      <w:tblPr>
        <w:tblStyle w:val="23"/>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ascii="宋体" w:hAnsi="宋体" w:eastAsia="宋体" w:cs="Times New Roman"/>
                <w:b/>
                <w:color w:val="FF0000"/>
                <w:kern w:val="0"/>
                <w:szCs w:val="21"/>
              </w:rPr>
            </w:pPr>
          </w:p>
        </w:tc>
      </w:tr>
    </w:tbl>
    <w:p>
      <w:pPr>
        <w:snapToGrid w:val="0"/>
        <w:rPr>
          <w:rFonts w:cs="Times New Roman" w:asciiTheme="minorEastAsia" w:hAnsiTheme="minorEastAsia"/>
          <w:sz w:val="24"/>
          <w:szCs w:val="24"/>
        </w:rPr>
      </w:pPr>
    </w:p>
    <w:p>
      <w:pPr>
        <w:snapToGrid w:val="0"/>
        <w:rPr>
          <w:rFonts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认证情况</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同类项目业绩</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食品保险</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荣誉情况</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经营能力</w:t>
      </w:r>
    </w:p>
    <w:p>
      <w:pPr>
        <w:pStyle w:val="4"/>
        <w:numPr>
          <w:ilvl w:val="0"/>
          <w:numId w:val="6"/>
        </w:numPr>
        <w:ind w:left="0" w:leftChars="0" w:firstLine="0" w:firstLineChars="0"/>
        <w:jc w:val="center"/>
        <w:rPr>
          <w:rFonts w:hint="eastAsia" w:ascii="黑体" w:hAnsi="宋体" w:eastAsia="黑体"/>
          <w:b w:val="0"/>
          <w:sz w:val="24"/>
        </w:rPr>
      </w:pPr>
      <w:r>
        <w:rPr>
          <w:rFonts w:hint="eastAsia" w:ascii="黑体" w:hAnsi="宋体" w:eastAsia="黑体"/>
          <w:b w:val="0"/>
          <w:sz w:val="24"/>
          <w:lang w:val="en-US" w:eastAsia="zh-CN"/>
        </w:rPr>
        <w:t>应急保障能力</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项目服务方案</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质量保障措施</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项目重点难点分析、应对措施及相关的合理化建议</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项目菜品设计方案</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环境卫生管理方案</w:t>
      </w:r>
    </w:p>
    <w:p>
      <w:pPr>
        <w:pStyle w:val="4"/>
        <w:numPr>
          <w:ilvl w:val="0"/>
          <w:numId w:val="6"/>
        </w:numPr>
        <w:ind w:left="0" w:leftChars="0" w:firstLine="0" w:firstLineChars="0"/>
        <w:jc w:val="center"/>
        <w:rPr>
          <w:rFonts w:hint="eastAsia" w:ascii="黑体" w:hAnsi="宋体" w:eastAsia="黑体"/>
          <w:b w:val="0"/>
          <w:sz w:val="24"/>
          <w:lang w:val="en-US" w:eastAsia="zh-CN"/>
        </w:rPr>
      </w:pPr>
      <w:r>
        <w:rPr>
          <w:rFonts w:hint="eastAsia" w:ascii="黑体" w:hAnsi="宋体" w:eastAsia="黑体"/>
          <w:b w:val="0"/>
          <w:sz w:val="24"/>
          <w:lang w:val="en-US" w:eastAsia="zh-CN"/>
        </w:rPr>
        <w:t>拟安排的项目负责人情况（仅限1人）</w:t>
      </w:r>
    </w:p>
    <w:p>
      <w:pPr>
        <w:pStyle w:val="4"/>
        <w:numPr>
          <w:ilvl w:val="0"/>
          <w:numId w:val="6"/>
        </w:numPr>
        <w:ind w:left="0" w:leftChars="0" w:firstLine="0" w:firstLineChars="0"/>
        <w:jc w:val="center"/>
        <w:rPr>
          <w:b w:val="0"/>
          <w:bCs w:val="0"/>
          <w:sz w:val="21"/>
          <w:szCs w:val="21"/>
        </w:rPr>
      </w:pPr>
      <w:r>
        <w:rPr>
          <w:rFonts w:hint="eastAsia" w:ascii="黑体" w:hAnsi="宋体" w:eastAsia="黑体"/>
          <w:b w:val="0"/>
          <w:sz w:val="24"/>
          <w:lang w:val="en-US" w:eastAsia="zh-CN"/>
        </w:rPr>
        <w:t>拟安排的项目团队成员情况（项目负责人除外）</w:t>
      </w:r>
    </w:p>
    <w:p>
      <w:pPr>
        <w:pStyle w:val="4"/>
        <w:numPr>
          <w:ilvl w:val="0"/>
          <w:numId w:val="6"/>
        </w:numPr>
        <w:ind w:left="0" w:leftChars="0" w:firstLine="0" w:firstLineChars="0"/>
        <w:jc w:val="center"/>
        <w:rPr>
          <w:rFonts w:hint="eastAsia" w:ascii="黑体" w:hAnsi="宋体" w:eastAsia="黑体"/>
          <w:b w:val="0"/>
          <w:sz w:val="24"/>
          <w:lang w:eastAsia="zh-CN"/>
        </w:rPr>
      </w:pPr>
      <w:bookmarkStart w:id="49" w:name="_Hlk72062872"/>
      <w:bookmarkStart w:id="50" w:name="OLE_LINK31"/>
      <w:r>
        <w:rPr>
          <w:rFonts w:hint="eastAsia" w:ascii="黑体" w:hAnsi="宋体" w:eastAsia="黑体"/>
          <w:b w:val="0"/>
          <w:sz w:val="24"/>
          <w:lang w:eastAsia="zh-CN"/>
        </w:rPr>
        <w:t>投标人认为需要加以说明的其他内容</w:t>
      </w:r>
      <w:bookmarkEnd w:id="49"/>
    </w:p>
    <w:bookmarkEnd w:id="50"/>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1"/>
                <w:szCs w:val="21"/>
                <w:highlight w:val="none"/>
                <w:lang w:val="en-US" w:eastAsia="zh-CN"/>
              </w:rPr>
              <w:t>同一人、属同一单位或者在同一单位缴纳社会保险</w:t>
            </w:r>
            <w:r>
              <w:rPr>
                <w:rFonts w:hint="eastAsia" w:ascii="仿宋_GB2312" w:hAnsi="仿宋_GB2312" w:eastAsia="仿宋_GB2312" w:cs="仿宋_GB2312"/>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1"/>
                <w:szCs w:val="21"/>
                <w:highlight w:val="none"/>
                <w:lang w:val="en-US" w:eastAsia="zh-CN"/>
              </w:rPr>
              <w:t>同一人或直接控股、管理关系</w:t>
            </w:r>
            <w:r>
              <w:rPr>
                <w:rFonts w:hint="eastAsia" w:ascii="仿宋_GB2312" w:hAnsi="仿宋_GB2312" w:eastAsia="仿宋_GB2312" w:cs="仿宋_GB2312"/>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与其他投标供应商的投标文件或部分投标文件</w:t>
            </w:r>
            <w:r>
              <w:rPr>
                <w:rFonts w:hint="eastAsia" w:ascii="仿宋_GB2312" w:hAnsi="仿宋_GB2312" w:eastAsia="仿宋_GB2312" w:cs="仿宋_GB2312"/>
                <w:b/>
                <w:bCs/>
                <w:color w:val="auto"/>
                <w:sz w:val="21"/>
                <w:szCs w:val="21"/>
                <w:highlight w:val="none"/>
                <w:lang w:val="en-US" w:eastAsia="zh-CN"/>
              </w:rPr>
              <w:t>相互混装或存在非正常一致</w:t>
            </w:r>
            <w:r>
              <w:rPr>
                <w:rFonts w:hint="eastAsia" w:ascii="仿宋_GB2312" w:hAnsi="仿宋_GB2312" w:eastAsia="仿宋_GB2312" w:cs="仿宋_GB2312"/>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与其他投标供应商的投标文件由</w:t>
            </w:r>
            <w:r>
              <w:rPr>
                <w:rFonts w:hint="eastAsia" w:ascii="仿宋_GB2312" w:hAnsi="仿宋_GB2312" w:eastAsia="仿宋_GB2312" w:cs="仿宋_GB2312"/>
                <w:b/>
                <w:bCs/>
                <w:color w:val="auto"/>
                <w:sz w:val="21"/>
                <w:szCs w:val="21"/>
                <w:highlight w:val="none"/>
                <w:lang w:val="en-US" w:eastAsia="zh-CN"/>
              </w:rPr>
              <w:t>同一单位或者同一人编制</w:t>
            </w:r>
            <w:r>
              <w:rPr>
                <w:rFonts w:hint="eastAsia" w:ascii="仿宋_GB2312" w:hAnsi="仿宋_GB2312" w:eastAsia="仿宋_GB2312" w:cs="仿宋_GB2312"/>
                <w:color w:val="auto"/>
                <w:sz w:val="21"/>
                <w:szCs w:val="21"/>
                <w:highlight w:val="none"/>
                <w:lang w:val="en-US" w:eastAsia="zh-CN"/>
              </w:rPr>
              <w:t>，或者使用</w:t>
            </w:r>
            <w:r>
              <w:rPr>
                <w:rFonts w:hint="eastAsia" w:ascii="仿宋_GB2312" w:hAnsi="仿宋_GB2312" w:eastAsia="仿宋_GB2312" w:cs="仿宋_GB2312"/>
                <w:b/>
                <w:bCs/>
                <w:color w:val="auto"/>
                <w:sz w:val="21"/>
                <w:szCs w:val="21"/>
                <w:highlight w:val="none"/>
                <w:lang w:val="en-US" w:eastAsia="zh-CN"/>
              </w:rPr>
              <w:t>同一设备编制</w:t>
            </w:r>
            <w:r>
              <w:rPr>
                <w:rFonts w:hint="eastAsia" w:ascii="仿宋_GB2312" w:hAnsi="仿宋_GB2312" w:eastAsia="仿宋_GB2312" w:cs="仿宋_GB2312"/>
                <w:color w:val="auto"/>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提供</w:t>
            </w:r>
            <w:r>
              <w:rPr>
                <w:rFonts w:hint="eastAsia" w:ascii="仿宋_GB2312" w:hAnsi="仿宋_GB2312" w:eastAsia="仿宋_GB2312" w:cs="仿宋_GB2312"/>
                <w:b/>
                <w:bCs/>
                <w:color w:val="auto"/>
                <w:sz w:val="21"/>
                <w:szCs w:val="21"/>
                <w:highlight w:val="none"/>
                <w:lang w:val="en-US" w:eastAsia="zh-CN"/>
              </w:rPr>
              <w:t>未经出具机构核实</w:t>
            </w:r>
            <w:r>
              <w:rPr>
                <w:rFonts w:hint="eastAsia" w:ascii="仿宋_GB2312" w:hAnsi="仿宋_GB2312" w:eastAsia="仿宋_GB2312" w:cs="仿宋_GB2312"/>
                <w:color w:val="auto"/>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擅自将投标密钥或电子营业执照出借他人使用或未妥善保管。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rPr>
          <w:trHeight w:val="304" w:hRule="atLeast"/>
          <w:jc w:val="center"/>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pPr>
        <w:widowControl/>
        <w:autoSpaceDE w:val="0"/>
        <w:autoSpaceDN w:val="0"/>
        <w:spacing w:line="400" w:lineRule="exact"/>
        <w:ind w:firstLine="422" w:firstLineChars="200"/>
        <w:jc w:val="left"/>
        <w:rPr>
          <w:rFonts w:ascii="宋体" w:hAnsi="宋体"/>
          <w:color w:val="FF0000"/>
          <w:spacing w:val="-4"/>
          <w:kern w:val="0"/>
          <w:szCs w:val="21"/>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rPr>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spacing w:line="360" w:lineRule="auto"/>
        <w:jc w:val="left"/>
        <w:rPr>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eastAsia="zh-CN"/>
        </w:rPr>
        <w:t>三</w:t>
      </w:r>
      <w:r>
        <w:rPr>
          <w:rFonts w:hint="eastAsia" w:ascii="黑体" w:hAnsi="宋体" w:eastAsia="黑体"/>
          <w:kern w:val="0"/>
          <w:sz w:val="24"/>
          <w:szCs w:val="20"/>
        </w:rPr>
        <w:t>）投标人认为需要加以说明的其他内容（格式自定）</w:t>
      </w:r>
    </w:p>
    <w:p>
      <w:pPr>
        <w:spacing w:after="78" w:afterLines="25" w:line="300" w:lineRule="auto"/>
        <w:rPr>
          <w:rFonts w:ascii="Arial" w:hAnsi="Arial" w:eastAsia="宋体" w:cs="Times New Roman"/>
          <w:sz w:val="24"/>
          <w:szCs w:val="24"/>
        </w:rPr>
      </w:pPr>
    </w:p>
    <w:p>
      <w:pPr>
        <w:rPr>
          <w:rFonts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黑体" w:hAnsi="华文中宋" w:eastAsia="黑体" w:cs="Times New Roman"/>
          <w:sz w:val="28"/>
          <w:szCs w:val="28"/>
        </w:rPr>
      </w:pPr>
      <w:r>
        <w:rPr>
          <w:rFonts w:hint="eastAsia" w:ascii="宋体" w:hAnsi="宋体" w:eastAsia="宋体" w:cs="Times New Roman"/>
          <w:b/>
          <w:bCs/>
          <w:kern w:val="0"/>
          <w:sz w:val="28"/>
          <w:szCs w:val="28"/>
        </w:rPr>
        <w:t>第五章  合同条款及格式</w:t>
      </w:r>
    </w:p>
    <w:p>
      <w:pPr>
        <w:bidi w:val="0"/>
        <w:jc w:val="center"/>
      </w:pPr>
      <w:r>
        <w:rPr>
          <w:rFonts w:hint="eastAsia"/>
        </w:rPr>
        <w:t>（仅供参考，具体以项目需求及采购结果为准）</w:t>
      </w:r>
    </w:p>
    <w:p>
      <w:pPr>
        <w:rPr>
          <w:rFonts w:ascii="宋体" w:hAnsi="宋体"/>
          <w:b/>
          <w:bCs/>
          <w:szCs w:val="21"/>
        </w:rPr>
      </w:pPr>
      <w:r>
        <w:rPr>
          <w:rFonts w:hint="eastAsia" w:ascii="宋体" w:hAnsi="宋体"/>
          <w:b/>
          <w:bCs/>
          <w:szCs w:val="21"/>
        </w:rPr>
        <w:t>甲方：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ascii="宋体" w:hAnsi="宋体"/>
          <w:b/>
          <w:bCs/>
          <w:szCs w:val="21"/>
        </w:rPr>
      </w:pPr>
      <w:r>
        <w:rPr>
          <w:rFonts w:hint="eastAsia" w:ascii="宋体" w:hAnsi="宋体"/>
          <w:b/>
          <w:bCs/>
          <w:szCs w:val="21"/>
        </w:rPr>
        <w:t>乙方：</w:t>
      </w:r>
    </w:p>
    <w:p>
      <w:pPr>
        <w:rPr>
          <w:rFonts w:ascii="宋体" w:hAnsi="宋体"/>
          <w:szCs w:val="21"/>
        </w:rPr>
      </w:pPr>
      <w:r>
        <w:rPr>
          <w:rFonts w:hint="eastAsia" w:ascii="宋体" w:hAnsi="宋体"/>
          <w:szCs w:val="21"/>
        </w:rPr>
        <w:t>地址：</w:t>
      </w:r>
    </w:p>
    <w:p>
      <w:pPr>
        <w:rPr>
          <w:rFonts w:ascii="宋体" w:hAnsi="宋体"/>
          <w:szCs w:val="21"/>
        </w:rPr>
      </w:pPr>
      <w:r>
        <w:rPr>
          <w:rFonts w:hint="eastAsia" w:ascii="宋体" w:hAnsi="宋体"/>
          <w:szCs w:val="21"/>
        </w:rPr>
        <w:t>联系人：</w:t>
      </w:r>
      <w:r>
        <w:rPr>
          <w:rFonts w:ascii="宋体" w:hAnsi="宋体"/>
          <w:szCs w:val="21"/>
        </w:rPr>
        <w:t xml:space="preserve">                          </w:t>
      </w:r>
    </w:p>
    <w:p>
      <w:pPr>
        <w:rPr>
          <w:rFonts w:ascii="宋体" w:hAnsi="宋体"/>
          <w:b/>
          <w:bCs/>
          <w:szCs w:val="21"/>
        </w:rPr>
      </w:pPr>
      <w:r>
        <w:rPr>
          <w:rFonts w:hint="eastAsia" w:ascii="宋体" w:hAnsi="宋体"/>
          <w:szCs w:val="21"/>
        </w:rPr>
        <w:t>联系电话：</w:t>
      </w:r>
    </w:p>
    <w:p>
      <w:pPr>
        <w:rPr>
          <w:rFonts w:ascii="宋体" w:hAnsi="宋体"/>
          <w:szCs w:val="21"/>
        </w:rPr>
      </w:pPr>
      <w:r>
        <w:rPr>
          <w:rFonts w:ascii="宋体" w:hAnsi="宋体"/>
          <w:b/>
          <w:bCs/>
          <w:szCs w:val="21"/>
        </w:rPr>
        <w:t xml:space="preserve">            </w:t>
      </w:r>
      <w:r>
        <w:rPr>
          <w:rFonts w:hint="eastAsia" w:ascii="宋体" w:hAnsi="宋体"/>
          <w:b/>
          <w:bCs/>
          <w:szCs w:val="21"/>
        </w:rPr>
        <w:t xml:space="preserve">          </w:t>
      </w:r>
    </w:p>
    <w:p>
      <w:pPr>
        <w:rPr>
          <w:rFonts w:ascii="宋体" w:hAnsi="宋体"/>
          <w:szCs w:val="21"/>
        </w:rPr>
      </w:pPr>
    </w:p>
    <w:p>
      <w:pPr>
        <w:ind w:firstLine="420" w:firstLineChars="200"/>
        <w:rPr>
          <w:rFonts w:ascii="宋体" w:hAnsi="宋体"/>
          <w:szCs w:val="21"/>
        </w:rPr>
      </w:pPr>
      <w:r>
        <w:rPr>
          <w:rFonts w:hint="eastAsia" w:ascii="宋体" w:hAnsi="宋体"/>
          <w:szCs w:val="21"/>
        </w:rPr>
        <w:t>根据深圳公共资源交易中心（深圳交易集团有限公司龙华分公司）*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ascii="宋体" w:hAnsi="宋体"/>
          <w:b/>
          <w:bCs/>
          <w:szCs w:val="21"/>
        </w:rPr>
      </w:pPr>
      <w:r>
        <w:rPr>
          <w:rFonts w:hint="eastAsia" w:ascii="宋体" w:hAnsi="宋体"/>
          <w:b/>
          <w:bCs/>
          <w:szCs w:val="21"/>
        </w:rPr>
        <w:t>第一条　项目概况</w:t>
      </w:r>
    </w:p>
    <w:p>
      <w:pPr>
        <w:ind w:firstLine="420" w:firstLineChars="200"/>
        <w:rPr>
          <w:rFonts w:ascii="宋体" w:hAnsi="宋体"/>
          <w:szCs w:val="21"/>
        </w:rPr>
      </w:pPr>
      <w:r>
        <w:rPr>
          <w:rFonts w:hint="eastAsia" w:ascii="宋体" w:hAnsi="宋体"/>
          <w:szCs w:val="21"/>
        </w:rPr>
        <w:t xml:space="preserve">项目名称： </w:t>
      </w:r>
    </w:p>
    <w:p>
      <w:pPr>
        <w:ind w:firstLine="420" w:firstLineChars="200"/>
        <w:rPr>
          <w:rFonts w:ascii="宋体" w:hAnsi="宋体"/>
          <w:szCs w:val="21"/>
        </w:rPr>
      </w:pPr>
      <w:r>
        <w:rPr>
          <w:rFonts w:hint="eastAsia" w:ascii="宋体" w:hAnsi="宋体"/>
          <w:szCs w:val="21"/>
        </w:rPr>
        <w:t xml:space="preserve">项目内容： </w:t>
      </w:r>
    </w:p>
    <w:p>
      <w:pPr>
        <w:ind w:firstLine="420" w:firstLineChars="200"/>
        <w:rPr>
          <w:rFonts w:ascii="宋体" w:hAnsi="宋体"/>
          <w:szCs w:val="21"/>
        </w:rPr>
      </w:pPr>
      <w:r>
        <w:rPr>
          <w:rFonts w:hint="eastAsia" w:ascii="宋体" w:hAnsi="宋体"/>
          <w:szCs w:val="21"/>
        </w:rPr>
        <w:t xml:space="preserve">服务时间： </w:t>
      </w:r>
    </w:p>
    <w:p>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7"/>
        <w:rPr>
          <w:rFonts w:ascii="宋体" w:hAnsi="宋体"/>
          <w:szCs w:val="21"/>
        </w:rPr>
      </w:pPr>
      <w:r>
        <w:rPr>
          <w:rFonts w:hint="eastAsia" w:ascii="宋体" w:hAnsi="宋体"/>
          <w:szCs w:val="21"/>
        </w:rPr>
        <w:t>支付方式：分期支付。</w:t>
      </w:r>
    </w:p>
    <w:p>
      <w:pPr>
        <w:ind w:firstLine="422" w:firstLineChars="200"/>
        <w:rPr>
          <w:rFonts w:ascii="宋体" w:hAnsi="宋体"/>
          <w:b/>
          <w:bCs/>
          <w:szCs w:val="21"/>
        </w:rPr>
      </w:pPr>
      <w:r>
        <w:rPr>
          <w:rFonts w:hint="eastAsia" w:ascii="宋体" w:hAnsi="宋体"/>
          <w:b/>
          <w:bCs/>
          <w:szCs w:val="21"/>
        </w:rPr>
        <w:t>第二条  服务范围</w:t>
      </w:r>
    </w:p>
    <w:p>
      <w:pPr>
        <w:ind w:firstLine="420" w:firstLineChars="200"/>
        <w:rPr>
          <w:rFonts w:ascii="宋体" w:hAnsi="宋体"/>
          <w:szCs w:val="21"/>
        </w:rPr>
      </w:pPr>
      <w:r>
        <w:rPr>
          <w:rFonts w:hint="eastAsia" w:ascii="宋体" w:hAnsi="宋体"/>
          <w:szCs w:val="21"/>
        </w:rPr>
        <w:t xml:space="preserve">1、  </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 xml:space="preserve">3、  </w:t>
      </w:r>
    </w:p>
    <w:p>
      <w:pPr>
        <w:ind w:firstLine="420" w:firstLineChars="200"/>
        <w:rPr>
          <w:rFonts w:ascii="宋体" w:hAnsi="宋体"/>
          <w:szCs w:val="21"/>
        </w:rPr>
      </w:pPr>
      <w:r>
        <w:rPr>
          <w:rFonts w:hint="eastAsia" w:ascii="宋体" w:hAnsi="宋体"/>
          <w:szCs w:val="21"/>
        </w:rPr>
        <w:t>4、 其他合同未明示的相关工作。</w:t>
      </w:r>
    </w:p>
    <w:p>
      <w:pPr>
        <w:ind w:firstLine="422" w:firstLineChars="200"/>
        <w:rPr>
          <w:rFonts w:ascii="宋体" w:hAnsi="宋体"/>
          <w:b/>
          <w:bCs/>
          <w:szCs w:val="21"/>
        </w:rPr>
      </w:pPr>
      <w:r>
        <w:rPr>
          <w:rFonts w:hint="eastAsia" w:ascii="宋体" w:hAnsi="宋体"/>
          <w:b/>
          <w:bCs/>
          <w:szCs w:val="21"/>
        </w:rPr>
        <w:t>第三条  时间要求及阶段成果</w:t>
      </w:r>
    </w:p>
    <w:p>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pPr>
        <w:ind w:firstLine="420" w:firstLineChars="200"/>
        <w:rPr>
          <w:rFonts w:ascii="宋体" w:hAnsi="宋体"/>
          <w:szCs w:val="21"/>
        </w:rPr>
      </w:pPr>
      <w:r>
        <w:rPr>
          <w:rFonts w:hint="eastAsia" w:ascii="宋体" w:hAnsi="宋体"/>
          <w:szCs w:val="21"/>
        </w:rPr>
        <w:t xml:space="preserve">2、 </w:t>
      </w:r>
    </w:p>
    <w:p>
      <w:pPr>
        <w:ind w:firstLine="420" w:firstLineChars="200"/>
        <w:rPr>
          <w:rFonts w:ascii="宋体" w:hAnsi="宋体"/>
          <w:szCs w:val="21"/>
        </w:rPr>
      </w:pPr>
      <w:r>
        <w:rPr>
          <w:rFonts w:hint="eastAsia" w:ascii="宋体" w:hAnsi="宋体"/>
          <w:szCs w:val="21"/>
        </w:rPr>
        <w:t>3、</w:t>
      </w:r>
    </w:p>
    <w:p>
      <w:pPr>
        <w:ind w:firstLine="420" w:firstLineChars="200"/>
        <w:rPr>
          <w:rFonts w:ascii="宋体" w:hAnsi="宋体"/>
          <w:szCs w:val="21"/>
        </w:rPr>
      </w:pPr>
      <w:r>
        <w:rPr>
          <w:rFonts w:hint="eastAsia" w:ascii="宋体" w:hAnsi="宋体"/>
          <w:szCs w:val="21"/>
        </w:rPr>
        <w:t>4、</w:t>
      </w:r>
    </w:p>
    <w:p>
      <w:pPr>
        <w:ind w:firstLine="422" w:firstLineChars="200"/>
        <w:rPr>
          <w:rFonts w:ascii="宋体" w:hAnsi="宋体"/>
          <w:b/>
          <w:bCs/>
          <w:szCs w:val="21"/>
        </w:rPr>
      </w:pPr>
      <w:r>
        <w:rPr>
          <w:rFonts w:hint="eastAsia" w:ascii="宋体" w:hAnsi="宋体"/>
          <w:b/>
          <w:bCs/>
          <w:szCs w:val="21"/>
        </w:rPr>
        <w:t>第四条  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ascii="宋体" w:hAnsi="宋体"/>
          <w:b/>
          <w:bCs/>
          <w:szCs w:val="21"/>
        </w:rPr>
      </w:pPr>
      <w:r>
        <w:rPr>
          <w:rFonts w:hint="eastAsia" w:ascii="宋体" w:hAnsi="宋体"/>
          <w:b/>
          <w:bCs/>
          <w:szCs w:val="21"/>
        </w:rPr>
        <w:t>第五条  甲方的义务</w:t>
      </w:r>
    </w:p>
    <w:p>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ascii="宋体" w:hAnsi="宋体"/>
          <w:szCs w:val="21"/>
        </w:rPr>
      </w:pPr>
      <w:r>
        <w:rPr>
          <w:rFonts w:hint="eastAsia" w:ascii="宋体" w:hAnsi="宋体"/>
          <w:szCs w:val="21"/>
        </w:rPr>
        <w:t>2、向乙方提供与本项目服务工作有关的资料。</w:t>
      </w:r>
    </w:p>
    <w:p>
      <w:pPr>
        <w:ind w:firstLine="420" w:firstLineChars="200"/>
        <w:rPr>
          <w:rFonts w:ascii="宋体" w:hAnsi="宋体"/>
          <w:szCs w:val="21"/>
        </w:rPr>
      </w:pPr>
      <w:r>
        <w:rPr>
          <w:rFonts w:hint="eastAsia" w:ascii="宋体" w:hAnsi="宋体"/>
          <w:szCs w:val="21"/>
        </w:rPr>
        <w:t>3、负责组织有关专家对项目试验成果评估报告的评审。</w:t>
      </w:r>
    </w:p>
    <w:p>
      <w:pPr>
        <w:ind w:firstLine="422" w:firstLineChars="200"/>
        <w:rPr>
          <w:rFonts w:ascii="宋体" w:hAnsi="宋体"/>
          <w:b/>
          <w:bCs/>
          <w:szCs w:val="21"/>
        </w:rPr>
      </w:pPr>
      <w:r>
        <w:rPr>
          <w:rFonts w:hint="eastAsia" w:ascii="宋体" w:hAnsi="宋体"/>
          <w:b/>
          <w:bCs/>
          <w:szCs w:val="21"/>
        </w:rPr>
        <w:t>第六条　乙方的义务</w:t>
      </w:r>
    </w:p>
    <w:p>
      <w:pPr>
        <w:ind w:firstLine="420" w:firstLineChars="200"/>
        <w:rPr>
          <w:rFonts w:ascii="宋体" w:hAnsi="宋体"/>
          <w:szCs w:val="21"/>
        </w:rPr>
      </w:pPr>
      <w:r>
        <w:rPr>
          <w:rFonts w:hint="eastAsia" w:ascii="宋体" w:hAnsi="宋体"/>
          <w:szCs w:val="21"/>
          <w:lang w:eastAsia="zh-CN"/>
        </w:rPr>
        <w:t>1</w:t>
      </w:r>
      <w:r>
        <w:rPr>
          <w:rFonts w:hint="eastAsia" w:ascii="宋体" w:hAnsi="宋体"/>
          <w:szCs w:val="21"/>
        </w:rPr>
        <w:t>、应按照招标文件、投标文件要求按期完成本项目服务工作。</w:t>
      </w:r>
    </w:p>
    <w:p>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ascii="宋体" w:hAnsi="宋体"/>
          <w:b/>
          <w:bCs/>
          <w:szCs w:val="21"/>
        </w:rPr>
      </w:pPr>
      <w:r>
        <w:rPr>
          <w:rFonts w:hint="eastAsia" w:ascii="宋体" w:hAnsi="宋体"/>
          <w:b/>
          <w:bCs/>
          <w:szCs w:val="21"/>
        </w:rPr>
        <w:t>第七条  甲方的权利</w:t>
      </w:r>
    </w:p>
    <w:p>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rPr>
      </w:pPr>
      <w:r>
        <w:rPr>
          <w:rFonts w:hint="eastAsia" w:ascii="宋体" w:hAnsi="宋体"/>
          <w:b/>
          <w:bCs/>
          <w:szCs w:val="21"/>
        </w:rPr>
        <w:t>第八条  乙方的权利</w:t>
      </w:r>
    </w:p>
    <w:p>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pPr>
        <w:ind w:firstLine="422" w:firstLineChars="200"/>
        <w:rPr>
          <w:rFonts w:ascii="宋体" w:hAnsi="宋体"/>
          <w:b/>
          <w:bCs/>
          <w:szCs w:val="21"/>
        </w:rPr>
      </w:pPr>
      <w:r>
        <w:rPr>
          <w:rFonts w:hint="eastAsia" w:ascii="宋体" w:hAnsi="宋体"/>
          <w:b/>
          <w:bCs/>
          <w:szCs w:val="21"/>
        </w:rPr>
        <w:t>第九条  甲方的责任</w:t>
      </w:r>
    </w:p>
    <w:p>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ascii="宋体" w:hAnsi="宋体"/>
          <w:b/>
          <w:bCs/>
          <w:szCs w:val="21"/>
        </w:rPr>
      </w:pPr>
      <w:r>
        <w:rPr>
          <w:rFonts w:hint="eastAsia" w:ascii="宋体" w:hAnsi="宋体"/>
          <w:b/>
          <w:bCs/>
          <w:szCs w:val="21"/>
        </w:rPr>
        <w:t>第十条  乙方的责任</w:t>
      </w:r>
    </w:p>
    <w:p>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ascii="宋体" w:hAnsi="宋体"/>
          <w:b/>
          <w:bCs/>
          <w:szCs w:val="21"/>
        </w:rPr>
      </w:pPr>
      <w:r>
        <w:rPr>
          <w:rFonts w:hint="eastAsia" w:ascii="宋体" w:hAnsi="宋体"/>
          <w:b/>
          <w:bCs/>
          <w:szCs w:val="21"/>
        </w:rPr>
        <w:t>第十一条  人员要求</w:t>
      </w:r>
    </w:p>
    <w:p>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20" w:firstLineChars="200"/>
        <w:rPr>
          <w:rFonts w:ascii="宋体" w:hAnsi="宋体"/>
          <w:szCs w:val="21"/>
        </w:rPr>
      </w:pPr>
      <w:r>
        <w:rPr>
          <w:rFonts w:hint="eastAsia" w:ascii="宋体" w:hAnsi="宋体"/>
          <w:szCs w:val="21"/>
        </w:rPr>
        <w:t>3、必须以直属试验人员参与本项目服务，不得使用挂靠队伍。</w:t>
      </w:r>
    </w:p>
    <w:p>
      <w:pPr>
        <w:ind w:firstLine="422" w:firstLineChars="200"/>
        <w:rPr>
          <w:rFonts w:ascii="宋体" w:hAnsi="宋体"/>
          <w:b/>
          <w:bCs/>
          <w:szCs w:val="21"/>
        </w:rPr>
      </w:pPr>
      <w:r>
        <w:rPr>
          <w:rFonts w:hint="eastAsia" w:ascii="宋体" w:hAnsi="宋体"/>
          <w:b/>
          <w:bCs/>
          <w:szCs w:val="21"/>
        </w:rPr>
        <w:t>第十二条  乙方服务工具要求</w:t>
      </w:r>
    </w:p>
    <w:p>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ascii="宋体" w:hAnsi="宋体"/>
          <w:szCs w:val="21"/>
        </w:rPr>
      </w:pPr>
      <w:r>
        <w:rPr>
          <w:rFonts w:hint="eastAsia" w:ascii="宋体" w:hAnsi="宋体"/>
          <w:szCs w:val="21"/>
        </w:rPr>
        <w:t>2、乙方在提供服务过程中应自备车辆。</w:t>
      </w:r>
    </w:p>
    <w:p>
      <w:pPr>
        <w:ind w:firstLine="422" w:firstLineChars="200"/>
        <w:rPr>
          <w:rFonts w:ascii="宋体" w:hAnsi="宋体"/>
          <w:b/>
          <w:bCs/>
          <w:szCs w:val="21"/>
        </w:rPr>
      </w:pPr>
      <w:r>
        <w:rPr>
          <w:rFonts w:hint="eastAsia" w:ascii="宋体" w:hAnsi="宋体"/>
          <w:b/>
          <w:bCs/>
          <w:szCs w:val="21"/>
        </w:rPr>
        <w:t>第十三条  保密要求</w:t>
      </w:r>
    </w:p>
    <w:p>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ascii="宋体" w:hAnsi="宋体"/>
          <w:b/>
          <w:bCs/>
          <w:szCs w:val="21"/>
        </w:rPr>
      </w:pPr>
      <w:r>
        <w:rPr>
          <w:rFonts w:hint="eastAsia" w:ascii="宋体" w:hAnsi="宋体"/>
          <w:b/>
          <w:bCs/>
          <w:szCs w:val="21"/>
        </w:rPr>
        <w:t xml:space="preserve">第十四条  验收     </w:t>
      </w:r>
    </w:p>
    <w:p>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ascii="宋体" w:hAnsi="宋体"/>
          <w:szCs w:val="21"/>
        </w:rPr>
      </w:pPr>
      <w:r>
        <w:rPr>
          <w:rFonts w:hint="eastAsia" w:ascii="宋体" w:hAnsi="宋体"/>
          <w:szCs w:val="21"/>
        </w:rPr>
        <w:t>3、验收依据为招标文件、投标文件，国家和行业有关规范、规程和标准。</w:t>
      </w:r>
    </w:p>
    <w:p>
      <w:pPr>
        <w:ind w:firstLine="422" w:firstLineChars="200"/>
        <w:rPr>
          <w:rFonts w:ascii="宋体" w:hAnsi="宋体"/>
          <w:b/>
          <w:bCs/>
          <w:szCs w:val="21"/>
        </w:rPr>
      </w:pPr>
      <w:r>
        <w:rPr>
          <w:rFonts w:hint="eastAsia" w:ascii="宋体" w:hAnsi="宋体"/>
          <w:b/>
          <w:bCs/>
          <w:szCs w:val="21"/>
        </w:rPr>
        <w:t>第十五条  付款方式</w:t>
      </w:r>
    </w:p>
    <w:p>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pPr>
        <w:ind w:firstLine="420" w:firstLineChars="200"/>
        <w:rPr>
          <w:rFonts w:ascii="宋体" w:hAnsi="宋体"/>
          <w:szCs w:val="21"/>
        </w:rPr>
      </w:pPr>
      <w:r>
        <w:rPr>
          <w:rFonts w:hint="eastAsia" w:ascii="宋体" w:hAnsi="宋体"/>
          <w:szCs w:val="21"/>
        </w:rPr>
        <w:t>3、报告通过专家评审后，甲方向乙方支付合同总价%的款项。</w:t>
      </w:r>
    </w:p>
    <w:p>
      <w:pPr>
        <w:ind w:firstLine="422" w:firstLineChars="200"/>
        <w:rPr>
          <w:rFonts w:ascii="宋体" w:hAnsi="宋体"/>
          <w:b/>
          <w:bCs/>
          <w:szCs w:val="21"/>
        </w:rPr>
      </w:pPr>
      <w:r>
        <w:rPr>
          <w:rFonts w:hint="eastAsia" w:ascii="宋体" w:hAnsi="宋体"/>
          <w:b/>
          <w:bCs/>
          <w:szCs w:val="21"/>
        </w:rPr>
        <w:t>第十六条  争议解决办法</w:t>
      </w:r>
    </w:p>
    <w:p>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2" w:firstLineChars="200"/>
        <w:rPr>
          <w:rFonts w:ascii="宋体" w:hAnsi="宋体"/>
          <w:b/>
          <w:bCs/>
          <w:szCs w:val="21"/>
        </w:rPr>
      </w:pPr>
      <w:r>
        <w:rPr>
          <w:rFonts w:hint="eastAsia" w:ascii="宋体" w:hAnsi="宋体"/>
          <w:b/>
          <w:bCs/>
          <w:szCs w:val="21"/>
        </w:rPr>
        <w:t>第十七条  风险责任</w:t>
      </w:r>
    </w:p>
    <w:p>
      <w:pPr>
        <w:ind w:firstLine="420" w:firstLineChars="200"/>
        <w:rPr>
          <w:rFonts w:ascii="宋体" w:hAnsi="宋体"/>
          <w:szCs w:val="21"/>
        </w:rPr>
      </w:pPr>
      <w:r>
        <w:rPr>
          <w:rFonts w:hint="eastAsia" w:ascii="宋体" w:hAnsi="宋体"/>
          <w:szCs w:val="21"/>
          <w:lang w:eastAsia="zh-CN"/>
        </w:rPr>
        <w:t>1</w:t>
      </w:r>
      <w:r>
        <w:rPr>
          <w:rFonts w:hint="eastAsia" w:ascii="宋体" w:hAnsi="宋体"/>
          <w:szCs w:val="21"/>
        </w:rPr>
        <w:t>、乙方应完全地按照招标文件的要求和乙方投标文件的承诺完成本项目，出于自身财务、技术、人力等原因导致项目失败的，应承担全部责任。</w:t>
      </w:r>
    </w:p>
    <w:p>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pPr>
        <w:ind w:firstLine="422" w:firstLineChars="200"/>
        <w:rPr>
          <w:rFonts w:ascii="宋体" w:hAnsi="宋体"/>
          <w:b/>
          <w:bCs/>
          <w:szCs w:val="21"/>
        </w:rPr>
      </w:pPr>
      <w:r>
        <w:rPr>
          <w:rFonts w:hint="eastAsia" w:ascii="宋体" w:hAnsi="宋体"/>
          <w:b/>
          <w:bCs/>
          <w:szCs w:val="21"/>
        </w:rPr>
        <w:t>第十八条  违约责任</w:t>
      </w:r>
    </w:p>
    <w:p>
      <w:pPr>
        <w:pStyle w:val="12"/>
        <w:spacing w:line="240" w:lineRule="auto"/>
        <w:rPr>
          <w:rFonts w:ascii="宋体" w:hAnsi="宋体"/>
          <w:szCs w:val="21"/>
        </w:rPr>
      </w:pPr>
      <w:r>
        <w:rPr>
          <w:rFonts w:hint="eastAsia" w:ascii="宋体" w:hAnsi="宋体"/>
          <w:szCs w:val="21"/>
          <w:lang w:eastAsia="zh-CN"/>
        </w:rPr>
        <w:t>1</w:t>
      </w:r>
      <w:r>
        <w:rPr>
          <w:rFonts w:hint="eastAsia" w:ascii="宋体" w:hAnsi="宋体"/>
          <w:szCs w:val="21"/>
        </w:rPr>
        <w:t>、因乙方原因，未能按规定时间完成有关工作的，每延误一天，甲方可在支付合同余款中扣除合同价款千分之一。</w:t>
      </w:r>
    </w:p>
    <w:p>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rPr>
      </w:pPr>
      <w:r>
        <w:rPr>
          <w:rFonts w:hint="eastAsia" w:ascii="宋体" w:hAnsi="宋体"/>
          <w:b/>
          <w:bCs/>
          <w:szCs w:val="21"/>
        </w:rPr>
        <w:t>第十九条  其他</w:t>
      </w:r>
    </w:p>
    <w:p>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pPr>
        <w:ind w:firstLine="420" w:firstLineChars="200"/>
        <w:rPr>
          <w:rFonts w:ascii="宋体" w:hAnsi="宋体"/>
          <w:szCs w:val="21"/>
        </w:rPr>
      </w:pPr>
      <w:r>
        <w:rPr>
          <w:rFonts w:hint="eastAsia" w:ascii="宋体" w:hAnsi="宋体"/>
          <w:szCs w:val="21"/>
        </w:rPr>
        <w:t>（1）政府采购合同协议书及其变更、补充协议</w:t>
      </w:r>
    </w:p>
    <w:p>
      <w:pPr>
        <w:ind w:firstLine="420" w:firstLineChars="200"/>
        <w:rPr>
          <w:rFonts w:ascii="宋体" w:hAnsi="宋体"/>
          <w:szCs w:val="21"/>
        </w:rPr>
      </w:pPr>
      <w:r>
        <w:rPr>
          <w:rFonts w:hint="eastAsia" w:ascii="宋体" w:hAnsi="宋体"/>
          <w:szCs w:val="21"/>
        </w:rPr>
        <w:t>（2）政府采购合同专用条款</w:t>
      </w:r>
    </w:p>
    <w:p>
      <w:pPr>
        <w:ind w:firstLine="420" w:firstLineChars="200"/>
        <w:rPr>
          <w:rFonts w:ascii="宋体" w:hAnsi="宋体"/>
          <w:szCs w:val="21"/>
        </w:rPr>
      </w:pPr>
      <w:r>
        <w:rPr>
          <w:rFonts w:hint="eastAsia" w:ascii="宋体" w:hAnsi="宋体"/>
          <w:szCs w:val="21"/>
        </w:rPr>
        <w:t>（3）政府采购合同通用条款</w:t>
      </w:r>
    </w:p>
    <w:p>
      <w:pPr>
        <w:ind w:firstLine="420" w:firstLineChars="200"/>
        <w:rPr>
          <w:rFonts w:ascii="宋体" w:hAnsi="宋体"/>
          <w:szCs w:val="21"/>
        </w:rPr>
      </w:pPr>
      <w:r>
        <w:rPr>
          <w:rFonts w:hint="eastAsia" w:ascii="宋体" w:hAnsi="宋体"/>
          <w:szCs w:val="21"/>
        </w:rPr>
        <w:t>（4）中标（成交）通知书</w:t>
      </w:r>
    </w:p>
    <w:p>
      <w:pPr>
        <w:ind w:firstLine="420" w:firstLineChars="200"/>
        <w:rPr>
          <w:rFonts w:ascii="宋体" w:hAnsi="宋体"/>
          <w:szCs w:val="21"/>
        </w:rPr>
      </w:pPr>
      <w:r>
        <w:rPr>
          <w:rFonts w:hint="eastAsia" w:ascii="宋体" w:hAnsi="宋体"/>
          <w:szCs w:val="21"/>
        </w:rPr>
        <w:t>（5）投标（响应）文件</w:t>
      </w:r>
    </w:p>
    <w:p>
      <w:pPr>
        <w:ind w:firstLine="420" w:firstLineChars="200"/>
        <w:rPr>
          <w:rFonts w:ascii="宋体" w:hAnsi="宋体"/>
          <w:szCs w:val="21"/>
        </w:rPr>
      </w:pPr>
      <w:r>
        <w:rPr>
          <w:rFonts w:hint="eastAsia" w:ascii="宋体" w:hAnsi="宋体"/>
          <w:szCs w:val="21"/>
        </w:rPr>
        <w:t>（6）采购文件</w:t>
      </w:r>
    </w:p>
    <w:p>
      <w:pPr>
        <w:ind w:firstLine="420" w:firstLineChars="200"/>
        <w:rPr>
          <w:rFonts w:ascii="宋体" w:hAnsi="宋体"/>
          <w:szCs w:val="21"/>
        </w:rPr>
      </w:pPr>
      <w:r>
        <w:rPr>
          <w:rFonts w:hint="eastAsia" w:ascii="宋体" w:hAnsi="宋体"/>
          <w:szCs w:val="21"/>
        </w:rPr>
        <w:t>（7）有关技术文件，图纸</w:t>
      </w:r>
    </w:p>
    <w:p>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pPr>
        <w:ind w:firstLine="420" w:firstLineChars="200"/>
        <w:rPr>
          <w:rFonts w:ascii="宋体" w:hAnsi="宋体"/>
          <w:szCs w:val="21"/>
        </w:rPr>
      </w:pPr>
      <w:r>
        <w:rPr>
          <w:rFonts w:hint="eastAsia" w:ascii="宋体" w:hAnsi="宋体"/>
          <w:szCs w:val="21"/>
        </w:rPr>
        <w:t>2、下列文件均为本合同的组成部分：</w:t>
      </w:r>
    </w:p>
    <w:p>
      <w:pPr>
        <w:ind w:firstLine="420" w:firstLineChars="200"/>
        <w:rPr>
          <w:rFonts w:ascii="宋体" w:hAnsi="宋体"/>
          <w:szCs w:val="21"/>
        </w:rPr>
      </w:pPr>
      <w:r>
        <w:rPr>
          <w:rFonts w:hint="eastAsia" w:ascii="宋体" w:hAnsi="宋体"/>
          <w:szCs w:val="21"/>
        </w:rPr>
        <w:t>（1）号招标文件、答疑及补充通知；</w:t>
      </w:r>
    </w:p>
    <w:p>
      <w:pPr>
        <w:ind w:firstLine="420" w:firstLineChars="200"/>
        <w:rPr>
          <w:rFonts w:ascii="宋体" w:hAnsi="宋体"/>
          <w:szCs w:val="21"/>
        </w:rPr>
      </w:pPr>
      <w:r>
        <w:rPr>
          <w:rFonts w:hint="eastAsia" w:ascii="宋体" w:hAnsi="宋体"/>
          <w:szCs w:val="21"/>
        </w:rPr>
        <w:t>（2）投标文件；</w:t>
      </w:r>
    </w:p>
    <w:p>
      <w:pPr>
        <w:ind w:firstLine="420" w:firstLineChars="200"/>
        <w:rPr>
          <w:rFonts w:ascii="宋体" w:hAnsi="宋体"/>
          <w:szCs w:val="21"/>
        </w:rPr>
      </w:pPr>
      <w:r>
        <w:rPr>
          <w:rFonts w:hint="eastAsia" w:ascii="宋体" w:hAnsi="宋体"/>
          <w:szCs w:val="21"/>
        </w:rPr>
        <w:t>（3）本合同执行中共同签署的补充与修正文件。</w:t>
      </w:r>
    </w:p>
    <w:p>
      <w:pPr>
        <w:ind w:firstLine="420" w:firstLineChars="200"/>
        <w:rPr>
          <w:rFonts w:ascii="宋体" w:hAnsi="宋体"/>
          <w:szCs w:val="21"/>
        </w:rPr>
      </w:pPr>
      <w:r>
        <w:rPr>
          <w:rFonts w:hint="eastAsia" w:ascii="宋体" w:hAnsi="宋体"/>
          <w:szCs w:val="21"/>
        </w:rPr>
        <w:t>本合同一式份，甲、乙方双方各执</w:t>
      </w:r>
      <w:r>
        <w:rPr>
          <w:rFonts w:hint="eastAsia" w:ascii="宋体" w:hAnsi="宋体"/>
          <w:szCs w:val="21"/>
          <w:lang w:val="en-US" w:eastAsia="zh-CN"/>
        </w:rPr>
        <w:t xml:space="preserve">  </w:t>
      </w:r>
      <w:r>
        <w:rPr>
          <w:rFonts w:hint="eastAsia" w:ascii="宋体" w:hAnsi="宋体"/>
          <w:szCs w:val="21"/>
        </w:rPr>
        <w:t>份，具有同等法律效力。本合同自双方法人代表签字（盖章）认可之日起生效。</w:t>
      </w:r>
    </w:p>
    <w:p>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ascii="宋体" w:hAnsi="宋体"/>
          <w:szCs w:val="21"/>
        </w:rPr>
      </w:pPr>
    </w:p>
    <w:p>
      <w:pPr>
        <w:ind w:firstLine="420" w:firstLineChars="200"/>
        <w:rPr>
          <w:rFonts w:ascii="宋体" w:hAnsi="宋体"/>
          <w:szCs w:val="21"/>
        </w:rPr>
      </w:pPr>
    </w:p>
    <w:p>
      <w:pPr>
        <w:spacing w:line="360" w:lineRule="auto"/>
        <w:ind w:firstLine="560"/>
        <w:jc w:val="left"/>
        <w:rPr>
          <w:rFonts w:ascii="宋体" w:hAnsi="宋体"/>
          <w:szCs w:val="21"/>
        </w:rPr>
      </w:pPr>
      <w:r>
        <w:rPr>
          <w:rFonts w:hint="eastAsia" w:ascii="宋体" w:hAnsi="宋体"/>
          <w:szCs w:val="21"/>
        </w:rPr>
        <w:t>甲方（采购人）：   （盖章）       乙方（供应商）：    （盖章）</w:t>
      </w:r>
    </w:p>
    <w:p>
      <w:pPr>
        <w:spacing w:line="360" w:lineRule="auto"/>
        <w:ind w:firstLine="560"/>
        <w:jc w:val="left"/>
        <w:rPr>
          <w:rFonts w:ascii="宋体" w:hAnsi="宋体"/>
          <w:szCs w:val="21"/>
        </w:rPr>
      </w:pPr>
      <w:r>
        <w:rPr>
          <w:rFonts w:hint="eastAsia" w:ascii="宋体" w:hAnsi="宋体"/>
          <w:szCs w:val="21"/>
        </w:rPr>
        <w:t xml:space="preserve">法定代表人：                     法定代表人： </w:t>
      </w:r>
    </w:p>
    <w:p>
      <w:pPr>
        <w:spacing w:line="360" w:lineRule="auto"/>
        <w:ind w:firstLine="560"/>
        <w:jc w:val="left"/>
        <w:rPr>
          <w:rFonts w:hint="eastAsia" w:ascii="宋体" w:hAnsi="宋体"/>
          <w:szCs w:val="21"/>
        </w:rPr>
      </w:pPr>
      <w:r>
        <w:rPr>
          <w:rFonts w:hint="eastAsia" w:ascii="宋体" w:hAnsi="宋体"/>
          <w:szCs w:val="21"/>
        </w:rPr>
        <w:t>委托代理人：                     委托代理人：</w:t>
      </w:r>
    </w:p>
    <w:p>
      <w:pPr>
        <w:spacing w:line="360" w:lineRule="auto"/>
        <w:ind w:firstLine="560" w:firstLineChars="0"/>
        <w:jc w:val="left"/>
        <w:rPr>
          <w:rFonts w:ascii="宋体" w:hAnsi="宋体"/>
          <w:szCs w:val="21"/>
        </w:rPr>
      </w:pPr>
      <w:r>
        <w:rPr>
          <w:rFonts w:hint="eastAsia" w:ascii="宋体" w:hAnsi="宋体"/>
          <w:szCs w:val="21"/>
        </w:rPr>
        <w:t>日期：   年     月    日         日期：   年     月    日</w:t>
      </w:r>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7"/>
        <w:keepNext/>
        <w:keepLines/>
        <w:numPr>
          <w:ilvl w:val="0"/>
          <w:numId w:val="10"/>
        </w:numPr>
        <w:tabs>
          <w:tab w:val="left" w:pos="720"/>
        </w:tabs>
        <w:adjustRightInd w:val="0"/>
        <w:spacing w:before="156" w:beforeLines="50" w:after="156" w:afterLines="50" w:line="240" w:lineRule="auto"/>
        <w:ind w:firstLineChars="0"/>
        <w:jc w:val="center"/>
        <w:textAlignment w:val="baseline"/>
        <w:outlineLvl w:val="1"/>
        <w:rPr>
          <w:rFonts w:asciiTheme="majorHAnsi" w:hAnsiTheme="majorHAnsi" w:eastAsiaTheme="majorEastAsia" w:cstheme="majorBidi"/>
          <w:b/>
          <w:bCs/>
          <w:sz w:val="28"/>
          <w:szCs w:val="28"/>
        </w:rPr>
      </w:pPr>
      <w:bookmarkStart w:id="51" w:name="_Hlk72399513"/>
      <w:r>
        <w:rPr>
          <w:rFonts w:hint="eastAsia" w:asciiTheme="majorHAnsi" w:hAnsiTheme="majorHAnsi" w:eastAsiaTheme="majorEastAsia" w:cstheme="majorBidi"/>
          <w:b/>
          <w:bCs/>
          <w:sz w:val="28"/>
          <w:szCs w:val="28"/>
        </w:rPr>
        <w:t>总则</w:t>
      </w:r>
    </w:p>
    <w:bookmarkEnd w:id="51"/>
    <w:p>
      <w:pPr>
        <w:spacing w:line="240" w:lineRule="auto"/>
        <w:rPr>
          <w:rFonts w:ascii="黑体" w:hAnsi="宋体" w:eastAsia="黑体"/>
          <w:sz w:val="24"/>
        </w:rPr>
      </w:pPr>
      <w:bookmarkStart w:id="52" w:name="_Hlk72439706"/>
      <w:r>
        <w:rPr>
          <w:rFonts w:hint="eastAsia" w:ascii="黑体" w:hAnsi="宋体" w:eastAsia="黑体"/>
          <w:sz w:val="24"/>
        </w:rPr>
        <w:t>1. 通用条款说明</w:t>
      </w:r>
    </w:p>
    <w:p>
      <w:pPr>
        <w:spacing w:line="240" w:lineRule="auto"/>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3" w:name="_Hlk72399729"/>
      <w:r>
        <w:rPr>
          <w:rFonts w:hint="eastAsia" w:ascii="宋体" w:hAnsi="宋体"/>
          <w:szCs w:val="21"/>
        </w:rPr>
        <w:t>如有需要，政府集中采购机构可以对通用条款的内容进行补充。</w:t>
      </w:r>
      <w:bookmarkEnd w:id="53"/>
    </w:p>
    <w:p>
      <w:pPr>
        <w:spacing w:line="240" w:lineRule="auto"/>
        <w:ind w:firstLine="411" w:firstLineChars="196"/>
        <w:rPr>
          <w:rFonts w:ascii="宋体" w:hAnsi="宋体"/>
          <w:szCs w:val="21"/>
        </w:rPr>
      </w:pPr>
      <w:r>
        <w:rPr>
          <w:rFonts w:hint="eastAsia" w:ascii="宋体" w:hAnsi="宋体"/>
          <w:szCs w:val="21"/>
        </w:rPr>
        <w:t>1.2招标文件分为第一册“专用条款”和第二册“通用条款”。</w:t>
      </w:r>
    </w:p>
    <w:p>
      <w:pPr>
        <w:spacing w:line="240" w:lineRule="auto"/>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spacing w:line="240" w:lineRule="auto"/>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spacing w:line="240" w:lineRule="auto"/>
        <w:ind w:firstLine="411" w:firstLineChars="196"/>
        <w:rPr>
          <w:rFonts w:ascii="宋体" w:hAnsi="宋体"/>
          <w:szCs w:val="21"/>
        </w:rPr>
      </w:pPr>
      <w:r>
        <w:rPr>
          <w:rFonts w:hint="eastAsia" w:ascii="宋体" w:hAnsi="宋体"/>
          <w:szCs w:val="21"/>
        </w:rPr>
        <w:t>1.5 “专用条款”和“通用条款”表述不一致或有冲突时，以“专用条款”为准。</w:t>
      </w:r>
    </w:p>
    <w:p>
      <w:pPr>
        <w:spacing w:line="240" w:lineRule="auto"/>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spacing w:line="240" w:lineRule="auto"/>
        <w:ind w:firstLine="411" w:firstLineChars="196"/>
        <w:rPr>
          <w:rFonts w:ascii="宋体" w:hAnsi="宋体"/>
          <w:szCs w:val="21"/>
        </w:rPr>
      </w:pPr>
      <w:r>
        <w:rPr>
          <w:rFonts w:hint="eastAsia" w:ascii="宋体" w:hAnsi="宋体"/>
          <w:szCs w:val="21"/>
        </w:rPr>
        <w:t>本项目参照《深圳经济特区政府采购条例</w:t>
      </w:r>
      <w:r>
        <w:rPr>
          <w:rFonts w:hint="eastAsia" w:ascii="宋体" w:hAnsi="宋体"/>
          <w:szCs w:val="21"/>
          <w:lang w:eastAsia="zh-CN"/>
        </w:rPr>
        <w:t>》《</w:t>
      </w:r>
      <w:r>
        <w:rPr>
          <w:rFonts w:hint="eastAsia" w:ascii="宋体" w:hAnsi="宋体"/>
          <w:szCs w:val="21"/>
        </w:rPr>
        <w:t>深圳经济特区政府采购条例实施细则》及政府采购其他法律法规，通过公开招标方式确定中标供应商。</w:t>
      </w:r>
    </w:p>
    <w:p>
      <w:pPr>
        <w:spacing w:line="240" w:lineRule="auto"/>
        <w:rPr>
          <w:rFonts w:ascii="黑体" w:hAnsi="宋体" w:eastAsia="黑体"/>
          <w:sz w:val="24"/>
        </w:rPr>
      </w:pPr>
      <w:r>
        <w:rPr>
          <w:rFonts w:hint="eastAsia" w:ascii="黑体" w:hAnsi="宋体" w:eastAsia="黑体"/>
          <w:sz w:val="24"/>
        </w:rPr>
        <w:t>3．定义</w:t>
      </w:r>
    </w:p>
    <w:p>
      <w:pPr>
        <w:spacing w:line="240" w:lineRule="auto"/>
        <w:ind w:firstLine="420" w:firstLineChars="200"/>
        <w:rPr>
          <w:rFonts w:ascii="宋体" w:hAnsi="宋体"/>
          <w:szCs w:val="21"/>
        </w:rPr>
      </w:pPr>
      <w:r>
        <w:rPr>
          <w:rFonts w:ascii="宋体" w:hAnsi="宋体"/>
          <w:szCs w:val="21"/>
        </w:rPr>
        <w:t>招标文件中下列术语应解释为：</w:t>
      </w:r>
    </w:p>
    <w:p>
      <w:pPr>
        <w:spacing w:line="240" w:lineRule="auto"/>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spacing w:line="240" w:lineRule="auto"/>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spacing w:line="240" w:lineRule="auto"/>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spacing w:line="240" w:lineRule="auto"/>
        <w:ind w:firstLine="411" w:firstLineChars="196"/>
        <w:rPr>
          <w:rFonts w:ascii="宋体" w:hAnsi="宋体"/>
          <w:szCs w:val="21"/>
        </w:rPr>
      </w:pPr>
      <w:r>
        <w:rPr>
          <w:rFonts w:hint="eastAsia" w:ascii="宋体" w:hAnsi="宋体"/>
          <w:szCs w:val="21"/>
        </w:rPr>
        <w:t>3.4“评审委员会”是依据《深圳经济特区政府采购条例</w:t>
      </w:r>
      <w:r>
        <w:rPr>
          <w:rFonts w:hint="eastAsia" w:ascii="宋体" w:hAnsi="宋体"/>
          <w:szCs w:val="21"/>
          <w:lang w:eastAsia="zh-CN"/>
        </w:rPr>
        <w:t>》《</w:t>
      </w:r>
      <w:r>
        <w:rPr>
          <w:rFonts w:hint="eastAsia" w:ascii="宋体" w:hAnsi="宋体"/>
          <w:szCs w:val="21"/>
        </w:rPr>
        <w:t>深圳经济特区政府采购条例实施细则》等有关规定组建的专门负责本次招标其评审工作的临时性机构；</w:t>
      </w:r>
    </w:p>
    <w:p>
      <w:pPr>
        <w:spacing w:line="240" w:lineRule="auto"/>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spacing w:line="240" w:lineRule="auto"/>
        <w:ind w:firstLine="411" w:firstLineChars="196"/>
        <w:rPr>
          <w:rFonts w:ascii="宋体" w:hAnsi="宋体"/>
          <w:szCs w:val="21"/>
        </w:rPr>
      </w:pPr>
      <w:r>
        <w:rPr>
          <w:rFonts w:hint="eastAsia" w:ascii="宋体" w:hAnsi="宋体"/>
          <w:szCs w:val="21"/>
        </w:rPr>
        <w:t>3.6“合同”指由本次招标所产生的合同或合约文件；</w:t>
      </w:r>
    </w:p>
    <w:p>
      <w:pPr>
        <w:spacing w:line="240" w:lineRule="auto"/>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w:t>
      </w:r>
      <w:r>
        <w:rPr>
          <w:rFonts w:hint="eastAsia" w:ascii="宋体" w:hAnsi="宋体"/>
          <w:szCs w:val="21"/>
          <w:lang w:eastAsia="zh-CN"/>
        </w:rPr>
        <w:t>，</w:t>
      </w:r>
      <w:r>
        <w:rPr>
          <w:rFonts w:hint="eastAsia" w:ascii="宋体" w:hAnsi="宋体"/>
          <w:szCs w:val="21"/>
        </w:rPr>
        <w:t>适用于网上投标；（投标文件制作软件可从“下载地址：http://zfcg.szggzy.com:8081/cgxy/013002/20210923/173e0b2c-7a4c-4246-a0c7-e0ea75d84dd6.html深圳智慧采购平台投标文件制作专用软件.zip”下载）</w:t>
      </w:r>
    </w:p>
    <w:p>
      <w:pPr>
        <w:spacing w:line="240" w:lineRule="auto"/>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spacing w:line="240" w:lineRule="auto"/>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spacing w:line="240" w:lineRule="auto"/>
        <w:rPr>
          <w:rFonts w:ascii="黑体" w:hAnsi="宋体" w:eastAsia="黑体"/>
          <w:sz w:val="24"/>
        </w:rPr>
      </w:pPr>
      <w:r>
        <w:rPr>
          <w:rFonts w:hint="eastAsia" w:ascii="黑体" w:hAnsi="宋体" w:eastAsia="黑体"/>
          <w:sz w:val="24"/>
        </w:rPr>
        <w:t xml:space="preserve">4. </w:t>
      </w:r>
      <w:bookmarkStart w:id="54" w:name="_Hlk72398643"/>
      <w:r>
        <w:rPr>
          <w:rFonts w:hint="eastAsia" w:ascii="黑体" w:hAnsi="宋体" w:eastAsia="黑体"/>
          <w:sz w:val="24"/>
        </w:rPr>
        <w:t>政府采购供应商责任</w:t>
      </w:r>
    </w:p>
    <w:p>
      <w:pPr>
        <w:spacing w:line="240" w:lineRule="auto"/>
        <w:ind w:firstLine="411" w:firstLineChars="196"/>
        <w:rPr>
          <w:rFonts w:ascii="宋体" w:hAnsi="宋体"/>
          <w:szCs w:val="21"/>
        </w:rPr>
      </w:pPr>
      <w:r>
        <w:rPr>
          <w:rFonts w:hint="eastAsia" w:ascii="宋体" w:hAnsi="宋体"/>
          <w:szCs w:val="21"/>
        </w:rPr>
        <w:t>4.1欢迎诚信、有实力和有社会责任心的供应商参与政府采购事业。</w:t>
      </w:r>
    </w:p>
    <w:p>
      <w:pPr>
        <w:spacing w:line="240" w:lineRule="auto"/>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spacing w:line="240" w:lineRule="auto"/>
        <w:rPr>
          <w:rFonts w:ascii="黑体" w:hAnsi="宋体" w:eastAsia="黑体"/>
          <w:sz w:val="24"/>
        </w:rPr>
      </w:pPr>
      <w:r>
        <w:rPr>
          <w:rFonts w:hint="eastAsia" w:ascii="黑体" w:hAnsi="宋体" w:eastAsia="黑体"/>
          <w:sz w:val="24"/>
        </w:rPr>
        <w:t>5．投标人参加政府采购的条件</w:t>
      </w:r>
    </w:p>
    <w:p>
      <w:pPr>
        <w:spacing w:line="240" w:lineRule="auto"/>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spacing w:line="240" w:lineRule="auto"/>
        <w:ind w:firstLine="411" w:firstLineChars="196"/>
        <w:rPr>
          <w:rFonts w:ascii="宋体" w:hAnsi="宋体"/>
          <w:szCs w:val="21"/>
        </w:rPr>
      </w:pPr>
      <w:r>
        <w:rPr>
          <w:rFonts w:hint="eastAsia" w:ascii="宋体" w:hAnsi="宋体"/>
          <w:szCs w:val="21"/>
        </w:rPr>
        <w:t>5.2投标人资格要求</w:t>
      </w:r>
    </w:p>
    <w:p>
      <w:pPr>
        <w:spacing w:line="240" w:lineRule="auto"/>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spacing w:line="240" w:lineRule="auto"/>
        <w:ind w:firstLine="411" w:firstLineChars="196"/>
        <w:rPr>
          <w:rFonts w:ascii="宋体" w:hAnsi="宋体"/>
          <w:szCs w:val="21"/>
        </w:rPr>
      </w:pPr>
      <w:r>
        <w:rPr>
          <w:rFonts w:hint="eastAsia" w:ascii="宋体" w:hAnsi="宋体"/>
          <w:szCs w:val="21"/>
        </w:rPr>
        <w:t>5.3联合体投标</w:t>
      </w:r>
    </w:p>
    <w:p>
      <w:pPr>
        <w:spacing w:line="240" w:lineRule="auto"/>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spacing w:line="240" w:lineRule="auto"/>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spacing w:line="240" w:lineRule="auto"/>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spacing w:line="240" w:lineRule="auto"/>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spacing w:line="240" w:lineRule="auto"/>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spacing w:line="240" w:lineRule="auto"/>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spacing w:line="240" w:lineRule="auto"/>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spacing w:line="240" w:lineRule="auto"/>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spacing w:line="240" w:lineRule="auto"/>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spacing w:line="240" w:lineRule="auto"/>
        <w:ind w:firstLine="411" w:firstLineChars="196"/>
        <w:rPr>
          <w:rFonts w:ascii="宋体" w:hAnsi="宋体"/>
        </w:rPr>
      </w:pPr>
      <w:r>
        <w:rPr>
          <w:rFonts w:hint="eastAsia" w:ascii="宋体" w:hAnsi="宋体"/>
        </w:rPr>
        <w:t>（2）在投标截止前，投标联合体各方均应注册成政府采购供应商；</w:t>
      </w:r>
    </w:p>
    <w:p>
      <w:pPr>
        <w:spacing w:line="240" w:lineRule="auto"/>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spacing w:line="240" w:lineRule="auto"/>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spacing w:line="240" w:lineRule="auto"/>
        <w:ind w:firstLine="411" w:firstLineChars="196"/>
        <w:rPr>
          <w:rFonts w:ascii="宋体" w:hAnsi="宋体"/>
        </w:rPr>
      </w:pPr>
      <w:r>
        <w:rPr>
          <w:rFonts w:hint="eastAsia" w:ascii="宋体" w:hAnsi="宋体"/>
        </w:rPr>
        <w:t>（5）投标人的投标文件及中标后签署的合同协议对联合体各方均具法律约束力；</w:t>
      </w:r>
    </w:p>
    <w:p>
      <w:pPr>
        <w:spacing w:line="240" w:lineRule="auto"/>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spacing w:line="240" w:lineRule="auto"/>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spacing w:line="240" w:lineRule="auto"/>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spacing w:line="240" w:lineRule="auto"/>
        <w:ind w:firstLine="411" w:firstLineChars="196"/>
        <w:rPr>
          <w:rFonts w:ascii="宋体" w:hAnsi="宋体"/>
          <w:szCs w:val="21"/>
        </w:rPr>
      </w:pPr>
      <w:r>
        <w:rPr>
          <w:rFonts w:hint="eastAsia" w:ascii="宋体" w:hAnsi="宋体"/>
        </w:rPr>
        <w:t>（9）本通用条款中“投标人”一词亦指联合体各方，专用条款另有规定或说明的除外。</w:t>
      </w:r>
    </w:p>
    <w:p>
      <w:pPr>
        <w:spacing w:line="240" w:lineRule="auto"/>
        <w:rPr>
          <w:rFonts w:ascii="黑体" w:hAnsi="宋体" w:eastAsia="黑体"/>
          <w:sz w:val="24"/>
        </w:rPr>
      </w:pPr>
      <w:r>
        <w:rPr>
          <w:rFonts w:hint="eastAsia" w:ascii="黑体" w:hAnsi="宋体" w:eastAsia="黑体"/>
          <w:sz w:val="24"/>
        </w:rPr>
        <w:t>6．政策导向</w:t>
      </w:r>
    </w:p>
    <w:p>
      <w:pPr>
        <w:spacing w:line="240" w:lineRule="auto"/>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spacing w:line="240" w:lineRule="auto"/>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spacing w:line="240" w:lineRule="auto"/>
        <w:ind w:firstLine="405"/>
        <w:rPr>
          <w:rFonts w:eastAsia="宋体"/>
        </w:rPr>
      </w:pPr>
      <w:r>
        <w:rPr>
          <w:rFonts w:hint="eastAsia" w:ascii="宋体" w:hAnsi="宋体"/>
        </w:rPr>
        <w:t>6.3  本项目支持投标人性别平等的相关政策。</w:t>
      </w:r>
    </w:p>
    <w:p>
      <w:pPr>
        <w:spacing w:line="240" w:lineRule="auto"/>
        <w:rPr>
          <w:rFonts w:ascii="黑体" w:hAnsi="宋体" w:eastAsia="黑体"/>
          <w:sz w:val="24"/>
        </w:rPr>
      </w:pPr>
      <w:r>
        <w:rPr>
          <w:rFonts w:hint="eastAsia" w:ascii="黑体" w:hAnsi="宋体" w:eastAsia="黑体"/>
          <w:sz w:val="24"/>
        </w:rPr>
        <w:t>7. 本项目若涉及采购货物，则合格的货物及相应服务应满足以下要求：</w:t>
      </w:r>
    </w:p>
    <w:p>
      <w:pPr>
        <w:spacing w:line="240" w:lineRule="auto"/>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spacing w:line="240" w:lineRule="auto"/>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spacing w:line="240" w:lineRule="auto"/>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spacing w:line="240" w:lineRule="auto"/>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5"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pPr>
        <w:spacing w:line="240" w:lineRule="auto"/>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spacing w:line="240" w:lineRule="auto"/>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spacing w:line="240" w:lineRule="auto"/>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spacing w:line="240" w:lineRule="auto"/>
        <w:rPr>
          <w:rFonts w:ascii="黑体" w:hAnsi="宋体" w:eastAsia="黑体"/>
          <w:sz w:val="24"/>
        </w:rPr>
      </w:pPr>
      <w:r>
        <w:rPr>
          <w:rFonts w:hint="eastAsia" w:ascii="黑体" w:hAnsi="宋体" w:eastAsia="黑体"/>
          <w:sz w:val="24"/>
        </w:rPr>
        <w:t>8．投标费用</w:t>
      </w:r>
    </w:p>
    <w:p>
      <w:pPr>
        <w:spacing w:line="240" w:lineRule="auto"/>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spacing w:line="240" w:lineRule="auto"/>
        <w:rPr>
          <w:rFonts w:ascii="黑体" w:hAnsi="宋体" w:eastAsia="黑体"/>
          <w:sz w:val="24"/>
        </w:rPr>
      </w:pPr>
      <w:r>
        <w:rPr>
          <w:rFonts w:hint="eastAsia" w:ascii="黑体" w:hAnsi="宋体" w:eastAsia="黑体"/>
          <w:sz w:val="24"/>
        </w:rPr>
        <w:t>9．踏勘现场</w:t>
      </w:r>
    </w:p>
    <w:p>
      <w:pPr>
        <w:spacing w:line="240" w:lineRule="auto"/>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spacing w:line="240" w:lineRule="auto"/>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spacing w:line="240" w:lineRule="auto"/>
        <w:ind w:firstLine="411" w:firstLineChars="196"/>
        <w:rPr>
          <w:rFonts w:ascii="宋体" w:hAnsi="宋体"/>
        </w:rPr>
      </w:pPr>
      <w:r>
        <w:rPr>
          <w:rFonts w:hint="eastAsia" w:ascii="宋体" w:hAnsi="宋体"/>
        </w:rPr>
        <w:t>9.3采购人应当通过政府集中采购机构向投标人提供有关现场的书面资料和数据。</w:t>
      </w:r>
    </w:p>
    <w:p>
      <w:pPr>
        <w:spacing w:line="240" w:lineRule="auto"/>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spacing w:line="240" w:lineRule="auto"/>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spacing w:line="240" w:lineRule="auto"/>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spacing w:line="240" w:lineRule="auto"/>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spacing w:line="240" w:lineRule="auto"/>
        <w:ind w:firstLine="411" w:firstLineChars="196"/>
        <w:rPr>
          <w:rFonts w:ascii="宋体" w:hAnsi="宋体"/>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bookmarkEnd w:id="54"/>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招标文件</w:t>
      </w:r>
    </w:p>
    <w:p>
      <w:pPr>
        <w:spacing w:line="240" w:lineRule="auto"/>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6" w:name="_Hlk72399819"/>
      <w:r>
        <w:rPr>
          <w:rFonts w:hint="eastAsia" w:ascii="黑体" w:hAnsi="宋体" w:eastAsia="黑体"/>
          <w:sz w:val="24"/>
        </w:rPr>
        <w:t>招标文件的编制与组成</w:t>
      </w:r>
    </w:p>
    <w:p>
      <w:pPr>
        <w:snapToGrid w:val="0"/>
        <w:spacing w:line="24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spacing w:line="240" w:lineRule="auto"/>
        <w:ind w:firstLine="411" w:firstLineChars="196"/>
        <w:rPr>
          <w:rFonts w:ascii="宋体" w:hAnsi="宋体"/>
          <w:szCs w:val="21"/>
        </w:rPr>
      </w:pPr>
      <w:r>
        <w:rPr>
          <w:rFonts w:hint="eastAsia" w:ascii="宋体" w:hAnsi="宋体"/>
          <w:szCs w:val="21"/>
        </w:rPr>
        <w:t>招标文件包括下列内容：</w:t>
      </w:r>
    </w:p>
    <w:p>
      <w:pPr>
        <w:spacing w:line="240" w:lineRule="auto"/>
        <w:ind w:left="420" w:leftChars="200" w:firstLine="413" w:firstLineChars="196"/>
        <w:rPr>
          <w:rFonts w:ascii="宋体" w:hAnsi="宋体"/>
          <w:b/>
          <w:szCs w:val="21"/>
        </w:rPr>
      </w:pPr>
      <w:r>
        <w:rPr>
          <w:rFonts w:hint="eastAsia" w:ascii="宋体" w:hAnsi="宋体"/>
          <w:b/>
          <w:szCs w:val="21"/>
        </w:rPr>
        <w:t>第一册  专用条款</w:t>
      </w:r>
    </w:p>
    <w:p>
      <w:pPr>
        <w:spacing w:line="240" w:lineRule="auto"/>
        <w:ind w:left="1079" w:leftChars="514"/>
        <w:rPr>
          <w:rFonts w:ascii="宋体" w:hAnsi="宋体"/>
          <w:b/>
          <w:szCs w:val="21"/>
        </w:rPr>
      </w:pPr>
      <w:r>
        <w:rPr>
          <w:rFonts w:hint="eastAsia" w:ascii="宋体" w:hAnsi="宋体"/>
          <w:b/>
          <w:szCs w:val="21"/>
        </w:rPr>
        <w:t>关键信息</w:t>
      </w:r>
    </w:p>
    <w:p>
      <w:pPr>
        <w:spacing w:line="240" w:lineRule="auto"/>
        <w:ind w:left="630" w:leftChars="300" w:firstLine="411" w:firstLineChars="196"/>
        <w:rPr>
          <w:rFonts w:ascii="宋体" w:hAnsi="宋体"/>
          <w:szCs w:val="21"/>
        </w:rPr>
      </w:pPr>
      <w:r>
        <w:rPr>
          <w:rFonts w:hint="eastAsia" w:ascii="宋体" w:hAnsi="宋体"/>
          <w:szCs w:val="21"/>
        </w:rPr>
        <w:t>第一章  招标公告</w:t>
      </w:r>
    </w:p>
    <w:p>
      <w:pPr>
        <w:spacing w:line="240" w:lineRule="auto"/>
        <w:ind w:left="630" w:leftChars="300" w:firstLine="411" w:firstLineChars="196"/>
        <w:rPr>
          <w:rFonts w:ascii="宋体" w:hAnsi="宋体"/>
          <w:szCs w:val="21"/>
        </w:rPr>
      </w:pPr>
      <w:r>
        <w:rPr>
          <w:rFonts w:hint="eastAsia" w:ascii="宋体" w:hAnsi="宋体"/>
          <w:szCs w:val="21"/>
        </w:rPr>
        <w:t>第二章  对通用条款的补充内容及其他关键信息</w:t>
      </w:r>
    </w:p>
    <w:p>
      <w:pPr>
        <w:spacing w:line="240" w:lineRule="auto"/>
        <w:ind w:left="630" w:leftChars="300" w:firstLine="411" w:firstLineChars="196"/>
        <w:rPr>
          <w:rFonts w:ascii="宋体" w:hAnsi="宋体"/>
          <w:szCs w:val="21"/>
        </w:rPr>
      </w:pPr>
      <w:r>
        <w:rPr>
          <w:rFonts w:hint="eastAsia" w:ascii="宋体" w:hAnsi="宋体"/>
          <w:szCs w:val="21"/>
        </w:rPr>
        <w:t>第三章  用户需求书</w:t>
      </w:r>
    </w:p>
    <w:p>
      <w:pPr>
        <w:spacing w:line="240" w:lineRule="auto"/>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spacing w:line="240" w:lineRule="auto"/>
        <w:ind w:left="630" w:leftChars="300" w:firstLine="411" w:firstLineChars="196"/>
        <w:rPr>
          <w:rFonts w:ascii="宋体" w:hAnsi="宋体"/>
          <w:szCs w:val="21"/>
        </w:rPr>
      </w:pPr>
      <w:r>
        <w:rPr>
          <w:rFonts w:hint="eastAsia" w:ascii="宋体" w:hAnsi="宋体"/>
          <w:szCs w:val="21"/>
        </w:rPr>
        <w:t>第五章  合同条款及格式</w:t>
      </w:r>
    </w:p>
    <w:p>
      <w:pPr>
        <w:spacing w:line="240" w:lineRule="auto"/>
        <w:ind w:left="420" w:leftChars="200" w:firstLine="413" w:firstLineChars="196"/>
        <w:rPr>
          <w:rFonts w:ascii="宋体" w:hAnsi="宋体"/>
          <w:b/>
          <w:szCs w:val="21"/>
        </w:rPr>
      </w:pPr>
      <w:r>
        <w:rPr>
          <w:rFonts w:hint="eastAsia" w:ascii="宋体" w:hAnsi="宋体"/>
          <w:b/>
          <w:szCs w:val="21"/>
        </w:rPr>
        <w:t>第二册  通用条款</w:t>
      </w:r>
    </w:p>
    <w:p>
      <w:pPr>
        <w:spacing w:line="240" w:lineRule="auto"/>
        <w:ind w:left="630" w:leftChars="300" w:firstLine="411" w:firstLineChars="196"/>
        <w:rPr>
          <w:rFonts w:ascii="宋体" w:hAnsi="宋体"/>
          <w:szCs w:val="21"/>
        </w:rPr>
      </w:pPr>
      <w:r>
        <w:rPr>
          <w:rFonts w:hint="eastAsia" w:ascii="宋体" w:hAnsi="宋体"/>
          <w:szCs w:val="21"/>
        </w:rPr>
        <w:t>第一章  总则</w:t>
      </w:r>
    </w:p>
    <w:p>
      <w:pPr>
        <w:spacing w:line="240" w:lineRule="auto"/>
        <w:ind w:left="630" w:leftChars="300" w:firstLine="411" w:firstLineChars="196"/>
        <w:rPr>
          <w:rFonts w:ascii="宋体" w:hAnsi="宋体"/>
          <w:szCs w:val="21"/>
        </w:rPr>
      </w:pPr>
      <w:r>
        <w:rPr>
          <w:rFonts w:hint="eastAsia" w:ascii="宋体" w:hAnsi="宋体"/>
          <w:szCs w:val="21"/>
        </w:rPr>
        <w:t>第二章  招标文件</w:t>
      </w:r>
    </w:p>
    <w:p>
      <w:pPr>
        <w:spacing w:line="240" w:lineRule="auto"/>
        <w:ind w:left="630" w:leftChars="300" w:firstLine="411" w:firstLineChars="196"/>
        <w:rPr>
          <w:rFonts w:ascii="宋体" w:hAnsi="宋体"/>
          <w:szCs w:val="21"/>
        </w:rPr>
      </w:pPr>
      <w:r>
        <w:rPr>
          <w:rFonts w:hint="eastAsia" w:ascii="宋体" w:hAnsi="宋体"/>
          <w:szCs w:val="21"/>
        </w:rPr>
        <w:t>第三章  投标文件的编制</w:t>
      </w:r>
    </w:p>
    <w:p>
      <w:pPr>
        <w:spacing w:line="240" w:lineRule="auto"/>
        <w:ind w:left="630" w:leftChars="300" w:firstLine="411" w:firstLineChars="196"/>
        <w:rPr>
          <w:rFonts w:ascii="宋体" w:hAnsi="宋体"/>
          <w:szCs w:val="21"/>
        </w:rPr>
      </w:pPr>
      <w:r>
        <w:rPr>
          <w:rFonts w:hint="eastAsia" w:ascii="宋体" w:hAnsi="宋体"/>
          <w:szCs w:val="21"/>
        </w:rPr>
        <w:t>第四章  投标文件的递交</w:t>
      </w:r>
    </w:p>
    <w:p>
      <w:pPr>
        <w:spacing w:line="240" w:lineRule="auto"/>
        <w:ind w:left="630" w:leftChars="300" w:firstLine="411" w:firstLineChars="196"/>
        <w:rPr>
          <w:rFonts w:ascii="宋体" w:hAnsi="宋体"/>
          <w:szCs w:val="21"/>
        </w:rPr>
      </w:pPr>
      <w:r>
        <w:rPr>
          <w:rFonts w:hint="eastAsia" w:ascii="宋体" w:hAnsi="宋体"/>
          <w:szCs w:val="21"/>
        </w:rPr>
        <w:t>第五章  开标</w:t>
      </w:r>
    </w:p>
    <w:p>
      <w:pPr>
        <w:spacing w:line="240" w:lineRule="auto"/>
        <w:ind w:left="630" w:leftChars="300" w:firstLine="411" w:firstLineChars="196"/>
        <w:rPr>
          <w:rFonts w:ascii="宋体" w:hAnsi="宋体"/>
          <w:szCs w:val="21"/>
        </w:rPr>
      </w:pPr>
      <w:r>
        <w:rPr>
          <w:rFonts w:hint="eastAsia" w:ascii="宋体" w:hAnsi="宋体"/>
          <w:szCs w:val="21"/>
        </w:rPr>
        <w:t>第六章  评审要求</w:t>
      </w:r>
    </w:p>
    <w:p>
      <w:pPr>
        <w:spacing w:line="240" w:lineRule="auto"/>
        <w:ind w:left="630" w:leftChars="300" w:firstLine="411" w:firstLineChars="196"/>
        <w:rPr>
          <w:rFonts w:ascii="宋体" w:hAnsi="宋体"/>
          <w:szCs w:val="21"/>
        </w:rPr>
      </w:pPr>
      <w:r>
        <w:rPr>
          <w:rFonts w:hint="eastAsia" w:ascii="宋体" w:hAnsi="宋体"/>
          <w:szCs w:val="21"/>
        </w:rPr>
        <w:t>第七章  评审程序及评审方法</w:t>
      </w:r>
    </w:p>
    <w:p>
      <w:pPr>
        <w:spacing w:line="240" w:lineRule="auto"/>
        <w:ind w:left="630" w:leftChars="300" w:firstLine="411" w:firstLineChars="196"/>
        <w:rPr>
          <w:rFonts w:ascii="宋体" w:hAnsi="宋体"/>
          <w:szCs w:val="21"/>
        </w:rPr>
      </w:pPr>
      <w:r>
        <w:rPr>
          <w:rFonts w:hint="eastAsia" w:ascii="宋体" w:hAnsi="宋体"/>
          <w:szCs w:val="21"/>
        </w:rPr>
        <w:t>第八章  定标及公示</w:t>
      </w:r>
    </w:p>
    <w:p>
      <w:pPr>
        <w:spacing w:line="240" w:lineRule="auto"/>
        <w:ind w:left="630" w:leftChars="300" w:firstLine="411" w:firstLineChars="196"/>
        <w:rPr>
          <w:rFonts w:ascii="宋体" w:hAnsi="宋体"/>
          <w:szCs w:val="21"/>
        </w:rPr>
      </w:pPr>
      <w:r>
        <w:rPr>
          <w:rFonts w:hint="eastAsia" w:ascii="宋体" w:hAnsi="宋体"/>
          <w:szCs w:val="21"/>
        </w:rPr>
        <w:t>第九章  公开招标失败的后续处理</w:t>
      </w:r>
    </w:p>
    <w:p>
      <w:pPr>
        <w:spacing w:line="240" w:lineRule="auto"/>
        <w:ind w:left="630" w:leftChars="300" w:firstLine="411" w:firstLineChars="196"/>
        <w:rPr>
          <w:rFonts w:ascii="宋体" w:hAnsi="宋体"/>
          <w:szCs w:val="21"/>
        </w:rPr>
      </w:pPr>
      <w:r>
        <w:rPr>
          <w:rFonts w:hint="eastAsia" w:ascii="宋体" w:hAnsi="宋体"/>
          <w:szCs w:val="21"/>
        </w:rPr>
        <w:t>第十章  合同的授予与备案</w:t>
      </w:r>
    </w:p>
    <w:p>
      <w:pPr>
        <w:spacing w:line="240" w:lineRule="auto"/>
        <w:ind w:left="630" w:leftChars="300" w:firstLine="411" w:firstLineChars="196"/>
        <w:rPr>
          <w:rFonts w:ascii="宋体" w:hAnsi="宋体"/>
          <w:szCs w:val="21"/>
        </w:rPr>
      </w:pPr>
      <w:r>
        <w:rPr>
          <w:rFonts w:hint="eastAsia" w:ascii="宋体" w:hAnsi="宋体"/>
          <w:szCs w:val="21"/>
        </w:rPr>
        <w:t>第十一章  质疑处理</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spacing w:line="240" w:lineRule="auto"/>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spacing w:line="240" w:lineRule="auto"/>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spacing w:line="240" w:lineRule="auto"/>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spacing w:line="240" w:lineRule="auto"/>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spacing w:line="240" w:lineRule="auto"/>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spacing w:line="240" w:lineRule="auto"/>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投标文件的编制</w:t>
      </w:r>
    </w:p>
    <w:p>
      <w:pPr>
        <w:spacing w:line="240" w:lineRule="auto"/>
        <w:rPr>
          <w:rFonts w:ascii="黑体" w:hAnsi="宋体" w:eastAsia="黑体"/>
          <w:sz w:val="24"/>
        </w:rPr>
      </w:pPr>
      <w:r>
        <w:rPr>
          <w:rFonts w:hint="eastAsia" w:ascii="黑体" w:hAnsi="宋体" w:eastAsia="黑体"/>
          <w:sz w:val="24"/>
        </w:rPr>
        <w:t>14．</w:t>
      </w:r>
      <w:bookmarkStart w:id="57" w:name="_Hlk72400236"/>
      <w:r>
        <w:rPr>
          <w:rFonts w:hint="eastAsia" w:ascii="黑体" w:hAnsi="宋体" w:eastAsia="黑体"/>
          <w:sz w:val="24"/>
        </w:rPr>
        <w:t>投标文件的语言及度量单位</w:t>
      </w:r>
    </w:p>
    <w:p>
      <w:pPr>
        <w:spacing w:line="240" w:lineRule="auto"/>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spacing w:line="240" w:lineRule="auto"/>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7"/>
    <w:p>
      <w:pPr>
        <w:spacing w:line="240" w:lineRule="auto"/>
        <w:rPr>
          <w:rFonts w:ascii="黑体" w:hAnsi="宋体" w:eastAsia="黑体"/>
          <w:sz w:val="24"/>
        </w:rPr>
      </w:pPr>
      <w:r>
        <w:rPr>
          <w:rFonts w:hint="eastAsia" w:ascii="黑体" w:hAnsi="宋体" w:eastAsia="黑体"/>
          <w:sz w:val="24"/>
        </w:rPr>
        <w:t>15．</w:t>
      </w:r>
      <w:bookmarkStart w:id="58" w:name="_Hlk72401567"/>
      <w:r>
        <w:rPr>
          <w:rFonts w:hint="eastAsia" w:ascii="黑体" w:hAnsi="宋体" w:eastAsia="黑体"/>
          <w:sz w:val="24"/>
        </w:rPr>
        <w:t>投标文件的组成</w:t>
      </w:r>
    </w:p>
    <w:p>
      <w:pPr>
        <w:spacing w:line="240" w:lineRule="auto"/>
        <w:ind w:firstLine="411" w:firstLineChars="196"/>
        <w:rPr>
          <w:rFonts w:ascii="宋体" w:hAnsi="宋体"/>
          <w:szCs w:val="21"/>
        </w:rPr>
      </w:pPr>
      <w:r>
        <w:rPr>
          <w:rFonts w:hint="eastAsia" w:ascii="宋体" w:hAnsi="宋体"/>
          <w:szCs w:val="21"/>
        </w:rPr>
        <w:t>具体内容在招标文件专用条款中进行规定。</w:t>
      </w:r>
    </w:p>
    <w:p>
      <w:pPr>
        <w:spacing w:line="240" w:lineRule="auto"/>
        <w:rPr>
          <w:rFonts w:ascii="黑体" w:hAnsi="宋体" w:eastAsia="黑体"/>
          <w:sz w:val="24"/>
        </w:rPr>
      </w:pPr>
      <w:r>
        <w:rPr>
          <w:rFonts w:ascii="黑体" w:hAnsi="宋体" w:eastAsia="黑体"/>
          <w:sz w:val="24"/>
        </w:rPr>
        <w:t>16．投标文件格式</w:t>
      </w:r>
    </w:p>
    <w:p>
      <w:pPr>
        <w:spacing w:line="240" w:lineRule="auto"/>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spacing w:line="240" w:lineRule="auto"/>
        <w:rPr>
          <w:rFonts w:ascii="黑体" w:hAnsi="宋体" w:eastAsia="黑体"/>
          <w:sz w:val="24"/>
        </w:rPr>
      </w:pPr>
      <w:r>
        <w:rPr>
          <w:rFonts w:hint="eastAsia" w:ascii="黑体" w:hAnsi="宋体" w:eastAsia="黑体"/>
          <w:sz w:val="24"/>
        </w:rPr>
        <w:t>17．投标货币</w:t>
      </w:r>
    </w:p>
    <w:p>
      <w:pPr>
        <w:spacing w:line="240" w:lineRule="auto"/>
        <w:ind w:firstLine="411" w:firstLineChars="196"/>
        <w:rPr>
          <w:rFonts w:ascii="宋体" w:hAnsi="宋体"/>
          <w:szCs w:val="21"/>
        </w:rPr>
      </w:pPr>
      <w:r>
        <w:rPr>
          <w:rFonts w:hint="eastAsia" w:ascii="宋体" w:hAnsi="宋体"/>
          <w:szCs w:val="21"/>
        </w:rPr>
        <w:t>本项目的投标报价应以人民币计。</w:t>
      </w:r>
    </w:p>
    <w:bookmarkEnd w:id="58"/>
    <w:p>
      <w:pPr>
        <w:spacing w:line="240" w:lineRule="auto"/>
        <w:rPr>
          <w:rFonts w:ascii="黑体" w:hAnsi="宋体" w:eastAsia="黑体"/>
          <w:sz w:val="24"/>
        </w:rPr>
      </w:pPr>
      <w:r>
        <w:rPr>
          <w:rFonts w:hint="eastAsia" w:ascii="黑体" w:hAnsi="宋体" w:eastAsia="黑体"/>
          <w:sz w:val="24"/>
        </w:rPr>
        <w:t>18．</w:t>
      </w:r>
      <w:bookmarkStart w:id="59" w:name="_Hlk72401735"/>
      <w:r>
        <w:rPr>
          <w:rFonts w:hint="eastAsia" w:ascii="黑体" w:hAnsi="宋体" w:eastAsia="黑体"/>
          <w:sz w:val="24"/>
        </w:rPr>
        <w:t>证明投标文件投标技术方案的合格性和符合招标文件规定的文件要求</w:t>
      </w:r>
    </w:p>
    <w:p>
      <w:pPr>
        <w:spacing w:line="240" w:lineRule="auto"/>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spacing w:line="240" w:lineRule="auto"/>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spacing w:line="240" w:lineRule="auto"/>
        <w:ind w:firstLine="411" w:firstLineChars="196"/>
        <w:rPr>
          <w:rFonts w:ascii="宋体" w:hAnsi="宋体"/>
          <w:szCs w:val="21"/>
        </w:rPr>
      </w:pPr>
      <w:r>
        <w:rPr>
          <w:rFonts w:hint="eastAsia" w:ascii="宋体" w:hAnsi="宋体"/>
          <w:szCs w:val="21"/>
        </w:rPr>
        <w:t>18.2.1主要技术指标和性能的详细说明。</w:t>
      </w:r>
    </w:p>
    <w:p>
      <w:pPr>
        <w:spacing w:line="240" w:lineRule="auto"/>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spacing w:line="240" w:lineRule="auto"/>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spacing w:line="240" w:lineRule="auto"/>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spacing w:line="240" w:lineRule="auto"/>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spacing w:line="240" w:lineRule="auto"/>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spacing w:line="240" w:lineRule="auto"/>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spacing w:line="240" w:lineRule="auto"/>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9"/>
    <w:p>
      <w:pPr>
        <w:spacing w:line="240" w:lineRule="auto"/>
        <w:rPr>
          <w:rFonts w:ascii="黑体" w:hAnsi="宋体" w:eastAsia="黑体"/>
          <w:sz w:val="24"/>
        </w:rPr>
      </w:pPr>
      <w:r>
        <w:rPr>
          <w:rFonts w:hint="eastAsia" w:ascii="黑体" w:hAnsi="宋体" w:eastAsia="黑体"/>
          <w:sz w:val="24"/>
        </w:rPr>
        <w:t>19．</w:t>
      </w:r>
      <w:bookmarkStart w:id="60" w:name="_Hlk72402034"/>
      <w:r>
        <w:rPr>
          <w:rFonts w:hint="eastAsia" w:ascii="黑体" w:hAnsi="宋体" w:eastAsia="黑体"/>
          <w:sz w:val="24"/>
        </w:rPr>
        <w:t>投标文件其他证明文件的要求</w:t>
      </w:r>
    </w:p>
    <w:p>
      <w:pPr>
        <w:spacing w:line="240" w:lineRule="auto"/>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1"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1"/>
    <w:p>
      <w:pPr>
        <w:spacing w:line="240" w:lineRule="auto"/>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spacing w:line="240" w:lineRule="auto"/>
        <w:rPr>
          <w:rFonts w:ascii="黑体" w:hAnsi="宋体" w:eastAsia="黑体"/>
          <w:sz w:val="24"/>
        </w:rPr>
      </w:pPr>
      <w:r>
        <w:rPr>
          <w:rFonts w:hint="eastAsia" w:ascii="黑体" w:hAnsi="宋体" w:eastAsia="黑体"/>
          <w:sz w:val="24"/>
        </w:rPr>
        <w:t>20．投标有效期</w:t>
      </w:r>
    </w:p>
    <w:bookmarkEnd w:id="60"/>
    <w:p>
      <w:pPr>
        <w:spacing w:line="240" w:lineRule="auto"/>
        <w:ind w:firstLine="411" w:firstLineChars="196"/>
        <w:rPr>
          <w:rFonts w:ascii="宋体" w:hAnsi="宋体"/>
          <w:szCs w:val="21"/>
        </w:rPr>
      </w:pPr>
      <w:bookmarkStart w:id="62"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spacing w:line="240" w:lineRule="auto"/>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spacing w:line="240" w:lineRule="auto"/>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2"/>
    <w:p>
      <w:pPr>
        <w:spacing w:line="240" w:lineRule="auto"/>
        <w:rPr>
          <w:rFonts w:ascii="黑体" w:hAnsi="宋体" w:eastAsia="黑体"/>
          <w:sz w:val="24"/>
        </w:rPr>
      </w:pPr>
      <w:r>
        <w:rPr>
          <w:rFonts w:hint="eastAsia" w:ascii="黑体" w:hAnsi="宋体" w:eastAsia="黑体"/>
          <w:sz w:val="24"/>
        </w:rPr>
        <w:t>21．</w:t>
      </w:r>
      <w:bookmarkStart w:id="63" w:name="_Hlk72402325"/>
      <w:r>
        <w:rPr>
          <w:rFonts w:hint="eastAsia" w:ascii="黑体" w:hAnsi="宋体" w:eastAsia="黑体"/>
          <w:sz w:val="24"/>
        </w:rPr>
        <w:t xml:space="preserve">关于投标保证金 </w:t>
      </w:r>
    </w:p>
    <w:p>
      <w:pPr>
        <w:spacing w:line="240" w:lineRule="auto"/>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spacing w:line="240" w:lineRule="auto"/>
        <w:rPr>
          <w:rFonts w:ascii="黑体" w:hAnsi="宋体" w:eastAsia="黑体"/>
          <w:sz w:val="24"/>
        </w:rPr>
      </w:pPr>
      <w:r>
        <w:rPr>
          <w:rFonts w:hint="eastAsia" w:ascii="黑体" w:hAnsi="宋体" w:eastAsia="黑体"/>
          <w:sz w:val="24"/>
        </w:rPr>
        <w:t>22．投标人的替代方案</w:t>
      </w:r>
    </w:p>
    <w:p>
      <w:pPr>
        <w:spacing w:line="240" w:lineRule="auto"/>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spacing w:line="240" w:lineRule="auto"/>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3"/>
    <w:p>
      <w:pPr>
        <w:spacing w:line="240" w:lineRule="auto"/>
        <w:rPr>
          <w:rFonts w:ascii="黑体" w:hAnsi="宋体" w:eastAsia="黑体"/>
          <w:sz w:val="24"/>
        </w:rPr>
      </w:pPr>
      <w:r>
        <w:rPr>
          <w:rFonts w:hint="eastAsia" w:ascii="黑体" w:hAnsi="宋体" w:eastAsia="黑体"/>
          <w:sz w:val="24"/>
        </w:rPr>
        <w:t>23．</w:t>
      </w:r>
      <w:bookmarkStart w:id="64"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spacing w:line="240" w:lineRule="auto"/>
        <w:ind w:firstLine="411" w:firstLineChars="196"/>
        <w:rPr>
          <w:rFonts w:ascii="宋体" w:hAnsi="宋体"/>
        </w:rPr>
      </w:pPr>
      <w:r>
        <w:rPr>
          <w:rFonts w:hint="eastAsia" w:ascii="宋体" w:hAnsi="宋体"/>
        </w:rPr>
        <w:t>23.1投标人应准备所投项目的电子投标文件一份。</w:t>
      </w:r>
    </w:p>
    <w:p>
      <w:pPr>
        <w:spacing w:line="240" w:lineRule="auto"/>
        <w:ind w:firstLine="411" w:firstLineChars="196"/>
        <w:rPr>
          <w:rFonts w:ascii="宋体" w:hAnsi="宋体"/>
        </w:rPr>
      </w:pPr>
      <w:r>
        <w:rPr>
          <w:rFonts w:hint="eastAsia" w:ascii="宋体" w:hAnsi="宋体"/>
        </w:rPr>
        <w:t>23.2投标人在使用《投标书编制软件》编制投标书时须注意：</w:t>
      </w:r>
    </w:p>
    <w:p>
      <w:pPr>
        <w:spacing w:line="240" w:lineRule="auto"/>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spacing w:line="240" w:lineRule="auto"/>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spacing w:line="240" w:lineRule="auto"/>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spacing w:line="240" w:lineRule="auto"/>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spacing w:line="240" w:lineRule="auto"/>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spacing w:line="240" w:lineRule="auto"/>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spacing w:line="240" w:lineRule="auto"/>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spacing w:line="240" w:lineRule="auto"/>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spacing w:line="240" w:lineRule="auto"/>
        <w:ind w:firstLine="411" w:firstLineChars="196"/>
        <w:rPr>
          <w:rFonts w:ascii="宋体" w:hAnsi="宋体"/>
        </w:rPr>
      </w:pPr>
      <w:r>
        <w:rPr>
          <w:rFonts w:hint="eastAsia" w:ascii="宋体" w:hAnsi="宋体"/>
        </w:rPr>
        <w:t>23.3电报、电话、传真形式的投标概不接受。</w:t>
      </w:r>
    </w:p>
    <w:p>
      <w:pPr>
        <w:spacing w:line="240" w:lineRule="auto"/>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spacing w:line="240" w:lineRule="auto"/>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4"/>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投标文件的递交</w:t>
      </w:r>
    </w:p>
    <w:p>
      <w:pPr>
        <w:spacing w:line="240" w:lineRule="auto"/>
        <w:rPr>
          <w:rFonts w:ascii="黑体" w:hAnsi="宋体" w:eastAsia="黑体"/>
          <w:sz w:val="24"/>
        </w:rPr>
      </w:pPr>
      <w:bookmarkStart w:id="65" w:name="_Hlk72405459"/>
      <w:r>
        <w:rPr>
          <w:rFonts w:hint="eastAsia" w:ascii="黑体" w:hAnsi="宋体" w:eastAsia="黑体"/>
          <w:sz w:val="24"/>
        </w:rPr>
        <w:t>24．投标文件的保密</w:t>
      </w:r>
    </w:p>
    <w:p>
      <w:pPr>
        <w:spacing w:line="240" w:lineRule="auto"/>
        <w:ind w:firstLine="411" w:firstLineChars="196"/>
        <w:rPr>
          <w:rFonts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lang w:eastAsia="zh-CN"/>
        </w:rPr>
        <w:t>（</w:t>
      </w:r>
      <w:r>
        <w:rPr>
          <w:rFonts w:hint="eastAsia" w:ascii="宋体" w:hAnsi="宋体"/>
          <w:highlight w:val="yellow"/>
        </w:rPr>
        <w:t>注意：加密的投标文件开标时须使用加密文件时使用的锁在项目规定时间内解密！</w:t>
      </w:r>
      <w:r>
        <w:rPr>
          <w:rFonts w:hint="eastAsia" w:ascii="宋体" w:hAnsi="宋体"/>
          <w:highlight w:val="yellow"/>
          <w:lang w:eastAsia="zh-CN"/>
        </w:rPr>
        <w:t>）</w:t>
      </w:r>
    </w:p>
    <w:p>
      <w:pPr>
        <w:spacing w:line="240" w:lineRule="auto"/>
        <w:rPr>
          <w:rFonts w:ascii="宋体" w:hAnsi="宋体"/>
          <w:b/>
        </w:rPr>
      </w:pPr>
      <w:r>
        <w:rPr>
          <w:rFonts w:hint="eastAsia" w:ascii="宋体" w:hAnsi="宋体"/>
          <w:b/>
        </w:rPr>
        <w:t>24.2若采购项目出现延期情况：</w:t>
      </w:r>
    </w:p>
    <w:p>
      <w:pPr>
        <w:spacing w:line="240" w:lineRule="auto"/>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spacing w:line="240" w:lineRule="auto"/>
        <w:rPr>
          <w:rFonts w:ascii="黑体" w:hAnsi="宋体" w:eastAsia="黑体"/>
          <w:sz w:val="24"/>
        </w:rPr>
      </w:pPr>
      <w:r>
        <w:rPr>
          <w:rFonts w:hint="eastAsia" w:ascii="黑体" w:hAnsi="宋体" w:eastAsia="黑体"/>
          <w:sz w:val="24"/>
        </w:rPr>
        <w:t>25．上传投标文件及投标截止日期</w:t>
      </w:r>
    </w:p>
    <w:p>
      <w:pPr>
        <w:spacing w:line="240" w:lineRule="auto"/>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spacing w:line="240" w:lineRule="auto"/>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spacing w:line="240" w:lineRule="auto"/>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5"/>
    <w:p>
      <w:pPr>
        <w:spacing w:line="240" w:lineRule="auto"/>
        <w:rPr>
          <w:rFonts w:ascii="黑体" w:hAnsi="宋体" w:eastAsia="黑体"/>
          <w:sz w:val="24"/>
        </w:rPr>
      </w:pPr>
      <w:r>
        <w:rPr>
          <w:rFonts w:hint="eastAsia" w:ascii="黑体" w:hAnsi="宋体" w:eastAsia="黑体"/>
          <w:sz w:val="24"/>
        </w:rPr>
        <w:t>26. 样品、现场演示、方案讲解</w:t>
      </w:r>
    </w:p>
    <w:p>
      <w:pPr>
        <w:spacing w:line="240" w:lineRule="auto"/>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spacing w:line="240" w:lineRule="auto"/>
        <w:rPr>
          <w:rFonts w:ascii="黑体" w:hAnsi="宋体" w:eastAsia="黑体"/>
          <w:sz w:val="24"/>
        </w:rPr>
      </w:pPr>
      <w:bookmarkStart w:id="66"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spacing w:line="240" w:lineRule="auto"/>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spacing w:line="240" w:lineRule="auto"/>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spacing w:line="240" w:lineRule="auto"/>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spacing w:line="240" w:lineRule="auto"/>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6"/>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开标</w:t>
      </w:r>
    </w:p>
    <w:p>
      <w:pPr>
        <w:spacing w:line="240" w:lineRule="auto"/>
        <w:rPr>
          <w:rFonts w:ascii="黑体" w:hAnsi="宋体" w:eastAsia="黑体"/>
          <w:sz w:val="24"/>
        </w:rPr>
      </w:pPr>
      <w:r>
        <w:rPr>
          <w:rFonts w:hint="eastAsia" w:ascii="黑体" w:hAnsi="宋体" w:eastAsia="黑体"/>
          <w:sz w:val="24"/>
        </w:rPr>
        <w:t>28．开标</w:t>
      </w:r>
    </w:p>
    <w:p>
      <w:pPr>
        <w:spacing w:line="240" w:lineRule="auto"/>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spacing w:line="240" w:lineRule="auto"/>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评审要求</w:t>
      </w:r>
    </w:p>
    <w:p>
      <w:pPr>
        <w:spacing w:line="240" w:lineRule="auto"/>
        <w:rPr>
          <w:rFonts w:ascii="黑体" w:hAnsi="宋体" w:eastAsia="黑体"/>
          <w:sz w:val="24"/>
        </w:rPr>
      </w:pPr>
      <w:r>
        <w:rPr>
          <w:rFonts w:hint="eastAsia" w:ascii="黑体" w:hAnsi="宋体" w:eastAsia="黑体"/>
          <w:sz w:val="24"/>
        </w:rPr>
        <w:t>29．评审委员会组成</w:t>
      </w:r>
    </w:p>
    <w:p>
      <w:pPr>
        <w:spacing w:line="240" w:lineRule="auto"/>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spacing w:line="240" w:lineRule="auto"/>
        <w:ind w:firstLine="411" w:firstLineChars="196"/>
        <w:rPr>
          <w:rFonts w:ascii="宋体" w:hAnsi="宋体"/>
        </w:rPr>
      </w:pPr>
      <w:bookmarkStart w:id="67"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7"/>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spacing w:line="240" w:lineRule="auto"/>
        <w:ind w:firstLine="411" w:firstLineChars="196"/>
        <w:rPr>
          <w:rFonts w:ascii="宋体" w:hAnsi="宋体"/>
        </w:rPr>
      </w:pPr>
      <w:r>
        <w:rPr>
          <w:rFonts w:hint="eastAsia" w:ascii="宋体" w:hAnsi="宋体"/>
        </w:rPr>
        <w:t>29.2评审定标应当遵循公平、公正、科学、择优的原则。</w:t>
      </w:r>
    </w:p>
    <w:p>
      <w:pPr>
        <w:spacing w:line="240" w:lineRule="auto"/>
        <w:ind w:firstLine="411" w:firstLineChars="196"/>
        <w:rPr>
          <w:rFonts w:ascii="宋体" w:hAnsi="宋体"/>
        </w:rPr>
      </w:pPr>
      <w:r>
        <w:rPr>
          <w:rFonts w:hint="eastAsia" w:ascii="宋体" w:hAnsi="宋体"/>
        </w:rPr>
        <w:t>29.3评审活动依法进行，任何单位和个人不得非法干预评标过程和结果。</w:t>
      </w:r>
    </w:p>
    <w:p>
      <w:pPr>
        <w:spacing w:line="240" w:lineRule="auto"/>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spacing w:line="240" w:lineRule="auto"/>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spacing w:line="240" w:lineRule="auto"/>
        <w:rPr>
          <w:rFonts w:ascii="黑体" w:hAnsi="宋体" w:eastAsia="黑体"/>
          <w:sz w:val="24"/>
        </w:rPr>
      </w:pPr>
      <w:r>
        <w:rPr>
          <w:rFonts w:hint="eastAsia" w:ascii="黑体" w:hAnsi="宋体" w:eastAsia="黑体"/>
          <w:sz w:val="24"/>
        </w:rPr>
        <w:t>30．向评审委员会提供的资料</w:t>
      </w:r>
    </w:p>
    <w:p>
      <w:pPr>
        <w:spacing w:line="240" w:lineRule="auto"/>
        <w:ind w:firstLine="411" w:firstLineChars="196"/>
        <w:rPr>
          <w:rFonts w:ascii="宋体" w:hAnsi="宋体"/>
        </w:rPr>
      </w:pPr>
      <w:r>
        <w:rPr>
          <w:rFonts w:hint="eastAsia" w:ascii="宋体" w:hAnsi="宋体"/>
        </w:rPr>
        <w:t>30.1公开发布的招标文件，包括图纸、服务清单、答疑文件等；</w:t>
      </w:r>
    </w:p>
    <w:p>
      <w:pPr>
        <w:spacing w:line="240" w:lineRule="auto"/>
        <w:ind w:firstLine="411" w:firstLineChars="196"/>
        <w:rPr>
          <w:rFonts w:ascii="宋体" w:hAnsi="宋体"/>
        </w:rPr>
      </w:pPr>
      <w:r>
        <w:rPr>
          <w:rFonts w:hint="eastAsia" w:ascii="宋体" w:hAnsi="宋体"/>
        </w:rPr>
        <w:t>30.2其他评标必须的资料。</w:t>
      </w:r>
    </w:p>
    <w:p>
      <w:pPr>
        <w:spacing w:line="240" w:lineRule="auto"/>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spacing w:line="240" w:lineRule="auto"/>
        <w:ind w:firstLine="411" w:firstLineChars="196"/>
        <w:rPr>
          <w:rFonts w:ascii="宋体" w:hAnsi="宋体"/>
        </w:rPr>
      </w:pPr>
      <w:r>
        <w:rPr>
          <w:rFonts w:hint="eastAsia" w:ascii="宋体" w:hAnsi="宋体"/>
        </w:rPr>
        <w:t>（1）招标的目的；</w:t>
      </w:r>
    </w:p>
    <w:p>
      <w:pPr>
        <w:spacing w:line="240" w:lineRule="auto"/>
        <w:ind w:firstLine="411" w:firstLineChars="196"/>
        <w:rPr>
          <w:rFonts w:ascii="宋体" w:hAnsi="宋体"/>
        </w:rPr>
      </w:pPr>
      <w:r>
        <w:rPr>
          <w:rFonts w:hint="eastAsia" w:ascii="宋体" w:hAnsi="宋体"/>
        </w:rPr>
        <w:t>（2）招标项目需求的范围和性质；</w:t>
      </w:r>
    </w:p>
    <w:p>
      <w:pPr>
        <w:spacing w:line="240" w:lineRule="auto"/>
        <w:ind w:firstLine="411" w:firstLineChars="196"/>
        <w:rPr>
          <w:rFonts w:ascii="宋体" w:hAnsi="宋体"/>
        </w:rPr>
      </w:pPr>
      <w:r>
        <w:rPr>
          <w:rFonts w:hint="eastAsia" w:ascii="宋体" w:hAnsi="宋体"/>
        </w:rPr>
        <w:t>（3）招标文件规定的投标人的资格、财政预算限额、商务条款；</w:t>
      </w:r>
    </w:p>
    <w:p>
      <w:pPr>
        <w:spacing w:line="240" w:lineRule="auto"/>
        <w:ind w:firstLine="411" w:firstLineChars="196"/>
        <w:rPr>
          <w:rFonts w:ascii="宋体" w:hAnsi="宋体"/>
        </w:rPr>
      </w:pPr>
      <w:r>
        <w:rPr>
          <w:rFonts w:hint="eastAsia" w:ascii="宋体" w:hAnsi="宋体"/>
        </w:rPr>
        <w:t>（4）招标文件规定的评标程序、评标方法和评标因素；</w:t>
      </w:r>
    </w:p>
    <w:p>
      <w:pPr>
        <w:spacing w:line="240" w:lineRule="auto"/>
        <w:ind w:firstLine="411" w:firstLineChars="196"/>
        <w:rPr>
          <w:rFonts w:ascii="宋体" w:hAnsi="宋体"/>
        </w:rPr>
      </w:pPr>
      <w:r>
        <w:rPr>
          <w:rFonts w:hint="eastAsia" w:ascii="宋体" w:hAnsi="宋体"/>
        </w:rPr>
        <w:t>（5）招标文件所列示的资格性审查表及符合性审查表。</w:t>
      </w:r>
    </w:p>
    <w:p>
      <w:pPr>
        <w:spacing w:line="240" w:lineRule="auto"/>
        <w:rPr>
          <w:rFonts w:ascii="黑体" w:hAnsi="宋体" w:eastAsia="黑体"/>
          <w:sz w:val="24"/>
        </w:rPr>
      </w:pPr>
      <w:r>
        <w:rPr>
          <w:rFonts w:hint="eastAsia" w:ascii="黑体" w:hAnsi="宋体" w:eastAsia="黑体"/>
          <w:sz w:val="24"/>
        </w:rPr>
        <w:t>31．独立评审</w:t>
      </w:r>
    </w:p>
    <w:p>
      <w:pPr>
        <w:spacing w:line="240" w:lineRule="auto"/>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评审程序及评审方法</w:t>
      </w:r>
    </w:p>
    <w:p>
      <w:pPr>
        <w:spacing w:line="240" w:lineRule="auto"/>
        <w:rPr>
          <w:rFonts w:ascii="黑体" w:hAnsi="宋体" w:eastAsia="黑体"/>
          <w:sz w:val="24"/>
        </w:rPr>
      </w:pPr>
      <w:r>
        <w:rPr>
          <w:rFonts w:hint="eastAsia" w:ascii="黑体" w:hAnsi="宋体" w:eastAsia="黑体"/>
          <w:sz w:val="24"/>
        </w:rPr>
        <w:t>32．投标文件初审</w:t>
      </w:r>
    </w:p>
    <w:p>
      <w:pPr>
        <w:spacing w:line="240" w:lineRule="auto"/>
        <w:ind w:firstLine="411" w:firstLineChars="196"/>
        <w:rPr>
          <w:rFonts w:ascii="宋体" w:hAnsi="宋体"/>
        </w:rPr>
      </w:pPr>
      <w:r>
        <w:rPr>
          <w:rFonts w:hint="eastAsia" w:ascii="宋体" w:hAnsi="宋体"/>
        </w:rPr>
        <w:t>32.1投标文件初审包括资格性审查和符合性审查。</w:t>
      </w:r>
    </w:p>
    <w:p>
      <w:pPr>
        <w:spacing w:line="240" w:lineRule="auto"/>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spacing w:line="240" w:lineRule="auto"/>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spacing w:line="240" w:lineRule="auto"/>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spacing w:line="240" w:lineRule="auto"/>
        <w:ind w:firstLine="411" w:firstLineChars="196"/>
        <w:rPr>
          <w:rFonts w:ascii="宋体" w:hAnsi="宋体"/>
          <w:bCs/>
        </w:rPr>
      </w:pPr>
      <w:r>
        <w:rPr>
          <w:rFonts w:hint="eastAsia" w:ascii="宋体" w:hAnsi="宋体"/>
          <w:bCs/>
        </w:rPr>
        <w:t>32.3 投标文件初审中关于供应商家数的计算</w:t>
      </w:r>
      <w:r>
        <w:rPr>
          <w:rFonts w:hint="eastAsia" w:ascii="宋体" w:hAnsi="宋体"/>
          <w:bCs/>
          <w:lang w:eastAsia="zh-CN"/>
        </w:rPr>
        <w:t>：</w:t>
      </w:r>
    </w:p>
    <w:p>
      <w:pPr>
        <w:spacing w:line="240" w:lineRule="auto"/>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spacing w:line="240" w:lineRule="auto"/>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spacing w:line="240" w:lineRule="auto"/>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spacing w:line="240" w:lineRule="auto"/>
        <w:ind w:firstLine="411" w:firstLineChars="196"/>
        <w:rPr>
          <w:rFonts w:ascii="宋体" w:hAnsi="宋体"/>
        </w:rPr>
      </w:pPr>
      <w:r>
        <w:rPr>
          <w:rFonts w:hint="eastAsia" w:ascii="宋体" w:hAnsi="宋体"/>
        </w:rPr>
        <w:t>32.4投标人投标文件作无效处理的情形，具体包括但不限于以下：</w:t>
      </w:r>
    </w:p>
    <w:p>
      <w:pPr>
        <w:spacing w:line="240" w:lineRule="auto"/>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spacing w:line="240" w:lineRule="auto"/>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spacing w:line="240" w:lineRule="auto"/>
        <w:ind w:firstLine="411" w:firstLineChars="196"/>
        <w:rPr>
          <w:rFonts w:ascii="宋体" w:hAnsi="宋体"/>
        </w:rPr>
      </w:pPr>
      <w:r>
        <w:rPr>
          <w:rFonts w:hint="eastAsia" w:ascii="宋体" w:hAnsi="宋体"/>
        </w:rPr>
        <w:t>32.4.3不同投标人的投标文件载明的项目管理成员或者联系人员为同一人；</w:t>
      </w:r>
    </w:p>
    <w:p>
      <w:pPr>
        <w:spacing w:line="240" w:lineRule="auto"/>
        <w:ind w:firstLine="411" w:firstLineChars="196"/>
        <w:rPr>
          <w:rFonts w:ascii="宋体" w:hAnsi="宋体"/>
        </w:rPr>
      </w:pPr>
      <w:r>
        <w:rPr>
          <w:rFonts w:hint="eastAsia" w:ascii="宋体" w:hAnsi="宋体"/>
        </w:rPr>
        <w:t>32.4.4不同投标人的投标文件异常一致或者投标报价呈规律性差异；</w:t>
      </w:r>
    </w:p>
    <w:p>
      <w:pPr>
        <w:spacing w:line="240" w:lineRule="auto"/>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spacing w:line="240" w:lineRule="auto"/>
        <w:ind w:firstLine="411" w:firstLineChars="196"/>
        <w:rPr>
          <w:rFonts w:ascii="宋体" w:hAnsi="宋体"/>
        </w:rPr>
      </w:pPr>
      <w:r>
        <w:rPr>
          <w:rFonts w:hint="eastAsia" w:ascii="宋体" w:hAnsi="宋体"/>
        </w:rPr>
        <w:t>32.4.6投标供应商之间相互约定给予未中标的供应商利益补偿；</w:t>
      </w:r>
    </w:p>
    <w:p>
      <w:pPr>
        <w:spacing w:line="240" w:lineRule="auto"/>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spacing w:line="240" w:lineRule="auto"/>
        <w:ind w:firstLine="411" w:firstLineChars="196"/>
        <w:rPr>
          <w:rFonts w:ascii="宋体" w:hAnsi="宋体"/>
        </w:rPr>
      </w:pPr>
      <w:r>
        <w:rPr>
          <w:rFonts w:hint="eastAsia" w:ascii="宋体" w:hAnsi="宋体"/>
        </w:rPr>
        <w:t>32.4.8不同投标供应商的投标文件内容存在非正常一致；</w:t>
      </w:r>
    </w:p>
    <w:p>
      <w:pPr>
        <w:spacing w:line="240" w:lineRule="auto"/>
        <w:ind w:firstLine="411" w:firstLineChars="196"/>
        <w:rPr>
          <w:rFonts w:ascii="宋体" w:hAnsi="宋体"/>
        </w:rPr>
      </w:pPr>
      <w:r>
        <w:rPr>
          <w:rFonts w:hint="eastAsia" w:ascii="宋体" w:hAnsi="宋体"/>
        </w:rPr>
        <w:t>32.4.9在同一单位工作人员为两家以上（含两家）供应商进行同一项投标活动；</w:t>
      </w:r>
    </w:p>
    <w:p>
      <w:pPr>
        <w:spacing w:line="240" w:lineRule="auto"/>
        <w:ind w:firstLine="411" w:firstLineChars="196"/>
        <w:rPr>
          <w:rFonts w:ascii="宋体" w:hAnsi="宋体"/>
        </w:rPr>
      </w:pPr>
      <w:r>
        <w:rPr>
          <w:rFonts w:hint="eastAsia" w:ascii="宋体" w:hAnsi="宋体"/>
        </w:rPr>
        <w:t>32.4.10主管部门依照法律、法规认定的其他情形。</w:t>
      </w:r>
    </w:p>
    <w:p>
      <w:pPr>
        <w:spacing w:line="240" w:lineRule="auto"/>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spacing w:line="240" w:lineRule="auto"/>
        <w:rPr>
          <w:rFonts w:ascii="黑体" w:hAnsi="宋体" w:eastAsia="黑体"/>
          <w:sz w:val="24"/>
        </w:rPr>
      </w:pPr>
      <w:r>
        <w:rPr>
          <w:rFonts w:hint="eastAsia" w:ascii="黑体" w:hAnsi="宋体" w:eastAsia="黑体"/>
          <w:sz w:val="24"/>
        </w:rPr>
        <w:t>33．澄清有关问题</w:t>
      </w:r>
    </w:p>
    <w:p>
      <w:pPr>
        <w:spacing w:line="240" w:lineRule="auto"/>
        <w:ind w:firstLine="411" w:firstLineChars="196"/>
        <w:rPr>
          <w:rFonts w:ascii="宋体" w:hAnsi="宋体"/>
        </w:rPr>
      </w:pPr>
      <w:bookmarkStart w:id="68"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8"/>
    </w:p>
    <w:p>
      <w:pPr>
        <w:spacing w:line="240" w:lineRule="auto"/>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spacing w:line="240" w:lineRule="auto"/>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spacing w:line="240" w:lineRule="auto"/>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spacing w:line="240" w:lineRule="auto"/>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spacing w:line="240" w:lineRule="auto"/>
        <w:rPr>
          <w:rFonts w:ascii="黑体" w:hAnsi="宋体" w:eastAsia="黑体"/>
          <w:sz w:val="24"/>
        </w:rPr>
      </w:pPr>
      <w:bookmarkStart w:id="69" w:name="_Toc73521581"/>
      <w:bookmarkStart w:id="70" w:name="_Toc73521669"/>
      <w:bookmarkStart w:id="71" w:name="_Toc73517673"/>
      <w:bookmarkStart w:id="72" w:name="_Toc73518151"/>
      <w:bookmarkStart w:id="73" w:name="_Toc100052400"/>
      <w:r>
        <w:rPr>
          <w:rFonts w:hint="eastAsia" w:ascii="黑体" w:hAnsi="宋体" w:eastAsia="黑体"/>
          <w:sz w:val="24"/>
        </w:rPr>
        <w:t>34．错误的修正</w:t>
      </w:r>
      <w:bookmarkEnd w:id="69"/>
      <w:bookmarkEnd w:id="70"/>
      <w:bookmarkEnd w:id="71"/>
      <w:bookmarkEnd w:id="72"/>
      <w:bookmarkEnd w:id="73"/>
    </w:p>
    <w:p>
      <w:pPr>
        <w:spacing w:line="240" w:lineRule="auto"/>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spacing w:line="240" w:lineRule="auto"/>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spacing w:line="240" w:lineRule="auto"/>
        <w:ind w:firstLine="411" w:firstLineChars="196"/>
        <w:rPr>
          <w:rFonts w:ascii="宋体" w:hAnsi="宋体"/>
          <w:szCs w:val="21"/>
        </w:rPr>
      </w:pPr>
      <w:r>
        <w:rPr>
          <w:rFonts w:hint="eastAsia" w:ascii="宋体" w:hAnsi="宋体"/>
          <w:szCs w:val="21"/>
        </w:rPr>
        <w:t>34.2大写金额和小写金额不一致的，以大写金额为准；</w:t>
      </w:r>
    </w:p>
    <w:p>
      <w:pPr>
        <w:spacing w:line="240" w:lineRule="auto"/>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spacing w:line="240" w:lineRule="auto"/>
        <w:ind w:firstLine="411" w:firstLineChars="196"/>
        <w:rPr>
          <w:rFonts w:ascii="宋体" w:hAnsi="宋体"/>
          <w:szCs w:val="21"/>
        </w:rPr>
      </w:pPr>
      <w:r>
        <w:rPr>
          <w:rFonts w:hint="eastAsia" w:ascii="宋体" w:hAnsi="宋体"/>
          <w:szCs w:val="21"/>
        </w:rPr>
        <w:t>34.4总价金额与按单价汇总金额不一致的，以单价金额计算结果为准。</w:t>
      </w:r>
    </w:p>
    <w:p>
      <w:pPr>
        <w:spacing w:line="240" w:lineRule="auto"/>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spacing w:line="240" w:lineRule="auto"/>
        <w:rPr>
          <w:rFonts w:ascii="黑体" w:hAnsi="宋体" w:eastAsia="黑体"/>
          <w:sz w:val="24"/>
        </w:rPr>
      </w:pPr>
      <w:r>
        <w:rPr>
          <w:rFonts w:hint="eastAsia" w:ascii="黑体" w:hAnsi="宋体" w:eastAsia="黑体"/>
          <w:sz w:val="24"/>
        </w:rPr>
        <w:t>35．投标文件的比较与评价</w:t>
      </w:r>
    </w:p>
    <w:p>
      <w:pPr>
        <w:spacing w:line="240" w:lineRule="auto"/>
        <w:ind w:firstLine="411" w:firstLineChars="196"/>
        <w:rPr>
          <w:rFonts w:ascii="宋体" w:hAnsi="宋体"/>
          <w:szCs w:val="21"/>
        </w:rPr>
      </w:pPr>
      <w:r>
        <w:rPr>
          <w:rFonts w:hint="eastAsia" w:ascii="宋体" w:hAnsi="宋体"/>
          <w:szCs w:val="21"/>
        </w:rPr>
        <w:t>评审委员会将按照《深圳经济特区政府采购条例</w:t>
      </w:r>
      <w:r>
        <w:rPr>
          <w:rFonts w:hint="eastAsia" w:ascii="宋体" w:hAnsi="宋体"/>
          <w:szCs w:val="21"/>
          <w:lang w:eastAsia="zh-CN"/>
        </w:rPr>
        <w:t>》《</w:t>
      </w:r>
      <w:r>
        <w:rPr>
          <w:rFonts w:hint="eastAsia" w:ascii="宋体" w:hAnsi="宋体"/>
          <w:szCs w:val="21"/>
        </w:rPr>
        <w:t>深圳经济特区政府采购条例实施细则</w:t>
      </w:r>
      <w:r>
        <w:rPr>
          <w:rFonts w:hint="eastAsia" w:ascii="宋体" w:hAnsi="宋体"/>
          <w:szCs w:val="21"/>
          <w:lang w:eastAsia="zh-CN"/>
        </w:rPr>
        <w:t>》《</w:t>
      </w:r>
      <w:r>
        <w:rPr>
          <w:rFonts w:hint="eastAsia" w:ascii="宋体" w:hAnsi="宋体"/>
          <w:szCs w:val="21"/>
        </w:rPr>
        <w:t>深圳市政府采购评标定标分离管理办法》及政府采购其他法律法规，仅对通过资格性审查和符合性审查的投标文件进行综合比较与评价。</w:t>
      </w:r>
    </w:p>
    <w:p>
      <w:pPr>
        <w:spacing w:line="240" w:lineRule="auto"/>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spacing w:line="240" w:lineRule="auto"/>
        <w:rPr>
          <w:rFonts w:ascii="黑体" w:hAnsi="宋体" w:eastAsia="黑体"/>
          <w:sz w:val="24"/>
        </w:rPr>
      </w:pPr>
      <w:r>
        <w:rPr>
          <w:rFonts w:hint="eastAsia" w:ascii="黑体" w:hAnsi="宋体" w:eastAsia="黑体"/>
          <w:sz w:val="24"/>
        </w:rPr>
        <w:t>36. 实地考察或资料查验</w:t>
      </w:r>
    </w:p>
    <w:p>
      <w:pPr>
        <w:spacing w:line="240" w:lineRule="auto"/>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spacing w:line="240" w:lineRule="auto"/>
        <w:rPr>
          <w:rFonts w:ascii="黑体" w:hAnsi="宋体" w:eastAsia="黑体"/>
          <w:sz w:val="24"/>
        </w:rPr>
      </w:pPr>
      <w:r>
        <w:rPr>
          <w:rFonts w:hint="eastAsia" w:ascii="黑体" w:hAnsi="宋体" w:eastAsia="黑体"/>
          <w:sz w:val="24"/>
        </w:rPr>
        <w:t>37．评审方法</w:t>
      </w:r>
    </w:p>
    <w:p>
      <w:pPr>
        <w:spacing w:line="240" w:lineRule="auto"/>
        <w:ind w:firstLine="413" w:firstLineChars="196"/>
        <w:rPr>
          <w:rFonts w:ascii="宋体" w:hAnsi="宋体"/>
          <w:b/>
          <w:bCs/>
          <w:szCs w:val="21"/>
        </w:rPr>
      </w:pPr>
      <w:bookmarkStart w:id="74" w:name="_Hlk72438142"/>
      <w:r>
        <w:rPr>
          <w:rFonts w:hint="eastAsia" w:ascii="宋体" w:hAnsi="宋体"/>
          <w:b/>
          <w:bCs/>
          <w:szCs w:val="21"/>
        </w:rPr>
        <w:t>37.1.1最低价法</w:t>
      </w:r>
    </w:p>
    <w:p>
      <w:pPr>
        <w:spacing w:line="240" w:lineRule="auto"/>
        <w:ind w:firstLine="411" w:firstLineChars="196"/>
        <w:rPr>
          <w:rFonts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spacing w:line="240" w:lineRule="auto"/>
        <w:ind w:firstLine="411" w:firstLineChars="196"/>
        <w:rPr>
          <w:rFonts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spacing w:line="240" w:lineRule="auto"/>
        <w:ind w:firstLine="413" w:firstLineChars="196"/>
        <w:rPr>
          <w:rFonts w:ascii="宋体" w:hAnsi="宋体"/>
          <w:b/>
          <w:bCs/>
          <w:szCs w:val="21"/>
        </w:rPr>
      </w:pPr>
      <w:r>
        <w:rPr>
          <w:rFonts w:hint="eastAsia" w:ascii="宋体" w:hAnsi="宋体"/>
          <w:b/>
          <w:bCs/>
          <w:szCs w:val="21"/>
        </w:rPr>
        <w:t>37.1.2综合评分法</w:t>
      </w:r>
    </w:p>
    <w:p>
      <w:pPr>
        <w:spacing w:line="240" w:lineRule="auto"/>
        <w:ind w:firstLine="411" w:firstLineChars="196"/>
        <w:rPr>
          <w:rFonts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spacing w:line="240" w:lineRule="auto"/>
        <w:ind w:firstLine="411" w:firstLineChars="196"/>
        <w:rPr>
          <w:rFonts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4"/>
    </w:p>
    <w:p>
      <w:pPr>
        <w:spacing w:line="240" w:lineRule="auto"/>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pPr>
        <w:spacing w:line="240" w:lineRule="auto"/>
        <w:ind w:firstLine="413" w:firstLineChars="196"/>
        <w:rPr>
          <w:rFonts w:ascii="宋体" w:hAnsi="宋体"/>
          <w:b/>
          <w:bCs/>
          <w:szCs w:val="21"/>
        </w:rPr>
      </w:pPr>
      <w:r>
        <w:rPr>
          <w:rFonts w:hint="eastAsia" w:ascii="宋体" w:hAnsi="宋体"/>
          <w:b/>
          <w:bCs/>
          <w:szCs w:val="21"/>
        </w:rPr>
        <w:t>37.3重新评审的情形</w:t>
      </w:r>
    </w:p>
    <w:p>
      <w:pPr>
        <w:spacing w:line="240" w:lineRule="auto"/>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spacing w:line="240" w:lineRule="auto"/>
        <w:ind w:firstLine="411" w:firstLineChars="196"/>
        <w:rPr>
          <w:rFonts w:ascii="宋体" w:hAnsi="宋体" w:cs="宋体"/>
          <w:kern w:val="0"/>
          <w:szCs w:val="21"/>
        </w:rPr>
      </w:pPr>
      <w:r>
        <w:rPr>
          <w:rFonts w:hint="eastAsia" w:ascii="宋体" w:hAnsi="宋体" w:cs="宋体"/>
          <w:kern w:val="0"/>
          <w:szCs w:val="21"/>
        </w:rPr>
        <w:t>37.3.1分值汇总计算错误的；</w:t>
      </w:r>
    </w:p>
    <w:p>
      <w:pPr>
        <w:spacing w:line="240" w:lineRule="auto"/>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spacing w:line="240" w:lineRule="auto"/>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spacing w:line="240" w:lineRule="auto"/>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spacing w:line="240" w:lineRule="auto"/>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spacing w:line="240" w:lineRule="auto"/>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spacing w:line="240" w:lineRule="auto"/>
        <w:ind w:firstLine="413" w:firstLineChars="196"/>
        <w:rPr>
          <w:rFonts w:ascii="宋体" w:hAnsi="宋体"/>
          <w:b/>
          <w:bCs/>
          <w:szCs w:val="21"/>
        </w:rPr>
      </w:pPr>
      <w:r>
        <w:rPr>
          <w:rFonts w:hint="eastAsia" w:ascii="宋体" w:hAnsi="宋体"/>
          <w:b/>
          <w:bCs/>
          <w:szCs w:val="21"/>
        </w:rPr>
        <w:t xml:space="preserve"> 37.4重新组建评审委员会的情形</w:t>
      </w:r>
    </w:p>
    <w:p>
      <w:pPr>
        <w:spacing w:line="240" w:lineRule="auto"/>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spacing w:line="240" w:lineRule="auto"/>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spacing w:line="240" w:lineRule="auto"/>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spacing w:line="240" w:lineRule="auto"/>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spacing w:line="240" w:lineRule="auto"/>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spacing w:line="240" w:lineRule="auto"/>
        <w:ind w:firstLine="411" w:firstLineChars="196"/>
        <w:rPr>
          <w:rFonts w:ascii="宋体" w:hAnsi="宋体"/>
          <w:szCs w:val="21"/>
        </w:rPr>
      </w:pPr>
      <w:r>
        <w:rPr>
          <w:rFonts w:hint="eastAsia" w:ascii="宋体" w:hAnsi="宋体" w:cs="宋体"/>
          <w:kern w:val="0"/>
          <w:szCs w:val="21"/>
        </w:rPr>
        <w:t>有违法违规行为的原评审委员会成员不得参加重新组建的评审委员会。</w:t>
      </w:r>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定标及公示</w:t>
      </w:r>
    </w:p>
    <w:p>
      <w:pPr>
        <w:spacing w:line="240" w:lineRule="auto"/>
        <w:rPr>
          <w:rFonts w:ascii="黑体" w:hAnsi="宋体" w:eastAsia="黑体"/>
          <w:sz w:val="24"/>
        </w:rPr>
      </w:pPr>
      <w:r>
        <w:rPr>
          <w:rFonts w:hint="eastAsia" w:ascii="黑体" w:hAnsi="宋体" w:eastAsia="黑体"/>
          <w:sz w:val="24"/>
        </w:rPr>
        <w:t>38．定标方法</w:t>
      </w:r>
    </w:p>
    <w:p>
      <w:pPr>
        <w:spacing w:line="240" w:lineRule="auto"/>
        <w:ind w:firstLine="411" w:firstLineChars="196"/>
        <w:rPr>
          <w:rFonts w:ascii="宋体" w:hAnsi="宋体"/>
          <w:szCs w:val="21"/>
        </w:rPr>
      </w:pPr>
      <w:bookmarkStart w:id="75" w:name="_Hlk73782795"/>
      <w:r>
        <w:rPr>
          <w:rFonts w:hint="eastAsia" w:ascii="宋体" w:hAnsi="宋体"/>
          <w:szCs w:val="21"/>
        </w:rPr>
        <w:t>38.1非评定分离项目定标方法</w:t>
      </w:r>
    </w:p>
    <w:p>
      <w:pPr>
        <w:spacing w:line="240" w:lineRule="auto"/>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spacing w:line="240" w:lineRule="auto"/>
        <w:ind w:firstLine="411" w:firstLineChars="196"/>
        <w:rPr>
          <w:rFonts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spacing w:line="240" w:lineRule="auto"/>
        <w:ind w:firstLine="411" w:firstLineChars="196"/>
        <w:rPr>
          <w:rFonts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spacing w:line="240" w:lineRule="auto"/>
        <w:ind w:firstLine="411" w:firstLineChars="196"/>
        <w:rPr>
          <w:rFonts w:ascii="宋体" w:hAnsi="宋体"/>
          <w:szCs w:val="21"/>
        </w:rPr>
      </w:pPr>
      <w:r>
        <w:rPr>
          <w:rFonts w:hint="eastAsia" w:ascii="宋体" w:hAnsi="宋体"/>
          <w:szCs w:val="21"/>
        </w:rPr>
        <w:t>38.2评定分离项目定标方法</w:t>
      </w:r>
    </w:p>
    <w:p>
      <w:pPr>
        <w:spacing w:line="240" w:lineRule="auto"/>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spacing w:line="240" w:lineRule="auto"/>
        <w:ind w:firstLine="411" w:firstLineChars="196"/>
      </w:pPr>
      <w:r>
        <w:rPr>
          <w:rFonts w:ascii="宋体" w:hAnsi="宋体"/>
          <w:szCs w:val="21"/>
        </w:rPr>
        <w:t xml:space="preserve">38.2.2 </w:t>
      </w:r>
      <w:bookmarkStart w:id="76"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spacing w:line="240" w:lineRule="auto"/>
        <w:ind w:firstLine="411" w:firstLineChars="196"/>
        <w:rPr>
          <w:rFonts w:ascii="宋体" w:hAnsi="宋体"/>
          <w:szCs w:val="21"/>
        </w:rPr>
      </w:pPr>
      <w:r>
        <w:rPr>
          <w:rFonts w:hint="eastAsia" w:ascii="宋体" w:hAnsi="宋体"/>
          <w:szCs w:val="21"/>
        </w:rPr>
        <w:t>38.2.3</w:t>
      </w:r>
      <w:bookmarkStart w:id="77"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6"/>
      <w:bookmarkEnd w:id="77"/>
    </w:p>
    <w:p>
      <w:pPr>
        <w:spacing w:line="240" w:lineRule="auto"/>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》执行。</w:t>
      </w:r>
    </w:p>
    <w:p>
      <w:pPr>
        <w:spacing w:line="240" w:lineRule="auto"/>
        <w:ind w:firstLine="411" w:firstLineChars="196"/>
        <w:rPr>
          <w:rFonts w:ascii="宋体" w:hAnsi="宋体"/>
          <w:szCs w:val="21"/>
        </w:rPr>
      </w:pPr>
      <w:r>
        <w:rPr>
          <w:rFonts w:hint="eastAsia" w:ascii="宋体" w:hAnsi="宋体"/>
          <w:szCs w:val="21"/>
        </w:rPr>
        <w:t>说明：采购人及投标供应商应按照上述方法提前做好相关准备。</w:t>
      </w:r>
    </w:p>
    <w:p>
      <w:pPr>
        <w:spacing w:line="240" w:lineRule="auto"/>
        <w:ind w:firstLine="411" w:firstLineChars="196"/>
        <w:rPr>
          <w:rFonts w:ascii="宋体" w:hAnsi="宋体"/>
          <w:szCs w:val="21"/>
        </w:rPr>
      </w:pPr>
      <w:r>
        <w:rPr>
          <w:rFonts w:hint="eastAsia" w:ascii="宋体" w:hAnsi="宋体"/>
          <w:szCs w:val="21"/>
        </w:rPr>
        <w:t>38.3专用条款另有规定的，按专用条款相关要求定标。</w:t>
      </w:r>
      <w:bookmarkEnd w:id="75"/>
    </w:p>
    <w:p>
      <w:pPr>
        <w:spacing w:line="240" w:lineRule="auto"/>
        <w:rPr>
          <w:rFonts w:ascii="黑体" w:hAnsi="宋体" w:eastAsia="黑体"/>
          <w:sz w:val="24"/>
        </w:rPr>
      </w:pPr>
      <w:r>
        <w:rPr>
          <w:rFonts w:hint="eastAsia" w:ascii="黑体" w:hAnsi="宋体" w:eastAsia="黑体"/>
          <w:sz w:val="24"/>
        </w:rPr>
        <w:t>39．编写评审报告</w:t>
      </w:r>
    </w:p>
    <w:p>
      <w:pPr>
        <w:spacing w:line="240" w:lineRule="auto"/>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spacing w:line="240" w:lineRule="auto"/>
        <w:rPr>
          <w:rFonts w:ascii="黑体" w:hAnsi="宋体" w:eastAsia="黑体"/>
          <w:sz w:val="24"/>
        </w:rPr>
      </w:pPr>
      <w:r>
        <w:rPr>
          <w:rFonts w:hint="eastAsia" w:ascii="黑体" w:hAnsi="宋体" w:eastAsia="黑体"/>
          <w:sz w:val="24"/>
        </w:rPr>
        <w:t>40．中标公告</w:t>
      </w:r>
    </w:p>
    <w:p>
      <w:pPr>
        <w:spacing w:line="240" w:lineRule="auto"/>
        <w:ind w:firstLine="411" w:firstLineChars="196"/>
        <w:rPr>
          <w:rFonts w:ascii="宋体" w:hAnsi="宋体"/>
          <w:szCs w:val="21"/>
        </w:rPr>
      </w:pPr>
      <w:r>
        <w:rPr>
          <w:rFonts w:hint="eastAsia" w:ascii="宋体" w:hAnsi="宋体"/>
          <w:szCs w:val="21"/>
        </w:rPr>
        <w:t>40.1</w:t>
      </w:r>
      <w:bookmarkStart w:id="78"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78"/>
      <w:bookmarkStart w:id="79"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79"/>
    <w:p>
      <w:pPr>
        <w:spacing w:line="240" w:lineRule="auto"/>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spacing w:line="240" w:lineRule="auto"/>
        <w:rPr>
          <w:rFonts w:ascii="黑体" w:hAnsi="宋体" w:eastAsia="黑体"/>
          <w:sz w:val="24"/>
        </w:rPr>
      </w:pPr>
      <w:r>
        <w:rPr>
          <w:rFonts w:hint="eastAsia" w:ascii="黑体" w:hAnsi="宋体" w:eastAsia="黑体"/>
          <w:sz w:val="24"/>
        </w:rPr>
        <w:t>41．中标通知书</w:t>
      </w:r>
    </w:p>
    <w:p>
      <w:pPr>
        <w:spacing w:line="240" w:lineRule="auto"/>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0" w:name="_Hlk72438863"/>
      <w:r>
        <w:rPr>
          <w:rFonts w:hint="eastAsia" w:ascii="宋体" w:hAnsi="宋体"/>
          <w:szCs w:val="21"/>
        </w:rPr>
        <w:t>中标公告公布以后无异常的情况下</w:t>
      </w:r>
      <w:r>
        <w:rPr>
          <w:rFonts w:hint="eastAsia" w:ascii="宋体" w:hAnsi="宋体"/>
          <w:szCs w:val="21"/>
          <w:lang w:eastAsia="zh-CN"/>
        </w:rPr>
        <w:t>，</w:t>
      </w:r>
      <w:r>
        <w:rPr>
          <w:rFonts w:hint="eastAsia" w:ascii="宋体" w:hAnsi="宋体"/>
          <w:szCs w:val="21"/>
        </w:rPr>
        <w:t>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0"/>
    </w:p>
    <w:p>
      <w:pPr>
        <w:spacing w:line="240" w:lineRule="auto"/>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spacing w:line="240" w:lineRule="auto"/>
        <w:ind w:firstLine="411" w:firstLineChars="196"/>
        <w:rPr>
          <w:rFonts w:ascii="宋体" w:hAnsi="宋体"/>
          <w:szCs w:val="21"/>
        </w:rPr>
      </w:pPr>
      <w:bookmarkStart w:id="81" w:name="_Hlk71407340"/>
      <w:r>
        <w:rPr>
          <w:rFonts w:hint="eastAsia" w:ascii="宋体" w:hAnsi="宋体"/>
          <w:szCs w:val="21"/>
        </w:rPr>
        <w:t>41.3因质疑投诉或其它原因导致项目结果变更或采购终止的，政府集中采购机构有权吊销中标通知书。</w:t>
      </w:r>
      <w:bookmarkEnd w:id="81"/>
    </w:p>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公开招标失败的后续处理</w:t>
      </w:r>
    </w:p>
    <w:p>
      <w:pPr>
        <w:spacing w:line="240" w:lineRule="auto"/>
        <w:rPr>
          <w:rFonts w:ascii="黑体" w:hAnsi="宋体" w:eastAsia="黑体"/>
          <w:sz w:val="24"/>
        </w:rPr>
      </w:pPr>
      <w:r>
        <w:rPr>
          <w:rFonts w:hint="eastAsia" w:ascii="黑体" w:hAnsi="宋体" w:eastAsia="黑体"/>
          <w:sz w:val="24"/>
        </w:rPr>
        <w:t>42．公开招标失败的处理</w:t>
      </w:r>
    </w:p>
    <w:p>
      <w:pPr>
        <w:spacing w:line="240" w:lineRule="auto"/>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spacing w:line="240" w:lineRule="auto"/>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spacing w:line="240" w:lineRule="auto"/>
        <w:ind w:firstLine="411" w:firstLineChars="196"/>
        <w:rPr>
          <w:rFonts w:ascii="宋体" w:hAnsi="宋体"/>
          <w:szCs w:val="21"/>
        </w:rPr>
      </w:pPr>
      <w:r>
        <w:rPr>
          <w:rFonts w:hint="eastAsia" w:ascii="宋体" w:hAnsi="宋体"/>
          <w:szCs w:val="21"/>
        </w:rPr>
        <w:t>42.3重新组织采购有以下两种组织形式：</w:t>
      </w:r>
    </w:p>
    <w:p>
      <w:pPr>
        <w:spacing w:line="240" w:lineRule="auto"/>
        <w:ind w:firstLine="411" w:firstLineChars="196"/>
        <w:rPr>
          <w:rFonts w:ascii="宋体" w:hAnsi="宋体"/>
        </w:rPr>
      </w:pPr>
      <w:r>
        <w:rPr>
          <w:rFonts w:hint="eastAsia" w:ascii="宋体" w:hAnsi="宋体"/>
        </w:rPr>
        <w:t>（1）由政府集中采购机构重新组织公开招标；</w:t>
      </w:r>
    </w:p>
    <w:p>
      <w:pPr>
        <w:spacing w:line="240" w:lineRule="auto"/>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spacing w:line="240" w:lineRule="auto"/>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spacing w:line="240" w:lineRule="auto"/>
        <w:rPr>
          <w:rFonts w:ascii="黑体" w:hAnsi="宋体" w:eastAsia="黑体"/>
          <w:sz w:val="24"/>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pStyle w:val="3"/>
        <w:numPr>
          <w:ilvl w:val="0"/>
          <w:numId w:val="10"/>
        </w:numPr>
        <w:tabs>
          <w:tab w:val="left" w:pos="720"/>
        </w:tabs>
        <w:spacing w:before="156" w:beforeLines="50" w:after="156" w:afterLines="50" w:line="240" w:lineRule="auto"/>
        <w:ind w:left="562" w:hanging="562"/>
        <w:rPr>
          <w:b/>
          <w:bCs/>
          <w:sz w:val="28"/>
          <w:szCs w:val="28"/>
        </w:rPr>
      </w:pPr>
      <w:bookmarkStart w:id="82" w:name="_Hlk72439043"/>
      <w:r>
        <w:rPr>
          <w:rFonts w:hint="eastAsia"/>
          <w:b/>
          <w:bCs/>
          <w:sz w:val="28"/>
          <w:szCs w:val="28"/>
        </w:rPr>
        <w:t>合同的授予与备案</w:t>
      </w:r>
      <w:bookmarkEnd w:id="82"/>
    </w:p>
    <w:p>
      <w:pPr>
        <w:spacing w:line="240" w:lineRule="auto"/>
        <w:rPr>
          <w:rFonts w:ascii="黑体" w:hAnsi="宋体" w:eastAsia="黑体"/>
          <w:sz w:val="24"/>
        </w:rPr>
      </w:pPr>
      <w:bookmarkStart w:id="83" w:name="_Toc100052408"/>
      <w:bookmarkStart w:id="84" w:name="_Toc73521674"/>
      <w:bookmarkStart w:id="85" w:name="_Toc73521586"/>
      <w:bookmarkStart w:id="86" w:name="_Toc73518157"/>
      <w:bookmarkStart w:id="87" w:name="_Toc73517679"/>
      <w:bookmarkStart w:id="88" w:name="_Hlk72439088"/>
      <w:r>
        <w:rPr>
          <w:rFonts w:hint="eastAsia" w:ascii="黑体" w:hAnsi="宋体" w:eastAsia="黑体"/>
          <w:sz w:val="24"/>
        </w:rPr>
        <w:t>43．合同授予标准</w:t>
      </w:r>
      <w:bookmarkEnd w:id="83"/>
      <w:bookmarkEnd w:id="84"/>
      <w:bookmarkEnd w:id="85"/>
      <w:bookmarkEnd w:id="86"/>
      <w:bookmarkEnd w:id="87"/>
    </w:p>
    <w:p>
      <w:pPr>
        <w:spacing w:line="240" w:lineRule="auto"/>
        <w:ind w:firstLine="411" w:firstLineChars="196"/>
        <w:rPr>
          <w:rFonts w:ascii="宋体" w:hAnsi="宋体"/>
          <w:szCs w:val="21"/>
        </w:rPr>
      </w:pPr>
      <w:r>
        <w:rPr>
          <w:rFonts w:hint="eastAsia" w:ascii="宋体" w:hAnsi="宋体"/>
          <w:szCs w:val="21"/>
        </w:rPr>
        <w:t>本项目的合同将授予经本招标文件规定评审确定的中标供应商。</w:t>
      </w:r>
    </w:p>
    <w:p>
      <w:pPr>
        <w:spacing w:line="240" w:lineRule="auto"/>
        <w:rPr>
          <w:rFonts w:ascii="黑体" w:hAnsi="宋体" w:eastAsia="黑体"/>
          <w:sz w:val="24"/>
        </w:rPr>
      </w:pPr>
      <w:bookmarkStart w:id="89" w:name="_Toc73521675"/>
      <w:bookmarkStart w:id="90" w:name="_Toc73517680"/>
      <w:bookmarkStart w:id="91" w:name="_Toc73521587"/>
      <w:bookmarkStart w:id="92" w:name="_Toc73518158"/>
      <w:bookmarkStart w:id="93" w:name="_Toc100052409"/>
      <w:r>
        <w:rPr>
          <w:rFonts w:hint="eastAsia" w:ascii="黑体" w:hAnsi="宋体" w:eastAsia="黑体"/>
          <w:sz w:val="24"/>
        </w:rPr>
        <w:t>44．</w:t>
      </w:r>
      <w:bookmarkEnd w:id="89"/>
      <w:bookmarkEnd w:id="90"/>
      <w:bookmarkEnd w:id="91"/>
      <w:bookmarkEnd w:id="92"/>
      <w:bookmarkEnd w:id="93"/>
      <w:r>
        <w:rPr>
          <w:rFonts w:hint="eastAsia" w:ascii="黑体" w:hAnsi="宋体" w:eastAsia="黑体"/>
          <w:sz w:val="24"/>
        </w:rPr>
        <w:t>接受和拒绝任何或所有投标的权力</w:t>
      </w:r>
    </w:p>
    <w:p>
      <w:pPr>
        <w:spacing w:line="240" w:lineRule="auto"/>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spacing w:line="240" w:lineRule="auto"/>
        <w:rPr>
          <w:rFonts w:ascii="黑体" w:hAnsi="宋体" w:eastAsia="黑体"/>
          <w:sz w:val="24"/>
        </w:rPr>
      </w:pPr>
      <w:bookmarkStart w:id="94" w:name="_Toc73517682"/>
      <w:bookmarkStart w:id="95" w:name="_Toc73521589"/>
      <w:bookmarkStart w:id="96" w:name="_Toc73521677"/>
      <w:bookmarkStart w:id="97" w:name="_Toc100052410"/>
      <w:bookmarkStart w:id="98" w:name="_Toc73518160"/>
      <w:r>
        <w:rPr>
          <w:rFonts w:hint="eastAsia" w:ascii="黑体" w:hAnsi="宋体" w:eastAsia="黑体"/>
          <w:sz w:val="24"/>
        </w:rPr>
        <w:t>45．合同的签订</w:t>
      </w:r>
      <w:bookmarkEnd w:id="94"/>
      <w:bookmarkEnd w:id="95"/>
      <w:bookmarkEnd w:id="96"/>
      <w:bookmarkEnd w:id="97"/>
      <w:bookmarkEnd w:id="98"/>
    </w:p>
    <w:p>
      <w:pPr>
        <w:spacing w:line="240" w:lineRule="auto"/>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spacing w:line="240" w:lineRule="auto"/>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spacing w:line="240" w:lineRule="auto"/>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spacing w:line="240" w:lineRule="auto"/>
        <w:rPr>
          <w:rFonts w:ascii="黑体" w:hAnsi="宋体" w:eastAsia="黑体"/>
          <w:sz w:val="24"/>
        </w:rPr>
      </w:pPr>
      <w:bookmarkStart w:id="99" w:name="_Toc73521590"/>
      <w:bookmarkStart w:id="100" w:name="_Toc73518161"/>
      <w:bookmarkStart w:id="101" w:name="_Toc100052411"/>
      <w:bookmarkStart w:id="102" w:name="_Toc73517683"/>
      <w:bookmarkStart w:id="103" w:name="_Toc73521678"/>
      <w:r>
        <w:rPr>
          <w:rFonts w:hint="eastAsia" w:ascii="黑体" w:hAnsi="宋体" w:eastAsia="黑体"/>
          <w:sz w:val="24"/>
        </w:rPr>
        <w:t>46．履约担保</w:t>
      </w:r>
      <w:bookmarkEnd w:id="99"/>
      <w:bookmarkEnd w:id="100"/>
      <w:bookmarkEnd w:id="101"/>
      <w:bookmarkEnd w:id="102"/>
      <w:bookmarkEnd w:id="103"/>
    </w:p>
    <w:p>
      <w:pPr>
        <w:spacing w:line="240" w:lineRule="auto"/>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spacing w:line="240" w:lineRule="auto"/>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spacing w:line="240" w:lineRule="auto"/>
        <w:rPr>
          <w:rFonts w:ascii="黑体" w:hAnsi="宋体" w:eastAsia="黑体"/>
          <w:sz w:val="24"/>
        </w:rPr>
      </w:pPr>
      <w:r>
        <w:rPr>
          <w:rFonts w:hint="eastAsia" w:ascii="黑体" w:hAnsi="宋体" w:eastAsia="黑体"/>
          <w:sz w:val="24"/>
        </w:rPr>
        <w:t>47. 合同备案</w:t>
      </w:r>
    </w:p>
    <w:p>
      <w:pPr>
        <w:spacing w:line="240" w:lineRule="auto"/>
        <w:rPr>
          <w:rFonts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spacing w:line="240" w:lineRule="auto"/>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spacing w:line="240" w:lineRule="auto"/>
        <w:rPr>
          <w:rFonts w:ascii="黑体" w:hAnsi="宋体" w:eastAsia="黑体"/>
          <w:sz w:val="24"/>
        </w:rPr>
      </w:pPr>
      <w:r>
        <w:rPr>
          <w:rFonts w:hint="eastAsia" w:ascii="黑体" w:hAnsi="宋体" w:eastAsia="黑体"/>
          <w:sz w:val="24"/>
        </w:rPr>
        <w:t>49. 项目验收</w:t>
      </w:r>
    </w:p>
    <w:p>
      <w:pPr>
        <w:widowControl/>
        <w:spacing w:line="240" w:lineRule="auto"/>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spacing w:line="240" w:lineRule="auto"/>
        <w:rPr>
          <w:rFonts w:ascii="黑体" w:hAnsi="宋体" w:eastAsia="黑体"/>
          <w:sz w:val="24"/>
        </w:rPr>
      </w:pPr>
      <w:r>
        <w:rPr>
          <w:rFonts w:hint="eastAsia" w:ascii="黑体" w:hAnsi="宋体" w:eastAsia="黑体"/>
          <w:sz w:val="24"/>
        </w:rPr>
        <w:t>50. 宣传</w:t>
      </w:r>
    </w:p>
    <w:p>
      <w:pPr>
        <w:spacing w:line="240" w:lineRule="auto"/>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spacing w:line="240" w:lineRule="auto"/>
        <w:ind w:left="210" w:leftChars="100" w:firstLine="411" w:firstLineChars="196"/>
        <w:rPr>
          <w:rFonts w:ascii="宋体" w:hAnsi="宋体"/>
        </w:rPr>
      </w:pPr>
      <w:r>
        <w:rPr>
          <w:rFonts w:ascii="宋体" w:hAnsi="宋体"/>
        </w:rPr>
        <w:t>a.名片、宣传册、广告标语等；</w:t>
      </w:r>
    </w:p>
    <w:p>
      <w:pPr>
        <w:spacing w:line="240" w:lineRule="auto"/>
        <w:ind w:left="210" w:leftChars="100" w:firstLine="411" w:firstLineChars="196"/>
        <w:rPr>
          <w:rFonts w:ascii="宋体" w:hAnsi="宋体"/>
        </w:rPr>
      </w:pPr>
      <w:r>
        <w:rPr>
          <w:rFonts w:ascii="宋体" w:hAnsi="宋体"/>
        </w:rPr>
        <w:t>b.案例介绍、推广等；</w:t>
      </w:r>
    </w:p>
    <w:p>
      <w:pPr>
        <w:spacing w:line="240" w:lineRule="auto"/>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spacing w:line="240" w:lineRule="auto"/>
        <w:rPr>
          <w:rFonts w:ascii="黑体" w:hAnsi="宋体" w:eastAsia="黑体"/>
          <w:sz w:val="24"/>
        </w:rPr>
      </w:pPr>
      <w:r>
        <w:rPr>
          <w:rFonts w:hint="eastAsia" w:ascii="黑体" w:hAnsi="宋体" w:eastAsia="黑体"/>
          <w:sz w:val="24"/>
        </w:rPr>
        <w:t>51. 供应商违法责任</w:t>
      </w:r>
    </w:p>
    <w:p>
      <w:pPr>
        <w:spacing w:line="240" w:lineRule="auto"/>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240" w:lineRule="auto"/>
        <w:ind w:firstLine="411" w:firstLineChars="196"/>
        <w:rPr>
          <w:rFonts w:ascii="宋体" w:hAnsi="宋体"/>
          <w:szCs w:val="21"/>
        </w:rPr>
      </w:pPr>
      <w:r>
        <w:rPr>
          <w:rFonts w:hint="eastAsia" w:ascii="宋体" w:hAnsi="宋体"/>
          <w:szCs w:val="21"/>
        </w:rPr>
        <w:t>（1）在采购活动中应当回避而未回避的；</w:t>
      </w:r>
    </w:p>
    <w:p>
      <w:pPr>
        <w:spacing w:line="240" w:lineRule="auto"/>
        <w:ind w:firstLine="411" w:firstLineChars="196"/>
        <w:rPr>
          <w:rFonts w:ascii="宋体" w:hAnsi="宋体"/>
          <w:szCs w:val="21"/>
        </w:rPr>
      </w:pPr>
      <w:r>
        <w:rPr>
          <w:rFonts w:hint="eastAsia" w:ascii="宋体" w:hAnsi="宋体"/>
          <w:szCs w:val="21"/>
        </w:rPr>
        <w:t>（2）未按本条例规定签订、履行采购合同，造成严重后果的；</w:t>
      </w:r>
    </w:p>
    <w:p>
      <w:pPr>
        <w:spacing w:line="240" w:lineRule="auto"/>
        <w:ind w:firstLine="411" w:firstLineChars="196"/>
        <w:rPr>
          <w:rFonts w:ascii="宋体" w:hAnsi="宋体"/>
          <w:szCs w:val="21"/>
        </w:rPr>
      </w:pPr>
      <w:r>
        <w:rPr>
          <w:rFonts w:hint="eastAsia" w:ascii="宋体" w:hAnsi="宋体"/>
          <w:szCs w:val="21"/>
        </w:rPr>
        <w:t>（3）隐瞒真实情况，提供虚假资料的；</w:t>
      </w:r>
    </w:p>
    <w:p>
      <w:pPr>
        <w:spacing w:line="240" w:lineRule="auto"/>
        <w:ind w:firstLine="411" w:firstLineChars="196"/>
        <w:rPr>
          <w:rFonts w:ascii="宋体" w:hAnsi="宋体"/>
          <w:szCs w:val="21"/>
        </w:rPr>
      </w:pPr>
      <w:r>
        <w:rPr>
          <w:rFonts w:hint="eastAsia" w:ascii="宋体" w:hAnsi="宋体"/>
          <w:szCs w:val="21"/>
        </w:rPr>
        <w:t>（4）以非法手段排斥其他供应商参与竞争的；</w:t>
      </w:r>
    </w:p>
    <w:p>
      <w:pPr>
        <w:spacing w:line="240" w:lineRule="auto"/>
        <w:ind w:firstLine="411" w:firstLineChars="196"/>
        <w:rPr>
          <w:rFonts w:ascii="宋体" w:hAnsi="宋体"/>
          <w:szCs w:val="21"/>
        </w:rPr>
      </w:pPr>
      <w:r>
        <w:rPr>
          <w:rFonts w:hint="eastAsia" w:ascii="宋体" w:hAnsi="宋体"/>
          <w:szCs w:val="21"/>
        </w:rPr>
        <w:t>（5）与其他采购参加人串通投标的；</w:t>
      </w:r>
    </w:p>
    <w:p>
      <w:pPr>
        <w:spacing w:line="240" w:lineRule="auto"/>
        <w:ind w:firstLine="411" w:firstLineChars="196"/>
        <w:rPr>
          <w:rFonts w:ascii="宋体" w:hAnsi="宋体"/>
          <w:szCs w:val="21"/>
        </w:rPr>
      </w:pPr>
      <w:r>
        <w:rPr>
          <w:rFonts w:hint="eastAsia" w:ascii="宋体" w:hAnsi="宋体"/>
          <w:szCs w:val="21"/>
        </w:rPr>
        <w:t>（6）恶意投诉的；</w:t>
      </w:r>
    </w:p>
    <w:p>
      <w:pPr>
        <w:spacing w:line="240" w:lineRule="auto"/>
        <w:ind w:firstLine="411" w:firstLineChars="196"/>
        <w:rPr>
          <w:rFonts w:ascii="宋体" w:hAnsi="宋体"/>
          <w:szCs w:val="21"/>
        </w:rPr>
      </w:pPr>
      <w:r>
        <w:rPr>
          <w:rFonts w:hint="eastAsia" w:ascii="宋体" w:hAnsi="宋体"/>
          <w:szCs w:val="21"/>
        </w:rPr>
        <w:t>（7）向采购项目相关人行贿或者提供其他不当利益的；</w:t>
      </w:r>
    </w:p>
    <w:p>
      <w:pPr>
        <w:spacing w:line="240" w:lineRule="auto"/>
        <w:ind w:firstLine="411" w:firstLineChars="196"/>
        <w:rPr>
          <w:rFonts w:ascii="宋体" w:hAnsi="宋体"/>
          <w:szCs w:val="21"/>
        </w:rPr>
      </w:pPr>
      <w:r>
        <w:rPr>
          <w:rFonts w:hint="eastAsia" w:ascii="宋体" w:hAnsi="宋体"/>
          <w:szCs w:val="21"/>
        </w:rPr>
        <w:t>（8）阻碍、抗拒主管部门监督检查的；</w:t>
      </w:r>
    </w:p>
    <w:p>
      <w:pPr>
        <w:spacing w:line="240" w:lineRule="auto"/>
        <w:ind w:firstLine="411" w:firstLineChars="196"/>
        <w:rPr>
          <w:rFonts w:ascii="宋体" w:hAnsi="宋体"/>
          <w:szCs w:val="21"/>
        </w:rPr>
      </w:pPr>
      <w:r>
        <w:rPr>
          <w:rFonts w:hint="eastAsia" w:ascii="宋体" w:hAnsi="宋体"/>
          <w:szCs w:val="21"/>
        </w:rPr>
        <w:t>（9）其他违反本条例规定的行为。</w:t>
      </w:r>
    </w:p>
    <w:p>
      <w:pPr>
        <w:spacing w:line="240" w:lineRule="auto"/>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4" w:name="_Hlk72440769"/>
      <w:r>
        <w:rPr>
          <w:rFonts w:hint="eastAsia" w:ascii="宋体" w:hAnsi="宋体"/>
          <w:szCs w:val="21"/>
        </w:rPr>
        <w:t>政府集中采购机构或采购人不予退还其交纳的谈判保证金，情节严重的，并由主管部门</w:t>
      </w:r>
      <w:bookmarkEnd w:id="104"/>
      <w:r>
        <w:rPr>
          <w:rFonts w:hint="eastAsia" w:ascii="宋体" w:hAnsi="宋体"/>
          <w:szCs w:val="21"/>
        </w:rPr>
        <w:t>记入供应商诚信档案，予以通报：</w:t>
      </w:r>
    </w:p>
    <w:p>
      <w:pPr>
        <w:spacing w:line="240" w:lineRule="auto"/>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spacing w:line="240" w:lineRule="auto"/>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spacing w:line="240" w:lineRule="auto"/>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spacing w:line="240" w:lineRule="auto"/>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8"/>
    <w:p>
      <w:pPr>
        <w:pStyle w:val="3"/>
        <w:numPr>
          <w:ilvl w:val="0"/>
          <w:numId w:val="10"/>
        </w:numPr>
        <w:tabs>
          <w:tab w:val="left" w:pos="720"/>
        </w:tabs>
        <w:spacing w:before="156" w:beforeLines="50" w:after="156" w:afterLines="50" w:line="240" w:lineRule="auto"/>
        <w:ind w:left="562" w:hanging="562"/>
        <w:rPr>
          <w:b/>
          <w:bCs/>
          <w:sz w:val="28"/>
          <w:szCs w:val="28"/>
        </w:rPr>
      </w:pPr>
      <w:r>
        <w:rPr>
          <w:rFonts w:hint="eastAsia"/>
          <w:b/>
          <w:bCs/>
          <w:sz w:val="28"/>
          <w:szCs w:val="28"/>
        </w:rPr>
        <w:t>质疑处理</w:t>
      </w:r>
    </w:p>
    <w:p>
      <w:pPr>
        <w:spacing w:line="240" w:lineRule="auto"/>
        <w:rPr>
          <w:rFonts w:ascii="黑体" w:hAnsi="宋体" w:eastAsia="黑体"/>
          <w:sz w:val="24"/>
        </w:rPr>
      </w:pPr>
      <w:r>
        <w:rPr>
          <w:rFonts w:hint="eastAsia" w:ascii="黑体" w:hAnsi="宋体" w:eastAsia="黑体"/>
          <w:sz w:val="24"/>
        </w:rPr>
        <w:t>52.质疑提出与答复</w:t>
      </w:r>
    </w:p>
    <w:p>
      <w:pPr>
        <w:spacing w:line="240" w:lineRule="auto"/>
        <w:rPr>
          <w:rFonts w:ascii="宋体" w:hAnsi="宋体"/>
          <w:szCs w:val="21"/>
        </w:rPr>
      </w:pPr>
      <w:r>
        <w:rPr>
          <w:rFonts w:hint="eastAsia" w:ascii="宋体" w:hAnsi="宋体"/>
          <w:szCs w:val="21"/>
        </w:rPr>
        <w:t xml:space="preserve">    52.1提出质疑</w:t>
      </w:r>
    </w:p>
    <w:p>
      <w:pPr>
        <w:spacing w:line="240" w:lineRule="auto"/>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spacing w:line="240" w:lineRule="auto"/>
        <w:rPr>
          <w:rFonts w:ascii="宋体" w:hAnsi="宋体"/>
          <w:szCs w:val="21"/>
        </w:rPr>
      </w:pPr>
      <w:r>
        <w:rPr>
          <w:rFonts w:hint="eastAsia" w:ascii="宋体" w:hAnsi="宋体"/>
          <w:szCs w:val="21"/>
        </w:rPr>
        <w:t xml:space="preserve">    52.2</w:t>
      </w:r>
      <w:r>
        <w:rPr>
          <w:rFonts w:ascii="宋体" w:hAnsi="宋体"/>
          <w:szCs w:val="21"/>
        </w:rPr>
        <w:t>法律依据</w:t>
      </w:r>
    </w:p>
    <w:p>
      <w:pPr>
        <w:spacing w:line="240" w:lineRule="auto"/>
        <w:rPr>
          <w:rFonts w:ascii="宋体" w:hAnsi="宋体"/>
          <w:szCs w:val="21"/>
        </w:rPr>
      </w:pPr>
      <w:r>
        <w:rPr>
          <w:rFonts w:hint="eastAsia" w:ascii="宋体" w:hAnsi="宋体"/>
          <w:szCs w:val="21"/>
        </w:rPr>
        <w:t xml:space="preserve">    《中华人民共和国政府采购法</w:t>
      </w:r>
      <w:r>
        <w:rPr>
          <w:rFonts w:hint="eastAsia" w:ascii="宋体" w:hAnsi="宋体"/>
          <w:szCs w:val="21"/>
          <w:lang w:eastAsia="zh-CN"/>
        </w:rPr>
        <w:t>》《</w:t>
      </w:r>
      <w:r>
        <w:rPr>
          <w:rFonts w:hint="eastAsia" w:ascii="宋体" w:hAnsi="宋体"/>
          <w:szCs w:val="21"/>
        </w:rPr>
        <w:t>中华人民共和国政府采购法实施条例</w:t>
      </w:r>
      <w:r>
        <w:rPr>
          <w:rFonts w:hint="eastAsia" w:ascii="宋体" w:hAnsi="宋体"/>
          <w:szCs w:val="21"/>
          <w:lang w:eastAsia="zh-CN"/>
        </w:rPr>
        <w:t>》《</w:t>
      </w:r>
      <w:r>
        <w:rPr>
          <w:rFonts w:hint="eastAsia" w:ascii="宋体" w:hAnsi="宋体"/>
          <w:szCs w:val="21"/>
        </w:rPr>
        <w:t>深圳经济特区政府采购</w:t>
      </w:r>
      <w:r>
        <w:rPr>
          <w:rFonts w:ascii="宋体" w:hAnsi="宋体"/>
          <w:szCs w:val="21"/>
        </w:rPr>
        <w:t>条例</w:t>
      </w:r>
      <w:r>
        <w:rPr>
          <w:rFonts w:hint="eastAsia" w:ascii="宋体" w:hAnsi="宋体"/>
          <w:szCs w:val="21"/>
          <w:lang w:eastAsia="zh-CN"/>
        </w:rPr>
        <w:t>》《</w:t>
      </w:r>
      <w:r>
        <w:rPr>
          <w:rFonts w:hint="eastAsia" w:ascii="宋体" w:hAnsi="宋体"/>
          <w:szCs w:val="21"/>
        </w:rPr>
        <w:t>深圳经济特区政府采购条例实施细则</w:t>
      </w:r>
      <w:r>
        <w:rPr>
          <w:rFonts w:hint="eastAsia" w:ascii="宋体" w:hAnsi="宋体"/>
          <w:szCs w:val="21"/>
          <w:lang w:eastAsia="zh-CN"/>
        </w:rPr>
        <w:t>》《</w:t>
      </w:r>
      <w:r>
        <w:rPr>
          <w:rFonts w:hint="eastAsia" w:ascii="宋体" w:hAnsi="宋体"/>
          <w:szCs w:val="21"/>
        </w:rPr>
        <w:t>政府采购质疑和投诉办法》（财政部令第94号）和其他有关法律法规规定。</w:t>
      </w:r>
    </w:p>
    <w:p>
      <w:pPr>
        <w:spacing w:line="240" w:lineRule="auto"/>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spacing w:line="240" w:lineRule="auto"/>
        <w:rPr>
          <w:rFonts w:ascii="宋体" w:hAnsi="宋体"/>
          <w:szCs w:val="21"/>
        </w:rPr>
      </w:pPr>
      <w:r>
        <w:rPr>
          <w:rFonts w:hint="eastAsia" w:ascii="宋体" w:hAnsi="宋体"/>
          <w:szCs w:val="21"/>
        </w:rPr>
        <w:t xml:space="preserve">    52.3.1提出质疑的供应商应当是参与所质疑项目采购活动的供应商；</w:t>
      </w:r>
      <w:bookmarkStart w:id="105" w:name="_Hlk75374941"/>
      <w:r>
        <w:rPr>
          <w:rFonts w:hint="eastAsia" w:ascii="宋体" w:hAnsi="宋体"/>
          <w:szCs w:val="21"/>
        </w:rPr>
        <w:t>以联合体形式参与的，质疑应当由组成联合体的所有成员共同提出</w:t>
      </w:r>
      <w:bookmarkEnd w:id="105"/>
      <w:r>
        <w:rPr>
          <w:rFonts w:hint="eastAsia" w:ascii="宋体" w:hAnsi="宋体"/>
          <w:szCs w:val="21"/>
        </w:rPr>
        <w:t>；</w:t>
      </w:r>
    </w:p>
    <w:p>
      <w:pPr>
        <w:spacing w:line="240" w:lineRule="auto"/>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spacing w:line="240" w:lineRule="auto"/>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spacing w:line="240" w:lineRule="auto"/>
        <w:ind w:firstLine="420"/>
        <w:rPr>
          <w:rFonts w:ascii="宋体" w:hAnsi="宋体"/>
          <w:szCs w:val="21"/>
        </w:rPr>
      </w:pPr>
      <w:r>
        <w:rPr>
          <w:rFonts w:hint="eastAsia" w:ascii="宋体" w:hAnsi="宋体"/>
          <w:szCs w:val="21"/>
        </w:rPr>
        <w:t>（1）供应商的名称（或者姓名）、地址、邮编、邮箱、联系人及联系电话；</w:t>
      </w:r>
    </w:p>
    <w:p>
      <w:pPr>
        <w:spacing w:line="240" w:lineRule="auto"/>
        <w:ind w:firstLine="420" w:firstLineChars="200"/>
        <w:rPr>
          <w:rFonts w:ascii="宋体" w:hAnsi="宋体"/>
          <w:szCs w:val="21"/>
        </w:rPr>
      </w:pPr>
      <w:r>
        <w:rPr>
          <w:rFonts w:hint="eastAsia" w:ascii="宋体" w:hAnsi="宋体"/>
          <w:szCs w:val="21"/>
        </w:rPr>
        <w:t>（2）质疑项目的名称、编号；</w:t>
      </w:r>
    </w:p>
    <w:p>
      <w:pPr>
        <w:spacing w:line="240" w:lineRule="auto"/>
        <w:ind w:firstLine="420" w:firstLineChars="200"/>
        <w:rPr>
          <w:rFonts w:ascii="宋体" w:hAnsi="宋体"/>
          <w:szCs w:val="21"/>
        </w:rPr>
      </w:pPr>
      <w:r>
        <w:rPr>
          <w:rFonts w:hint="eastAsia" w:ascii="宋体" w:hAnsi="宋体"/>
          <w:szCs w:val="21"/>
        </w:rPr>
        <w:t>（3）具体、明确的质疑对象、质疑事项和质疑请求；</w:t>
      </w:r>
    </w:p>
    <w:p>
      <w:pPr>
        <w:spacing w:line="240" w:lineRule="auto"/>
        <w:ind w:firstLine="420" w:firstLineChars="200"/>
        <w:rPr>
          <w:rFonts w:ascii="宋体" w:hAnsi="宋体"/>
          <w:szCs w:val="21"/>
        </w:rPr>
      </w:pPr>
      <w:r>
        <w:rPr>
          <w:rFonts w:hint="eastAsia" w:ascii="宋体" w:hAnsi="宋体"/>
          <w:szCs w:val="21"/>
        </w:rPr>
        <w:t>（4）因质疑事项而受损害的权益；</w:t>
      </w:r>
    </w:p>
    <w:p>
      <w:pPr>
        <w:spacing w:line="240" w:lineRule="auto"/>
        <w:ind w:firstLine="420" w:firstLineChars="200"/>
        <w:rPr>
          <w:rFonts w:ascii="宋体" w:hAnsi="宋体"/>
          <w:szCs w:val="21"/>
        </w:rPr>
      </w:pPr>
      <w:r>
        <w:rPr>
          <w:rFonts w:hint="eastAsia" w:ascii="宋体" w:hAnsi="宋体"/>
          <w:szCs w:val="21"/>
        </w:rPr>
        <w:t>（5）事实依据；</w:t>
      </w:r>
    </w:p>
    <w:p>
      <w:pPr>
        <w:spacing w:line="240" w:lineRule="auto"/>
        <w:ind w:firstLine="420" w:firstLineChars="200"/>
        <w:rPr>
          <w:rFonts w:ascii="宋体" w:hAnsi="宋体"/>
          <w:szCs w:val="21"/>
        </w:rPr>
      </w:pPr>
      <w:r>
        <w:rPr>
          <w:rFonts w:hint="eastAsia" w:ascii="宋体" w:hAnsi="宋体"/>
          <w:szCs w:val="21"/>
        </w:rPr>
        <w:t>（6）必要的法律依据；</w:t>
      </w:r>
    </w:p>
    <w:p>
      <w:pPr>
        <w:spacing w:line="240" w:lineRule="auto"/>
        <w:ind w:firstLine="420" w:firstLineChars="200"/>
        <w:rPr>
          <w:rFonts w:ascii="宋体" w:hAnsi="宋体"/>
          <w:szCs w:val="21"/>
        </w:rPr>
      </w:pPr>
      <w:r>
        <w:rPr>
          <w:rFonts w:hint="eastAsia" w:ascii="宋体" w:hAnsi="宋体"/>
          <w:szCs w:val="21"/>
        </w:rPr>
        <w:t>（7）提出质疑的日期。</w:t>
      </w:r>
    </w:p>
    <w:p>
      <w:pPr>
        <w:spacing w:line="240" w:lineRule="auto"/>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spacing w:line="240" w:lineRule="auto"/>
        <w:ind w:firstLine="420" w:firstLineChars="200"/>
        <w:rPr>
          <w:rFonts w:ascii="宋体" w:hAnsi="宋体"/>
          <w:szCs w:val="21"/>
        </w:rPr>
      </w:pPr>
      <w:r>
        <w:rPr>
          <w:rFonts w:hint="eastAsia" w:ascii="宋体" w:hAnsi="宋体"/>
          <w:szCs w:val="21"/>
        </w:rPr>
        <w:t>52.4提交</w:t>
      </w:r>
      <w:r>
        <w:rPr>
          <w:rFonts w:ascii="宋体" w:hAnsi="宋体"/>
          <w:szCs w:val="21"/>
        </w:rPr>
        <w:t>材料</w:t>
      </w:r>
    </w:p>
    <w:p>
      <w:pPr>
        <w:spacing w:line="240" w:lineRule="auto"/>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spacing w:line="240" w:lineRule="auto"/>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40" w:lineRule="auto"/>
        <w:ind w:firstLine="420" w:firstLineChars="200"/>
        <w:rPr>
          <w:rFonts w:ascii="宋体" w:hAnsi="宋体"/>
          <w:szCs w:val="21"/>
        </w:rPr>
      </w:pPr>
      <w:r>
        <w:rPr>
          <w:rFonts w:hint="eastAsia" w:ascii="宋体" w:hAnsi="宋体"/>
          <w:szCs w:val="21"/>
        </w:rPr>
        <w:t>52.5收文地点</w:t>
      </w:r>
    </w:p>
    <w:p>
      <w:pPr>
        <w:spacing w:line="240" w:lineRule="auto"/>
        <w:ind w:firstLine="422" w:firstLineChars="200"/>
        <w:rPr>
          <w:rFonts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spacing w:line="240" w:lineRule="auto"/>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spacing w:line="240" w:lineRule="auto"/>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spacing w:line="240" w:lineRule="auto"/>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spacing w:line="240" w:lineRule="auto"/>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spacing w:line="240" w:lineRule="auto"/>
        <w:ind w:firstLine="420" w:firstLineChars="200"/>
        <w:rPr>
          <w:rFonts w:ascii="宋体" w:hAnsi="宋体"/>
          <w:szCs w:val="21"/>
        </w:rPr>
      </w:pPr>
      <w:r>
        <w:rPr>
          <w:rFonts w:hint="eastAsia" w:ascii="宋体" w:hAnsi="宋体"/>
          <w:szCs w:val="21"/>
        </w:rPr>
        <w:t>供应商提交的质疑存在下列情形之一的，不予受理：</w:t>
      </w:r>
    </w:p>
    <w:p>
      <w:pPr>
        <w:spacing w:line="240" w:lineRule="auto"/>
        <w:ind w:firstLine="420" w:firstLineChars="200"/>
        <w:rPr>
          <w:rFonts w:ascii="宋体" w:hAnsi="宋体"/>
          <w:szCs w:val="21"/>
        </w:rPr>
      </w:pPr>
      <w:r>
        <w:rPr>
          <w:rFonts w:hint="eastAsia" w:ascii="宋体" w:hAnsi="宋体"/>
          <w:szCs w:val="21"/>
        </w:rPr>
        <w:t>（1）质疑主体不满足要求的；</w:t>
      </w:r>
    </w:p>
    <w:p>
      <w:pPr>
        <w:spacing w:line="240" w:lineRule="auto"/>
        <w:ind w:firstLine="420" w:firstLineChars="200"/>
        <w:rPr>
          <w:rFonts w:ascii="宋体" w:hAnsi="宋体"/>
          <w:szCs w:val="21"/>
        </w:rPr>
      </w:pPr>
      <w:r>
        <w:rPr>
          <w:rFonts w:hint="eastAsia" w:ascii="宋体" w:hAnsi="宋体"/>
          <w:szCs w:val="21"/>
        </w:rPr>
        <w:t>（2）供应商自身权益未受到损害的；</w:t>
      </w:r>
    </w:p>
    <w:p>
      <w:pPr>
        <w:spacing w:line="240" w:lineRule="auto"/>
        <w:ind w:firstLine="420" w:firstLineChars="200"/>
        <w:rPr>
          <w:rFonts w:ascii="宋体" w:hAnsi="宋体"/>
          <w:szCs w:val="21"/>
        </w:rPr>
      </w:pPr>
      <w:r>
        <w:rPr>
          <w:rFonts w:hint="eastAsia" w:ascii="宋体" w:hAnsi="宋体"/>
          <w:szCs w:val="21"/>
        </w:rPr>
        <w:t>（3）供应商未在法定质疑期限内提出质疑的；</w:t>
      </w:r>
    </w:p>
    <w:p>
      <w:pPr>
        <w:spacing w:line="240" w:lineRule="auto"/>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spacing w:line="240" w:lineRule="auto"/>
        <w:ind w:firstLine="420" w:firstLineChars="200"/>
        <w:rPr>
          <w:rFonts w:ascii="宋体" w:hAnsi="宋体"/>
          <w:szCs w:val="21"/>
        </w:rPr>
      </w:pPr>
      <w:r>
        <w:rPr>
          <w:rFonts w:hint="eastAsia" w:ascii="宋体" w:hAnsi="宋体"/>
          <w:szCs w:val="21"/>
        </w:rPr>
        <w:t>（5）其他不符合受理条件情形的。</w:t>
      </w:r>
    </w:p>
    <w:p>
      <w:pPr>
        <w:spacing w:line="240" w:lineRule="auto"/>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spacing w:line="240" w:lineRule="auto"/>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spacing w:line="240" w:lineRule="auto"/>
        <w:rPr>
          <w:rFonts w:ascii="宋体" w:hAnsi="宋体"/>
          <w:szCs w:val="21"/>
        </w:rPr>
      </w:pPr>
      <w:r>
        <w:rPr>
          <w:rFonts w:hint="eastAsia" w:ascii="宋体" w:hAnsi="宋体"/>
          <w:szCs w:val="21"/>
        </w:rPr>
        <w:t xml:space="preserve">    自收文之日起七个工作日内。</w:t>
      </w:r>
    </w:p>
    <w:p>
      <w:pPr>
        <w:spacing w:line="240" w:lineRule="auto"/>
        <w:rPr>
          <w:rFonts w:ascii="宋体" w:hAnsi="宋体"/>
          <w:szCs w:val="21"/>
        </w:rPr>
      </w:pPr>
      <w:r>
        <w:rPr>
          <w:rFonts w:hint="eastAsia" w:ascii="宋体" w:hAnsi="宋体"/>
          <w:szCs w:val="21"/>
        </w:rPr>
        <w:t xml:space="preserve">    52.8投诉</w:t>
      </w:r>
    </w:p>
    <w:p>
      <w:pPr>
        <w:spacing w:line="240" w:lineRule="auto"/>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spacing w:line="240" w:lineRule="auto"/>
        <w:rPr>
          <w:rFonts w:ascii="黑体" w:hAnsi="宋体" w:eastAsia="黑体"/>
          <w:sz w:val="24"/>
        </w:rPr>
      </w:pPr>
      <w:r>
        <w:rPr>
          <w:rFonts w:hint="eastAsia" w:ascii="黑体" w:hAnsi="宋体" w:eastAsia="黑体"/>
          <w:sz w:val="24"/>
        </w:rPr>
        <w:t>53. 质疑后续处理</w:t>
      </w:r>
    </w:p>
    <w:p>
      <w:pPr>
        <w:spacing w:line="240" w:lineRule="auto"/>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spacing w:line="240" w:lineRule="auto"/>
        <w:ind w:firstLine="420"/>
        <w:jc w:val="center"/>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w:t>
      </w:r>
    </w:p>
    <w:p>
      <w:pPr>
        <w:spacing w:line="240" w:lineRule="auto"/>
        <w:ind w:left="0" w:leftChars="0" w:firstLine="0" w:firstLineChars="0"/>
        <w:jc w:val="center"/>
        <w:rPr>
          <w:rFonts w:ascii="宋体" w:hAnsi="宋体"/>
          <w:szCs w:val="21"/>
        </w:rPr>
      </w:pPr>
      <w:r>
        <w:rPr>
          <w:rFonts w:hint="eastAsia" w:ascii="宋体" w:hAnsi="宋体"/>
          <w:szCs w:val="21"/>
        </w:rPr>
        <w:t>成交供应商的，应当依法另行确定中标、成交供应商；否则应当重新开展采购活动。</w:t>
      </w:r>
    </w:p>
    <w:p>
      <w:pPr>
        <w:ind w:firstLine="420"/>
        <w:jc w:val="center"/>
        <w:rPr>
          <w:rFonts w:ascii="宋体" w:hAnsi="宋体" w:eastAsia="黑体" w:cs="Times New Roman"/>
          <w:b/>
          <w:bCs/>
          <w:color w:val="0000FF"/>
          <w:kern w:val="44"/>
          <w:sz w:val="36"/>
          <w:szCs w:val="44"/>
        </w:rPr>
      </w:pPr>
      <w:r>
        <w:rPr>
          <w:rFonts w:ascii="Times New Roman" w:hAnsi="Times New Roman" w:eastAsia="宋体" w:cs="Times New Roman"/>
          <w:szCs w:val="24"/>
        </w:rPr>
        <w:t>---- END ----</w:t>
      </w:r>
      <w:bookmarkEnd w:id="52"/>
    </w:p>
    <w:sectPr>
      <w:pgSz w:w="11906" w:h="16838"/>
      <w:pgMar w:top="1440" w:right="1417" w:bottom="1440" w:left="141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4CE1441-4317-4579-BF39-FF77298B64E1}"/>
  </w:font>
  <w:font w:name="Arial">
    <w:panose1 w:val="020B0604020202020204"/>
    <w:charset w:val="01"/>
    <w:family w:val="swiss"/>
    <w:pitch w:val="default"/>
    <w:sig w:usb0="E0002AFF" w:usb1="C0007843" w:usb2="00000009" w:usb3="00000000" w:csb0="400001FF" w:csb1="FFFF0000"/>
    <w:embedRegular r:id="rId2" w:fontKey="{E2DCBE25-7C80-4A9B-B7BD-FA2B78422614}"/>
  </w:font>
  <w:font w:name="黑体">
    <w:panose1 w:val="02010609060101010101"/>
    <w:charset w:val="86"/>
    <w:family w:val="auto"/>
    <w:pitch w:val="default"/>
    <w:sig w:usb0="800002BF" w:usb1="38CF7CFA" w:usb2="00000016" w:usb3="00000000" w:csb0="00040001" w:csb1="00000000"/>
    <w:embedRegular r:id="rId3" w:fontKey="{3D80C1C7-92AC-44AD-8FD4-A59847132B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4DBC7856-BA44-4BEC-B642-BBEE1A9E033E}"/>
  </w:font>
  <w:font w:name="Cambria">
    <w:panose1 w:val="02040503050406030204"/>
    <w:charset w:val="00"/>
    <w:family w:val="roman"/>
    <w:pitch w:val="default"/>
    <w:sig w:usb0="E00002FF" w:usb1="400004FF" w:usb2="00000000" w:usb3="00000000" w:csb0="2000019F" w:csb1="00000000"/>
    <w:embedRegular r:id="rId5" w:fontKey="{7967F90F-85AF-41A5-A46C-F9628048AE62}"/>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embedRegular r:id="rId6" w:fontKey="{89942C15-A4C9-4170-9CAF-C3E74767B358}"/>
  </w:font>
  <w:font w:name="华文中宋">
    <w:panose1 w:val="02010600040101010101"/>
    <w:charset w:val="86"/>
    <w:family w:val="auto"/>
    <w:pitch w:val="default"/>
    <w:sig w:usb0="00000287" w:usb1="080F0000" w:usb2="00000000" w:usb3="00000000" w:csb0="0004009F" w:csb1="DFD70000"/>
    <w:embedRegular r:id="rId7" w:fontKey="{502473EF-E9AD-4658-8504-0D89E1A1C449}"/>
  </w:font>
  <w:font w:name="ˎ̥">
    <w:altName w:val="方正全福体"/>
    <w:panose1 w:val="00000000000000000000"/>
    <w:charset w:val="00"/>
    <w:family w:val="auto"/>
    <w:pitch w:val="default"/>
    <w:sig w:usb0="00000000" w:usb1="00000000" w:usb2="00000000" w:usb3="00000000" w:csb0="00040001" w:csb1="00000000"/>
    <w:embedRegular r:id="rId8" w:fontKey="{4570BCA4-CF10-4476-9108-EED2E9305C08}"/>
  </w:font>
  <w:font w:name="仿宋">
    <w:panose1 w:val="02010609060101010101"/>
    <w:charset w:val="86"/>
    <w:family w:val="modern"/>
    <w:pitch w:val="default"/>
    <w:sig w:usb0="800002BF" w:usb1="38CF7CFA" w:usb2="00000016" w:usb3="00000000" w:csb0="00040001" w:csb1="00000000"/>
    <w:embedRegular r:id="rId9" w:fontKey="{6CC06BD3-3345-4763-8451-6F445FC45709}"/>
  </w:font>
  <w:font w:name="方正全福体">
    <w:panose1 w:val="020005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Style w:val="27"/>
                            </w:rPr>
                          </w:pPr>
                          <w:r>
                            <w:t xml:space="preserve">- </w:t>
                          </w:r>
                          <w:r>
                            <w:fldChar w:fldCharType="begin"/>
                          </w:r>
                          <w:r>
                            <w:instrText xml:space="preserve"> PAGE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rPr>
                        <w:rStyle w:val="27"/>
                      </w:rPr>
                    </w:pPr>
                    <w:r>
                      <w:t xml:space="preserve">- </w:t>
                    </w:r>
                    <w:r>
                      <w:fldChar w:fldCharType="begin"/>
                    </w:r>
                    <w:r>
                      <w:instrText xml:space="preserve"> PAGE </w:instrText>
                    </w:r>
                    <w:r>
                      <w:fldChar w:fldCharType="separate"/>
                    </w:r>
                    <w:r>
                      <w:t>29</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22060"/>
                          </w:sdtPr>
                          <w:sdtContent>
                            <w:p>
                              <w:pPr>
                                <w:pStyle w:val="17"/>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922060"/>
                    </w:sdtPr>
                    <w:sdtContent>
                      <w:p>
                        <w:pPr>
                          <w:pStyle w:val="17"/>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0"/>
                    </w:pPr>
                  </w:p>
                </w:txbxContent>
              </v:textbox>
            </v:shape>
          </w:pict>
        </mc:Fallback>
      </mc:AlternateContent>
    </w:r>
  </w:p>
  <w:p>
    <w:pPr>
      <w:pStyle w:val="17"/>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C2960"/>
    <w:multiLevelType w:val="singleLevel"/>
    <w:tmpl w:val="871C2960"/>
    <w:lvl w:ilvl="0" w:tentative="0">
      <w:start w:val="1"/>
      <w:numFmt w:val="chineseCounting"/>
      <w:suff w:val="nothing"/>
      <w:lvlText w:val="%1、"/>
      <w:lvlJc w:val="left"/>
      <w:pPr>
        <w:ind w:left="0" w:firstLine="420"/>
      </w:pPr>
      <w:rPr>
        <w:rFonts w:hint="eastAsia"/>
      </w:rPr>
    </w:lvl>
  </w:abstractNum>
  <w:abstractNum w:abstractNumId="1">
    <w:nsid w:val="87A21DE7"/>
    <w:multiLevelType w:val="singleLevel"/>
    <w:tmpl w:val="87A21DE7"/>
    <w:lvl w:ilvl="0" w:tentative="0">
      <w:start w:val="5"/>
      <w:numFmt w:val="chineseCounting"/>
      <w:suff w:val="nothing"/>
      <w:lvlText w:val="%1、"/>
      <w:lvlJc w:val="left"/>
      <w:rPr>
        <w:rFonts w:hint="eastAsia"/>
      </w:rPr>
    </w:lvl>
  </w:abstractNum>
  <w:abstractNum w:abstractNumId="2">
    <w:nsid w:val="A702A6DD"/>
    <w:multiLevelType w:val="singleLevel"/>
    <w:tmpl w:val="A702A6DD"/>
    <w:lvl w:ilvl="0" w:tentative="0">
      <w:start w:val="1"/>
      <w:numFmt w:val="decimal"/>
      <w:suff w:val="nothing"/>
      <w:lvlText w:val="%1、"/>
      <w:lvlJc w:val="left"/>
    </w:lvl>
  </w:abstractNum>
  <w:abstractNum w:abstractNumId="3">
    <w:nsid w:val="B6EB8C17"/>
    <w:multiLevelType w:val="singleLevel"/>
    <w:tmpl w:val="B6EB8C17"/>
    <w:lvl w:ilvl="0" w:tentative="0">
      <w:start w:val="2"/>
      <w:numFmt w:val="decimal"/>
      <w:suff w:val="nothing"/>
      <w:lvlText w:val="（%1）"/>
      <w:lvlJc w:val="left"/>
    </w:lvl>
  </w:abstractNum>
  <w:abstractNum w:abstractNumId="4">
    <w:nsid w:val="B9358C2E"/>
    <w:multiLevelType w:val="singleLevel"/>
    <w:tmpl w:val="B9358C2E"/>
    <w:lvl w:ilvl="0" w:tentative="0">
      <w:start w:val="2"/>
      <w:numFmt w:val="decimal"/>
      <w:suff w:val="nothing"/>
      <w:lvlText w:val="%1、"/>
      <w:lvlJc w:val="left"/>
    </w:lvl>
  </w:abstractNum>
  <w:abstractNum w:abstractNumId="5">
    <w:nsid w:val="DAAC52FB"/>
    <w:multiLevelType w:val="singleLevel"/>
    <w:tmpl w:val="DAAC52FB"/>
    <w:lvl w:ilvl="0" w:tentative="0">
      <w:start w:val="2"/>
      <w:numFmt w:val="decimal"/>
      <w:suff w:val="nothing"/>
      <w:lvlText w:val="%1）"/>
      <w:lvlJc w:val="left"/>
    </w:lvl>
  </w:abstractNum>
  <w:abstractNum w:abstractNumId="6">
    <w:nsid w:val="07F59542"/>
    <w:multiLevelType w:val="singleLevel"/>
    <w:tmpl w:val="07F59542"/>
    <w:lvl w:ilvl="0" w:tentative="0">
      <w:start w:val="2"/>
      <w:numFmt w:val="decimal"/>
      <w:suff w:val="nothing"/>
      <w:lvlText w:val="%1、"/>
      <w:lvlJc w:val="left"/>
    </w:lvl>
  </w:abstractNum>
  <w:abstractNum w:abstractNumId="7">
    <w:nsid w:val="2D3EC742"/>
    <w:multiLevelType w:val="singleLevel"/>
    <w:tmpl w:val="2D3EC742"/>
    <w:lvl w:ilvl="0" w:tentative="0">
      <w:start w:val="1"/>
      <w:numFmt w:val="chineseCounting"/>
      <w:suff w:val="nothing"/>
      <w:lvlText w:val="%1、"/>
      <w:lvlJc w:val="left"/>
      <w:pPr>
        <w:ind w:left="0" w:firstLine="420"/>
      </w:pPr>
      <w:rPr>
        <w:rFonts w:hint="eastAsia"/>
      </w:rPr>
    </w:lvl>
  </w:abstractNum>
  <w:abstractNum w:abstractNumId="8">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FED5879"/>
    <w:multiLevelType w:val="singleLevel"/>
    <w:tmpl w:val="4FED5879"/>
    <w:lvl w:ilvl="0" w:tentative="0">
      <w:start w:val="1"/>
      <w:numFmt w:val="decimal"/>
      <w:lvlText w:val="(%1)"/>
      <w:lvlJc w:val="left"/>
      <w:pPr>
        <w:ind w:left="425" w:hanging="425"/>
      </w:pPr>
      <w:rPr>
        <w:rFonts w:hint="default" w:ascii="宋体" w:hAnsi="宋体" w:eastAsia="宋体" w:cstheme="minorEastAsia"/>
        <w:sz w:val="21"/>
        <w:szCs w:val="21"/>
      </w:rPr>
    </w:lvl>
  </w:abstractNum>
  <w:num w:numId="1">
    <w:abstractNumId w:val="1"/>
  </w:num>
  <w:num w:numId="2">
    <w:abstractNumId w:val="3"/>
  </w:num>
  <w:num w:numId="3">
    <w:abstractNumId w:val="0"/>
  </w:num>
  <w:num w:numId="4">
    <w:abstractNumId w:val="5"/>
  </w:num>
  <w:num w:numId="5">
    <w:abstractNumId w:val="9"/>
  </w:num>
  <w:num w:numId="6">
    <w:abstractNumId w:val="7"/>
  </w:num>
  <w:num w:numId="7">
    <w:abstractNumId w:val="2"/>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hideSpellingError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2ZjczNGRkMzM5MTI2MDg0ZDczNWVlMmZmZjNkNWM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21E6"/>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45EE"/>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386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5538"/>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338A"/>
    <w:rsid w:val="001E7D92"/>
    <w:rsid w:val="001F2FF4"/>
    <w:rsid w:val="001F4DAC"/>
    <w:rsid w:val="0020017A"/>
    <w:rsid w:val="0020780A"/>
    <w:rsid w:val="00210364"/>
    <w:rsid w:val="0021479B"/>
    <w:rsid w:val="00215571"/>
    <w:rsid w:val="00225BA9"/>
    <w:rsid w:val="00226AF4"/>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2E49"/>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1A6F"/>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228"/>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418F"/>
    <w:rsid w:val="003A5619"/>
    <w:rsid w:val="003B4BF9"/>
    <w:rsid w:val="003B627E"/>
    <w:rsid w:val="003C55EB"/>
    <w:rsid w:val="003D016D"/>
    <w:rsid w:val="003D1101"/>
    <w:rsid w:val="003D2AD2"/>
    <w:rsid w:val="003E259E"/>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4EAC"/>
    <w:rsid w:val="00435930"/>
    <w:rsid w:val="004370D7"/>
    <w:rsid w:val="004432FE"/>
    <w:rsid w:val="004437AE"/>
    <w:rsid w:val="00443BE1"/>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956E4"/>
    <w:rsid w:val="004A0C96"/>
    <w:rsid w:val="004A19DD"/>
    <w:rsid w:val="004A20E5"/>
    <w:rsid w:val="004A27E3"/>
    <w:rsid w:val="004A5261"/>
    <w:rsid w:val="004A7791"/>
    <w:rsid w:val="004B04D0"/>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430"/>
    <w:rsid w:val="005436FB"/>
    <w:rsid w:val="0055085C"/>
    <w:rsid w:val="0055090F"/>
    <w:rsid w:val="005543A6"/>
    <w:rsid w:val="005554AD"/>
    <w:rsid w:val="005568B0"/>
    <w:rsid w:val="00557C1B"/>
    <w:rsid w:val="00562694"/>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1A99"/>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2FCE"/>
    <w:rsid w:val="00666B5D"/>
    <w:rsid w:val="00666D92"/>
    <w:rsid w:val="006706B4"/>
    <w:rsid w:val="0067242A"/>
    <w:rsid w:val="00673CED"/>
    <w:rsid w:val="00674722"/>
    <w:rsid w:val="006749FE"/>
    <w:rsid w:val="006762D5"/>
    <w:rsid w:val="006801A9"/>
    <w:rsid w:val="0068296E"/>
    <w:rsid w:val="006900CE"/>
    <w:rsid w:val="00690C3A"/>
    <w:rsid w:val="00693203"/>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25E4"/>
    <w:rsid w:val="007746E5"/>
    <w:rsid w:val="007764F5"/>
    <w:rsid w:val="0078066F"/>
    <w:rsid w:val="00783694"/>
    <w:rsid w:val="0079077C"/>
    <w:rsid w:val="0079172F"/>
    <w:rsid w:val="00791F91"/>
    <w:rsid w:val="00792E1B"/>
    <w:rsid w:val="007934C3"/>
    <w:rsid w:val="00793C07"/>
    <w:rsid w:val="00794DAC"/>
    <w:rsid w:val="007958AE"/>
    <w:rsid w:val="0079703B"/>
    <w:rsid w:val="0079727B"/>
    <w:rsid w:val="007A2280"/>
    <w:rsid w:val="007A4F12"/>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3CB7"/>
    <w:rsid w:val="008D5DDF"/>
    <w:rsid w:val="008E2B32"/>
    <w:rsid w:val="008E6B4B"/>
    <w:rsid w:val="008E78C3"/>
    <w:rsid w:val="008F0E1B"/>
    <w:rsid w:val="008F59CA"/>
    <w:rsid w:val="008F615A"/>
    <w:rsid w:val="008F7FE5"/>
    <w:rsid w:val="00900B57"/>
    <w:rsid w:val="00904713"/>
    <w:rsid w:val="009059F6"/>
    <w:rsid w:val="00905D0E"/>
    <w:rsid w:val="00912406"/>
    <w:rsid w:val="009136FB"/>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4226"/>
    <w:rsid w:val="00957952"/>
    <w:rsid w:val="009612CA"/>
    <w:rsid w:val="00963D52"/>
    <w:rsid w:val="009640E8"/>
    <w:rsid w:val="00965A51"/>
    <w:rsid w:val="00970EA5"/>
    <w:rsid w:val="00973CA7"/>
    <w:rsid w:val="009757C4"/>
    <w:rsid w:val="0097679F"/>
    <w:rsid w:val="00977AF2"/>
    <w:rsid w:val="00980E92"/>
    <w:rsid w:val="0098334F"/>
    <w:rsid w:val="00987D22"/>
    <w:rsid w:val="009929A4"/>
    <w:rsid w:val="00993BB4"/>
    <w:rsid w:val="009974A8"/>
    <w:rsid w:val="00997C78"/>
    <w:rsid w:val="009A0EA8"/>
    <w:rsid w:val="009A1BDE"/>
    <w:rsid w:val="009A6E5F"/>
    <w:rsid w:val="009B170E"/>
    <w:rsid w:val="009B1762"/>
    <w:rsid w:val="009B4107"/>
    <w:rsid w:val="009B6F40"/>
    <w:rsid w:val="009C1E9F"/>
    <w:rsid w:val="009C4AF0"/>
    <w:rsid w:val="009C5128"/>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32B"/>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0A44"/>
    <w:rsid w:val="00AC108C"/>
    <w:rsid w:val="00AC6148"/>
    <w:rsid w:val="00AD25EB"/>
    <w:rsid w:val="00AD273D"/>
    <w:rsid w:val="00AD2FE8"/>
    <w:rsid w:val="00AD3773"/>
    <w:rsid w:val="00AD6720"/>
    <w:rsid w:val="00AD732E"/>
    <w:rsid w:val="00AE1C0F"/>
    <w:rsid w:val="00AE2AFA"/>
    <w:rsid w:val="00AE5420"/>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41ECA"/>
    <w:rsid w:val="00B45AD9"/>
    <w:rsid w:val="00B46B50"/>
    <w:rsid w:val="00B50309"/>
    <w:rsid w:val="00B51FC7"/>
    <w:rsid w:val="00B532E2"/>
    <w:rsid w:val="00B55775"/>
    <w:rsid w:val="00B55FFB"/>
    <w:rsid w:val="00B600C1"/>
    <w:rsid w:val="00B61F3D"/>
    <w:rsid w:val="00B63142"/>
    <w:rsid w:val="00B63FE9"/>
    <w:rsid w:val="00B66E98"/>
    <w:rsid w:val="00B70889"/>
    <w:rsid w:val="00B70FD7"/>
    <w:rsid w:val="00B75E35"/>
    <w:rsid w:val="00B762CF"/>
    <w:rsid w:val="00B7694F"/>
    <w:rsid w:val="00B810FB"/>
    <w:rsid w:val="00B85510"/>
    <w:rsid w:val="00B86F8C"/>
    <w:rsid w:val="00B87097"/>
    <w:rsid w:val="00B935F7"/>
    <w:rsid w:val="00B9375D"/>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B4C"/>
    <w:rsid w:val="00BC2E32"/>
    <w:rsid w:val="00BC3702"/>
    <w:rsid w:val="00BC3723"/>
    <w:rsid w:val="00BC3A0B"/>
    <w:rsid w:val="00BC4367"/>
    <w:rsid w:val="00BC79A5"/>
    <w:rsid w:val="00BD1749"/>
    <w:rsid w:val="00BD19A7"/>
    <w:rsid w:val="00BD4173"/>
    <w:rsid w:val="00BD7D8C"/>
    <w:rsid w:val="00BE0D34"/>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1B79"/>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471F"/>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29E"/>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96557"/>
    <w:rsid w:val="00DA03A3"/>
    <w:rsid w:val="00DA044F"/>
    <w:rsid w:val="00DA0F19"/>
    <w:rsid w:val="00DA1172"/>
    <w:rsid w:val="00DA15A0"/>
    <w:rsid w:val="00DA4D0F"/>
    <w:rsid w:val="00DA69E8"/>
    <w:rsid w:val="00DA72AF"/>
    <w:rsid w:val="00DB05CE"/>
    <w:rsid w:val="00DB09FD"/>
    <w:rsid w:val="00DB214F"/>
    <w:rsid w:val="00DC0B27"/>
    <w:rsid w:val="00DC0DC3"/>
    <w:rsid w:val="00DC5979"/>
    <w:rsid w:val="00DC683E"/>
    <w:rsid w:val="00DD7ACC"/>
    <w:rsid w:val="00DD7C86"/>
    <w:rsid w:val="00DE210F"/>
    <w:rsid w:val="00DE541B"/>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8B"/>
    <w:rsid w:val="00E604F1"/>
    <w:rsid w:val="00E61DE2"/>
    <w:rsid w:val="00E628B1"/>
    <w:rsid w:val="00E71B7C"/>
    <w:rsid w:val="00E72E33"/>
    <w:rsid w:val="00E7592D"/>
    <w:rsid w:val="00E826CD"/>
    <w:rsid w:val="00E8442D"/>
    <w:rsid w:val="00E854A1"/>
    <w:rsid w:val="00E93D2E"/>
    <w:rsid w:val="00E9738B"/>
    <w:rsid w:val="00E97895"/>
    <w:rsid w:val="00E97ED5"/>
    <w:rsid w:val="00EA2918"/>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4EA5"/>
    <w:rsid w:val="00EC69E5"/>
    <w:rsid w:val="00ED47C4"/>
    <w:rsid w:val="00ED4FC7"/>
    <w:rsid w:val="00ED59E6"/>
    <w:rsid w:val="00EE126C"/>
    <w:rsid w:val="00EE2C1D"/>
    <w:rsid w:val="00EF10A6"/>
    <w:rsid w:val="00EF1CEA"/>
    <w:rsid w:val="00EF31F9"/>
    <w:rsid w:val="00EF4E8F"/>
    <w:rsid w:val="00EF5AA6"/>
    <w:rsid w:val="00EF6432"/>
    <w:rsid w:val="00EF6661"/>
    <w:rsid w:val="00F013C6"/>
    <w:rsid w:val="00F035C6"/>
    <w:rsid w:val="00F04A50"/>
    <w:rsid w:val="00F0516B"/>
    <w:rsid w:val="00F05E51"/>
    <w:rsid w:val="00F0669D"/>
    <w:rsid w:val="00F16ADF"/>
    <w:rsid w:val="00F16C77"/>
    <w:rsid w:val="00F17533"/>
    <w:rsid w:val="00F21003"/>
    <w:rsid w:val="00F211FE"/>
    <w:rsid w:val="00F238BB"/>
    <w:rsid w:val="00F23BD1"/>
    <w:rsid w:val="00F246C6"/>
    <w:rsid w:val="00F43EFC"/>
    <w:rsid w:val="00F446EB"/>
    <w:rsid w:val="00F4506A"/>
    <w:rsid w:val="00F508E5"/>
    <w:rsid w:val="00F571BE"/>
    <w:rsid w:val="00F5795E"/>
    <w:rsid w:val="00F57B77"/>
    <w:rsid w:val="00F6136F"/>
    <w:rsid w:val="00F626D8"/>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C6F7E"/>
    <w:rsid w:val="00FD2FD3"/>
    <w:rsid w:val="00FD5E8F"/>
    <w:rsid w:val="00FE26CC"/>
    <w:rsid w:val="00FE48A3"/>
    <w:rsid w:val="00FE692E"/>
    <w:rsid w:val="00FE78A2"/>
    <w:rsid w:val="00FF3E28"/>
    <w:rsid w:val="01031527"/>
    <w:rsid w:val="012C1C02"/>
    <w:rsid w:val="014063FE"/>
    <w:rsid w:val="01721FEB"/>
    <w:rsid w:val="01722330"/>
    <w:rsid w:val="01954DE7"/>
    <w:rsid w:val="01B96DFD"/>
    <w:rsid w:val="01CA5CC8"/>
    <w:rsid w:val="01CE3A0A"/>
    <w:rsid w:val="01CF7782"/>
    <w:rsid w:val="01FA7E36"/>
    <w:rsid w:val="02226211"/>
    <w:rsid w:val="02330841"/>
    <w:rsid w:val="027F3CC8"/>
    <w:rsid w:val="02922A98"/>
    <w:rsid w:val="0293255D"/>
    <w:rsid w:val="02A429BD"/>
    <w:rsid w:val="02E25F12"/>
    <w:rsid w:val="030516AD"/>
    <w:rsid w:val="031F2043"/>
    <w:rsid w:val="032F5AAC"/>
    <w:rsid w:val="03300C0C"/>
    <w:rsid w:val="038A3F97"/>
    <w:rsid w:val="038C4DE3"/>
    <w:rsid w:val="03993BA4"/>
    <w:rsid w:val="03A66B69"/>
    <w:rsid w:val="03D74EAC"/>
    <w:rsid w:val="03E017D2"/>
    <w:rsid w:val="04126F01"/>
    <w:rsid w:val="042C4F6C"/>
    <w:rsid w:val="04340506"/>
    <w:rsid w:val="04392177"/>
    <w:rsid w:val="044034BE"/>
    <w:rsid w:val="04446205"/>
    <w:rsid w:val="045F4DED"/>
    <w:rsid w:val="047255F5"/>
    <w:rsid w:val="047D34C5"/>
    <w:rsid w:val="048C54B6"/>
    <w:rsid w:val="04903B99"/>
    <w:rsid w:val="04983E5B"/>
    <w:rsid w:val="049A4077"/>
    <w:rsid w:val="04D127F5"/>
    <w:rsid w:val="04F80880"/>
    <w:rsid w:val="04F85637"/>
    <w:rsid w:val="05130EC4"/>
    <w:rsid w:val="05253B7D"/>
    <w:rsid w:val="05452235"/>
    <w:rsid w:val="054E05C4"/>
    <w:rsid w:val="05550B86"/>
    <w:rsid w:val="055A54B2"/>
    <w:rsid w:val="057503C1"/>
    <w:rsid w:val="05A21435"/>
    <w:rsid w:val="05EB631A"/>
    <w:rsid w:val="06127C3D"/>
    <w:rsid w:val="06215480"/>
    <w:rsid w:val="062E1176"/>
    <w:rsid w:val="063E255E"/>
    <w:rsid w:val="065D710A"/>
    <w:rsid w:val="06695664"/>
    <w:rsid w:val="068B37EA"/>
    <w:rsid w:val="069468A4"/>
    <w:rsid w:val="069A06D8"/>
    <w:rsid w:val="06B14A33"/>
    <w:rsid w:val="06CC6C7E"/>
    <w:rsid w:val="06D86E6E"/>
    <w:rsid w:val="06E710CA"/>
    <w:rsid w:val="06E94E42"/>
    <w:rsid w:val="06FF6413"/>
    <w:rsid w:val="07101435"/>
    <w:rsid w:val="07131CDD"/>
    <w:rsid w:val="072B0FB7"/>
    <w:rsid w:val="076D4D3B"/>
    <w:rsid w:val="07724E37"/>
    <w:rsid w:val="07B37245"/>
    <w:rsid w:val="07B400E8"/>
    <w:rsid w:val="07EC1177"/>
    <w:rsid w:val="07EF6488"/>
    <w:rsid w:val="07F556AE"/>
    <w:rsid w:val="08176B48"/>
    <w:rsid w:val="08322F2E"/>
    <w:rsid w:val="084D1CF0"/>
    <w:rsid w:val="0864481A"/>
    <w:rsid w:val="087B43C8"/>
    <w:rsid w:val="08A54D99"/>
    <w:rsid w:val="08A851CD"/>
    <w:rsid w:val="08B235B1"/>
    <w:rsid w:val="08C6374F"/>
    <w:rsid w:val="08DC1B03"/>
    <w:rsid w:val="08E33B14"/>
    <w:rsid w:val="08F00483"/>
    <w:rsid w:val="08F85810"/>
    <w:rsid w:val="094E5251"/>
    <w:rsid w:val="095A071C"/>
    <w:rsid w:val="096D1193"/>
    <w:rsid w:val="09B4074E"/>
    <w:rsid w:val="09B47989"/>
    <w:rsid w:val="09B67743"/>
    <w:rsid w:val="09CB6A81"/>
    <w:rsid w:val="09E54A69"/>
    <w:rsid w:val="0A0106F5"/>
    <w:rsid w:val="0A0607F6"/>
    <w:rsid w:val="0A0B218A"/>
    <w:rsid w:val="0A2F5262"/>
    <w:rsid w:val="0A333B9A"/>
    <w:rsid w:val="0A4A2EC2"/>
    <w:rsid w:val="0A522CFE"/>
    <w:rsid w:val="0A537E82"/>
    <w:rsid w:val="0A670558"/>
    <w:rsid w:val="0A685D0F"/>
    <w:rsid w:val="0A7D7D7B"/>
    <w:rsid w:val="0ABD643A"/>
    <w:rsid w:val="0AD856A5"/>
    <w:rsid w:val="0AEB4956"/>
    <w:rsid w:val="0B035CC3"/>
    <w:rsid w:val="0B0C10FF"/>
    <w:rsid w:val="0B2E1267"/>
    <w:rsid w:val="0B53243F"/>
    <w:rsid w:val="0B5C3158"/>
    <w:rsid w:val="0B845139"/>
    <w:rsid w:val="0B866A2E"/>
    <w:rsid w:val="0B911F88"/>
    <w:rsid w:val="0B913B41"/>
    <w:rsid w:val="0BB023D2"/>
    <w:rsid w:val="0BC027C4"/>
    <w:rsid w:val="0BC750CE"/>
    <w:rsid w:val="0BDE35D8"/>
    <w:rsid w:val="0BE16F32"/>
    <w:rsid w:val="0C204376"/>
    <w:rsid w:val="0C254A1B"/>
    <w:rsid w:val="0C526FE5"/>
    <w:rsid w:val="0C537AC8"/>
    <w:rsid w:val="0C6875C2"/>
    <w:rsid w:val="0C85560D"/>
    <w:rsid w:val="0C944F90"/>
    <w:rsid w:val="0C9E75FF"/>
    <w:rsid w:val="0CA77331"/>
    <w:rsid w:val="0CB16402"/>
    <w:rsid w:val="0CEC0DE7"/>
    <w:rsid w:val="0D0227BA"/>
    <w:rsid w:val="0D0C4CF8"/>
    <w:rsid w:val="0D0F4807"/>
    <w:rsid w:val="0D1F7146"/>
    <w:rsid w:val="0D23245A"/>
    <w:rsid w:val="0D554FDF"/>
    <w:rsid w:val="0D605732"/>
    <w:rsid w:val="0D7542AB"/>
    <w:rsid w:val="0D844388"/>
    <w:rsid w:val="0D854860"/>
    <w:rsid w:val="0D9848DC"/>
    <w:rsid w:val="0DA76821"/>
    <w:rsid w:val="0DEE34CD"/>
    <w:rsid w:val="0E0B7D94"/>
    <w:rsid w:val="0E230C39"/>
    <w:rsid w:val="0E301FC6"/>
    <w:rsid w:val="0E607F86"/>
    <w:rsid w:val="0E664FCA"/>
    <w:rsid w:val="0E8A0CB9"/>
    <w:rsid w:val="0E9C279A"/>
    <w:rsid w:val="0EB23067"/>
    <w:rsid w:val="0EB421D9"/>
    <w:rsid w:val="0F0D5446"/>
    <w:rsid w:val="0F142273"/>
    <w:rsid w:val="0F355BE9"/>
    <w:rsid w:val="0F5B4403"/>
    <w:rsid w:val="0F5D008C"/>
    <w:rsid w:val="0F664326"/>
    <w:rsid w:val="0FA918C7"/>
    <w:rsid w:val="0FA9329A"/>
    <w:rsid w:val="0FD3114F"/>
    <w:rsid w:val="0FE63AC6"/>
    <w:rsid w:val="0FEB6A17"/>
    <w:rsid w:val="0FEE5EBF"/>
    <w:rsid w:val="1012756E"/>
    <w:rsid w:val="108300B5"/>
    <w:rsid w:val="108654B0"/>
    <w:rsid w:val="108C64EF"/>
    <w:rsid w:val="10AA5642"/>
    <w:rsid w:val="10BE733F"/>
    <w:rsid w:val="10CA1840"/>
    <w:rsid w:val="10D60D02"/>
    <w:rsid w:val="10D658FE"/>
    <w:rsid w:val="10D97CD5"/>
    <w:rsid w:val="10E94AC2"/>
    <w:rsid w:val="10EC7A09"/>
    <w:rsid w:val="10FC5772"/>
    <w:rsid w:val="11015B72"/>
    <w:rsid w:val="1107092F"/>
    <w:rsid w:val="11093651"/>
    <w:rsid w:val="1147387D"/>
    <w:rsid w:val="114B5472"/>
    <w:rsid w:val="11662604"/>
    <w:rsid w:val="11683B30"/>
    <w:rsid w:val="11700416"/>
    <w:rsid w:val="11796EDC"/>
    <w:rsid w:val="118006F3"/>
    <w:rsid w:val="118B0DEE"/>
    <w:rsid w:val="119D5A3B"/>
    <w:rsid w:val="11AF4BBA"/>
    <w:rsid w:val="11FF11DA"/>
    <w:rsid w:val="121D5C5B"/>
    <w:rsid w:val="125248D7"/>
    <w:rsid w:val="12635AA8"/>
    <w:rsid w:val="126C254B"/>
    <w:rsid w:val="127840D2"/>
    <w:rsid w:val="12900790"/>
    <w:rsid w:val="12900868"/>
    <w:rsid w:val="12A63010"/>
    <w:rsid w:val="12B839F5"/>
    <w:rsid w:val="12E642C5"/>
    <w:rsid w:val="130A23C8"/>
    <w:rsid w:val="13203999"/>
    <w:rsid w:val="13280779"/>
    <w:rsid w:val="13421AE3"/>
    <w:rsid w:val="13425272"/>
    <w:rsid w:val="134F24D1"/>
    <w:rsid w:val="1399464B"/>
    <w:rsid w:val="13AA7707"/>
    <w:rsid w:val="13C733E6"/>
    <w:rsid w:val="13E45340"/>
    <w:rsid w:val="13FF3EF7"/>
    <w:rsid w:val="143C0B97"/>
    <w:rsid w:val="14496182"/>
    <w:rsid w:val="144E2788"/>
    <w:rsid w:val="14616F66"/>
    <w:rsid w:val="14806439"/>
    <w:rsid w:val="149C1746"/>
    <w:rsid w:val="14D21743"/>
    <w:rsid w:val="14D26E56"/>
    <w:rsid w:val="14E4477F"/>
    <w:rsid w:val="14EA0703"/>
    <w:rsid w:val="15035669"/>
    <w:rsid w:val="15086E33"/>
    <w:rsid w:val="152F7F4B"/>
    <w:rsid w:val="158A77F0"/>
    <w:rsid w:val="15A541C4"/>
    <w:rsid w:val="15BB0C10"/>
    <w:rsid w:val="15BD1BCA"/>
    <w:rsid w:val="15CD7D54"/>
    <w:rsid w:val="15F630D7"/>
    <w:rsid w:val="15FB113C"/>
    <w:rsid w:val="16105DC5"/>
    <w:rsid w:val="16730284"/>
    <w:rsid w:val="16753FFC"/>
    <w:rsid w:val="16774FC1"/>
    <w:rsid w:val="167C2CA0"/>
    <w:rsid w:val="16862FFB"/>
    <w:rsid w:val="16B22972"/>
    <w:rsid w:val="16B965DF"/>
    <w:rsid w:val="16BC74EB"/>
    <w:rsid w:val="16FD63B7"/>
    <w:rsid w:val="17075810"/>
    <w:rsid w:val="170F516B"/>
    <w:rsid w:val="17402DEB"/>
    <w:rsid w:val="1741793A"/>
    <w:rsid w:val="1743234C"/>
    <w:rsid w:val="17933E49"/>
    <w:rsid w:val="17966F3F"/>
    <w:rsid w:val="179901BE"/>
    <w:rsid w:val="179D2ACB"/>
    <w:rsid w:val="17AC2D6B"/>
    <w:rsid w:val="17B42A76"/>
    <w:rsid w:val="17C24EE1"/>
    <w:rsid w:val="17C27715"/>
    <w:rsid w:val="17C57205"/>
    <w:rsid w:val="17CA60F9"/>
    <w:rsid w:val="17E4768B"/>
    <w:rsid w:val="17EE4F0B"/>
    <w:rsid w:val="17FC3BA5"/>
    <w:rsid w:val="182513C0"/>
    <w:rsid w:val="182B51D2"/>
    <w:rsid w:val="18397E11"/>
    <w:rsid w:val="18426135"/>
    <w:rsid w:val="18523C01"/>
    <w:rsid w:val="18915CCD"/>
    <w:rsid w:val="18A8371E"/>
    <w:rsid w:val="18E407F4"/>
    <w:rsid w:val="190139FE"/>
    <w:rsid w:val="191C263F"/>
    <w:rsid w:val="194505FE"/>
    <w:rsid w:val="19570331"/>
    <w:rsid w:val="196562EC"/>
    <w:rsid w:val="196675BB"/>
    <w:rsid w:val="19687E48"/>
    <w:rsid w:val="196B1CEA"/>
    <w:rsid w:val="198E1EAE"/>
    <w:rsid w:val="19A777D9"/>
    <w:rsid w:val="19AB0116"/>
    <w:rsid w:val="19C30599"/>
    <w:rsid w:val="19CF7EC7"/>
    <w:rsid w:val="19FB3499"/>
    <w:rsid w:val="1A24288D"/>
    <w:rsid w:val="1A3441CE"/>
    <w:rsid w:val="1A3A7593"/>
    <w:rsid w:val="1A405F82"/>
    <w:rsid w:val="1A74298E"/>
    <w:rsid w:val="1AD5211E"/>
    <w:rsid w:val="1B1B5294"/>
    <w:rsid w:val="1B283330"/>
    <w:rsid w:val="1B356450"/>
    <w:rsid w:val="1B434F04"/>
    <w:rsid w:val="1B9C14FB"/>
    <w:rsid w:val="1BBF6165"/>
    <w:rsid w:val="1BDB35E3"/>
    <w:rsid w:val="1BE453D0"/>
    <w:rsid w:val="1BEB4F4B"/>
    <w:rsid w:val="1BEF4851"/>
    <w:rsid w:val="1BFE3C79"/>
    <w:rsid w:val="1C0954E1"/>
    <w:rsid w:val="1C2C01A7"/>
    <w:rsid w:val="1C4F3541"/>
    <w:rsid w:val="1C584649"/>
    <w:rsid w:val="1C7134B8"/>
    <w:rsid w:val="1C792E22"/>
    <w:rsid w:val="1C93646E"/>
    <w:rsid w:val="1CB57848"/>
    <w:rsid w:val="1CBF2475"/>
    <w:rsid w:val="1D2D5631"/>
    <w:rsid w:val="1D345E0F"/>
    <w:rsid w:val="1D3E783E"/>
    <w:rsid w:val="1D522DF9"/>
    <w:rsid w:val="1D880AB9"/>
    <w:rsid w:val="1DB9452C"/>
    <w:rsid w:val="1DE33F41"/>
    <w:rsid w:val="1DE71C83"/>
    <w:rsid w:val="1E0431F6"/>
    <w:rsid w:val="1E1265D5"/>
    <w:rsid w:val="1E206809"/>
    <w:rsid w:val="1E5A0F1E"/>
    <w:rsid w:val="1E5A29B0"/>
    <w:rsid w:val="1E71779F"/>
    <w:rsid w:val="1E8A6AB3"/>
    <w:rsid w:val="1EA63FAE"/>
    <w:rsid w:val="1EB27A1A"/>
    <w:rsid w:val="1EBC700B"/>
    <w:rsid w:val="1EE45188"/>
    <w:rsid w:val="1EEC7023"/>
    <w:rsid w:val="1EFB3211"/>
    <w:rsid w:val="1F103EA9"/>
    <w:rsid w:val="1F1A7A1E"/>
    <w:rsid w:val="1F1D7927"/>
    <w:rsid w:val="1F332CA6"/>
    <w:rsid w:val="1F44705C"/>
    <w:rsid w:val="1F45125A"/>
    <w:rsid w:val="1F784B5D"/>
    <w:rsid w:val="1FA63478"/>
    <w:rsid w:val="1FAA1431"/>
    <w:rsid w:val="1FB14636"/>
    <w:rsid w:val="1FC475AA"/>
    <w:rsid w:val="1FCA3C17"/>
    <w:rsid w:val="1FD1437A"/>
    <w:rsid w:val="1FDB296A"/>
    <w:rsid w:val="1FE909DC"/>
    <w:rsid w:val="1FEA5A5B"/>
    <w:rsid w:val="1FF42436"/>
    <w:rsid w:val="1FFA0BD8"/>
    <w:rsid w:val="20056C59"/>
    <w:rsid w:val="20213A44"/>
    <w:rsid w:val="202730EF"/>
    <w:rsid w:val="204333BD"/>
    <w:rsid w:val="20457135"/>
    <w:rsid w:val="20631369"/>
    <w:rsid w:val="207227D1"/>
    <w:rsid w:val="20726449"/>
    <w:rsid w:val="20755F4B"/>
    <w:rsid w:val="20AF152F"/>
    <w:rsid w:val="20D70CDB"/>
    <w:rsid w:val="20D970F2"/>
    <w:rsid w:val="20DB2206"/>
    <w:rsid w:val="20E019DC"/>
    <w:rsid w:val="20E83906"/>
    <w:rsid w:val="211865F8"/>
    <w:rsid w:val="212C6238"/>
    <w:rsid w:val="21431371"/>
    <w:rsid w:val="2149055F"/>
    <w:rsid w:val="21513626"/>
    <w:rsid w:val="215C64E4"/>
    <w:rsid w:val="215D225D"/>
    <w:rsid w:val="21667363"/>
    <w:rsid w:val="219001F8"/>
    <w:rsid w:val="219537A4"/>
    <w:rsid w:val="21BD6DBB"/>
    <w:rsid w:val="21C02D6D"/>
    <w:rsid w:val="21C36564"/>
    <w:rsid w:val="21C85928"/>
    <w:rsid w:val="21DF0EC4"/>
    <w:rsid w:val="21E23A88"/>
    <w:rsid w:val="220F3557"/>
    <w:rsid w:val="221C055F"/>
    <w:rsid w:val="222A213F"/>
    <w:rsid w:val="22673089"/>
    <w:rsid w:val="22711F1D"/>
    <w:rsid w:val="228D0920"/>
    <w:rsid w:val="22E104A7"/>
    <w:rsid w:val="22FE3737"/>
    <w:rsid w:val="23290736"/>
    <w:rsid w:val="23362D65"/>
    <w:rsid w:val="23480D0D"/>
    <w:rsid w:val="23603619"/>
    <w:rsid w:val="236E5E5F"/>
    <w:rsid w:val="237072A3"/>
    <w:rsid w:val="2378337E"/>
    <w:rsid w:val="2395126F"/>
    <w:rsid w:val="239A32F4"/>
    <w:rsid w:val="23A61C99"/>
    <w:rsid w:val="23B93089"/>
    <w:rsid w:val="23C5440E"/>
    <w:rsid w:val="23F30C56"/>
    <w:rsid w:val="240D1E7C"/>
    <w:rsid w:val="2411343C"/>
    <w:rsid w:val="241F1A4B"/>
    <w:rsid w:val="24266C7C"/>
    <w:rsid w:val="243B4281"/>
    <w:rsid w:val="244A2F6C"/>
    <w:rsid w:val="246A64EC"/>
    <w:rsid w:val="248E0882"/>
    <w:rsid w:val="24AB04CD"/>
    <w:rsid w:val="24B47998"/>
    <w:rsid w:val="24B85FE4"/>
    <w:rsid w:val="24D67678"/>
    <w:rsid w:val="252E63EA"/>
    <w:rsid w:val="25335818"/>
    <w:rsid w:val="25493224"/>
    <w:rsid w:val="256533FF"/>
    <w:rsid w:val="25714E00"/>
    <w:rsid w:val="258204E4"/>
    <w:rsid w:val="258E278B"/>
    <w:rsid w:val="25950845"/>
    <w:rsid w:val="25A53D6F"/>
    <w:rsid w:val="25B424E2"/>
    <w:rsid w:val="25E847EB"/>
    <w:rsid w:val="25F56F08"/>
    <w:rsid w:val="2642351B"/>
    <w:rsid w:val="267047E0"/>
    <w:rsid w:val="268C4A4A"/>
    <w:rsid w:val="26EA4592"/>
    <w:rsid w:val="270F7B55"/>
    <w:rsid w:val="273B6B9C"/>
    <w:rsid w:val="27427F2B"/>
    <w:rsid w:val="27454BF7"/>
    <w:rsid w:val="27457765"/>
    <w:rsid w:val="27513007"/>
    <w:rsid w:val="276C3345"/>
    <w:rsid w:val="27857F9B"/>
    <w:rsid w:val="2795721C"/>
    <w:rsid w:val="27A641C3"/>
    <w:rsid w:val="27A6670B"/>
    <w:rsid w:val="27C546B8"/>
    <w:rsid w:val="28035E09"/>
    <w:rsid w:val="281D567C"/>
    <w:rsid w:val="282633A8"/>
    <w:rsid w:val="28331903"/>
    <w:rsid w:val="283755B5"/>
    <w:rsid w:val="284461F5"/>
    <w:rsid w:val="284F29AA"/>
    <w:rsid w:val="286B5783"/>
    <w:rsid w:val="286F1880"/>
    <w:rsid w:val="28802127"/>
    <w:rsid w:val="288D313B"/>
    <w:rsid w:val="28961B99"/>
    <w:rsid w:val="28A10C81"/>
    <w:rsid w:val="28B44E58"/>
    <w:rsid w:val="28C05EAE"/>
    <w:rsid w:val="28C25B84"/>
    <w:rsid w:val="28EC2844"/>
    <w:rsid w:val="28F9286B"/>
    <w:rsid w:val="29114058"/>
    <w:rsid w:val="292E2632"/>
    <w:rsid w:val="29422319"/>
    <w:rsid w:val="29497C1B"/>
    <w:rsid w:val="29594B17"/>
    <w:rsid w:val="29745A9F"/>
    <w:rsid w:val="29895F6F"/>
    <w:rsid w:val="29992827"/>
    <w:rsid w:val="29995DFC"/>
    <w:rsid w:val="29AC6F9B"/>
    <w:rsid w:val="29B91807"/>
    <w:rsid w:val="29E821D3"/>
    <w:rsid w:val="29F75268"/>
    <w:rsid w:val="2A0843FB"/>
    <w:rsid w:val="2A0D3565"/>
    <w:rsid w:val="2A665D56"/>
    <w:rsid w:val="2A671A93"/>
    <w:rsid w:val="2A725E24"/>
    <w:rsid w:val="2A76709F"/>
    <w:rsid w:val="2A813D65"/>
    <w:rsid w:val="2A930A9D"/>
    <w:rsid w:val="2A967EB2"/>
    <w:rsid w:val="2ABB7160"/>
    <w:rsid w:val="2ABD555D"/>
    <w:rsid w:val="2AC670C5"/>
    <w:rsid w:val="2AD417E1"/>
    <w:rsid w:val="2B065713"/>
    <w:rsid w:val="2B2871E7"/>
    <w:rsid w:val="2B4147A5"/>
    <w:rsid w:val="2B764373"/>
    <w:rsid w:val="2B7E5B63"/>
    <w:rsid w:val="2B8474C1"/>
    <w:rsid w:val="2BA75CE6"/>
    <w:rsid w:val="2BA9299F"/>
    <w:rsid w:val="2BCE0DAB"/>
    <w:rsid w:val="2BEC78AC"/>
    <w:rsid w:val="2BF832AE"/>
    <w:rsid w:val="2BF93690"/>
    <w:rsid w:val="2BFE65C2"/>
    <w:rsid w:val="2C02412C"/>
    <w:rsid w:val="2C0525C8"/>
    <w:rsid w:val="2C1665B8"/>
    <w:rsid w:val="2C1B6EA3"/>
    <w:rsid w:val="2C295297"/>
    <w:rsid w:val="2C4A119D"/>
    <w:rsid w:val="2C6E17C2"/>
    <w:rsid w:val="2CAA4A50"/>
    <w:rsid w:val="2CB90168"/>
    <w:rsid w:val="2CC5686F"/>
    <w:rsid w:val="2CD5501C"/>
    <w:rsid w:val="2D7F69DE"/>
    <w:rsid w:val="2DB16F26"/>
    <w:rsid w:val="2DB3388B"/>
    <w:rsid w:val="2DC518B5"/>
    <w:rsid w:val="2DC93154"/>
    <w:rsid w:val="2DCA6ECC"/>
    <w:rsid w:val="2DDC57AF"/>
    <w:rsid w:val="2E284896"/>
    <w:rsid w:val="2E2C723F"/>
    <w:rsid w:val="2E815E80"/>
    <w:rsid w:val="2E8E096D"/>
    <w:rsid w:val="2E954277"/>
    <w:rsid w:val="2EBE59C2"/>
    <w:rsid w:val="2EDF69A7"/>
    <w:rsid w:val="2F1A79DF"/>
    <w:rsid w:val="2F2A413F"/>
    <w:rsid w:val="2F363171"/>
    <w:rsid w:val="2F7E7F6E"/>
    <w:rsid w:val="2F8B34FD"/>
    <w:rsid w:val="2F9959A7"/>
    <w:rsid w:val="300D323B"/>
    <w:rsid w:val="302169BE"/>
    <w:rsid w:val="302D0419"/>
    <w:rsid w:val="30311375"/>
    <w:rsid w:val="30404D55"/>
    <w:rsid w:val="30473F91"/>
    <w:rsid w:val="305E4E97"/>
    <w:rsid w:val="306058C5"/>
    <w:rsid w:val="306D6703"/>
    <w:rsid w:val="307C3F0E"/>
    <w:rsid w:val="30A54B08"/>
    <w:rsid w:val="30B023A9"/>
    <w:rsid w:val="30B5421D"/>
    <w:rsid w:val="30C714A1"/>
    <w:rsid w:val="310E2A55"/>
    <w:rsid w:val="311772A4"/>
    <w:rsid w:val="31186537"/>
    <w:rsid w:val="312133D5"/>
    <w:rsid w:val="31283321"/>
    <w:rsid w:val="315F792B"/>
    <w:rsid w:val="319E1D2A"/>
    <w:rsid w:val="31A66532"/>
    <w:rsid w:val="31B92B8B"/>
    <w:rsid w:val="31BB1552"/>
    <w:rsid w:val="31E52343"/>
    <w:rsid w:val="324D032D"/>
    <w:rsid w:val="3257574A"/>
    <w:rsid w:val="325A11C5"/>
    <w:rsid w:val="325B4596"/>
    <w:rsid w:val="32702FC0"/>
    <w:rsid w:val="329E4DFA"/>
    <w:rsid w:val="32B313E6"/>
    <w:rsid w:val="32D069D1"/>
    <w:rsid w:val="32FB3683"/>
    <w:rsid w:val="32FD564D"/>
    <w:rsid w:val="3328091C"/>
    <w:rsid w:val="33620F19"/>
    <w:rsid w:val="338F3097"/>
    <w:rsid w:val="33A214E0"/>
    <w:rsid w:val="33A51F6D"/>
    <w:rsid w:val="33BD4631"/>
    <w:rsid w:val="33C06DA7"/>
    <w:rsid w:val="33F307A5"/>
    <w:rsid w:val="33FA0154"/>
    <w:rsid w:val="342509B8"/>
    <w:rsid w:val="34297F29"/>
    <w:rsid w:val="34476B80"/>
    <w:rsid w:val="345014C3"/>
    <w:rsid w:val="349D0BDD"/>
    <w:rsid w:val="34AE6BFF"/>
    <w:rsid w:val="34CA3E45"/>
    <w:rsid w:val="34D34153"/>
    <w:rsid w:val="350B5E00"/>
    <w:rsid w:val="35721391"/>
    <w:rsid w:val="357D41D5"/>
    <w:rsid w:val="359758E5"/>
    <w:rsid w:val="359D5EEA"/>
    <w:rsid w:val="35BA1D81"/>
    <w:rsid w:val="35BE7DBB"/>
    <w:rsid w:val="35D02BA5"/>
    <w:rsid w:val="35E8637E"/>
    <w:rsid w:val="35EF3CD1"/>
    <w:rsid w:val="35F248F5"/>
    <w:rsid w:val="35FC1BEC"/>
    <w:rsid w:val="35FC7E3E"/>
    <w:rsid w:val="36356EAC"/>
    <w:rsid w:val="363C3B17"/>
    <w:rsid w:val="36474247"/>
    <w:rsid w:val="3652282D"/>
    <w:rsid w:val="365612FD"/>
    <w:rsid w:val="3677309A"/>
    <w:rsid w:val="36F40B16"/>
    <w:rsid w:val="36F86858"/>
    <w:rsid w:val="370C52DF"/>
    <w:rsid w:val="370C5E5F"/>
    <w:rsid w:val="372140C5"/>
    <w:rsid w:val="374B6987"/>
    <w:rsid w:val="374D6BA3"/>
    <w:rsid w:val="375A306E"/>
    <w:rsid w:val="3783241F"/>
    <w:rsid w:val="379320DC"/>
    <w:rsid w:val="37973E31"/>
    <w:rsid w:val="37A61D6A"/>
    <w:rsid w:val="37A91C9F"/>
    <w:rsid w:val="37B02C8E"/>
    <w:rsid w:val="37BD5302"/>
    <w:rsid w:val="37C4351F"/>
    <w:rsid w:val="37CE1367"/>
    <w:rsid w:val="37D746BF"/>
    <w:rsid w:val="37DF3574"/>
    <w:rsid w:val="37E528A4"/>
    <w:rsid w:val="37FE3B6D"/>
    <w:rsid w:val="3801393F"/>
    <w:rsid w:val="385B5040"/>
    <w:rsid w:val="387B7D7C"/>
    <w:rsid w:val="3885236D"/>
    <w:rsid w:val="388F565A"/>
    <w:rsid w:val="38A76B41"/>
    <w:rsid w:val="38BE762D"/>
    <w:rsid w:val="38C84008"/>
    <w:rsid w:val="38CA5FD2"/>
    <w:rsid w:val="38EB0F04"/>
    <w:rsid w:val="3908412D"/>
    <w:rsid w:val="39224187"/>
    <w:rsid w:val="39411452"/>
    <w:rsid w:val="39725E0D"/>
    <w:rsid w:val="397B72CC"/>
    <w:rsid w:val="397C49C3"/>
    <w:rsid w:val="39B22FFA"/>
    <w:rsid w:val="39C15930"/>
    <w:rsid w:val="39DC0787"/>
    <w:rsid w:val="3A173499"/>
    <w:rsid w:val="3A30022F"/>
    <w:rsid w:val="3A371445"/>
    <w:rsid w:val="3A886145"/>
    <w:rsid w:val="3A8D72B7"/>
    <w:rsid w:val="3AA009A1"/>
    <w:rsid w:val="3AB900AC"/>
    <w:rsid w:val="3AC52EF5"/>
    <w:rsid w:val="3B007A89"/>
    <w:rsid w:val="3B027CA5"/>
    <w:rsid w:val="3B1E3236"/>
    <w:rsid w:val="3B2E2848"/>
    <w:rsid w:val="3B5D4EDB"/>
    <w:rsid w:val="3B81506E"/>
    <w:rsid w:val="3BA526EA"/>
    <w:rsid w:val="3BA60D07"/>
    <w:rsid w:val="3BA6272A"/>
    <w:rsid w:val="3BAD4A61"/>
    <w:rsid w:val="3BB22833"/>
    <w:rsid w:val="3BCB672A"/>
    <w:rsid w:val="3BDC53B4"/>
    <w:rsid w:val="3BE27C97"/>
    <w:rsid w:val="3BE473AB"/>
    <w:rsid w:val="3C030505"/>
    <w:rsid w:val="3C1C0729"/>
    <w:rsid w:val="3C9A513B"/>
    <w:rsid w:val="3CB94393"/>
    <w:rsid w:val="3CCD2793"/>
    <w:rsid w:val="3CE242F0"/>
    <w:rsid w:val="3CFA57E4"/>
    <w:rsid w:val="3D0221DE"/>
    <w:rsid w:val="3D023F8C"/>
    <w:rsid w:val="3D0673EF"/>
    <w:rsid w:val="3D1B3AA0"/>
    <w:rsid w:val="3D1E60DF"/>
    <w:rsid w:val="3D3C39D6"/>
    <w:rsid w:val="3D4E2ED8"/>
    <w:rsid w:val="3D5D3C39"/>
    <w:rsid w:val="3D92443C"/>
    <w:rsid w:val="3D95035C"/>
    <w:rsid w:val="3DE2791A"/>
    <w:rsid w:val="3E053B4B"/>
    <w:rsid w:val="3E151A9D"/>
    <w:rsid w:val="3E375EB7"/>
    <w:rsid w:val="3E38205E"/>
    <w:rsid w:val="3E7C6729"/>
    <w:rsid w:val="3E8266FE"/>
    <w:rsid w:val="3E863F04"/>
    <w:rsid w:val="3E933410"/>
    <w:rsid w:val="3EA47C68"/>
    <w:rsid w:val="3ED03C16"/>
    <w:rsid w:val="3ED6009E"/>
    <w:rsid w:val="3EEB27FE"/>
    <w:rsid w:val="3F0F6E83"/>
    <w:rsid w:val="3F23526A"/>
    <w:rsid w:val="3F3423F7"/>
    <w:rsid w:val="3F490308"/>
    <w:rsid w:val="3F595FFD"/>
    <w:rsid w:val="3F8E1B07"/>
    <w:rsid w:val="3FF82684"/>
    <w:rsid w:val="3FFE5390"/>
    <w:rsid w:val="40161AFD"/>
    <w:rsid w:val="403326AF"/>
    <w:rsid w:val="40402F34"/>
    <w:rsid w:val="408B6047"/>
    <w:rsid w:val="40AF442B"/>
    <w:rsid w:val="40E165AE"/>
    <w:rsid w:val="40F07398"/>
    <w:rsid w:val="40F26AC0"/>
    <w:rsid w:val="40F925E3"/>
    <w:rsid w:val="411C75E7"/>
    <w:rsid w:val="412248A1"/>
    <w:rsid w:val="41540B2E"/>
    <w:rsid w:val="415E333C"/>
    <w:rsid w:val="41715E5E"/>
    <w:rsid w:val="417F7EBB"/>
    <w:rsid w:val="418F600A"/>
    <w:rsid w:val="419B5FD1"/>
    <w:rsid w:val="419E1DAA"/>
    <w:rsid w:val="41C95125"/>
    <w:rsid w:val="41FB203E"/>
    <w:rsid w:val="420D5851"/>
    <w:rsid w:val="420D5A35"/>
    <w:rsid w:val="422E137F"/>
    <w:rsid w:val="424B3CDF"/>
    <w:rsid w:val="425F401B"/>
    <w:rsid w:val="426D19F0"/>
    <w:rsid w:val="428B0580"/>
    <w:rsid w:val="428C7571"/>
    <w:rsid w:val="42997C24"/>
    <w:rsid w:val="42A165C0"/>
    <w:rsid w:val="42D31F27"/>
    <w:rsid w:val="42D33CD5"/>
    <w:rsid w:val="42D4097A"/>
    <w:rsid w:val="42E80B4B"/>
    <w:rsid w:val="42FC5208"/>
    <w:rsid w:val="43227F2B"/>
    <w:rsid w:val="43255A95"/>
    <w:rsid w:val="43341596"/>
    <w:rsid w:val="436F7EA2"/>
    <w:rsid w:val="437B0FFD"/>
    <w:rsid w:val="43860D47"/>
    <w:rsid w:val="43B41D58"/>
    <w:rsid w:val="43E725CC"/>
    <w:rsid w:val="43ED0DC6"/>
    <w:rsid w:val="43FB4652"/>
    <w:rsid w:val="43FF1225"/>
    <w:rsid w:val="445F4788"/>
    <w:rsid w:val="447306A2"/>
    <w:rsid w:val="447D5C51"/>
    <w:rsid w:val="44890DFE"/>
    <w:rsid w:val="44B32884"/>
    <w:rsid w:val="44E36EBE"/>
    <w:rsid w:val="44E73A68"/>
    <w:rsid w:val="44FA6BE7"/>
    <w:rsid w:val="4508235C"/>
    <w:rsid w:val="45223845"/>
    <w:rsid w:val="45290298"/>
    <w:rsid w:val="455978C8"/>
    <w:rsid w:val="45B51211"/>
    <w:rsid w:val="45BA27F4"/>
    <w:rsid w:val="45BD6D52"/>
    <w:rsid w:val="45BF5F80"/>
    <w:rsid w:val="45DC10F2"/>
    <w:rsid w:val="45EF52CA"/>
    <w:rsid w:val="45F16636"/>
    <w:rsid w:val="46276812"/>
    <w:rsid w:val="462A4554"/>
    <w:rsid w:val="46517D32"/>
    <w:rsid w:val="46753001"/>
    <w:rsid w:val="46821C9A"/>
    <w:rsid w:val="46B51ADC"/>
    <w:rsid w:val="46D0419D"/>
    <w:rsid w:val="46E51A75"/>
    <w:rsid w:val="46F84891"/>
    <w:rsid w:val="46FD6304"/>
    <w:rsid w:val="47002CD8"/>
    <w:rsid w:val="472F5BD9"/>
    <w:rsid w:val="47762C36"/>
    <w:rsid w:val="47795A8B"/>
    <w:rsid w:val="477C0DDF"/>
    <w:rsid w:val="47AC0BA9"/>
    <w:rsid w:val="47EB7DBD"/>
    <w:rsid w:val="480212E4"/>
    <w:rsid w:val="4805295C"/>
    <w:rsid w:val="482B73A4"/>
    <w:rsid w:val="4871351D"/>
    <w:rsid w:val="48900C98"/>
    <w:rsid w:val="48C04CFB"/>
    <w:rsid w:val="48FF5824"/>
    <w:rsid w:val="49266FC3"/>
    <w:rsid w:val="492B03C7"/>
    <w:rsid w:val="49307F9C"/>
    <w:rsid w:val="493C6A78"/>
    <w:rsid w:val="49425710"/>
    <w:rsid w:val="498E5824"/>
    <w:rsid w:val="49AA19C3"/>
    <w:rsid w:val="49C11920"/>
    <w:rsid w:val="49C9349E"/>
    <w:rsid w:val="49DA528B"/>
    <w:rsid w:val="49DE053E"/>
    <w:rsid w:val="4A0179C1"/>
    <w:rsid w:val="4A201EF6"/>
    <w:rsid w:val="4A352B3D"/>
    <w:rsid w:val="4A362F02"/>
    <w:rsid w:val="4A625D30"/>
    <w:rsid w:val="4A767D68"/>
    <w:rsid w:val="4A8C2008"/>
    <w:rsid w:val="4ADA0157"/>
    <w:rsid w:val="4B141FD2"/>
    <w:rsid w:val="4B3317B5"/>
    <w:rsid w:val="4B475260"/>
    <w:rsid w:val="4B4C2876"/>
    <w:rsid w:val="4B8A0C8E"/>
    <w:rsid w:val="4B9E1324"/>
    <w:rsid w:val="4BAB24DC"/>
    <w:rsid w:val="4BBF201F"/>
    <w:rsid w:val="4BE17463"/>
    <w:rsid w:val="4BFB4538"/>
    <w:rsid w:val="4C4F1E34"/>
    <w:rsid w:val="4C59349D"/>
    <w:rsid w:val="4CA26BF2"/>
    <w:rsid w:val="4CEE1E37"/>
    <w:rsid w:val="4D043409"/>
    <w:rsid w:val="4D145F92"/>
    <w:rsid w:val="4D330192"/>
    <w:rsid w:val="4D400CC0"/>
    <w:rsid w:val="4D4205AF"/>
    <w:rsid w:val="4D461C73"/>
    <w:rsid w:val="4DB52C4D"/>
    <w:rsid w:val="4DC50BE1"/>
    <w:rsid w:val="4E092CA1"/>
    <w:rsid w:val="4E111A5A"/>
    <w:rsid w:val="4E327823"/>
    <w:rsid w:val="4E4156DB"/>
    <w:rsid w:val="4E93713A"/>
    <w:rsid w:val="4E9702AC"/>
    <w:rsid w:val="4EC314C8"/>
    <w:rsid w:val="4EC42815"/>
    <w:rsid w:val="4EE7316A"/>
    <w:rsid w:val="4F0F5267"/>
    <w:rsid w:val="4F135B85"/>
    <w:rsid w:val="4F1456D4"/>
    <w:rsid w:val="4F691C49"/>
    <w:rsid w:val="4F9905AE"/>
    <w:rsid w:val="4FC33F25"/>
    <w:rsid w:val="4FD001C7"/>
    <w:rsid w:val="4FFF6109"/>
    <w:rsid w:val="500B71A4"/>
    <w:rsid w:val="50180925"/>
    <w:rsid w:val="502E3F19"/>
    <w:rsid w:val="502E60F8"/>
    <w:rsid w:val="50334005"/>
    <w:rsid w:val="50410D12"/>
    <w:rsid w:val="504E780B"/>
    <w:rsid w:val="505D3EB9"/>
    <w:rsid w:val="505E4B9C"/>
    <w:rsid w:val="508036EE"/>
    <w:rsid w:val="50A30487"/>
    <w:rsid w:val="50DD1804"/>
    <w:rsid w:val="50E172E3"/>
    <w:rsid w:val="50E515D9"/>
    <w:rsid w:val="513918A9"/>
    <w:rsid w:val="51581F75"/>
    <w:rsid w:val="51653D4B"/>
    <w:rsid w:val="518D60D8"/>
    <w:rsid w:val="51A52CE0"/>
    <w:rsid w:val="51DA3C1E"/>
    <w:rsid w:val="51F84859"/>
    <w:rsid w:val="52195EFA"/>
    <w:rsid w:val="52893764"/>
    <w:rsid w:val="52953EDE"/>
    <w:rsid w:val="529674E9"/>
    <w:rsid w:val="52A03C76"/>
    <w:rsid w:val="52AF2069"/>
    <w:rsid w:val="52B1378F"/>
    <w:rsid w:val="52B43B7C"/>
    <w:rsid w:val="52B94916"/>
    <w:rsid w:val="52C41B2D"/>
    <w:rsid w:val="53100CAE"/>
    <w:rsid w:val="533745E5"/>
    <w:rsid w:val="534B029F"/>
    <w:rsid w:val="535D3873"/>
    <w:rsid w:val="53876B42"/>
    <w:rsid w:val="53B16FE2"/>
    <w:rsid w:val="53EE716F"/>
    <w:rsid w:val="54153BAB"/>
    <w:rsid w:val="54323C64"/>
    <w:rsid w:val="543E18F6"/>
    <w:rsid w:val="546B1FBF"/>
    <w:rsid w:val="548F2D18"/>
    <w:rsid w:val="54930E84"/>
    <w:rsid w:val="54996B2C"/>
    <w:rsid w:val="54A506C8"/>
    <w:rsid w:val="54B44F10"/>
    <w:rsid w:val="550A7A2A"/>
    <w:rsid w:val="550F143F"/>
    <w:rsid w:val="5512383F"/>
    <w:rsid w:val="551B53B0"/>
    <w:rsid w:val="554A5B42"/>
    <w:rsid w:val="554A7E27"/>
    <w:rsid w:val="555E1B24"/>
    <w:rsid w:val="556A04C9"/>
    <w:rsid w:val="556A52A1"/>
    <w:rsid w:val="55913CA7"/>
    <w:rsid w:val="559E5653"/>
    <w:rsid w:val="55A049A2"/>
    <w:rsid w:val="55AB3C2F"/>
    <w:rsid w:val="55DE1543"/>
    <w:rsid w:val="55EC35D4"/>
    <w:rsid w:val="56383CF3"/>
    <w:rsid w:val="56455CD4"/>
    <w:rsid w:val="565C42B5"/>
    <w:rsid w:val="568315AE"/>
    <w:rsid w:val="569F41A2"/>
    <w:rsid w:val="56AE76A6"/>
    <w:rsid w:val="56B714EC"/>
    <w:rsid w:val="56D4209E"/>
    <w:rsid w:val="56DB2C2D"/>
    <w:rsid w:val="56E4418B"/>
    <w:rsid w:val="57064221"/>
    <w:rsid w:val="57065B51"/>
    <w:rsid w:val="57172250"/>
    <w:rsid w:val="572E082D"/>
    <w:rsid w:val="575823DC"/>
    <w:rsid w:val="575E5E0B"/>
    <w:rsid w:val="5773022F"/>
    <w:rsid w:val="57770C7B"/>
    <w:rsid w:val="577861BC"/>
    <w:rsid w:val="57A104F9"/>
    <w:rsid w:val="57E50495"/>
    <w:rsid w:val="57E72F44"/>
    <w:rsid w:val="57EF2F07"/>
    <w:rsid w:val="580A1AEF"/>
    <w:rsid w:val="580D02D9"/>
    <w:rsid w:val="58392BC8"/>
    <w:rsid w:val="58410767"/>
    <w:rsid w:val="5866141B"/>
    <w:rsid w:val="58776655"/>
    <w:rsid w:val="587B3CEC"/>
    <w:rsid w:val="58AD2723"/>
    <w:rsid w:val="58AD6409"/>
    <w:rsid w:val="58B469F6"/>
    <w:rsid w:val="58B74216"/>
    <w:rsid w:val="58C16652"/>
    <w:rsid w:val="58C43146"/>
    <w:rsid w:val="58EB568E"/>
    <w:rsid w:val="590752B6"/>
    <w:rsid w:val="591744C4"/>
    <w:rsid w:val="591F15CA"/>
    <w:rsid w:val="59231A6A"/>
    <w:rsid w:val="592C2E0C"/>
    <w:rsid w:val="596D67DA"/>
    <w:rsid w:val="59760D08"/>
    <w:rsid w:val="599E6993"/>
    <w:rsid w:val="59AC5554"/>
    <w:rsid w:val="59C04B5B"/>
    <w:rsid w:val="59C92914"/>
    <w:rsid w:val="59CF5559"/>
    <w:rsid w:val="59E87171"/>
    <w:rsid w:val="5A3B264B"/>
    <w:rsid w:val="5A564466"/>
    <w:rsid w:val="5A56726E"/>
    <w:rsid w:val="5A5C77EA"/>
    <w:rsid w:val="5A902780"/>
    <w:rsid w:val="5A9F4737"/>
    <w:rsid w:val="5AAE2C06"/>
    <w:rsid w:val="5AC10B8B"/>
    <w:rsid w:val="5ACB4792"/>
    <w:rsid w:val="5AD36B10"/>
    <w:rsid w:val="5AE8436A"/>
    <w:rsid w:val="5AF80325"/>
    <w:rsid w:val="5B5714EF"/>
    <w:rsid w:val="5B6339F0"/>
    <w:rsid w:val="5BAD7361"/>
    <w:rsid w:val="5BF6561B"/>
    <w:rsid w:val="5BFA4C14"/>
    <w:rsid w:val="5BFB631F"/>
    <w:rsid w:val="5BFF0A62"/>
    <w:rsid w:val="5C0F6B4C"/>
    <w:rsid w:val="5C131894"/>
    <w:rsid w:val="5C2A6C04"/>
    <w:rsid w:val="5C3543D2"/>
    <w:rsid w:val="5C406532"/>
    <w:rsid w:val="5C4177F7"/>
    <w:rsid w:val="5C4937BB"/>
    <w:rsid w:val="5CAC6809"/>
    <w:rsid w:val="5CC033F7"/>
    <w:rsid w:val="5CC2508E"/>
    <w:rsid w:val="5CE36031"/>
    <w:rsid w:val="5D26561D"/>
    <w:rsid w:val="5D487342"/>
    <w:rsid w:val="5D656145"/>
    <w:rsid w:val="5D7E1743"/>
    <w:rsid w:val="5DB26EB1"/>
    <w:rsid w:val="5DB46785"/>
    <w:rsid w:val="5DBA559D"/>
    <w:rsid w:val="5DF31958"/>
    <w:rsid w:val="5DFE3EA4"/>
    <w:rsid w:val="5E316028"/>
    <w:rsid w:val="5E465887"/>
    <w:rsid w:val="5E473A9D"/>
    <w:rsid w:val="5E4A06EC"/>
    <w:rsid w:val="5E8425FB"/>
    <w:rsid w:val="5EE50BC0"/>
    <w:rsid w:val="5F181B76"/>
    <w:rsid w:val="5F1D188E"/>
    <w:rsid w:val="5F463D55"/>
    <w:rsid w:val="5F7C71D6"/>
    <w:rsid w:val="5F9156AE"/>
    <w:rsid w:val="5FA42829"/>
    <w:rsid w:val="5FCA1FBF"/>
    <w:rsid w:val="5FD4389C"/>
    <w:rsid w:val="5FEC48FC"/>
    <w:rsid w:val="6013374F"/>
    <w:rsid w:val="6031186D"/>
    <w:rsid w:val="60506145"/>
    <w:rsid w:val="6082700E"/>
    <w:rsid w:val="6083350B"/>
    <w:rsid w:val="608E53F7"/>
    <w:rsid w:val="60B116A2"/>
    <w:rsid w:val="60B42F40"/>
    <w:rsid w:val="60B7767B"/>
    <w:rsid w:val="610750C1"/>
    <w:rsid w:val="61221DAA"/>
    <w:rsid w:val="61694C19"/>
    <w:rsid w:val="61696F59"/>
    <w:rsid w:val="617B3D7A"/>
    <w:rsid w:val="61D672CA"/>
    <w:rsid w:val="61E63AF5"/>
    <w:rsid w:val="626A2DAC"/>
    <w:rsid w:val="626F0843"/>
    <w:rsid w:val="62784498"/>
    <w:rsid w:val="62A86D6B"/>
    <w:rsid w:val="62D173D4"/>
    <w:rsid w:val="62EC69C1"/>
    <w:rsid w:val="62F60D1D"/>
    <w:rsid w:val="62F6127D"/>
    <w:rsid w:val="631F3061"/>
    <w:rsid w:val="63293771"/>
    <w:rsid w:val="63647FB2"/>
    <w:rsid w:val="63754E3A"/>
    <w:rsid w:val="637C7D45"/>
    <w:rsid w:val="639808F7"/>
    <w:rsid w:val="63CE2A65"/>
    <w:rsid w:val="642346C3"/>
    <w:rsid w:val="64565496"/>
    <w:rsid w:val="645F2960"/>
    <w:rsid w:val="64654C7D"/>
    <w:rsid w:val="646C7950"/>
    <w:rsid w:val="648842B9"/>
    <w:rsid w:val="64BD496D"/>
    <w:rsid w:val="64BE25DF"/>
    <w:rsid w:val="64BF164C"/>
    <w:rsid w:val="64C44758"/>
    <w:rsid w:val="64D41894"/>
    <w:rsid w:val="64E21BBE"/>
    <w:rsid w:val="64F07C16"/>
    <w:rsid w:val="64F93617"/>
    <w:rsid w:val="6511628B"/>
    <w:rsid w:val="655D3BA6"/>
    <w:rsid w:val="65623AA3"/>
    <w:rsid w:val="65655387"/>
    <w:rsid w:val="659A6BA8"/>
    <w:rsid w:val="65A50F20"/>
    <w:rsid w:val="65FE7BFD"/>
    <w:rsid w:val="660E006B"/>
    <w:rsid w:val="660F5A59"/>
    <w:rsid w:val="661F2C0A"/>
    <w:rsid w:val="662C378C"/>
    <w:rsid w:val="664D7A57"/>
    <w:rsid w:val="66566AD5"/>
    <w:rsid w:val="66EC6F90"/>
    <w:rsid w:val="66F2031E"/>
    <w:rsid w:val="672E29D7"/>
    <w:rsid w:val="677A6041"/>
    <w:rsid w:val="67874F0A"/>
    <w:rsid w:val="67AA7E58"/>
    <w:rsid w:val="67AB0BF9"/>
    <w:rsid w:val="67C73559"/>
    <w:rsid w:val="67F55E37"/>
    <w:rsid w:val="68077DF9"/>
    <w:rsid w:val="68192B09"/>
    <w:rsid w:val="683517E3"/>
    <w:rsid w:val="68382663"/>
    <w:rsid w:val="686314D3"/>
    <w:rsid w:val="6888718C"/>
    <w:rsid w:val="68AD09A1"/>
    <w:rsid w:val="68E5527F"/>
    <w:rsid w:val="69611E61"/>
    <w:rsid w:val="69655E7A"/>
    <w:rsid w:val="69823BDB"/>
    <w:rsid w:val="69A578CA"/>
    <w:rsid w:val="69BC3663"/>
    <w:rsid w:val="69E304D0"/>
    <w:rsid w:val="6A071E00"/>
    <w:rsid w:val="6A3A536F"/>
    <w:rsid w:val="6A59225A"/>
    <w:rsid w:val="6A7343B6"/>
    <w:rsid w:val="6A8219B9"/>
    <w:rsid w:val="6A8D28E3"/>
    <w:rsid w:val="6A9039F1"/>
    <w:rsid w:val="6AB029CA"/>
    <w:rsid w:val="6AB40090"/>
    <w:rsid w:val="6ADE7537"/>
    <w:rsid w:val="6AE34B4E"/>
    <w:rsid w:val="6AFD3EBF"/>
    <w:rsid w:val="6B12521B"/>
    <w:rsid w:val="6B1F6200"/>
    <w:rsid w:val="6B4A3375"/>
    <w:rsid w:val="6B6A52CA"/>
    <w:rsid w:val="6B825FC3"/>
    <w:rsid w:val="6B8359E9"/>
    <w:rsid w:val="6BB92906"/>
    <w:rsid w:val="6BCE4EB6"/>
    <w:rsid w:val="6BCF0383"/>
    <w:rsid w:val="6C1E2A3C"/>
    <w:rsid w:val="6C4E1F5B"/>
    <w:rsid w:val="6C5F6F46"/>
    <w:rsid w:val="6C613F7C"/>
    <w:rsid w:val="6C631880"/>
    <w:rsid w:val="6C71135B"/>
    <w:rsid w:val="6C806253"/>
    <w:rsid w:val="6C9D621C"/>
    <w:rsid w:val="6CBF5146"/>
    <w:rsid w:val="6CF748E0"/>
    <w:rsid w:val="6CFB656C"/>
    <w:rsid w:val="6D0446EE"/>
    <w:rsid w:val="6D15191A"/>
    <w:rsid w:val="6D372470"/>
    <w:rsid w:val="6D3B6BF1"/>
    <w:rsid w:val="6D4833B1"/>
    <w:rsid w:val="6D4C7FD8"/>
    <w:rsid w:val="6D702199"/>
    <w:rsid w:val="6D717C1E"/>
    <w:rsid w:val="6D7D3037"/>
    <w:rsid w:val="6D934609"/>
    <w:rsid w:val="6DAE50AD"/>
    <w:rsid w:val="6DC74E22"/>
    <w:rsid w:val="6DDA2238"/>
    <w:rsid w:val="6DE01CB0"/>
    <w:rsid w:val="6E0E1EE1"/>
    <w:rsid w:val="6E154E6D"/>
    <w:rsid w:val="6E246B33"/>
    <w:rsid w:val="6E5A21EA"/>
    <w:rsid w:val="6EB8009F"/>
    <w:rsid w:val="6EC72090"/>
    <w:rsid w:val="6F1C418A"/>
    <w:rsid w:val="6F812443"/>
    <w:rsid w:val="6F834B73"/>
    <w:rsid w:val="6F857F81"/>
    <w:rsid w:val="6F913E59"/>
    <w:rsid w:val="6FC62348"/>
    <w:rsid w:val="6FE10E18"/>
    <w:rsid w:val="6FEB7EFB"/>
    <w:rsid w:val="6FEC14A9"/>
    <w:rsid w:val="6FEC6252"/>
    <w:rsid w:val="6FFE0085"/>
    <w:rsid w:val="6FFE241D"/>
    <w:rsid w:val="702E23C7"/>
    <w:rsid w:val="7033254A"/>
    <w:rsid w:val="708A48C4"/>
    <w:rsid w:val="70A15EF2"/>
    <w:rsid w:val="70C96037"/>
    <w:rsid w:val="70CB230C"/>
    <w:rsid w:val="71096141"/>
    <w:rsid w:val="710E21F8"/>
    <w:rsid w:val="719D39CC"/>
    <w:rsid w:val="71C42137"/>
    <w:rsid w:val="71DD0E59"/>
    <w:rsid w:val="721E46BD"/>
    <w:rsid w:val="72271FEC"/>
    <w:rsid w:val="72380DF1"/>
    <w:rsid w:val="72655E48"/>
    <w:rsid w:val="72824C4C"/>
    <w:rsid w:val="72844AE1"/>
    <w:rsid w:val="728A3B01"/>
    <w:rsid w:val="72D93738"/>
    <w:rsid w:val="73434202"/>
    <w:rsid w:val="734819F2"/>
    <w:rsid w:val="734867D2"/>
    <w:rsid w:val="73592668"/>
    <w:rsid w:val="735B7378"/>
    <w:rsid w:val="736507F6"/>
    <w:rsid w:val="737A608E"/>
    <w:rsid w:val="739430D8"/>
    <w:rsid w:val="73A806E2"/>
    <w:rsid w:val="73AD5CF9"/>
    <w:rsid w:val="73BC418E"/>
    <w:rsid w:val="73BD750D"/>
    <w:rsid w:val="73C65A80"/>
    <w:rsid w:val="740558F6"/>
    <w:rsid w:val="741D2E7E"/>
    <w:rsid w:val="7424106B"/>
    <w:rsid w:val="7428231F"/>
    <w:rsid w:val="74294EDD"/>
    <w:rsid w:val="7441134A"/>
    <w:rsid w:val="74606480"/>
    <w:rsid w:val="74840C37"/>
    <w:rsid w:val="74A16CBA"/>
    <w:rsid w:val="74CB28DA"/>
    <w:rsid w:val="74D53759"/>
    <w:rsid w:val="74F33BDF"/>
    <w:rsid w:val="752B5D11"/>
    <w:rsid w:val="752C4F4C"/>
    <w:rsid w:val="752C70F1"/>
    <w:rsid w:val="75387844"/>
    <w:rsid w:val="753903C8"/>
    <w:rsid w:val="75730F03"/>
    <w:rsid w:val="75895CE5"/>
    <w:rsid w:val="75AF136D"/>
    <w:rsid w:val="75BC19B7"/>
    <w:rsid w:val="75CC2E8E"/>
    <w:rsid w:val="75DC4AB5"/>
    <w:rsid w:val="75EC49A0"/>
    <w:rsid w:val="75EF406B"/>
    <w:rsid w:val="76272094"/>
    <w:rsid w:val="763731B7"/>
    <w:rsid w:val="76391AC6"/>
    <w:rsid w:val="7650222A"/>
    <w:rsid w:val="765B7C8E"/>
    <w:rsid w:val="76707B96"/>
    <w:rsid w:val="76726D86"/>
    <w:rsid w:val="767A147A"/>
    <w:rsid w:val="768D36C7"/>
    <w:rsid w:val="76956B17"/>
    <w:rsid w:val="7699558D"/>
    <w:rsid w:val="76C3504D"/>
    <w:rsid w:val="76D04B5F"/>
    <w:rsid w:val="76D121C8"/>
    <w:rsid w:val="76D6152E"/>
    <w:rsid w:val="76ED2C45"/>
    <w:rsid w:val="76F1414E"/>
    <w:rsid w:val="770422FE"/>
    <w:rsid w:val="773029DE"/>
    <w:rsid w:val="77430E54"/>
    <w:rsid w:val="7746449A"/>
    <w:rsid w:val="775546DD"/>
    <w:rsid w:val="77643352"/>
    <w:rsid w:val="7772528F"/>
    <w:rsid w:val="777B6950"/>
    <w:rsid w:val="778C3E77"/>
    <w:rsid w:val="778D0189"/>
    <w:rsid w:val="77B43556"/>
    <w:rsid w:val="77C35AEB"/>
    <w:rsid w:val="77D71E10"/>
    <w:rsid w:val="77E31CE9"/>
    <w:rsid w:val="781F391F"/>
    <w:rsid w:val="78376C25"/>
    <w:rsid w:val="785C5EBB"/>
    <w:rsid w:val="785F1FBE"/>
    <w:rsid w:val="786B044B"/>
    <w:rsid w:val="78746DE5"/>
    <w:rsid w:val="7899684C"/>
    <w:rsid w:val="78A72AF0"/>
    <w:rsid w:val="78A82F32"/>
    <w:rsid w:val="790F6B0E"/>
    <w:rsid w:val="79134850"/>
    <w:rsid w:val="79200163"/>
    <w:rsid w:val="79261AEA"/>
    <w:rsid w:val="79264208"/>
    <w:rsid w:val="792F089A"/>
    <w:rsid w:val="7956473D"/>
    <w:rsid w:val="79627366"/>
    <w:rsid w:val="79667BBC"/>
    <w:rsid w:val="798661F3"/>
    <w:rsid w:val="799314ED"/>
    <w:rsid w:val="79A3738C"/>
    <w:rsid w:val="79A951B4"/>
    <w:rsid w:val="79CC3315"/>
    <w:rsid w:val="79EE2C15"/>
    <w:rsid w:val="7A0128FA"/>
    <w:rsid w:val="7A171012"/>
    <w:rsid w:val="7A1F06C4"/>
    <w:rsid w:val="7A401D4D"/>
    <w:rsid w:val="7A7D67F0"/>
    <w:rsid w:val="7AA46F38"/>
    <w:rsid w:val="7ACB4CB6"/>
    <w:rsid w:val="7ADB75EF"/>
    <w:rsid w:val="7AF161EE"/>
    <w:rsid w:val="7B020D14"/>
    <w:rsid w:val="7B19480F"/>
    <w:rsid w:val="7B1E128A"/>
    <w:rsid w:val="7B467F1D"/>
    <w:rsid w:val="7B5B1C70"/>
    <w:rsid w:val="7B5F1FCE"/>
    <w:rsid w:val="7B6637B3"/>
    <w:rsid w:val="7B98103C"/>
    <w:rsid w:val="7BA7772C"/>
    <w:rsid w:val="7BE15E8E"/>
    <w:rsid w:val="7C0924C9"/>
    <w:rsid w:val="7C1F1F1D"/>
    <w:rsid w:val="7C507B69"/>
    <w:rsid w:val="7C5F566E"/>
    <w:rsid w:val="7C711A95"/>
    <w:rsid w:val="7C8233E8"/>
    <w:rsid w:val="7C8D4919"/>
    <w:rsid w:val="7CBA4FE2"/>
    <w:rsid w:val="7CD24A22"/>
    <w:rsid w:val="7CFD1A9F"/>
    <w:rsid w:val="7D2F777E"/>
    <w:rsid w:val="7D407BDD"/>
    <w:rsid w:val="7D443A12"/>
    <w:rsid w:val="7D4A1E4C"/>
    <w:rsid w:val="7D5947DF"/>
    <w:rsid w:val="7D5F0561"/>
    <w:rsid w:val="7D60202E"/>
    <w:rsid w:val="7D6458CE"/>
    <w:rsid w:val="7D667DD5"/>
    <w:rsid w:val="7D7E4225"/>
    <w:rsid w:val="7D8555F0"/>
    <w:rsid w:val="7D916095"/>
    <w:rsid w:val="7DB14637"/>
    <w:rsid w:val="7DC51E91"/>
    <w:rsid w:val="7DDD7D4A"/>
    <w:rsid w:val="7DE84806"/>
    <w:rsid w:val="7E114DDB"/>
    <w:rsid w:val="7E141A72"/>
    <w:rsid w:val="7E1C7D03"/>
    <w:rsid w:val="7E2748F9"/>
    <w:rsid w:val="7E430BF7"/>
    <w:rsid w:val="7E703977"/>
    <w:rsid w:val="7E963DC6"/>
    <w:rsid w:val="7EA111FA"/>
    <w:rsid w:val="7EB268B9"/>
    <w:rsid w:val="7EF02F3D"/>
    <w:rsid w:val="7F166E48"/>
    <w:rsid w:val="7F1B1599"/>
    <w:rsid w:val="7F260A4E"/>
    <w:rsid w:val="7F392DBD"/>
    <w:rsid w:val="7F53536E"/>
    <w:rsid w:val="7F5F65D1"/>
    <w:rsid w:val="7F606315"/>
    <w:rsid w:val="7F6210EB"/>
    <w:rsid w:val="7F7A1B59"/>
    <w:rsid w:val="7F8B73C1"/>
    <w:rsid w:val="7F961D37"/>
    <w:rsid w:val="7F9F1077"/>
    <w:rsid w:val="7FA44454"/>
    <w:rsid w:val="7FAC3308"/>
    <w:rsid w:val="7FBA7A5F"/>
    <w:rsid w:val="7FD46D4F"/>
    <w:rsid w:val="CFFEFA81"/>
    <w:rsid w:val="FDAFE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1"/>
    <w:next w:val="1"/>
    <w:link w:val="39"/>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Document Map"/>
    <w:basedOn w:val="1"/>
    <w:link w:val="38"/>
    <w:semiHidden/>
    <w:unhideWhenUsed/>
    <w:qFormat/>
    <w:uiPriority w:val="99"/>
    <w:rPr>
      <w:rFonts w:ascii="宋体" w:eastAsia="宋体"/>
      <w:sz w:val="18"/>
      <w:szCs w:val="18"/>
    </w:rPr>
  </w:style>
  <w:style w:type="paragraph" w:styleId="9">
    <w:name w:val="annotation text"/>
    <w:basedOn w:val="1"/>
    <w:link w:val="40"/>
    <w:unhideWhenUsed/>
    <w:qFormat/>
    <w:uiPriority w:val="99"/>
    <w:pPr>
      <w:jc w:val="left"/>
    </w:pPr>
  </w:style>
  <w:style w:type="paragraph" w:styleId="10">
    <w:name w:val="Body Text"/>
    <w:basedOn w:val="1"/>
    <w:next w:val="11"/>
    <w:qFormat/>
    <w:uiPriority w:val="0"/>
    <w:pPr>
      <w:spacing w:line="360" w:lineRule="auto"/>
    </w:pPr>
    <w:rPr>
      <w:b/>
      <w:bCs/>
      <w:sz w:val="24"/>
    </w:rPr>
  </w:style>
  <w:style w:type="paragraph" w:styleId="11">
    <w:name w:val="Body Text 2"/>
    <w:basedOn w:val="1"/>
    <w:qFormat/>
    <w:uiPriority w:val="0"/>
    <w:pPr>
      <w:spacing w:line="360" w:lineRule="auto"/>
    </w:pPr>
    <w:rPr>
      <w:sz w:val="24"/>
    </w:rPr>
  </w:style>
  <w:style w:type="paragraph" w:styleId="12">
    <w:name w:val="Body Text Indent"/>
    <w:basedOn w:val="1"/>
    <w:next w:val="13"/>
    <w:qFormat/>
    <w:uiPriority w:val="0"/>
    <w:pPr>
      <w:spacing w:line="360" w:lineRule="auto"/>
      <w:ind w:firstLine="420" w:firstLineChars="200"/>
    </w:p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840"/>
      <w:jc w:val="left"/>
    </w:pPr>
    <w:rPr>
      <w:rFonts w:ascii="Calibri" w:hAnsi="Calibri" w:cs="Calibri"/>
      <w:sz w:val="18"/>
      <w:szCs w:val="18"/>
    </w:rPr>
  </w:style>
  <w:style w:type="paragraph" w:styleId="15">
    <w:name w:val="Plain Text"/>
    <w:basedOn w:val="1"/>
    <w:link w:val="58"/>
    <w:qFormat/>
    <w:uiPriority w:val="0"/>
    <w:rPr>
      <w:rFonts w:ascii="宋体" w:hAnsi="Courier New"/>
      <w:sz w:val="24"/>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contextualSpacing/>
    </w:pPr>
  </w:style>
  <w:style w:type="paragraph" w:styleId="20">
    <w:name w:val="Normal (Web)"/>
    <w:basedOn w:val="1"/>
    <w:link w:val="35"/>
    <w:qFormat/>
    <w:uiPriority w:val="99"/>
    <w:pPr>
      <w:widowControl/>
      <w:spacing w:before="100" w:beforeAutospacing="1" w:afterAutospacing="1"/>
      <w:jc w:val="left"/>
    </w:pPr>
    <w:rPr>
      <w:rFonts w:ascii="宋体" w:hAnsi="宋体"/>
      <w:sz w:val="24"/>
      <w:szCs w:val="24"/>
    </w:rPr>
  </w:style>
  <w:style w:type="paragraph" w:styleId="21">
    <w:name w:val="annotation subject"/>
    <w:basedOn w:val="9"/>
    <w:next w:val="9"/>
    <w:link w:val="42"/>
    <w:semiHidden/>
    <w:unhideWhenUsed/>
    <w:qFormat/>
    <w:uiPriority w:val="99"/>
    <w:rPr>
      <w:b/>
      <w:bCs/>
    </w:rPr>
  </w:style>
  <w:style w:type="paragraph" w:styleId="22">
    <w:name w:val="Body Text First Indent 2"/>
    <w:basedOn w:val="12"/>
    <w:next w:val="19"/>
    <w:qFormat/>
    <w:uiPriority w:val="0"/>
    <w:pPr>
      <w:spacing w:after="120" w:line="240" w:lineRule="auto"/>
      <w:ind w:left="420" w:left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semiHidden/>
    <w:unhideWhenUsed/>
    <w:qFormat/>
    <w:uiPriority w:val="99"/>
    <w:rPr>
      <w:color w:val="800080" w:themeColor="followedHyperlink"/>
      <w:u w:val="single"/>
      <w14:textFill>
        <w14:solidFill>
          <w14:schemeClr w14:val="folHlink"/>
        </w14:solidFill>
      </w14:textFill>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paragraph" w:customStyle="1" w:styleId="31">
    <w:name w:val="表格文字"/>
    <w:basedOn w:val="1"/>
    <w:qFormat/>
    <w:uiPriority w:val="0"/>
    <w:pPr>
      <w:spacing w:before="25" w:after="25"/>
      <w:jc w:val="left"/>
    </w:pPr>
    <w:rPr>
      <w:bCs/>
      <w:spacing w:val="10"/>
      <w:kern w:val="0"/>
      <w:sz w:val="24"/>
    </w:rPr>
  </w:style>
  <w:style w:type="character" w:customStyle="1" w:styleId="32">
    <w:name w:val="页眉 字符"/>
    <w:basedOn w:val="25"/>
    <w:link w:val="18"/>
    <w:qFormat/>
    <w:uiPriority w:val="99"/>
    <w:rPr>
      <w:sz w:val="18"/>
      <w:szCs w:val="18"/>
    </w:rPr>
  </w:style>
  <w:style w:type="character" w:customStyle="1" w:styleId="33">
    <w:name w:val="页脚 字符"/>
    <w:basedOn w:val="25"/>
    <w:link w:val="17"/>
    <w:qFormat/>
    <w:uiPriority w:val="99"/>
    <w:rPr>
      <w:sz w:val="18"/>
      <w:szCs w:val="18"/>
    </w:rPr>
  </w:style>
  <w:style w:type="character" w:customStyle="1" w:styleId="34">
    <w:name w:val="批注框文本 字符"/>
    <w:basedOn w:val="25"/>
    <w:link w:val="16"/>
    <w:semiHidden/>
    <w:qFormat/>
    <w:uiPriority w:val="99"/>
    <w:rPr>
      <w:sz w:val="18"/>
      <w:szCs w:val="18"/>
    </w:rPr>
  </w:style>
  <w:style w:type="character" w:customStyle="1" w:styleId="35">
    <w:name w:val="普通(网站) 字符"/>
    <w:link w:val="20"/>
    <w:qFormat/>
    <w:uiPriority w:val="99"/>
    <w:rPr>
      <w:rFonts w:ascii="宋体" w:hAnsi="宋体"/>
      <w:sz w:val="24"/>
      <w:szCs w:val="24"/>
    </w:rPr>
  </w:style>
  <w:style w:type="character" w:customStyle="1" w:styleId="36">
    <w:name w:val="标题 1 字符"/>
    <w:basedOn w:val="25"/>
    <w:link w:val="2"/>
    <w:qFormat/>
    <w:uiPriority w:val="0"/>
    <w:rPr>
      <w:rFonts w:ascii="Arial" w:hAnsi="Arial" w:eastAsia="宋体" w:cs="Times New Roman"/>
      <w:b/>
      <w:bCs/>
      <w:kern w:val="44"/>
      <w:sz w:val="44"/>
      <w:szCs w:val="44"/>
    </w:rPr>
  </w:style>
  <w:style w:type="paragraph" w:styleId="37">
    <w:name w:val="List Paragraph"/>
    <w:basedOn w:val="1"/>
    <w:qFormat/>
    <w:uiPriority w:val="34"/>
    <w:pPr>
      <w:ind w:firstLine="420" w:firstLineChars="200"/>
    </w:pPr>
  </w:style>
  <w:style w:type="character" w:customStyle="1" w:styleId="38">
    <w:name w:val="文档结构图 字符"/>
    <w:basedOn w:val="25"/>
    <w:link w:val="8"/>
    <w:semiHidden/>
    <w:qFormat/>
    <w:uiPriority w:val="99"/>
    <w:rPr>
      <w:rFonts w:ascii="宋体" w:eastAsia="宋体"/>
      <w:sz w:val="18"/>
      <w:szCs w:val="18"/>
    </w:rPr>
  </w:style>
  <w:style w:type="character" w:customStyle="1" w:styleId="39">
    <w:name w:val="标题 2 字符"/>
    <w:basedOn w:val="25"/>
    <w:link w:val="3"/>
    <w:semiHidden/>
    <w:qFormat/>
    <w:uiPriority w:val="9"/>
    <w:rPr>
      <w:rFonts w:asciiTheme="majorHAnsi" w:hAnsiTheme="majorHAnsi" w:eastAsiaTheme="majorEastAsia" w:cstheme="majorBidi"/>
      <w:b/>
      <w:bCs/>
      <w:sz w:val="32"/>
      <w:szCs w:val="32"/>
    </w:rPr>
  </w:style>
  <w:style w:type="character" w:customStyle="1" w:styleId="40">
    <w:name w:val="批注文字 字符"/>
    <w:basedOn w:val="25"/>
    <w:link w:val="9"/>
    <w:qFormat/>
    <w:uiPriority w:val="99"/>
  </w:style>
  <w:style w:type="character" w:customStyle="1" w:styleId="41">
    <w:name w:val="标题 3 Char"/>
    <w:qFormat/>
    <w:uiPriority w:val="0"/>
    <w:rPr>
      <w:rFonts w:ascii="黑体" w:eastAsia="黑体"/>
      <w:bCs/>
      <w:sz w:val="30"/>
    </w:rPr>
  </w:style>
  <w:style w:type="character" w:customStyle="1" w:styleId="42">
    <w:name w:val="批注主题 字符"/>
    <w:basedOn w:val="40"/>
    <w:link w:val="21"/>
    <w:semiHidden/>
    <w:qFormat/>
    <w:uiPriority w:val="99"/>
    <w:rPr>
      <w:b/>
      <w:bCs/>
    </w:rPr>
  </w:style>
  <w:style w:type="table" w:customStyle="1" w:styleId="43">
    <w:name w:val="网格型1"/>
    <w:basedOn w:val="2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5">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8">
    <w:name w:val="font41"/>
    <w:basedOn w:val="25"/>
    <w:qFormat/>
    <w:uiPriority w:val="0"/>
    <w:rPr>
      <w:rFonts w:hint="default" w:ascii="Calibri" w:hAnsi="Calibri" w:cs="Calibri"/>
      <w:color w:val="000000"/>
      <w:sz w:val="21"/>
      <w:szCs w:val="21"/>
      <w:u w:val="none"/>
    </w:rPr>
  </w:style>
  <w:style w:type="character" w:customStyle="1" w:styleId="49">
    <w:name w:val="font31"/>
    <w:basedOn w:val="25"/>
    <w:qFormat/>
    <w:uiPriority w:val="0"/>
    <w:rPr>
      <w:rFonts w:hint="eastAsia" w:ascii="宋体" w:hAnsi="宋体" w:eastAsia="宋体" w:cs="宋体"/>
      <w:color w:val="000000"/>
      <w:sz w:val="21"/>
      <w:szCs w:val="21"/>
      <w:u w:val="none"/>
    </w:rPr>
  </w:style>
  <w:style w:type="character" w:customStyle="1" w:styleId="50">
    <w:name w:val="font51"/>
    <w:basedOn w:val="25"/>
    <w:qFormat/>
    <w:uiPriority w:val="0"/>
    <w:rPr>
      <w:rFonts w:hint="eastAsia" w:ascii="宋体" w:hAnsi="宋体" w:eastAsia="宋体" w:cs="宋体"/>
      <w:b/>
      <w:bCs/>
      <w:color w:val="000000"/>
      <w:sz w:val="22"/>
      <w:szCs w:val="22"/>
      <w:u w:val="none"/>
    </w:rPr>
  </w:style>
  <w:style w:type="character" w:customStyle="1" w:styleId="51">
    <w:name w:val="font01"/>
    <w:basedOn w:val="25"/>
    <w:qFormat/>
    <w:uiPriority w:val="0"/>
    <w:rPr>
      <w:rFonts w:hint="eastAsia" w:ascii="宋体" w:hAnsi="宋体" w:eastAsia="宋体" w:cs="宋体"/>
      <w:b/>
      <w:bCs/>
      <w:color w:val="000000"/>
      <w:sz w:val="24"/>
      <w:szCs w:val="24"/>
      <w:u w:val="none"/>
    </w:rPr>
  </w:style>
  <w:style w:type="character" w:customStyle="1" w:styleId="52">
    <w:name w:val="font21"/>
    <w:basedOn w:val="25"/>
    <w:qFormat/>
    <w:uiPriority w:val="0"/>
    <w:rPr>
      <w:rFonts w:hint="eastAsia" w:ascii="宋体" w:hAnsi="宋体" w:eastAsia="宋体" w:cs="宋体"/>
      <w:b/>
      <w:bCs/>
      <w:color w:val="FF0000"/>
      <w:sz w:val="21"/>
      <w:szCs w:val="21"/>
      <w:u w:val="none"/>
    </w:rPr>
  </w:style>
  <w:style w:type="character" w:customStyle="1" w:styleId="53">
    <w:name w:val="font61"/>
    <w:basedOn w:val="25"/>
    <w:qFormat/>
    <w:uiPriority w:val="0"/>
    <w:rPr>
      <w:rFonts w:hint="default" w:ascii="Calibri" w:hAnsi="Calibri" w:cs="Calibri"/>
      <w:b/>
      <w:bCs/>
      <w:color w:val="FF0000"/>
      <w:sz w:val="21"/>
      <w:szCs w:val="21"/>
      <w:u w:val="none"/>
    </w:rPr>
  </w:style>
  <w:style w:type="paragraph" w:customStyle="1" w:styleId="5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5">
    <w:name w:val="font71"/>
    <w:basedOn w:val="25"/>
    <w:qFormat/>
    <w:uiPriority w:val="0"/>
    <w:rPr>
      <w:rFonts w:ascii="Segoe UI" w:hAnsi="Segoe UI" w:eastAsia="Segoe UI" w:cs="Segoe UI"/>
      <w:color w:val="000000"/>
      <w:sz w:val="24"/>
      <w:szCs w:val="24"/>
      <w:u w:val="none"/>
    </w:rPr>
  </w:style>
  <w:style w:type="character" w:customStyle="1" w:styleId="56">
    <w:name w:val="font11"/>
    <w:basedOn w:val="25"/>
    <w:qFormat/>
    <w:uiPriority w:val="0"/>
    <w:rPr>
      <w:rFonts w:hint="eastAsia" w:ascii="宋体" w:hAnsi="宋体" w:eastAsia="宋体" w:cs="宋体"/>
      <w:color w:val="000000"/>
      <w:sz w:val="21"/>
      <w:szCs w:val="21"/>
      <w:u w:val="none"/>
    </w:rPr>
  </w:style>
  <w:style w:type="character" w:customStyle="1" w:styleId="57">
    <w:name w:val="fontstyle01"/>
    <w:basedOn w:val="25"/>
    <w:qFormat/>
    <w:uiPriority w:val="0"/>
    <w:rPr>
      <w:rFonts w:hint="eastAsia" w:ascii="宋体" w:hAnsi="宋体" w:eastAsia="宋体"/>
      <w:color w:val="000000"/>
      <w:sz w:val="22"/>
      <w:szCs w:val="22"/>
    </w:rPr>
  </w:style>
  <w:style w:type="character" w:customStyle="1" w:styleId="58">
    <w:name w:val="纯文本 字符"/>
    <w:link w:val="15"/>
    <w:qFormat/>
    <w:uiPriority w:val="0"/>
    <w:rPr>
      <w:rFonts w:ascii="宋体" w:hAnsi="Courier New" w:eastAsiaTheme="minorEastAsia" w:cstheme="minorBidi"/>
      <w:kern w:val="2"/>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正文+缩进"/>
    <w:basedOn w:val="1"/>
    <w:qFormat/>
    <w:uiPriority w:val="0"/>
    <w:pPr>
      <w:wordWrap w:val="0"/>
      <w:spacing w:line="360" w:lineRule="auto"/>
      <w:ind w:firstLine="482"/>
    </w:pPr>
    <w:rPr>
      <w:rFonts w:ascii="宋体" w:hAnsi="宋体" w:eastAsia="宋体"/>
      <w:color w:val="000000" w:themeColor="text1"/>
      <w:sz w:val="24"/>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59</Pages>
  <Words>12911</Words>
  <Characters>13769</Characters>
  <Lines>379</Lines>
  <Paragraphs>106</Paragraphs>
  <TotalTime>4</TotalTime>
  <ScaleCrop>false</ScaleCrop>
  <LinksUpToDate>false</LinksUpToDate>
  <CharactersWithSpaces>13865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2025-04-01T07:41:00Z</dcterms:created>
  <dc:creator>win7-1</dc:creator>
  <cp:lastModifiedBy>DCM</cp:lastModifiedBy>
  <cp:lastPrinted>2021-01-16T17:17:00Z</cp:lastPrinted>
  <dcterms:modified xsi:type="dcterms:W3CDTF">2025-08-04T04:30:58Z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652BF1E6C72B4304B2A57502CF65DC89_13</vt:lpwstr>
  </property>
  <property fmtid="{D5CDD505-2E9C-101B-9397-08002B2CF9AE}" pid="4" name="KSOTemplateDocerSaveRecord">
    <vt:lpwstr>eyJoZGlkIjoiYmE1MzBiMTIwNjc4MGI2MGRmODM3MWRkNmRmYTMwYmUiLCJ1c2VySWQiOiI3MjI3MTQ5MTYifQ==</vt:lpwstr>
  </property>
</Properties>
</file>