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654" w:firstLineChars="1300"/>
        <w:rPr>
          <w:rFonts w:ascii="宋体" w:hAnsi="宋体"/>
          <w:color w:val="FF0000"/>
          <w:szCs w:val="21"/>
        </w:rPr>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360" w:lineRule="auto"/>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政府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2" w:firstLineChars="200"/>
        <w:textAlignment w:val="auto"/>
        <w:rPr>
          <w:rFonts w:ascii="宋体" w:hAnsi="宋体"/>
          <w:color w:val="FF0000"/>
          <w:sz w:val="20"/>
          <w:szCs w:val="20"/>
        </w:rPr>
      </w:pPr>
      <w:r>
        <w:rPr>
          <w:rFonts w:hint="eastAsia" w:ascii="宋体" w:hAnsi="宋体"/>
          <w:b/>
          <w:bCs/>
          <w:color w:val="FF0000"/>
          <w:sz w:val="20"/>
          <w:szCs w:val="20"/>
        </w:rPr>
        <w:t>二、《深圳经济特区政府采购条例实施细则》第七十五条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2" w:firstLineChars="200"/>
        <w:textAlignment w:val="auto"/>
        <w:rPr>
          <w:rFonts w:ascii="宋体" w:hAnsi="宋体"/>
          <w:color w:val="FF0000"/>
          <w:sz w:val="20"/>
          <w:szCs w:val="20"/>
        </w:rPr>
      </w:pPr>
      <w:r>
        <w:rPr>
          <w:rFonts w:hint="eastAsia" w:ascii="宋体" w:hAnsi="宋体"/>
          <w:b/>
          <w:bCs/>
          <w:color w:val="FF0000"/>
          <w:sz w:val="20"/>
          <w:szCs w:val="20"/>
        </w:rPr>
        <w:t>三、《深圳经济特区政府采购条例实施细则》第七十七条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hint="eastAsia"/>
          <w:b w:val="0"/>
          <w:bCs/>
          <w:color w:val="FF0000"/>
          <w:sz w:val="20"/>
          <w:szCs w:val="20"/>
          <w:lang w:val="en-US" w:eastAsia="zh-CN"/>
        </w:rPr>
      </w:pPr>
      <w:r>
        <w:rPr>
          <w:rFonts w:hint="eastAsia"/>
          <w:b w:val="0"/>
          <w:bCs/>
          <w:color w:val="FF0000"/>
          <w:sz w:val="20"/>
          <w:szCs w:val="20"/>
          <w:lang w:val="en-US" w:eastAsia="zh-CN"/>
        </w:rPr>
        <w:t>四</w:t>
      </w:r>
      <w:r>
        <w:rPr>
          <w:rFonts w:hint="eastAsia" w:ascii="Times New Roman" w:eastAsia="宋体"/>
          <w:b w:val="0"/>
          <w:bCs/>
          <w:color w:val="FF0000"/>
          <w:sz w:val="20"/>
          <w:szCs w:val="20"/>
          <w:lang w:val="en-US" w:eastAsia="zh-CN"/>
        </w:rPr>
        <w:t>、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00" w:firstLineChars="200"/>
        <w:textAlignment w:val="auto"/>
        <w:rPr>
          <w:rFonts w:hint="eastAsia" w:ascii="Times New Roman" w:eastAsia="宋体"/>
          <w:b w:val="0"/>
          <w:bCs/>
          <w:color w:val="FF0000"/>
          <w:sz w:val="20"/>
          <w:szCs w:val="20"/>
          <w:lang w:val="en-US" w:eastAsia="zh-CN"/>
        </w:rPr>
      </w:pPr>
      <w:r>
        <w:rPr>
          <w:rFonts w:hint="eastAsia" w:ascii="Times New Roman" w:eastAsia="宋体"/>
          <w:b w:val="0"/>
          <w:bCs/>
          <w:color w:val="FF0000"/>
          <w:sz w:val="20"/>
          <w:szCs w:val="20"/>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color w:val="FF0000"/>
          <w:sz w:val="20"/>
          <w:szCs w:val="20"/>
        </w:rPr>
        <w:t>取消参与本市政府采购资格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keepNext w:val="0"/>
        <w:keepLines w:val="0"/>
        <w:pageBreakBefore w:val="0"/>
        <w:numPr>
          <w:ilvl w:val="0"/>
          <w:numId w:val="1"/>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22" w:firstLineChars="200"/>
        <w:textAlignment w:val="auto"/>
        <w:rPr>
          <w:rFonts w:hint="eastAsia"/>
          <w:b/>
          <w:color w:val="FF0000"/>
        </w:rPr>
      </w:pPr>
      <w:r>
        <w:rPr>
          <w:rFonts w:hint="eastAsia"/>
          <w:b/>
          <w:color w:val="FF0000"/>
        </w:rPr>
        <w:t>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t>
      </w:r>
    </w:p>
    <w:p>
      <w:pPr>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color w:val="FF0000"/>
          <w:kern w:val="2"/>
          <w:sz w:val="21"/>
          <w:szCs w:val="24"/>
          <w:lang w:val="en-US" w:eastAsia="zh-CN" w:bidi="ar-SA"/>
        </w:rPr>
      </w:pPr>
    </w:p>
    <w:p>
      <w:pPr>
        <w:keepNext w:val="0"/>
        <w:keepLines w:val="0"/>
        <w:pageBreakBefore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firstLine="422" w:firstLineChars="200"/>
        <w:textAlignment w:val="auto"/>
        <w:rPr>
          <w:rFonts w:hint="eastAsia" w:ascii="黑体" w:hAnsi="宋体" w:eastAsia="黑体" w:cs="黑体"/>
          <w:kern w:val="0"/>
          <w:sz w:val="40"/>
          <w:szCs w:val="40"/>
        </w:rPr>
        <w:sectPr>
          <w:headerReference r:id="rId3" w:type="first"/>
          <w:footerReference r:id="rId6" w:type="first"/>
          <w:footerReference r:id="rId4" w:type="default"/>
          <w:footerReference r:id="rId5" w:type="even"/>
          <w:pgSz w:w="11907" w:h="16840"/>
          <w:pgMar w:top="1440" w:right="1417" w:bottom="1440" w:left="1417" w:header="851" w:footer="992" w:gutter="0"/>
          <w:pgNumType w:fmt="decimal"/>
          <w:cols w:space="425" w:num="1"/>
          <w:titlePg/>
          <w:docGrid w:linePitch="462" w:charSpace="0"/>
        </w:sectPr>
      </w:pPr>
      <w:r>
        <w:rPr>
          <w:rFonts w:hint="eastAsia" w:ascii="Times New Roman" w:hAnsi="Times New Roman" w:eastAsia="宋体" w:cs="Times New Roman"/>
          <w:b/>
          <w:color w:val="FF0000"/>
          <w:kern w:val="2"/>
          <w:sz w:val="21"/>
          <w:szCs w:val="24"/>
          <w:lang w:val="en-US" w:eastAsia="zh-CN" w:bidi="ar-SA"/>
        </w:rPr>
        <w:t>注：“特别警示条款”和《政府采购违法行为风险知悉确认书》用于对供应商违法行为的提醒，不作为供应商资格性审查及符合性审查条件。</w:t>
      </w:r>
    </w:p>
    <w:p>
      <w:pPr>
        <w:widowControl/>
        <w:spacing w:beforeAutospacing="1" w:afterAutospacing="1"/>
        <w:jc w:val="center"/>
        <w:outlineLvl w:val="0"/>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23"/>
        <w:tblW w:w="7938" w:type="dxa"/>
        <w:jc w:val="center"/>
        <w:tblCellSpacing w:w="0" w:type="dxa"/>
        <w:tblLayout w:type="fixed"/>
        <w:tblCellMar>
          <w:top w:w="36" w:type="dxa"/>
          <w:left w:w="36" w:type="dxa"/>
          <w:bottom w:w="36" w:type="dxa"/>
          <w:right w:w="36" w:type="dxa"/>
        </w:tblCellMar>
      </w:tblPr>
      <w:tblGrid>
        <w:gridCol w:w="2116"/>
        <w:gridCol w:w="5822"/>
      </w:tblGrid>
      <w:tr>
        <w:tblPrEx>
          <w:tblCellMar>
            <w:top w:w="36" w:type="dxa"/>
            <w:left w:w="36" w:type="dxa"/>
            <w:bottom w:w="36" w:type="dxa"/>
            <w:right w:w="36" w:type="dxa"/>
          </w:tblCellMar>
        </w:tblPrEx>
        <w:trPr>
          <w:trHeight w:val="737" w:hRule="atLeast"/>
          <w:tblCellSpacing w:w="0" w:type="dxa"/>
          <w:jc w:val="center"/>
        </w:trPr>
        <w:tc>
          <w:tcPr>
            <w:tcW w:w="2116" w:type="dxa"/>
            <w:vAlign w:val="center"/>
          </w:tcPr>
          <w:p>
            <w:pPr>
              <w:jc w:val="right"/>
              <w:rPr>
                <w:sz w:val="30"/>
                <w:szCs w:val="30"/>
              </w:rPr>
            </w:pPr>
            <w:r>
              <w:rPr>
                <w:sz w:val="30"/>
                <w:szCs w:val="30"/>
              </w:rPr>
              <w:t>项目编号：</w:t>
            </w:r>
          </w:p>
        </w:tc>
        <w:tc>
          <w:tcPr>
            <w:tcW w:w="5822" w:type="dxa"/>
            <w:vAlign w:val="center"/>
          </w:tcPr>
          <w:p>
            <w:pPr>
              <w:rPr>
                <w:b/>
                <w:bCs/>
                <w:sz w:val="30"/>
                <w:szCs w:val="30"/>
              </w:rPr>
            </w:pPr>
            <w:r>
              <w:rPr>
                <w:rFonts w:hint="default"/>
                <w:b w:val="0"/>
                <w:bCs w:val="0"/>
                <w:sz w:val="30"/>
                <w:szCs w:val="30"/>
              </w:rPr>
              <w:t>LHAZXCG-2025-00068</w:t>
            </w:r>
          </w:p>
        </w:tc>
      </w:tr>
      <w:tr>
        <w:tblPrEx>
          <w:tblCellMar>
            <w:top w:w="36" w:type="dxa"/>
            <w:left w:w="36" w:type="dxa"/>
            <w:bottom w:w="36" w:type="dxa"/>
            <w:right w:w="36" w:type="dxa"/>
          </w:tblCellMar>
        </w:tblPrEx>
        <w:trPr>
          <w:trHeight w:val="737" w:hRule="atLeast"/>
          <w:tblCellSpacing w:w="0" w:type="dxa"/>
          <w:jc w:val="center"/>
        </w:trPr>
        <w:tc>
          <w:tcPr>
            <w:tcW w:w="2116" w:type="dxa"/>
            <w:vAlign w:val="center"/>
          </w:tcPr>
          <w:p>
            <w:pPr>
              <w:jc w:val="right"/>
              <w:rPr>
                <w:sz w:val="30"/>
                <w:szCs w:val="30"/>
              </w:rPr>
            </w:pPr>
            <w:r>
              <w:rPr>
                <w:sz w:val="30"/>
                <w:szCs w:val="30"/>
              </w:rPr>
              <w:t>项目名称：</w:t>
            </w:r>
          </w:p>
        </w:tc>
        <w:tc>
          <w:tcPr>
            <w:tcW w:w="5822" w:type="dxa"/>
            <w:vAlign w:val="center"/>
          </w:tcPr>
          <w:p>
            <w:pPr>
              <w:rPr>
                <w:rFonts w:hint="default" w:eastAsiaTheme="minorEastAsia"/>
                <w:sz w:val="30"/>
                <w:szCs w:val="30"/>
                <w:lang w:val="en-US" w:eastAsia="zh-CN"/>
              </w:rPr>
            </w:pPr>
            <w:r>
              <w:rPr>
                <w:rFonts w:hint="default" w:eastAsiaTheme="minorEastAsia"/>
                <w:sz w:val="30"/>
                <w:szCs w:val="30"/>
                <w:lang w:val="en-US" w:eastAsia="zh-CN"/>
              </w:rPr>
              <w:t>超核幼儿园颐樾府幼儿园物业管理服务项目采购</w:t>
            </w:r>
          </w:p>
        </w:tc>
      </w:tr>
      <w:tr>
        <w:tblPrEx>
          <w:tblCellMar>
            <w:top w:w="36" w:type="dxa"/>
            <w:left w:w="36" w:type="dxa"/>
            <w:bottom w:w="36" w:type="dxa"/>
            <w:right w:w="36" w:type="dxa"/>
          </w:tblCellMar>
        </w:tblPrEx>
        <w:trPr>
          <w:trHeight w:val="737" w:hRule="atLeast"/>
          <w:tblCellSpacing w:w="0" w:type="dxa"/>
          <w:jc w:val="center"/>
        </w:trPr>
        <w:tc>
          <w:tcPr>
            <w:tcW w:w="2116" w:type="dxa"/>
            <w:vAlign w:val="center"/>
          </w:tcPr>
          <w:p>
            <w:pPr>
              <w:jc w:val="right"/>
              <w:rPr>
                <w:sz w:val="30"/>
                <w:szCs w:val="30"/>
              </w:rPr>
            </w:pPr>
            <w:r>
              <w:rPr>
                <w:sz w:val="30"/>
                <w:szCs w:val="30"/>
              </w:rPr>
              <w:t>包</w:t>
            </w:r>
            <w:r>
              <w:rPr>
                <w:rFonts w:hint="eastAsia"/>
                <w:sz w:val="30"/>
                <w:szCs w:val="30"/>
              </w:rPr>
              <w:t xml:space="preserve">    </w:t>
            </w:r>
            <w:r>
              <w:rPr>
                <w:sz w:val="30"/>
                <w:szCs w:val="30"/>
              </w:rPr>
              <w:t>号：</w:t>
            </w:r>
          </w:p>
        </w:tc>
        <w:tc>
          <w:tcPr>
            <w:tcW w:w="5822" w:type="dxa"/>
            <w:vAlign w:val="center"/>
          </w:tcPr>
          <w:p>
            <w:pPr>
              <w:rPr>
                <w:rFonts w:hint="default" w:eastAsiaTheme="minorEastAsia"/>
                <w:sz w:val="30"/>
                <w:szCs w:val="30"/>
                <w:lang w:val="en-US" w:eastAsia="zh-CN"/>
              </w:rPr>
            </w:pPr>
            <w:r>
              <w:rPr>
                <w:sz w:val="30"/>
                <w:szCs w:val="30"/>
              </w:rPr>
              <w:t>A</w:t>
            </w:r>
          </w:p>
        </w:tc>
      </w:tr>
      <w:tr>
        <w:tblPrEx>
          <w:tblCellMar>
            <w:top w:w="36" w:type="dxa"/>
            <w:left w:w="36" w:type="dxa"/>
            <w:bottom w:w="36" w:type="dxa"/>
            <w:right w:w="36" w:type="dxa"/>
          </w:tblCellMar>
        </w:tblPrEx>
        <w:trPr>
          <w:trHeight w:val="737" w:hRule="atLeast"/>
          <w:tblCellSpacing w:w="0" w:type="dxa"/>
          <w:jc w:val="center"/>
        </w:trPr>
        <w:tc>
          <w:tcPr>
            <w:tcW w:w="2116" w:type="dxa"/>
            <w:vAlign w:val="center"/>
          </w:tcPr>
          <w:p>
            <w:pPr>
              <w:jc w:val="right"/>
              <w:rPr>
                <w:sz w:val="30"/>
                <w:szCs w:val="30"/>
              </w:rPr>
            </w:pPr>
            <w:r>
              <w:rPr>
                <w:sz w:val="30"/>
                <w:szCs w:val="30"/>
              </w:rPr>
              <w:t>项目类型：</w:t>
            </w:r>
          </w:p>
        </w:tc>
        <w:tc>
          <w:tcPr>
            <w:tcW w:w="5822" w:type="dxa"/>
            <w:vAlign w:val="center"/>
          </w:tcPr>
          <w:p>
            <w:pPr>
              <w:rPr>
                <w:sz w:val="30"/>
                <w:szCs w:val="30"/>
              </w:rPr>
            </w:pPr>
            <w:r>
              <w:rPr>
                <w:rFonts w:hint="eastAsia"/>
                <w:sz w:val="30"/>
                <w:szCs w:val="30"/>
              </w:rPr>
              <w:t>服务</w:t>
            </w:r>
            <w:r>
              <w:rPr>
                <w:sz w:val="30"/>
                <w:szCs w:val="30"/>
              </w:rPr>
              <w:t>类</w:t>
            </w:r>
          </w:p>
        </w:tc>
      </w:tr>
      <w:tr>
        <w:tblPrEx>
          <w:tblCellMar>
            <w:top w:w="36" w:type="dxa"/>
            <w:left w:w="36" w:type="dxa"/>
            <w:bottom w:w="36" w:type="dxa"/>
            <w:right w:w="36" w:type="dxa"/>
          </w:tblCellMar>
        </w:tblPrEx>
        <w:trPr>
          <w:trHeight w:val="737" w:hRule="atLeast"/>
          <w:tblCellSpacing w:w="0" w:type="dxa"/>
          <w:jc w:val="center"/>
        </w:trPr>
        <w:tc>
          <w:tcPr>
            <w:tcW w:w="2116" w:type="dxa"/>
            <w:vAlign w:val="center"/>
          </w:tcPr>
          <w:p>
            <w:pPr>
              <w:jc w:val="right"/>
              <w:rPr>
                <w:sz w:val="30"/>
                <w:szCs w:val="30"/>
              </w:rPr>
            </w:pPr>
            <w:r>
              <w:rPr>
                <w:sz w:val="30"/>
                <w:szCs w:val="30"/>
              </w:rPr>
              <w:t>采购方式：</w:t>
            </w:r>
          </w:p>
        </w:tc>
        <w:tc>
          <w:tcPr>
            <w:tcW w:w="5822" w:type="dxa"/>
            <w:vAlign w:val="center"/>
          </w:tcPr>
          <w:p>
            <w:pPr>
              <w:rPr>
                <w:sz w:val="30"/>
                <w:szCs w:val="30"/>
              </w:rPr>
            </w:pPr>
            <w:r>
              <w:rPr>
                <w:sz w:val="30"/>
                <w:szCs w:val="30"/>
              </w:rPr>
              <w:t>公开招标</w:t>
            </w:r>
          </w:p>
        </w:tc>
      </w:tr>
      <w:tr>
        <w:tblPrEx>
          <w:tblCellMar>
            <w:top w:w="36" w:type="dxa"/>
            <w:left w:w="36" w:type="dxa"/>
            <w:bottom w:w="36" w:type="dxa"/>
            <w:right w:w="36" w:type="dxa"/>
          </w:tblCellMar>
        </w:tblPrEx>
        <w:trPr>
          <w:trHeight w:val="737" w:hRule="atLeast"/>
          <w:tblCellSpacing w:w="0" w:type="dxa"/>
          <w:jc w:val="center"/>
        </w:trPr>
        <w:tc>
          <w:tcPr>
            <w:tcW w:w="2116" w:type="dxa"/>
            <w:vAlign w:val="center"/>
          </w:tcPr>
          <w:p>
            <w:pPr>
              <w:jc w:val="right"/>
              <w:rPr>
                <w:sz w:val="30"/>
                <w:szCs w:val="30"/>
              </w:rPr>
            </w:pPr>
            <w:r>
              <w:rPr>
                <w:sz w:val="30"/>
                <w:szCs w:val="30"/>
              </w:rPr>
              <w:t>货币类型：</w:t>
            </w:r>
          </w:p>
        </w:tc>
        <w:tc>
          <w:tcPr>
            <w:tcW w:w="5822" w:type="dxa"/>
            <w:vAlign w:val="center"/>
          </w:tcPr>
          <w:p>
            <w:pPr>
              <w:rPr>
                <w:sz w:val="30"/>
                <w:szCs w:val="30"/>
              </w:rPr>
            </w:pPr>
            <w:r>
              <w:rPr>
                <w:sz w:val="30"/>
                <w:szCs w:val="30"/>
              </w:rPr>
              <w:t>人民币</w:t>
            </w:r>
          </w:p>
        </w:tc>
      </w:tr>
      <w:tr>
        <w:tblPrEx>
          <w:tblCellMar>
            <w:top w:w="36" w:type="dxa"/>
            <w:left w:w="36" w:type="dxa"/>
            <w:bottom w:w="36" w:type="dxa"/>
            <w:right w:w="36" w:type="dxa"/>
          </w:tblCellMar>
        </w:tblPrEx>
        <w:trPr>
          <w:trHeight w:val="737" w:hRule="atLeast"/>
          <w:tblCellSpacing w:w="0" w:type="dxa"/>
          <w:jc w:val="center"/>
        </w:trPr>
        <w:tc>
          <w:tcPr>
            <w:tcW w:w="2116" w:type="dxa"/>
            <w:vAlign w:val="center"/>
          </w:tcPr>
          <w:p>
            <w:pPr>
              <w:jc w:val="right"/>
              <w:rPr>
                <w:sz w:val="30"/>
                <w:szCs w:val="30"/>
              </w:rPr>
            </w:pPr>
            <w:r>
              <w:rPr>
                <w:sz w:val="30"/>
                <w:szCs w:val="30"/>
              </w:rPr>
              <w:t>评标方法：</w:t>
            </w:r>
          </w:p>
        </w:tc>
        <w:tc>
          <w:tcPr>
            <w:tcW w:w="5822" w:type="dxa"/>
            <w:vAlign w:val="center"/>
          </w:tcPr>
          <w:p>
            <w:pPr>
              <w:rPr>
                <w:sz w:val="30"/>
                <w:szCs w:val="30"/>
              </w:rPr>
            </w:pPr>
            <w:r>
              <w:rPr>
                <w:rFonts w:ascii="宋体" w:hAnsi="宋体" w:cs="宋体"/>
                <w:kern w:val="0"/>
                <w:sz w:val="30"/>
                <w:szCs w:val="30"/>
                <w:lang w:bidi="ar"/>
              </w:rPr>
              <w:t>综合评分法</w:t>
            </w:r>
          </w:p>
        </w:tc>
      </w:tr>
    </w:tbl>
    <w:p>
      <w:pPr>
        <w:tabs>
          <w:tab w:val="left" w:pos="2790"/>
        </w:tabs>
        <w:snapToGrid w:val="0"/>
        <w:jc w:val="center"/>
        <w:outlineLvl w:val="0"/>
        <w:rPr>
          <w:rFonts w:ascii="黑体" w:hAnsi="黑体" w:eastAsia="黑体" w:cs="Times New Roman"/>
          <w:sz w:val="40"/>
          <w:szCs w:val="40"/>
        </w:rPr>
      </w:pPr>
      <w:bookmarkStart w:id="0" w:name="OLE_LINK47"/>
      <w:r>
        <w:rPr>
          <w:rFonts w:hint="eastAsia" w:ascii="黑体" w:hAnsi="黑体" w:eastAsia="黑体" w:cs="Times New Roman"/>
          <w:sz w:val="40"/>
          <w:szCs w:val="40"/>
        </w:rPr>
        <w:t>资格性审查</w:t>
      </w:r>
      <w:bookmarkEnd w:id="0"/>
      <w:r>
        <w:rPr>
          <w:rFonts w:hint="eastAsia" w:ascii="黑体" w:hAnsi="黑体" w:eastAsia="黑体" w:cs="Times New Roman"/>
          <w:sz w:val="40"/>
          <w:szCs w:val="40"/>
        </w:rPr>
        <w:t>表</w:t>
      </w:r>
    </w:p>
    <w:tbl>
      <w:tblPr>
        <w:tblStyle w:val="23"/>
        <w:tblW w:w="894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81"/>
        <w:gridCol w:w="81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81" w:type="dxa"/>
            <w:tcBorders>
              <w:top w:val="single" w:color="000000" w:sz="8" w:space="0"/>
              <w:left w:val="single" w:color="000000" w:sz="8" w:space="0"/>
              <w:bottom w:val="single" w:color="000000" w:sz="8" w:space="0"/>
              <w:right w:val="single" w:color="000000" w:sz="8" w:space="0"/>
            </w:tcBorders>
            <w:shd w:val="clear" w:color="auto" w:fill="E6EFFA"/>
            <w:vAlign w:val="center"/>
          </w:tcPr>
          <w:p>
            <w:pPr>
              <w:spacing w:line="290" w:lineRule="exact"/>
              <w:jc w:val="center"/>
              <w:rPr>
                <w:rFonts w:ascii="宋体" w:hAnsi="宋体" w:eastAsia="宋体" w:cs="宋体"/>
                <w:szCs w:val="21"/>
              </w:rPr>
            </w:pPr>
            <w:r>
              <w:rPr>
                <w:rFonts w:ascii="宋体" w:hAnsi="宋体" w:eastAsia="宋体" w:cs="Times New Roman"/>
                <w:szCs w:val="21"/>
              </w:rPr>
              <w:t>序号</w:t>
            </w:r>
          </w:p>
        </w:tc>
        <w:tc>
          <w:tcPr>
            <w:tcW w:w="8164" w:type="dxa"/>
            <w:tcBorders>
              <w:top w:val="single" w:color="000000" w:sz="8" w:space="0"/>
              <w:left w:val="single" w:color="000000" w:sz="8" w:space="0"/>
              <w:bottom w:val="single" w:color="000000" w:sz="8" w:space="0"/>
              <w:right w:val="single" w:color="000000" w:sz="8" w:space="0"/>
            </w:tcBorders>
            <w:shd w:val="clear" w:color="auto" w:fill="E6EFFA"/>
            <w:vAlign w:val="center"/>
          </w:tcPr>
          <w:p>
            <w:pPr>
              <w:spacing w:line="290" w:lineRule="exact"/>
              <w:jc w:val="center"/>
              <w:rPr>
                <w:rFonts w:ascii="宋体" w:hAnsi="宋体" w:eastAsia="宋体" w:cs="宋体"/>
                <w:szCs w:val="21"/>
              </w:rPr>
            </w:pPr>
            <w:r>
              <w:rPr>
                <w:rFonts w:ascii="宋体" w:hAnsi="宋体" w:eastAsia="宋体" w:cs="Times New Roman"/>
                <w:szCs w:val="21"/>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81" w:type="dxa"/>
            <w:tcBorders>
              <w:top w:val="single" w:color="000000" w:sz="8" w:space="0"/>
              <w:left w:val="single" w:color="000000" w:sz="8" w:space="0"/>
              <w:bottom w:val="single" w:color="000000" w:sz="8" w:space="0"/>
              <w:right w:val="single" w:color="000000" w:sz="8" w:space="0"/>
            </w:tcBorders>
          </w:tcPr>
          <w:p>
            <w:pPr>
              <w:spacing w:line="290" w:lineRule="exact"/>
              <w:jc w:val="center"/>
              <w:rPr>
                <w:rFonts w:ascii="宋体" w:hAnsi="宋体" w:eastAsia="宋体" w:cs="宋体"/>
                <w:szCs w:val="21"/>
              </w:rPr>
            </w:pPr>
            <w:r>
              <w:rPr>
                <w:rFonts w:ascii="宋体" w:hAnsi="宋体" w:eastAsia="宋体" w:cs="Times New Roman"/>
                <w:szCs w:val="21"/>
              </w:rPr>
              <w:t>1</w:t>
            </w:r>
          </w:p>
        </w:tc>
        <w:tc>
          <w:tcPr>
            <w:tcW w:w="8164" w:type="dxa"/>
            <w:tcBorders>
              <w:top w:val="single" w:color="000000" w:sz="8" w:space="0"/>
              <w:left w:val="single" w:color="000000" w:sz="8" w:space="0"/>
              <w:bottom w:val="single" w:color="000000" w:sz="8" w:space="0"/>
              <w:right w:val="single" w:color="000000" w:sz="8" w:space="0"/>
            </w:tcBorders>
          </w:tcPr>
          <w:p>
            <w:pPr>
              <w:spacing w:line="290" w:lineRule="exact"/>
              <w:rPr>
                <w:rFonts w:ascii="宋体" w:hAnsi="宋体" w:eastAsia="宋体" w:cs="宋体"/>
                <w:szCs w:val="21"/>
              </w:rPr>
            </w:pPr>
            <w:r>
              <w:rPr>
                <w:rFonts w:ascii="宋体" w:hAnsi="宋体" w:eastAsia="宋体" w:cs="宋体"/>
                <w:kern w:val="0"/>
                <w:szCs w:val="21"/>
              </w:rPr>
              <w:t>投标人不</w:t>
            </w:r>
            <w:r>
              <w:rPr>
                <w:rFonts w:hint="eastAsia" w:ascii="宋体" w:hAnsi="宋体" w:eastAsia="宋体" w:cs="宋体"/>
                <w:kern w:val="0"/>
                <w:szCs w:val="21"/>
              </w:rPr>
              <w:t>符合</w:t>
            </w:r>
            <w:r>
              <w:rPr>
                <w:rFonts w:ascii="宋体" w:hAnsi="宋体" w:eastAsia="宋体" w:cs="宋体"/>
                <w:kern w:val="0"/>
                <w:szCs w:val="21"/>
              </w:rPr>
              <w:t>资格要求，或未提交相应的资格证明资料（详见招标公告</w:t>
            </w:r>
            <w:r>
              <w:rPr>
                <w:rFonts w:hint="eastAsia" w:ascii="宋体" w:hAnsi="宋体" w:eastAsia="宋体" w:cs="Times New Roman"/>
                <w:szCs w:val="21"/>
              </w:rPr>
              <w:t>投标人资格要求，即申请人的资格要求</w:t>
            </w:r>
            <w:r>
              <w:rPr>
                <w:rFonts w:ascii="宋体" w:hAnsi="宋体" w:eastAsia="宋体" w:cs="宋体"/>
                <w:kern w:val="0"/>
                <w:szCs w:val="21"/>
              </w:rPr>
              <w:t>）。</w:t>
            </w:r>
          </w:p>
        </w:tc>
      </w:tr>
    </w:tbl>
    <w:p>
      <w:pPr>
        <w:tabs>
          <w:tab w:val="left" w:pos="2790"/>
        </w:tabs>
        <w:snapToGrid w:val="0"/>
        <w:jc w:val="center"/>
        <w:rPr>
          <w:rFonts w:ascii="黑体" w:hAnsi="黑体" w:eastAsia="黑体" w:cs="Times New Roman"/>
          <w:sz w:val="40"/>
          <w:szCs w:val="40"/>
        </w:rPr>
      </w:pPr>
    </w:p>
    <w:p>
      <w:pPr>
        <w:tabs>
          <w:tab w:val="left" w:pos="2790"/>
        </w:tabs>
        <w:snapToGrid w:val="0"/>
        <w:jc w:val="center"/>
        <w:outlineLvl w:val="0"/>
        <w:rPr>
          <w:rFonts w:ascii="黑体" w:hAnsi="黑体" w:eastAsia="黑体" w:cs="Times New Roman"/>
          <w:sz w:val="40"/>
          <w:szCs w:val="40"/>
        </w:rPr>
      </w:pPr>
      <w:bookmarkStart w:id="1" w:name="OLE_LINK48"/>
      <w:r>
        <w:rPr>
          <w:rFonts w:hint="eastAsia" w:ascii="黑体" w:hAnsi="黑体" w:eastAsia="黑体" w:cs="Times New Roman"/>
          <w:sz w:val="40"/>
          <w:szCs w:val="40"/>
        </w:rPr>
        <w:t>符合性审查</w:t>
      </w:r>
      <w:bookmarkEnd w:id="1"/>
      <w:r>
        <w:rPr>
          <w:rFonts w:hint="eastAsia" w:ascii="黑体" w:hAnsi="黑体" w:eastAsia="黑体" w:cs="Times New Roman"/>
          <w:sz w:val="40"/>
          <w:szCs w:val="40"/>
        </w:rPr>
        <w:t>表</w:t>
      </w:r>
    </w:p>
    <w:tbl>
      <w:tblPr>
        <w:tblStyle w:val="23"/>
        <w:tblW w:w="89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1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rFonts w:hint="eastAsia" w:ascii="宋体" w:hAnsi="宋体" w:eastAsia="宋体" w:cs="宋体"/>
                <w:sz w:val="21"/>
                <w:szCs w:val="21"/>
              </w:rPr>
            </w:pPr>
            <w:r>
              <w:rPr>
                <w:rFonts w:hint="eastAsia" w:ascii="宋体" w:hAnsi="宋体" w:eastAsia="宋体" w:cs="宋体"/>
                <w:kern w:val="0"/>
                <w:sz w:val="21"/>
                <w:szCs w:val="21"/>
                <w:lang w:bidi="ar"/>
              </w:rPr>
              <w:t>序号</w:t>
            </w:r>
          </w:p>
        </w:tc>
        <w:tc>
          <w:tcPr>
            <w:tcW w:w="8153"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rFonts w:hint="eastAsia" w:ascii="宋体" w:hAnsi="宋体" w:eastAsia="宋体" w:cs="宋体"/>
                <w:sz w:val="21"/>
                <w:szCs w:val="21"/>
              </w:rPr>
            </w:pPr>
            <w:r>
              <w:rPr>
                <w:rFonts w:hint="eastAsia" w:ascii="宋体" w:hAnsi="宋体" w:eastAsia="宋体" w:cs="宋体"/>
                <w:kern w:val="0"/>
                <w:sz w:val="21"/>
                <w:szCs w:val="21"/>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 w:val="21"/>
                <w:szCs w:val="21"/>
              </w:rPr>
            </w:pPr>
            <w:r>
              <w:rPr>
                <w:rFonts w:hint="eastAsia" w:ascii="宋体" w:hAnsi="宋体" w:eastAsia="宋体" w:cs="宋体"/>
                <w:kern w:val="0"/>
                <w:sz w:val="21"/>
                <w:szCs w:val="21"/>
                <w:lang w:bidi="ar"/>
              </w:rPr>
              <w:t>1</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不得将一个包的内容拆开投标；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 w:val="21"/>
                <w:szCs w:val="21"/>
              </w:rPr>
            </w:pPr>
            <w:r>
              <w:rPr>
                <w:rFonts w:hint="eastAsia" w:ascii="宋体" w:hAnsi="宋体" w:eastAsia="宋体" w:cs="宋体"/>
                <w:kern w:val="0"/>
                <w:sz w:val="21"/>
                <w:szCs w:val="21"/>
                <w:lang w:bidi="ar"/>
              </w:rPr>
              <w:t>2</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对同一项目投标时，不得提供两套以上的投标方案（招标文件另有规定的除外）；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 w:val="21"/>
                <w:szCs w:val="21"/>
              </w:rPr>
            </w:pPr>
            <w:r>
              <w:rPr>
                <w:rFonts w:hint="eastAsia" w:ascii="宋体" w:hAnsi="宋体" w:eastAsia="宋体" w:cs="宋体"/>
                <w:kern w:val="0"/>
                <w:sz w:val="21"/>
                <w:szCs w:val="21"/>
                <w:lang w:bidi="ar"/>
              </w:rPr>
              <w:t>3</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Theme="minorEastAsia" w:hAnsiTheme="minorEastAsia" w:eastAsiaTheme="minorEastAsia" w:cstheme="minorEastAsia"/>
              </w:rPr>
              <w:t>分项报价或投标总价</w:t>
            </w:r>
            <w:r>
              <w:rPr>
                <w:rFonts w:hint="eastAsia" w:asciiTheme="minorEastAsia" w:hAnsiTheme="minorEastAsia" w:eastAsiaTheme="minorEastAsia" w:cstheme="minorEastAsia"/>
                <w:lang w:val="en-US" w:eastAsia="zh-CN"/>
              </w:rPr>
              <w:t>不得</w:t>
            </w:r>
            <w:r>
              <w:rPr>
                <w:rFonts w:hint="eastAsia" w:asciiTheme="minorEastAsia" w:hAnsiTheme="minorEastAsia" w:eastAsiaTheme="minorEastAsia" w:cstheme="minorEastAsia"/>
              </w:rPr>
              <w:t>高于</w:t>
            </w:r>
            <w:bookmarkStart w:id="2" w:name="_Hlk71832186"/>
            <w:r>
              <w:rPr>
                <w:rFonts w:hint="eastAsia" w:asciiTheme="minorEastAsia" w:hAnsiTheme="minorEastAsia" w:eastAsiaTheme="minorEastAsia" w:cstheme="minorEastAsia"/>
              </w:rPr>
              <w:t>相应预算金额（或设定的预算金额下的最高限价）</w:t>
            </w:r>
            <w:bookmarkEnd w:id="2"/>
            <w:r>
              <w:rPr>
                <w:rFonts w:hint="eastAsia" w:asciiTheme="minorEastAsia" w:hAnsiTheme="minorEastAsia" w:eastAsiaTheme="minorEastAsia" w:cstheme="minor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 w:val="21"/>
                <w:szCs w:val="21"/>
              </w:rPr>
            </w:pPr>
            <w:r>
              <w:rPr>
                <w:rFonts w:hint="eastAsia" w:ascii="宋体" w:hAnsi="宋体" w:eastAsia="宋体" w:cs="宋体"/>
                <w:kern w:val="0"/>
                <w:sz w:val="21"/>
                <w:szCs w:val="21"/>
                <w:lang w:bidi="ar"/>
              </w:rPr>
              <w:t>4</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 w:val="21"/>
                <w:szCs w:val="21"/>
              </w:rPr>
            </w:pPr>
            <w:r>
              <w:rPr>
                <w:rFonts w:hint="eastAsia" w:ascii="宋体" w:hAnsi="宋体" w:eastAsia="宋体" w:cs="宋体"/>
                <w:kern w:val="0"/>
                <w:sz w:val="21"/>
                <w:szCs w:val="21"/>
                <w:lang w:bidi="ar"/>
              </w:rPr>
              <w:t>5</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 w:val="21"/>
                <w:szCs w:val="21"/>
              </w:rPr>
            </w:pPr>
            <w:r>
              <w:rPr>
                <w:rFonts w:hint="eastAsia" w:ascii="宋体" w:hAnsi="宋体" w:eastAsia="宋体" w:cs="宋体"/>
                <w:kern w:val="0"/>
                <w:sz w:val="21"/>
                <w:szCs w:val="21"/>
                <w:lang w:bidi="ar"/>
              </w:rPr>
              <w:t>6</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未按招标文件所提供的样式填写《投标函》；未按招标文件所提供的《政府采购投标及履约承诺函》进行承诺；未按招标文件对投标文件组成的要求提供投标文件；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 w:val="21"/>
                <w:szCs w:val="21"/>
              </w:rPr>
            </w:pPr>
            <w:r>
              <w:rPr>
                <w:rFonts w:hint="eastAsia" w:ascii="宋体" w:hAnsi="宋体" w:eastAsia="宋体" w:cs="宋体"/>
                <w:sz w:val="21"/>
                <w:szCs w:val="21"/>
              </w:rPr>
              <w:t>7</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采购标的/所投产品/货物清单/报价等任意一类有缺漏项或响应不全，或者对招标文件规定的项目需求内容或者需求数量进行修改，评审委员会判定投标响应不满足采购需求；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 w:val="21"/>
                <w:szCs w:val="21"/>
                <w:lang w:eastAsia="zh-CN"/>
              </w:rPr>
            </w:pPr>
            <w:r>
              <w:rPr>
                <w:rFonts w:hint="eastAsia" w:ascii="宋体" w:hAnsi="宋体" w:eastAsia="宋体" w:cs="宋体"/>
                <w:kern w:val="0"/>
                <w:sz w:val="21"/>
                <w:szCs w:val="21"/>
                <w:lang w:val="en-US" w:eastAsia="zh-CN" w:bidi="ar"/>
              </w:rPr>
              <w:t>8</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投标文件电子文档不得带病毒；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 w:val="21"/>
                <w:szCs w:val="21"/>
                <w:lang w:eastAsia="zh-CN"/>
              </w:rPr>
            </w:pPr>
            <w:r>
              <w:rPr>
                <w:rFonts w:hint="eastAsia" w:ascii="宋体" w:hAnsi="宋体" w:eastAsia="宋体" w:cs="宋体"/>
                <w:kern w:val="0"/>
                <w:sz w:val="21"/>
                <w:szCs w:val="21"/>
                <w:lang w:val="en-US" w:eastAsia="zh-CN" w:bidi="ar"/>
              </w:rPr>
              <w:t>9</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不同投标供应商投标文件“文件制作机器码”一致；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不同投标供应商投标文件“文件创建标识码”一致；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ascii="宋体" w:hAnsi="宋体" w:eastAsia="宋体" w:cs="宋体"/>
                <w:sz w:val="21"/>
                <w:szCs w:val="21"/>
                <w:lang w:val="en-US" w:eastAsia="zh-CN"/>
              </w:rPr>
            </w:pPr>
            <w:r>
              <w:rPr>
                <w:rFonts w:hint="eastAsia" w:ascii="宋体" w:hAnsi="宋体" w:eastAsia="宋体" w:cs="宋体"/>
                <w:kern w:val="0"/>
                <w:sz w:val="21"/>
                <w:szCs w:val="21"/>
                <w:lang w:val="en-US" w:eastAsia="zh-CN" w:bidi="ar"/>
              </w:rPr>
              <w:t>12</w:t>
            </w:r>
          </w:p>
        </w:tc>
        <w:tc>
          <w:tcPr>
            <w:tcW w:w="8153"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sz w:val="21"/>
                <w:szCs w:val="21"/>
              </w:rPr>
            </w:pPr>
            <w:r>
              <w:rPr>
                <w:rFonts w:hint="eastAsia" w:ascii="宋体" w:hAnsi="宋体" w:eastAsia="宋体" w:cs="宋体"/>
                <w:sz w:val="21"/>
                <w:szCs w:val="21"/>
              </w:rPr>
              <w:t>法律、法规、规章、规范性文件规定的其他情形。</w:t>
            </w:r>
          </w:p>
        </w:tc>
      </w:tr>
    </w:tbl>
    <w:p>
      <w:pPr>
        <w:pStyle w:val="20"/>
        <w:jc w:val="center"/>
        <w:outlineLvl w:val="0"/>
        <w:rPr>
          <w:rFonts w:hint="eastAsia" w:ascii="黑体" w:hAnsi="黑体" w:eastAsia="黑体"/>
          <w:sz w:val="40"/>
          <w:szCs w:val="40"/>
        </w:rPr>
      </w:pPr>
      <w:r>
        <w:rPr>
          <w:rFonts w:hint="eastAsia" w:ascii="黑体" w:hAnsi="黑体" w:eastAsia="黑体"/>
          <w:sz w:val="40"/>
          <w:szCs w:val="40"/>
        </w:rPr>
        <w:t>评标信息</w:t>
      </w:r>
    </w:p>
    <w:p>
      <w:pPr>
        <w:spacing w:line="240" w:lineRule="auto"/>
        <w:ind w:firstLine="420"/>
        <w:rPr>
          <w:rFonts w:hint="eastAsia" w:ascii="宋体" w:hAnsi="宋体" w:eastAsia="宋体" w:cs="宋体"/>
          <w:b/>
          <w:bCs/>
          <w:sz w:val="21"/>
          <w:szCs w:val="21"/>
        </w:rPr>
      </w:pPr>
      <w:r>
        <w:rPr>
          <w:rFonts w:hint="eastAsia" w:ascii="宋体" w:hAnsi="宋体" w:eastAsia="宋体" w:cs="宋体"/>
          <w:b/>
          <w:bCs/>
          <w:sz w:val="21"/>
          <w:szCs w:val="21"/>
        </w:rPr>
        <w:t>评标方法：综合评分法</w:t>
      </w:r>
    </w:p>
    <w:p>
      <w:pPr>
        <w:spacing w:line="240" w:lineRule="auto"/>
        <w:ind w:firstLine="420"/>
        <w:rPr>
          <w:rFonts w:hint="eastAsia" w:ascii="宋体" w:hAnsi="宋体" w:eastAsia="宋体" w:cs="宋体"/>
          <w:sz w:val="21"/>
          <w:szCs w:val="21"/>
        </w:rPr>
      </w:pPr>
      <w:r>
        <w:rPr>
          <w:rFonts w:hint="eastAsia" w:ascii="宋体" w:hAnsi="宋体" w:eastAsia="宋体" w:cs="宋体"/>
          <w:sz w:val="21"/>
          <w:szCs w:val="21"/>
        </w:rPr>
        <w:t>综合评分法，是指投标文件满足招标文件全部实质性要求，且按照评审因素的量化指标评审得分排名前列的投标人为中标候选人的评标方法。</w:t>
      </w:r>
    </w:p>
    <w:p>
      <w:pPr>
        <w:spacing w:line="240" w:lineRule="auto"/>
        <w:ind w:firstLine="420"/>
        <w:rPr>
          <w:rFonts w:hint="eastAsia" w:ascii="宋体" w:hAnsi="宋体" w:eastAsia="宋体" w:cs="宋体"/>
          <w:sz w:val="21"/>
          <w:szCs w:val="21"/>
        </w:rPr>
      </w:pPr>
      <w:r>
        <w:rPr>
          <w:rFonts w:hint="eastAsia" w:ascii="宋体" w:hAnsi="宋体" w:eastAsia="宋体" w:cs="宋体"/>
          <w:sz w:val="21"/>
          <w:szCs w:val="21"/>
        </w:rPr>
        <w:t>价格分计算方法：</w:t>
      </w:r>
    </w:p>
    <w:p>
      <w:pPr>
        <w:pStyle w:val="20"/>
        <w:spacing w:beforeAutospacing="0" w:afterAutospacing="0" w:line="240" w:lineRule="auto"/>
        <w:ind w:left="420"/>
        <w:rPr>
          <w:rFonts w:hint="eastAsia" w:ascii="宋体" w:hAnsi="宋体" w:eastAsia="宋体" w:cs="宋体"/>
          <w:sz w:val="21"/>
          <w:szCs w:val="21"/>
        </w:rPr>
      </w:pPr>
      <w:r>
        <w:rPr>
          <w:rFonts w:hint="eastAsia" w:ascii="宋体" w:hAnsi="宋体" w:eastAsia="宋体" w:cs="宋体"/>
          <w:sz w:val="21"/>
          <w:szCs w:val="21"/>
        </w:rPr>
        <w:t xml:space="preserve">采用低价优先法计算，即满足招标文件要求且投标价格最低的投标报价为评标基准价，其价格分为满分。其他投标人的价格分统一按照下列公式计算： </w:t>
      </w:r>
    </w:p>
    <w:p>
      <w:pPr>
        <w:pStyle w:val="20"/>
        <w:spacing w:beforeAutospacing="0" w:afterAutospacing="0" w:line="240" w:lineRule="auto"/>
        <w:ind w:left="420"/>
        <w:rPr>
          <w:rFonts w:hint="eastAsia" w:ascii="宋体" w:hAnsi="宋体" w:eastAsia="宋体" w:cs="宋体"/>
          <w:sz w:val="21"/>
          <w:szCs w:val="21"/>
        </w:rPr>
      </w:pPr>
      <w:r>
        <w:rPr>
          <w:rFonts w:hint="eastAsia" w:ascii="宋体" w:hAnsi="宋体" w:eastAsia="宋体" w:cs="宋体"/>
          <w:sz w:val="21"/>
          <w:szCs w:val="21"/>
        </w:rPr>
        <w:t>投标报价得分=</w:t>
      </w:r>
      <w:r>
        <w:rPr>
          <w:rFonts w:hint="eastAsia" w:ascii="宋体" w:hAnsi="宋体" w:eastAsia="宋体" w:cs="宋体"/>
          <w:sz w:val="21"/>
          <w:szCs w:val="21"/>
          <w:lang w:eastAsia="zh-CN"/>
        </w:rPr>
        <w:t>（</w:t>
      </w:r>
      <w:r>
        <w:rPr>
          <w:rFonts w:hint="eastAsia" w:ascii="宋体" w:hAnsi="宋体" w:eastAsia="宋体" w:cs="宋体"/>
          <w:sz w:val="21"/>
          <w:szCs w:val="21"/>
        </w:rPr>
        <w:t>评标基准价／投标报价</w:t>
      </w:r>
      <w:r>
        <w:rPr>
          <w:rFonts w:hint="eastAsia" w:ascii="宋体" w:hAnsi="宋体" w:eastAsia="宋体" w:cs="宋体"/>
          <w:sz w:val="21"/>
          <w:szCs w:val="21"/>
          <w:lang w:eastAsia="zh-CN"/>
        </w:rPr>
        <w:t>）</w:t>
      </w:r>
      <w:r>
        <w:rPr>
          <w:rFonts w:hint="eastAsia" w:ascii="宋体" w:hAnsi="宋体" w:eastAsia="宋体" w:cs="宋体"/>
          <w:sz w:val="21"/>
          <w:szCs w:val="21"/>
        </w:rPr>
        <w:t xml:space="preserve">×100 </w:t>
      </w:r>
    </w:p>
    <w:p>
      <w:pPr>
        <w:pStyle w:val="20"/>
        <w:spacing w:beforeAutospacing="0" w:afterAutospacing="0" w:line="240" w:lineRule="auto"/>
        <w:ind w:left="420"/>
        <w:rPr>
          <w:rFonts w:hint="eastAsia" w:ascii="宋体" w:hAnsi="宋体" w:eastAsia="宋体" w:cs="宋体"/>
          <w:sz w:val="21"/>
          <w:szCs w:val="21"/>
        </w:rPr>
      </w:pPr>
      <w:r>
        <w:rPr>
          <w:rFonts w:hint="eastAsia" w:ascii="宋体" w:hAnsi="宋体" w:eastAsia="宋体" w:cs="宋体"/>
          <w:sz w:val="21"/>
          <w:szCs w:val="21"/>
        </w:rPr>
        <w:t xml:space="preserve">评标总得分＝F1×A1＋F2×A2＋……＋Fn×An </w:t>
      </w:r>
    </w:p>
    <w:p>
      <w:pPr>
        <w:pStyle w:val="20"/>
        <w:spacing w:beforeAutospacing="0" w:afterAutospacing="0" w:line="240" w:lineRule="auto"/>
        <w:ind w:left="420"/>
        <w:rPr>
          <w:rFonts w:hint="eastAsia" w:ascii="宋体" w:hAnsi="宋体" w:eastAsia="宋体" w:cs="宋体"/>
          <w:sz w:val="21"/>
          <w:szCs w:val="21"/>
        </w:rPr>
      </w:pPr>
      <w:r>
        <w:rPr>
          <w:rFonts w:hint="eastAsia" w:ascii="宋体" w:hAnsi="宋体" w:eastAsia="宋体" w:cs="宋体"/>
          <w:sz w:val="21"/>
          <w:szCs w:val="21"/>
        </w:rPr>
        <w:t xml:space="preserve">F1、F2……Fn分别为各项评审因素的得分； </w:t>
      </w:r>
    </w:p>
    <w:p>
      <w:pPr>
        <w:pStyle w:val="20"/>
        <w:spacing w:beforeAutospacing="0" w:afterAutospacing="0" w:line="240" w:lineRule="auto"/>
        <w:ind w:left="420"/>
        <w:rPr>
          <w:rFonts w:hint="eastAsia" w:ascii="宋体" w:hAnsi="宋体" w:eastAsia="宋体" w:cs="宋体"/>
          <w:sz w:val="21"/>
          <w:szCs w:val="21"/>
        </w:rPr>
      </w:pPr>
      <w:r>
        <w:rPr>
          <w:rFonts w:hint="eastAsia" w:ascii="宋体" w:hAnsi="宋体" w:eastAsia="宋体" w:cs="宋体"/>
          <w:sz w:val="21"/>
          <w:szCs w:val="21"/>
        </w:rPr>
        <w:t>A1、A2、……An 分别为各项评审因素所占的权重</w:t>
      </w:r>
      <w:r>
        <w:rPr>
          <w:rFonts w:hint="eastAsia" w:ascii="宋体" w:hAnsi="宋体" w:eastAsia="宋体" w:cs="宋体"/>
          <w:sz w:val="21"/>
          <w:szCs w:val="21"/>
          <w:lang w:eastAsia="zh-CN"/>
        </w:rPr>
        <w:t>（</w:t>
      </w:r>
      <w:r>
        <w:rPr>
          <w:rFonts w:hint="eastAsia" w:ascii="宋体" w:hAnsi="宋体" w:eastAsia="宋体" w:cs="宋体"/>
          <w:sz w:val="21"/>
          <w:szCs w:val="21"/>
        </w:rPr>
        <w:t>A1＋A2＋……＋An＝1</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pPr>
        <w:pStyle w:val="20"/>
        <w:spacing w:beforeAutospacing="0" w:afterAutospacing="0"/>
        <w:ind w:left="420"/>
        <w:jc w:val="left"/>
        <w:outlineLvl w:val="9"/>
        <w:rPr>
          <w:rFonts w:hint="eastAsia" w:ascii="宋体" w:hAnsi="宋体" w:eastAsia="宋体" w:cs="宋体"/>
          <w:sz w:val="21"/>
          <w:szCs w:val="21"/>
        </w:rPr>
      </w:pPr>
      <w:r>
        <w:rPr>
          <w:rFonts w:hint="eastAsia" w:ascii="宋体" w:hAnsi="宋体" w:eastAsia="宋体" w:cs="宋体"/>
          <w:sz w:val="21"/>
          <w:szCs w:val="21"/>
        </w:rPr>
        <w:t>评标过程中，不得去掉报价中的最高报价和最低报价。</w:t>
      </w:r>
    </w:p>
    <w:p>
      <w:pPr>
        <w:pStyle w:val="20"/>
        <w:spacing w:beforeAutospacing="0" w:afterAutospacing="0"/>
        <w:ind w:left="420"/>
        <w:jc w:val="left"/>
        <w:outlineLvl w:val="9"/>
        <w:rPr>
          <w:rFonts w:hint="eastAsia" w:ascii="黑体" w:hAnsi="黑体" w:eastAsia="黑体"/>
          <w:sz w:val="40"/>
          <w:szCs w:val="40"/>
        </w:rPr>
      </w:pPr>
      <w:r>
        <w:rPr>
          <w:rFonts w:hint="eastAsia" w:ascii="宋体" w:hAnsi="宋体" w:eastAsia="宋体" w:cs="宋体"/>
          <w:sz w:val="21"/>
          <w:szCs w:val="21"/>
        </w:rPr>
        <w:t>因落实政府采购政策进行价格调整的，以调整后的价格计算评标基准价和投标报价。</w:t>
      </w:r>
    </w:p>
    <w:tbl>
      <w:tblPr>
        <w:tblStyle w:val="23"/>
        <w:tblW w:w="9365"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24"/>
        <w:gridCol w:w="681"/>
        <w:gridCol w:w="19"/>
        <w:gridCol w:w="2390"/>
        <w:gridCol w:w="299"/>
        <w:gridCol w:w="496"/>
        <w:gridCol w:w="187"/>
        <w:gridCol w:w="45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tcBorders>
              <w:top w:val="single" w:color="000000" w:sz="8" w:space="0"/>
              <w:left w:val="single" w:color="000000" w:sz="8" w:space="0"/>
              <w:bottom w:val="single" w:color="000000" w:sz="8" w:space="0"/>
              <w:right w:val="single" w:color="000000" w:sz="8"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3885" w:type="dxa"/>
            <w:gridSpan w:val="5"/>
            <w:tcBorders>
              <w:top w:val="single" w:color="000000" w:sz="8" w:space="0"/>
              <w:left w:val="single" w:color="000000" w:sz="8" w:space="0"/>
              <w:bottom w:val="single" w:color="000000" w:sz="8" w:space="0"/>
              <w:right w:val="single" w:color="000000" w:sz="8"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评分项</w:t>
            </w:r>
          </w:p>
        </w:tc>
        <w:tc>
          <w:tcPr>
            <w:tcW w:w="4756"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权重</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w:t>
            </w:r>
            <w:r>
              <w:rPr>
                <w:rFonts w:hint="eastAsia" w:ascii="宋体" w:hAnsi="宋体" w:eastAsia="宋体" w:cs="宋体"/>
                <w:b/>
                <w:bCs/>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724" w:type="dxa"/>
            <w:vMerge w:val="restart"/>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1</w:t>
            </w:r>
          </w:p>
        </w:tc>
        <w:tc>
          <w:tcPr>
            <w:tcW w:w="3885" w:type="dxa"/>
            <w:gridSpan w:val="5"/>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价格</w:t>
            </w:r>
          </w:p>
        </w:tc>
        <w:tc>
          <w:tcPr>
            <w:tcW w:w="4756" w:type="dxa"/>
            <w:gridSpan w:val="2"/>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8641" w:type="dxa"/>
            <w:gridSpan w:val="7"/>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restart"/>
            <w:tcBorders>
              <w:top w:val="single" w:color="000000" w:sz="8" w:space="0"/>
              <w:left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rPr>
            </w:pPr>
            <w:bookmarkStart w:id="3" w:name="OLE_LINK4" w:colFirst="0" w:colLast="4"/>
            <w:r>
              <w:rPr>
                <w:rFonts w:hint="eastAsia" w:ascii="宋体" w:hAnsi="宋体" w:eastAsia="宋体" w:cs="宋体"/>
                <w:b/>
                <w:bCs/>
                <w:color w:val="0000FF"/>
                <w:sz w:val="21"/>
                <w:szCs w:val="21"/>
                <w:highlight w:val="none"/>
                <w:lang w:eastAsia="zh-CN"/>
              </w:rPr>
              <w:t>2</w:t>
            </w:r>
          </w:p>
        </w:tc>
        <w:tc>
          <w:tcPr>
            <w:tcW w:w="3885" w:type="dxa"/>
            <w:gridSpan w:val="5"/>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lang w:eastAsia="zh-CN"/>
              </w:rPr>
            </w:pPr>
            <w:r>
              <w:rPr>
                <w:rFonts w:hint="eastAsia" w:ascii="宋体" w:hAnsi="宋体" w:eastAsia="宋体" w:cs="宋体"/>
                <w:b/>
                <w:bCs/>
                <w:color w:val="0000FF"/>
                <w:sz w:val="21"/>
                <w:szCs w:val="21"/>
                <w:highlight w:val="none"/>
                <w:lang w:eastAsia="zh-CN"/>
              </w:rPr>
              <w:t>商务部分</w:t>
            </w:r>
          </w:p>
        </w:tc>
        <w:tc>
          <w:tcPr>
            <w:tcW w:w="4756" w:type="dxa"/>
            <w:gridSpan w:val="2"/>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lang w:val="en-US" w:eastAsia="zh-CN"/>
              </w:rPr>
            </w:pPr>
            <w:r>
              <w:rPr>
                <w:rFonts w:hint="eastAsia" w:ascii="宋体" w:hAnsi="宋体" w:eastAsia="宋体" w:cs="宋体"/>
                <w:b/>
                <w:bCs/>
                <w:color w:val="0000FF"/>
                <w:sz w:val="21"/>
                <w:szCs w:val="21"/>
                <w:highlight w:val="none"/>
                <w:lang w:val="en-US" w:eastAsia="zh-CN"/>
              </w:rPr>
              <w:t>28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8641" w:type="dxa"/>
            <w:gridSpan w:val="7"/>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shd w:val="clear" w:color="auto" w:fill="E6EFFA"/>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409"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评分因素</w:t>
            </w:r>
          </w:p>
        </w:tc>
        <w:tc>
          <w:tcPr>
            <w:tcW w:w="795"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rPr>
            </w:pPr>
            <w:r>
              <w:rPr>
                <w:rFonts w:hint="eastAsia" w:ascii="宋体" w:hAnsi="宋体" w:eastAsia="宋体" w:cs="宋体"/>
                <w:b w:val="0"/>
                <w:bCs w:val="0"/>
                <w:color w:val="auto"/>
                <w:sz w:val="21"/>
                <w:szCs w:val="21"/>
                <w:highlight w:val="none"/>
              </w:rPr>
              <w:t>权重</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eastAsia="zh-CN"/>
              </w:rPr>
              <w:t>）</w:t>
            </w:r>
          </w:p>
        </w:tc>
        <w:tc>
          <w:tcPr>
            <w:tcW w:w="4756"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bookmarkStart w:id="4" w:name="OLE_LINK5" w:colFirst="2" w:colLast="2"/>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Cs w:val="21"/>
              </w:rPr>
              <w:t>相关认证情况</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Cs w:val="21"/>
              </w:rPr>
              <w:t>5</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Cs w:val="21"/>
              </w:rPr>
            </w:pPr>
            <w:r>
              <w:rPr>
                <w:rFonts w:hint="eastAsia" w:ascii="宋体" w:hAnsi="宋体" w:eastAsia="宋体" w:cs="宋体"/>
                <w:b/>
                <w:bCs/>
                <w:sz w:val="21"/>
                <w:szCs w:val="21"/>
              </w:rPr>
              <w:t>考</w:t>
            </w:r>
            <w:r>
              <w:rPr>
                <w:rFonts w:hint="eastAsia" w:ascii="宋体" w:hAnsi="宋体" w:eastAsia="宋体" w:cs="宋体"/>
                <w:b/>
                <w:bCs/>
                <w:szCs w:val="21"/>
              </w:rPr>
              <w:t>察内容：</w:t>
            </w:r>
          </w:p>
          <w:p>
            <w:pPr>
              <w:spacing w:line="240" w:lineRule="auto"/>
              <w:jc w:val="left"/>
              <w:rPr>
                <w:rFonts w:hint="eastAsia" w:ascii="宋体" w:hAnsi="宋体" w:eastAsia="宋体" w:cs="宋体"/>
                <w:szCs w:val="21"/>
              </w:rPr>
            </w:pPr>
            <w:r>
              <w:rPr>
                <w:rFonts w:hint="eastAsia" w:ascii="宋体" w:hAnsi="宋体" w:eastAsia="宋体" w:cs="宋体"/>
                <w:szCs w:val="21"/>
              </w:rPr>
              <w:t>投标人需提供质量管理体系（ISO9001）、环境管理体系（ISO14001）、职业健康安全管理体系（ISO45001）、能源管理体系（ISO50001），认证范围含物业服务或物业管理字样且都在有效期内的。满足任意一项得25分，满分100分</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szCs w:val="21"/>
                <w:lang w:eastAsia="zh-CN"/>
              </w:rPr>
            </w:pPr>
            <w:r>
              <w:rPr>
                <w:rFonts w:hint="eastAsia" w:ascii="宋体" w:hAnsi="宋体" w:eastAsia="宋体" w:cs="宋体"/>
                <w:szCs w:val="21"/>
              </w:rPr>
              <w:t>提供有效期内的体系认证证书及在全国认证认可信息公共服务平台（认e云）（http://cx.cnca.cn/CertECloud/index/index/page）查询有效的截图</w:t>
            </w:r>
            <w:r>
              <w:rPr>
                <w:rFonts w:hint="eastAsia" w:ascii="宋体" w:hAnsi="宋体" w:eastAsia="宋体" w:cs="宋体"/>
                <w:szCs w:val="21"/>
                <w:lang w:eastAsia="zh-CN"/>
              </w:rPr>
              <w:t>。</w:t>
            </w:r>
          </w:p>
          <w:p>
            <w:pPr>
              <w:spacing w:line="240" w:lineRule="auto"/>
              <w:jc w:val="left"/>
              <w:rPr>
                <w:rFonts w:hint="eastAsia" w:ascii="宋体" w:hAnsi="宋体" w:eastAsia="宋体" w:cs="宋体"/>
                <w:sz w:val="21"/>
                <w:szCs w:val="21"/>
                <w:highlight w:val="none"/>
                <w:lang w:val="en-US" w:eastAsia="zh-CN"/>
              </w:rPr>
            </w:pPr>
            <w:r>
              <w:rPr>
                <w:rFonts w:hint="eastAsia" w:ascii="宋体" w:hAnsi="宋体" w:eastAsia="宋体" w:cs="宋体"/>
                <w:b w:val="0"/>
                <w:bCs w:val="0"/>
                <w:sz w:val="21"/>
                <w:szCs w:val="21"/>
              </w:rPr>
              <w:t>以上资料均要求提供扫描件，原件备查。未按要求提供或提供不清晰导致专家无法判断不得分。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Cs w:val="21"/>
              </w:rPr>
              <w:t>获奖情况</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Cs w:val="21"/>
              </w:rPr>
              <w:t>3</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Cs w:val="21"/>
              </w:rPr>
            </w:pPr>
            <w:r>
              <w:rPr>
                <w:rFonts w:hint="eastAsia" w:ascii="宋体" w:hAnsi="宋体" w:eastAsia="宋体" w:cs="宋体"/>
                <w:b/>
                <w:bCs/>
                <w:sz w:val="21"/>
                <w:szCs w:val="21"/>
              </w:rPr>
              <w:t>考</w:t>
            </w:r>
            <w:r>
              <w:rPr>
                <w:rFonts w:hint="eastAsia" w:ascii="宋体" w:hAnsi="宋体" w:eastAsia="宋体" w:cs="宋体"/>
                <w:b/>
                <w:bCs/>
                <w:szCs w:val="21"/>
              </w:rPr>
              <w:t>察内容：</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投标人获得地市级</w:t>
            </w:r>
            <w:r>
              <w:rPr>
                <w:rFonts w:hint="eastAsia" w:ascii="宋体" w:hAnsi="宋体" w:eastAsia="宋体" w:cs="宋体"/>
                <w:b w:val="0"/>
                <w:bCs w:val="0"/>
                <w:sz w:val="21"/>
                <w:szCs w:val="21"/>
                <w:lang w:eastAsia="zh-CN"/>
              </w:rPr>
              <w:t>或</w:t>
            </w:r>
            <w:r>
              <w:rPr>
                <w:rFonts w:hint="eastAsia" w:ascii="宋体" w:hAnsi="宋体" w:eastAsia="宋体" w:cs="宋体"/>
                <w:b w:val="0"/>
                <w:bCs w:val="0"/>
                <w:sz w:val="21"/>
                <w:szCs w:val="21"/>
              </w:rPr>
              <w:t>以上</w:t>
            </w:r>
            <w:r>
              <w:rPr>
                <w:rFonts w:hint="eastAsia" w:ascii="宋体" w:hAnsi="宋体" w:eastAsia="宋体" w:cs="宋体"/>
                <w:b w:val="0"/>
                <w:bCs w:val="0"/>
                <w:sz w:val="21"/>
                <w:szCs w:val="21"/>
                <w:lang w:eastAsia="zh-CN"/>
              </w:rPr>
              <w:t>行政机关或事业单位</w:t>
            </w:r>
            <w:r>
              <w:rPr>
                <w:rFonts w:hint="eastAsia" w:ascii="宋体" w:hAnsi="宋体" w:eastAsia="宋体" w:cs="宋体"/>
                <w:b w:val="0"/>
                <w:bCs w:val="0"/>
                <w:sz w:val="21"/>
                <w:szCs w:val="21"/>
              </w:rPr>
              <w:t>或物业行业协会颁发的物业管理类优秀企业（或示范单位）得100分。</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1.提供奖项照片或获奖（荣誉）证书等证明材料；</w:t>
            </w:r>
            <w:r>
              <w:rPr>
                <w:rFonts w:hint="eastAsia" w:ascii="宋体" w:hAnsi="宋体" w:eastAsia="宋体" w:cs="宋体"/>
                <w:b/>
                <w:bCs/>
                <w:sz w:val="21"/>
                <w:szCs w:val="21"/>
                <w:lang w:eastAsia="zh-CN"/>
              </w:rPr>
              <w:t>其中</w:t>
            </w:r>
            <w:r>
              <w:rPr>
                <w:rFonts w:hint="eastAsia" w:ascii="宋体" w:hAnsi="宋体" w:eastAsia="宋体" w:cs="宋体"/>
                <w:sz w:val="21"/>
                <w:szCs w:val="21"/>
              </w:rPr>
              <w:t>若证书由协会颁发的还需提供该协会在“中国社会组织政务服务平台”（https://chinanpo.mca.gov.cn/）的已合法登记且状态正常截图，或该协会</w:t>
            </w:r>
            <w:r>
              <w:rPr>
                <w:rFonts w:hint="eastAsia" w:ascii="宋体" w:hAnsi="宋体" w:eastAsia="宋体" w:cs="宋体"/>
                <w:sz w:val="21"/>
                <w:szCs w:val="21"/>
                <w:lang w:eastAsia="zh-CN"/>
              </w:rPr>
              <w:t>（</w:t>
            </w:r>
            <w:r>
              <w:rPr>
                <w:rFonts w:hint="eastAsia" w:ascii="宋体" w:hAnsi="宋体" w:eastAsia="宋体" w:cs="宋体"/>
                <w:sz w:val="21"/>
                <w:szCs w:val="21"/>
              </w:rPr>
              <w:t>机构）由政府部门或行政事业单位审批的证明文件，否则不予认可，视为无效证书；</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2.荣誉体现投标人（含分公司）名称，并且荣誉获得的主体为投标人或分公司，如无法体现则需提供发奖部门加盖公章的证明文件。</w:t>
            </w:r>
          </w:p>
          <w:p>
            <w:pPr>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以上资料均要求提供扫描件，原件备查。未按要求提供或提供不清晰导致专家无法判断不得分。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Cs w:val="21"/>
              </w:rPr>
              <w:t>同类项目业绩</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Cs w:val="21"/>
              </w:rPr>
              <w:t>5</w:t>
            </w:r>
          </w:p>
        </w:tc>
        <w:tc>
          <w:tcPr>
            <w:tcW w:w="4756" w:type="dxa"/>
            <w:gridSpan w:val="2"/>
            <w:tcBorders>
              <w:top w:val="single" w:color="000000" w:sz="8" w:space="0"/>
              <w:left w:val="single" w:color="000000" w:sz="8" w:space="0"/>
              <w:bottom w:val="single" w:color="000000" w:sz="8" w:space="0"/>
              <w:right w:val="single" w:color="000000" w:sz="8" w:space="0"/>
            </w:tcBorders>
            <w:vAlign w:val="center"/>
          </w:tcPr>
          <w:p>
            <w:pPr>
              <w:spacing w:line="240" w:lineRule="auto"/>
              <w:jc w:val="left"/>
              <w:rPr>
                <w:rFonts w:hint="eastAsia" w:ascii="宋体" w:hAnsi="宋体" w:eastAsia="宋体" w:cs="宋体"/>
                <w:b/>
                <w:bCs/>
                <w:szCs w:val="21"/>
              </w:rPr>
            </w:pPr>
            <w:r>
              <w:rPr>
                <w:rFonts w:hint="eastAsia" w:ascii="宋体" w:hAnsi="宋体" w:eastAsia="宋体" w:cs="宋体"/>
                <w:b/>
                <w:bCs/>
                <w:sz w:val="21"/>
                <w:szCs w:val="21"/>
              </w:rPr>
              <w:t>考</w:t>
            </w:r>
            <w:r>
              <w:rPr>
                <w:rFonts w:hint="eastAsia" w:ascii="宋体" w:hAnsi="宋体" w:eastAsia="宋体" w:cs="宋体"/>
                <w:b/>
                <w:bCs/>
                <w:szCs w:val="21"/>
              </w:rPr>
              <w:t>察内容：</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投标人2020年1月1日至本项目投标截止之日（以合同签订日期为准），投标人每提供1个公办学校（或公办幼儿园）物业服务项目业绩的得20分，最高得100分。</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提供中标通知书及合同关键页，合同服务内容至少包含保安服务、保洁服务、绿化服务、维修服务中的四项（文字描述不需完全一致，服务内容涵盖即可），且合同签约期限（指合同开始时间至结束时间）不少于1年。通过合同关键信息无法判断是否得分的，还应同时提供能证明得分的其它证明资料，如项目报告或合同甲方出具的证明文件等。</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2.</w:t>
            </w:r>
            <w:r>
              <w:rPr>
                <w:rFonts w:hint="eastAsia" w:ascii="宋体" w:hAnsi="宋体" w:eastAsia="宋体" w:cs="宋体"/>
                <w:b/>
                <w:bCs/>
                <w:sz w:val="21"/>
                <w:szCs w:val="21"/>
              </w:rPr>
              <w:t>投标人提供承诺函，承诺所提供的的物业合同甲方（学校或幼儿园）在对应服务期限内为公办学校（或公办幼儿园）（格式自拟）。</w:t>
            </w:r>
          </w:p>
          <w:p>
            <w:pPr>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以上资料均要求提供扫描件，原件备查。未按要求提供或提供不清晰导致专家无法判断不得分。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lang w:val="en-US" w:eastAsia="zh-CN"/>
              </w:rPr>
            </w:pPr>
            <w:r>
              <w:rPr>
                <w:rFonts w:hint="eastAsia" w:ascii="宋体" w:hAnsi="宋体" w:eastAsia="宋体" w:cs="宋体"/>
                <w:szCs w:val="21"/>
              </w:rPr>
              <w:t>履约评价情况</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Cs w:val="21"/>
              </w:rPr>
              <w:t>5</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Cs w:val="21"/>
              </w:rPr>
            </w:pPr>
            <w:r>
              <w:rPr>
                <w:rFonts w:hint="eastAsia" w:ascii="宋体" w:hAnsi="宋体" w:eastAsia="宋体" w:cs="宋体"/>
                <w:b/>
                <w:bCs/>
                <w:sz w:val="21"/>
                <w:szCs w:val="21"/>
              </w:rPr>
              <w:t>考</w:t>
            </w:r>
            <w:r>
              <w:rPr>
                <w:rFonts w:hint="eastAsia" w:ascii="宋体" w:hAnsi="宋体" w:eastAsia="宋体" w:cs="宋体"/>
                <w:b/>
                <w:bCs/>
                <w:szCs w:val="21"/>
              </w:rPr>
              <w:t>察内容：</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投标人在上述“同类项目业绩”评审项中，参加评审得分的业绩，能够提供服务单位出具的履约评价相关证明，且评价为优（优或优秀或满意或其他最高等级的表述均可），每提供一份得20分，本项最高得100分。</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投标人提供盖有合同采购方公章（或采购方内设机构业务章）的履约评价</w:t>
            </w:r>
            <w:r>
              <w:rPr>
                <w:rFonts w:hint="eastAsia" w:ascii="宋体" w:hAnsi="宋体" w:eastAsia="宋体" w:cs="宋体"/>
                <w:b w:val="0"/>
                <w:bCs w:val="0"/>
                <w:sz w:val="21"/>
                <w:szCs w:val="21"/>
                <w:lang w:eastAsia="zh-CN"/>
              </w:rPr>
              <w:t>。</w:t>
            </w:r>
          </w:p>
          <w:p>
            <w:pPr>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以上资料均要求提供扫描件，原件备查。未按要求提供或提供不清晰导致专家无法判断不得分。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Cs w:val="21"/>
                <w:highlight w:val="none"/>
              </w:rPr>
              <w:t>自主知识产权产品（创新、设计）情况</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Cs w:val="21"/>
                <w:highlight w:val="none"/>
              </w:rPr>
              <w:t>10</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Cs w:val="21"/>
              </w:rPr>
            </w:pPr>
            <w:r>
              <w:rPr>
                <w:rFonts w:hint="eastAsia" w:ascii="宋体" w:hAnsi="宋体" w:eastAsia="宋体" w:cs="宋体"/>
                <w:b/>
                <w:bCs/>
                <w:sz w:val="21"/>
                <w:szCs w:val="21"/>
              </w:rPr>
              <w:t>考</w:t>
            </w:r>
            <w:r>
              <w:rPr>
                <w:rFonts w:hint="eastAsia" w:ascii="宋体" w:hAnsi="宋体" w:eastAsia="宋体" w:cs="宋体"/>
                <w:b/>
                <w:bCs/>
                <w:szCs w:val="21"/>
              </w:rPr>
              <w:t>察内容：</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投标人拥有智能化物业管理软件，包括①智能化安保巡查、②物业设施设备智能化管控、③机械化保洁功能管理、④人员管理功能，每具有1项使用功能得25分，满分100分。</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投标人按要求提供自有或租赁或购买的有效证明材料作为得分依据。 </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若为</w:t>
            </w:r>
            <w:r>
              <w:rPr>
                <w:rFonts w:hint="eastAsia" w:ascii="宋体" w:hAnsi="宋体" w:eastAsia="宋体" w:cs="宋体"/>
                <w:b w:val="0"/>
                <w:bCs w:val="0"/>
                <w:sz w:val="21"/>
                <w:szCs w:val="21"/>
              </w:rPr>
              <w:t>自有的要求提供计算机软件著作权登记证书；</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若为</w:t>
            </w:r>
            <w:r>
              <w:rPr>
                <w:rFonts w:hint="eastAsia" w:ascii="宋体" w:hAnsi="宋体" w:eastAsia="宋体" w:cs="宋体"/>
                <w:b w:val="0"/>
                <w:bCs w:val="0"/>
                <w:sz w:val="21"/>
                <w:szCs w:val="21"/>
              </w:rPr>
              <w:t>租赁的要求需同时提供租赁合同和计算机软件著作权登记证书；</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若为</w:t>
            </w:r>
            <w:r>
              <w:rPr>
                <w:rFonts w:hint="eastAsia" w:ascii="宋体" w:hAnsi="宋体" w:eastAsia="宋体" w:cs="宋体"/>
                <w:b w:val="0"/>
                <w:bCs w:val="0"/>
                <w:sz w:val="21"/>
                <w:szCs w:val="21"/>
              </w:rPr>
              <w:t>购买的要求需同时提供购买（或转让）合同和计算机软件著作权登记证书。</w:t>
            </w:r>
          </w:p>
          <w:p>
            <w:pPr>
              <w:spacing w:line="24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以上资料均要求提供扫描件，原件备查。未按要求提供或提供不清晰导致专家无法判断不得分。</w:t>
            </w:r>
          </w:p>
        </w:tc>
      </w:tr>
      <w:bookmarkEnd w:id="3"/>
      <w:bookmarkEnd w:id="4"/>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restart"/>
            <w:tcBorders>
              <w:top w:val="single" w:color="000000" w:sz="8" w:space="0"/>
              <w:left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lang w:eastAsia="zh-CN"/>
              </w:rPr>
            </w:pPr>
            <w:r>
              <w:rPr>
                <w:rFonts w:hint="eastAsia" w:ascii="宋体" w:hAnsi="宋体" w:eastAsia="宋体" w:cs="宋体"/>
                <w:b/>
                <w:bCs/>
                <w:color w:val="0000FF"/>
                <w:sz w:val="21"/>
                <w:szCs w:val="21"/>
                <w:highlight w:val="none"/>
                <w:lang w:val="en-US" w:eastAsia="zh-CN"/>
              </w:rPr>
              <w:t>3</w:t>
            </w:r>
          </w:p>
        </w:tc>
        <w:tc>
          <w:tcPr>
            <w:tcW w:w="3885" w:type="dxa"/>
            <w:gridSpan w:val="5"/>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技术部分</w:t>
            </w:r>
          </w:p>
        </w:tc>
        <w:tc>
          <w:tcPr>
            <w:tcW w:w="4756" w:type="dxa"/>
            <w:gridSpan w:val="2"/>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宋体" w:hAnsi="宋体" w:eastAsia="宋体" w:cs="宋体"/>
                <w:b/>
                <w:bCs/>
                <w:color w:val="0000FF"/>
                <w:sz w:val="21"/>
                <w:szCs w:val="21"/>
                <w:highlight w:val="none"/>
                <w:lang w:val="en-US" w:eastAsia="zh-CN"/>
              </w:rPr>
            </w:pPr>
            <w:r>
              <w:rPr>
                <w:rFonts w:hint="eastAsia" w:ascii="宋体" w:hAnsi="宋体" w:eastAsia="宋体" w:cs="宋体"/>
                <w:b/>
                <w:bCs/>
                <w:color w:val="0000FF"/>
                <w:sz w:val="21"/>
                <w:szCs w:val="21"/>
                <w:highlight w:val="none"/>
                <w:lang w:val="en-US" w:eastAsia="zh-CN"/>
              </w:rPr>
              <w:t>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8641" w:type="dxa"/>
            <w:gridSpan w:val="7"/>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shd w:val="clear" w:color="auto" w:fill="E6EFFA"/>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700"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390" w:type="dxa"/>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评分因素</w:t>
            </w:r>
          </w:p>
        </w:tc>
        <w:tc>
          <w:tcPr>
            <w:tcW w:w="795"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权重</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w:t>
            </w:r>
          </w:p>
        </w:tc>
        <w:tc>
          <w:tcPr>
            <w:tcW w:w="4756"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bookmarkStart w:id="5" w:name="OLE_LINK6" w:colFirst="2" w:colLast="2"/>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rPr>
              <w:t>实施方案</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 w:val="21"/>
                <w:szCs w:val="21"/>
              </w:rPr>
              <w:t>7</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考察内容：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考察针对本项目的整体实施方案，要求提供成熟的学校物业管理模式方案：</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1.提供针对本项目的整体管理设想及规划。</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2.提供针对本项目的组织机构及人员管理措施。</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3.提供针对本项目各项服务需求制定各服务模块方案，至少包含安保服务方案和清洁服务方案、维修服务方案、四害消杀方案及大型活动保障方案。</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考察投标人以上服务方案，全部满足得80分，满足任意二点得40分，满足任意一点得20分，其他情况不得分。在此基础上：</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 xml:space="preserve">评审委员会根据招标文件的需求和投标文件的响应情况，进行评价及分档评分： </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评审为优（项目实施方案思路清晰明确，方案合理可行，满足服务要求，针对性强的），加20分；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评审为良（项目实施方案总体思路比较清晰，方案比较合理可行，可以满足服务要求的），加15分；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评价为中（项目实施方案思路基本清晰，方案基本合理可行，基本可以满足服务要求的），加10分；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评价为差（项目实施方案思路不清晰，方案不完整，不能满足服务需要的），不加分。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rPr>
              <w:t>项目重点难点分析、应对措施及相关的合理化建议</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 w:val="21"/>
                <w:szCs w:val="21"/>
              </w:rPr>
              <w:t>7</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考察内容：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1.根据本项目服务特点，提供保洁、设施设备维护、安保服务等的相关重点难点分析；</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2.针对保洁、设施设备维护、安保服务等的重难点分析提出应对措施；</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提供两点得80分，提供任意一点得40分，未满足不得分。在此基础上：</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 xml:space="preserve">评审委员会根据招标文件的需求和投标文件的响应情况，进行评价及分档评分： </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评审为优（针对本项目重点难点提出4条以上合理化建议），加20分；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评审为良（针对本项目重点难点提出3条以上合理化建议），加10分；</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rPr>
              <w:t>评价为差（针对本项目重点难点提出2条及以下建议或未提供建议），不加分。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rPr>
              <w:t>质量保障措施及方案</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 w:val="21"/>
                <w:szCs w:val="21"/>
              </w:rPr>
              <w:t>7</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考察内容：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1.规章制度；</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2.档案管理；</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提供两点得80分，提供任意一点得40分，未满足不得分。在此基础上：</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 xml:space="preserve">评审委员会根据招标文件的需求和投标文件的响应情况，进行评价及分档评分： </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评审为优（提供包括反恐、消防、电梯困人、突发停电、卫生间污水外溢、打架斗殴、偷盗、特殊天气8项应急方案，方案可行性较高，贴合校园实际需求）的加20分；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评价为良（提供包括反恐、消防、电梯困人、突发停电、卫生间污水外溢、打架斗殴、偷盗、特殊天气8项中任意7项应急方案，方案可行性一般，较为贴合校园实际需求）的加15分；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评价为中（提供包括反恐、消防、电梯困人、突发停电、卫生间污水外溢、打架斗殴、偷盗、特殊天气8项中任意6项应急方案，方案可行性较低，不太贴合校园实际需求）的加10分；</w:t>
            </w:r>
          </w:p>
          <w:p>
            <w:pPr>
              <w:spacing w:line="240" w:lineRule="auto"/>
              <w:jc w:val="left"/>
              <w:rPr>
                <w:rFonts w:hint="eastAsia" w:ascii="宋体" w:hAnsi="宋体" w:eastAsia="宋体" w:cs="宋体"/>
                <w:sz w:val="21"/>
                <w:szCs w:val="21"/>
                <w:highlight w:val="none"/>
              </w:rPr>
            </w:pPr>
            <w:r>
              <w:rPr>
                <w:rFonts w:hint="eastAsia" w:ascii="宋体" w:hAnsi="宋体" w:eastAsia="宋体" w:cs="宋体"/>
                <w:sz w:val="21"/>
                <w:szCs w:val="21"/>
              </w:rPr>
              <w:t>评价为差（提供包括反恐、消防、电梯困人、突发停电、卫生间污水外溢、打架斗殴、偷盗、特殊天气任意5项及以下应急方案的）不加分。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rPr>
              <w:t>项目完成（服务期满）后的服务承诺</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 w:val="21"/>
                <w:szCs w:val="21"/>
                <w:lang w:val="en-US" w:eastAsia="zh-CN"/>
              </w:rPr>
              <w:t>4</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考察内容：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 xml:space="preserve">投标人承诺以下全部三项的得100分，否则不得分。 </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（1）服务期满后主动离岗承诺；</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 xml:space="preserve">（2）与后续服务公司的交接承诺； </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（3）服务期满，后续服务公司未到位前仍按原合同服务承诺提供物业管理服务的承诺。</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提供承诺</w:t>
            </w:r>
            <w:r>
              <w:rPr>
                <w:rFonts w:hint="eastAsia" w:ascii="宋体" w:hAnsi="宋体" w:eastAsia="宋体" w:cs="宋体"/>
                <w:sz w:val="21"/>
                <w:szCs w:val="21"/>
                <w:lang w:eastAsia="zh-CN"/>
              </w:rPr>
              <w:t>函</w:t>
            </w:r>
            <w:r>
              <w:rPr>
                <w:rFonts w:hint="eastAsia" w:ascii="宋体" w:hAnsi="宋体" w:eastAsia="宋体" w:cs="宋体"/>
                <w:sz w:val="21"/>
                <w:szCs w:val="21"/>
              </w:rPr>
              <w:t>（格式自定，但应包含以上内容），按要求提供得100分。</w:t>
            </w:r>
          </w:p>
          <w:p>
            <w:pPr>
              <w:spacing w:line="240" w:lineRule="auto"/>
              <w:jc w:val="left"/>
              <w:rPr>
                <w:rFonts w:hint="eastAsia" w:ascii="宋体" w:hAnsi="宋体" w:eastAsia="宋体" w:cs="宋体"/>
                <w:sz w:val="21"/>
                <w:szCs w:val="21"/>
                <w:highlight w:val="none"/>
              </w:rPr>
            </w:pPr>
            <w:r>
              <w:rPr>
                <w:rFonts w:hint="eastAsia" w:ascii="宋体" w:hAnsi="宋体" w:eastAsia="宋体" w:cs="宋体"/>
                <w:sz w:val="21"/>
                <w:szCs w:val="21"/>
              </w:rPr>
              <w:t>【提供加盖投标人公章的承诺函，按要求提供得满分，未提供或提供信息不全均不得分</w:t>
            </w:r>
            <w:r>
              <w:rPr>
                <w:rFonts w:hint="eastAsia" w:ascii="宋体" w:hAnsi="宋体" w:eastAsia="宋体" w:cs="宋体"/>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rPr>
              <w:t>违约承诺</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 w:val="21"/>
                <w:szCs w:val="21"/>
                <w:lang w:val="en-US" w:eastAsia="zh-CN"/>
              </w:rPr>
              <w:t>4</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考察内容：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投标人书面承诺：需在合同签订之日起3个工作日内，按时开展该合同服务。如未能按时开展，将视为根本违约，采购方有权立即解除与其签订的采购合同，且投标人还需向采购方支付中</w:t>
            </w:r>
            <w:r>
              <w:rPr>
                <w:rFonts w:hint="eastAsia" w:ascii="宋体" w:hAnsi="宋体" w:eastAsia="宋体" w:cs="宋体"/>
                <w:sz w:val="21"/>
                <w:szCs w:val="21"/>
                <w:lang w:eastAsia="zh-CN"/>
              </w:rPr>
              <w:t>标</w:t>
            </w:r>
            <w:r>
              <w:rPr>
                <w:rFonts w:hint="eastAsia" w:ascii="宋体" w:hAnsi="宋体" w:eastAsia="宋体" w:cs="宋体"/>
                <w:sz w:val="21"/>
                <w:szCs w:val="21"/>
              </w:rPr>
              <w:t>价的1%的违约金并赔偿其他损失。</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提供承诺函（格式自定，但应包含以上内容），按要求提供得100分。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【须提供加盖投标人公章的承诺函，按要求提供得满分，未提供或提供信息不全均不得分</w:t>
            </w:r>
            <w:r>
              <w:rPr>
                <w:rFonts w:hint="eastAsia" w:ascii="宋体" w:hAnsi="宋体" w:eastAsia="宋体" w:cs="宋体"/>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rPr>
            </w:pPr>
            <w:r>
              <w:rPr>
                <w:rFonts w:hint="eastAsia" w:ascii="宋体" w:hAnsi="宋体" w:eastAsia="宋体" w:cs="宋体"/>
                <w:szCs w:val="21"/>
              </w:rPr>
              <w:t>项目拟使用的车辆（场地、工具、机器）情况</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lang w:eastAsia="zh-CN"/>
              </w:rPr>
            </w:pPr>
            <w:r>
              <w:rPr>
                <w:rFonts w:hint="eastAsia" w:ascii="宋体" w:hAnsi="宋体" w:eastAsia="宋体" w:cs="宋体"/>
                <w:szCs w:val="21"/>
                <w:lang w:val="en-US" w:eastAsia="zh-CN"/>
              </w:rPr>
              <w:t>3</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考察内容：</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1、每提供1辆洗地机或扫地机的得20分，满分80分。</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2、提供搬运设备（升降平台）的得20分，满分20分。</w:t>
            </w:r>
          </w:p>
          <w:p>
            <w:pPr>
              <w:spacing w:line="240" w:lineRule="auto"/>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以上最高得</w:t>
            </w:r>
            <w:r>
              <w:rPr>
                <w:rFonts w:hint="eastAsia" w:ascii="宋体" w:hAnsi="宋体" w:eastAsia="宋体" w:cs="宋体"/>
                <w:b w:val="0"/>
                <w:bCs w:val="0"/>
                <w:sz w:val="21"/>
                <w:szCs w:val="21"/>
                <w:lang w:val="en-US" w:eastAsia="zh-CN"/>
              </w:rPr>
              <w:t>100分。</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rPr>
              <w:t>提供以上设备外观图片</w:t>
            </w:r>
            <w:r>
              <w:rPr>
                <w:rFonts w:hint="eastAsia" w:ascii="宋体" w:hAnsi="宋体" w:eastAsia="宋体" w:cs="宋体"/>
                <w:b w:val="0"/>
                <w:bCs w:val="0"/>
                <w:sz w:val="21"/>
                <w:szCs w:val="21"/>
                <w:lang w:eastAsia="zh-CN"/>
              </w:rPr>
              <w:t>。</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如是自有设备提供发票等购买凭证材料扫描件；</w:t>
            </w:r>
          </w:p>
          <w:p>
            <w:pPr>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sz w:val="21"/>
                <w:szCs w:val="21"/>
              </w:rPr>
              <w:t>如是租赁设备提供租赁合同（租赁服务期需涵盖本项目服务期）以及租赁转账发票等相关证明材料扫描件，原件备查。</w:t>
            </w:r>
          </w:p>
          <w:p>
            <w:pPr>
              <w:spacing w:line="240" w:lineRule="auto"/>
              <w:jc w:val="left"/>
              <w:rPr>
                <w:rFonts w:hint="eastAsia" w:ascii="宋体" w:hAnsi="宋体" w:eastAsia="宋体" w:cs="宋体"/>
                <w:sz w:val="21"/>
                <w:szCs w:val="21"/>
              </w:rPr>
            </w:pPr>
            <w:r>
              <w:rPr>
                <w:rFonts w:hint="eastAsia" w:ascii="宋体" w:hAnsi="宋体" w:eastAsia="宋体" w:cs="宋体"/>
                <w:b w:val="0"/>
                <w:bCs w:val="0"/>
                <w:sz w:val="21"/>
                <w:szCs w:val="21"/>
              </w:rPr>
              <w:t>未提供或未按要求提供或提供的不清晰导致专家无法判断的，不得分。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7</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rPr>
              <w:t>拟安排项目负责人情况（仅限1人）</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b/>
                <w:bCs/>
                <w:color w:val="0000FF"/>
                <w:sz w:val="21"/>
                <w:szCs w:val="21"/>
                <w:highlight w:val="none"/>
                <w:lang w:val="en-US" w:eastAsia="zh-CN"/>
              </w:rPr>
            </w:pPr>
            <w:r>
              <w:rPr>
                <w:rFonts w:hint="eastAsia" w:ascii="宋体" w:hAnsi="宋体" w:eastAsia="宋体" w:cs="宋体"/>
                <w:sz w:val="21"/>
                <w:szCs w:val="21"/>
              </w:rPr>
              <w:t>10</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考察内容：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拟安排项目负责人需为投标单位员工</w:t>
            </w:r>
            <w:r>
              <w:rPr>
                <w:rFonts w:hint="eastAsia" w:ascii="宋体" w:hAnsi="宋体" w:eastAsia="宋体" w:cs="宋体"/>
                <w:sz w:val="21"/>
                <w:szCs w:val="21"/>
                <w:lang w:eastAsia="zh-CN"/>
              </w:rPr>
              <w:t>（以社保证明为准）</w:t>
            </w:r>
            <w:r>
              <w:rPr>
                <w:rFonts w:hint="eastAsia" w:ascii="宋体" w:hAnsi="宋体" w:eastAsia="宋体" w:cs="宋体"/>
                <w:sz w:val="21"/>
                <w:szCs w:val="21"/>
              </w:rPr>
              <w:t>，具有</w:t>
            </w:r>
            <w:r>
              <w:rPr>
                <w:rFonts w:hint="eastAsia" w:ascii="宋体" w:hAnsi="宋体" w:eastAsia="宋体" w:cs="宋体"/>
                <w:sz w:val="21"/>
                <w:szCs w:val="21"/>
                <w:lang w:eastAsia="zh-CN"/>
              </w:rPr>
              <w:t>：</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1、本科</w:t>
            </w:r>
            <w:r>
              <w:rPr>
                <w:rFonts w:hint="eastAsia" w:ascii="宋体" w:hAnsi="宋体" w:eastAsia="宋体" w:cs="宋体"/>
                <w:sz w:val="21"/>
                <w:szCs w:val="21"/>
                <w:lang w:eastAsia="zh-CN"/>
              </w:rPr>
              <w:t>或以上</w:t>
            </w:r>
            <w:r>
              <w:rPr>
                <w:rFonts w:hint="eastAsia" w:ascii="宋体" w:hAnsi="宋体" w:eastAsia="宋体" w:cs="宋体"/>
                <w:sz w:val="21"/>
                <w:szCs w:val="21"/>
              </w:rPr>
              <w:t>学历得20分；</w:t>
            </w:r>
          </w:p>
          <w:p>
            <w:pPr>
              <w:pStyle w:val="10"/>
              <w:rPr>
                <w:rFonts w:hint="eastAsia" w:ascii="宋体" w:hAnsi="宋体" w:eastAsia="宋体" w:cs="宋体"/>
                <w:sz w:val="21"/>
                <w:szCs w:val="21"/>
              </w:rPr>
            </w:pPr>
            <w:r>
              <w:rPr>
                <w:rFonts w:hint="eastAsia" w:ascii="宋体" w:hAnsi="宋体" w:eastAsia="宋体" w:cs="宋体"/>
                <w:sz w:val="21"/>
                <w:szCs w:val="21"/>
              </w:rPr>
              <w:t>2、</w:t>
            </w:r>
            <w:bookmarkStart w:id="6" w:name="OLE_LINK1"/>
            <w:r>
              <w:rPr>
                <w:rFonts w:hint="eastAsia"/>
                <w:lang w:val="en-US" w:eastAsia="zh-CN"/>
              </w:rPr>
              <w:t>人社部门或经人社部门备案的职称委员会颁发的</w:t>
            </w:r>
            <w:bookmarkEnd w:id="6"/>
            <w:r>
              <w:rPr>
                <w:rFonts w:hint="eastAsia" w:ascii="宋体" w:hAnsi="宋体" w:eastAsia="宋体" w:cs="宋体"/>
                <w:sz w:val="21"/>
                <w:szCs w:val="21"/>
                <w:lang w:val="en-US" w:eastAsia="zh-CN"/>
              </w:rPr>
              <w:t>工程类（给水排水专业）</w:t>
            </w:r>
            <w:r>
              <w:rPr>
                <w:rFonts w:hint="eastAsia" w:ascii="宋体" w:hAnsi="宋体" w:eastAsia="宋体" w:cs="宋体"/>
                <w:sz w:val="21"/>
                <w:szCs w:val="21"/>
              </w:rPr>
              <w:t>职称证书</w:t>
            </w:r>
            <w:r>
              <w:rPr>
                <w:rFonts w:hint="eastAsia" w:ascii="宋体" w:hAnsi="宋体" w:eastAsia="宋体" w:cs="宋体"/>
                <w:sz w:val="21"/>
                <w:szCs w:val="21"/>
                <w:lang w:eastAsia="zh-CN"/>
              </w:rPr>
              <w:t>：</w:t>
            </w:r>
            <w:r>
              <w:rPr>
                <w:rFonts w:hint="eastAsia" w:ascii="宋体" w:hAnsi="宋体" w:eastAsia="宋体" w:cs="宋体"/>
                <w:sz w:val="21"/>
                <w:szCs w:val="21"/>
              </w:rPr>
              <w:t>中级得40分</w:t>
            </w:r>
            <w:r>
              <w:rPr>
                <w:rFonts w:hint="eastAsia" w:ascii="宋体" w:hAnsi="宋体" w:eastAsia="宋体" w:cs="宋体"/>
                <w:sz w:val="21"/>
                <w:szCs w:val="21"/>
                <w:lang w:eastAsia="zh-CN"/>
              </w:rPr>
              <w:t>；</w:t>
            </w:r>
            <w:r>
              <w:rPr>
                <w:rFonts w:hint="eastAsia" w:ascii="宋体" w:hAnsi="宋体" w:eastAsia="宋体" w:cs="宋体"/>
                <w:sz w:val="21"/>
                <w:szCs w:val="21"/>
              </w:rPr>
              <w:t>副高级或以上得80分；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以上2项累计得分，满分为100分。</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提供学历证书扫描件以及学历信息在学信网查询结果截图（https://www.chsi.com.cn/xlcx/index.jsp），由于日期较早无法查询的，需提供毕业院校或者人社部门出具的证明，国外学历证书提供教育部留学服务中心出具的国外学历认证书以及教育部留学服务中心官网查询截图（查询网址：http://zwfw.cscse.edu.cn/）；</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2、提供证书扫描件，提供的职称证书还需要提供人社部门相关网站查询截图（http://www.12333.gov.cn/或https://zs.cpta.com.cn/），如职称证书无法提供查询截图，则需提供人社部门或发证部门出具的其他证明文件。</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3、提供开标日前由投标人为拟投入本项目的负责人缴交的载有政府部门公章（或专用章）的2025年7月的社保缴交证明材料（补缴不算），如开标日上一个月的社保材料因政府部门原因暂时无法取得，则可以往前顺延一个月；社保资料至少显示缴交养老保险信息，未显示该信息的该社保资料则不符合要求。如供应商为新成立企业且成立时间不足1个月的，可提供加盖公章的情况说明或其他相关证明材料；</w:t>
            </w:r>
          </w:p>
          <w:p>
            <w:pPr>
              <w:spacing w:line="240" w:lineRule="auto"/>
              <w:jc w:val="left"/>
              <w:rPr>
                <w:rFonts w:hint="eastAsia" w:ascii="宋体" w:hAnsi="宋体" w:eastAsia="宋体" w:cs="宋体"/>
                <w:sz w:val="21"/>
                <w:szCs w:val="21"/>
                <w:lang w:eastAsia="zh-CN"/>
              </w:rPr>
            </w:pPr>
            <w:r>
              <w:rPr>
                <w:rFonts w:hint="eastAsia" w:ascii="宋体" w:hAnsi="宋体" w:eastAsia="宋体" w:cs="宋体"/>
                <w:sz w:val="21"/>
                <w:szCs w:val="21"/>
              </w:rPr>
              <w:t>以上证明文件未提供或未按要求提供或提供的不清晰导致专家无法判断的，不得分。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left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2409"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eastAsia" w:ascii="宋体" w:hAnsi="宋体" w:eastAsia="宋体" w:cs="宋体"/>
                <w:sz w:val="21"/>
                <w:szCs w:val="21"/>
                <w:highlight w:val="none"/>
              </w:rPr>
            </w:pPr>
            <w:r>
              <w:rPr>
                <w:rFonts w:hint="eastAsia" w:ascii="宋体" w:hAnsi="宋体" w:eastAsia="宋体" w:cs="宋体"/>
                <w:sz w:val="21"/>
                <w:szCs w:val="21"/>
              </w:rPr>
              <w:t>拟安排的项目团队成员（项目负责人除外）情况</w:t>
            </w:r>
          </w:p>
        </w:tc>
        <w:tc>
          <w:tcPr>
            <w:tcW w:w="795"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center"/>
              <w:rPr>
                <w:rFonts w:hint="default" w:ascii="宋体" w:hAnsi="宋体" w:eastAsia="宋体" w:cs="宋体"/>
                <w:b/>
                <w:bCs/>
                <w:color w:val="0000FF"/>
                <w:sz w:val="21"/>
                <w:szCs w:val="21"/>
                <w:highlight w:val="none"/>
                <w:lang w:val="en-US" w:eastAsia="zh-CN"/>
              </w:rPr>
            </w:pPr>
            <w:r>
              <w:rPr>
                <w:rFonts w:hint="eastAsia" w:ascii="宋体" w:hAnsi="宋体" w:eastAsia="宋体" w:cs="宋体"/>
                <w:sz w:val="21"/>
                <w:szCs w:val="21"/>
                <w:lang w:val="en-US" w:eastAsia="zh-CN"/>
              </w:rPr>
              <w:t>15</w:t>
            </w:r>
          </w:p>
        </w:tc>
        <w:tc>
          <w:tcPr>
            <w:tcW w:w="4756" w:type="dxa"/>
            <w:gridSpan w:val="2"/>
            <w:tcBorders>
              <w:top w:val="single" w:color="000000" w:sz="8" w:space="0"/>
              <w:left w:val="single" w:color="000000" w:sz="8" w:space="0"/>
              <w:bottom w:val="single" w:color="000000" w:sz="8" w:space="0"/>
              <w:right w:val="single" w:color="000000" w:sz="8" w:space="0"/>
            </w:tcBorders>
            <w:vAlign w:val="top"/>
          </w:tcPr>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考察内容：</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拟安排的项目团队成员需为投标单位员工</w:t>
            </w:r>
            <w:r>
              <w:rPr>
                <w:rFonts w:hint="eastAsia" w:ascii="宋体" w:hAnsi="宋体" w:eastAsia="宋体" w:cs="宋体"/>
                <w:sz w:val="21"/>
                <w:szCs w:val="21"/>
                <w:lang w:eastAsia="zh-CN"/>
              </w:rPr>
              <w:t>（以社保证明为准）</w:t>
            </w:r>
            <w:r>
              <w:rPr>
                <w:rFonts w:hint="eastAsia" w:ascii="宋体" w:hAnsi="宋体" w:eastAsia="宋体" w:cs="宋体"/>
                <w:sz w:val="21"/>
                <w:szCs w:val="21"/>
              </w:rPr>
              <w:t>；</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1、其中1人具有本科</w:t>
            </w:r>
            <w:r>
              <w:rPr>
                <w:rFonts w:hint="eastAsia" w:ascii="宋体" w:hAnsi="宋体" w:eastAsia="宋体" w:cs="宋体"/>
                <w:sz w:val="21"/>
                <w:szCs w:val="21"/>
                <w:lang w:eastAsia="zh-CN"/>
              </w:rPr>
              <w:t>或以上</w:t>
            </w:r>
            <w:r>
              <w:rPr>
                <w:rFonts w:hint="eastAsia" w:ascii="宋体" w:hAnsi="宋体" w:eastAsia="宋体" w:cs="宋体"/>
                <w:sz w:val="21"/>
                <w:szCs w:val="21"/>
                <w:lang w:val="en-US" w:eastAsia="zh-CN"/>
              </w:rPr>
              <w:t>学历和</w:t>
            </w:r>
            <w:r>
              <w:rPr>
                <w:rFonts w:hint="eastAsia"/>
                <w:lang w:val="en-US" w:eastAsia="zh-CN"/>
              </w:rPr>
              <w:t>人社部门或经人社部门备案的职称委员会颁发的</w:t>
            </w:r>
            <w:r>
              <w:rPr>
                <w:rFonts w:hint="eastAsia" w:ascii="宋体" w:hAnsi="宋体" w:eastAsia="宋体" w:cs="宋体"/>
                <w:sz w:val="21"/>
                <w:szCs w:val="21"/>
                <w:lang w:val="en-US" w:eastAsia="zh-CN"/>
              </w:rPr>
              <w:t>管理类中级</w:t>
            </w:r>
            <w:r>
              <w:rPr>
                <w:rFonts w:hint="eastAsia" w:ascii="宋体" w:hAnsi="宋体" w:eastAsia="宋体" w:cs="宋体"/>
                <w:sz w:val="21"/>
                <w:szCs w:val="21"/>
                <w:lang w:eastAsia="zh-CN"/>
              </w:rPr>
              <w:t>或以上</w:t>
            </w:r>
            <w:r>
              <w:rPr>
                <w:rFonts w:hint="eastAsia" w:ascii="宋体" w:hAnsi="宋体" w:eastAsia="宋体" w:cs="宋体"/>
                <w:sz w:val="21"/>
                <w:szCs w:val="21"/>
                <w:lang w:val="en-US" w:eastAsia="zh-CN"/>
              </w:rPr>
              <w:t>职称证书得20分；</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2、其中1人具有本科</w:t>
            </w:r>
            <w:r>
              <w:rPr>
                <w:rFonts w:hint="eastAsia" w:ascii="宋体" w:hAnsi="宋体" w:eastAsia="宋体" w:cs="宋体"/>
                <w:sz w:val="21"/>
                <w:szCs w:val="21"/>
                <w:lang w:eastAsia="zh-CN"/>
              </w:rPr>
              <w:t>或以上</w:t>
            </w:r>
            <w:r>
              <w:rPr>
                <w:rFonts w:hint="eastAsia" w:ascii="宋体" w:hAnsi="宋体" w:eastAsia="宋体" w:cs="宋体"/>
                <w:sz w:val="21"/>
                <w:szCs w:val="21"/>
                <w:lang w:val="en-US" w:eastAsia="zh-CN"/>
              </w:rPr>
              <w:t>学历和</w:t>
            </w:r>
            <w:r>
              <w:rPr>
                <w:rFonts w:hint="eastAsia"/>
                <w:lang w:val="en-US" w:eastAsia="zh-CN"/>
              </w:rPr>
              <w:t>人社部门或经人社部门备案的职称委员会颁发的</w:t>
            </w:r>
            <w:r>
              <w:rPr>
                <w:rFonts w:hint="eastAsia" w:ascii="宋体" w:hAnsi="宋体" w:eastAsia="宋体" w:cs="宋体"/>
                <w:sz w:val="21"/>
                <w:szCs w:val="21"/>
                <w:lang w:val="en-US" w:eastAsia="zh-CN"/>
              </w:rPr>
              <w:t>中级</w:t>
            </w:r>
            <w:r>
              <w:rPr>
                <w:rFonts w:hint="eastAsia" w:ascii="宋体" w:hAnsi="宋体" w:eastAsia="宋体" w:cs="宋体"/>
                <w:sz w:val="21"/>
                <w:szCs w:val="21"/>
                <w:lang w:eastAsia="zh-CN"/>
              </w:rPr>
              <w:t>或以上</w:t>
            </w:r>
            <w:r>
              <w:rPr>
                <w:rFonts w:hint="eastAsia" w:ascii="宋体" w:hAnsi="宋体" w:eastAsia="宋体" w:cs="宋体"/>
                <w:sz w:val="21"/>
                <w:szCs w:val="21"/>
                <w:lang w:val="en-US" w:eastAsia="zh-CN"/>
              </w:rPr>
              <w:t>工程师职称证书（专业：电力系统及其自动化），得20分；</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3、其中1人具有本科</w:t>
            </w:r>
            <w:r>
              <w:rPr>
                <w:rFonts w:hint="eastAsia" w:ascii="宋体" w:hAnsi="宋体" w:eastAsia="宋体" w:cs="宋体"/>
                <w:sz w:val="21"/>
                <w:szCs w:val="21"/>
                <w:lang w:eastAsia="zh-CN"/>
              </w:rPr>
              <w:t>或以上</w:t>
            </w:r>
            <w:r>
              <w:rPr>
                <w:rFonts w:hint="eastAsia" w:ascii="宋体" w:hAnsi="宋体" w:eastAsia="宋体" w:cs="宋体"/>
                <w:sz w:val="21"/>
                <w:szCs w:val="21"/>
                <w:lang w:val="en-US" w:eastAsia="zh-CN"/>
              </w:rPr>
              <w:t>学历和</w:t>
            </w:r>
            <w:r>
              <w:rPr>
                <w:rFonts w:hint="eastAsia"/>
                <w:lang w:val="en-US" w:eastAsia="zh-CN"/>
              </w:rPr>
              <w:t>人社部门或经人社部门备案的职称委员会颁发的</w:t>
            </w:r>
            <w:r>
              <w:rPr>
                <w:rFonts w:hint="eastAsia" w:ascii="宋体" w:hAnsi="宋体" w:eastAsia="宋体" w:cs="宋体"/>
                <w:sz w:val="21"/>
                <w:szCs w:val="21"/>
                <w:lang w:val="en-US" w:eastAsia="zh-CN"/>
              </w:rPr>
              <w:t>园林绿化类中级</w:t>
            </w:r>
            <w:r>
              <w:rPr>
                <w:rFonts w:hint="eastAsia" w:ascii="宋体" w:hAnsi="宋体" w:eastAsia="宋体" w:cs="宋体"/>
                <w:sz w:val="21"/>
                <w:szCs w:val="21"/>
                <w:lang w:eastAsia="zh-CN"/>
              </w:rPr>
              <w:t>或以上</w:t>
            </w:r>
            <w:r>
              <w:rPr>
                <w:rFonts w:hint="eastAsia" w:ascii="宋体" w:hAnsi="宋体" w:eastAsia="宋体" w:cs="宋体"/>
                <w:sz w:val="21"/>
                <w:szCs w:val="21"/>
                <w:lang w:val="en-US" w:eastAsia="zh-CN"/>
              </w:rPr>
              <w:t>工程师职称证书得20分；</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4、其中1人具有本科</w:t>
            </w:r>
            <w:r>
              <w:rPr>
                <w:rFonts w:hint="eastAsia" w:ascii="宋体" w:hAnsi="宋体" w:eastAsia="宋体" w:cs="宋体"/>
                <w:sz w:val="21"/>
                <w:szCs w:val="21"/>
                <w:lang w:eastAsia="zh-CN"/>
              </w:rPr>
              <w:t>或以上</w:t>
            </w:r>
            <w:r>
              <w:rPr>
                <w:rFonts w:hint="eastAsia" w:ascii="宋体" w:hAnsi="宋体" w:eastAsia="宋体" w:cs="宋体"/>
                <w:sz w:val="21"/>
                <w:szCs w:val="21"/>
                <w:lang w:val="en-US" w:eastAsia="zh-CN"/>
              </w:rPr>
              <w:t>学历和人社部门或人社部门备案的第三方评价机构颁发的三级</w:t>
            </w:r>
            <w:r>
              <w:rPr>
                <w:rFonts w:hint="eastAsia" w:ascii="宋体" w:hAnsi="宋体" w:eastAsia="宋体" w:cs="宋体"/>
                <w:sz w:val="21"/>
                <w:szCs w:val="21"/>
                <w:lang w:eastAsia="zh-CN"/>
              </w:rPr>
              <w:t>或以上</w:t>
            </w:r>
            <w:r>
              <w:rPr>
                <w:rFonts w:hint="eastAsia" w:ascii="宋体" w:hAnsi="宋体" w:eastAsia="宋体" w:cs="宋体"/>
                <w:sz w:val="21"/>
                <w:szCs w:val="21"/>
                <w:lang w:val="en-US" w:eastAsia="zh-CN"/>
              </w:rPr>
              <w:t>物业管理师职业资格（或职业技能等级）证书得20分；</w:t>
            </w:r>
          </w:p>
          <w:p>
            <w:pPr>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5、其中1人具有行政机关或事业单位或行业协会颁发的高级清洁管理师证书和公共环境消毒杀菌员高级职业培训证书的得20分。</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以上1-5项中同一人不重复计分。</w:t>
            </w:r>
          </w:p>
          <w:p>
            <w:pPr>
              <w:spacing w:line="240" w:lineRule="auto"/>
              <w:jc w:val="left"/>
              <w:rPr>
                <w:rFonts w:hint="eastAsia" w:ascii="宋体" w:hAnsi="宋体" w:eastAsia="宋体" w:cs="宋体"/>
                <w:b/>
                <w:bCs/>
                <w:sz w:val="21"/>
                <w:szCs w:val="21"/>
              </w:rPr>
            </w:pPr>
            <w:r>
              <w:rPr>
                <w:rFonts w:hint="eastAsia" w:ascii="宋体" w:hAnsi="宋体" w:eastAsia="宋体" w:cs="宋体"/>
                <w:b/>
                <w:bCs/>
                <w:sz w:val="21"/>
                <w:szCs w:val="21"/>
              </w:rPr>
              <w:t>评审依据：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1、以上要求学历的：提供学历证书扫描件以及学历信息在学信网查询结果截图（https://www.chsi.com.cn/xlcx/index.jsp，由于日期较早无法查询的，需提供毕业院校或者人社部门出具的证明，国外学历证书提供教育部留学服务中心出具的国外学历认证书以及教育部留学服务中心官网查询截图（查询网址：http://zwfw.cscse.edu.cn/）；</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2、提供的相关证书扫描件。</w:t>
            </w:r>
          </w:p>
          <w:p>
            <w:pPr>
              <w:spacing w:line="240" w:lineRule="auto"/>
              <w:jc w:val="left"/>
              <w:rPr>
                <w:rFonts w:hint="eastAsia" w:ascii="宋体" w:hAnsi="宋体" w:eastAsia="宋体" w:cs="宋体"/>
                <w:sz w:val="21"/>
                <w:szCs w:val="21"/>
              </w:rPr>
            </w:pPr>
            <w:r>
              <w:rPr>
                <w:rFonts w:hint="eastAsia" w:ascii="宋体" w:hAnsi="宋体" w:eastAsia="宋体" w:cs="宋体"/>
                <w:b/>
                <w:bCs/>
                <w:sz w:val="21"/>
                <w:szCs w:val="21"/>
                <w:lang w:eastAsia="zh-CN"/>
              </w:rPr>
              <w:t>其中</w:t>
            </w:r>
            <w:r>
              <w:rPr>
                <w:rFonts w:hint="eastAsia" w:ascii="宋体" w:hAnsi="宋体" w:eastAsia="宋体" w:cs="宋体"/>
                <w:sz w:val="21"/>
                <w:szCs w:val="21"/>
              </w:rPr>
              <w:t>提供的职称证书还需要提供人社部门相关网站查询截图（</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"http://www.12333.gov.cn/或https:/zs.cpta.com.cn/），如职称证书无法提供查询截图，则需提供人社部门或发证部门出具的其他证明文件。" </w:instrText>
            </w:r>
            <w:r>
              <w:rPr>
                <w:rFonts w:hint="eastAsia" w:ascii="宋体" w:hAnsi="宋体" w:eastAsia="宋体" w:cs="宋体"/>
                <w:sz w:val="21"/>
                <w:szCs w:val="21"/>
              </w:rPr>
              <w:fldChar w:fldCharType="separate"/>
            </w:r>
            <w:r>
              <w:rPr>
                <w:rStyle w:val="29"/>
                <w:rFonts w:hint="eastAsia" w:ascii="宋体" w:hAnsi="宋体" w:eastAsia="宋体" w:cs="宋体"/>
                <w:sz w:val="21"/>
                <w:szCs w:val="21"/>
              </w:rPr>
              <w:t>http://www.12333.gov.cn/</w:t>
            </w:r>
            <w:r>
              <w:rPr>
                <w:rFonts w:hint="eastAsia" w:ascii="宋体" w:hAnsi="宋体" w:eastAsia="宋体" w:cs="宋体"/>
                <w:sz w:val="21"/>
                <w:szCs w:val="21"/>
              </w:rPr>
              <w:t>或</w:t>
            </w:r>
            <w:r>
              <w:rPr>
                <w:rStyle w:val="29"/>
                <w:rFonts w:hint="eastAsia" w:ascii="宋体" w:hAnsi="宋体" w:eastAsia="宋体" w:cs="宋体"/>
                <w:sz w:val="21"/>
                <w:szCs w:val="21"/>
              </w:rPr>
              <w:t>https://zs.cpta.com.cn/）</w:t>
            </w:r>
            <w:r>
              <w:rPr>
                <w:rFonts w:hint="eastAsia" w:ascii="宋体" w:hAnsi="宋体" w:eastAsia="宋体" w:cs="宋体"/>
                <w:sz w:val="21"/>
                <w:szCs w:val="21"/>
              </w:rPr>
              <w:t>，如职称证书无法提供查询截图，则需提供人社部门或发证部门出具的其他证明文件。</w:t>
            </w:r>
            <w:r>
              <w:rPr>
                <w:rFonts w:hint="eastAsia" w:ascii="宋体" w:hAnsi="宋体" w:eastAsia="宋体" w:cs="宋体"/>
                <w:sz w:val="21"/>
                <w:szCs w:val="21"/>
              </w:rPr>
              <w:fldChar w:fldCharType="end"/>
            </w:r>
          </w:p>
          <w:p>
            <w:pPr>
              <w:spacing w:line="240" w:lineRule="auto"/>
              <w:jc w:val="left"/>
              <w:rPr>
                <w:rFonts w:hint="eastAsia" w:ascii="宋体" w:hAnsi="宋体" w:eastAsia="宋体" w:cs="宋体"/>
                <w:sz w:val="21"/>
                <w:szCs w:val="21"/>
              </w:rPr>
            </w:pPr>
            <w:r>
              <w:rPr>
                <w:rFonts w:hint="eastAsia" w:ascii="宋体" w:hAnsi="宋体" w:eastAsia="宋体" w:cs="宋体"/>
                <w:b/>
                <w:bCs/>
                <w:sz w:val="21"/>
                <w:szCs w:val="21"/>
                <w:lang w:eastAsia="zh-CN"/>
              </w:rPr>
              <w:t>其中</w:t>
            </w:r>
            <w:r>
              <w:rPr>
                <w:rFonts w:hint="eastAsia" w:ascii="宋体" w:hAnsi="宋体" w:eastAsia="宋体" w:cs="宋体"/>
                <w:sz w:val="21"/>
                <w:szCs w:val="21"/>
              </w:rPr>
              <w:t>若证书由协会颁发的还需提供该协会在“中国社会组织政务服务平台”（https://chinanpo.mca.gov.cn/）的已合法登记且状态正常截图，或该协会</w:t>
            </w:r>
            <w:r>
              <w:rPr>
                <w:rFonts w:hint="eastAsia" w:ascii="宋体" w:hAnsi="宋体" w:eastAsia="宋体" w:cs="宋体"/>
                <w:sz w:val="21"/>
                <w:szCs w:val="21"/>
                <w:lang w:eastAsia="zh-CN"/>
              </w:rPr>
              <w:t>（</w:t>
            </w:r>
            <w:r>
              <w:rPr>
                <w:rFonts w:hint="eastAsia" w:ascii="宋体" w:hAnsi="宋体" w:eastAsia="宋体" w:cs="宋体"/>
                <w:sz w:val="21"/>
                <w:szCs w:val="21"/>
              </w:rPr>
              <w:t>机构）由政府部门或行政事业单位审批的证明文件扫描件，否则不予认可，视为无效证书；</w:t>
            </w:r>
          </w:p>
          <w:p>
            <w:pPr>
              <w:pStyle w:val="2"/>
              <w:rPr>
                <w:rFonts w:hint="eastAsia" w:eastAsiaTheme="minorEastAsia"/>
                <w:lang w:eastAsia="zh-CN"/>
              </w:rPr>
            </w:pPr>
            <w:r>
              <w:rPr>
                <w:rFonts w:hint="eastAsia" w:ascii="宋体" w:hAnsi="宋体" w:eastAsia="宋体" w:cs="宋体"/>
                <w:b/>
                <w:bCs/>
                <w:kern w:val="2"/>
                <w:sz w:val="21"/>
                <w:szCs w:val="21"/>
                <w:lang w:val="en-US" w:eastAsia="zh-CN" w:bidi="ar-SA"/>
              </w:rPr>
              <w:t>其中提供的</w:t>
            </w:r>
            <w:r>
              <w:rPr>
                <w:rFonts w:hint="eastAsia" w:ascii="宋体" w:hAnsi="宋体" w:eastAsia="宋体" w:cs="宋体"/>
                <w:sz w:val="21"/>
                <w:szCs w:val="21"/>
                <w:lang w:val="en-US" w:eastAsia="zh-CN"/>
              </w:rPr>
              <w:t>职业资格（或职业技能等级）证书,</w:t>
            </w:r>
            <w:r>
              <w:rPr>
                <w:rFonts w:hint="eastAsia" w:ascii="宋体" w:hAnsi="宋体" w:eastAsia="宋体" w:cs="宋体"/>
                <w:b w:val="0"/>
                <w:bCs w:val="0"/>
                <w:kern w:val="2"/>
                <w:sz w:val="21"/>
                <w:szCs w:val="21"/>
                <w:lang w:val="en-US" w:eastAsia="zh-CN" w:bidi="ar-SA"/>
              </w:rPr>
              <w:t>若证书由人社部备案的第三方机构颁发的，还需提供该第三方机构在职业技能等级评价机构公示查询系统（http://pjjg.osta.org.cn/index.html）的查询截图等证明材料作为得分依据。</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3、提供开标日前由投标人为拟投入本项目的所有人缴交的载有政府部门公章（或专用章）的2025年7月的社保缴交证明材料（补缴不算），如开标日上一个月的社保材料因政府部门原因暂时无法取得，则可以往前顺延一个月；社保资料至少显示缴交养老保险信息，未显示该信息的该社保资料则不符合要求，原件备查。如供应商为新成立企业且成立时间不足1个月的，可提供加盖公章的情况说明或其他相关证明材料；</w:t>
            </w:r>
          </w:p>
          <w:p>
            <w:pPr>
              <w:spacing w:line="240" w:lineRule="auto"/>
              <w:jc w:val="left"/>
              <w:rPr>
                <w:rFonts w:hint="eastAsia" w:ascii="宋体" w:hAnsi="宋体" w:eastAsia="宋体" w:cs="宋体"/>
                <w:sz w:val="21"/>
                <w:szCs w:val="21"/>
              </w:rPr>
            </w:pPr>
            <w:r>
              <w:rPr>
                <w:rFonts w:hint="eastAsia" w:ascii="宋体" w:hAnsi="宋体" w:eastAsia="宋体" w:cs="宋体"/>
                <w:sz w:val="21"/>
                <w:szCs w:val="21"/>
              </w:rPr>
              <w:t>以上证明文件原件备查；未提供或未按要求提供或提供的不清晰导致专家无法判断的，不得分。</w:t>
            </w:r>
          </w:p>
        </w:tc>
      </w:tr>
      <w:bookmarkEnd w:id="5"/>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restart"/>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4</w:t>
            </w:r>
          </w:p>
        </w:tc>
        <w:tc>
          <w:tcPr>
            <w:tcW w:w="3885" w:type="dxa"/>
            <w:gridSpan w:val="5"/>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诚信情况</w:t>
            </w:r>
          </w:p>
        </w:tc>
        <w:tc>
          <w:tcPr>
            <w:tcW w:w="4756" w:type="dxa"/>
            <w:gridSpan w:val="2"/>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8641" w:type="dxa"/>
            <w:gridSpan w:val="7"/>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2708" w:type="dxa"/>
            <w:gridSpan w:val="3"/>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评分因素</w:t>
            </w:r>
          </w:p>
        </w:tc>
        <w:tc>
          <w:tcPr>
            <w:tcW w:w="683" w:type="dxa"/>
            <w:gridSpan w:val="2"/>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权重</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w:t>
            </w:r>
          </w:p>
        </w:tc>
        <w:tc>
          <w:tcPr>
            <w:tcW w:w="4569" w:type="dxa"/>
            <w:tcBorders>
              <w:top w:val="outset" w:color="000000" w:sz="6" w:space="0"/>
              <w:left w:val="outset" w:color="000000" w:sz="6" w:space="0"/>
              <w:bottom w:val="outset" w:color="000000" w:sz="6" w:space="0"/>
              <w:right w:val="outset" w:color="000000" w:sz="6" w:space="0"/>
            </w:tcBorders>
            <w:shd w:val="clear" w:color="auto" w:fill="E6EFFA"/>
            <w:vAlign w:val="center"/>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681" w:type="dxa"/>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2708" w:type="dxa"/>
            <w:gridSpan w:val="3"/>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诚信情况</w:t>
            </w:r>
          </w:p>
        </w:tc>
        <w:tc>
          <w:tcPr>
            <w:tcW w:w="683" w:type="dxa"/>
            <w:gridSpan w:val="2"/>
            <w:tcBorders>
              <w:top w:val="single" w:color="000000" w:sz="8" w:space="0"/>
              <w:left w:val="single" w:color="000000" w:sz="8" w:space="0"/>
              <w:bottom w:val="single" w:color="000000" w:sz="8" w:space="0"/>
              <w:right w:val="single" w:color="000000" w:sz="8" w:space="0"/>
            </w:tcBorders>
            <w:vAlign w:val="top"/>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sz w:val="21"/>
                <w:szCs w:val="21"/>
                <w:highlight w:val="none"/>
              </w:rPr>
            </w:pPr>
            <w:bookmarkStart w:id="7" w:name="OLE_LINK2"/>
            <w:r>
              <w:rPr>
                <w:rFonts w:hint="eastAsia" w:ascii="宋体" w:hAnsi="宋体" w:eastAsia="宋体" w:cs="宋体"/>
                <w:sz w:val="21"/>
                <w:szCs w:val="21"/>
                <w:highlight w:val="none"/>
              </w:rPr>
              <w:t>5</w:t>
            </w:r>
            <w:bookmarkEnd w:id="7"/>
          </w:p>
        </w:tc>
        <w:tc>
          <w:tcPr>
            <w:tcW w:w="4569" w:type="dxa"/>
            <w:tcBorders>
              <w:top w:val="single" w:color="000000" w:sz="8" w:space="0"/>
              <w:left w:val="single" w:color="000000" w:sz="8" w:space="0"/>
              <w:bottom w:val="single" w:color="000000" w:sz="8" w:space="0"/>
              <w:right w:val="single" w:color="000000" w:sz="8" w:space="0"/>
            </w:tcBorders>
          </w:tcPr>
          <w:p>
            <w:pPr>
              <w:pStyle w:val="2"/>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宋体" w:hAnsi="宋体" w:eastAsia="宋体" w:cs="宋体"/>
                <w:b w:val="0"/>
                <w:bCs w:val="0"/>
                <w:sz w:val="21"/>
                <w:szCs w:val="21"/>
                <w:highlight w:val="none"/>
                <w:lang w:val="en-US" w:eastAsia="zh-CN"/>
              </w:rPr>
              <w:t>有关</w:t>
            </w:r>
            <w:r>
              <w:rPr>
                <w:rFonts w:hint="eastAsia" w:ascii="宋体" w:hAnsi="宋体" w:eastAsia="宋体" w:cs="宋体"/>
                <w:b w:val="0"/>
                <w:bCs w:val="0"/>
                <w:sz w:val="21"/>
                <w:szCs w:val="21"/>
                <w:highlight w:val="none"/>
              </w:rPr>
              <w:t>供应商诚信查询结果。</w:t>
            </w:r>
          </w:p>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724"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kinsoku/>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b/>
                <w:bCs/>
                <w:color w:val="0000FF"/>
                <w:sz w:val="21"/>
                <w:szCs w:val="21"/>
                <w:highlight w:val="none"/>
              </w:rPr>
            </w:pPr>
          </w:p>
        </w:tc>
        <w:tc>
          <w:tcPr>
            <w:tcW w:w="8641" w:type="dxa"/>
            <w:gridSpan w:val="7"/>
            <w:tcBorders>
              <w:top w:val="single" w:color="000000" w:sz="8" w:space="0"/>
              <w:left w:val="single" w:color="000000" w:sz="8" w:space="0"/>
              <w:bottom w:val="single" w:color="000000" w:sz="8" w:space="0"/>
              <w:right w:val="single" w:color="000000" w:sz="8" w:space="0"/>
            </w:tcBorders>
          </w:tcPr>
          <w:p>
            <w:pPr>
              <w:keepNext w:val="0"/>
              <w:keepLines w:val="0"/>
              <w:pageBreakBefore w:val="0"/>
              <w:kinsoku/>
              <w:wordWrap w:val="0"/>
              <w:overflowPunct/>
              <w:topLinePunct w:val="0"/>
              <w:autoSpaceDE/>
              <w:autoSpaceDN/>
              <w:bidi w:val="0"/>
              <w:adjustRightInd/>
              <w:snapToGrid/>
              <w:spacing w:beforeAutospacing="0" w:afterAutospacing="0" w:line="240" w:lineRule="auto"/>
              <w:ind w:left="0" w:leftChars="0" w:right="0" w:firstLine="0" w:firstLineChars="0"/>
              <w:textAlignment w:val="auto"/>
              <w:rPr>
                <w:rFonts w:hint="eastAsia" w:ascii="宋体" w:hAnsi="宋体" w:eastAsia="宋体" w:cs="宋体"/>
                <w:sz w:val="21"/>
                <w:szCs w:val="21"/>
                <w:highlight w:val="none"/>
              </w:rPr>
            </w:pPr>
          </w:p>
        </w:tc>
      </w:tr>
    </w:tbl>
    <w:p>
      <w:pPr>
        <w:rPr>
          <w:rFonts w:hint="eastAsia"/>
          <w:b/>
          <w:sz w:val="120"/>
          <w:szCs w:val="120"/>
        </w:rPr>
      </w:pPr>
      <w:r>
        <w:rPr>
          <w:rFonts w:hint="eastAsia"/>
          <w:b/>
          <w:sz w:val="120"/>
          <w:szCs w:val="120"/>
        </w:rPr>
        <w:br w:type="page"/>
      </w:r>
    </w:p>
    <w:p>
      <w:pPr>
        <w:jc w:val="center"/>
        <w:rPr>
          <w:rFonts w:hint="eastAsia"/>
          <w:b/>
          <w:sz w:val="120"/>
          <w:szCs w:val="120"/>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（服务类）</w:t>
      </w:r>
    </w:p>
    <w:p/>
    <w:p/>
    <w:p/>
    <w:p/>
    <w:p/>
    <w:p/>
    <w:p/>
    <w:p/>
    <w:p/>
    <w:p/>
    <w:p/>
    <w:p/>
    <w:p>
      <w:pPr>
        <w:jc w:val="center"/>
        <w:rPr>
          <w:b/>
          <w:sz w:val="44"/>
          <w:szCs w:val="44"/>
        </w:rPr>
      </w:pPr>
      <w:r>
        <w:rPr>
          <w:rFonts w:hint="eastAsia" w:ascii="宋体" w:hAnsi="宋体"/>
          <w:b/>
          <w:sz w:val="44"/>
          <w:szCs w:val="44"/>
        </w:rPr>
        <w:t>深圳公共资源交易中心</w:t>
      </w:r>
    </w:p>
    <w:p>
      <w:pPr>
        <w:jc w:val="center"/>
        <w:rPr>
          <w:b/>
          <w:sz w:val="44"/>
          <w:szCs w:val="44"/>
        </w:rPr>
      </w:pPr>
      <w:r>
        <w:rPr>
          <w:rFonts w:hint="eastAsia" w:ascii="宋体" w:hAnsi="宋体"/>
          <w:b/>
          <w:sz w:val="44"/>
          <w:szCs w:val="44"/>
        </w:rPr>
        <w:t>（</w:t>
      </w:r>
      <w:r>
        <w:rPr>
          <w:b/>
          <w:sz w:val="44"/>
          <w:szCs w:val="44"/>
        </w:rPr>
        <w:t>20</w:t>
      </w:r>
      <w:r>
        <w:rPr>
          <w:rFonts w:hint="eastAsia"/>
          <w:b/>
          <w:sz w:val="44"/>
          <w:szCs w:val="44"/>
        </w:rPr>
        <w:t>25</w:t>
      </w:r>
      <w:r>
        <w:rPr>
          <w:rFonts w:hint="eastAsia" w:ascii="宋体" w:hAnsi="宋体"/>
          <w:b/>
          <w:sz w:val="44"/>
          <w:szCs w:val="44"/>
        </w:rPr>
        <w:t>）</w:t>
      </w:r>
    </w:p>
    <w:p>
      <w:pPr>
        <w:ind w:firstLine="6786" w:firstLineChars="1300"/>
        <w:jc w:val="center"/>
        <w:rPr>
          <w:bCs/>
          <w:color w:val="FF0000"/>
        </w:rPr>
      </w:pPr>
      <w:r>
        <w:rPr>
          <w:rFonts w:hint="eastAsia"/>
          <w:b/>
          <w:color w:val="FF0000"/>
          <w:sz w:val="52"/>
          <w:szCs w:val="52"/>
        </w:rPr>
        <w:br w:type="page"/>
      </w:r>
    </w:p>
    <w:p>
      <w:pPr>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目   录</w:t>
      </w:r>
    </w:p>
    <w:p>
      <w:pPr>
        <w:rPr>
          <w:b/>
          <w:sz w:val="24"/>
          <w:szCs w:val="24"/>
        </w:rPr>
      </w:pPr>
      <w:r>
        <w:rPr>
          <w:rFonts w:hint="eastAsia"/>
          <w:b/>
          <w:sz w:val="24"/>
          <w:szCs w:val="24"/>
        </w:rPr>
        <w:t>第一册  专用条款</w:t>
      </w:r>
    </w:p>
    <w:p>
      <w:pPr>
        <w:ind w:left="630" w:leftChars="300" w:firstLine="411" w:firstLineChars="196"/>
        <w:rPr>
          <w:rFonts w:ascii="宋体" w:hAnsi="宋体"/>
          <w:szCs w:val="21"/>
        </w:rPr>
      </w:pPr>
      <w:r>
        <w:rPr>
          <w:rFonts w:hint="eastAsia" w:ascii="宋体" w:hAnsi="宋体"/>
          <w:szCs w:val="21"/>
        </w:rPr>
        <w:tab/>
      </w:r>
      <w:r>
        <w:rPr>
          <w:rFonts w:hint="eastAsia" w:ascii="宋体" w:hAnsi="宋体"/>
          <w:szCs w:val="21"/>
        </w:rPr>
        <w:t>关键信息</w:t>
      </w:r>
    </w:p>
    <w:p>
      <w:pPr>
        <w:ind w:left="630" w:leftChars="300" w:firstLine="411" w:firstLineChars="196"/>
        <w:rPr>
          <w:rFonts w:ascii="宋体" w:hAnsi="宋体"/>
          <w:szCs w:val="21"/>
        </w:rPr>
      </w:pPr>
      <w:r>
        <w:rPr>
          <w:rFonts w:hint="eastAsia" w:ascii="宋体" w:hAnsi="宋体"/>
          <w:szCs w:val="21"/>
        </w:rPr>
        <w:t>第一章  招标公告</w:t>
      </w:r>
    </w:p>
    <w:p>
      <w:pPr>
        <w:ind w:left="630" w:leftChars="300" w:firstLine="411" w:firstLineChars="196"/>
        <w:rPr>
          <w:rFonts w:ascii="宋体" w:hAnsi="宋体"/>
          <w:szCs w:val="21"/>
        </w:rPr>
      </w:pPr>
      <w:r>
        <w:rPr>
          <w:rFonts w:hint="eastAsia" w:ascii="宋体" w:hAnsi="宋体"/>
          <w:szCs w:val="21"/>
        </w:rPr>
        <w:t>第二章  对通用条款的补充内容及其他关键信息</w:t>
      </w:r>
    </w:p>
    <w:p>
      <w:pPr>
        <w:ind w:left="630" w:leftChars="300" w:firstLine="411" w:firstLineChars="196"/>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411" w:firstLineChars="196"/>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411" w:firstLineChars="196"/>
        <w:rPr>
          <w:rFonts w:ascii="宋体" w:hAnsi="宋体"/>
          <w:szCs w:val="21"/>
        </w:rPr>
      </w:pPr>
      <w:r>
        <w:rPr>
          <w:rFonts w:hint="eastAsia" w:ascii="宋体" w:hAnsi="宋体"/>
          <w:szCs w:val="21"/>
        </w:rPr>
        <w:t>第五章  合同条款及格式</w:t>
      </w:r>
    </w:p>
    <w:p>
      <w:pPr>
        <w:rPr>
          <w:b/>
          <w:sz w:val="24"/>
        </w:rPr>
      </w:pPr>
    </w:p>
    <w:p>
      <w:pPr>
        <w:rPr>
          <w:b/>
          <w:sz w:val="24"/>
          <w:szCs w:val="24"/>
        </w:rPr>
      </w:pPr>
      <w:r>
        <w:rPr>
          <w:rFonts w:hint="eastAsia"/>
          <w:b/>
          <w:sz w:val="24"/>
          <w:szCs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r>
        <w:rPr>
          <w:rFonts w:hint="eastAsia"/>
        </w:rPr>
        <w:t xml:space="preserve">          第十一章  质疑处理</w:t>
      </w:r>
    </w:p>
    <w:p/>
    <w:p/>
    <w:p>
      <w:pPr>
        <w:widowControl/>
        <w:jc w:val="left"/>
      </w:pPr>
      <w:r>
        <w:br w:type="page"/>
      </w:r>
    </w:p>
    <w:p>
      <w:pPr>
        <w:pStyle w:val="3"/>
        <w:spacing w:after="78"/>
        <w:jc w:val="center"/>
        <w:rPr>
          <w:sz w:val="32"/>
          <w:szCs w:val="32"/>
        </w:rPr>
      </w:pPr>
      <w:r>
        <w:rPr>
          <w:rFonts w:hint="eastAsia"/>
          <w:sz w:val="32"/>
          <w:szCs w:val="32"/>
        </w:rPr>
        <w:t>第一册  专用条款</w:t>
      </w:r>
    </w:p>
    <w:p>
      <w:pPr>
        <w:keepNext/>
        <w:keepLines/>
        <w:adjustRightInd w:val="0"/>
        <w:spacing w:before="260" w:after="260"/>
        <w:jc w:val="center"/>
        <w:textAlignment w:val="baseline"/>
        <w:outlineLvl w:val="1"/>
        <w:rPr>
          <w:rFonts w:ascii="宋体" w:hAnsi="宋体" w:eastAsia="宋体" w:cs="Times New Roman"/>
          <w:b/>
          <w:bCs/>
          <w:kern w:val="0"/>
          <w:sz w:val="28"/>
          <w:szCs w:val="28"/>
        </w:rPr>
      </w:pPr>
      <w:r>
        <w:rPr>
          <w:rFonts w:hint="eastAsia" w:ascii="宋体" w:hAnsi="宋体" w:eastAsia="宋体" w:cs="Times New Roman"/>
          <w:b/>
          <w:bCs/>
          <w:kern w:val="0"/>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630" w:firstLineChars="300"/>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szCs w:val="21"/>
        </w:rPr>
        <w:t>具有独立承担民事责任的能力（提供营业执照或事业单位法人证书等证明资料扫描件，原件备查，分公司参与投标的，须提供分公司营业执照、其所属集团（或总公司）等具有独立法人资格的组织的营业执照及其出具的载明愿为其参与本项目投标的行为以及履约等行为承担民事责任的加盖总公司公章的授权函）；</w:t>
      </w:r>
    </w:p>
    <w:p>
      <w:pPr>
        <w:ind w:firstLine="630" w:firstLineChars="300"/>
        <w:rPr>
          <w:rFonts w:hint="eastAsia" w:ascii="宋体" w:hAnsi="宋体" w:cs="宋体"/>
          <w:szCs w:val="21"/>
        </w:rPr>
      </w:pPr>
      <w:r>
        <w:rPr>
          <w:rFonts w:hint="eastAsia" w:ascii="宋体" w:hAnsi="宋体" w:cs="宋体"/>
          <w:kern w:val="0"/>
          <w:szCs w:val="21"/>
        </w:rPr>
        <w:t>2.本项目不接受联合体投标，不接受投标人选用进口产品参与投标；</w:t>
      </w:r>
    </w:p>
    <w:p>
      <w:pPr>
        <w:ind w:firstLine="630" w:firstLineChars="300"/>
        <w:rPr>
          <w:rFonts w:hint="eastAsia"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参与本项目政府采购活动时不存在被有关部门禁止参与政府采购活动且在有效期内的情况（由供应商在《政府采购投标及履约承诺函》中作出声明）；</w:t>
      </w:r>
    </w:p>
    <w:p>
      <w:pPr>
        <w:ind w:firstLine="630" w:firstLineChars="3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具备《中华人民共和国政府采购法》第二十二条第一款的条件（由供应商在《政府采购投标及履约承诺函》中作出声明）；</w:t>
      </w:r>
    </w:p>
    <w:p>
      <w:pPr>
        <w:ind w:firstLine="630" w:firstLineChars="300"/>
        <w:rPr>
          <w:rFonts w:hint="eastAsia"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未被列入失信被执行人、重大税收违法案件当事人名单、政府采购严重违法失信行为记录名单（由供应商在《政府采购投标及履约承诺函》中作出声明）；</w:t>
      </w:r>
    </w:p>
    <w:p>
      <w:pPr>
        <w:ind w:firstLine="630" w:firstLineChars="300"/>
        <w:rPr>
          <w:rFonts w:hint="eastAsia" w:ascii="宋体" w:hAnsi="宋体" w:cs="宋体"/>
          <w:kern w:val="0"/>
          <w:szCs w:val="21"/>
        </w:rPr>
      </w:pPr>
      <w:r>
        <w:rPr>
          <w:rFonts w:hint="eastAsia" w:ascii="宋体" w:hAnsi="宋体" w:cs="宋体"/>
          <w:kern w:val="0"/>
          <w:szCs w:val="21"/>
        </w:rPr>
        <w:t>6.不存在《深圳市财政局政府采购供应商信用信息管理办法》（深财规〔2023〕3号）列明的严重违法失信行为（由供应商在《政府采购投标及履约承诺函》中作出声明）；</w:t>
      </w:r>
    </w:p>
    <w:p>
      <w:pPr>
        <w:ind w:firstLine="630" w:firstLineChars="300"/>
        <w:rPr>
          <w:rFonts w:hint="eastAsia" w:ascii="宋体" w:hAnsi="宋体" w:cs="宋体"/>
          <w:kern w:val="0"/>
          <w:szCs w:val="21"/>
        </w:rPr>
      </w:pPr>
      <w:r>
        <w:rPr>
          <w:rFonts w:hint="eastAsia" w:ascii="宋体" w:hAnsi="宋体" w:cs="宋体"/>
          <w:kern w:val="0"/>
          <w:szCs w:val="21"/>
        </w:rPr>
        <w:t>7.为采购项目提供整体设计、规范编制或者项目管理、监理、检测等服务的供应商，不得再参加该采购项目的其他采购活动（由供应商在《政府采购投标及履约承诺函》中作出声明）；</w:t>
      </w:r>
    </w:p>
    <w:p>
      <w:pPr>
        <w:ind w:firstLine="630" w:firstLineChars="300"/>
        <w:rPr>
          <w:rFonts w:hint="eastAsia" w:ascii="宋体" w:hAnsi="宋体" w:cs="宋体"/>
          <w:kern w:val="0"/>
          <w:szCs w:val="21"/>
        </w:rPr>
      </w:pPr>
      <w:r>
        <w:rPr>
          <w:rFonts w:hint="eastAsia" w:ascii="宋体" w:hAnsi="宋体" w:cs="宋体"/>
          <w:kern w:val="0"/>
          <w:szCs w:val="21"/>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pPr>
        <w:ind w:firstLine="630" w:firstLineChars="300"/>
        <w:rPr>
          <w:rFonts w:hint="eastAsia" w:ascii="宋体" w:hAnsi="宋体" w:cs="宋体" w:eastAsiaTheme="minorEastAsia"/>
          <w:kern w:val="0"/>
          <w:szCs w:val="21"/>
          <w:lang w:eastAsia="zh-CN"/>
        </w:rPr>
      </w:pPr>
      <w:r>
        <w:rPr>
          <w:rFonts w:hint="eastAsia" w:ascii="宋体" w:hAnsi="宋体" w:cs="宋体" w:eastAsiaTheme="minorEastAsia"/>
          <w:b w:val="0"/>
          <w:bCs w:val="0"/>
          <w:kern w:val="0"/>
          <w:szCs w:val="21"/>
          <w:lang w:val="en-US" w:eastAsia="zh-CN"/>
        </w:rPr>
        <w:t>9.</w:t>
      </w:r>
      <w:r>
        <w:rPr>
          <w:rFonts w:hint="eastAsia" w:ascii="宋体" w:hAnsi="宋体" w:cs="宋体" w:eastAsiaTheme="minorEastAsia"/>
          <w:kern w:val="0"/>
          <w:szCs w:val="21"/>
        </w:rPr>
        <w:t>本项目是（否）专门面向中小企业采购：否</w:t>
      </w:r>
      <w:r>
        <w:rPr>
          <w:rFonts w:hint="eastAsia" w:ascii="宋体" w:hAnsi="宋体" w:cs="宋体" w:eastAsiaTheme="minorEastAsia"/>
          <w:kern w:val="0"/>
          <w:szCs w:val="21"/>
          <w:lang w:eastAsia="zh-CN"/>
        </w:rPr>
        <w:t>。</w:t>
      </w:r>
    </w:p>
    <w:p>
      <w:pPr>
        <w:ind w:firstLine="630" w:firstLineChars="300"/>
        <w:rPr>
          <w:rFonts w:hint="eastAsia" w:asciiTheme="minorEastAsia" w:hAnsiTheme="minorEastAsia" w:eastAsiaTheme="minorEastAsia" w:cstheme="minorEastAsia"/>
          <w:color w:val="auto"/>
          <w:kern w:val="0"/>
          <w:szCs w:val="21"/>
          <w:highlight w:val="none"/>
          <w:lang w:eastAsia="zh-CN"/>
        </w:rPr>
      </w:pPr>
    </w:p>
    <w:p>
      <w:pPr>
        <w:ind w:firstLine="630" w:firstLineChars="300"/>
        <w:rPr>
          <w:rFonts w:hint="eastAsia" w:asciiTheme="minorEastAsia" w:hAnsiTheme="minorEastAsia" w:eastAsiaTheme="minorEastAsia" w:cstheme="minorEastAsia"/>
          <w:color w:val="auto"/>
          <w:kern w:val="0"/>
          <w:szCs w:val="21"/>
          <w:highlight w:val="none"/>
          <w:lang w:eastAsia="zh-CN"/>
        </w:rPr>
      </w:pPr>
    </w:p>
    <w:p>
      <w:pPr>
        <w:wordWrap w:val="0"/>
        <w:ind w:firstLine="420" w:firstLineChars="200"/>
        <w:rPr>
          <w:rFonts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numPr>
          <w:ilvl w:val="0"/>
          <w:numId w:val="2"/>
        </w:numPr>
        <w:ind w:firstLine="420" w:firstLineChars="200"/>
        <w:rPr>
          <w:rFonts w:hint="eastAsia" w:ascii="宋体" w:hAnsi="宋体"/>
        </w:rPr>
      </w:pPr>
      <w:r>
        <w:rPr>
          <w:rFonts w:hint="eastAsia" w:ascii="宋体" w:hAnsi="宋体"/>
        </w:rPr>
        <w:t>供应商投标（上传投标文件）必须先行办理注册手续，具体请按照相关内容指引办理。</w:t>
      </w:r>
    </w:p>
    <w:p>
      <w:pPr>
        <w:numPr>
          <w:ilvl w:val="0"/>
          <w:numId w:val="0"/>
        </w:numPr>
        <w:rPr>
          <w:rFonts w:hint="eastAsia" w:ascii="宋体" w:hAnsi="宋体"/>
        </w:rPr>
      </w:pPr>
    </w:p>
    <w:p>
      <w:pPr>
        <w:spacing w:after="78" w:afterLines="25"/>
        <w:jc w:val="center"/>
        <w:rPr>
          <w:b/>
          <w:color w:val="FF0000"/>
          <w:sz w:val="30"/>
          <w:szCs w:val="30"/>
        </w:rPr>
      </w:pPr>
      <w:r>
        <w:rPr>
          <w:rFonts w:hint="eastAsia" w:ascii="Arial" w:hAnsi="Arial" w:eastAsia="宋体" w:cs="Times New Roman"/>
          <w:b/>
          <w:color w:val="FF0000"/>
          <w:sz w:val="30"/>
          <w:szCs w:val="30"/>
        </w:rPr>
        <w:t>完整公告内容以网站公布信息为准，详见：深圳政府采购自行采购系统</w:t>
      </w:r>
      <w:r>
        <w:rPr>
          <w:rFonts w:hint="eastAsia"/>
          <w:b/>
          <w:color w:val="FF0000"/>
          <w:sz w:val="30"/>
          <w:szCs w:val="30"/>
        </w:rPr>
        <w:t>网（</w:t>
      </w:r>
      <w:bookmarkStart w:id="8" w:name="OLE_LINK52"/>
      <w:r>
        <w:rPr>
          <w:rFonts w:hint="eastAsia"/>
          <w:b/>
          <w:color w:val="FF0000"/>
          <w:sz w:val="30"/>
          <w:szCs w:val="30"/>
        </w:rPr>
        <w:t>https://zxcg.szggzy.com/home/index.html</w:t>
      </w:r>
      <w:bookmarkEnd w:id="8"/>
      <w:r>
        <w:rPr>
          <w:rFonts w:hint="eastAsia"/>
          <w:b/>
          <w:color w:val="FF0000"/>
          <w:sz w:val="30"/>
          <w:szCs w:val="30"/>
        </w:rPr>
        <w:t>）</w:t>
      </w:r>
    </w:p>
    <w:p>
      <w:pPr>
        <w:keepNext/>
        <w:keepLines/>
        <w:spacing w:before="260" w:after="260" w:line="416" w:lineRule="auto"/>
        <w:jc w:val="center"/>
        <w:outlineLvl w:val="1"/>
        <w:rPr>
          <w:rFonts w:ascii="宋体" w:hAnsi="宋体" w:eastAsia="宋体" w:cs="Times New Roman"/>
          <w:b/>
          <w:bCs/>
          <w:kern w:val="0"/>
          <w:sz w:val="28"/>
          <w:szCs w:val="28"/>
        </w:rPr>
      </w:pPr>
      <w:r>
        <w:rPr>
          <w:rFonts w:hint="eastAsia" w:ascii="宋体" w:hAnsi="宋体" w:eastAsia="宋体" w:cs="Times New Roman"/>
          <w:b/>
          <w:bCs/>
          <w:kern w:val="0"/>
          <w:sz w:val="28"/>
          <w:szCs w:val="28"/>
        </w:rPr>
        <w:t xml:space="preserve">第二章 </w:t>
      </w:r>
      <w:bookmarkStart w:id="9" w:name="_Hlk71926094"/>
      <w:bookmarkStart w:id="10" w:name="OLE_LINK39"/>
      <w:r>
        <w:rPr>
          <w:rFonts w:hint="eastAsia" w:ascii="宋体" w:hAnsi="宋体" w:eastAsia="宋体" w:cs="Times New Roman"/>
          <w:b/>
          <w:bCs/>
          <w:kern w:val="0"/>
          <w:sz w:val="28"/>
          <w:szCs w:val="28"/>
        </w:rPr>
        <w:t>对通用条款的补充内容及其他关键信息</w:t>
      </w:r>
      <w:bookmarkEnd w:id="9"/>
      <w:bookmarkEnd w:id="10"/>
    </w:p>
    <w:p>
      <w:pPr>
        <w:keepNext/>
        <w:keepLines/>
        <w:adjustRightInd w:val="0"/>
        <w:spacing w:before="156" w:beforeLines="50" w:after="156" w:afterLines="50"/>
        <w:jc w:val="center"/>
        <w:textAlignment w:val="baseline"/>
        <w:outlineLvl w:val="2"/>
        <w:rPr>
          <w:rFonts w:ascii="宋体" w:hAnsi="宋体" w:eastAsia="宋体" w:cs="Times New Roman"/>
          <w:b/>
          <w:bCs/>
          <w:kern w:val="0"/>
          <w:sz w:val="24"/>
          <w:szCs w:val="24"/>
        </w:rPr>
      </w:pPr>
      <w:bookmarkStart w:id="11" w:name="_Toc73517639"/>
      <w:bookmarkStart w:id="12" w:name="_Toc100052364"/>
      <w:bookmarkStart w:id="13" w:name="_Toc73518117"/>
      <w:bookmarkStart w:id="14" w:name="_Toc60631620"/>
      <w:bookmarkStart w:id="15" w:name="_Toc73521547"/>
      <w:bookmarkStart w:id="16" w:name="_Toc60560625"/>
      <w:bookmarkStart w:id="17" w:name="_Toc101074876"/>
      <w:bookmarkStart w:id="18" w:name="_Toc73521635"/>
      <w:r>
        <w:rPr>
          <w:rFonts w:hint="eastAsia" w:ascii="宋体" w:hAnsi="宋体" w:eastAsia="宋体" w:cs="Times New Roman"/>
          <w:b/>
          <w:bCs/>
          <w:kern w:val="0"/>
          <w:sz w:val="24"/>
          <w:szCs w:val="24"/>
        </w:rPr>
        <w:t>一、对通用条款的补充内容</w:t>
      </w:r>
    </w:p>
    <w:tbl>
      <w:tblPr>
        <w:tblStyle w:val="23"/>
        <w:tblW w:w="900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78"/>
        <w:gridCol w:w="1965"/>
        <w:gridCol w:w="616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b/>
                <w:bCs/>
              </w:rPr>
            </w:pPr>
            <w:r>
              <w:rPr>
                <w:rFonts w:hint="eastAsia" w:ascii="宋体" w:hAnsi="宋体"/>
                <w:b/>
                <w:bCs/>
              </w:rPr>
              <w:t>通用条款序号</w:t>
            </w:r>
          </w:p>
        </w:tc>
        <w:tc>
          <w:tcPr>
            <w:tcW w:w="1965" w:type="dxa"/>
            <w:vAlign w:val="center"/>
          </w:tcPr>
          <w:p>
            <w:pPr>
              <w:jc w:val="center"/>
              <w:rPr>
                <w:rFonts w:ascii="宋体" w:hAnsi="宋体"/>
                <w:b/>
                <w:bCs/>
              </w:rPr>
            </w:pPr>
            <w:r>
              <w:rPr>
                <w:rFonts w:hint="eastAsia" w:ascii="宋体" w:hAnsi="宋体"/>
                <w:b/>
                <w:bCs/>
              </w:rPr>
              <w:t>涉及事项</w:t>
            </w:r>
          </w:p>
        </w:tc>
        <w:tc>
          <w:tcPr>
            <w:tcW w:w="6162"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3</w:t>
            </w:r>
            <w:r>
              <w:rPr>
                <w:rFonts w:ascii="宋体" w:hAnsi="宋体"/>
              </w:rPr>
              <w:t>.1</w:t>
            </w:r>
          </w:p>
        </w:tc>
        <w:tc>
          <w:tcPr>
            <w:tcW w:w="1965" w:type="dxa"/>
            <w:vAlign w:val="center"/>
          </w:tcPr>
          <w:p>
            <w:pPr>
              <w:jc w:val="center"/>
            </w:pPr>
            <w:r>
              <w:rPr>
                <w:rFonts w:hint="eastAsia"/>
              </w:rPr>
              <w:t>采购人</w:t>
            </w:r>
          </w:p>
        </w:tc>
        <w:tc>
          <w:tcPr>
            <w:tcW w:w="6162" w:type="dxa"/>
            <w:vAlign w:val="center"/>
          </w:tcPr>
          <w:p>
            <w:pPr>
              <w:jc w:val="center"/>
              <w:rPr>
                <w:rFonts w:ascii="宋体" w:hAnsi="宋体"/>
                <w:color w:val="0000FF"/>
              </w:rPr>
            </w:pPr>
            <w:r>
              <w:rPr>
                <w:rFonts w:hint="eastAsia" w:ascii="宋体" w:hAnsi="宋体"/>
                <w:color w:val="0000FF"/>
              </w:rPr>
              <w:t>深圳市龙华区北站幼教集团附属幼儿园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3</w:t>
            </w:r>
            <w:r>
              <w:rPr>
                <w:rFonts w:ascii="宋体" w:hAnsi="宋体"/>
              </w:rPr>
              <w:t>.2</w:t>
            </w:r>
          </w:p>
        </w:tc>
        <w:tc>
          <w:tcPr>
            <w:tcW w:w="1965" w:type="dxa"/>
            <w:vAlign w:val="center"/>
          </w:tcPr>
          <w:p>
            <w:pPr>
              <w:jc w:val="center"/>
              <w:rPr>
                <w:rFonts w:ascii="宋体" w:hAnsi="宋体"/>
              </w:rPr>
            </w:pPr>
            <w:r>
              <w:rPr>
                <w:rFonts w:hint="eastAsia" w:ascii="宋体" w:hAnsi="宋体"/>
              </w:rPr>
              <w:t>政府集中采购机构</w:t>
            </w:r>
          </w:p>
        </w:tc>
        <w:tc>
          <w:tcPr>
            <w:tcW w:w="6162" w:type="dxa"/>
            <w:vAlign w:val="center"/>
          </w:tcPr>
          <w:p>
            <w:pPr>
              <w:jc w:val="center"/>
              <w:rPr>
                <w:rFonts w:hint="eastAsia" w:ascii="Arial" w:hAnsi="Arial" w:eastAsia="宋体" w:cs="Times New Roman"/>
                <w:szCs w:val="24"/>
              </w:rPr>
            </w:pPr>
            <w:r>
              <w:rPr>
                <w:rFonts w:hint="eastAsia" w:ascii="Arial" w:hAnsi="Arial" w:eastAsia="宋体" w:cs="Times New Roman"/>
                <w:szCs w:val="24"/>
              </w:rPr>
              <w:t>深圳公共资源交易中心</w:t>
            </w:r>
          </w:p>
          <w:p>
            <w:pPr>
              <w:jc w:val="center"/>
              <w:rPr>
                <w:rFonts w:ascii="宋体" w:hAnsi="宋体"/>
              </w:rPr>
            </w:pPr>
            <w:r>
              <w:rPr>
                <w:rFonts w:hint="eastAsia" w:ascii="Arial" w:hAnsi="Arial" w:eastAsia="宋体" w:cs="Times New Roman"/>
                <w:szCs w:val="24"/>
              </w:rPr>
              <w:t>（深圳交易集团有限公司龙华分公司）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9</w:t>
            </w:r>
          </w:p>
        </w:tc>
        <w:tc>
          <w:tcPr>
            <w:tcW w:w="1965" w:type="dxa"/>
            <w:vAlign w:val="center"/>
          </w:tcPr>
          <w:p>
            <w:pPr>
              <w:jc w:val="center"/>
              <w:rPr>
                <w:rFonts w:ascii="宋体" w:hAnsi="宋体"/>
              </w:rPr>
            </w:pPr>
            <w:r>
              <w:rPr>
                <w:rFonts w:hint="eastAsia" w:ascii="宋体" w:hAnsi="宋体"/>
              </w:rPr>
              <w:t>踏勘现场</w:t>
            </w:r>
          </w:p>
        </w:tc>
        <w:tc>
          <w:tcPr>
            <w:tcW w:w="6162" w:type="dxa"/>
            <w:vAlign w:val="center"/>
          </w:tcPr>
          <w:p>
            <w:pPr>
              <w:jc w:val="center"/>
              <w:rPr>
                <w:rFonts w:ascii="Arial" w:hAnsi="Arial" w:eastAsia="宋体" w:cs="Times New Roman"/>
                <w:szCs w:val="24"/>
                <w:highlight w:val="yellow"/>
              </w:rPr>
            </w:pPr>
            <w:r>
              <w:rPr>
                <w:rFonts w:hint="eastAsia" w:ascii="Arial" w:hAnsi="Arial" w:eastAsia="宋体" w:cs="Times New Roman"/>
                <w:szCs w:val="24"/>
                <w:highlight w:val="yellow"/>
                <w:lang w:eastAsia="zh-CN"/>
              </w:rPr>
              <w:t>不</w:t>
            </w:r>
            <w:r>
              <w:rPr>
                <w:rFonts w:hint="eastAsia" w:ascii="Arial" w:hAnsi="Arial" w:eastAsia="宋体" w:cs="Times New Roman"/>
                <w:szCs w:val="24"/>
                <w:highlight w:val="yellow"/>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1</w:t>
            </w:r>
            <w:r>
              <w:rPr>
                <w:rFonts w:ascii="宋体" w:hAnsi="宋体"/>
              </w:rPr>
              <w:t>0</w:t>
            </w:r>
          </w:p>
        </w:tc>
        <w:tc>
          <w:tcPr>
            <w:tcW w:w="1965" w:type="dxa"/>
            <w:vAlign w:val="center"/>
          </w:tcPr>
          <w:p>
            <w:pPr>
              <w:jc w:val="center"/>
              <w:rPr>
                <w:rFonts w:ascii="宋体" w:hAnsi="宋体"/>
              </w:rPr>
            </w:pPr>
            <w:r>
              <w:rPr>
                <w:rFonts w:hint="eastAsia" w:ascii="宋体" w:hAnsi="宋体"/>
              </w:rPr>
              <w:t>标前会议</w:t>
            </w:r>
          </w:p>
        </w:tc>
        <w:tc>
          <w:tcPr>
            <w:tcW w:w="6162" w:type="dxa"/>
            <w:vAlign w:val="center"/>
          </w:tcPr>
          <w:p>
            <w:pPr>
              <w:jc w:val="center"/>
              <w:rPr>
                <w:rFonts w:ascii="Arial" w:hAnsi="Arial" w:eastAsia="宋体" w:cs="Times New Roman"/>
                <w:szCs w:val="24"/>
                <w:highlight w:val="yellow"/>
              </w:rPr>
            </w:pPr>
            <w:r>
              <w:rPr>
                <w:rFonts w:hint="eastAsia" w:ascii="Arial" w:hAnsi="Arial" w:eastAsia="宋体" w:cs="Times New Roman"/>
                <w:szCs w:val="24"/>
                <w:highlight w:val="yellow"/>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1965" w:type="dxa"/>
            <w:vAlign w:val="center"/>
          </w:tcPr>
          <w:p>
            <w:pPr>
              <w:jc w:val="center"/>
              <w:rPr>
                <w:rFonts w:ascii="宋体" w:hAnsi="宋体"/>
              </w:rPr>
            </w:pPr>
            <w:r>
              <w:rPr>
                <w:rFonts w:hint="eastAsia" w:ascii="宋体" w:hAnsi="宋体"/>
              </w:rPr>
              <w:t>招标文件的澄清和修改</w:t>
            </w:r>
          </w:p>
        </w:tc>
        <w:tc>
          <w:tcPr>
            <w:tcW w:w="6162" w:type="dxa"/>
            <w:vAlign w:val="center"/>
          </w:tcPr>
          <w:p>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2</w:t>
            </w:r>
            <w:r>
              <w:rPr>
                <w:rFonts w:ascii="宋体" w:hAnsi="宋体"/>
              </w:rPr>
              <w:t>0</w:t>
            </w:r>
          </w:p>
        </w:tc>
        <w:tc>
          <w:tcPr>
            <w:tcW w:w="1965" w:type="dxa"/>
            <w:vAlign w:val="center"/>
          </w:tcPr>
          <w:p>
            <w:pPr>
              <w:jc w:val="center"/>
              <w:rPr>
                <w:rFonts w:ascii="宋体" w:hAnsi="宋体"/>
              </w:rPr>
            </w:pPr>
            <w:r>
              <w:rPr>
                <w:rFonts w:hint="eastAsia" w:ascii="宋体" w:hAnsi="宋体"/>
              </w:rPr>
              <w:t>投标有效期</w:t>
            </w:r>
          </w:p>
        </w:tc>
        <w:tc>
          <w:tcPr>
            <w:tcW w:w="6162" w:type="dxa"/>
            <w:vAlign w:val="center"/>
          </w:tcPr>
          <w:p>
            <w:pPr>
              <w:jc w:val="center"/>
              <w:rPr>
                <w:rFonts w:ascii="宋体" w:hAnsi="宋体"/>
              </w:rPr>
            </w:pPr>
            <w:r>
              <w:rPr>
                <w:rFonts w:hint="eastAsia" w:ascii="宋体" w:hAnsi="宋体"/>
              </w:rPr>
              <w:t>120日历天（从投标截止之日算起）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2</w:t>
            </w:r>
            <w:r>
              <w:rPr>
                <w:rFonts w:ascii="宋体" w:hAnsi="宋体"/>
              </w:rPr>
              <w:t>2</w:t>
            </w:r>
          </w:p>
        </w:tc>
        <w:tc>
          <w:tcPr>
            <w:tcW w:w="1965" w:type="dxa"/>
            <w:vAlign w:val="center"/>
          </w:tcPr>
          <w:p>
            <w:pPr>
              <w:jc w:val="center"/>
              <w:rPr>
                <w:rFonts w:ascii="宋体" w:hAnsi="宋体"/>
              </w:rPr>
            </w:pPr>
            <w:r>
              <w:rPr>
                <w:rFonts w:hint="eastAsia" w:ascii="宋体" w:hAnsi="宋体"/>
              </w:rPr>
              <w:t>投标人的替代方案</w:t>
            </w:r>
          </w:p>
        </w:tc>
        <w:tc>
          <w:tcPr>
            <w:tcW w:w="6162" w:type="dxa"/>
            <w:vAlign w:val="center"/>
          </w:tcPr>
          <w:p>
            <w:pPr>
              <w:jc w:val="center"/>
              <w:rPr>
                <w:rFonts w:ascii="宋体" w:hAnsi="宋体"/>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2</w:t>
            </w:r>
            <w:r>
              <w:rPr>
                <w:rFonts w:ascii="宋体" w:hAnsi="宋体"/>
              </w:rPr>
              <w:t>5</w:t>
            </w:r>
          </w:p>
        </w:tc>
        <w:tc>
          <w:tcPr>
            <w:tcW w:w="1965" w:type="dxa"/>
            <w:vAlign w:val="center"/>
          </w:tcPr>
          <w:p>
            <w:pPr>
              <w:jc w:val="center"/>
              <w:rPr>
                <w:rFonts w:ascii="宋体" w:hAnsi="宋体"/>
              </w:rPr>
            </w:pPr>
            <w:r>
              <w:rPr>
                <w:rFonts w:hint="eastAsia" w:ascii="宋体" w:hAnsi="宋体"/>
              </w:rPr>
              <w:t>投标文件的大小</w:t>
            </w:r>
          </w:p>
        </w:tc>
        <w:tc>
          <w:tcPr>
            <w:tcW w:w="6162" w:type="dxa"/>
            <w:vAlign w:val="center"/>
          </w:tcPr>
          <w:p>
            <w:pPr>
              <w:jc w:val="center"/>
              <w:rPr>
                <w:rFonts w:ascii="宋体" w:hAnsi="宋体"/>
              </w:rPr>
            </w:pPr>
            <w:r>
              <w:rPr>
                <w:rFonts w:hint="eastAsia" w:ascii="宋体" w:hAnsi="宋体"/>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2</w:t>
            </w:r>
            <w:r>
              <w:rPr>
                <w:rFonts w:ascii="宋体" w:hAnsi="宋体"/>
              </w:rPr>
              <w:t>6</w:t>
            </w:r>
          </w:p>
        </w:tc>
        <w:tc>
          <w:tcPr>
            <w:tcW w:w="1965" w:type="dxa"/>
            <w:vAlign w:val="center"/>
          </w:tcPr>
          <w:p>
            <w:pPr>
              <w:jc w:val="center"/>
              <w:rPr>
                <w:rFonts w:ascii="宋体" w:hAnsi="宋体"/>
              </w:rPr>
            </w:pPr>
            <w:bookmarkStart w:id="19" w:name="_Hlk71664860"/>
            <w:r>
              <w:rPr>
                <w:rFonts w:hint="eastAsia" w:ascii="宋体" w:hAnsi="宋体"/>
              </w:rPr>
              <w:t>样品、现场演示、方案讲解</w:t>
            </w:r>
            <w:bookmarkEnd w:id="19"/>
          </w:p>
        </w:tc>
        <w:tc>
          <w:tcPr>
            <w:tcW w:w="6162" w:type="dxa"/>
            <w:vAlign w:val="center"/>
          </w:tcPr>
          <w:p>
            <w:pPr>
              <w:jc w:val="center"/>
              <w:rPr>
                <w:rFonts w:hint="eastAsia" w:asciiTheme="minorEastAsia" w:hAnsiTheme="minorEastAsia" w:eastAsiaTheme="minorEastAsia"/>
              </w:rPr>
            </w:pPr>
            <w:r>
              <w:rPr>
                <w:rFonts w:hint="eastAsia" w:asciiTheme="minorEastAsia" w:hAnsiTheme="minorEastAsia" w:eastAsiaTheme="minorEastAsia"/>
              </w:rPr>
              <w:t>如有样品、</w:t>
            </w:r>
            <w:r>
              <w:rPr>
                <w:rFonts w:hint="eastAsia" w:asciiTheme="minorEastAsia" w:hAnsiTheme="minorEastAsia"/>
                <w:lang w:eastAsia="zh-CN"/>
              </w:rPr>
              <w:t>现场</w:t>
            </w:r>
            <w:r>
              <w:rPr>
                <w:rFonts w:hint="eastAsia" w:asciiTheme="minorEastAsia" w:hAnsiTheme="minorEastAsia" w:eastAsiaTheme="minorEastAsia"/>
              </w:rPr>
              <w:t>演示、方案讲解，</w:t>
            </w:r>
          </w:p>
          <w:p>
            <w:pPr>
              <w:jc w:val="center"/>
              <w:rPr>
                <w:rFonts w:ascii="宋体" w:hAnsi="宋体"/>
              </w:rPr>
            </w:pPr>
            <w:r>
              <w:rPr>
                <w:rFonts w:hint="eastAsia" w:asciiTheme="minorEastAsia" w:hAnsiTheme="minorEastAsia" w:eastAsiaTheme="minorEastAsia"/>
              </w:rPr>
              <w:t>具体安排见用户需求书相关要求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3</w:t>
            </w:r>
            <w:r>
              <w:rPr>
                <w:rFonts w:ascii="宋体" w:hAnsi="宋体"/>
              </w:rPr>
              <w:t>7</w:t>
            </w:r>
          </w:p>
        </w:tc>
        <w:tc>
          <w:tcPr>
            <w:tcW w:w="1965" w:type="dxa"/>
            <w:vAlign w:val="center"/>
          </w:tcPr>
          <w:p>
            <w:pPr>
              <w:jc w:val="center"/>
              <w:rPr>
                <w:rFonts w:ascii="宋体" w:hAnsi="宋体"/>
              </w:rPr>
            </w:pPr>
            <w:r>
              <w:rPr>
                <w:rFonts w:hint="eastAsia" w:ascii="宋体" w:hAnsi="宋体"/>
              </w:rPr>
              <w:t>评审方法</w:t>
            </w:r>
          </w:p>
        </w:tc>
        <w:tc>
          <w:tcPr>
            <w:tcW w:w="6162" w:type="dxa"/>
            <w:vAlign w:val="center"/>
          </w:tcPr>
          <w:p>
            <w:pPr>
              <w:jc w:val="center"/>
              <w:rPr>
                <w:rFonts w:ascii="宋体" w:hAnsi="宋体"/>
              </w:rPr>
            </w:pPr>
            <w:r>
              <w:rPr>
                <w:rFonts w:ascii="宋体" w:hAnsi="宋体"/>
                <w:b/>
                <w:bCs/>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3</w:t>
            </w:r>
            <w:r>
              <w:rPr>
                <w:rFonts w:ascii="宋体" w:hAnsi="宋体"/>
              </w:rPr>
              <w:t>8</w:t>
            </w:r>
          </w:p>
        </w:tc>
        <w:tc>
          <w:tcPr>
            <w:tcW w:w="1965" w:type="dxa"/>
            <w:vAlign w:val="center"/>
          </w:tcPr>
          <w:p>
            <w:pPr>
              <w:jc w:val="center"/>
              <w:rPr>
                <w:rFonts w:ascii="宋体" w:hAnsi="宋体"/>
              </w:rPr>
            </w:pPr>
            <w:r>
              <w:rPr>
                <w:rFonts w:hint="eastAsia" w:ascii="宋体" w:hAnsi="宋体"/>
              </w:rPr>
              <w:t>定标方法</w:t>
            </w:r>
          </w:p>
        </w:tc>
        <w:tc>
          <w:tcPr>
            <w:tcW w:w="6162" w:type="dxa"/>
            <w:vAlign w:val="center"/>
          </w:tcPr>
          <w:p>
            <w:pPr>
              <w:jc w:val="center"/>
              <w:rPr>
                <w:rFonts w:ascii="宋体" w:hAnsi="宋体"/>
                <w:b/>
                <w:bCs/>
                <w:highlight w:val="yellow"/>
              </w:rPr>
            </w:pPr>
            <w:r>
              <w:rPr>
                <w:rFonts w:hint="eastAsia" w:ascii="宋体" w:hAnsi="宋体" w:eastAsia="宋体" w:cs="Times New Roman"/>
                <w:b/>
                <w:bCs/>
                <w:szCs w:val="21"/>
                <w:highlight w:val="yellow"/>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78" w:type="dxa"/>
            <w:vAlign w:val="center"/>
          </w:tcPr>
          <w:p>
            <w:pPr>
              <w:jc w:val="center"/>
              <w:rPr>
                <w:rFonts w:ascii="宋体" w:hAnsi="宋体"/>
              </w:rPr>
            </w:pPr>
            <w:r>
              <w:rPr>
                <w:rFonts w:hint="eastAsia" w:ascii="宋体" w:hAnsi="宋体"/>
              </w:rPr>
              <w:t>4</w:t>
            </w:r>
            <w:r>
              <w:rPr>
                <w:rFonts w:ascii="宋体" w:hAnsi="宋体"/>
              </w:rPr>
              <w:t>6</w:t>
            </w:r>
          </w:p>
        </w:tc>
        <w:tc>
          <w:tcPr>
            <w:tcW w:w="1965" w:type="dxa"/>
            <w:vAlign w:val="center"/>
          </w:tcPr>
          <w:p>
            <w:pPr>
              <w:jc w:val="center"/>
              <w:rPr>
                <w:rFonts w:ascii="宋体" w:hAnsi="宋体"/>
              </w:rPr>
            </w:pPr>
            <w:r>
              <w:rPr>
                <w:rFonts w:hint="eastAsia" w:ascii="宋体" w:hAnsi="宋体"/>
              </w:rPr>
              <w:t>履约担保</w:t>
            </w:r>
          </w:p>
        </w:tc>
        <w:tc>
          <w:tcPr>
            <w:tcW w:w="6162" w:type="dxa"/>
            <w:vAlign w:val="center"/>
          </w:tcPr>
          <w:p>
            <w:pPr>
              <w:jc w:val="center"/>
              <w:rPr>
                <w:rFonts w:ascii="宋体" w:hAnsi="宋体"/>
              </w:rPr>
            </w:pPr>
            <w:r>
              <w:rPr>
                <w:rFonts w:hint="eastAsia" w:ascii="宋体" w:hAnsi="宋体"/>
              </w:rPr>
              <w:t>不需要</w:t>
            </w:r>
          </w:p>
        </w:tc>
      </w:tr>
      <w:bookmarkEnd w:id="11"/>
      <w:bookmarkEnd w:id="12"/>
      <w:bookmarkEnd w:id="13"/>
      <w:bookmarkEnd w:id="14"/>
      <w:bookmarkEnd w:id="15"/>
      <w:bookmarkEnd w:id="16"/>
      <w:bookmarkEnd w:id="17"/>
      <w:bookmarkEnd w:id="18"/>
    </w:tbl>
    <w:p>
      <w:pPr>
        <w:widowControl/>
        <w:jc w:val="center"/>
        <w:rPr>
          <w:szCs w:val="21"/>
        </w:rPr>
      </w:pPr>
      <w:r>
        <w:rPr>
          <w:rFonts w:hint="eastAsia"/>
          <w:szCs w:val="21"/>
        </w:rPr>
        <w:t>备注：本表是通用条款相关条款的补充和明确，如与通用条款内容相冲突的，以本表为准。</w:t>
      </w:r>
    </w:p>
    <w:p>
      <w:pPr>
        <w:keepNext/>
        <w:keepLines/>
        <w:adjustRightInd w:val="0"/>
        <w:spacing w:before="156" w:beforeLines="50" w:after="156" w:afterLines="50"/>
        <w:jc w:val="center"/>
        <w:textAlignment w:val="baseline"/>
        <w:outlineLvl w:val="2"/>
        <w:rPr>
          <w:rFonts w:ascii="宋体" w:hAnsi="宋体" w:eastAsia="宋体" w:cs="Times New Roman"/>
          <w:b/>
          <w:bCs/>
          <w:kern w:val="0"/>
          <w:sz w:val="24"/>
          <w:szCs w:val="24"/>
        </w:rPr>
      </w:pPr>
      <w:r>
        <w:rPr>
          <w:rFonts w:hint="eastAsia" w:ascii="宋体" w:hAnsi="宋体" w:eastAsia="宋体" w:cs="Times New Roman"/>
          <w:b/>
          <w:bCs/>
          <w:kern w:val="0"/>
          <w:sz w:val="24"/>
          <w:szCs w:val="24"/>
        </w:rPr>
        <w:t>二、</w:t>
      </w:r>
      <w:bookmarkStart w:id="20" w:name="OLE_LINK36"/>
      <w:r>
        <w:rPr>
          <w:rFonts w:hint="eastAsia" w:ascii="宋体" w:hAnsi="宋体" w:eastAsia="宋体" w:cs="Times New Roman"/>
          <w:b/>
          <w:bCs/>
          <w:kern w:val="0"/>
          <w:sz w:val="24"/>
          <w:szCs w:val="24"/>
        </w:rPr>
        <w:t>其他关键信息</w:t>
      </w:r>
      <w:bookmarkEnd w:id="20"/>
    </w:p>
    <w:p>
      <w:pPr>
        <w:tabs>
          <w:tab w:val="left" w:pos="720"/>
        </w:tabs>
        <w:rPr>
          <w:rFonts w:ascii="黑体" w:hAnsi="宋体" w:eastAsia="黑体"/>
          <w:sz w:val="24"/>
        </w:rPr>
      </w:pPr>
      <w:r>
        <w:rPr>
          <w:rFonts w:hint="eastAsia" w:ascii="黑体" w:hAnsi="宋体" w:eastAsia="黑体"/>
          <w:sz w:val="24"/>
        </w:rPr>
        <w:t>（一）</w:t>
      </w:r>
      <w:r>
        <w:rPr>
          <w:rFonts w:hint="eastAsia" w:ascii="黑体" w:hAnsi="宋体" w:eastAsia="黑体"/>
          <w:bCs/>
          <w:sz w:val="24"/>
        </w:rPr>
        <w:t>与“对通用条款的补充内容”章节相关的事项</w:t>
      </w:r>
    </w:p>
    <w:p>
      <w:pPr>
        <w:tabs>
          <w:tab w:val="left" w:pos="720"/>
        </w:tabs>
        <w:rPr>
          <w:rFonts w:ascii="黑体" w:hAnsi="宋体" w:eastAsia="黑体"/>
          <w:bCs/>
          <w:sz w:val="24"/>
        </w:rPr>
      </w:pPr>
      <w:r>
        <w:rPr>
          <w:rFonts w:hint="eastAsia" w:ascii="黑体" w:hAnsi="宋体" w:eastAsia="黑体"/>
          <w:bCs/>
          <w:sz w:val="24"/>
        </w:rPr>
        <w:t>1、评标定标信息</w:t>
      </w:r>
    </w:p>
    <w:p>
      <w:pPr>
        <w:jc w:val="center"/>
      </w:pPr>
      <w:r>
        <w:rPr>
          <w:rFonts w:hint="eastAsia"/>
          <w:b/>
        </w:rPr>
        <w:t>非评定分离项目</w:t>
      </w:r>
    </w:p>
    <w:tbl>
      <w:tblPr>
        <w:tblStyle w:val="2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44" w:type="dxa"/>
          </w:tcPr>
          <w:p>
            <w:pPr>
              <w:jc w:val="center"/>
            </w:pPr>
            <w:r>
              <w:rPr>
                <w:rFonts w:hint="eastAsia"/>
              </w:rPr>
              <w:t>评标方法</w:t>
            </w:r>
          </w:p>
        </w:tc>
        <w:tc>
          <w:tcPr>
            <w:tcW w:w="3235" w:type="dxa"/>
          </w:tcPr>
          <w:p>
            <w:pPr>
              <w:jc w:val="center"/>
              <w:rPr>
                <w:rFonts w:eastAsia="宋体"/>
              </w:rPr>
            </w:pPr>
            <w:r>
              <w:rPr>
                <w:rFonts w:hint="eastAsia"/>
              </w:rPr>
              <w:sym w:font="Wingdings" w:char="00FE"/>
            </w:r>
            <w:r>
              <w:rPr>
                <w:rFonts w:hint="eastAsia"/>
              </w:rPr>
              <w:t>综合评分法</w:t>
            </w:r>
          </w:p>
        </w:tc>
        <w:tc>
          <w:tcPr>
            <w:tcW w:w="2450" w:type="dxa"/>
          </w:tcPr>
          <w:p>
            <w:pPr>
              <w:jc w:val="center"/>
            </w:pPr>
            <w:r>
              <w:rPr>
                <w:rFonts w:hint="eastAsia" w:ascii="Times New Roman" w:eastAsia="宋体"/>
              </w:rPr>
              <w:sym w:font="Wingdings" w:char="00A8"/>
            </w:r>
            <w:r>
              <w:rPr>
                <w:rFonts w:hint="eastAsia" w:ascii="Times New Roman" w:eastAsia="宋体"/>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4" w:type="dxa"/>
          </w:tcPr>
          <w:p>
            <w:pPr>
              <w:jc w:val="center"/>
            </w:pPr>
            <w:r>
              <w:rPr>
                <w:rFonts w:hint="eastAsia"/>
              </w:rPr>
              <w:t>候选中标供应商家数</w:t>
            </w:r>
          </w:p>
        </w:tc>
        <w:tc>
          <w:tcPr>
            <w:tcW w:w="3235" w:type="dxa"/>
          </w:tcPr>
          <w:p>
            <w:pPr>
              <w:jc w:val="center"/>
              <w:rPr>
                <w:rFonts w:hint="eastAsia" w:eastAsia="宋体"/>
                <w:lang w:eastAsia="zh-CN"/>
              </w:rPr>
            </w:pPr>
            <w:r>
              <w:rPr>
                <w:rFonts w:hint="default" w:eastAsia="宋体"/>
                <w:lang w:val="en-US"/>
              </w:rPr>
              <w:t>3</w:t>
            </w:r>
          </w:p>
        </w:tc>
        <w:tc>
          <w:tcPr>
            <w:tcW w:w="2450" w:type="dxa"/>
          </w:tcPr>
          <w:p>
            <w:pPr>
              <w:jc w:val="center"/>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4" w:type="dxa"/>
          </w:tcPr>
          <w:p>
            <w:pPr>
              <w:jc w:val="center"/>
            </w:pPr>
            <w:r>
              <w:rPr>
                <w:rFonts w:hint="eastAsia"/>
              </w:rPr>
              <w:t>中标供应商家数</w:t>
            </w:r>
          </w:p>
        </w:tc>
        <w:tc>
          <w:tcPr>
            <w:tcW w:w="3235" w:type="dxa"/>
          </w:tcPr>
          <w:p>
            <w:pPr>
              <w:jc w:val="center"/>
              <w:rPr>
                <w:rFonts w:hint="eastAsia" w:eastAsiaTheme="minorEastAsia"/>
                <w:lang w:eastAsia="zh-CN"/>
              </w:rPr>
            </w:pPr>
            <w:r>
              <w:rPr>
                <w:rFonts w:hint="default"/>
                <w:lang w:val="en-US"/>
              </w:rPr>
              <w:t>1</w:t>
            </w:r>
          </w:p>
        </w:tc>
        <w:tc>
          <w:tcPr>
            <w:tcW w:w="2450" w:type="dxa"/>
          </w:tcPr>
          <w:p>
            <w:pPr>
              <w:jc w:val="center"/>
            </w:pPr>
            <w:r>
              <w:rPr>
                <w:rFonts w:hint="eastAsia"/>
              </w:rPr>
              <w:t>1</w:t>
            </w:r>
          </w:p>
        </w:tc>
      </w:tr>
    </w:tbl>
    <w:p>
      <w:pPr>
        <w:tabs>
          <w:tab w:val="left" w:pos="720"/>
        </w:tabs>
        <w:rPr>
          <w:rFonts w:ascii="黑体" w:hAnsi="宋体" w:eastAsia="黑体"/>
          <w:sz w:val="24"/>
        </w:rPr>
      </w:pPr>
    </w:p>
    <w:p>
      <w:pPr>
        <w:tabs>
          <w:tab w:val="left" w:pos="720"/>
        </w:tabs>
        <w:spacing w:line="240" w:lineRule="auto"/>
        <w:rPr>
          <w:rFonts w:ascii="黑体" w:hAnsi="宋体" w:eastAsia="黑体"/>
          <w:sz w:val="24"/>
        </w:rPr>
      </w:pPr>
      <w:r>
        <w:rPr>
          <w:rFonts w:hint="eastAsia" w:ascii="黑体" w:hAnsi="宋体" w:eastAsia="黑体"/>
          <w:sz w:val="24"/>
        </w:rPr>
        <w:t>（二）其他事项</w:t>
      </w:r>
    </w:p>
    <w:p>
      <w:pPr>
        <w:tabs>
          <w:tab w:val="left" w:pos="720"/>
        </w:tabs>
        <w:spacing w:line="240" w:lineRule="auto"/>
        <w:ind w:left="0" w:leftChars="0" w:firstLine="420" w:firstLineChars="175"/>
        <w:rPr>
          <w:rFonts w:ascii="黑体" w:hAnsi="宋体" w:eastAsia="黑体"/>
          <w:sz w:val="24"/>
        </w:rPr>
      </w:pPr>
      <w:r>
        <w:rPr>
          <w:rFonts w:hint="eastAsia" w:ascii="黑体" w:hAnsi="宋体" w:eastAsia="黑体"/>
          <w:sz w:val="24"/>
        </w:rPr>
        <w:t>1、关于享受优惠政策的主体、价格扣除比例及采购标的所属行业</w:t>
      </w:r>
    </w:p>
    <w:p>
      <w:pPr>
        <w:spacing w:line="240" w:lineRule="auto"/>
        <w:ind w:firstLine="413" w:firstLineChars="196"/>
        <w:rPr>
          <w:rFonts w:ascii="宋体" w:hAnsi="宋体"/>
          <w:b/>
          <w:bCs/>
        </w:rPr>
      </w:pPr>
      <w:r>
        <w:rPr>
          <w:rFonts w:hint="eastAsia" w:ascii="宋体" w:hAnsi="宋体"/>
          <w:b/>
          <w:bCs/>
        </w:rPr>
        <w:t>（1）</w:t>
      </w:r>
      <w:r>
        <w:rPr>
          <w:rFonts w:hint="eastAsia"/>
          <w:b/>
          <w:bCs/>
        </w:rPr>
        <w:t>专门面向中小企业采购的项目（包括联合体或分包预留中小企业份额的项目），不再执行价格扣除比例。</w:t>
      </w:r>
    </w:p>
    <w:p>
      <w:pPr>
        <w:spacing w:line="240" w:lineRule="auto"/>
        <w:ind w:firstLine="411" w:firstLineChars="196"/>
        <w:rPr>
          <w:rFonts w:ascii="Arial" w:hAnsi="Arial" w:eastAsia="宋体" w:cs="Times New Roman"/>
          <w:b/>
          <w:color w:val="0000FF"/>
          <w:szCs w:val="21"/>
          <w:highlight w:val="yellow"/>
        </w:rPr>
      </w:pPr>
      <w:r>
        <w:rPr>
          <w:rFonts w:hint="eastAsia" w:ascii="宋体" w:hAnsi="宋体"/>
        </w:rPr>
        <w:t>（2）</w:t>
      </w:r>
      <w:r>
        <w:rPr>
          <w:rFonts w:hint="eastAsia"/>
        </w:rPr>
        <w:t>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w:t>
      </w:r>
      <w:r>
        <w:rPr>
          <w:rFonts w:hint="eastAsia" w:ascii="宋体" w:hAnsi="宋体"/>
        </w:rPr>
        <w:t>投标人提供的货物（以招标文件用户需求书“货物需求明细”的“货物名称”一栏为准）全部均由优惠主体制造的，对其投标总价给予</w:t>
      </w:r>
      <w:r>
        <w:rPr>
          <w:rFonts w:hint="eastAsia" w:ascii="宋体" w:hAnsi="宋体"/>
          <w:b/>
          <w:bCs/>
          <w:color w:val="FF0000"/>
          <w:highlight w:val="yellow"/>
          <w:u w:val="single"/>
        </w:rPr>
        <w:t xml:space="preserve"> </w:t>
      </w:r>
      <w:r>
        <w:rPr>
          <w:rFonts w:hint="eastAsia" w:ascii="宋体" w:hAnsi="宋体"/>
          <w:b/>
          <w:bCs/>
          <w:color w:val="FF0000"/>
          <w:highlight w:val="yellow"/>
          <w:u w:val="single"/>
          <w:lang w:val="en-US" w:eastAsia="zh-CN"/>
        </w:rPr>
        <w:t xml:space="preserve"> </w:t>
      </w:r>
      <w:r>
        <w:rPr>
          <w:rFonts w:hint="eastAsia" w:ascii="宋体" w:hAnsi="宋体"/>
          <w:b/>
          <w:bCs/>
          <w:color w:val="FF0000"/>
          <w:highlight w:val="yellow"/>
          <w:u w:val="single"/>
        </w:rPr>
        <w:t>10%</w:t>
      </w:r>
      <w:r>
        <w:rPr>
          <w:rFonts w:hint="eastAsia" w:ascii="宋体" w:hAnsi="宋体" w:eastAsia="宋体" w:cs="Times New Roman"/>
          <w:b/>
          <w:bCs/>
          <w:color w:val="FF0000"/>
          <w:sz w:val="24"/>
          <w:szCs w:val="24"/>
          <w:highlight w:val="yellow"/>
          <w:u w:val="single"/>
        </w:rPr>
        <w:t xml:space="preserve">  </w:t>
      </w:r>
      <w:r>
        <w:rPr>
          <w:rFonts w:hint="eastAsia" w:ascii="宋体" w:hAnsi="宋体"/>
        </w:rPr>
        <w:t>的扣除，用扣除后的价格参与评审。满足多项优惠政策的企业，不重复享受多项价格扣除政策。</w:t>
      </w:r>
      <w:r>
        <w:rPr>
          <w:rFonts w:hint="eastAsia" w:ascii="Arial" w:hAnsi="Arial" w:eastAsia="宋体" w:cs="Times New Roman"/>
          <w:b/>
          <w:szCs w:val="21"/>
        </w:rPr>
        <w:t>政策调整后价格仅作为评审依据，不作为中标价格。</w:t>
      </w:r>
    </w:p>
    <w:p>
      <w:pPr>
        <w:spacing w:line="24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备注：</w:t>
      </w:r>
      <w:r>
        <w:rPr>
          <w:rFonts w:hint="eastAsia" w:asciiTheme="minorEastAsia" w:hAnsiTheme="minorEastAsia" w:cstheme="minorEastAsia"/>
          <w:b/>
          <w:bCs/>
          <w:szCs w:val="21"/>
        </w:rPr>
        <w:t>（a）</w:t>
      </w:r>
      <w:r>
        <w:rPr>
          <w:rFonts w:hint="eastAsia" w:asciiTheme="minorEastAsia" w:hAnsiTheme="minorEastAsia" w:cstheme="minorEastAsia"/>
          <w:szCs w:val="21"/>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rFonts w:hint="eastAsia" w:ascii="宋体" w:hAnsi="宋体"/>
        </w:rPr>
        <w:t>根据《财政部 司法部关于政府采购支持监狱企业发展有关问题的通知》</w:t>
      </w:r>
      <w:r>
        <w:rPr>
          <w:rFonts w:hint="eastAsia" w:ascii="宋体" w:hAnsi="宋体"/>
          <w:lang w:eastAsia="zh-CN"/>
        </w:rPr>
        <w:t>（</w:t>
      </w:r>
      <w:r>
        <w:rPr>
          <w:rFonts w:hint="eastAsia" w:ascii="宋体" w:hAnsi="宋体"/>
        </w:rPr>
        <w:t>财库〔2014〕68号</w:t>
      </w:r>
      <w:r>
        <w:rPr>
          <w:rFonts w:hint="eastAsia" w:ascii="宋体" w:hAnsi="宋体"/>
          <w:lang w:eastAsia="zh-CN"/>
        </w:rPr>
        <w:t>）</w:t>
      </w:r>
      <w:r>
        <w:rPr>
          <w:rFonts w:hint="eastAsia" w:ascii="宋体" w:hAnsi="宋体"/>
        </w:rPr>
        <w:t>，在政府采购活动中，监狱企业视同小型、微型企业；根据《关于促进残疾人就业政府采购政策的通知》</w:t>
      </w:r>
      <w:r>
        <w:rPr>
          <w:rFonts w:hint="eastAsia" w:ascii="宋体" w:hAnsi="宋体"/>
          <w:lang w:eastAsia="zh-CN"/>
        </w:rPr>
        <w:t>（</w:t>
      </w:r>
      <w:r>
        <w:rPr>
          <w:rFonts w:hint="eastAsia" w:ascii="宋体" w:hAnsi="宋体"/>
        </w:rPr>
        <w:t>财库〔2017〕141号</w:t>
      </w:r>
      <w:r>
        <w:rPr>
          <w:rFonts w:hint="eastAsia" w:ascii="宋体" w:hAnsi="宋体"/>
          <w:lang w:eastAsia="zh-CN"/>
        </w:rPr>
        <w:t>）</w:t>
      </w:r>
      <w:r>
        <w:rPr>
          <w:rFonts w:hint="eastAsia" w:ascii="宋体" w:hAnsi="宋体"/>
        </w:rPr>
        <w:t>，在政府采购活动中，残疾人福利性单位视同小型、微型企业；</w:t>
      </w:r>
      <w:r>
        <w:rPr>
          <w:rFonts w:hint="eastAsia" w:ascii="宋体" w:hAnsi="宋体"/>
          <w:lang w:eastAsia="zh-CN"/>
        </w:rPr>
        <w:t>（</w:t>
      </w:r>
      <w:r>
        <w:rPr>
          <w:rFonts w:hint="eastAsia" w:asciiTheme="minorEastAsia" w:hAnsiTheme="minorEastAsia" w:cstheme="minorEastAsia"/>
          <w:b/>
          <w:bCs/>
          <w:szCs w:val="21"/>
        </w:rPr>
        <w:t>b</w:t>
      </w:r>
      <w:r>
        <w:rPr>
          <w:rFonts w:hint="eastAsia" w:asciiTheme="minorEastAsia" w:hAnsiTheme="minorEastAsia" w:cstheme="minorEastAsia"/>
          <w:b/>
          <w:bCs/>
          <w:szCs w:val="21"/>
          <w:lang w:eastAsia="zh-CN"/>
        </w:rPr>
        <w:t>）</w:t>
      </w:r>
      <w:r>
        <w:rPr>
          <w:rFonts w:hint="eastAsia" w:asciiTheme="minorEastAsia" w:hAnsiTheme="minorEastAsia" w:cstheme="minorEastAsia"/>
          <w:szCs w:val="21"/>
        </w:rPr>
        <w:t>优惠主体制造是指货物由优惠主体生产且使用该优惠主体商号或者注册商标；投标人提供的货物既有优惠主体制造货物，又有非优惠主体制造货物的，不给予价格扣除。</w:t>
      </w:r>
    </w:p>
    <w:p>
      <w:pPr>
        <w:pStyle w:val="10"/>
        <w:rPr>
          <w:rFonts w:asciiTheme="minorEastAsia" w:hAnsiTheme="minorEastAsia" w:cstheme="minorEastAsia"/>
          <w:szCs w:val="21"/>
        </w:rPr>
      </w:pPr>
      <w:r>
        <w:rPr>
          <w:rFonts w:hint="eastAsia" w:asciiTheme="minorEastAsia" w:hAnsiTheme="minorEastAsia" w:cstheme="minorEastAsia"/>
          <w:szCs w:val="21"/>
        </w:rPr>
        <w:t>（3）</w:t>
      </w:r>
      <w:bookmarkStart w:id="21" w:name="_Hlk71970739"/>
      <w:r>
        <w:rPr>
          <w:rFonts w:hint="eastAsia" w:asciiTheme="minorEastAsia" w:hAnsiTheme="minorEastAsia" w:cstheme="minorEastAsia"/>
          <w:szCs w:val="21"/>
        </w:rPr>
        <w:t>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21"/>
      <w:r>
        <w:rPr>
          <w:rFonts w:ascii="宋体" w:hAnsi="宋体" w:eastAsia="宋体" w:cs="宋体"/>
          <w:b/>
          <w:bCs/>
          <w:color w:val="FF0000"/>
          <w:sz w:val="21"/>
          <w:szCs w:val="21"/>
        </w:rPr>
        <w:t>《中小企业声明函》中相关企业</w:t>
      </w:r>
      <w:r>
        <w:rPr>
          <w:rFonts w:hint="eastAsia" w:ascii="宋体" w:hAnsi="宋体" w:cs="宋体"/>
          <w:b/>
          <w:bCs/>
          <w:color w:val="FF0000"/>
          <w:sz w:val="21"/>
          <w:szCs w:val="21"/>
          <w:lang w:eastAsia="zh-CN"/>
        </w:rPr>
        <w:t>（服务承接商）</w:t>
      </w:r>
      <w:r>
        <w:rPr>
          <w:rFonts w:ascii="宋体" w:hAnsi="宋体" w:eastAsia="宋体" w:cs="宋体"/>
          <w:b/>
          <w:bCs/>
          <w:color w:val="FF0000"/>
          <w:sz w:val="21"/>
          <w:szCs w:val="21"/>
        </w:rPr>
        <w:t>所属行业应当与采购标的所属行业相一致</w:t>
      </w:r>
      <w:r>
        <w:rPr>
          <w:rFonts w:hint="eastAsia" w:eastAsia="宋体"/>
          <w:b/>
          <w:bCs/>
          <w:color w:val="FF0000"/>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w:t>
      </w:r>
      <w:r>
        <w:rPr>
          <w:rFonts w:hint="eastAsia"/>
          <w:b/>
          <w:bCs/>
          <w:color w:val="FF0000"/>
          <w:lang w:val="en-US" w:eastAsia="zh-CN"/>
        </w:rPr>
        <w:t>服务需求</w:t>
      </w:r>
      <w:r>
        <w:rPr>
          <w:rFonts w:hint="eastAsia" w:ascii="Times New Roman" w:eastAsia="宋体"/>
          <w:b/>
          <w:bCs/>
          <w:color w:val="FF0000"/>
          <w:lang w:val="en-US" w:eastAsia="zh-CN"/>
        </w:rPr>
        <w:t>明细”的“标的所属行业”一栏为准</w:t>
      </w:r>
      <w:r>
        <w:rPr>
          <w:rFonts w:ascii="宋体" w:hAnsi="宋体" w:eastAsia="宋体" w:cs="宋体"/>
          <w:b/>
          <w:bCs/>
          <w:color w:val="FF0000"/>
          <w:sz w:val="21"/>
          <w:szCs w:val="21"/>
        </w:rPr>
        <w:t>。</w:t>
      </w:r>
    </w:p>
    <w:p>
      <w:pPr>
        <w:spacing w:line="24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（4）小型企业、微型企业、残疾人福利性单位作为优惠主体的认定资料为《中小企业声明函</w:t>
      </w:r>
      <w:r>
        <w:rPr>
          <w:rFonts w:hint="eastAsia" w:asciiTheme="minorEastAsia" w:hAnsiTheme="minorEastAsia" w:cstheme="minorEastAsia"/>
          <w:szCs w:val="21"/>
          <w:lang w:eastAsia="zh-CN"/>
        </w:rPr>
        <w:t>》《</w:t>
      </w:r>
      <w:r>
        <w:rPr>
          <w:rFonts w:hint="eastAsia" w:asciiTheme="minorEastAsia" w:hAnsiTheme="minorEastAsia" w:cstheme="minorEastAsia"/>
          <w:szCs w:val="21"/>
        </w:rPr>
        <w:t>残疾人福利性单位声明函》；监狱企业作为优惠主体的认定资料为省级以上监狱管理局、戒毒管理局出具的监狱企业证明文件。声明函样式见本招标文件第一册专用条款第四章“投标文件组成要求及格式”中“中小企业声明函、残疾人福利性单位声明函及监狱企业声明函”章节提供的格式。</w:t>
      </w:r>
    </w:p>
    <w:p>
      <w:pPr>
        <w:tabs>
          <w:tab w:val="left" w:pos="720"/>
        </w:tabs>
        <w:spacing w:line="24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（5）享受价格扣除获得政府采购合同的，小微企业不得将合同分包给大中型企业。</w:t>
      </w:r>
    </w:p>
    <w:p>
      <w:pPr>
        <w:tabs>
          <w:tab w:val="left" w:pos="720"/>
        </w:tabs>
        <w:spacing w:line="240" w:lineRule="auto"/>
        <w:ind w:firstLine="422" w:firstLineChars="200"/>
        <w:rPr>
          <w:rFonts w:ascii="宋体" w:hAnsi="宋体"/>
          <w:b/>
          <w:bCs/>
          <w:color w:val="FF0000"/>
        </w:rPr>
      </w:pPr>
      <w:r>
        <w:rPr>
          <w:rFonts w:hint="eastAsia" w:ascii="宋体" w:hAnsi="宋体"/>
          <w:b/>
          <w:bCs/>
          <w:color w:val="FF0000"/>
          <w:lang w:val="en-US" w:eastAsia="zh-CN"/>
        </w:rPr>
        <w:t>2、</w:t>
      </w:r>
      <w:r>
        <w:rPr>
          <w:rFonts w:ascii="宋体" w:hAnsi="宋体"/>
          <w:b/>
          <w:bCs/>
          <w:color w:val="FF0000"/>
        </w:rPr>
        <w:t>本项目为代理服务项目，将向中标</w:t>
      </w:r>
      <w:r>
        <w:rPr>
          <w:rFonts w:hint="eastAsia" w:ascii="宋体" w:hAnsi="宋体"/>
          <w:b/>
          <w:bCs/>
          <w:color w:val="FF0000"/>
        </w:rPr>
        <w:t>（成交）</w:t>
      </w:r>
      <w:r>
        <w:rPr>
          <w:rFonts w:ascii="宋体" w:hAnsi="宋体"/>
          <w:b/>
          <w:bCs/>
          <w:color w:val="FF0000"/>
        </w:rPr>
        <w:t>供应商收取代理服务费</w:t>
      </w:r>
      <w:r>
        <w:rPr>
          <w:rFonts w:hint="eastAsia" w:ascii="宋体" w:hAnsi="宋体"/>
          <w:b/>
          <w:bCs/>
          <w:color w:val="FF0000"/>
        </w:rPr>
        <w:t>。</w:t>
      </w:r>
    </w:p>
    <w:p>
      <w:pPr>
        <w:widowControl/>
        <w:spacing w:line="240" w:lineRule="auto"/>
        <w:ind w:firstLine="420"/>
        <w:jc w:val="left"/>
        <w:rPr>
          <w:rFonts w:ascii="宋体" w:hAnsi="宋体"/>
          <w:color w:val="FF0000"/>
          <w:szCs w:val="21"/>
        </w:rPr>
      </w:pPr>
      <w:r>
        <w:rPr>
          <w:rFonts w:hint="eastAsia" w:ascii="宋体" w:hAnsi="宋体"/>
          <w:color w:val="FF0000"/>
          <w:szCs w:val="21"/>
        </w:rPr>
        <w:t>中标（成交）供应商在领取《中标（成交）通知书》之前须向深圳公共资源交易中心（深圳交易集团有限公司龙华分公司）交纳代理服务费。若因中标（成交）供应商交纳代理服务费所产生的时间影响到合同签订的，由中标（成交）供应商自行承担责任。代理服务费标准参照下列标准收取。本项目类型为</w:t>
      </w:r>
      <w:r>
        <w:rPr>
          <w:rFonts w:hint="eastAsia" w:ascii="宋体" w:hAnsi="宋体"/>
          <w:b/>
          <w:bCs/>
          <w:color w:val="FF0000"/>
          <w:szCs w:val="21"/>
          <w:u w:val="single"/>
        </w:rPr>
        <w:t>服务采购</w:t>
      </w:r>
      <w:r>
        <w:rPr>
          <w:rFonts w:hint="eastAsia" w:ascii="宋体" w:hAnsi="宋体"/>
          <w:color w:val="FF0000"/>
          <w:szCs w:val="21"/>
        </w:rPr>
        <w:t>：</w:t>
      </w:r>
    </w:p>
    <w:p>
      <w:pPr>
        <w:widowControl/>
        <w:spacing w:line="240" w:lineRule="auto"/>
        <w:ind w:firstLine="420"/>
        <w:jc w:val="left"/>
        <w:rPr>
          <w:rFonts w:ascii="宋体" w:hAnsi="宋体"/>
          <w:color w:val="FF0000"/>
          <w:szCs w:val="21"/>
        </w:rPr>
      </w:pPr>
      <w:r>
        <w:rPr>
          <w:rFonts w:hint="eastAsia" w:ascii="宋体" w:hAnsi="宋体"/>
          <w:color w:val="FF0000"/>
          <w:szCs w:val="21"/>
        </w:rPr>
        <w:t>（1）代理服务费以《中标（成交）通知书》确定的中标（成交）金额作为计算基数，按差额定率累进法计算。</w:t>
      </w:r>
    </w:p>
    <w:p>
      <w:pPr>
        <w:widowControl/>
        <w:spacing w:line="240" w:lineRule="auto"/>
        <w:ind w:firstLine="420"/>
        <w:jc w:val="left"/>
        <w:rPr>
          <w:rFonts w:ascii="宋体" w:hAnsi="宋体"/>
          <w:color w:val="FF0000"/>
          <w:szCs w:val="21"/>
        </w:rPr>
      </w:pPr>
      <w:r>
        <w:rPr>
          <w:rFonts w:hint="eastAsia" w:ascii="宋体" w:hAnsi="宋体"/>
          <w:color w:val="FF0000"/>
          <w:szCs w:val="21"/>
        </w:rPr>
        <w:t>（2）中标（成交）金额的各部分费率如下表：</w:t>
      </w:r>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中标（成交）金额</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货物采购</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服务采购</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100万元以下</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100万元（含）-500万元</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1.1%</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0.8%</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500万元（含）-1000万元</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0.8%</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0.45%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1000万元（含）-5000万元</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0.25%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5000万元（含）-1亿元</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0.25%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0.1%</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1亿元（含）-5亿元</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5亿元（含）-10亿元</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0.035%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0.035%</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10亿元（含）-50亿元</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0.008%</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0.008%</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50亿元（含）-100亿元</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0.006%</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0.006%</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100亿元（含）以上</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0.004%</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0.004%</w:t>
            </w:r>
          </w:p>
        </w:tc>
        <w:tc>
          <w:tcPr>
            <w:tcW w:w="1799" w:type="dxa"/>
            <w:vAlign w:val="center"/>
          </w:tcPr>
          <w:p>
            <w:pPr>
              <w:widowControl/>
              <w:spacing w:line="240" w:lineRule="auto"/>
              <w:ind w:firstLine="420"/>
              <w:jc w:val="left"/>
              <w:rPr>
                <w:rFonts w:ascii="宋体" w:hAnsi="宋体"/>
                <w:color w:val="FF0000"/>
                <w:szCs w:val="21"/>
              </w:rPr>
            </w:pPr>
            <w:r>
              <w:rPr>
                <w:rFonts w:hint="eastAsia" w:ascii="宋体" w:hAnsi="宋体"/>
                <w:color w:val="FF0000"/>
                <w:szCs w:val="21"/>
              </w:rPr>
              <w:t>0.004%</w:t>
            </w:r>
          </w:p>
        </w:tc>
      </w:tr>
    </w:tbl>
    <w:p>
      <w:pPr>
        <w:widowControl/>
        <w:spacing w:line="240" w:lineRule="auto"/>
        <w:ind w:firstLine="420"/>
        <w:jc w:val="left"/>
        <w:rPr>
          <w:rFonts w:ascii="宋体" w:hAnsi="宋体"/>
          <w:color w:val="FF0000"/>
          <w:szCs w:val="21"/>
        </w:rPr>
      </w:pPr>
      <w:r>
        <w:rPr>
          <w:rFonts w:hint="eastAsia" w:ascii="宋体" w:hAnsi="宋体"/>
          <w:color w:val="FF0000"/>
          <w:szCs w:val="21"/>
        </w:rPr>
        <w:t>备注：1.每宗交易代理服务费不低于 5000 元；</w:t>
      </w:r>
    </w:p>
    <w:p>
      <w:pPr>
        <w:widowControl/>
        <w:spacing w:line="240" w:lineRule="auto"/>
        <w:ind w:firstLine="420"/>
        <w:jc w:val="left"/>
        <w:rPr>
          <w:rFonts w:ascii="宋体" w:hAnsi="宋体"/>
          <w:color w:val="FF0000"/>
          <w:szCs w:val="21"/>
        </w:rPr>
      </w:pPr>
      <w:r>
        <w:rPr>
          <w:rFonts w:hint="eastAsia" w:ascii="宋体" w:hAnsi="宋体"/>
          <w:color w:val="FF0000"/>
          <w:szCs w:val="21"/>
        </w:rPr>
        <w:t>2.对于报总价的采购类项目，中标（成交）价为中标（成交）金额；对于报单价或折扣或费率的采购类项目，中标（成交）价为预算上限金额或经委托方与代理方确定的支付上限金额。</w:t>
      </w:r>
    </w:p>
    <w:p>
      <w:pPr>
        <w:widowControl/>
        <w:spacing w:line="240" w:lineRule="auto"/>
        <w:ind w:firstLine="420"/>
        <w:jc w:val="left"/>
        <w:rPr>
          <w:rFonts w:ascii="宋体" w:hAnsi="宋体"/>
          <w:color w:val="FF0000"/>
          <w:szCs w:val="21"/>
        </w:rPr>
      </w:pPr>
      <w:r>
        <w:rPr>
          <w:rFonts w:hint="eastAsia" w:ascii="宋体" w:hAnsi="宋体"/>
          <w:color w:val="FF0000"/>
          <w:szCs w:val="21"/>
        </w:rPr>
        <w:t>如某货物采购项目，中标（成交）金额为600万元，总共交纳的代理服务费的具体计算过程如下：</w:t>
      </w:r>
    </w:p>
    <w:p>
      <w:pPr>
        <w:widowControl/>
        <w:spacing w:line="240" w:lineRule="auto"/>
        <w:ind w:firstLine="420"/>
        <w:jc w:val="left"/>
        <w:rPr>
          <w:rFonts w:ascii="宋体" w:hAnsi="宋体"/>
          <w:color w:val="FF0000"/>
          <w:szCs w:val="21"/>
        </w:rPr>
      </w:pPr>
      <w:r>
        <w:rPr>
          <w:rFonts w:hint="eastAsia" w:ascii="宋体" w:hAnsi="宋体"/>
          <w:color w:val="FF0000"/>
          <w:szCs w:val="21"/>
        </w:rPr>
        <w:t>标准代理服务费＝（100万以下部分的代理服务费）+（100万～500万部分的代理服务费）+（500万～600万部分的代理服务费）＝100万元×1.5%+（500-100）万元×1.1%+（600-500）万元×0.8%=1.5万元+4.4万元+0.8万元＝6.7万元</w:t>
      </w:r>
    </w:p>
    <w:p>
      <w:pPr>
        <w:widowControl/>
        <w:numPr>
          <w:ilvl w:val="0"/>
          <w:numId w:val="2"/>
        </w:numPr>
        <w:spacing w:line="240" w:lineRule="auto"/>
        <w:ind w:firstLine="420" w:firstLineChars="200"/>
        <w:jc w:val="left"/>
        <w:rPr>
          <w:rFonts w:hint="eastAsia" w:ascii="宋体" w:hAnsi="宋体"/>
          <w:color w:val="FF0000"/>
          <w:szCs w:val="21"/>
        </w:rPr>
      </w:pPr>
      <w:r>
        <w:rPr>
          <w:rFonts w:hint="eastAsia" w:ascii="宋体" w:hAnsi="宋体"/>
          <w:color w:val="FF0000"/>
          <w:szCs w:val="21"/>
        </w:rPr>
        <w:t>中标（成交）供应商成交后，必须按规定采用银行对公转账方式向深圳交易集团有限公司直接交纳代理服务费，交纳信息及要求按照缴款（付款）通知书执行。</w:t>
      </w:r>
    </w:p>
    <w:p>
      <w:pPr>
        <w:keepNext/>
        <w:keepLines/>
        <w:adjustRightInd/>
        <w:spacing w:before="260" w:beforeLines="-2147483648" w:after="260" w:afterLines="-2147483648" w:line="416" w:lineRule="auto"/>
        <w:jc w:val="center"/>
        <w:textAlignment w:val="auto"/>
        <w:outlineLvl w:val="1"/>
        <w:rPr>
          <w:rFonts w:hint="eastAsia" w:ascii="宋体" w:hAnsi="宋体" w:eastAsia="宋体" w:cs="Times New Roman"/>
          <w:b/>
          <w:bCs/>
          <w:kern w:val="0"/>
          <w:sz w:val="28"/>
          <w:szCs w:val="28"/>
        </w:rPr>
      </w:pPr>
      <w:r>
        <w:rPr>
          <w:rFonts w:hint="eastAsia" w:ascii="宋体" w:hAnsi="宋体" w:eastAsia="宋体" w:cs="Times New Roman"/>
          <w:b/>
          <w:bCs/>
          <w:kern w:val="0"/>
          <w:sz w:val="28"/>
          <w:szCs w:val="28"/>
        </w:rPr>
        <w:t>第三章 用户需求书</w:t>
      </w:r>
    </w:p>
    <w:p>
      <w:pPr>
        <w:keepNext/>
        <w:keepLines/>
        <w:numPr>
          <w:ilvl w:val="0"/>
          <w:numId w:val="3"/>
        </w:numPr>
        <w:tabs>
          <w:tab w:val="left" w:pos="1680"/>
        </w:tabs>
        <w:spacing w:before="260" w:after="78" w:afterLines="25" w:line="240" w:lineRule="auto"/>
        <w:ind w:left="0" w:leftChars="0" w:firstLine="420" w:firstLineChars="0"/>
        <w:jc w:val="center"/>
        <w:outlineLvl w:val="2"/>
        <w:rPr>
          <w:rFonts w:hint="default" w:ascii="Arial" w:hAnsi="Arial" w:eastAsia="宋体" w:cs="Times New Roman"/>
          <w:b/>
          <w:sz w:val="28"/>
          <w:szCs w:val="28"/>
          <w:lang w:val="en-US" w:eastAsia="zh-CN"/>
        </w:rPr>
      </w:pPr>
      <w:r>
        <w:rPr>
          <w:rFonts w:hint="eastAsia" w:ascii="Arial" w:hAnsi="Arial" w:eastAsia="宋体" w:cs="Times New Roman"/>
          <w:b/>
          <w:sz w:val="28"/>
          <w:szCs w:val="28"/>
        </w:rPr>
        <w:t>项目基本信息</w:t>
      </w:r>
      <w:r>
        <w:rPr>
          <w:rFonts w:hint="eastAsia" w:ascii="Arial" w:hAnsi="Arial" w:eastAsia="宋体" w:cs="Times New Roman"/>
          <w:b/>
          <w:sz w:val="28"/>
          <w:szCs w:val="28"/>
          <w:lang w:val="en-US" w:eastAsia="zh-CN"/>
        </w:rPr>
        <w:t>及服务需求明细</w:t>
      </w:r>
    </w:p>
    <w:tbl>
      <w:tblPr>
        <w:tblStyle w:val="23"/>
        <w:tblW w:w="4997"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15" w:type="dxa"/>
          <w:left w:w="15" w:type="dxa"/>
          <w:bottom w:w="15" w:type="dxa"/>
          <w:right w:w="15" w:type="dxa"/>
        </w:tblCellMar>
      </w:tblPr>
      <w:tblGrid>
        <w:gridCol w:w="424"/>
        <w:gridCol w:w="1768"/>
        <w:gridCol w:w="1914"/>
        <w:gridCol w:w="1914"/>
        <w:gridCol w:w="965"/>
        <w:gridCol w:w="639"/>
        <w:gridCol w:w="736"/>
        <w:gridCol w:w="737"/>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552" w:hRule="atLeast"/>
          <w:jc w:val="center"/>
        </w:trPr>
        <w:tc>
          <w:tcPr>
            <w:tcW w:w="233" w:type="pct"/>
            <w:tcBorders>
              <w:bottom w:val="single" w:color="000000" w:sz="4" w:space="0"/>
              <w:right w:val="single" w:color="auto" w:sz="4" w:space="0"/>
            </w:tcBorders>
            <w:shd w:val="clear" w:color="auto" w:fill="C6D9F0" w:themeFill="text2" w:themeFillTint="33"/>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971" w:type="pct"/>
            <w:tcBorders>
              <w:left w:val="single" w:color="000000" w:sz="4" w:space="0"/>
              <w:bottom w:val="single" w:color="000000" w:sz="4" w:space="0"/>
              <w:right w:val="single" w:color="000000" w:sz="4" w:space="0"/>
            </w:tcBorders>
            <w:shd w:val="clear" w:color="auto" w:fill="C6D9F0" w:themeFill="text2" w:themeFillTint="33"/>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采购项目名称</w:t>
            </w:r>
          </w:p>
          <w:p>
            <w:pPr>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（标的名称）</w:t>
            </w:r>
          </w:p>
        </w:tc>
        <w:tc>
          <w:tcPr>
            <w:tcW w:w="1051" w:type="pct"/>
            <w:tcBorders>
              <w:left w:val="single" w:color="000000" w:sz="4" w:space="0"/>
              <w:bottom w:val="single" w:color="000000" w:sz="4" w:space="0"/>
              <w:right w:val="single" w:color="000000" w:sz="4" w:space="0"/>
            </w:tcBorders>
            <w:shd w:val="clear" w:color="auto" w:fill="C6D9F0" w:themeFill="text2" w:themeFillTint="33"/>
            <w:vAlign w:val="center"/>
          </w:tcPr>
          <w:p>
            <w:pPr>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学校</w:t>
            </w:r>
          </w:p>
        </w:tc>
        <w:tc>
          <w:tcPr>
            <w:tcW w:w="1051" w:type="pct"/>
            <w:tcBorders>
              <w:left w:val="single" w:color="000000" w:sz="4" w:space="0"/>
              <w:bottom w:val="single" w:color="000000" w:sz="4" w:space="0"/>
              <w:right w:val="single" w:color="000000" w:sz="4" w:space="0"/>
            </w:tcBorders>
            <w:shd w:val="clear" w:color="auto" w:fill="C6D9F0" w:themeFill="text2" w:themeFillTint="33"/>
            <w:vAlign w:val="center"/>
          </w:tcPr>
          <w:p>
            <w:pPr>
              <w:spacing w:line="240" w:lineRule="auto"/>
              <w:jc w:val="center"/>
              <w:rPr>
                <w:rFonts w:hint="eastAsia" w:ascii="宋体" w:hAnsi="宋体" w:eastAsia="宋体" w:cs="宋体"/>
                <w:sz w:val="21"/>
                <w:szCs w:val="21"/>
                <w:lang w:eastAsia="zh-CN"/>
              </w:rPr>
            </w:pPr>
            <w:r>
              <w:rPr>
                <w:rFonts w:hint="eastAsia" w:ascii="宋体" w:hAnsi="宋体" w:eastAsia="宋体" w:cs="宋体"/>
                <w:color w:val="000000"/>
                <w:kern w:val="0"/>
                <w:sz w:val="21"/>
                <w:szCs w:val="21"/>
                <w:lang w:eastAsia="zh-CN"/>
              </w:rPr>
              <w:t>分项</w:t>
            </w:r>
            <w:r>
              <w:rPr>
                <w:rFonts w:hint="eastAsia" w:ascii="宋体" w:hAnsi="宋体" w:eastAsia="宋体" w:cs="宋体"/>
                <w:color w:val="000000"/>
                <w:kern w:val="0"/>
                <w:sz w:val="21"/>
                <w:szCs w:val="21"/>
              </w:rPr>
              <w:t>财政预算限额（元）</w:t>
            </w:r>
          </w:p>
        </w:tc>
        <w:tc>
          <w:tcPr>
            <w:tcW w:w="530" w:type="pct"/>
            <w:tcBorders>
              <w:left w:val="single" w:color="000000" w:sz="4" w:space="0"/>
              <w:bottom w:val="single" w:color="000000" w:sz="4" w:space="0"/>
            </w:tcBorders>
            <w:shd w:val="clear" w:color="auto" w:fill="C6D9F0" w:themeFill="text2" w:themeFillTint="33"/>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财政预算限额</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（元）</w:t>
            </w:r>
          </w:p>
        </w:tc>
        <w:tc>
          <w:tcPr>
            <w:tcW w:w="351" w:type="pct"/>
            <w:tcBorders>
              <w:left w:val="single" w:color="000000" w:sz="4" w:space="0"/>
              <w:bottom w:val="single" w:color="000000" w:sz="4" w:space="0"/>
            </w:tcBorders>
            <w:shd w:val="clear" w:color="auto" w:fill="C6D9F0" w:themeFill="text2" w:themeFillTint="3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color w:val="auto"/>
                <w:sz w:val="21"/>
                <w:szCs w:val="21"/>
                <w:lang w:eastAsia="zh-CN"/>
              </w:rPr>
              <w:t>数量</w:t>
            </w:r>
          </w:p>
        </w:tc>
        <w:tc>
          <w:tcPr>
            <w:tcW w:w="404" w:type="pct"/>
            <w:tcBorders>
              <w:left w:val="single" w:color="000000" w:sz="4" w:space="0"/>
              <w:bottom w:val="single" w:color="000000" w:sz="4" w:space="0"/>
            </w:tcBorders>
            <w:shd w:val="clear" w:color="auto" w:fill="C6D9F0" w:themeFill="text2" w:themeFillTint="3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color w:val="auto"/>
                <w:kern w:val="2"/>
                <w:sz w:val="21"/>
                <w:szCs w:val="21"/>
                <w:lang w:val="en-US" w:eastAsia="zh-CN" w:bidi="ar-SA"/>
              </w:rPr>
              <w:t>单位</w:t>
            </w:r>
          </w:p>
        </w:tc>
        <w:tc>
          <w:tcPr>
            <w:tcW w:w="404" w:type="pct"/>
            <w:tcBorders>
              <w:left w:val="single" w:color="000000" w:sz="4" w:space="0"/>
              <w:bottom w:val="single" w:color="000000" w:sz="4" w:space="0"/>
            </w:tcBorders>
            <w:shd w:val="clear" w:color="auto" w:fill="C6D9F0" w:themeFill="text2" w:themeFillTint="33"/>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rPr>
            </w:pPr>
            <w:r>
              <w:rPr>
                <w:rFonts w:hint="eastAsia" w:ascii="宋体" w:hAnsi="宋体" w:eastAsia="宋体" w:cs="宋体"/>
                <w:bCs/>
                <w:color w:val="auto"/>
                <w:kern w:val="2"/>
                <w:sz w:val="21"/>
                <w:szCs w:val="21"/>
                <w:lang w:val="en-US" w:eastAsia="zh-CN" w:bidi="ar-SA"/>
              </w:rPr>
              <w:t>标的所属行业</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53" w:hRule="atLeast"/>
          <w:jc w:val="center"/>
        </w:trPr>
        <w:tc>
          <w:tcPr>
            <w:tcW w:w="233" w:type="pct"/>
            <w:tcBorders>
              <w:top w:val="single" w:color="000000" w:sz="4" w:space="0"/>
              <w:bottom w:val="single" w:color="000000" w:sz="4" w:space="0"/>
              <w:right w:val="single" w:color="auto" w:sz="4" w:space="0"/>
            </w:tcBorders>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971" w:type="pct"/>
            <w:vMerge w:val="restart"/>
            <w:tcBorders>
              <w:top w:val="single" w:color="000000" w:sz="4" w:space="0"/>
              <w:left w:val="single" w:color="000000" w:sz="4" w:space="0"/>
              <w:right w:val="single" w:color="000000" w:sz="4" w:space="0"/>
            </w:tcBorders>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超核幼儿园颐樾府幼儿园物业管理服务项目采购</w:t>
            </w:r>
          </w:p>
        </w:tc>
        <w:tc>
          <w:tcPr>
            <w:tcW w:w="1051" w:type="pct"/>
            <w:tcBorders>
              <w:top w:val="single" w:color="000000" w:sz="4" w:space="0"/>
              <w:left w:val="single" w:color="000000" w:sz="4" w:space="0"/>
              <w:bottom w:val="single" w:color="000000" w:sz="4" w:space="0"/>
              <w:right w:val="single" w:color="000000" w:sz="4" w:space="0"/>
            </w:tcBorders>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深圳市龙华区北站幼教集团超核幼儿园</w:t>
            </w:r>
          </w:p>
        </w:tc>
        <w:tc>
          <w:tcPr>
            <w:tcW w:w="1051" w:type="pc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240" w:lineRule="auto"/>
              <w:jc w:val="center"/>
              <w:textAlignment w:val="center"/>
              <w:rPr>
                <w:rFonts w:hint="eastAsia" w:ascii="宋体" w:hAnsi="宋体" w:eastAsia="宋体" w:cs="宋体"/>
                <w:sz w:val="21"/>
                <w:szCs w:val="21"/>
              </w:rPr>
            </w:pPr>
            <w:r>
              <w:rPr>
                <w:rFonts w:hint="eastAsia" w:ascii="宋体" w:hAnsi="宋体" w:eastAsia="宋体" w:cs="宋体"/>
                <w:color w:val="000000"/>
                <w:kern w:val="0"/>
                <w:sz w:val="21"/>
                <w:szCs w:val="21"/>
              </w:rPr>
              <w:t>377550.00</w:t>
            </w:r>
          </w:p>
        </w:tc>
        <w:tc>
          <w:tcPr>
            <w:tcW w:w="530" w:type="pct"/>
            <w:vMerge w:val="restart"/>
            <w:tcBorders>
              <w:top w:val="single" w:color="000000" w:sz="4" w:space="0"/>
              <w:left w:val="single" w:color="000000" w:sz="4" w:space="0"/>
            </w:tcBorders>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721350</w:t>
            </w:r>
          </w:p>
        </w:tc>
        <w:tc>
          <w:tcPr>
            <w:tcW w:w="351" w:type="pct"/>
            <w:vMerge w:val="restart"/>
            <w:tcBorders>
              <w:top w:val="single" w:color="000000" w:sz="4" w:space="0"/>
              <w:lef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color w:val="auto"/>
                <w:kern w:val="2"/>
                <w:sz w:val="21"/>
                <w:szCs w:val="21"/>
                <w:lang w:val="en-US" w:eastAsia="zh-CN" w:bidi="ar-SA"/>
              </w:rPr>
              <w:t>1</w:t>
            </w:r>
          </w:p>
        </w:tc>
        <w:tc>
          <w:tcPr>
            <w:tcW w:w="404" w:type="pct"/>
            <w:vMerge w:val="restart"/>
            <w:tcBorders>
              <w:top w:val="single" w:color="000000" w:sz="4" w:space="0"/>
              <w:left w:val="single" w:color="000000" w:sz="4" w:space="0"/>
            </w:tcBorders>
            <w:vAlign w:val="center"/>
          </w:tcPr>
          <w:p>
            <w:pPr>
              <w:pageBreakBefore w:val="0"/>
              <w:kinsoku/>
              <w:overflowPunct/>
              <w:topLinePunct w:val="0"/>
              <w:bidi w:val="0"/>
              <w:spacing w:beforeAutospacing="0" w:afterAutospacing="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项</w:t>
            </w:r>
          </w:p>
        </w:tc>
        <w:tc>
          <w:tcPr>
            <w:tcW w:w="404" w:type="pct"/>
            <w:vMerge w:val="restart"/>
            <w:tcBorders>
              <w:top w:val="single" w:color="000000" w:sz="4" w:space="0"/>
              <w:left w:val="single" w:color="000000" w:sz="4" w:space="0"/>
            </w:tcBorders>
            <w:vAlign w:val="center"/>
          </w:tcPr>
          <w:p>
            <w:pPr>
              <w:pageBreakBefore w:val="0"/>
              <w:kinsoku/>
              <w:overflowPunct/>
              <w:topLinePunct w:val="0"/>
              <w:bidi w:val="0"/>
              <w:spacing w:beforeAutospacing="0" w:afterAutospacing="0" w:line="240" w:lineRule="auto"/>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物业管理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15" w:type="dxa"/>
            <w:left w:w="15" w:type="dxa"/>
            <w:bottom w:w="15" w:type="dxa"/>
            <w:right w:w="15" w:type="dxa"/>
          </w:tblCellMar>
        </w:tblPrEx>
        <w:trPr>
          <w:trHeight w:val="353" w:hRule="atLeast"/>
          <w:jc w:val="center"/>
        </w:trPr>
        <w:tc>
          <w:tcPr>
            <w:tcW w:w="233" w:type="pct"/>
            <w:tcBorders>
              <w:top w:val="single" w:color="000000" w:sz="4" w:space="0"/>
              <w:right w:val="single" w:color="auto" w:sz="4" w:space="0"/>
            </w:tcBorders>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971" w:type="pct"/>
            <w:vMerge w:val="continue"/>
            <w:tcBorders>
              <w:left w:val="single" w:color="000000" w:sz="4" w:space="0"/>
              <w:right w:val="single" w:color="000000" w:sz="4" w:space="0"/>
            </w:tcBorders>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1051" w:type="pct"/>
            <w:tcBorders>
              <w:top w:val="single" w:color="000000" w:sz="4" w:space="0"/>
              <w:left w:val="single" w:color="000000" w:sz="4" w:space="0"/>
              <w:right w:val="single" w:color="000000" w:sz="4" w:space="0"/>
            </w:tcBorders>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深圳市龙华区北站幼教集团颐樾府幼儿园</w:t>
            </w:r>
          </w:p>
        </w:tc>
        <w:tc>
          <w:tcPr>
            <w:tcW w:w="1051" w:type="pct"/>
            <w:tcBorders>
              <w:top w:val="single" w:color="000000" w:sz="4" w:space="0"/>
              <w:left w:val="single" w:color="000000" w:sz="4" w:space="0"/>
              <w:right w:val="single" w:color="000000" w:sz="4" w:space="0"/>
            </w:tcBorders>
            <w:vAlign w:val="center"/>
          </w:tcPr>
          <w:p>
            <w:pPr>
              <w:widowControl/>
              <w:adjustRightInd w:val="0"/>
              <w:snapToGrid w:val="0"/>
              <w:spacing w:line="240" w:lineRule="auto"/>
              <w:jc w:val="center"/>
              <w:textAlignment w:val="center"/>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rPr>
              <w:t>343800.00</w:t>
            </w:r>
          </w:p>
        </w:tc>
        <w:tc>
          <w:tcPr>
            <w:tcW w:w="530" w:type="pct"/>
            <w:vMerge w:val="continue"/>
            <w:tcBorders>
              <w:left w:val="single" w:color="000000" w:sz="4" w:space="0"/>
            </w:tcBorders>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351" w:type="pct"/>
            <w:vMerge w:val="continue"/>
            <w:tcBorders>
              <w:lef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2"/>
                <w:sz w:val="21"/>
                <w:szCs w:val="21"/>
                <w:lang w:val="en-US" w:eastAsia="zh-CN" w:bidi="ar-SA"/>
              </w:rPr>
            </w:pPr>
          </w:p>
        </w:tc>
        <w:tc>
          <w:tcPr>
            <w:tcW w:w="404" w:type="pct"/>
            <w:vMerge w:val="continue"/>
            <w:tcBorders>
              <w:left w:val="single" w:color="000000" w:sz="4" w:space="0"/>
            </w:tcBorders>
            <w:vAlign w:val="center"/>
          </w:tcPr>
          <w:p>
            <w:pPr>
              <w:pageBreakBefore w:val="0"/>
              <w:kinsoku/>
              <w:overflowPunct/>
              <w:topLinePunct w:val="0"/>
              <w:bidi w:val="0"/>
              <w:spacing w:beforeAutospacing="0" w:afterAutospacing="0" w:line="240" w:lineRule="auto"/>
              <w:ind w:left="0" w:leftChars="0" w:right="0" w:rightChars="0" w:firstLine="0" w:firstLineChars="0"/>
              <w:jc w:val="center"/>
              <w:rPr>
                <w:rFonts w:hint="eastAsia" w:ascii="宋体" w:hAnsi="宋体" w:eastAsia="宋体" w:cs="宋体"/>
                <w:bCs/>
                <w:sz w:val="21"/>
                <w:szCs w:val="21"/>
                <w:lang w:val="en-US" w:eastAsia="zh-CN"/>
              </w:rPr>
            </w:pPr>
          </w:p>
        </w:tc>
        <w:tc>
          <w:tcPr>
            <w:tcW w:w="404" w:type="pct"/>
            <w:vMerge w:val="continue"/>
            <w:tcBorders>
              <w:left w:val="single" w:color="000000" w:sz="4" w:space="0"/>
            </w:tcBorders>
            <w:vAlign w:val="center"/>
          </w:tcPr>
          <w:p>
            <w:pPr>
              <w:pageBreakBefore w:val="0"/>
              <w:kinsoku/>
              <w:overflowPunct/>
              <w:topLinePunct w:val="0"/>
              <w:bidi w:val="0"/>
              <w:spacing w:beforeAutospacing="0" w:afterAutospacing="0" w:line="240" w:lineRule="auto"/>
              <w:ind w:left="0" w:leftChars="0" w:right="0" w:rightChars="0" w:firstLine="0" w:firstLineChars="0"/>
              <w:jc w:val="center"/>
              <w:rPr>
                <w:rFonts w:hint="eastAsia" w:ascii="宋体" w:hAnsi="宋体" w:eastAsia="宋体" w:cs="宋体"/>
                <w:bCs/>
                <w:sz w:val="21"/>
                <w:szCs w:val="21"/>
                <w:lang w:val="en-US" w:eastAsia="zh-CN"/>
              </w:rPr>
            </w:pPr>
          </w:p>
        </w:tc>
      </w:tr>
    </w:tbl>
    <w:p>
      <w:pPr>
        <w:keepNext/>
        <w:keepLines/>
        <w:numPr>
          <w:ilvl w:val="0"/>
          <w:numId w:val="3"/>
        </w:numPr>
        <w:tabs>
          <w:tab w:val="left" w:pos="1680"/>
        </w:tabs>
        <w:spacing w:before="260" w:after="78" w:afterLines="25" w:line="240" w:lineRule="auto"/>
        <w:ind w:left="0" w:leftChars="0" w:firstLine="420" w:firstLineChars="0"/>
        <w:jc w:val="center"/>
        <w:outlineLvl w:val="2"/>
        <w:rPr>
          <w:rFonts w:hint="eastAsia" w:ascii="Arial" w:hAnsi="Arial" w:eastAsia="宋体" w:cs="Times New Roman"/>
          <w:b/>
          <w:sz w:val="28"/>
          <w:szCs w:val="28"/>
        </w:rPr>
      </w:pPr>
      <w:r>
        <w:rPr>
          <w:rFonts w:hint="eastAsia" w:ascii="Arial" w:hAnsi="Arial" w:eastAsia="宋体" w:cs="Times New Roman"/>
          <w:b/>
          <w:sz w:val="28"/>
          <w:szCs w:val="28"/>
        </w:rPr>
        <w:t>项目</w:t>
      </w:r>
      <w:r>
        <w:rPr>
          <w:rFonts w:hint="eastAsia" w:ascii="Arial" w:hAnsi="Arial" w:eastAsia="宋体" w:cs="Times New Roman"/>
          <w:b/>
          <w:sz w:val="28"/>
          <w:szCs w:val="28"/>
          <w:lang w:val="en-US" w:eastAsia="zh-CN"/>
        </w:rPr>
        <w:t>概况</w:t>
      </w:r>
    </w:p>
    <w:p>
      <w:pPr>
        <w:adjustRightInd w:val="0"/>
        <w:snapToGrid w:val="0"/>
        <w:spacing w:line="360" w:lineRule="auto"/>
        <w:ind w:firstLine="420" w:firstLineChars="200"/>
        <w:rPr>
          <w:rFonts w:hint="eastAsia" w:ascii="宋体" w:hAnsi="宋体" w:cs="等线"/>
          <w:color w:val="000000"/>
          <w:szCs w:val="21"/>
        </w:rPr>
      </w:pPr>
      <w:bookmarkStart w:id="22" w:name="_Toc128884461"/>
      <w:r>
        <w:rPr>
          <w:rFonts w:hint="eastAsia" w:ascii="宋体" w:hAnsi="宋体" w:cs="等线"/>
          <w:color w:val="000000"/>
          <w:szCs w:val="21"/>
        </w:rPr>
        <w:t>1.项目概况</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本招标项目涉及服务</w:t>
      </w:r>
      <w:r>
        <w:rPr>
          <w:rFonts w:hint="eastAsia" w:ascii="宋体" w:hAnsi="宋体" w:cs="宋体"/>
          <w:b/>
          <w:bCs/>
          <w:color w:val="FF0000"/>
        </w:rPr>
        <w:t>包含保洁、绿化、安保、维修</w:t>
      </w:r>
      <w:r>
        <w:rPr>
          <w:rFonts w:hint="eastAsia" w:ascii="宋体" w:hAnsi="宋体" w:cs="等线"/>
          <w:color w:val="000000"/>
          <w:szCs w:val="21"/>
        </w:rPr>
        <w:t>，总建筑面积</w:t>
      </w:r>
      <w:r>
        <w:rPr>
          <w:rFonts w:hint="eastAsia" w:ascii="宋体" w:hAnsi="宋体" w:cs="等线"/>
          <w:color w:val="FF0000"/>
          <w:szCs w:val="21"/>
        </w:rPr>
        <w:t>7741.41</w:t>
      </w:r>
      <w:r>
        <w:rPr>
          <w:rFonts w:hint="eastAsia" w:ascii="宋体" w:hAnsi="宋体" w:cs="等线"/>
          <w:color w:val="000000"/>
          <w:szCs w:val="21"/>
        </w:rPr>
        <w:t>平方米，总绿化面积</w:t>
      </w:r>
      <w:r>
        <w:rPr>
          <w:rFonts w:hint="eastAsia" w:ascii="宋体" w:hAnsi="宋体" w:cs="等线"/>
          <w:color w:val="FF0000"/>
          <w:szCs w:val="21"/>
        </w:rPr>
        <w:t>1789</w:t>
      </w:r>
      <w:r>
        <w:rPr>
          <w:rFonts w:hint="eastAsia" w:ascii="宋体" w:hAnsi="宋体" w:cs="等线"/>
          <w:color w:val="000000"/>
          <w:szCs w:val="21"/>
        </w:rPr>
        <w:t>平方米。</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各学校一般包括教学楼、实验楼、办公综合楼、体育馆、图书馆、阶梯教室、食堂、教师公寓、学生宿舍、会议室等建筑物。</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各学校具体情况如下：</w:t>
      </w:r>
    </w:p>
    <w:tbl>
      <w:tblPr>
        <w:tblStyle w:val="23"/>
        <w:tblW w:w="545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60"/>
        <w:gridCol w:w="2958"/>
        <w:gridCol w:w="1376"/>
        <w:gridCol w:w="1695"/>
        <w:gridCol w:w="1230"/>
        <w:gridCol w:w="1123"/>
        <w:gridCol w:w="9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83"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94"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学校</w:t>
            </w:r>
          </w:p>
        </w:tc>
        <w:tc>
          <w:tcPr>
            <w:tcW w:w="695"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所属街道</w:t>
            </w:r>
          </w:p>
        </w:tc>
        <w:tc>
          <w:tcPr>
            <w:tcW w:w="856" w:type="pct"/>
            <w:tcBorders>
              <w:right w:val="single" w:color="000000" w:sz="4" w:space="0"/>
            </w:tcBorders>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学校类别</w:t>
            </w:r>
          </w:p>
        </w:tc>
        <w:tc>
          <w:tcPr>
            <w:tcW w:w="621"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建筑面积</w:t>
            </w:r>
            <w:r>
              <w:rPr>
                <w:rFonts w:hint="eastAsia" w:ascii="宋体" w:hAnsi="宋体" w:eastAsia="宋体" w:cs="宋体"/>
                <w:sz w:val="21"/>
                <w:szCs w:val="21"/>
                <w:lang w:eastAsia="zh-CN"/>
              </w:rPr>
              <w:t>（平方</w:t>
            </w:r>
            <w:r>
              <w:rPr>
                <w:rFonts w:hint="eastAsia" w:ascii="宋体" w:hAnsi="宋体" w:eastAsia="宋体" w:cs="宋体"/>
                <w:sz w:val="21"/>
                <w:szCs w:val="21"/>
              </w:rPr>
              <w:t>米</w:t>
            </w:r>
            <w:r>
              <w:rPr>
                <w:rFonts w:hint="eastAsia" w:ascii="宋体" w:hAnsi="宋体" w:eastAsia="宋体" w:cs="宋体"/>
                <w:sz w:val="21"/>
                <w:szCs w:val="21"/>
                <w:lang w:eastAsia="zh-CN"/>
              </w:rPr>
              <w:t>）</w:t>
            </w:r>
          </w:p>
        </w:tc>
        <w:tc>
          <w:tcPr>
            <w:tcW w:w="567"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绿化面积</w:t>
            </w:r>
            <w:r>
              <w:rPr>
                <w:rFonts w:hint="eastAsia" w:ascii="宋体" w:hAnsi="宋体" w:eastAsia="宋体" w:cs="宋体"/>
                <w:sz w:val="21"/>
                <w:szCs w:val="21"/>
                <w:lang w:eastAsia="zh-CN"/>
              </w:rPr>
              <w:t>（平方</w:t>
            </w:r>
            <w:r>
              <w:rPr>
                <w:rFonts w:hint="eastAsia" w:ascii="宋体" w:hAnsi="宋体" w:eastAsia="宋体" w:cs="宋体"/>
                <w:sz w:val="21"/>
                <w:szCs w:val="21"/>
              </w:rPr>
              <w:t>米</w:t>
            </w:r>
            <w:r>
              <w:rPr>
                <w:rFonts w:hint="eastAsia" w:ascii="宋体" w:hAnsi="宋体" w:eastAsia="宋体" w:cs="宋体"/>
                <w:sz w:val="21"/>
                <w:szCs w:val="21"/>
                <w:lang w:eastAsia="zh-CN"/>
              </w:rPr>
              <w:t>）</w:t>
            </w:r>
          </w:p>
        </w:tc>
        <w:tc>
          <w:tcPr>
            <w:tcW w:w="481"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校门数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83"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494"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b/>
                <w:bCs/>
                <w:color w:val="FF0000"/>
                <w:sz w:val="21"/>
                <w:szCs w:val="21"/>
              </w:rPr>
              <w:t>深圳市龙华区北站幼教集团超核幼儿园</w:t>
            </w:r>
          </w:p>
        </w:tc>
        <w:tc>
          <w:tcPr>
            <w:tcW w:w="695"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民治街道</w:t>
            </w:r>
          </w:p>
        </w:tc>
        <w:tc>
          <w:tcPr>
            <w:tcW w:w="856" w:type="pct"/>
            <w:tcBorders>
              <w:right w:val="single" w:color="000000" w:sz="4" w:space="0"/>
            </w:tcBorders>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幼儿园</w:t>
            </w:r>
          </w:p>
        </w:tc>
        <w:tc>
          <w:tcPr>
            <w:tcW w:w="621"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6091.41</w:t>
            </w:r>
          </w:p>
        </w:tc>
        <w:tc>
          <w:tcPr>
            <w:tcW w:w="567"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1176</w:t>
            </w:r>
          </w:p>
        </w:tc>
        <w:tc>
          <w:tcPr>
            <w:tcW w:w="481"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283" w:type="pct"/>
            <w:noWrap w:val="0"/>
            <w:vAlign w:val="center"/>
          </w:tcPr>
          <w:p>
            <w:pPr>
              <w:adjustRightInd w:val="0"/>
              <w:snapToGrid w:val="0"/>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494" w:type="pct"/>
            <w:noWrap w:val="0"/>
            <w:vAlign w:val="center"/>
          </w:tcPr>
          <w:p>
            <w:pPr>
              <w:adjustRightInd w:val="0"/>
              <w:snapToGrid w:val="0"/>
              <w:spacing w:line="360" w:lineRule="auto"/>
              <w:jc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深圳市龙华区北站幼教集团颐樾府幼儿园</w:t>
            </w:r>
          </w:p>
        </w:tc>
        <w:tc>
          <w:tcPr>
            <w:tcW w:w="695"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民治街道</w:t>
            </w:r>
          </w:p>
        </w:tc>
        <w:tc>
          <w:tcPr>
            <w:tcW w:w="856" w:type="pct"/>
            <w:tcBorders>
              <w:right w:val="single" w:color="000000" w:sz="4" w:space="0"/>
            </w:tcBorders>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幼儿园</w:t>
            </w:r>
          </w:p>
        </w:tc>
        <w:tc>
          <w:tcPr>
            <w:tcW w:w="621"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1650</w:t>
            </w:r>
          </w:p>
        </w:tc>
        <w:tc>
          <w:tcPr>
            <w:tcW w:w="567"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613</w:t>
            </w:r>
          </w:p>
        </w:tc>
        <w:tc>
          <w:tcPr>
            <w:tcW w:w="481" w:type="pct"/>
            <w:noWrap w:val="0"/>
            <w:vAlign w:val="center"/>
          </w:tcPr>
          <w:p>
            <w:pPr>
              <w:adjustRightInd w:val="0"/>
              <w:snapToGri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r>
    </w:tbl>
    <w:p>
      <w:pPr>
        <w:keepNext/>
        <w:keepLines/>
        <w:numPr>
          <w:ilvl w:val="0"/>
          <w:numId w:val="3"/>
        </w:numPr>
        <w:tabs>
          <w:tab w:val="left" w:pos="1680"/>
        </w:tabs>
        <w:spacing w:before="260" w:after="78" w:afterLines="25" w:line="240" w:lineRule="auto"/>
        <w:ind w:left="0" w:leftChars="0" w:firstLine="420" w:firstLineChars="0"/>
        <w:jc w:val="center"/>
        <w:outlineLvl w:val="2"/>
        <w:rPr>
          <w:rFonts w:hint="eastAsia" w:ascii="Arial" w:hAnsi="Arial" w:eastAsia="宋体" w:cs="Times New Roman"/>
          <w:b/>
          <w:sz w:val="28"/>
          <w:szCs w:val="28"/>
        </w:rPr>
      </w:pPr>
      <w:r>
        <w:rPr>
          <w:rFonts w:hint="eastAsia" w:ascii="Arial" w:hAnsi="Arial" w:eastAsia="宋体" w:cs="Times New Roman"/>
          <w:b/>
          <w:sz w:val="28"/>
          <w:szCs w:val="28"/>
        </w:rPr>
        <w:t>实质性条款</w:t>
      </w:r>
    </w:p>
    <w:tbl>
      <w:tblPr>
        <w:tblStyle w:val="23"/>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pPr>
              <w:spacing w:line="240" w:lineRule="auto"/>
            </w:pPr>
            <w:r>
              <w:rPr>
                <w:rFonts w:hint="eastAsia"/>
              </w:rPr>
              <w:t>序号</w:t>
            </w:r>
          </w:p>
        </w:tc>
        <w:tc>
          <w:tcPr>
            <w:tcW w:w="7483" w:type="dxa"/>
            <w:vAlign w:val="center"/>
          </w:tcPr>
          <w:p>
            <w:pPr>
              <w:spacing w:line="240" w:lineRule="auto"/>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pPr>
              <w:spacing w:line="240" w:lineRule="auto"/>
              <w:jc w:val="center"/>
            </w:pPr>
            <w:r>
              <w:rPr>
                <w:rFonts w:hint="eastAsia"/>
              </w:rPr>
              <w:t>1</w:t>
            </w:r>
          </w:p>
        </w:tc>
        <w:tc>
          <w:tcPr>
            <w:tcW w:w="7483" w:type="dxa"/>
          </w:tcPr>
          <w:p>
            <w:pPr>
              <w:spacing w:line="240" w:lineRule="auto"/>
              <w:jc w:val="center"/>
            </w:pPr>
            <w:r>
              <w:rPr>
                <w:rFonts w:hint="eastAsia"/>
              </w:rPr>
              <w:t>本项目招标文件中所有带★号条款内容</w:t>
            </w:r>
          </w:p>
        </w:tc>
      </w:tr>
      <w:bookmarkEnd w:id="22"/>
    </w:tbl>
    <w:p>
      <w:pPr>
        <w:spacing w:line="240" w:lineRule="auto"/>
        <w:rPr>
          <w:b/>
          <w:color w:val="FF0000"/>
        </w:rPr>
      </w:pPr>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w:t>
      </w:r>
    </w:p>
    <w:p>
      <w:pPr>
        <w:keepNext/>
        <w:keepLines/>
        <w:numPr>
          <w:ilvl w:val="0"/>
          <w:numId w:val="3"/>
        </w:numPr>
        <w:tabs>
          <w:tab w:val="left" w:pos="1680"/>
        </w:tabs>
        <w:spacing w:before="260" w:after="78" w:afterLines="25" w:line="240" w:lineRule="auto"/>
        <w:ind w:left="0" w:leftChars="0" w:firstLine="420" w:firstLineChars="0"/>
        <w:jc w:val="center"/>
        <w:outlineLvl w:val="2"/>
        <w:rPr>
          <w:rFonts w:hint="eastAsia" w:ascii="Arial" w:hAnsi="Arial" w:eastAsia="宋体" w:cs="Times New Roman"/>
          <w:b/>
          <w:sz w:val="28"/>
          <w:szCs w:val="28"/>
          <w:lang w:val="en-US" w:eastAsia="zh-CN"/>
        </w:rPr>
      </w:pPr>
      <w:r>
        <w:rPr>
          <w:rFonts w:hint="eastAsia" w:ascii="Arial" w:hAnsi="Arial" w:eastAsia="宋体" w:cs="Times New Roman"/>
          <w:b/>
          <w:sz w:val="28"/>
          <w:szCs w:val="28"/>
        </w:rPr>
        <w:t>★服务</w:t>
      </w:r>
      <w:r>
        <w:rPr>
          <w:rFonts w:hint="eastAsia" w:ascii="Arial" w:hAnsi="Arial" w:eastAsia="宋体" w:cs="Times New Roman"/>
          <w:b/>
          <w:sz w:val="28"/>
          <w:szCs w:val="28"/>
          <w:lang w:val="en-US" w:eastAsia="zh-CN"/>
        </w:rPr>
        <w:t>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1、配合监管要求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投标人提供的服务均围绕学校的教育教学及管理工作来开展，努力做到对学校的各项工作不产生干扰，遵守学校的管理制度。</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投标人应认真配合按照学校针对本项目制订的监督制度、配合学校专门工作人员进行的监督。</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3</w:t>
      </w:r>
      <w:r>
        <w:rPr>
          <w:rFonts w:hint="eastAsia" w:ascii="宋体" w:hAnsi="宋体" w:cs="等线"/>
          <w:color w:val="000000"/>
          <w:szCs w:val="21"/>
          <w:lang w:eastAsia="zh-CN"/>
        </w:rPr>
        <w:t>）</w:t>
      </w:r>
      <w:r>
        <w:rPr>
          <w:rFonts w:hint="eastAsia" w:ascii="宋体" w:hAnsi="宋体" w:cs="等线"/>
          <w:color w:val="000000"/>
          <w:szCs w:val="21"/>
        </w:rPr>
        <w:t>对学校涉及到本服务项目有关的教育教学及管理等各项工作而提出的配合措施，投标人尽量配合。具备智能化、信息化的管理能力，具有相关管理软件服务于学校的日常管理工作。</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4</w:t>
      </w:r>
      <w:r>
        <w:rPr>
          <w:rFonts w:hint="eastAsia" w:ascii="宋体" w:hAnsi="宋体" w:cs="等线"/>
          <w:color w:val="000000"/>
          <w:szCs w:val="21"/>
          <w:lang w:eastAsia="zh-CN"/>
        </w:rPr>
        <w:t>）</w:t>
      </w:r>
      <w:r>
        <w:rPr>
          <w:rFonts w:hint="eastAsia" w:ascii="宋体" w:hAnsi="宋体" w:cs="等线"/>
          <w:color w:val="000000"/>
          <w:szCs w:val="21"/>
        </w:rPr>
        <w:t>龙华区教育局作为辖区内学校的主管部门，履行监督物业服务企业履行物业管理服务合同的职责，投标人应主动配合。各学校履行监管物业服务企业履行物业管理服务合同的职责。</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2、建章立制要求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投标人建立健全针对本项目所涉及的各类管理制度、服务规范、设备操作规范、安全事故防范方案、维修报请处理及应急响应制度等等，并得到学校管理部门的批准和备案，以便能够保证为师生提供高效、优质的服务，加强对工作人员的职业道德教育、行为管理、技能培训，保障各种设备的正常运行，杜绝安全事故及设备非自然损坏现象。</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3、环境卫生管理要求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清洁卫生实行一体化管理，有专业清洁队伍，管理制度完善。</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负责做好校门前及红线图以内所有的地面、绿化带、建筑物的墙面及附属物、门窗、室内区域</w:t>
      </w:r>
      <w:r>
        <w:rPr>
          <w:rFonts w:hint="eastAsia" w:ascii="宋体" w:hAnsi="宋体" w:cs="等线"/>
          <w:color w:val="000000"/>
          <w:szCs w:val="21"/>
          <w:lang w:eastAsia="zh-CN"/>
        </w:rPr>
        <w:t>（</w:t>
      </w:r>
      <w:r>
        <w:rPr>
          <w:rFonts w:hint="eastAsia" w:ascii="宋体" w:hAnsi="宋体" w:cs="等线"/>
          <w:color w:val="000000"/>
          <w:szCs w:val="21"/>
        </w:rPr>
        <w:t>不含学生宿舍房间内、教室内、教师宿舍房间内</w:t>
      </w:r>
      <w:r>
        <w:rPr>
          <w:rFonts w:hint="eastAsia" w:ascii="宋体" w:hAnsi="宋体" w:cs="等线"/>
          <w:color w:val="000000"/>
          <w:szCs w:val="21"/>
          <w:lang w:eastAsia="zh-CN"/>
        </w:rPr>
        <w:t>）</w:t>
      </w:r>
      <w:r>
        <w:rPr>
          <w:rFonts w:hint="eastAsia" w:ascii="宋体" w:hAnsi="宋体" w:cs="等线"/>
          <w:color w:val="000000"/>
          <w:szCs w:val="21"/>
        </w:rPr>
        <w:t>所有设施及用具的卫生保洁与管理。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6</w:t>
      </w:r>
      <w:r>
        <w:rPr>
          <w:rFonts w:hint="eastAsia" w:ascii="宋体" w:hAnsi="宋体" w:cs="等线"/>
          <w:color w:val="000000"/>
          <w:szCs w:val="21"/>
          <w:lang w:eastAsia="zh-CN"/>
        </w:rPr>
        <w:t>）</w:t>
      </w:r>
      <w:r>
        <w:rPr>
          <w:rFonts w:hint="eastAsia" w:ascii="宋体" w:hAnsi="宋体" w:cs="等线"/>
          <w:color w:val="000000"/>
          <w:szCs w:val="21"/>
        </w:rPr>
        <w:t>负责承担学校教师卫生间的洗水液、纸巾</w:t>
      </w:r>
      <w:r>
        <w:rPr>
          <w:rFonts w:hint="eastAsia" w:ascii="宋体" w:hAnsi="宋体" w:cs="等线"/>
          <w:color w:val="000000"/>
          <w:szCs w:val="21"/>
          <w:lang w:eastAsia="zh-CN"/>
        </w:rPr>
        <w:t>（</w:t>
      </w:r>
      <w:r>
        <w:rPr>
          <w:rFonts w:hint="eastAsia" w:ascii="宋体" w:hAnsi="宋体" w:cs="等线"/>
          <w:color w:val="000000"/>
          <w:szCs w:val="21"/>
        </w:rPr>
        <w:t>此类物品由学校购置</w:t>
      </w:r>
      <w:r>
        <w:rPr>
          <w:rFonts w:hint="eastAsia" w:ascii="宋体" w:hAnsi="宋体" w:cs="等线"/>
          <w:color w:val="000000"/>
          <w:szCs w:val="21"/>
          <w:lang w:eastAsia="zh-CN"/>
        </w:rPr>
        <w:t>）</w:t>
      </w:r>
      <w:r>
        <w:rPr>
          <w:rFonts w:hint="eastAsia" w:ascii="宋体" w:hAnsi="宋体" w:cs="等线"/>
          <w:color w:val="000000"/>
          <w:szCs w:val="21"/>
        </w:rPr>
        <w:t>的放置与管理。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7</w:t>
      </w:r>
      <w:r>
        <w:rPr>
          <w:rFonts w:hint="eastAsia" w:ascii="宋体" w:hAnsi="宋体" w:cs="等线"/>
          <w:color w:val="000000"/>
          <w:szCs w:val="21"/>
          <w:lang w:eastAsia="zh-CN"/>
        </w:rPr>
        <w:t>）</w:t>
      </w:r>
      <w:r>
        <w:rPr>
          <w:rFonts w:hint="eastAsia" w:ascii="宋体" w:hAnsi="宋体" w:cs="等线"/>
          <w:color w:val="000000"/>
          <w:szCs w:val="21"/>
        </w:rPr>
        <w:t>学校区域内的教学楼、办公楼、图书馆等建筑物公共部位以及绿地、道路、操场等空地的清洁每天</w:t>
      </w:r>
      <w:r>
        <w:rPr>
          <w:rFonts w:hint="eastAsia" w:ascii="宋体" w:hAnsi="宋体" w:cs="等线"/>
          <w:color w:val="000000"/>
          <w:szCs w:val="21"/>
          <w:lang w:eastAsia="zh-CN"/>
        </w:rPr>
        <w:t>不少于两次</w:t>
      </w:r>
      <w:r>
        <w:rPr>
          <w:rFonts w:hint="eastAsia" w:ascii="宋体" w:hAnsi="宋体" w:cs="等线"/>
          <w:color w:val="000000"/>
          <w:szCs w:val="21"/>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8</w:t>
      </w:r>
      <w:r>
        <w:rPr>
          <w:rFonts w:hint="eastAsia" w:ascii="宋体" w:hAnsi="宋体" w:cs="等线"/>
          <w:color w:val="000000"/>
          <w:szCs w:val="21"/>
          <w:lang w:eastAsia="zh-CN"/>
        </w:rPr>
        <w:t>）</w:t>
      </w:r>
      <w:r>
        <w:rPr>
          <w:rFonts w:hint="eastAsia" w:ascii="宋体" w:hAnsi="宋体" w:cs="等线"/>
          <w:color w:val="000000"/>
          <w:szCs w:val="21"/>
        </w:rPr>
        <w:t>具备地面清洁、清洗相关设备，电梯轿厢、操作板、地面等清洁保养每天</w:t>
      </w:r>
      <w:r>
        <w:rPr>
          <w:rFonts w:hint="eastAsia" w:ascii="宋体" w:hAnsi="宋体" w:cs="等线"/>
          <w:color w:val="000000"/>
          <w:szCs w:val="21"/>
          <w:lang w:eastAsia="zh-CN"/>
        </w:rPr>
        <w:t>不少于两次</w:t>
      </w:r>
      <w:r>
        <w:rPr>
          <w:rFonts w:hint="eastAsia" w:ascii="宋体" w:hAnsi="宋体" w:cs="等线"/>
          <w:color w:val="000000"/>
          <w:szCs w:val="21"/>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（9）负责学校电扇的清洗、空调室内机表面及过滤网定期清洁。空调主机、中央空调主机等涉及专业拆洗、维护保养和高空作业的内容，由校方自主聘请具有专业资质的维保公司开展。</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10）定期开展除“四害”等卫生消杀工作，严格按照上级有关部门规定进行定期的防疫消杀工作，在流行性传染病高发期或爆发期以及春夏孽蚊滋生季节要严格按校方或上级有关部门要求组织消杀。中标单位使用防治有害生物的药物必需符合爱卫办及国家有关部门的规定，并确保安全和效果。</w:t>
      </w:r>
    </w:p>
    <w:p>
      <w:pPr>
        <w:adjustRightInd w:val="0"/>
        <w:snapToGrid w:val="0"/>
        <w:spacing w:line="360" w:lineRule="auto"/>
        <w:ind w:firstLine="420" w:firstLineChars="200"/>
        <w:rPr>
          <w:rFonts w:hint="eastAsia" w:ascii="宋体" w:hAnsi="宋体" w:cs="等线"/>
          <w:color w:val="000000"/>
          <w:szCs w:val="21"/>
        </w:rPr>
      </w:pP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11</w:t>
      </w:r>
      <w:r>
        <w:rPr>
          <w:rFonts w:hint="eastAsia" w:ascii="宋体" w:hAnsi="宋体" w:cs="等线"/>
          <w:color w:val="000000"/>
          <w:szCs w:val="21"/>
          <w:lang w:eastAsia="zh-CN"/>
        </w:rPr>
        <w:t>）</w:t>
      </w:r>
      <w:r>
        <w:rPr>
          <w:rFonts w:hint="eastAsia" w:ascii="宋体" w:hAnsi="宋体" w:cs="等线"/>
          <w:color w:val="000000"/>
          <w:szCs w:val="21"/>
        </w:rPr>
        <w:t>清洁卫生作业质量标准：</w:t>
      </w:r>
    </w:p>
    <w:tbl>
      <w:tblPr>
        <w:tblStyle w:val="23"/>
        <w:tblW w:w="5000" w:type="pct"/>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9"/>
        <w:gridCol w:w="544"/>
        <w:gridCol w:w="986"/>
        <w:gridCol w:w="1916"/>
        <w:gridCol w:w="1812"/>
        <w:gridCol w:w="1452"/>
        <w:gridCol w:w="18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restart"/>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场所</w:t>
            </w:r>
          </w:p>
        </w:tc>
        <w:tc>
          <w:tcPr>
            <w:tcW w:w="841" w:type="pct"/>
            <w:gridSpan w:val="2"/>
            <w:vMerge w:val="restar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清洁项目</w:t>
            </w:r>
          </w:p>
        </w:tc>
        <w:tc>
          <w:tcPr>
            <w:tcW w:w="2847" w:type="pct"/>
            <w:gridSpan w:val="3"/>
            <w:tcBorders>
              <w:lef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清洁内容</w:t>
            </w:r>
          </w:p>
        </w:tc>
        <w:tc>
          <w:tcPr>
            <w:tcW w:w="1005" w:type="pct"/>
            <w:vMerge w:val="restart"/>
            <w:tcBorders>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质量标准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vMerge w:val="continue"/>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每日</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每周</w:t>
            </w:r>
          </w:p>
        </w:tc>
        <w:tc>
          <w:tcPr>
            <w:tcW w:w="798" w:type="pct"/>
            <w:tcBorders>
              <w:lef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每月</w:t>
            </w:r>
          </w:p>
        </w:tc>
        <w:tc>
          <w:tcPr>
            <w:tcW w:w="1005" w:type="pct"/>
            <w:vMerge w:val="continue"/>
            <w:tcBorders>
              <w:right w:val="single" w:color="000000" w:sz="10" w:space="0"/>
            </w:tcBorders>
            <w:noWrap w:val="0"/>
            <w:vAlign w:val="top"/>
          </w:tcPr>
          <w:p>
            <w:pPr>
              <w:topLinePunct/>
              <w:adjustRightInd w:val="0"/>
              <w:snapToGrid w:val="0"/>
              <w:spacing w:line="360" w:lineRule="auto"/>
              <w:rPr>
                <w:rFonts w:hint="eastAsia" w:ascii="宋体" w:hAnsi="宋体" w:cs="等线"/>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restart"/>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楼层公共部分</w:t>
            </w: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地面</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配合清洁剂湿拖一次，随时保洁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清洗一次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无灰尘、无污渍、地面光洁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墙面</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除尘一次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无灰尘、无污渍、表面光洁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消防楼梯</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清扫、湿拖一次，</w:t>
            </w:r>
          </w:p>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清洗一次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无灰尘、无污渍、表面光洁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楼梯扶手</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清抹一次，保洁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楼梯栏杆</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清抹两次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299" w:type="pct"/>
            <w:vMerge w:val="restart"/>
            <w:tcBorders>
              <w:left w:val="single" w:color="000000" w:sz="4" w:space="0"/>
              <w:bottom w:val="nil"/>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门窗</w:t>
            </w:r>
          </w:p>
        </w:tc>
        <w:tc>
          <w:tcPr>
            <w:tcW w:w="542" w:type="pct"/>
            <w:tcBorders>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门、门框</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配合清洁剂擦抹</w:t>
            </w:r>
          </w:p>
          <w:p>
            <w:pPr>
              <w:topLinePunct/>
              <w:adjustRightInd w:val="0"/>
              <w:snapToGrid w:val="0"/>
              <w:spacing w:line="360" w:lineRule="auto"/>
              <w:rPr>
                <w:rFonts w:hint="eastAsia" w:ascii="宋体" w:hAnsi="宋体" w:cs="等线"/>
                <w:szCs w:val="21"/>
              </w:rPr>
            </w:pPr>
            <w:r>
              <w:rPr>
                <w:rFonts w:hint="eastAsia" w:ascii="宋体" w:hAnsi="宋体" w:cs="等线"/>
                <w:szCs w:val="21"/>
              </w:rPr>
              <w:t>一次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无灰尘、无污渍、无手印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299" w:type="pct"/>
            <w:vMerge w:val="continue"/>
            <w:tcBorders>
              <w:top w:val="nil"/>
              <w:left w:val="single" w:color="000000" w:sz="4" w:space="0"/>
              <w:bottom w:val="nil"/>
            </w:tcBorders>
            <w:noWrap w:val="0"/>
            <w:vAlign w:val="top"/>
          </w:tcPr>
          <w:p>
            <w:pPr>
              <w:topLinePunct/>
              <w:adjustRightInd w:val="0"/>
              <w:snapToGrid w:val="0"/>
              <w:spacing w:line="360" w:lineRule="auto"/>
              <w:rPr>
                <w:rFonts w:hint="eastAsia" w:ascii="宋体" w:hAnsi="宋体" w:cs="等线"/>
                <w:szCs w:val="21"/>
              </w:rPr>
            </w:pPr>
          </w:p>
        </w:tc>
        <w:tc>
          <w:tcPr>
            <w:tcW w:w="542" w:type="pct"/>
            <w:tcBorders>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窗、窗台</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配合清洁剂擦抹一次</w:t>
            </w:r>
          </w:p>
        </w:tc>
        <w:tc>
          <w:tcPr>
            <w:tcW w:w="798" w:type="pct"/>
            <w:tcBorders>
              <w:left w:val="single" w:color="000000" w:sz="4" w:space="0"/>
              <w:right w:val="single" w:color="000000" w:sz="4" w:space="0"/>
            </w:tcBorders>
            <w:noWrap w:val="0"/>
            <w:vAlign w:val="top"/>
          </w:tcPr>
          <w:p>
            <w:pPr>
              <w:tabs>
                <w:tab w:val="left" w:pos="225"/>
              </w:tabs>
              <w:topLinePunct/>
              <w:adjustRightInd w:val="0"/>
              <w:snapToGrid w:val="0"/>
              <w:spacing w:line="360" w:lineRule="auto"/>
              <w:rPr>
                <w:rFonts w:hint="eastAsia" w:ascii="宋体" w:hAnsi="宋体" w:cs="等线"/>
                <w:szCs w:val="21"/>
              </w:rPr>
            </w:pPr>
            <w:r>
              <w:rPr>
                <w:rFonts w:hint="eastAsia" w:ascii="宋体" w:hAnsi="宋体" w:cs="等线"/>
                <w:szCs w:val="21"/>
              </w:rPr>
              <w:t>窗帘布、门帘布每学期清洗1次</w:t>
            </w:r>
            <w:r>
              <w:rPr>
                <w:rFonts w:hint="eastAsia" w:ascii="宋体" w:hAnsi="宋体" w:cs="等线"/>
                <w:szCs w:val="21"/>
              </w:rPr>
              <w:tab/>
            </w:r>
            <w:r>
              <w:rPr>
                <w:rFonts w:hint="eastAsia" w:ascii="宋体" w:hAnsi="宋体" w:cs="等线"/>
                <w:szCs w:val="21"/>
                <w:lang w:eastAsia="zh-CN"/>
              </w:rPr>
              <w:t>（</w:t>
            </w:r>
            <w:r>
              <w:rPr>
                <w:rFonts w:hint="eastAsia" w:ascii="宋体" w:hAnsi="宋体" w:cs="等线"/>
                <w:szCs w:val="21"/>
              </w:rPr>
              <w:t>仅限于教室、办公室、教学楼厕所门帘</w:t>
            </w:r>
            <w:r>
              <w:rPr>
                <w:rFonts w:hint="eastAsia" w:ascii="宋体" w:hAnsi="宋体" w:cs="等线"/>
                <w:szCs w:val="21"/>
                <w:lang w:eastAsia="zh-CN"/>
              </w:rPr>
              <w:t>）</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无灰尘、无污渍、无手印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299" w:type="pct"/>
            <w:vMerge w:val="continue"/>
            <w:tcBorders>
              <w:top w:val="nil"/>
              <w:lef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542" w:type="pct"/>
            <w:tcBorders>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门窗玻璃</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配合清洁剂</w:t>
            </w:r>
          </w:p>
          <w:p>
            <w:pPr>
              <w:topLinePunct/>
              <w:adjustRightInd w:val="0"/>
              <w:snapToGrid w:val="0"/>
              <w:spacing w:line="360" w:lineRule="auto"/>
              <w:rPr>
                <w:rFonts w:hint="eastAsia" w:ascii="宋体" w:hAnsi="宋体" w:cs="等线"/>
                <w:szCs w:val="21"/>
              </w:rPr>
            </w:pPr>
            <w:r>
              <w:rPr>
                <w:rFonts w:hint="eastAsia" w:ascii="宋体" w:hAnsi="宋体" w:cs="等线"/>
                <w:szCs w:val="21"/>
              </w:rPr>
              <w:t>擦抹一次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无灰尘、无污渍、无手印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信报箱</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擦抹一次，保洁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无灰尘、无污渍、无手印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墙面低处设施</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大清抹一次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墙面高处设施，天花及天花设施</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大清抹一次，天花每季除尘一次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垃圾箱、垃圾桶</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清理二次，清抹一次</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全面清洁一次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无异味、无污渍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屋面、天台</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清扫二次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清洗一次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无杂物、无污渍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restart"/>
            <w:tcBorders>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行政办公室</w:t>
            </w: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地面</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配合清洁剂湿拖</w:t>
            </w:r>
          </w:p>
          <w:p>
            <w:pPr>
              <w:topLinePunct/>
              <w:adjustRightInd w:val="0"/>
              <w:snapToGrid w:val="0"/>
              <w:spacing w:line="360" w:lineRule="auto"/>
              <w:rPr>
                <w:rFonts w:hint="eastAsia" w:ascii="宋体" w:hAnsi="宋体" w:cs="等线"/>
                <w:szCs w:val="21"/>
              </w:rPr>
            </w:pPr>
            <w:r>
              <w:rPr>
                <w:rFonts w:hint="eastAsia" w:ascii="宋体" w:hAnsi="宋体" w:cs="等线"/>
                <w:szCs w:val="21"/>
              </w:rPr>
              <w:t>一次</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p>
            <w:pPr>
              <w:topLinePunct/>
              <w:adjustRightInd w:val="0"/>
              <w:snapToGrid w:val="0"/>
              <w:spacing w:line="360" w:lineRule="auto"/>
              <w:rPr>
                <w:rFonts w:hint="eastAsia" w:ascii="宋体" w:hAnsi="宋体" w:cs="等线"/>
                <w:szCs w:val="21"/>
              </w:rPr>
            </w:pPr>
            <w:r>
              <w:rPr>
                <w:rFonts w:hint="eastAsia" w:ascii="宋体" w:hAnsi="宋体" w:cs="等线"/>
                <w:szCs w:val="21"/>
              </w:rPr>
              <w:t>清洗一次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p>
            <w:pPr>
              <w:topLinePunct/>
              <w:adjustRightInd w:val="0"/>
              <w:snapToGrid w:val="0"/>
              <w:spacing w:line="360" w:lineRule="auto"/>
              <w:rPr>
                <w:rFonts w:hint="eastAsia" w:ascii="宋体" w:hAnsi="宋体" w:cs="等线"/>
                <w:szCs w:val="21"/>
              </w:rPr>
            </w:pPr>
            <w:r>
              <w:rPr>
                <w:rFonts w:hint="eastAsia" w:ascii="宋体" w:hAnsi="宋体" w:cs="等线"/>
                <w:szCs w:val="21"/>
              </w:rPr>
              <w:t>地面光洁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桌椅台面</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清抹一次</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用洁而亮清抹一</w:t>
            </w:r>
          </w:p>
          <w:p>
            <w:pPr>
              <w:topLinePunct/>
              <w:adjustRightInd w:val="0"/>
              <w:snapToGrid w:val="0"/>
              <w:spacing w:line="360" w:lineRule="auto"/>
              <w:rPr>
                <w:rFonts w:hint="eastAsia" w:ascii="宋体" w:hAnsi="宋体" w:cs="等线"/>
                <w:szCs w:val="21"/>
              </w:rPr>
            </w:pPr>
            <w:r>
              <w:rPr>
                <w:rFonts w:hint="eastAsia" w:ascii="宋体" w:hAnsi="宋体" w:cs="等线"/>
                <w:szCs w:val="21"/>
              </w:rPr>
              <w:t>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无灰尘、无污渍、表面光洁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沙发、茶几</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清抹一次</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打碧丽珠一次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无灰尘、无污渍、表面光洁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墙面低处设施、</w:t>
            </w:r>
          </w:p>
          <w:p>
            <w:pPr>
              <w:topLinePunct/>
              <w:adjustRightInd w:val="0"/>
              <w:snapToGrid w:val="0"/>
              <w:spacing w:line="360" w:lineRule="auto"/>
              <w:rPr>
                <w:rFonts w:hint="eastAsia" w:ascii="宋体" w:hAnsi="宋体" w:cs="等线"/>
                <w:szCs w:val="21"/>
              </w:rPr>
            </w:pPr>
            <w:r>
              <w:rPr>
                <w:rFonts w:hint="eastAsia" w:ascii="宋体" w:hAnsi="宋体" w:cs="等线"/>
                <w:szCs w:val="21"/>
              </w:rPr>
              <w:t>门窗</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大清抹一次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墙面高处设施、天花及天花设</w:t>
            </w:r>
          </w:p>
          <w:p>
            <w:pPr>
              <w:topLinePunct/>
              <w:adjustRightInd w:val="0"/>
              <w:snapToGrid w:val="0"/>
              <w:spacing w:line="360" w:lineRule="auto"/>
              <w:rPr>
                <w:rFonts w:hint="eastAsia" w:ascii="宋体" w:hAnsi="宋体" w:cs="等线"/>
                <w:szCs w:val="21"/>
              </w:rPr>
            </w:pPr>
            <w:r>
              <w:rPr>
                <w:rFonts w:hint="eastAsia" w:ascii="宋体" w:hAnsi="宋体" w:cs="等线"/>
                <w:szCs w:val="21"/>
              </w:rPr>
              <w:t>施</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大清抹一次，天花每季除尘一次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垃圾处理</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一天一次</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无溢出垃圾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restart"/>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外围部分</w:t>
            </w: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路面、停车场、</w:t>
            </w:r>
          </w:p>
          <w:p>
            <w:pPr>
              <w:topLinePunct/>
              <w:adjustRightInd w:val="0"/>
              <w:snapToGrid w:val="0"/>
              <w:spacing w:line="360" w:lineRule="auto"/>
              <w:rPr>
                <w:rFonts w:hint="eastAsia" w:ascii="宋体" w:hAnsi="宋体" w:cs="等线"/>
                <w:szCs w:val="21"/>
              </w:rPr>
            </w:pPr>
            <w:r>
              <w:rPr>
                <w:rFonts w:hint="eastAsia" w:ascii="宋体" w:hAnsi="宋体" w:cs="等线"/>
                <w:szCs w:val="21"/>
              </w:rPr>
              <w:t>大门</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清扫一次、随时保洁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冲洗一次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无垃圾、无杂物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绿化带</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仔细清拣一次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保持植物干净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标牌、宣传栏</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清抹一次</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路灯、射灯</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大清抹一次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雨水井、明沟、</w:t>
            </w:r>
          </w:p>
          <w:p>
            <w:pPr>
              <w:topLinePunct/>
              <w:adjustRightInd w:val="0"/>
              <w:snapToGrid w:val="0"/>
              <w:spacing w:line="360" w:lineRule="auto"/>
              <w:rPr>
                <w:rFonts w:hint="eastAsia" w:ascii="宋体" w:hAnsi="宋体" w:cs="等线"/>
                <w:szCs w:val="21"/>
              </w:rPr>
            </w:pPr>
            <w:r>
              <w:rPr>
                <w:rFonts w:hint="eastAsia" w:ascii="宋体" w:hAnsi="宋体" w:cs="等线"/>
                <w:szCs w:val="21"/>
              </w:rPr>
              <w:t>地漏</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清掏一次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畅通、无积水、无杂物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消防设施及其他设施</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全面清洁一次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垃圾桶、垃圾箱</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更换垃圾袋一次，及时清抹箱体</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全面清洁一次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无异味、无溢出垃圾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restart"/>
            <w:tcBorders>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公共卫生间</w:t>
            </w: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lang w:eastAsia="zh-CN"/>
              </w:rPr>
              <w:t>瓷砖</w:t>
            </w:r>
            <w:r>
              <w:rPr>
                <w:rFonts w:hint="eastAsia" w:ascii="宋体" w:hAnsi="宋体" w:cs="等线"/>
                <w:szCs w:val="21"/>
              </w:rPr>
              <w:t>墙面、隔板</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清抹一次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地面</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拖抹数次，保持干净</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用洁厕灵清洗一次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无污渍、无垃圾、无异味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小便池、坐厕、洗手盆</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用强力除渍剂去尿垢黄斑等，用清洁剂清洗干净，随时保洁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用消毒水消毒一次</w:t>
            </w: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无污渍、无垃圾、无异味、无黄锈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灯饰</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清抹一次</w:t>
            </w: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镜面</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清抹一次，保洁</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无灰尘、无污渍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bottom w:val="nil"/>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垃圾篓</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清倒二次</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无异味、无溢出垃圾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 w:hRule="atLeast"/>
        </w:trPr>
        <w:tc>
          <w:tcPr>
            <w:tcW w:w="307" w:type="pct"/>
            <w:vMerge w:val="continue"/>
            <w:tcBorders>
              <w:top w:val="nil"/>
              <w:left w:val="single" w:color="000000" w:sz="10"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841" w:type="pct"/>
            <w:gridSpan w:val="2"/>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卫生间下水</w:t>
            </w:r>
          </w:p>
        </w:tc>
        <w:tc>
          <w:tcPr>
            <w:tcW w:w="1053"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堵塞后用疏通机</w:t>
            </w:r>
          </w:p>
          <w:p>
            <w:pPr>
              <w:topLinePunct/>
              <w:adjustRightInd w:val="0"/>
              <w:snapToGrid w:val="0"/>
              <w:spacing w:line="360" w:lineRule="auto"/>
              <w:rPr>
                <w:rFonts w:hint="eastAsia" w:ascii="宋体" w:hAnsi="宋体" w:cs="等线"/>
                <w:szCs w:val="21"/>
              </w:rPr>
            </w:pPr>
            <w:r>
              <w:rPr>
                <w:rFonts w:hint="eastAsia" w:ascii="宋体" w:hAnsi="宋体" w:cs="等线"/>
                <w:szCs w:val="21"/>
              </w:rPr>
              <w:t>疏通</w:t>
            </w:r>
          </w:p>
        </w:tc>
        <w:tc>
          <w:tcPr>
            <w:tcW w:w="996"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798" w:type="pct"/>
            <w:tcBorders>
              <w:left w:val="single" w:color="000000" w:sz="4" w:space="0"/>
              <w:right w:val="single" w:color="000000" w:sz="4" w:space="0"/>
            </w:tcBorders>
            <w:noWrap w:val="0"/>
            <w:vAlign w:val="top"/>
          </w:tcPr>
          <w:p>
            <w:pPr>
              <w:topLinePunct/>
              <w:adjustRightInd w:val="0"/>
              <w:snapToGrid w:val="0"/>
              <w:spacing w:line="360" w:lineRule="auto"/>
              <w:rPr>
                <w:rFonts w:hint="eastAsia" w:ascii="宋体" w:hAnsi="宋体" w:cs="等线"/>
                <w:szCs w:val="21"/>
              </w:rPr>
            </w:pPr>
          </w:p>
        </w:tc>
        <w:tc>
          <w:tcPr>
            <w:tcW w:w="1005" w:type="pct"/>
            <w:tcBorders>
              <w:left w:val="single" w:color="000000" w:sz="4" w:space="0"/>
              <w:right w:val="single" w:color="000000" w:sz="10" w:space="0"/>
            </w:tcBorders>
            <w:noWrap w:val="0"/>
            <w:vAlign w:val="top"/>
          </w:tcPr>
          <w:p>
            <w:pPr>
              <w:topLinePunct/>
              <w:adjustRightInd w:val="0"/>
              <w:snapToGrid w:val="0"/>
              <w:spacing w:line="360" w:lineRule="auto"/>
              <w:rPr>
                <w:rFonts w:hint="eastAsia" w:ascii="宋体" w:hAnsi="宋体" w:cs="等线"/>
                <w:szCs w:val="21"/>
              </w:rPr>
            </w:pPr>
            <w:r>
              <w:rPr>
                <w:rFonts w:hint="eastAsia" w:ascii="宋体" w:hAnsi="宋体" w:cs="等线"/>
                <w:szCs w:val="21"/>
              </w:rPr>
              <w:t>下水畅通</w:t>
            </w:r>
          </w:p>
        </w:tc>
      </w:tr>
    </w:tbl>
    <w:p>
      <w:pPr>
        <w:topLinePunct/>
        <w:adjustRightInd w:val="0"/>
        <w:snapToGrid w:val="0"/>
        <w:spacing w:line="360" w:lineRule="auto"/>
        <w:ind w:firstLine="420" w:firstLineChars="200"/>
        <w:rPr>
          <w:rFonts w:hint="eastAsia" w:ascii="宋体" w:hAnsi="宋体" w:cs="等线"/>
          <w:szCs w:val="21"/>
        </w:rPr>
      </w:pPr>
      <w:r>
        <w:rPr>
          <w:rFonts w:hint="eastAsia" w:ascii="宋体" w:hAnsi="宋体" w:cs="等线"/>
          <w:szCs w:val="21"/>
          <w:lang w:eastAsia="zh-CN"/>
        </w:rPr>
        <w:t>（</w:t>
      </w:r>
      <w:r>
        <w:rPr>
          <w:rFonts w:hint="eastAsia" w:ascii="宋体" w:hAnsi="宋体" w:cs="等线"/>
          <w:szCs w:val="21"/>
        </w:rPr>
        <w:t>12</w:t>
      </w:r>
      <w:r>
        <w:rPr>
          <w:rFonts w:hint="eastAsia" w:ascii="宋体" w:hAnsi="宋体" w:cs="等线"/>
          <w:szCs w:val="21"/>
          <w:lang w:eastAsia="zh-CN"/>
        </w:rPr>
        <w:t>）</w:t>
      </w:r>
      <w:r>
        <w:rPr>
          <w:rFonts w:hint="eastAsia" w:ascii="宋体" w:hAnsi="宋体" w:cs="等线"/>
          <w:szCs w:val="21"/>
        </w:rPr>
        <w:t>消杀服务工作标准：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235"/>
        <w:gridCol w:w="7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jc w:val="center"/>
        </w:trPr>
        <w:tc>
          <w:tcPr>
            <w:tcW w:w="396" w:type="pct"/>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消杀</w:t>
            </w:r>
          </w:p>
        </w:tc>
        <w:tc>
          <w:tcPr>
            <w:tcW w:w="66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药品监控</w:t>
            </w:r>
          </w:p>
        </w:tc>
        <w:tc>
          <w:tcPr>
            <w:tcW w:w="3939"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所使用的消杀药剂符合国家质量安全标准，具有产品质量监督检验机构所出具的检验报告；</w:t>
            </w:r>
          </w:p>
          <w:p>
            <w:pPr>
              <w:widowControl/>
              <w:numPr>
                <w:ilvl w:val="0"/>
                <w:numId w:val="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药品配置合理、及时更新；</w:t>
            </w:r>
          </w:p>
          <w:p>
            <w:pPr>
              <w:widowControl/>
              <w:numPr>
                <w:ilvl w:val="0"/>
                <w:numId w:val="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消杀药品投放点设置醒目的警告标识，必要时采取相应防护措施；</w:t>
            </w:r>
          </w:p>
          <w:p>
            <w:pPr>
              <w:widowControl/>
              <w:numPr>
                <w:ilvl w:val="0"/>
                <w:numId w:val="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投放点位置、药量记录清晰，鼠药投放后，在规定的时限内应及时回收监管；</w:t>
            </w:r>
          </w:p>
          <w:p>
            <w:pPr>
              <w:widowControl/>
              <w:numPr>
                <w:ilvl w:val="0"/>
                <w:numId w:val="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药品需单独存放、上锁管理。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9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场所频次</w:t>
            </w:r>
          </w:p>
        </w:tc>
        <w:tc>
          <w:tcPr>
            <w:tcW w:w="3939"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垃圾站无蚊虫孳生；</w:t>
            </w:r>
          </w:p>
          <w:p>
            <w:pPr>
              <w:widowControl/>
              <w:numPr>
                <w:ilvl w:val="0"/>
                <w:numId w:val="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排水沟、排污管、污水井、楼宇内少蚊、蝇、蟑螂，无鼠。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39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灭鼠消杀</w:t>
            </w:r>
          </w:p>
        </w:tc>
        <w:tc>
          <w:tcPr>
            <w:tcW w:w="3939"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每月两次；</w:t>
            </w:r>
          </w:p>
          <w:p>
            <w:pPr>
              <w:widowControl/>
              <w:numPr>
                <w:ilvl w:val="0"/>
                <w:numId w:val="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建筑物阳性地方无鼠迹和鼠痕，无老鼠活动；</w:t>
            </w:r>
          </w:p>
          <w:p>
            <w:pPr>
              <w:widowControl/>
              <w:numPr>
                <w:ilvl w:val="0"/>
                <w:numId w:val="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白天在室内外无老鼠活动，绿化地无鼠洞；</w:t>
            </w:r>
          </w:p>
          <w:p>
            <w:pPr>
              <w:widowControl/>
              <w:numPr>
                <w:ilvl w:val="0"/>
                <w:numId w:val="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楼顶、消防通道、地下室、绿化带白天无老鼠活动。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39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灭蝇消杀</w:t>
            </w:r>
          </w:p>
        </w:tc>
        <w:tc>
          <w:tcPr>
            <w:tcW w:w="3939"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每月四次；</w:t>
            </w:r>
          </w:p>
          <w:p>
            <w:pPr>
              <w:widowControl/>
              <w:numPr>
                <w:ilvl w:val="0"/>
                <w:numId w:val="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建筑物白天和晚上在室内无苍蝇；</w:t>
            </w:r>
          </w:p>
          <w:p>
            <w:pPr>
              <w:widowControl/>
              <w:numPr>
                <w:ilvl w:val="0"/>
                <w:numId w:val="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垃圾桶、垃圾房检查其周围苍蝇在可见范围内不得超过6只。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39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灭蟑消杀</w:t>
            </w:r>
          </w:p>
        </w:tc>
        <w:tc>
          <w:tcPr>
            <w:tcW w:w="3939"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每周2-3次；</w:t>
            </w:r>
          </w:p>
          <w:p>
            <w:pPr>
              <w:widowControl/>
              <w:numPr>
                <w:ilvl w:val="0"/>
                <w:numId w:val="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建筑物内白天和晚上在室内无蟑螂活动的痕迹；</w:t>
            </w:r>
          </w:p>
          <w:p>
            <w:pPr>
              <w:widowControl/>
              <w:numPr>
                <w:ilvl w:val="0"/>
                <w:numId w:val="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下水道、污、雨水井蟑螂平均查见数不超过1只/150平方米。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9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灭蚊消杀</w:t>
            </w:r>
          </w:p>
        </w:tc>
        <w:tc>
          <w:tcPr>
            <w:tcW w:w="3939"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每月四次；</w:t>
            </w:r>
          </w:p>
          <w:p>
            <w:pPr>
              <w:widowControl/>
              <w:numPr>
                <w:ilvl w:val="0"/>
                <w:numId w:val="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水沟可见范围内无蚊虫。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96"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现场作业</w:t>
            </w:r>
          </w:p>
        </w:tc>
        <w:tc>
          <w:tcPr>
            <w:tcW w:w="3939"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1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张贴消杀通知，告知消杀区域人员安全注意事项；</w:t>
            </w:r>
          </w:p>
          <w:p>
            <w:pPr>
              <w:widowControl/>
              <w:numPr>
                <w:ilvl w:val="0"/>
                <w:numId w:val="1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整齐穿戴安全装备（工作帽、专用手套、口罩、专用工作服等）；</w:t>
            </w:r>
          </w:p>
          <w:p>
            <w:pPr>
              <w:widowControl/>
              <w:numPr>
                <w:ilvl w:val="0"/>
                <w:numId w:val="1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携带的警示标志明显、易懂；</w:t>
            </w:r>
          </w:p>
          <w:p>
            <w:pPr>
              <w:widowControl/>
              <w:numPr>
                <w:ilvl w:val="0"/>
                <w:numId w:val="1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清点所携带物品，严禁遗落在作业现场。</w:t>
            </w:r>
          </w:p>
        </w:tc>
      </w:tr>
    </w:tbl>
    <w:p>
      <w:pPr>
        <w:topLinePunct/>
        <w:adjustRightInd w:val="0"/>
        <w:snapToGrid w:val="0"/>
        <w:spacing w:line="360" w:lineRule="auto"/>
        <w:ind w:firstLine="420" w:firstLineChars="200"/>
        <w:rPr>
          <w:rFonts w:hint="eastAsia" w:ascii="宋体" w:hAnsi="宋体" w:cs="等线"/>
          <w:szCs w:val="21"/>
        </w:rPr>
      </w:pP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4、园林绿化管理要求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配备专业人员进行管理，制度完善，管理人员应具有园林绿化专业知识及团队管理能力，能够结合学校实际情况，协助学校开展个性化园林绿化相关设计、养护以及拟投入团队在园林绿化方面的管理工作。</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实行标准化作业，由专人负责检查监督。</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3</w:t>
      </w:r>
      <w:r>
        <w:rPr>
          <w:rFonts w:hint="eastAsia" w:ascii="宋体" w:hAnsi="宋体" w:cs="等线"/>
          <w:color w:val="000000"/>
          <w:szCs w:val="21"/>
          <w:lang w:eastAsia="zh-CN"/>
        </w:rPr>
        <w:t>）</w:t>
      </w:r>
      <w:r>
        <w:rPr>
          <w:rFonts w:hint="eastAsia" w:ascii="宋体" w:hAnsi="宋体" w:cs="等线"/>
          <w:color w:val="000000"/>
          <w:szCs w:val="21"/>
        </w:rPr>
        <w:t>负责承担校区红线图以内室外所有绿化、盆景</w:t>
      </w:r>
      <w:r>
        <w:rPr>
          <w:rFonts w:hint="eastAsia" w:ascii="宋体" w:hAnsi="宋体" w:cs="等线"/>
          <w:color w:val="000000"/>
          <w:szCs w:val="21"/>
          <w:lang w:eastAsia="zh-CN"/>
        </w:rPr>
        <w:t>（</w:t>
      </w:r>
      <w:r>
        <w:rPr>
          <w:rFonts w:hint="eastAsia" w:ascii="宋体" w:hAnsi="宋体" w:cs="等线"/>
          <w:color w:val="000000"/>
          <w:szCs w:val="21"/>
        </w:rPr>
        <w:t>盆花</w:t>
      </w:r>
      <w:r>
        <w:rPr>
          <w:rFonts w:hint="eastAsia" w:ascii="宋体" w:hAnsi="宋体" w:cs="等线"/>
          <w:color w:val="000000"/>
          <w:szCs w:val="21"/>
          <w:lang w:eastAsia="zh-CN"/>
        </w:rPr>
        <w:t>）</w:t>
      </w:r>
      <w:r>
        <w:rPr>
          <w:rFonts w:hint="eastAsia" w:ascii="宋体" w:hAnsi="宋体" w:cs="等线"/>
          <w:color w:val="000000"/>
          <w:szCs w:val="21"/>
        </w:rPr>
        <w:t>、室内盆栽植物、地理园、温棚植物等的养护、修剪造型、施肥、浇水、除杂草、补苗、松土、杀虫、杂物清除等管理。</w:t>
      </w:r>
    </w:p>
    <w:p>
      <w:pPr>
        <w:adjustRightInd w:val="0"/>
        <w:snapToGrid w:val="0"/>
        <w:spacing w:line="360" w:lineRule="auto"/>
        <w:ind w:firstLine="420" w:firstLineChars="200"/>
        <w:rPr>
          <w:rFonts w:hint="eastAsia" w:ascii="宋体" w:hAnsi="宋体" w:cs="等线"/>
          <w:color w:val="000000"/>
          <w:szCs w:val="21"/>
        </w:rPr>
      </w:pPr>
      <w:bookmarkStart w:id="23" w:name="_Hlk116049653"/>
      <w:r>
        <w:rPr>
          <w:rFonts w:hint="eastAsia" w:ascii="宋体" w:hAnsi="宋体" w:cs="等线"/>
          <w:color w:val="000000"/>
          <w:szCs w:val="21"/>
          <w:lang w:eastAsia="zh-CN"/>
        </w:rPr>
        <w:t>（</w:t>
      </w:r>
      <w:r>
        <w:rPr>
          <w:rFonts w:hint="eastAsia" w:ascii="宋体" w:hAnsi="宋体" w:cs="等线"/>
          <w:color w:val="000000"/>
          <w:szCs w:val="21"/>
        </w:rPr>
        <w:t>4</w:t>
      </w:r>
      <w:r>
        <w:rPr>
          <w:rFonts w:hint="eastAsia" w:ascii="宋体" w:hAnsi="宋体" w:cs="等线"/>
          <w:color w:val="000000"/>
          <w:szCs w:val="21"/>
          <w:lang w:eastAsia="zh-CN"/>
        </w:rPr>
        <w:t>）</w:t>
      </w:r>
      <w:r>
        <w:rPr>
          <w:rFonts w:hint="eastAsia" w:ascii="宋体" w:hAnsi="宋体" w:cs="等线"/>
          <w:color w:val="000000"/>
          <w:szCs w:val="21"/>
        </w:rPr>
        <w:t>学校操场</w:t>
      </w:r>
      <w:r>
        <w:rPr>
          <w:rFonts w:hint="eastAsia" w:ascii="宋体" w:hAnsi="宋体" w:cs="等线"/>
          <w:color w:val="000000"/>
          <w:szCs w:val="21"/>
          <w:lang w:eastAsia="zh-CN"/>
        </w:rPr>
        <w:t>（</w:t>
      </w:r>
      <w:r>
        <w:rPr>
          <w:rFonts w:hint="eastAsia" w:ascii="宋体" w:hAnsi="宋体" w:cs="等线"/>
          <w:color w:val="000000"/>
          <w:szCs w:val="21"/>
        </w:rPr>
        <w:t>运动场</w:t>
      </w:r>
      <w:r>
        <w:rPr>
          <w:rFonts w:hint="eastAsia" w:ascii="宋体" w:hAnsi="宋体" w:cs="等线"/>
          <w:color w:val="000000"/>
          <w:szCs w:val="21"/>
          <w:lang w:eastAsia="zh-CN"/>
        </w:rPr>
        <w:t>）</w:t>
      </w:r>
      <w:r>
        <w:rPr>
          <w:rFonts w:hint="eastAsia" w:ascii="宋体" w:hAnsi="宋体" w:cs="等线"/>
          <w:color w:val="000000"/>
          <w:szCs w:val="21"/>
        </w:rPr>
        <w:t>草坪养护要求：</w:t>
      </w:r>
    </w:p>
    <w:bookmarkEnd w:id="23"/>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①修剪：根据草坪的的生长特点、立地环境、使用要求，按照操作规程适时进行。</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②施肥：每季度施肥1次。</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③除杂草：及时清理草坪坪中的各类杂草。</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④病虫害防治：病虫害防治是养护中较为重要的手段和内容，及时做好预测预报，及时采取措施防治。</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⑤抗旱、抗涝：旱季要及时进行灌溉，防止草坪因脱水而造成枯死。台汛期间要做好排涝抢险工作，防止草坪受损。</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⑥补种草皮：绿化工负责球场草皮枯死或踩踏磨光的及时补种。草皮的购买费用由学校承担。</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⑦以上养护的肥料与器械由中标供应商提供。</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5</w:t>
      </w:r>
      <w:r>
        <w:rPr>
          <w:rFonts w:hint="eastAsia" w:ascii="宋体" w:hAnsi="宋体" w:cs="等线"/>
          <w:color w:val="000000"/>
          <w:szCs w:val="21"/>
          <w:lang w:eastAsia="zh-CN"/>
        </w:rPr>
        <w:t>）</w:t>
      </w:r>
      <w:r>
        <w:rPr>
          <w:rFonts w:hint="eastAsia" w:ascii="宋体" w:hAnsi="宋体" w:cs="等线"/>
          <w:color w:val="000000"/>
          <w:szCs w:val="21"/>
        </w:rPr>
        <w:t>草地养护要求：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1 \* GB3 </w:instrText>
      </w:r>
      <w:r>
        <w:rPr>
          <w:rFonts w:hint="eastAsia" w:ascii="宋体" w:hAnsi="宋体" w:cs="等线"/>
          <w:color w:val="000000"/>
          <w:szCs w:val="21"/>
        </w:rPr>
        <w:fldChar w:fldCharType="separate"/>
      </w:r>
      <w:r>
        <w:rPr>
          <w:rFonts w:hint="eastAsia" w:ascii="宋体" w:hAnsi="宋体" w:cs="等线"/>
          <w:color w:val="000000"/>
          <w:szCs w:val="21"/>
        </w:rPr>
        <w:t>1</w:t>
      </w:r>
      <w:r>
        <w:rPr>
          <w:rFonts w:hint="eastAsia" w:ascii="宋体" w:hAnsi="宋体" w:cs="等线"/>
          <w:color w:val="000000"/>
          <w:szCs w:val="21"/>
        </w:rPr>
        <w:fldChar w:fldCharType="end"/>
      </w:r>
      <w:r>
        <w:rPr>
          <w:rFonts w:hint="eastAsia" w:ascii="宋体" w:hAnsi="宋体" w:cs="等线"/>
          <w:color w:val="000000"/>
          <w:szCs w:val="21"/>
        </w:rPr>
        <w:t>草地生长正常，无明显枯草和净土裸露；</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2 \* GB3 </w:instrText>
      </w:r>
      <w:r>
        <w:rPr>
          <w:rFonts w:hint="eastAsia" w:ascii="宋体" w:hAnsi="宋体" w:cs="等线"/>
          <w:color w:val="000000"/>
          <w:szCs w:val="21"/>
        </w:rPr>
        <w:fldChar w:fldCharType="separate"/>
      </w:r>
      <w:r>
        <w:rPr>
          <w:rFonts w:hint="eastAsia" w:ascii="宋体" w:hAnsi="宋体" w:cs="等线"/>
          <w:color w:val="000000"/>
          <w:szCs w:val="21"/>
        </w:rPr>
        <w:t>2</w:t>
      </w:r>
      <w:r>
        <w:rPr>
          <w:rFonts w:hint="eastAsia" w:ascii="宋体" w:hAnsi="宋体" w:cs="等线"/>
          <w:color w:val="000000"/>
          <w:szCs w:val="21"/>
        </w:rPr>
        <w:fldChar w:fldCharType="end"/>
      </w:r>
      <w:r>
        <w:rPr>
          <w:rFonts w:hint="eastAsia" w:ascii="宋体" w:hAnsi="宋体" w:cs="等线"/>
          <w:color w:val="000000"/>
          <w:szCs w:val="21"/>
        </w:rPr>
        <w:t>草地没有明显落叶、残枝等；</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3 \* GB3 </w:instrText>
      </w:r>
      <w:r>
        <w:rPr>
          <w:rFonts w:hint="eastAsia" w:ascii="宋体" w:hAnsi="宋体" w:cs="等线"/>
          <w:color w:val="000000"/>
          <w:szCs w:val="21"/>
        </w:rPr>
        <w:fldChar w:fldCharType="separate"/>
      </w:r>
      <w:r>
        <w:rPr>
          <w:rFonts w:hint="eastAsia" w:ascii="宋体" w:hAnsi="宋体" w:cs="等线"/>
          <w:color w:val="000000"/>
          <w:szCs w:val="21"/>
        </w:rPr>
        <w:t>3</w:t>
      </w:r>
      <w:r>
        <w:rPr>
          <w:rFonts w:hint="eastAsia" w:ascii="宋体" w:hAnsi="宋体" w:cs="等线"/>
          <w:color w:val="000000"/>
          <w:szCs w:val="21"/>
        </w:rPr>
        <w:fldChar w:fldCharType="end"/>
      </w:r>
      <w:r>
        <w:rPr>
          <w:rFonts w:hint="eastAsia" w:ascii="宋体" w:hAnsi="宋体" w:cs="等线"/>
          <w:color w:val="000000"/>
          <w:szCs w:val="21"/>
        </w:rPr>
        <w:t>草地整洁，边缘完整，无堆物堆料、搭棚、侵占等现象，绿化生产垃圾及时清掉；</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4 \* GB3 </w:instrText>
      </w:r>
      <w:r>
        <w:rPr>
          <w:rFonts w:hint="eastAsia" w:ascii="宋体" w:hAnsi="宋体" w:cs="等线"/>
          <w:color w:val="000000"/>
          <w:szCs w:val="21"/>
        </w:rPr>
        <w:fldChar w:fldCharType="separate"/>
      </w:r>
      <w:r>
        <w:rPr>
          <w:rFonts w:hint="eastAsia" w:ascii="宋体" w:hAnsi="宋体" w:cs="等线"/>
          <w:color w:val="000000"/>
          <w:szCs w:val="21"/>
        </w:rPr>
        <w:t>4</w:t>
      </w:r>
      <w:r>
        <w:rPr>
          <w:rFonts w:hint="eastAsia" w:ascii="宋体" w:hAnsi="宋体" w:cs="等线"/>
          <w:color w:val="000000"/>
          <w:szCs w:val="21"/>
        </w:rPr>
        <w:fldChar w:fldCharType="end"/>
      </w:r>
      <w:r>
        <w:rPr>
          <w:rFonts w:hint="eastAsia" w:ascii="宋体" w:hAnsi="宋体" w:cs="等线"/>
          <w:color w:val="000000"/>
          <w:szCs w:val="21"/>
        </w:rPr>
        <w:t>根据草坪种类、季节、生长周期、天气、土质等情况，实施淋水、修剪和灭虫，视情况施肥。</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（6）园林树木养护要求：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1 \* GB3 </w:instrText>
      </w:r>
      <w:r>
        <w:rPr>
          <w:rFonts w:hint="eastAsia" w:ascii="宋体" w:hAnsi="宋体" w:cs="等线"/>
          <w:color w:val="000000"/>
          <w:szCs w:val="21"/>
        </w:rPr>
        <w:fldChar w:fldCharType="separate"/>
      </w:r>
      <w:r>
        <w:rPr>
          <w:rFonts w:hint="eastAsia" w:ascii="宋体" w:hAnsi="宋体" w:cs="等线"/>
          <w:color w:val="000000"/>
          <w:szCs w:val="21"/>
        </w:rPr>
        <w:t>1</w:t>
      </w:r>
      <w:r>
        <w:rPr>
          <w:rFonts w:hint="eastAsia" w:ascii="宋体" w:hAnsi="宋体" w:cs="等线"/>
          <w:color w:val="000000"/>
          <w:szCs w:val="21"/>
        </w:rPr>
        <w:fldChar w:fldCharType="end"/>
      </w:r>
      <w:r>
        <w:rPr>
          <w:rFonts w:hint="eastAsia" w:ascii="宋体" w:hAnsi="宋体" w:cs="等线"/>
          <w:color w:val="000000"/>
          <w:szCs w:val="21"/>
        </w:rPr>
        <w:t>绿化带、道路周边和园林的树木，保持枝叶茂密，长势良好，没有枯干、枝，无明显缺株；</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2 \* GB3 </w:instrText>
      </w:r>
      <w:r>
        <w:rPr>
          <w:rFonts w:hint="eastAsia" w:ascii="宋体" w:hAnsi="宋体" w:cs="等线"/>
          <w:color w:val="000000"/>
          <w:szCs w:val="21"/>
        </w:rPr>
        <w:fldChar w:fldCharType="separate"/>
      </w:r>
      <w:r>
        <w:rPr>
          <w:rFonts w:hint="eastAsia" w:ascii="宋体" w:hAnsi="宋体" w:cs="等线"/>
          <w:color w:val="000000"/>
          <w:szCs w:val="21"/>
        </w:rPr>
        <w:t>2</w:t>
      </w:r>
      <w:r>
        <w:rPr>
          <w:rFonts w:hint="eastAsia" w:ascii="宋体" w:hAnsi="宋体" w:cs="等线"/>
          <w:color w:val="000000"/>
          <w:szCs w:val="21"/>
        </w:rPr>
        <w:fldChar w:fldCharType="end"/>
      </w:r>
      <w:r>
        <w:rPr>
          <w:rFonts w:hint="eastAsia" w:ascii="宋体" w:hAnsi="宋体" w:cs="等线"/>
          <w:color w:val="000000"/>
          <w:szCs w:val="21"/>
        </w:rPr>
        <w:t>道路绿篱、绿带植物修剪棱角、线条统一整齐，生长快的树种视生长情况适时修剪以保持特定形状；早春开花的花篱，应在开花后做第一次修剪；常绿绿篱宜经常修剪，每年应整形1次；</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3 \* GB3 </w:instrText>
      </w:r>
      <w:r>
        <w:rPr>
          <w:rFonts w:hint="eastAsia" w:ascii="宋体" w:hAnsi="宋体" w:cs="等线"/>
          <w:color w:val="000000"/>
          <w:szCs w:val="21"/>
        </w:rPr>
        <w:fldChar w:fldCharType="separate"/>
      </w:r>
      <w:r>
        <w:rPr>
          <w:rFonts w:hint="eastAsia" w:ascii="宋体" w:hAnsi="宋体" w:cs="等线"/>
          <w:color w:val="000000"/>
          <w:szCs w:val="21"/>
        </w:rPr>
        <w:t>3</w:t>
      </w:r>
      <w:r>
        <w:rPr>
          <w:rFonts w:hint="eastAsia" w:ascii="宋体" w:hAnsi="宋体" w:cs="等线"/>
          <w:color w:val="000000"/>
          <w:szCs w:val="21"/>
        </w:rPr>
        <w:fldChar w:fldCharType="end"/>
      </w:r>
      <w:r>
        <w:rPr>
          <w:rFonts w:hint="eastAsia" w:ascii="宋体" w:hAnsi="宋体" w:cs="等线"/>
          <w:color w:val="000000"/>
          <w:szCs w:val="21"/>
        </w:rPr>
        <w:t>园林树木非正常落叶，焦叶、卷叶以及有虫屎、虫网、积尘叶的株树应在10％以下，树木无明显蛀虫危害；</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4 \* GB3 </w:instrText>
      </w:r>
      <w:r>
        <w:rPr>
          <w:rFonts w:hint="eastAsia" w:ascii="宋体" w:hAnsi="宋体" w:cs="等线"/>
          <w:color w:val="000000"/>
          <w:szCs w:val="21"/>
        </w:rPr>
        <w:fldChar w:fldCharType="separate"/>
      </w:r>
      <w:r>
        <w:rPr>
          <w:rFonts w:hint="eastAsia" w:ascii="宋体" w:hAnsi="宋体" w:cs="等线"/>
          <w:color w:val="000000"/>
          <w:szCs w:val="21"/>
        </w:rPr>
        <w:t>4</w:t>
      </w:r>
      <w:r>
        <w:rPr>
          <w:rFonts w:hint="eastAsia" w:ascii="宋体" w:hAnsi="宋体" w:cs="等线"/>
          <w:color w:val="000000"/>
          <w:szCs w:val="21"/>
        </w:rPr>
        <w:fldChar w:fldCharType="end"/>
      </w:r>
      <w:r>
        <w:rPr>
          <w:rFonts w:hint="eastAsia" w:ascii="宋体" w:hAnsi="宋体" w:cs="等线"/>
          <w:color w:val="000000"/>
          <w:szCs w:val="21"/>
        </w:rPr>
        <w:t>树木保持枝干无机械损伤，无钉栓、捆绑现象，树冠长势好，形态直立美观，叶色、叶片生长正常，步行道两边树木通过整修要起到遮荫作用。园林树木、植物缺株、枯木、损坏等应及时补种。补种的苗木费用由学校承担，物业公司负责管养；</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5 \* GB3 </w:instrText>
      </w:r>
      <w:r>
        <w:rPr>
          <w:rFonts w:hint="eastAsia" w:ascii="宋体" w:hAnsi="宋体" w:cs="等线"/>
          <w:color w:val="000000"/>
          <w:szCs w:val="21"/>
        </w:rPr>
        <w:fldChar w:fldCharType="separate"/>
      </w:r>
      <w:r>
        <w:rPr>
          <w:rFonts w:hint="eastAsia" w:ascii="宋体" w:hAnsi="宋体" w:cs="等线"/>
          <w:color w:val="000000"/>
          <w:szCs w:val="21"/>
        </w:rPr>
        <w:t>5</w:t>
      </w:r>
      <w:r>
        <w:rPr>
          <w:rFonts w:hint="eastAsia" w:ascii="宋体" w:hAnsi="宋体" w:cs="等线"/>
          <w:color w:val="000000"/>
          <w:szCs w:val="21"/>
        </w:rPr>
        <w:fldChar w:fldCharType="end"/>
      </w:r>
      <w:r>
        <w:rPr>
          <w:rFonts w:hint="eastAsia" w:ascii="宋体" w:hAnsi="宋体" w:cs="等线"/>
          <w:color w:val="000000"/>
          <w:szCs w:val="21"/>
        </w:rPr>
        <w:t>红线内所有绿植养护存活率要求不低于85％，学校每季度查验一次。</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（7）花坛养护要求：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1 \* GB3 </w:instrText>
      </w:r>
      <w:r>
        <w:rPr>
          <w:rFonts w:hint="eastAsia" w:ascii="宋体" w:hAnsi="宋体" w:cs="等线"/>
          <w:color w:val="000000"/>
          <w:szCs w:val="21"/>
        </w:rPr>
        <w:fldChar w:fldCharType="separate"/>
      </w:r>
      <w:r>
        <w:rPr>
          <w:rFonts w:hint="eastAsia" w:ascii="宋体" w:hAnsi="宋体" w:cs="等线"/>
          <w:color w:val="000000"/>
          <w:szCs w:val="21"/>
        </w:rPr>
        <w:t>1</w:t>
      </w:r>
      <w:r>
        <w:rPr>
          <w:rFonts w:hint="eastAsia" w:ascii="宋体" w:hAnsi="宋体" w:cs="等线"/>
          <w:color w:val="000000"/>
          <w:szCs w:val="21"/>
        </w:rPr>
        <w:fldChar w:fldCharType="end"/>
      </w:r>
      <w:r>
        <w:rPr>
          <w:rFonts w:hint="eastAsia" w:ascii="宋体" w:hAnsi="宋体" w:cs="等线"/>
          <w:color w:val="000000"/>
          <w:szCs w:val="21"/>
        </w:rPr>
        <w:t>花坛花卉长势良好，符合花坛设计要求，造型优美，保持清晰图案和适宜高度；</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2 \* GB3 </w:instrText>
      </w:r>
      <w:r>
        <w:rPr>
          <w:rFonts w:hint="eastAsia" w:ascii="宋体" w:hAnsi="宋体" w:cs="等线"/>
          <w:color w:val="000000"/>
          <w:szCs w:val="21"/>
        </w:rPr>
        <w:fldChar w:fldCharType="separate"/>
      </w:r>
      <w:r>
        <w:rPr>
          <w:rFonts w:hint="eastAsia" w:ascii="宋体" w:hAnsi="宋体" w:cs="等线"/>
          <w:color w:val="000000"/>
          <w:szCs w:val="21"/>
        </w:rPr>
        <w:t>2</w:t>
      </w:r>
      <w:r>
        <w:rPr>
          <w:rFonts w:hint="eastAsia" w:ascii="宋体" w:hAnsi="宋体" w:cs="等线"/>
          <w:color w:val="000000"/>
          <w:szCs w:val="21"/>
        </w:rPr>
        <w:fldChar w:fldCharType="end"/>
      </w:r>
      <w:r>
        <w:rPr>
          <w:rFonts w:hint="eastAsia" w:ascii="宋体" w:hAnsi="宋体" w:cs="等线"/>
          <w:color w:val="000000"/>
          <w:szCs w:val="21"/>
        </w:rPr>
        <w:t>不出现花木缺水的枯萎现象，叶色、大小正常，无非正常落叶、黄叶，除日常养护工作外，在花坛开花期间，根据服务区情况每周剪修残枝、落花（无法修补）1-2次；</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3 \* GB3 </w:instrText>
      </w:r>
      <w:r>
        <w:rPr>
          <w:rFonts w:hint="eastAsia" w:ascii="宋体" w:hAnsi="宋体" w:cs="等线"/>
          <w:color w:val="000000"/>
          <w:szCs w:val="21"/>
        </w:rPr>
        <w:fldChar w:fldCharType="separate"/>
      </w:r>
      <w:r>
        <w:rPr>
          <w:rFonts w:hint="eastAsia" w:ascii="宋体" w:hAnsi="宋体" w:cs="等线"/>
          <w:color w:val="000000"/>
          <w:szCs w:val="21"/>
        </w:rPr>
        <w:t>3</w:t>
      </w:r>
      <w:r>
        <w:rPr>
          <w:rFonts w:hint="eastAsia" w:ascii="宋体" w:hAnsi="宋体" w:cs="等线"/>
          <w:color w:val="000000"/>
          <w:szCs w:val="21"/>
        </w:rPr>
        <w:fldChar w:fldCharType="end"/>
      </w:r>
      <w:r>
        <w:rPr>
          <w:rFonts w:hint="eastAsia" w:ascii="宋体" w:hAnsi="宋体" w:cs="等线"/>
          <w:color w:val="000000"/>
          <w:szCs w:val="21"/>
        </w:rPr>
        <w:t>出现病虫害、人为损害及天气异常损坏情况时应及时养护，平时养护浇水、施肥适当，保证花卉正常生长，保持花坛土壤湿润，泥面不开裂。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4 \* GB3 </w:instrText>
      </w:r>
      <w:r>
        <w:rPr>
          <w:rFonts w:hint="eastAsia" w:ascii="宋体" w:hAnsi="宋体" w:cs="等线"/>
          <w:color w:val="000000"/>
          <w:szCs w:val="21"/>
        </w:rPr>
        <w:fldChar w:fldCharType="separate"/>
      </w:r>
      <w:r>
        <w:rPr>
          <w:rFonts w:hint="eastAsia" w:ascii="宋体" w:hAnsi="宋体" w:cs="等线"/>
          <w:color w:val="000000"/>
          <w:szCs w:val="21"/>
        </w:rPr>
        <w:t>4</w:t>
      </w:r>
      <w:r>
        <w:rPr>
          <w:rFonts w:hint="eastAsia" w:ascii="宋体" w:hAnsi="宋体" w:cs="等线"/>
          <w:color w:val="000000"/>
          <w:szCs w:val="21"/>
        </w:rPr>
        <w:fldChar w:fldCharType="end"/>
      </w:r>
      <w:r>
        <w:rPr>
          <w:rFonts w:hint="eastAsia" w:ascii="宋体" w:hAnsi="宋体" w:cs="等线"/>
          <w:color w:val="000000"/>
          <w:szCs w:val="21"/>
        </w:rPr>
        <w:t>功能性的绿植要养护修理发挥它们的功能作用，如宿舍区用作防护翻越护栏墙的簕杜鹃、用作垃圾临时停放点围墙的树等。</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（8）绿化服务标准：</w:t>
      </w:r>
    </w:p>
    <w:tbl>
      <w:tblPr>
        <w:tblStyle w:val="23"/>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1237"/>
        <w:gridCol w:w="7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145"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服务内容</w:t>
            </w:r>
          </w:p>
        </w:tc>
        <w:tc>
          <w:tcPr>
            <w:tcW w:w="385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bookmarkStart w:id="24" w:name="_Hlk514614969"/>
            <w:r>
              <w:rPr>
                <w:rFonts w:hint="eastAsia" w:ascii="宋体" w:hAnsi="宋体" w:cs="等线"/>
                <w:szCs w:val="21"/>
              </w:rPr>
              <w:t>台账、标识</w:t>
            </w:r>
          </w:p>
        </w:tc>
        <w:tc>
          <w:tcPr>
            <w:tcW w:w="6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建立绿化台账</w:t>
            </w:r>
          </w:p>
        </w:tc>
        <w:tc>
          <w:tcPr>
            <w:tcW w:w="3855"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1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建立《绿化台账》，每年更新1次。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悬挂绿化标识</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1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悬挂绿化名牌，名牌内容含有名称、产地、属性、科目等；</w:t>
            </w:r>
          </w:p>
          <w:p>
            <w:pPr>
              <w:widowControl/>
              <w:numPr>
                <w:ilvl w:val="0"/>
                <w:numId w:val="1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暴雨、台风前加固树木保护，在暴雨、台风后现场应放置提示标识，及时做好受影响树木的修剪、扶正等工作，最长不超过一周。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设置温馨提示</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1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在作业现场放置标识说明作业时间、恢复时间等温馨提示。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作业要求</w:t>
            </w:r>
          </w:p>
        </w:tc>
        <w:tc>
          <w:tcPr>
            <w:tcW w:w="6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标准化作业</w:t>
            </w:r>
          </w:p>
        </w:tc>
        <w:tc>
          <w:tcPr>
            <w:tcW w:w="3855"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1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制定明确的绿化、修剪、除草、施肥的作业指导书；</w:t>
            </w:r>
          </w:p>
          <w:p>
            <w:pPr>
              <w:widowControl/>
              <w:numPr>
                <w:ilvl w:val="0"/>
                <w:numId w:val="1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制定树木定期杀虫、剪枝计划；</w:t>
            </w:r>
          </w:p>
          <w:p>
            <w:pPr>
              <w:widowControl/>
              <w:numPr>
                <w:ilvl w:val="0"/>
                <w:numId w:val="1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实行标准化作业，由专人负责检查、监督，并设置相应的质量记录；</w:t>
            </w:r>
          </w:p>
          <w:p>
            <w:pPr>
              <w:widowControl/>
              <w:numPr>
                <w:ilvl w:val="0"/>
                <w:numId w:val="1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按照作业指导书的要求开展绿化带各类植物的修剪、除草、施肥、杀虫、防护等作业；</w:t>
            </w:r>
          </w:p>
          <w:p>
            <w:pPr>
              <w:widowControl/>
              <w:numPr>
                <w:ilvl w:val="0"/>
                <w:numId w:val="1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每周抽查，每月普查，并记录在案。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作业防护</w:t>
            </w:r>
          </w:p>
        </w:tc>
        <w:tc>
          <w:tcPr>
            <w:tcW w:w="3855"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1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绿化工打药时需戴手套、口罩，农药配比按照规范；</w:t>
            </w:r>
          </w:p>
          <w:p>
            <w:pPr>
              <w:widowControl/>
              <w:numPr>
                <w:ilvl w:val="0"/>
                <w:numId w:val="1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修剪作业时需佩戴手套、护具等防护措施；</w:t>
            </w:r>
          </w:p>
          <w:p>
            <w:pPr>
              <w:widowControl/>
              <w:numPr>
                <w:ilvl w:val="0"/>
                <w:numId w:val="1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行人、车辆活动范围内容易脱落的大型枝叶、果实等坠落作业时，应有相应的安全处理及防护措施；</w:t>
            </w:r>
          </w:p>
          <w:p>
            <w:pPr>
              <w:widowControl/>
              <w:numPr>
                <w:ilvl w:val="0"/>
                <w:numId w:val="1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存在安全隐患的作业应避开人流高峰期、设置警示标识，并采取适当的防护措施。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绿化设施设备、工具</w:t>
            </w:r>
          </w:p>
        </w:tc>
        <w:tc>
          <w:tcPr>
            <w:tcW w:w="6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设施、设备日常养护</w:t>
            </w:r>
          </w:p>
        </w:tc>
        <w:tc>
          <w:tcPr>
            <w:tcW w:w="3855"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1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维护好喷淋设施、水龙头、花池、绿化牌、计量表等，有损坏现象及时维修；</w:t>
            </w:r>
          </w:p>
          <w:p>
            <w:pPr>
              <w:widowControl/>
              <w:numPr>
                <w:ilvl w:val="0"/>
                <w:numId w:val="1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工具的维护保养。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工具日常管理</w:t>
            </w:r>
          </w:p>
        </w:tc>
        <w:tc>
          <w:tcPr>
            <w:tcW w:w="3855"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1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所有设备、工具回收上锁管理，禁止随意放置。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草坪</w:t>
            </w: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修剪</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1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及时对草坪整治修剪，高度控制在10cm以下。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清杂草</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19"/>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及时除杂草，每年除杂草10次以上。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灌、排水</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0"/>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保持有效供水，无积水；</w:t>
            </w:r>
          </w:p>
          <w:p>
            <w:pPr>
              <w:widowControl/>
              <w:numPr>
                <w:ilvl w:val="0"/>
                <w:numId w:val="20"/>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草坪生长季节每2-3天浇水1次，具体根据实际情况确定浇水频次。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施肥</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草地每月一次（阴雨天施），按土壤肥力、草坪种类、草坪生长情况，适时适量施有机肥全年至少2遍；</w:t>
            </w:r>
          </w:p>
          <w:p>
            <w:pPr>
              <w:widowControl/>
              <w:numPr>
                <w:ilvl w:val="0"/>
                <w:numId w:val="2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枯季来临前一个月时施肥一次，到植物复苏后按计划作业。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病虫害防治</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做到预防为主，严格控制病虫害，发生时及时采用高效、低毒、低残留农药、有针对性进行治理；</w:t>
            </w:r>
          </w:p>
          <w:p>
            <w:pPr>
              <w:widowControl/>
              <w:numPr>
                <w:ilvl w:val="0"/>
                <w:numId w:val="2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以春季为主，每年至少</w:t>
            </w:r>
            <w:r>
              <w:rPr>
                <w:rFonts w:hint="eastAsia" w:ascii="宋体" w:hAnsi="宋体" w:cs="等线"/>
                <w:szCs w:val="21"/>
                <w:lang w:eastAsia="zh-CN"/>
              </w:rPr>
              <w:t>两次</w:t>
            </w:r>
            <w:r>
              <w:rPr>
                <w:rFonts w:hint="eastAsia" w:ascii="宋体" w:hAnsi="宋体" w:cs="等线"/>
                <w:szCs w:val="21"/>
              </w:rPr>
              <w:t>；</w:t>
            </w:r>
          </w:p>
          <w:p>
            <w:pPr>
              <w:widowControl/>
              <w:numPr>
                <w:ilvl w:val="0"/>
                <w:numId w:val="2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草坪生长季节每两个月打一次药，个别有病虫害的地方及时打药、多次打药，直至消灭为止。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其它养护</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草坪每日保洁一次，做到无白色垃圾、砖头瓦块、果皮纸屑、枯枝杂草；</w:t>
            </w:r>
          </w:p>
          <w:p>
            <w:pPr>
              <w:widowControl/>
              <w:numPr>
                <w:ilvl w:val="0"/>
                <w:numId w:val="2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草坪生长良好，无占用、破坏现象，发现斑秃及时补种；</w:t>
            </w:r>
          </w:p>
          <w:p>
            <w:pPr>
              <w:widowControl/>
              <w:numPr>
                <w:ilvl w:val="0"/>
                <w:numId w:val="2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发现人为或车辆损坏的及时制止、汇报，妥善处理；</w:t>
            </w:r>
          </w:p>
          <w:p>
            <w:pPr>
              <w:widowControl/>
              <w:numPr>
                <w:ilvl w:val="0"/>
                <w:numId w:val="2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草坪补植与原草坪相同的草种，补植后加强保养，保证一个月内覆盖率达98%。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树木</w:t>
            </w: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修剪</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篱、球生长茂盛无缺枝、空档，造型要求适时修剪，及时清理萌生枝、枯枝；</w:t>
            </w:r>
          </w:p>
          <w:p>
            <w:pPr>
              <w:widowControl/>
              <w:numPr>
                <w:ilvl w:val="0"/>
                <w:numId w:val="2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花灌木每年需要修剪、疏枝，及时整形修剪每年三遍以上，保持树型完整美观；</w:t>
            </w:r>
          </w:p>
          <w:p>
            <w:pPr>
              <w:widowControl/>
              <w:numPr>
                <w:ilvl w:val="0"/>
                <w:numId w:val="2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乔灌木生长健壮，树冠完整，形态优美；</w:t>
            </w:r>
          </w:p>
          <w:p>
            <w:pPr>
              <w:widowControl/>
              <w:numPr>
                <w:ilvl w:val="0"/>
                <w:numId w:val="2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乔木根据需要适时修剪（包括危树、枯死树。较大树枝的修剪、齐头断杆式修剪）；</w:t>
            </w:r>
          </w:p>
          <w:p>
            <w:pPr>
              <w:widowControl/>
              <w:numPr>
                <w:ilvl w:val="0"/>
                <w:numId w:val="2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较大树木在雨季修剪后，伤口需涂保护剂进行保护。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清杂草</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及时除杂草，杂草留存不超过三天；</w:t>
            </w:r>
          </w:p>
          <w:p>
            <w:pPr>
              <w:widowControl/>
              <w:numPr>
                <w:ilvl w:val="0"/>
                <w:numId w:val="2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区域内杂草面积控制在草坪面积5%以内，剪后杂草要及时清理干净。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施肥</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按植物品种、生长状况、土壤条件适时适量施肥。每年普施基肥不少于一遍；</w:t>
            </w:r>
          </w:p>
          <w:p>
            <w:pPr>
              <w:widowControl/>
              <w:numPr>
                <w:ilvl w:val="0"/>
                <w:numId w:val="2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花灌木增施复合肥二遍，满足植物生长需要，以春季为主，每年至少二次；</w:t>
            </w:r>
          </w:p>
          <w:p>
            <w:pPr>
              <w:widowControl/>
              <w:numPr>
                <w:ilvl w:val="0"/>
                <w:numId w:val="2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乔灌木每季一次，保证不因缺肥及养分不足而长势不好，枯萎或死亡。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病虫害防治</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花灌木生长季节每两个月打一次药，个别有病虫的地方及时打、多次打，直至消灭为止；</w:t>
            </w:r>
          </w:p>
          <w:p>
            <w:pPr>
              <w:widowControl/>
              <w:numPr>
                <w:ilvl w:val="0"/>
                <w:numId w:val="2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乔木预防为主，及时采用高效、低毒、低残留农药，每年至少喷洒药物3次以上，并做好记录。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其它养护</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灌木被损坏处、缺口处需及时补种，及时清理死苗，确保美观，补植按照种植规范进行，施足基肥并加强淋水，对已呈老化或明显与周围环境不协调的灌木应及时改植；</w:t>
            </w:r>
          </w:p>
          <w:p>
            <w:pPr>
              <w:widowControl/>
              <w:numPr>
                <w:ilvl w:val="0"/>
                <w:numId w:val="2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乔木补植先清理枯死树木，并及时补植与原来相同品种及规格的植物，补植要按照树木种植规范进行，施足基肥并加强淋水等保养措施；</w:t>
            </w:r>
          </w:p>
          <w:p>
            <w:pPr>
              <w:widowControl/>
              <w:numPr>
                <w:ilvl w:val="0"/>
                <w:numId w:val="2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花灌木正常开花结果；</w:t>
            </w:r>
          </w:p>
          <w:p>
            <w:pPr>
              <w:widowControl/>
              <w:numPr>
                <w:ilvl w:val="0"/>
                <w:numId w:val="2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视天气情况适量浇水，春季或遇旱季时，适时浇水，不能有缺水现象。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花坛、花境</w:t>
            </w: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布置</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29"/>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一年有二次以上花卉布置，形成图案，三季有花。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补种</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30"/>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缺枝、倒伏、枯死及时补种，补种的规格、品种、颜色与原来的保持一致。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修剪、施肥</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3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及时清除枯萎的花蒂、黄叶、杂草、垃圾；</w:t>
            </w:r>
          </w:p>
          <w:p>
            <w:pPr>
              <w:widowControl/>
              <w:numPr>
                <w:ilvl w:val="0"/>
                <w:numId w:val="3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每年施基肥一次，每次布置前施复合肥一次，盛花期追肥适量。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病虫害防治</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3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适时做好病虫害防治工作；</w:t>
            </w:r>
          </w:p>
          <w:p>
            <w:pPr>
              <w:widowControl/>
              <w:numPr>
                <w:ilvl w:val="0"/>
                <w:numId w:val="3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保证无病虫危害，一旦发生，十天内得到控制，完好率99%以上。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其它养护</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3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花坛设施经常保持完好，适当浇水。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鲜花、花槽、盆景</w:t>
            </w: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补种</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3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缺枝、倒伏、枯死及时补种，补种的规格、品种、颜色与原来的保持一致。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修剪、施肥</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3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不定期剪枝、修理茂盛叶片，枝条均匀，每半个月松1次土；</w:t>
            </w:r>
          </w:p>
          <w:p>
            <w:pPr>
              <w:widowControl/>
              <w:numPr>
                <w:ilvl w:val="0"/>
                <w:numId w:val="3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花朵鲜艳，枝叶无尘、无杂草；</w:t>
            </w:r>
          </w:p>
          <w:p>
            <w:pPr>
              <w:widowControl/>
              <w:numPr>
                <w:ilvl w:val="0"/>
                <w:numId w:val="3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盆景每年施基肥一次，每次布置前施复合肥一次，盛花期追肥适量。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病虫害防治</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3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根据病虫害发生规律定期提前喷杀药物，采取综合防治、化学防治、物理人工防治和生物防治等方法。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adjustRightInd w:val="0"/>
              <w:snapToGrid w:val="0"/>
              <w:spacing w:line="360" w:lineRule="auto"/>
              <w:rPr>
                <w:rFonts w:hint="eastAsia" w:ascii="宋体" w:hAnsi="宋体" w:cs="等线"/>
                <w:szCs w:val="21"/>
              </w:rPr>
            </w:pP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其它养护</w:t>
            </w:r>
          </w:p>
        </w:tc>
        <w:tc>
          <w:tcPr>
            <w:tcW w:w="385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numPr>
                <w:ilvl w:val="0"/>
                <w:numId w:val="3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盆花浇水见干见湿，以浇透为准；</w:t>
            </w:r>
          </w:p>
          <w:p>
            <w:pPr>
              <w:widowControl/>
              <w:numPr>
                <w:ilvl w:val="0"/>
                <w:numId w:val="3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根据校方要求摆放合适的艺术盆景；</w:t>
            </w:r>
          </w:p>
          <w:p>
            <w:pPr>
              <w:widowControl/>
              <w:numPr>
                <w:ilvl w:val="0"/>
                <w:numId w:val="3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重要接待活动、庆典活动、法定节假日等期间，在主要建筑物里按相应规格进行绿化盆景的布置与协调；</w:t>
            </w:r>
          </w:p>
          <w:p>
            <w:pPr>
              <w:widowControl/>
              <w:numPr>
                <w:ilvl w:val="0"/>
                <w:numId w:val="3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活动或节假日结束后及时清理。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应急</w:t>
            </w:r>
          </w:p>
        </w:tc>
        <w:tc>
          <w:tcPr>
            <w:tcW w:w="66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应急事件处理</w:t>
            </w:r>
          </w:p>
        </w:tc>
        <w:tc>
          <w:tcPr>
            <w:tcW w:w="3855"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3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发现安全隐患及时防护处理、事故发生率为0；</w:t>
            </w:r>
          </w:p>
          <w:p>
            <w:pPr>
              <w:widowControl/>
              <w:numPr>
                <w:ilvl w:val="0"/>
                <w:numId w:val="3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因人为或风害等因素造成树木倾斜予以及时扶正；</w:t>
            </w:r>
          </w:p>
          <w:p>
            <w:pPr>
              <w:widowControl/>
              <w:numPr>
                <w:ilvl w:val="0"/>
                <w:numId w:val="3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发生因树木倒伏等意外造成的人、财、物受损的事件处理；</w:t>
            </w:r>
          </w:p>
          <w:p>
            <w:pPr>
              <w:widowControl/>
              <w:numPr>
                <w:ilvl w:val="0"/>
                <w:numId w:val="3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风前设立支柱疏剪枝叶；风后12小时内无断枝、落叶，树木无倒斜；草地内无1平方米以上积水。及时清理被台风暴雨吹倒的树枝，及时扶植倒伏的树木（2小时内）。</w:t>
            </w:r>
          </w:p>
        </w:tc>
      </w:tr>
      <w:bookmarkEnd w:id="24"/>
    </w:tbl>
    <w:p>
      <w:pPr>
        <w:topLinePunct/>
        <w:adjustRightInd w:val="0"/>
        <w:snapToGrid w:val="0"/>
        <w:spacing w:line="360" w:lineRule="auto"/>
        <w:ind w:firstLine="420" w:firstLineChars="200"/>
        <w:rPr>
          <w:rFonts w:hint="eastAsia" w:ascii="宋体" w:hAnsi="宋体" w:cs="等线"/>
          <w:szCs w:val="21"/>
        </w:rPr>
      </w:pP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5、水电维护管理要求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设施设备管理要求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①建立完善的质量保证体系，提供切实可行的运行管理、维护保养、维修的实施方案和各种措施。</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②制定设备安全运行管理、岗位责任制、定期巡视检查、操作规程及监督检查制度，建立岗位责任制，并严格执行。做到科学管理、正确使用，精心维护，备齐备件，及时维修。</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③实行值班制度，保证设备良好，运行正常，无重大管理责任事故。</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④设备及机房环境整洁，无杂物、灰尘，无鼠、虫害发生。</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⑤相关技术人员持证上岗，有解决各类故障和事件的能力。</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⑥建立设备台帐和档案，项目齐全，目录清晰，设备图纸档案、技术资料齐全。管理完善，可随时查阅。</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⑦各类设施设备的完好率达到98%以上，急修及时率达到100%；走廊、楼道等共用部位照明系统的完好率达到99%以上。</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⑧加强对消防系统的检查保养，消防栓、灭火器、报警功能巡查每周不少于三次；消防泵启动每年不少于四次；保障消防通道畅顺。</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给排水系统管理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①建立用水、供水管理制度并予以实施</w:t>
      </w:r>
      <w:r>
        <w:rPr>
          <w:rFonts w:hint="eastAsia" w:ascii="宋体" w:hAnsi="宋体" w:cs="等线"/>
          <w:color w:val="000000"/>
          <w:szCs w:val="21"/>
          <w:lang w:eastAsia="zh-CN"/>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②防止跑、冒、滴、漏，对供水系统管路、水泵、水箱、阀门等进行日常维护和定期检修，不发生大面积跑水事故，定期对水泵房进行检查、保养、维修、清洁</w:t>
      </w:r>
      <w:r>
        <w:rPr>
          <w:rFonts w:hint="eastAsia" w:ascii="宋体" w:hAnsi="宋体" w:cs="等线"/>
          <w:color w:val="000000"/>
          <w:szCs w:val="21"/>
          <w:lang w:eastAsia="zh-CN"/>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③水箱保持清洁卫生并定期每季度消毒一次</w:t>
      </w:r>
      <w:r>
        <w:rPr>
          <w:rFonts w:hint="eastAsia" w:ascii="宋体" w:hAnsi="宋体" w:cs="等线"/>
          <w:color w:val="000000"/>
          <w:szCs w:val="21"/>
          <w:lang w:eastAsia="zh-CN"/>
        </w:rPr>
        <w:t>（</w:t>
      </w:r>
      <w:r>
        <w:rPr>
          <w:rFonts w:hint="eastAsia" w:ascii="宋体" w:hAnsi="宋体" w:cs="等线"/>
          <w:color w:val="000000"/>
          <w:szCs w:val="21"/>
        </w:rPr>
        <w:t>按照深圳市二次供水的有关规定</w:t>
      </w:r>
      <w:r>
        <w:rPr>
          <w:rFonts w:hint="eastAsia" w:ascii="宋体" w:hAnsi="宋体" w:cs="等线"/>
          <w:color w:val="000000"/>
          <w:szCs w:val="21"/>
          <w:lang w:eastAsia="zh-CN"/>
        </w:rPr>
        <w:t>）</w:t>
      </w:r>
      <w:r>
        <w:rPr>
          <w:rFonts w:hint="eastAsia" w:ascii="宋体" w:hAnsi="宋体" w:cs="等线"/>
          <w:color w:val="000000"/>
          <w:szCs w:val="21"/>
        </w:rPr>
        <w:t>，确保二次供水符合饮用水国家标准</w:t>
      </w:r>
      <w:r>
        <w:rPr>
          <w:rFonts w:hint="eastAsia" w:ascii="宋体" w:hAnsi="宋体" w:cs="等线"/>
          <w:color w:val="000000"/>
          <w:szCs w:val="21"/>
          <w:lang w:eastAsia="zh-CN"/>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④保证设备和管道系统状况良好，供水系统能正常发挥功能</w:t>
      </w:r>
      <w:r>
        <w:rPr>
          <w:rFonts w:hint="eastAsia" w:ascii="宋体" w:hAnsi="宋体" w:cs="等线"/>
          <w:color w:val="000000"/>
          <w:szCs w:val="21"/>
          <w:lang w:eastAsia="zh-CN"/>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⑤定期对排水管、化粪池、隔油池、沟渠、池、井进行清疏、养护及清除污垢。保证排水系统通畅、确保上下水管道完好和正常使用</w:t>
      </w:r>
      <w:r>
        <w:rPr>
          <w:rFonts w:hint="eastAsia" w:ascii="宋体" w:hAnsi="宋体" w:cs="等线"/>
          <w:color w:val="000000"/>
          <w:szCs w:val="21"/>
          <w:lang w:eastAsia="zh-CN"/>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⑥及时发现和解决故障，当出现故障时，维修人员及时到位抢修，恢复正常功能。</w:t>
      </w:r>
    </w:p>
    <w:p>
      <w:pPr>
        <w:adjustRightInd w:val="0"/>
        <w:snapToGrid w:val="0"/>
        <w:spacing w:line="360" w:lineRule="auto"/>
        <w:ind w:firstLine="420" w:firstLineChars="200"/>
        <w:rPr>
          <w:rFonts w:hint="eastAsia" w:ascii="宋体" w:hAnsi="宋体" w:cs="等线"/>
          <w:szCs w:val="21"/>
        </w:rPr>
      </w:pPr>
      <w:r>
        <w:rPr>
          <w:rFonts w:hint="eastAsia" w:ascii="宋体" w:hAnsi="宋体" w:cs="等线"/>
          <w:color w:val="000000"/>
          <w:szCs w:val="21"/>
        </w:rPr>
        <w:t>⑦上述设施设备正常损耗的零配件及水箱清洗材料等费用，由学校承担。</w:t>
      </w:r>
      <w:r>
        <w:rPr>
          <w:rFonts w:hint="eastAsia" w:ascii="宋体" w:hAnsi="宋体" w:cs="等线"/>
          <w:szCs w:val="21"/>
        </w:rPr>
        <w:tab/>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7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bookmarkStart w:id="25" w:name="_Hlk514615865"/>
            <w:r>
              <w:rPr>
                <w:rFonts w:hint="eastAsia" w:ascii="宋体" w:hAnsi="宋体" w:cs="等线"/>
                <w:szCs w:val="21"/>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运行、巡检</w:t>
            </w:r>
          </w:p>
        </w:tc>
        <w:tc>
          <w:tcPr>
            <w:tcW w:w="4248"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39"/>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水泵房每2小时巡检抄表一次，抄表内容包括电压、电流、频率、进出水压力、室内温湿度、计量仪表工作状态等，巡检内容包括照明、通风、门窗、卫生及设备运行情况等；</w:t>
            </w:r>
          </w:p>
          <w:p>
            <w:pPr>
              <w:widowControl/>
              <w:numPr>
                <w:ilvl w:val="0"/>
                <w:numId w:val="39"/>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每月定期对校园各类用水量进行统计分析，对用水量异常情况进行核查处理，确保无跑冒滴漏现象，能耗控制在合理范围内；</w:t>
            </w:r>
          </w:p>
          <w:p>
            <w:pPr>
              <w:widowControl/>
              <w:numPr>
                <w:ilvl w:val="0"/>
                <w:numId w:val="39"/>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运行、巡检记录清晰、完整、真实、可追溯。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水泵</w:t>
            </w:r>
          </w:p>
        </w:tc>
        <w:tc>
          <w:tcPr>
            <w:tcW w:w="4248"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0"/>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各类型水泵运行（自动、手动）正常，无卡阻、异响、过热和明显的低频噪声，压力表指示准确，泵各项控制功能正常，运行时震动、噪音在可接受范围内；</w:t>
            </w:r>
          </w:p>
          <w:p>
            <w:pPr>
              <w:widowControl/>
              <w:numPr>
                <w:ilvl w:val="0"/>
                <w:numId w:val="40"/>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水泵轴无泄漏，无明显渗水、漏水现象；正常机械密封渗漏应小于3滴/分，填料密封渗漏应小于10滴/分；润滑油箱内不能混入水份，油位在油标范围内，日常维修及时，记录完整；</w:t>
            </w:r>
          </w:p>
          <w:p>
            <w:pPr>
              <w:widowControl/>
              <w:numPr>
                <w:ilvl w:val="0"/>
                <w:numId w:val="40"/>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电机运行电流在额定范围内，温升符合要求；</w:t>
            </w:r>
          </w:p>
          <w:p>
            <w:pPr>
              <w:widowControl/>
              <w:numPr>
                <w:ilvl w:val="0"/>
                <w:numId w:val="40"/>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每半年对水泵电机进行除锈刷漆一次。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阀门、管网</w:t>
            </w:r>
          </w:p>
        </w:tc>
        <w:tc>
          <w:tcPr>
            <w:tcW w:w="4248"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管网水流标识清晰、正确，管道无渗露现象，管网无锈蚀，不影响供水水质；</w:t>
            </w:r>
          </w:p>
          <w:p>
            <w:pPr>
              <w:widowControl/>
              <w:numPr>
                <w:ilvl w:val="0"/>
                <w:numId w:val="4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阀门状态标识与现场相符，止回阀防止水倒流功能正常，碟阀能够完全关闭，闸阀关闭正常，排气管阀门无损坏，能正常排气；管网上的止回阀及调压阀正常并定期试验。</w:t>
            </w:r>
          </w:p>
          <w:p>
            <w:pPr>
              <w:widowControl/>
              <w:numPr>
                <w:ilvl w:val="0"/>
                <w:numId w:val="4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稳压罐没有漏气、漏水的现象，有稳压的功能，压力显示正确；</w:t>
            </w:r>
          </w:p>
          <w:p>
            <w:pPr>
              <w:widowControl/>
              <w:numPr>
                <w:ilvl w:val="0"/>
                <w:numId w:val="4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每月对各类阀门盘动一次，每季度对各类阀门丝杆进行涂抹润滑油一次；</w:t>
            </w:r>
          </w:p>
          <w:p>
            <w:pPr>
              <w:widowControl/>
              <w:numPr>
                <w:ilvl w:val="0"/>
                <w:numId w:val="4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每年对管道及阀门进行除锈刷漆一次。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变频器</w:t>
            </w:r>
          </w:p>
        </w:tc>
        <w:tc>
          <w:tcPr>
            <w:tcW w:w="4248"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变频器、压力表工作正常，控制柜应保持干燥、无灰尘、通风良好，柜内各接线端接线紧固，电器设备无受潮现象；</w:t>
            </w:r>
          </w:p>
          <w:p>
            <w:pPr>
              <w:widowControl/>
              <w:numPr>
                <w:ilvl w:val="0"/>
                <w:numId w:val="4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PLC、变频器设置参数（循环时间、起/停泵压力、稳压泵投入频率、加泵频率及时间、压力波动范围正负0.03MP范围内）在控制柜上标明，设备设置有进入密码且服务中心有备案，不得随意改变；</w:t>
            </w:r>
          </w:p>
          <w:p>
            <w:pPr>
              <w:widowControl/>
              <w:numPr>
                <w:ilvl w:val="0"/>
                <w:numId w:val="4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定压罐、浮球开关运行正常，故障阶段给排水保障措施安全可靠。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2"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水池/水箱</w:t>
            </w:r>
          </w:p>
        </w:tc>
        <w:tc>
          <w:tcPr>
            <w:tcW w:w="4248"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水池/水箱安装高、低水位和溢水报警装置，报警装置灵敏、可靠，采用安全电压供电；</w:t>
            </w:r>
          </w:p>
          <w:p>
            <w:pPr>
              <w:widowControl/>
              <w:numPr>
                <w:ilvl w:val="0"/>
                <w:numId w:val="4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水箱应有水位计，有总容积标识，水位计刻度应有高、低水位标志。</w:t>
            </w:r>
          </w:p>
          <w:p>
            <w:pPr>
              <w:widowControl/>
              <w:numPr>
                <w:ilvl w:val="0"/>
                <w:numId w:val="4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二次供水水池/水箱溢水口、排气口加防虫网罩并完好，水位指示清晰，水位正常；水箱、池加盖上锁（不能使用通锁），对钥匙进行有效的管理。</w:t>
            </w:r>
          </w:p>
          <w:p>
            <w:pPr>
              <w:widowControl/>
              <w:numPr>
                <w:ilvl w:val="0"/>
                <w:numId w:val="4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二次供水水池/水箱每半年1次定期清洗消毒，对水质进行检测，清洗前三天通知校方，告知校方停水时间、水池清洗后注意事项，水质检验合格证交校方查看并存档；</w:t>
            </w:r>
          </w:p>
          <w:p>
            <w:pPr>
              <w:widowControl/>
              <w:numPr>
                <w:ilvl w:val="0"/>
                <w:numId w:val="43"/>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每半年对水池/水箱及其基座进行除锈刷漆一次，记录完整。</w:t>
            </w:r>
          </w:p>
        </w:tc>
      </w:tr>
      <w:bookmarkEnd w:id="25"/>
    </w:tbl>
    <w:p>
      <w:pPr>
        <w:tabs>
          <w:tab w:val="right" w:pos="8337"/>
        </w:tabs>
        <w:topLinePunct/>
        <w:adjustRightInd w:val="0"/>
        <w:snapToGrid w:val="0"/>
        <w:spacing w:line="360" w:lineRule="auto"/>
        <w:ind w:firstLine="420" w:firstLineChars="200"/>
        <w:rPr>
          <w:rFonts w:hint="eastAsia" w:ascii="宋体" w:hAnsi="宋体" w:cs="等线"/>
          <w:szCs w:val="21"/>
        </w:rPr>
      </w:pP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3</w:t>
      </w:r>
      <w:r>
        <w:rPr>
          <w:rFonts w:hint="eastAsia" w:ascii="宋体" w:hAnsi="宋体" w:cs="等线"/>
          <w:color w:val="000000"/>
          <w:szCs w:val="21"/>
          <w:lang w:eastAsia="zh-CN"/>
        </w:rPr>
        <w:t>）</w:t>
      </w:r>
      <w:r>
        <w:rPr>
          <w:rFonts w:hint="eastAsia" w:ascii="宋体" w:hAnsi="宋体" w:cs="等线"/>
          <w:color w:val="000000"/>
          <w:szCs w:val="21"/>
        </w:rPr>
        <w:t>供配电系统管理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①对供电范围的电气设备定期巡视维护和重点检测，做到安全、合理、节约用电；</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②及时发现和解决故障。当出现故障时，维修人员10分钟内及时到位抢修，排除故障，恢复正常功能；</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③加强日常维护检修，公共使用的照明灯具</w:t>
      </w:r>
      <w:r>
        <w:rPr>
          <w:rFonts w:hint="eastAsia" w:ascii="宋体" w:hAnsi="宋体" w:cs="等线"/>
          <w:color w:val="000000"/>
          <w:szCs w:val="21"/>
          <w:lang w:eastAsia="zh-CN"/>
        </w:rPr>
        <w:t>（</w:t>
      </w:r>
      <w:r>
        <w:rPr>
          <w:rFonts w:hint="eastAsia" w:ascii="宋体" w:hAnsi="宋体" w:cs="等线"/>
          <w:color w:val="000000"/>
          <w:szCs w:val="21"/>
        </w:rPr>
        <w:t>包括地下室照明、楼梯、电梯间、室外院墙照明</w:t>
      </w:r>
      <w:r>
        <w:rPr>
          <w:rFonts w:hint="eastAsia" w:ascii="宋体" w:hAnsi="宋体" w:cs="等线"/>
          <w:color w:val="000000"/>
          <w:szCs w:val="21"/>
          <w:lang w:eastAsia="zh-CN"/>
        </w:rPr>
        <w:t>）</w:t>
      </w:r>
      <w:r>
        <w:rPr>
          <w:rFonts w:hint="eastAsia" w:ascii="宋体" w:hAnsi="宋体" w:cs="等线"/>
          <w:color w:val="000000"/>
          <w:szCs w:val="21"/>
        </w:rPr>
        <w:t>线路、开关保证完好，确保用电安全，并管理和维护好避雷设施；</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④配电设备管理、操作、维修保养严格按国家标准操作运行，制定临时用电措施并严格执行。</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⑤上述设施设备正常损耗的零配件费用，由学校承担。</w:t>
      </w:r>
    </w:p>
    <w:tbl>
      <w:tblPr>
        <w:tblStyle w:val="23"/>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7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bookmarkStart w:id="26" w:name="_Hlk514615687"/>
            <w:r>
              <w:rPr>
                <w:rFonts w:hint="eastAsia" w:ascii="宋体" w:hAnsi="宋体" w:cs="等线"/>
                <w:szCs w:val="21"/>
              </w:rPr>
              <w:t>运行、巡检</w:t>
            </w:r>
          </w:p>
        </w:tc>
        <w:tc>
          <w:tcPr>
            <w:tcW w:w="4271"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高、低压配电房、变压器房每2小时巡检抄表一次，抄表内容包括有功功率、无功功率、电压、三相电流、功率因数、变压器三相温度、开关母排温度、室内温湿度等，巡检内容包括照明、通风、门窗、卫生及设备运行情况等；</w:t>
            </w:r>
          </w:p>
          <w:p>
            <w:pPr>
              <w:widowControl/>
              <w:numPr>
                <w:ilvl w:val="0"/>
                <w:numId w:val="4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每月定期对校园各类用电量进行统计分析，对用电量异常情况进行核查处理，确保能耗控制在合理范围内；</w:t>
            </w:r>
          </w:p>
          <w:p>
            <w:pPr>
              <w:widowControl/>
              <w:numPr>
                <w:ilvl w:val="0"/>
                <w:numId w:val="44"/>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运行、巡检记录清晰、完整、真实、可追溯。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高压柜</w:t>
            </w:r>
          </w:p>
        </w:tc>
        <w:tc>
          <w:tcPr>
            <w:tcW w:w="4271"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设备运行正常，环网柜全部上锁，不能使用通锁，钥匙应放置明显位置，每把钥匙编号清晰；环网柜上标有各柜编号、环出位置、进线号、该线号所在供电部门联系电话。</w:t>
            </w:r>
          </w:p>
          <w:p>
            <w:pPr>
              <w:widowControl/>
              <w:numPr>
                <w:ilvl w:val="0"/>
                <w:numId w:val="45"/>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配置有高压验电笔、绝缘手套、绝缘鞋、接地线、高压操作杆、专用扳手、检修车以及“严禁合闸”标识等，柜前、后绝缘胶垫完好（高压验电笔、绝缘手套、绝缘鞋、绝缘胶垫等要每年定期检测，有检验合格标识且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变压器</w:t>
            </w:r>
          </w:p>
        </w:tc>
        <w:tc>
          <w:tcPr>
            <w:tcW w:w="4271"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变压器温度、风机、温度监测仪运行正常；</w:t>
            </w:r>
          </w:p>
          <w:p>
            <w:pPr>
              <w:widowControl/>
              <w:numPr>
                <w:ilvl w:val="0"/>
                <w:numId w:val="4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变压器房或变压器隔离网必上锁；</w:t>
            </w:r>
          </w:p>
          <w:p>
            <w:pPr>
              <w:widowControl/>
              <w:numPr>
                <w:ilvl w:val="0"/>
                <w:numId w:val="4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变压器高低压接口无氧化，无变色；</w:t>
            </w:r>
          </w:p>
          <w:p>
            <w:pPr>
              <w:widowControl/>
              <w:numPr>
                <w:ilvl w:val="0"/>
                <w:numId w:val="4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变压器编号及相色标识清晰</w:t>
            </w:r>
            <w:r>
              <w:rPr>
                <w:rFonts w:hint="eastAsia" w:ascii="宋体" w:hAnsi="宋体" w:cs="等线"/>
                <w:szCs w:val="21"/>
                <w:lang w:eastAsia="zh-CN"/>
              </w:rPr>
              <w:t>，</w:t>
            </w:r>
            <w:r>
              <w:rPr>
                <w:rFonts w:hint="eastAsia" w:ascii="宋体" w:hAnsi="宋体" w:cs="等线"/>
                <w:szCs w:val="21"/>
              </w:rPr>
              <w:t>无破损；</w:t>
            </w:r>
          </w:p>
          <w:p>
            <w:pPr>
              <w:widowControl/>
              <w:numPr>
                <w:ilvl w:val="0"/>
                <w:numId w:val="46"/>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母排无损伤、不变形。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配电柜</w:t>
            </w:r>
          </w:p>
        </w:tc>
        <w:tc>
          <w:tcPr>
            <w:tcW w:w="4271"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各类控制箱（柜）的手、自动控制及安全（漏电、短路、过载）保护功能正常，技术铭牌及操作标识清晰，各控制柜张贴控制原理图，配电房有与使用相符的供电系统图；</w:t>
            </w:r>
          </w:p>
          <w:p>
            <w:pPr>
              <w:widowControl/>
              <w:numPr>
                <w:ilvl w:val="0"/>
                <w:numId w:val="4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指示灯完好，柜内装置无异响、无焦糊气味，开关状态、标识准确，内外清洁，电流表合理；电表连线准确，有范围和倍率标识，铅封完好。</w:t>
            </w:r>
          </w:p>
          <w:p>
            <w:pPr>
              <w:widowControl/>
              <w:numPr>
                <w:ilvl w:val="0"/>
                <w:numId w:val="4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停用的开关应打到“关”的位置并悬挂“严禁合闸”标识，进线柜断路器停用应将其退出并挂牌上锁。</w:t>
            </w:r>
          </w:p>
          <w:p>
            <w:pPr>
              <w:widowControl/>
              <w:numPr>
                <w:ilvl w:val="0"/>
                <w:numId w:val="4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各二次线路端子处连接紧密、线号完好规范，连接螺栓无松动，接线无发热变色；</w:t>
            </w:r>
          </w:p>
          <w:p>
            <w:pPr>
              <w:widowControl/>
              <w:numPr>
                <w:ilvl w:val="0"/>
                <w:numId w:val="4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各仪表、蜂鸣器、电铃、按钮指示动作正常，电流值在额定范围内；各大电流连接处、开关无异常发热，帖贴示温片，柜内外零线、地线连接牢固；</w:t>
            </w:r>
          </w:p>
          <w:p>
            <w:pPr>
              <w:widowControl/>
              <w:numPr>
                <w:ilvl w:val="0"/>
                <w:numId w:val="47"/>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补偿柜内接触器动作灵敏，放电电阻、熔断器可靠无损坏，手、自动切换有效，电容壳体无膨胀。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公共照明</w:t>
            </w:r>
          </w:p>
        </w:tc>
        <w:tc>
          <w:tcPr>
            <w:tcW w:w="4271"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校园道路、操场、停车场、楼道、走廊、教室、公共卫生间、广告、景观照明等开关时间明确，报修及检查发现的问题在一个工作日内处理完毕，校园公共区域照明灯具无破损，亮灯率及完好率98%。</w:t>
            </w:r>
          </w:p>
          <w:p>
            <w:pPr>
              <w:widowControl/>
              <w:numPr>
                <w:ilvl w:val="0"/>
                <w:numId w:val="4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控制柜内各标识正确、明了，进出线连接紧固，无生锈现象，无线头祼露现象；</w:t>
            </w:r>
          </w:p>
          <w:p>
            <w:pPr>
              <w:widowControl/>
              <w:numPr>
                <w:ilvl w:val="0"/>
                <w:numId w:val="4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室外照明灯具可靠接地（小于4欧），漏电保护开关功能正常，漏电安全保护动作电流为30毫安，动作时间0.1秒；</w:t>
            </w:r>
          </w:p>
          <w:p>
            <w:pPr>
              <w:widowControl/>
              <w:numPr>
                <w:ilvl w:val="0"/>
                <w:numId w:val="48"/>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公共照明采用分区间隔，校园路灯、园林灯需定时开关控制。</w:t>
            </w:r>
          </w:p>
        </w:tc>
      </w:tr>
      <w:bookmarkEnd w:id="26"/>
    </w:tbl>
    <w:p>
      <w:pPr>
        <w:topLinePunct/>
        <w:adjustRightInd w:val="0"/>
        <w:snapToGrid w:val="0"/>
        <w:spacing w:line="360" w:lineRule="auto"/>
        <w:rPr>
          <w:rFonts w:hint="eastAsia" w:ascii="宋体" w:hAnsi="宋体" w:cs="等线"/>
          <w:szCs w:val="21"/>
        </w:rPr>
      </w:pP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4</w:t>
      </w:r>
      <w:r>
        <w:rPr>
          <w:rFonts w:hint="eastAsia" w:ascii="宋体" w:hAnsi="宋体" w:cs="等线"/>
          <w:color w:val="000000"/>
          <w:szCs w:val="21"/>
          <w:lang w:eastAsia="zh-CN"/>
        </w:rPr>
        <w:t>）</w:t>
      </w:r>
      <w:r>
        <w:rPr>
          <w:rFonts w:hint="eastAsia" w:ascii="宋体" w:hAnsi="宋体" w:cs="等线"/>
          <w:color w:val="000000"/>
          <w:szCs w:val="21"/>
        </w:rPr>
        <w:t>电梯管理：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①电梯（含幼儿园餐梯）由投标人聘请符合市场监督管理局有关规定并具有专业维保资质的专业维保单位每月定期开展维修保养，设置电梯安全管理员，电梯维修、保养人员均持证上岗，电梯各种安全检查审核证件齐全有效；</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②建立电梯运行管理、设备管理、安全管理制度，确保电梯按规定时间运行，状态良好，安全设施齐全有效，通风、照明及其它附属设施完好；</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③投标人负责按国家规定提供保养服务，每壹周一次例保，由甲方签字确认，每两周对电梯自备电池放电一次，每季度进行一次检查，并提交季度《电梯重要安全装置自检报告表》，每年进行一次检修调整</w:t>
      </w:r>
      <w:r>
        <w:rPr>
          <w:rFonts w:hint="eastAsia" w:ascii="宋体" w:hAnsi="宋体" w:cs="等线"/>
          <w:color w:val="000000"/>
          <w:szCs w:val="21"/>
          <w:lang w:eastAsia="zh-CN"/>
        </w:rPr>
        <w:t>（</w:t>
      </w:r>
      <w:r>
        <w:rPr>
          <w:rFonts w:hint="eastAsia" w:ascii="宋体" w:hAnsi="宋体" w:cs="等线"/>
          <w:color w:val="000000"/>
          <w:szCs w:val="21"/>
        </w:rPr>
        <w:t>中、小修</w:t>
      </w:r>
      <w:r>
        <w:rPr>
          <w:rFonts w:hint="eastAsia" w:ascii="宋体" w:hAnsi="宋体" w:cs="等线"/>
          <w:color w:val="000000"/>
          <w:szCs w:val="21"/>
          <w:lang w:eastAsia="zh-CN"/>
        </w:rPr>
        <w:t>）</w:t>
      </w:r>
      <w:r>
        <w:rPr>
          <w:rFonts w:hint="eastAsia" w:ascii="宋体" w:hAnsi="宋体" w:cs="等线"/>
          <w:color w:val="000000"/>
          <w:szCs w:val="21"/>
        </w:rPr>
        <w:t>，确保电梯处于良好的运行状态</w:t>
      </w:r>
      <w:r>
        <w:rPr>
          <w:rFonts w:hint="eastAsia" w:ascii="宋体" w:hAnsi="宋体" w:cs="等线"/>
          <w:color w:val="000000"/>
          <w:szCs w:val="21"/>
          <w:lang w:eastAsia="zh-CN"/>
        </w:rPr>
        <w:t>（</w:t>
      </w:r>
      <w:r>
        <w:rPr>
          <w:rFonts w:hint="eastAsia" w:ascii="宋体" w:hAnsi="宋体" w:cs="等线"/>
          <w:color w:val="000000"/>
          <w:szCs w:val="21"/>
        </w:rPr>
        <w:t>包括定期性调校</w:t>
      </w:r>
      <w:r>
        <w:rPr>
          <w:rFonts w:hint="eastAsia" w:ascii="宋体" w:hAnsi="宋体" w:cs="等线"/>
          <w:color w:val="000000"/>
          <w:szCs w:val="21"/>
          <w:lang w:eastAsia="zh-CN"/>
        </w:rPr>
        <w:t>）</w:t>
      </w:r>
      <w:r>
        <w:rPr>
          <w:rFonts w:hint="eastAsia" w:ascii="宋体" w:hAnsi="宋体" w:cs="等线"/>
          <w:color w:val="000000"/>
          <w:szCs w:val="21"/>
        </w:rPr>
        <w:t>。清洁润滑，加注油脂，检查电梯各安全开关、梯级、大链，机部件等的正常运行状态；</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④投标人为学校向市技术监督部门办理电梯安全年检手续，协助学校办理《电梯运行许可证》，年检费用由学校负责。投标人对电梯每年进行一次负荷调校试验。上述资料均由学校存档备查，确保电梯得到恰当检修，轿厢及机房整洁、通风、照明及其他附属设施完好；</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⑤出现运行故障后，接到报修后维修人员在10分钟内到达现场抢修，并及时排除故障；</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⑥建立电梯设备档案，各种运行维护保养和巡视检查记录齐全归档；</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⑦学校更换并提供一切因自然劳损与锈蚀的电器零件，因机械性磨损而损耗的电梯零部件，更换零配件及检测费用由学校负责实行全保。</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8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bookmarkStart w:id="27" w:name="_Hlk514615925"/>
            <w:r>
              <w:rPr>
                <w:rFonts w:hint="eastAsia" w:ascii="宋体" w:hAnsi="宋体" w:cs="等线"/>
                <w:szCs w:val="21"/>
              </w:rPr>
              <w:t>应急装置及救援</w:t>
            </w:r>
          </w:p>
        </w:tc>
        <w:tc>
          <w:tcPr>
            <w:tcW w:w="4390"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49"/>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应急救援装置完整无损、标识齐全、功能有效；</w:t>
            </w:r>
          </w:p>
          <w:p>
            <w:pPr>
              <w:widowControl/>
              <w:numPr>
                <w:ilvl w:val="0"/>
                <w:numId w:val="49"/>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电梯轿厢内紧急呼叫时，值班人员6秒内应答；</w:t>
            </w:r>
          </w:p>
          <w:p>
            <w:pPr>
              <w:widowControl/>
              <w:numPr>
                <w:ilvl w:val="0"/>
                <w:numId w:val="49"/>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每年进行二次突发事件应急演习，应急照明、紧急迫降及双电源供电装置功能正常。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年检</w:t>
            </w:r>
          </w:p>
        </w:tc>
        <w:tc>
          <w:tcPr>
            <w:tcW w:w="4390"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0"/>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电梯设备（含仪表）年检合格，合格证书始终在有效期内。</w:t>
            </w:r>
          </w:p>
          <w:p>
            <w:pPr>
              <w:widowControl/>
              <w:numPr>
                <w:ilvl w:val="0"/>
                <w:numId w:val="50"/>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年检报告、合格证等年检资料保存完整，合格证</w:t>
            </w:r>
            <w:r>
              <w:rPr>
                <w:rFonts w:hint="eastAsia" w:ascii="宋体" w:hAnsi="宋体" w:cs="等线"/>
                <w:szCs w:val="21"/>
                <w:lang w:eastAsia="zh-CN"/>
              </w:rPr>
              <w:t>（</w:t>
            </w:r>
            <w:r>
              <w:rPr>
                <w:rFonts w:hint="eastAsia" w:ascii="宋体" w:hAnsi="宋体" w:cs="等线"/>
                <w:szCs w:val="21"/>
              </w:rPr>
              <w:t>电梯使用标志、电梯维保标志、电梯保险标志</w:t>
            </w:r>
            <w:r>
              <w:rPr>
                <w:rFonts w:hint="eastAsia" w:ascii="宋体" w:hAnsi="宋体" w:cs="等线"/>
                <w:szCs w:val="21"/>
                <w:lang w:eastAsia="zh-CN"/>
              </w:rPr>
              <w:t>）</w:t>
            </w:r>
            <w:r>
              <w:rPr>
                <w:rFonts w:hint="eastAsia" w:ascii="宋体" w:hAnsi="宋体" w:cs="等线"/>
                <w:szCs w:val="21"/>
              </w:rPr>
              <w:t>、安全</w:t>
            </w:r>
            <w:r>
              <w:rPr>
                <w:rFonts w:hint="eastAsia" w:ascii="宋体" w:hAnsi="宋体" w:cs="等线"/>
                <w:szCs w:val="21"/>
                <w:lang w:eastAsia="zh-CN"/>
              </w:rPr>
              <w:t>知识</w:t>
            </w:r>
            <w:r>
              <w:rPr>
                <w:rFonts w:hint="eastAsia" w:ascii="宋体" w:hAnsi="宋体" w:cs="等线"/>
                <w:szCs w:val="21"/>
              </w:rPr>
              <w:t>、严禁吸烟等张贴在指定位置。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0"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运行</w:t>
            </w:r>
          </w:p>
        </w:tc>
        <w:tc>
          <w:tcPr>
            <w:tcW w:w="4390"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各控制功能完好，安全附件完好，运行指令准确，声光报警、显示、监控、五方对讲等的信号或画面清晰。</w:t>
            </w:r>
          </w:p>
          <w:p>
            <w:pPr>
              <w:widowControl/>
              <w:numPr>
                <w:ilvl w:val="0"/>
                <w:numId w:val="5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设置的报警和连锁保护装置功能正常。双侧安全触板、光幕动作灵敏可靠。</w:t>
            </w:r>
          </w:p>
          <w:p>
            <w:pPr>
              <w:widowControl/>
              <w:numPr>
                <w:ilvl w:val="0"/>
                <w:numId w:val="5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轿厢通风、对讲、应急灯、警铃、轿厢内操作按钮、显示功能正常，风机无异常噪音，照明良好；井道卫生照明良好、井道构架牢固可靠、无水渗漏。</w:t>
            </w:r>
          </w:p>
          <w:p>
            <w:pPr>
              <w:widowControl/>
              <w:numPr>
                <w:ilvl w:val="0"/>
                <w:numId w:val="5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运行稳定、平层准确（误差在正负7mm以内）、舒适性好、无异响，每台电梯每月故障不超过2次；</w:t>
            </w:r>
          </w:p>
          <w:p>
            <w:pPr>
              <w:widowControl/>
              <w:numPr>
                <w:ilvl w:val="0"/>
                <w:numId w:val="51"/>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日常电梯机房及电梯设备设施巡查每天每班不少于2次，记录、月检记录清晰、完整、真实、可追溯。</w:t>
            </w:r>
          </w:p>
        </w:tc>
      </w:tr>
      <w:bookmarkEnd w:id="27"/>
    </w:tbl>
    <w:p>
      <w:pPr>
        <w:topLinePunct/>
        <w:adjustRightInd w:val="0"/>
        <w:snapToGrid w:val="0"/>
        <w:spacing w:line="360" w:lineRule="auto"/>
        <w:rPr>
          <w:rFonts w:hint="eastAsia" w:ascii="宋体" w:hAnsi="宋体" w:cs="等线"/>
          <w:szCs w:val="21"/>
        </w:rPr>
      </w:pP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5</w:t>
      </w:r>
      <w:r>
        <w:rPr>
          <w:rFonts w:hint="eastAsia" w:ascii="宋体" w:hAnsi="宋体" w:cs="等线"/>
          <w:color w:val="000000"/>
          <w:szCs w:val="21"/>
          <w:lang w:eastAsia="zh-CN"/>
        </w:rPr>
        <w:t>）</w:t>
      </w:r>
      <w:r>
        <w:rPr>
          <w:rFonts w:hint="eastAsia" w:ascii="宋体" w:hAnsi="宋体" w:cs="等线"/>
          <w:color w:val="000000"/>
          <w:szCs w:val="21"/>
        </w:rPr>
        <w:t>发电机管理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①发电机由专业队伍定期维修保养；</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②因供电公司临时停电，应在5分钟内启动发电机发电；</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③应留意报纸上的停电公告，提早购买储备柴油，因临时停电，发电机维护保养及发电用柴油费用由学校负责。</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（5）弱电系统管理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1 \* GB3 </w:instrText>
      </w:r>
      <w:r>
        <w:rPr>
          <w:rFonts w:hint="eastAsia" w:ascii="宋体" w:hAnsi="宋体" w:cs="等线"/>
          <w:color w:val="000000"/>
          <w:szCs w:val="21"/>
        </w:rPr>
        <w:fldChar w:fldCharType="separate"/>
      </w:r>
      <w:r>
        <w:rPr>
          <w:rFonts w:hint="eastAsia" w:ascii="宋体" w:hAnsi="宋体" w:cs="等线"/>
          <w:color w:val="000000"/>
          <w:szCs w:val="21"/>
        </w:rPr>
        <w:t>1</w:t>
      </w:r>
      <w:r>
        <w:rPr>
          <w:rFonts w:hint="eastAsia" w:ascii="宋体" w:hAnsi="宋体" w:cs="等线"/>
          <w:color w:val="000000"/>
          <w:szCs w:val="21"/>
        </w:rPr>
        <w:fldChar w:fldCharType="end"/>
      </w:r>
      <w:r>
        <w:rPr>
          <w:rFonts w:hint="eastAsia" w:ascii="宋体" w:hAnsi="宋体" w:cs="等线"/>
          <w:color w:val="000000"/>
          <w:szCs w:val="21"/>
        </w:rPr>
        <w:t>楼宇智能控制系统由学校委托专业公司维修，物业公司负责日常维护和故障报修，发现问题及时处理，保证系统的正常运行；</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2 \* GB3 </w:instrText>
      </w:r>
      <w:r>
        <w:rPr>
          <w:rFonts w:hint="eastAsia" w:ascii="宋体" w:hAnsi="宋体" w:cs="等线"/>
          <w:color w:val="000000"/>
          <w:szCs w:val="21"/>
        </w:rPr>
        <w:fldChar w:fldCharType="separate"/>
      </w:r>
      <w:r>
        <w:rPr>
          <w:rFonts w:hint="eastAsia" w:ascii="宋体" w:hAnsi="宋体" w:cs="等线"/>
          <w:color w:val="000000"/>
          <w:szCs w:val="21"/>
        </w:rPr>
        <w:t>2</w:t>
      </w:r>
      <w:r>
        <w:rPr>
          <w:rFonts w:hint="eastAsia" w:ascii="宋体" w:hAnsi="宋体" w:cs="等线"/>
          <w:color w:val="000000"/>
          <w:szCs w:val="21"/>
        </w:rPr>
        <w:fldChar w:fldCharType="end"/>
      </w:r>
      <w:r>
        <w:rPr>
          <w:rFonts w:hint="eastAsia" w:ascii="宋体" w:hAnsi="宋体" w:cs="等线"/>
          <w:color w:val="000000"/>
          <w:szCs w:val="21"/>
        </w:rPr>
        <w:t>可视对讲系统保持正常，系统电路板安装接线牢固，布线整齐卫生清洁；</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3 \* GB3 </w:instrText>
      </w:r>
      <w:r>
        <w:rPr>
          <w:rFonts w:hint="eastAsia" w:ascii="宋体" w:hAnsi="宋体" w:cs="等线"/>
          <w:color w:val="000000"/>
          <w:szCs w:val="21"/>
        </w:rPr>
        <w:fldChar w:fldCharType="separate"/>
      </w:r>
      <w:r>
        <w:rPr>
          <w:rFonts w:hint="eastAsia" w:ascii="宋体" w:hAnsi="宋体" w:cs="等线"/>
          <w:color w:val="000000"/>
          <w:szCs w:val="21"/>
        </w:rPr>
        <w:t>3</w:t>
      </w:r>
      <w:r>
        <w:rPr>
          <w:rFonts w:hint="eastAsia" w:ascii="宋体" w:hAnsi="宋体" w:cs="等线"/>
          <w:color w:val="000000"/>
          <w:szCs w:val="21"/>
        </w:rPr>
        <w:fldChar w:fldCharType="end"/>
      </w:r>
      <w:r>
        <w:rPr>
          <w:rFonts w:hint="eastAsia" w:ascii="宋体" w:hAnsi="宋体" w:cs="等线"/>
          <w:color w:val="000000"/>
          <w:szCs w:val="21"/>
        </w:rPr>
        <w:t>门禁安全报警系统主机、读卡器、安全报警传感器、探测器运作灵敏可靠，误报率不大于10％，线路布置连接牢固，电控锁工作可靠；</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4 \* GB3 </w:instrText>
      </w:r>
      <w:r>
        <w:rPr>
          <w:rFonts w:hint="eastAsia" w:ascii="宋体" w:hAnsi="宋体" w:cs="等线"/>
          <w:color w:val="000000"/>
          <w:szCs w:val="21"/>
        </w:rPr>
        <w:fldChar w:fldCharType="separate"/>
      </w:r>
      <w:r>
        <w:rPr>
          <w:rFonts w:hint="eastAsia" w:ascii="宋体" w:hAnsi="宋体" w:cs="等线"/>
          <w:color w:val="000000"/>
          <w:szCs w:val="21"/>
        </w:rPr>
        <w:t>4</w:t>
      </w:r>
      <w:r>
        <w:rPr>
          <w:rFonts w:hint="eastAsia" w:ascii="宋体" w:hAnsi="宋体" w:cs="等线"/>
          <w:color w:val="000000"/>
          <w:szCs w:val="21"/>
        </w:rPr>
        <w:fldChar w:fldCharType="end"/>
      </w:r>
      <w:r>
        <w:rPr>
          <w:rFonts w:hint="eastAsia" w:ascii="宋体" w:hAnsi="宋体" w:cs="等线"/>
          <w:color w:val="000000"/>
          <w:szCs w:val="21"/>
        </w:rPr>
        <w:t>闭路监控系统摄像机、监视器、录像设备及其相关设备运行可靠，画面清晰，切换稳定，现场录像时间误差不能超过2分钟，硬盘录像资料应至少保存30天以上，专人负责保管，红外线报警设备工作正常，出现故障应在7个工作日内修复，故障期间及时安排监控；</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5 \* GB3 </w:instrText>
      </w:r>
      <w:r>
        <w:rPr>
          <w:rFonts w:hint="eastAsia" w:ascii="宋体" w:hAnsi="宋体" w:cs="等线"/>
          <w:color w:val="000000"/>
          <w:szCs w:val="21"/>
        </w:rPr>
        <w:fldChar w:fldCharType="separate"/>
      </w:r>
      <w:r>
        <w:rPr>
          <w:rFonts w:hint="eastAsia" w:ascii="宋体" w:hAnsi="宋体" w:cs="等线"/>
          <w:color w:val="000000"/>
          <w:szCs w:val="21"/>
        </w:rPr>
        <w:t>5</w:t>
      </w:r>
      <w:r>
        <w:rPr>
          <w:rFonts w:hint="eastAsia" w:ascii="宋体" w:hAnsi="宋体" w:cs="等线"/>
          <w:color w:val="000000"/>
          <w:szCs w:val="21"/>
        </w:rPr>
        <w:fldChar w:fldCharType="end"/>
      </w:r>
      <w:r>
        <w:rPr>
          <w:rFonts w:hint="eastAsia" w:ascii="宋体" w:hAnsi="宋体" w:cs="等线"/>
          <w:color w:val="000000"/>
          <w:szCs w:val="21"/>
        </w:rPr>
        <w:t>停车场系统主机、读卡器、地感动作灵敏可靠，具有防砸车装置（压力电波、防撞胶条），道闸旁设置有防止车、行人尾随警示标识；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6 \* GB3 </w:instrText>
      </w:r>
      <w:r>
        <w:rPr>
          <w:rFonts w:hint="eastAsia" w:ascii="宋体" w:hAnsi="宋体" w:cs="等线"/>
          <w:color w:val="000000"/>
          <w:szCs w:val="21"/>
        </w:rPr>
        <w:fldChar w:fldCharType="separate"/>
      </w:r>
      <w:r>
        <w:rPr>
          <w:rFonts w:hint="eastAsia" w:ascii="宋体" w:hAnsi="宋体" w:cs="等线"/>
          <w:color w:val="000000"/>
          <w:szCs w:val="21"/>
        </w:rPr>
        <w:t>6</w:t>
      </w:r>
      <w:r>
        <w:rPr>
          <w:rFonts w:hint="eastAsia" w:ascii="宋体" w:hAnsi="宋体" w:cs="等线"/>
          <w:color w:val="000000"/>
          <w:szCs w:val="21"/>
        </w:rPr>
        <w:fldChar w:fldCharType="end"/>
      </w:r>
      <w:r>
        <w:rPr>
          <w:rFonts w:hint="eastAsia" w:ascii="宋体" w:hAnsi="宋体" w:cs="等线"/>
          <w:color w:val="000000"/>
          <w:szCs w:val="21"/>
        </w:rPr>
        <w:t>服务区无线对讲设备、消防报警和消防广播以及信息发布设备等应保证使用正常，公共区域各类报警探测器完好率不能低于90%；</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7 \* GB3 </w:instrText>
      </w:r>
      <w:r>
        <w:rPr>
          <w:rFonts w:hint="eastAsia" w:ascii="宋体" w:hAnsi="宋体" w:cs="等线"/>
          <w:color w:val="000000"/>
          <w:szCs w:val="21"/>
        </w:rPr>
        <w:fldChar w:fldCharType="separate"/>
      </w:r>
      <w:r>
        <w:rPr>
          <w:rFonts w:hint="eastAsia" w:ascii="宋体" w:hAnsi="宋体" w:cs="等线"/>
          <w:color w:val="000000"/>
          <w:szCs w:val="21"/>
        </w:rPr>
        <w:t>7</w:t>
      </w:r>
      <w:r>
        <w:rPr>
          <w:rFonts w:hint="eastAsia" w:ascii="宋体" w:hAnsi="宋体" w:cs="等线"/>
          <w:color w:val="000000"/>
          <w:szCs w:val="21"/>
        </w:rPr>
        <w:fldChar w:fldCharType="end"/>
      </w:r>
      <w:r>
        <w:rPr>
          <w:rFonts w:hint="eastAsia" w:ascii="宋体" w:hAnsi="宋体" w:cs="等线"/>
          <w:color w:val="000000"/>
          <w:szCs w:val="21"/>
        </w:rPr>
        <w:t>每12个月清洁保养1次弱电井及井内设备；</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（6）消防系统管理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1 \* GB3 </w:instrText>
      </w:r>
      <w:r>
        <w:rPr>
          <w:rFonts w:hint="eastAsia" w:ascii="宋体" w:hAnsi="宋体" w:cs="等线"/>
          <w:color w:val="000000"/>
          <w:szCs w:val="21"/>
        </w:rPr>
        <w:fldChar w:fldCharType="separate"/>
      </w:r>
      <w:r>
        <w:rPr>
          <w:rFonts w:hint="eastAsia" w:ascii="宋体" w:hAnsi="宋体" w:cs="等线"/>
          <w:color w:val="000000"/>
          <w:szCs w:val="21"/>
        </w:rPr>
        <w:t>1</w:t>
      </w:r>
      <w:r>
        <w:rPr>
          <w:rFonts w:hint="eastAsia" w:ascii="宋体" w:hAnsi="宋体" w:cs="等线"/>
          <w:color w:val="000000"/>
          <w:szCs w:val="21"/>
        </w:rPr>
        <w:fldChar w:fldCharType="end"/>
      </w:r>
      <w:r>
        <w:rPr>
          <w:rFonts w:hint="eastAsia" w:ascii="宋体" w:hAnsi="宋体" w:cs="等线"/>
          <w:color w:val="000000"/>
          <w:szCs w:val="21"/>
        </w:rPr>
        <w:t>学校委托专业公司对消防设施设备按规定进行检测、维修、保养、改造等，物业公司负责所有消防设施设备的日常维护。</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2 \* GB3 </w:instrText>
      </w:r>
      <w:r>
        <w:rPr>
          <w:rFonts w:hint="eastAsia" w:ascii="宋体" w:hAnsi="宋体" w:cs="等线"/>
          <w:color w:val="000000"/>
          <w:szCs w:val="21"/>
        </w:rPr>
        <w:fldChar w:fldCharType="separate"/>
      </w:r>
      <w:r>
        <w:rPr>
          <w:rFonts w:hint="eastAsia" w:ascii="宋体" w:hAnsi="宋体" w:cs="等线"/>
          <w:color w:val="000000"/>
          <w:szCs w:val="21"/>
        </w:rPr>
        <w:t>2</w:t>
      </w:r>
      <w:r>
        <w:rPr>
          <w:rFonts w:hint="eastAsia" w:ascii="宋体" w:hAnsi="宋体" w:cs="等线"/>
          <w:color w:val="000000"/>
          <w:szCs w:val="21"/>
        </w:rPr>
        <w:fldChar w:fldCharType="end"/>
      </w:r>
      <w:r>
        <w:rPr>
          <w:rFonts w:hint="eastAsia" w:ascii="宋体" w:hAnsi="宋体" w:cs="等线"/>
          <w:color w:val="000000"/>
          <w:szCs w:val="21"/>
        </w:rPr>
        <w:t>消火栓（箱）按钮、消防中心均能启动消防泵，消火栓有区域标记、无漏水，喷淋头无漏水、无积锈；</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3 \* GB3 </w:instrText>
      </w:r>
      <w:r>
        <w:rPr>
          <w:rFonts w:hint="eastAsia" w:ascii="宋体" w:hAnsi="宋体" w:cs="等线"/>
          <w:color w:val="000000"/>
          <w:szCs w:val="21"/>
        </w:rPr>
        <w:fldChar w:fldCharType="separate"/>
      </w:r>
      <w:r>
        <w:rPr>
          <w:rFonts w:hint="eastAsia" w:ascii="宋体" w:hAnsi="宋体" w:cs="等线"/>
          <w:color w:val="000000"/>
          <w:szCs w:val="21"/>
        </w:rPr>
        <w:t>3</w:t>
      </w:r>
      <w:r>
        <w:rPr>
          <w:rFonts w:hint="eastAsia" w:ascii="宋体" w:hAnsi="宋体" w:cs="等线"/>
          <w:color w:val="000000"/>
          <w:szCs w:val="21"/>
        </w:rPr>
        <w:fldChar w:fldCharType="end"/>
      </w:r>
      <w:r>
        <w:rPr>
          <w:rFonts w:hint="eastAsia" w:ascii="宋体" w:hAnsi="宋体" w:cs="等线"/>
          <w:color w:val="000000"/>
          <w:szCs w:val="21"/>
        </w:rPr>
        <w:t>消防结合器未被圈占、堵塞，无锈，无漏水，无阻碍操作；</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4 \* GB3 </w:instrText>
      </w:r>
      <w:r>
        <w:rPr>
          <w:rFonts w:hint="eastAsia" w:ascii="宋体" w:hAnsi="宋体" w:cs="等线"/>
          <w:color w:val="000000"/>
          <w:szCs w:val="21"/>
        </w:rPr>
        <w:fldChar w:fldCharType="separate"/>
      </w:r>
      <w:r>
        <w:rPr>
          <w:rFonts w:hint="eastAsia" w:ascii="宋体" w:hAnsi="宋体" w:cs="等线"/>
          <w:color w:val="000000"/>
          <w:szCs w:val="21"/>
        </w:rPr>
        <w:t>4</w:t>
      </w:r>
      <w:r>
        <w:rPr>
          <w:rFonts w:hint="eastAsia" w:ascii="宋体" w:hAnsi="宋体" w:cs="等线"/>
          <w:color w:val="000000"/>
          <w:szCs w:val="21"/>
        </w:rPr>
        <w:fldChar w:fldCharType="end"/>
      </w:r>
      <w:r>
        <w:rPr>
          <w:rFonts w:hint="eastAsia" w:ascii="宋体" w:hAnsi="宋体" w:cs="等线"/>
          <w:color w:val="000000"/>
          <w:szCs w:val="21"/>
        </w:rPr>
        <w:t>防排烟、正压送风系统与报警系统联动正常；</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5 \* GB3 </w:instrText>
      </w:r>
      <w:r>
        <w:rPr>
          <w:rFonts w:hint="eastAsia" w:ascii="宋体" w:hAnsi="宋体" w:cs="等线"/>
          <w:color w:val="000000"/>
          <w:szCs w:val="21"/>
        </w:rPr>
        <w:fldChar w:fldCharType="separate"/>
      </w:r>
      <w:r>
        <w:rPr>
          <w:rFonts w:hint="eastAsia" w:ascii="宋体" w:hAnsi="宋体" w:cs="等线"/>
          <w:color w:val="000000"/>
          <w:szCs w:val="21"/>
        </w:rPr>
        <w:t>5</w:t>
      </w:r>
      <w:r>
        <w:rPr>
          <w:rFonts w:hint="eastAsia" w:ascii="宋体" w:hAnsi="宋体" w:cs="等线"/>
          <w:color w:val="000000"/>
          <w:szCs w:val="21"/>
        </w:rPr>
        <w:fldChar w:fldCharType="end"/>
      </w:r>
      <w:r>
        <w:rPr>
          <w:rFonts w:hint="eastAsia" w:ascii="宋体" w:hAnsi="宋体" w:cs="等线"/>
          <w:color w:val="000000"/>
          <w:szCs w:val="21"/>
        </w:rPr>
        <w:t>气体自动灭火装置气压正常，处于自动状态，消防中心有放气返馈信号；</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6 \* GB3 </w:instrText>
      </w:r>
      <w:r>
        <w:rPr>
          <w:rFonts w:hint="eastAsia" w:ascii="宋体" w:hAnsi="宋体" w:cs="等线"/>
          <w:color w:val="000000"/>
          <w:szCs w:val="21"/>
        </w:rPr>
        <w:fldChar w:fldCharType="separate"/>
      </w:r>
      <w:r>
        <w:rPr>
          <w:rFonts w:hint="eastAsia" w:ascii="宋体" w:hAnsi="宋体" w:cs="等线"/>
          <w:color w:val="000000"/>
          <w:szCs w:val="21"/>
        </w:rPr>
        <w:t>6</w:t>
      </w:r>
      <w:r>
        <w:rPr>
          <w:rFonts w:hint="eastAsia" w:ascii="宋体" w:hAnsi="宋体" w:cs="等线"/>
          <w:color w:val="000000"/>
          <w:szCs w:val="21"/>
        </w:rPr>
        <w:fldChar w:fldCharType="end"/>
      </w:r>
      <w:r>
        <w:rPr>
          <w:rFonts w:hint="eastAsia" w:ascii="宋体" w:hAnsi="宋体" w:cs="等线"/>
          <w:color w:val="000000"/>
          <w:szCs w:val="21"/>
        </w:rPr>
        <w:t>消防中心设备各项功能使用正常、各种应急指示、照明正常，打印机能打印，控制台显示正常；</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7 \* GB3 </w:instrText>
      </w:r>
      <w:r>
        <w:rPr>
          <w:rFonts w:hint="eastAsia" w:ascii="宋体" w:hAnsi="宋体" w:cs="等线"/>
          <w:color w:val="000000"/>
          <w:szCs w:val="21"/>
        </w:rPr>
        <w:fldChar w:fldCharType="separate"/>
      </w:r>
      <w:r>
        <w:rPr>
          <w:rFonts w:hint="eastAsia" w:ascii="宋体" w:hAnsi="宋体" w:cs="等线"/>
          <w:color w:val="000000"/>
          <w:szCs w:val="21"/>
        </w:rPr>
        <w:t>7</w:t>
      </w:r>
      <w:r>
        <w:rPr>
          <w:rFonts w:hint="eastAsia" w:ascii="宋体" w:hAnsi="宋体" w:cs="等线"/>
          <w:color w:val="000000"/>
          <w:szCs w:val="21"/>
        </w:rPr>
        <w:fldChar w:fldCharType="end"/>
      </w:r>
      <w:r>
        <w:rPr>
          <w:rFonts w:hint="eastAsia" w:ascii="宋体" w:hAnsi="宋体" w:cs="等线"/>
          <w:color w:val="000000"/>
          <w:szCs w:val="21"/>
        </w:rPr>
        <w:t>消防广播正常，声音清楚，无锈，牢固，备用电源切换正常；</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8 \* GB3 </w:instrText>
      </w:r>
      <w:r>
        <w:rPr>
          <w:rFonts w:hint="eastAsia" w:ascii="宋体" w:hAnsi="宋体" w:cs="等线"/>
          <w:color w:val="000000"/>
          <w:szCs w:val="21"/>
        </w:rPr>
        <w:fldChar w:fldCharType="separate"/>
      </w:r>
      <w:r>
        <w:rPr>
          <w:rFonts w:hint="eastAsia" w:ascii="宋体" w:hAnsi="宋体" w:cs="等线"/>
          <w:color w:val="000000"/>
          <w:szCs w:val="21"/>
        </w:rPr>
        <w:t>8</w:t>
      </w:r>
      <w:r>
        <w:rPr>
          <w:rFonts w:hint="eastAsia" w:ascii="宋体" w:hAnsi="宋体" w:cs="等线"/>
          <w:color w:val="000000"/>
          <w:szCs w:val="21"/>
        </w:rPr>
        <w:fldChar w:fldCharType="end"/>
      </w:r>
      <w:r>
        <w:rPr>
          <w:rFonts w:hint="eastAsia" w:ascii="宋体" w:hAnsi="宋体" w:cs="等线"/>
          <w:color w:val="000000"/>
          <w:szCs w:val="21"/>
        </w:rPr>
        <w:t>风机运行噪声、震动正常，润滑到位、风阀、防火阀完好，状态正确；</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9 \* GB3 </w:instrText>
      </w:r>
      <w:r>
        <w:rPr>
          <w:rFonts w:hint="eastAsia" w:ascii="宋体" w:hAnsi="宋体" w:cs="等线"/>
          <w:color w:val="000000"/>
          <w:szCs w:val="21"/>
        </w:rPr>
        <w:fldChar w:fldCharType="separate"/>
      </w:r>
      <w:r>
        <w:rPr>
          <w:rFonts w:hint="eastAsia" w:ascii="宋体" w:hAnsi="宋体" w:cs="等线"/>
          <w:color w:val="000000"/>
          <w:szCs w:val="21"/>
        </w:rPr>
        <w:t>9</w:t>
      </w:r>
      <w:r>
        <w:rPr>
          <w:rFonts w:hint="eastAsia" w:ascii="宋体" w:hAnsi="宋体" w:cs="等线"/>
          <w:color w:val="000000"/>
          <w:szCs w:val="21"/>
        </w:rPr>
        <w:fldChar w:fldCharType="end"/>
      </w:r>
      <w:r>
        <w:rPr>
          <w:rFonts w:hint="eastAsia" w:ascii="宋体" w:hAnsi="宋体" w:cs="等线"/>
          <w:color w:val="000000"/>
          <w:szCs w:val="21"/>
        </w:rPr>
        <w:t>烟感、温感、警铃、扬声器固定牢固；</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fldChar w:fldCharType="begin"/>
      </w:r>
      <w:r>
        <w:rPr>
          <w:rFonts w:hint="eastAsia" w:ascii="宋体" w:hAnsi="宋体" w:cs="等线"/>
          <w:color w:val="000000"/>
          <w:szCs w:val="21"/>
        </w:rPr>
        <w:instrText xml:space="preserve"> = 10 \* GB3 </w:instrText>
      </w:r>
      <w:r>
        <w:rPr>
          <w:rFonts w:hint="eastAsia" w:ascii="宋体" w:hAnsi="宋体" w:cs="等线"/>
          <w:color w:val="000000"/>
          <w:szCs w:val="21"/>
        </w:rPr>
        <w:fldChar w:fldCharType="separate"/>
      </w:r>
      <w:r>
        <w:rPr>
          <w:rFonts w:hint="eastAsia" w:ascii="宋体" w:hAnsi="宋体" w:cs="等线"/>
          <w:color w:val="000000"/>
          <w:szCs w:val="21"/>
        </w:rPr>
        <w:t>10</w:t>
      </w:r>
      <w:r>
        <w:rPr>
          <w:rFonts w:hint="eastAsia" w:ascii="宋体" w:hAnsi="宋体" w:cs="等线"/>
          <w:color w:val="000000"/>
          <w:szCs w:val="21"/>
        </w:rPr>
        <w:fldChar w:fldCharType="end"/>
      </w:r>
      <w:r>
        <w:rPr>
          <w:rFonts w:hint="eastAsia" w:ascii="宋体" w:hAnsi="宋体" w:cs="等线"/>
          <w:color w:val="000000"/>
          <w:szCs w:val="21"/>
        </w:rPr>
        <w:t>防火卷帘门就地手动正常，门下有黄色严禁堆占警示标识，防火卷帘门联动正常；</w:t>
      </w:r>
    </w:p>
    <w:p>
      <w:pPr>
        <w:adjustRightInd w:val="0"/>
        <w:snapToGrid w:val="0"/>
        <w:spacing w:line="360" w:lineRule="auto"/>
        <w:ind w:firstLine="420" w:firstLineChars="200"/>
        <w:rPr>
          <w:rFonts w:hint="eastAsia" w:ascii="宋体" w:hAnsi="宋体" w:cs="等线"/>
          <w:color w:val="000000"/>
          <w:szCs w:val="21"/>
        </w:rPr>
      </w:pPr>
      <w:r>
        <w:rPr>
          <w:rFonts w:ascii="Cambria Math" w:hAnsi="Cambria Math" w:cs="Cambria Math"/>
          <w:color w:val="000000"/>
          <w:szCs w:val="21"/>
        </w:rPr>
        <w:t>⑪</w:t>
      </w:r>
      <w:r>
        <w:rPr>
          <w:rFonts w:hint="eastAsia" w:ascii="宋体" w:hAnsi="宋体" w:cs="宋体"/>
          <w:color w:val="000000"/>
          <w:szCs w:val="21"/>
        </w:rPr>
        <w:t>自动喷淋系统放水试验喷淋泵启动，水压正常，湿式报警动作，警铃响；</w:t>
      </w:r>
    </w:p>
    <w:p>
      <w:pPr>
        <w:adjustRightInd w:val="0"/>
        <w:snapToGrid w:val="0"/>
        <w:spacing w:line="360" w:lineRule="auto"/>
        <w:ind w:firstLine="420" w:firstLineChars="200"/>
        <w:rPr>
          <w:rFonts w:hint="eastAsia" w:ascii="宋体" w:hAnsi="宋体" w:cs="等线"/>
          <w:color w:val="000000"/>
          <w:szCs w:val="21"/>
        </w:rPr>
      </w:pPr>
      <w:r>
        <w:rPr>
          <w:rFonts w:ascii="Cambria Math" w:hAnsi="Cambria Math" w:cs="Cambria Math"/>
          <w:color w:val="000000"/>
          <w:szCs w:val="21"/>
        </w:rPr>
        <w:t>⑫</w:t>
      </w:r>
      <w:r>
        <w:rPr>
          <w:rFonts w:hint="eastAsia" w:ascii="宋体" w:hAnsi="宋体" w:cs="宋体"/>
          <w:color w:val="000000"/>
          <w:szCs w:val="21"/>
        </w:rPr>
        <w:t>消火栓系统中有水、总阀打开、系统处在自动状态，随时能报警，有分区标记；</w:t>
      </w:r>
    </w:p>
    <w:p>
      <w:pPr>
        <w:adjustRightInd w:val="0"/>
        <w:snapToGrid w:val="0"/>
        <w:spacing w:line="360" w:lineRule="auto"/>
        <w:ind w:firstLine="420" w:firstLineChars="200"/>
        <w:rPr>
          <w:rFonts w:hint="eastAsia" w:ascii="宋体" w:hAnsi="宋体" w:cs="等线"/>
          <w:color w:val="000000"/>
          <w:szCs w:val="21"/>
        </w:rPr>
      </w:pPr>
      <w:r>
        <w:rPr>
          <w:rFonts w:ascii="Cambria Math" w:hAnsi="Cambria Math" w:cs="Cambria Math"/>
          <w:color w:val="000000"/>
          <w:szCs w:val="21"/>
        </w:rPr>
        <w:t>⑬</w:t>
      </w:r>
      <w:r>
        <w:rPr>
          <w:rFonts w:hint="eastAsia" w:ascii="宋体" w:hAnsi="宋体" w:cs="宋体"/>
          <w:color w:val="000000"/>
          <w:szCs w:val="21"/>
        </w:rPr>
        <w:t>离车道近的室外消防栓有防护栏杆；</w:t>
      </w:r>
    </w:p>
    <w:p>
      <w:pPr>
        <w:adjustRightInd w:val="0"/>
        <w:snapToGrid w:val="0"/>
        <w:spacing w:line="360" w:lineRule="auto"/>
        <w:ind w:firstLine="420" w:firstLineChars="200"/>
        <w:rPr>
          <w:rFonts w:hint="eastAsia" w:ascii="宋体" w:hAnsi="宋体" w:cs="等线"/>
          <w:color w:val="000000"/>
          <w:szCs w:val="21"/>
        </w:rPr>
      </w:pPr>
      <w:r>
        <w:rPr>
          <w:rFonts w:ascii="Cambria Math" w:hAnsi="Cambria Math" w:cs="Cambria Math"/>
          <w:color w:val="000000"/>
          <w:szCs w:val="21"/>
        </w:rPr>
        <w:t>⑭</w:t>
      </w:r>
      <w:r>
        <w:rPr>
          <w:rFonts w:hint="eastAsia" w:ascii="宋体" w:hAnsi="宋体" w:cs="宋体"/>
          <w:color w:val="000000"/>
          <w:szCs w:val="21"/>
        </w:rPr>
        <w:t>地面消防栓的开启机构灵活无障碍，能及时打开；</w:t>
      </w:r>
    </w:p>
    <w:p>
      <w:pPr>
        <w:adjustRightInd w:val="0"/>
        <w:snapToGrid w:val="0"/>
        <w:spacing w:line="360" w:lineRule="auto"/>
        <w:ind w:firstLine="420" w:firstLineChars="200"/>
        <w:rPr>
          <w:rFonts w:hint="eastAsia" w:ascii="宋体" w:hAnsi="宋体" w:cs="等线"/>
          <w:color w:val="000000"/>
          <w:szCs w:val="21"/>
        </w:rPr>
      </w:pPr>
      <w:r>
        <w:rPr>
          <w:rFonts w:ascii="Cambria Math" w:hAnsi="Cambria Math" w:cs="Cambria Math"/>
          <w:color w:val="000000"/>
          <w:szCs w:val="21"/>
        </w:rPr>
        <w:t>⑮</w:t>
      </w:r>
      <w:r>
        <w:rPr>
          <w:rFonts w:hint="eastAsia" w:ascii="宋体" w:hAnsi="宋体" w:cs="宋体"/>
          <w:color w:val="000000"/>
          <w:szCs w:val="21"/>
        </w:rPr>
        <w:t>消防泵每半年启动</w:t>
      </w:r>
      <w:r>
        <w:rPr>
          <w:rFonts w:hint="eastAsia" w:ascii="宋体" w:hAnsi="宋体" w:cs="等线"/>
          <w:color w:val="000000"/>
          <w:szCs w:val="21"/>
        </w:rPr>
        <w:t>1次并作记录，每两年保养1次，保证其运行正常；</w:t>
      </w:r>
    </w:p>
    <w:p>
      <w:pPr>
        <w:adjustRightInd w:val="0"/>
        <w:snapToGrid w:val="0"/>
        <w:spacing w:line="360" w:lineRule="auto"/>
        <w:ind w:firstLine="420" w:firstLineChars="200"/>
        <w:rPr>
          <w:rFonts w:hint="eastAsia" w:ascii="宋体" w:hAnsi="宋体" w:cs="等线"/>
          <w:color w:val="000000"/>
          <w:szCs w:val="21"/>
        </w:rPr>
      </w:pPr>
      <w:r>
        <w:rPr>
          <w:rFonts w:ascii="Cambria Math" w:hAnsi="Cambria Math" w:cs="Cambria Math"/>
          <w:color w:val="000000"/>
          <w:szCs w:val="21"/>
        </w:rPr>
        <w:t>⑯</w:t>
      </w:r>
      <w:r>
        <w:rPr>
          <w:rFonts w:hint="eastAsia" w:ascii="宋体" w:hAnsi="宋体" w:cs="宋体"/>
          <w:color w:val="000000"/>
          <w:szCs w:val="21"/>
        </w:rPr>
        <w:t>消防栓每</w:t>
      </w:r>
      <w:r>
        <w:rPr>
          <w:rFonts w:hint="eastAsia" w:ascii="宋体" w:hAnsi="宋体" w:cs="等线"/>
          <w:color w:val="000000"/>
          <w:szCs w:val="21"/>
        </w:rPr>
        <w:t>1个月巡检1次，消防栓箱内各种配件完整；</w:t>
      </w:r>
    </w:p>
    <w:p>
      <w:pPr>
        <w:adjustRightInd w:val="0"/>
        <w:snapToGrid w:val="0"/>
        <w:spacing w:line="360" w:lineRule="auto"/>
        <w:ind w:firstLine="420" w:firstLineChars="200"/>
        <w:rPr>
          <w:rFonts w:hint="eastAsia" w:ascii="宋体" w:hAnsi="宋体" w:cs="等线"/>
          <w:color w:val="000000"/>
          <w:szCs w:val="21"/>
        </w:rPr>
      </w:pPr>
      <w:r>
        <w:rPr>
          <w:rFonts w:ascii="Cambria Math" w:hAnsi="Cambria Math" w:cs="Cambria Math"/>
          <w:color w:val="000000"/>
          <w:szCs w:val="21"/>
        </w:rPr>
        <w:t>⑰</w:t>
      </w:r>
      <w:r>
        <w:rPr>
          <w:rFonts w:hint="eastAsia" w:ascii="宋体" w:hAnsi="宋体" w:cs="宋体"/>
          <w:color w:val="000000"/>
          <w:szCs w:val="21"/>
        </w:rPr>
        <w:t>每两年检查</w:t>
      </w:r>
      <w:r>
        <w:rPr>
          <w:rFonts w:hint="eastAsia" w:ascii="宋体" w:hAnsi="宋体" w:cs="等线"/>
          <w:color w:val="000000"/>
          <w:szCs w:val="21"/>
        </w:rPr>
        <w:t>1次消防水带，阀杆处加注润滑油并作1次放水检查，保持消防器材能随时有效使用；</w:t>
      </w:r>
    </w:p>
    <w:p>
      <w:pPr>
        <w:adjustRightInd w:val="0"/>
        <w:snapToGrid w:val="0"/>
        <w:spacing w:line="360" w:lineRule="auto"/>
        <w:ind w:firstLine="420" w:firstLineChars="200"/>
        <w:rPr>
          <w:rFonts w:hint="eastAsia" w:ascii="宋体" w:hAnsi="宋体" w:cs="等线"/>
          <w:color w:val="000000"/>
          <w:szCs w:val="21"/>
        </w:rPr>
      </w:pPr>
      <w:r>
        <w:rPr>
          <w:rFonts w:ascii="Cambria Math" w:hAnsi="Cambria Math" w:cs="Cambria Math"/>
          <w:color w:val="000000"/>
          <w:szCs w:val="21"/>
        </w:rPr>
        <w:t>⑱</w:t>
      </w:r>
      <w:r>
        <w:rPr>
          <w:rFonts w:hint="eastAsia" w:ascii="宋体" w:hAnsi="宋体" w:cs="宋体"/>
          <w:color w:val="000000"/>
          <w:szCs w:val="21"/>
        </w:rPr>
        <w:t>按需配备灭火器，每</w:t>
      </w:r>
      <w:r>
        <w:rPr>
          <w:rFonts w:hint="eastAsia" w:ascii="宋体" w:hAnsi="宋体" w:cs="等线"/>
          <w:color w:val="000000"/>
          <w:szCs w:val="21"/>
        </w:rPr>
        <w:t>1个月检查1次灭火器，临近失效立即更新或充压，更新、充压费用由学校承担；</w:t>
      </w:r>
    </w:p>
    <w:tbl>
      <w:tblPr>
        <w:tblStyle w:val="23"/>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bookmarkStart w:id="28" w:name="_Hlk514616056"/>
            <w:r>
              <w:rPr>
                <w:rFonts w:hint="eastAsia" w:ascii="宋体" w:hAnsi="宋体" w:cs="等线"/>
                <w:szCs w:val="21"/>
              </w:rPr>
              <w:t>消防水泵房</w:t>
            </w:r>
          </w:p>
        </w:tc>
        <w:tc>
          <w:tcPr>
            <w:tcW w:w="4447"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通风、照明功能正常，门窗开启灵活无破损，挡鼠板材质符合国标要求，高度在50-60CM之间；</w:t>
            </w:r>
          </w:p>
          <w:p>
            <w:pPr>
              <w:widowControl/>
              <w:numPr>
                <w:ilvl w:val="0"/>
                <w:numId w:val="5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应急照明在停电状态下能正常使用，消防器材齐备，疏散指示灯功能正常；</w:t>
            </w:r>
          </w:p>
          <w:p>
            <w:pPr>
              <w:widowControl/>
              <w:numPr>
                <w:ilvl w:val="0"/>
                <w:numId w:val="5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泵房内无渗漏水现象，地面及设备设施保持干净整洁且功能正常，无易燃易爆等危险品及杂物摆放；</w:t>
            </w:r>
          </w:p>
          <w:p>
            <w:pPr>
              <w:widowControl/>
              <w:numPr>
                <w:ilvl w:val="0"/>
                <w:numId w:val="5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集水井手动、自动功能正常，无滴漏水现象，每周手动运行一次，记录清晰可追溯；</w:t>
            </w:r>
          </w:p>
          <w:p>
            <w:pPr>
              <w:widowControl/>
              <w:numPr>
                <w:ilvl w:val="0"/>
                <w:numId w:val="52"/>
              </w:numPr>
              <w:adjustRightInd w:val="0"/>
              <w:snapToGrid w:val="0"/>
              <w:spacing w:line="360" w:lineRule="auto"/>
              <w:ind w:left="0" w:firstLine="0"/>
              <w:jc w:val="left"/>
              <w:rPr>
                <w:rFonts w:hint="eastAsia" w:ascii="宋体" w:hAnsi="宋体" w:cs="等线"/>
                <w:szCs w:val="21"/>
              </w:rPr>
            </w:pPr>
            <w:r>
              <w:rPr>
                <w:rFonts w:hint="eastAsia" w:ascii="宋体" w:hAnsi="宋体" w:cs="等线"/>
                <w:szCs w:val="21"/>
              </w:rPr>
              <w:t>每班巡检不少于2次，消防泵、喷淋泵及稳压泵每月点动试运行不少于1次，记录清晰可追溯。</w:t>
            </w:r>
          </w:p>
        </w:tc>
      </w:tr>
      <w:bookmarkEnd w:id="28"/>
    </w:tbl>
    <w:p>
      <w:pPr>
        <w:topLinePunct/>
        <w:adjustRightInd w:val="0"/>
        <w:snapToGrid w:val="0"/>
        <w:spacing w:line="360" w:lineRule="auto"/>
        <w:rPr>
          <w:rFonts w:hint="eastAsia" w:ascii="宋体" w:hAnsi="宋体" w:cs="等线"/>
          <w:szCs w:val="21"/>
        </w:rPr>
      </w:pPr>
    </w:p>
    <w:p>
      <w:pPr>
        <w:adjustRightInd w:val="0"/>
        <w:snapToGrid w:val="0"/>
        <w:spacing w:line="360" w:lineRule="auto"/>
        <w:rPr>
          <w:rFonts w:hint="eastAsia" w:ascii="宋体" w:hAnsi="宋体" w:cs="等线"/>
          <w:szCs w:val="21"/>
        </w:rPr>
      </w:pPr>
      <w:r>
        <w:rPr>
          <w:rFonts w:hint="eastAsia" w:ascii="宋体" w:hAnsi="宋体" w:cs="等线"/>
          <w:szCs w:val="21"/>
        </w:rPr>
        <w:t>（7）零修服务标准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455"/>
        <w:gridCol w:w="6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26"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服务内容</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地面</w:t>
            </w: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路灯</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每周夜晚巡检一次，如发现灯管坏、灯罩坏、接线盒盖丢失等当天内处理完，如线路故障二日之内解决；</w:t>
            </w:r>
          </w:p>
          <w:p>
            <w:pPr>
              <w:widowControl/>
              <w:numPr>
                <w:ilvl w:val="0"/>
                <w:numId w:val="5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如灯杆损坏三日之内解决。路灯杆完好无损，无锈蚀，接线盒盖完整，接线牢固，密封严密，不漏水，无漏电现象，通电灯亮，路灯编号清楚。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草坪灯</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每周夜晚巡检一次，如发现灯管坏、灯罩坏、接线盒盖丢失等当天内处理完，如线路故障二日之内解决。</w:t>
            </w:r>
          </w:p>
          <w:p>
            <w:pPr>
              <w:widowControl/>
              <w:numPr>
                <w:ilvl w:val="0"/>
                <w:numId w:val="5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如灯杆损坏三日之内解决。路灯杆完好无损，无锈蚀，接线盒盖完整，接线牢固，密封严密，不漏水，无漏电现象，通电灯亮。草坪灯编号清楚。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埋地供电线缆</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每月沿埋线路检查一次，发现汽车停在埋线路面问题，即时联系车主将车开走；</w:t>
            </w:r>
          </w:p>
          <w:p>
            <w:pPr>
              <w:widowControl/>
              <w:numPr>
                <w:ilvl w:val="0"/>
                <w:numId w:val="5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埋线走向标识清楚，沿线路地面无车辆停放碾压。巡查沿埋线缆路线无乱挖沟渠现象。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井盖</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每周巡检一次，发现盖未盖好即处理，如井盖损坏或缺失，必用警示带围挡，并挂警示语标牌，但必在二日内将井盖问题解决；</w:t>
            </w:r>
          </w:p>
          <w:p>
            <w:pPr>
              <w:widowControl/>
              <w:numPr>
                <w:ilvl w:val="0"/>
                <w:numId w:val="5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井盖无锈蚀、无破损、无缺失，井盖漆面完好。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雨水井</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每周巡检一次，发现井内堵塞当日处理完，发现破损二日内处理完；</w:t>
            </w:r>
          </w:p>
          <w:p>
            <w:pPr>
              <w:widowControl/>
              <w:numPr>
                <w:ilvl w:val="0"/>
                <w:numId w:val="5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无破损现象，每月清理杂物一次，保持畅通无阻。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污水井</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每周巡检一次，发现井内堵塞当日处理完，发现破损二日内处理完。</w:t>
            </w:r>
          </w:p>
          <w:p>
            <w:pPr>
              <w:widowControl/>
              <w:numPr>
                <w:ilvl w:val="0"/>
                <w:numId w:val="5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污水井无破损现象，每月清理杂物一次，保持畅通无阻。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管道阀门井</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5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每周巡检一次，发现滴水、阀门管道生锈</w:t>
            </w:r>
            <w:r>
              <w:rPr>
                <w:rFonts w:hint="eastAsia" w:ascii="宋体" w:hAnsi="宋体" w:cs="等线"/>
                <w:szCs w:val="21"/>
                <w:lang w:eastAsia="zh-CN"/>
              </w:rPr>
              <w:t>两小时</w:t>
            </w:r>
            <w:r>
              <w:rPr>
                <w:rFonts w:hint="eastAsia" w:ascii="宋体" w:hAnsi="宋体" w:cs="等线"/>
                <w:szCs w:val="21"/>
              </w:rPr>
              <w:t>内处理完，如阀门损坏当日之内解决。</w:t>
            </w:r>
          </w:p>
          <w:p>
            <w:pPr>
              <w:widowControl/>
              <w:numPr>
                <w:ilvl w:val="0"/>
                <w:numId w:val="5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阀门开关灵活，无漏水，阀门管道无锈蚀现象，管井无集水现象。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井篦子</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每周巡检一次，发现破损即时处理，即时处理不完，用围栏圈出警示区域，但二日内必处理完；</w:t>
            </w:r>
          </w:p>
          <w:p>
            <w:pPr>
              <w:widowControl/>
              <w:numPr>
                <w:ilvl w:val="0"/>
                <w:numId w:val="6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井篦子完好无损，无锈蚀，无缺失。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院墙</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1"/>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每半月巡检一次，发现破损即时处理，即时处理不完，拉警示带，但三日内处理完，无破损现象。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铁艺栏杆</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2"/>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每半月巡检一次，发现破损、锈蚀即时处理，破损即时处理不完，拉警示带，三日内处理完；</w:t>
            </w:r>
          </w:p>
          <w:p>
            <w:pPr>
              <w:widowControl/>
              <w:numPr>
                <w:ilvl w:val="0"/>
                <w:numId w:val="62"/>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铁艺栏杆完好无损，无锈蚀，无缺失。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铁艺门</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每周巡检一次，发现破损、锈蚀即时处理，破损即时处理不完，拉警示带，但三日内处理完；</w:t>
            </w:r>
          </w:p>
          <w:p>
            <w:pPr>
              <w:widowControl/>
              <w:numPr>
                <w:ilvl w:val="0"/>
                <w:numId w:val="6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铁艺门完好无损，无锈蚀，无缺失。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供水管道</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每月沿埋地管道走向巡查一次，发现停车在埋管地面的车辆，即时联系车主将车开走；</w:t>
            </w:r>
          </w:p>
          <w:p>
            <w:pPr>
              <w:widowControl/>
              <w:numPr>
                <w:ilvl w:val="0"/>
                <w:numId w:val="6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埋管线路标识清楚，沿管线路地面无车辆停放碾压；</w:t>
            </w:r>
          </w:p>
          <w:p>
            <w:pPr>
              <w:widowControl/>
              <w:numPr>
                <w:ilvl w:val="0"/>
                <w:numId w:val="6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巡查沿埋管路无乱挖沟渠现象，管路上方无污水沟污水管现象。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雨水管道（沟渠）</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夏季每周巡检一次，暴雨前清理一遍，冬季做好防冻裂保护；</w:t>
            </w:r>
          </w:p>
          <w:p>
            <w:pPr>
              <w:widowControl/>
              <w:numPr>
                <w:ilvl w:val="0"/>
                <w:numId w:val="6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无堵塞现象，无破损，无污水排放进雨水管道现象。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污水管道</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夏季每周巡检一次，暴雨前清理一遍，冬季做好防冻裂保护；</w:t>
            </w:r>
          </w:p>
          <w:p>
            <w:pPr>
              <w:widowControl/>
              <w:numPr>
                <w:ilvl w:val="0"/>
                <w:numId w:val="6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无堵塞现象，无破损。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沟渠</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夏季每周巡检一次，暴雨前清理一遍，无堵塞现象，无破损。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水井</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每周巡检一次，井壁、井口破损、潜水泵锈蚀、电机控制元件及线路出现故障等问题应及时维修；</w:t>
            </w:r>
          </w:p>
          <w:p>
            <w:pPr>
              <w:widowControl/>
              <w:numPr>
                <w:ilvl w:val="0"/>
                <w:numId w:val="6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井壁、井口完好无损，潜水泵控制电缆线无破损、绝缘良好，控制箱、电气元件及线路安装接线紧固，绝缘良好，潜水泵工作正常。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景观水池</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6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夏天每日巡检一次，发现水池瓷砖破损、设备锈蚀，瓷砖泛碱、设备漏电等现象，当日内解决；</w:t>
            </w:r>
          </w:p>
          <w:p>
            <w:pPr>
              <w:widowControl/>
              <w:numPr>
                <w:ilvl w:val="0"/>
                <w:numId w:val="6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发现池体渗漏、循环设备损坏三日内解决；</w:t>
            </w:r>
          </w:p>
          <w:p>
            <w:pPr>
              <w:widowControl/>
              <w:numPr>
                <w:ilvl w:val="0"/>
                <w:numId w:val="6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冬季每周巡检一次，冬季结冰之前将水池内水排空，下雪后当日清除干净；</w:t>
            </w:r>
          </w:p>
          <w:p>
            <w:pPr>
              <w:widowControl/>
              <w:numPr>
                <w:ilvl w:val="0"/>
                <w:numId w:val="6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水循环设备完好无损，无锈蚀，无堵塞，无漏电，水循环正常；</w:t>
            </w:r>
          </w:p>
          <w:p>
            <w:pPr>
              <w:widowControl/>
              <w:numPr>
                <w:ilvl w:val="0"/>
                <w:numId w:val="6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池面瓷砖完好，无渗漏，无泛碱现象。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r>
              <w:rPr>
                <w:rFonts w:hint="eastAsia" w:ascii="宋体" w:hAnsi="宋体" w:cs="等线"/>
                <w:szCs w:val="21"/>
              </w:rPr>
              <w:t>景观路（绿化带中的阡陌）</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每周巡检一次，发现地砖缺角，断裂即时维修，发现沉降三日内维修完成；</w:t>
            </w:r>
          </w:p>
          <w:p>
            <w:pPr>
              <w:widowControl/>
              <w:numPr>
                <w:ilvl w:val="0"/>
                <w:numId w:val="7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无沉降现象，无破损地砖，路面砖面平整。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廊亭</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1"/>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每周沿廊亭通道巡检一次，检查柱、梁、棚、地面有无破损现象，发现问题，即时维修；</w:t>
            </w:r>
          </w:p>
          <w:p>
            <w:pPr>
              <w:widowControl/>
              <w:numPr>
                <w:ilvl w:val="0"/>
                <w:numId w:val="71"/>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如当日不能维修完成，用警示带围挡并挂警示语标牌，三日内处理完成；</w:t>
            </w:r>
          </w:p>
          <w:p>
            <w:pPr>
              <w:widowControl/>
              <w:numPr>
                <w:ilvl w:val="0"/>
                <w:numId w:val="71"/>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沿廊通道设施完好无损。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山石</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2"/>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每月巡检一次，检查山石有无倾斜和破损现象，发现破损即时维修，发现倾斜三日内处理完成；</w:t>
            </w:r>
          </w:p>
          <w:p>
            <w:pPr>
              <w:widowControl/>
              <w:numPr>
                <w:ilvl w:val="0"/>
                <w:numId w:val="72"/>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无倾斜，无破损。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机动车道</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每月巡检一次，发现裂缝、泛沙现象三日内维修完成，发现沉降七日内维修完成；</w:t>
            </w:r>
          </w:p>
          <w:p>
            <w:pPr>
              <w:widowControl/>
              <w:numPr>
                <w:ilvl w:val="0"/>
                <w:numId w:val="7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路面平整完好，无裂缝、无泛沙、无沉降现象。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r>
              <w:rPr>
                <w:rFonts w:hint="eastAsia" w:ascii="宋体" w:hAnsi="宋体" w:cs="等线"/>
                <w:szCs w:val="21"/>
              </w:rPr>
              <w:t>人行道（机动车道路两边小路）</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每周巡检一次，发现地砖缺角，断裂即时维修，发现沉降三日内维修完成；</w:t>
            </w:r>
          </w:p>
          <w:p>
            <w:pPr>
              <w:widowControl/>
              <w:numPr>
                <w:ilvl w:val="0"/>
                <w:numId w:val="7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无沉降现象，无破损地砖，路面砖面平整。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广场地砖</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每周巡检一次，发现地砖缺角，断裂即时维修，发现沉降三日内维修完成；</w:t>
            </w:r>
          </w:p>
          <w:p>
            <w:pPr>
              <w:widowControl/>
              <w:numPr>
                <w:ilvl w:val="0"/>
                <w:numId w:val="7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无沉降现象，无破损地砖，路面砖面平整。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健身器材</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每周巡检一次，发现螺丝松动、缺失、锈蚀即时维修；</w:t>
            </w:r>
          </w:p>
          <w:p>
            <w:pPr>
              <w:widowControl/>
              <w:numPr>
                <w:ilvl w:val="0"/>
                <w:numId w:val="7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发现器材有断裂现象时，即时拆除，维修后再安装使用；</w:t>
            </w:r>
          </w:p>
          <w:p>
            <w:pPr>
              <w:widowControl/>
              <w:numPr>
                <w:ilvl w:val="0"/>
                <w:numId w:val="7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无破损，无缺焊，缺螺栓，锈蚀现象。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垃圾桶果皮箱</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每月巡检一次，发现锈蚀及时刷漆维修，发现破损及时维修或更换；</w:t>
            </w:r>
          </w:p>
          <w:p>
            <w:pPr>
              <w:widowControl/>
              <w:numPr>
                <w:ilvl w:val="0"/>
                <w:numId w:val="7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无锈蚀，无损坏。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自行车棚</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每周巡检一次，发现车棚破损，漏水，锈蚀即时维修；</w:t>
            </w:r>
          </w:p>
          <w:p>
            <w:pPr>
              <w:widowControl/>
              <w:numPr>
                <w:ilvl w:val="0"/>
                <w:numId w:val="7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车棚无破损，无漏水，金属架无锈蚀；</w:t>
            </w:r>
          </w:p>
          <w:p>
            <w:pPr>
              <w:widowControl/>
              <w:numPr>
                <w:ilvl w:val="0"/>
                <w:numId w:val="7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自行车架每年刷油漆一次，发现破损及时维修。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宣传栏</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7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每周巡检一次，发现玻璃破损即时更换，发现金属锈蚀即时维修；</w:t>
            </w:r>
          </w:p>
          <w:p>
            <w:pPr>
              <w:widowControl/>
              <w:numPr>
                <w:ilvl w:val="0"/>
                <w:numId w:val="7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宣传栏无破损，玻璃完好，金属架无锈蚀。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停车位</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每周巡检一次，发现地面破损七日内维修完成，地面无破损，地砖无缺角，无裂缝，无沉降现象。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楼宇</w:t>
            </w: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屋面</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1"/>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每周巡检一次，上人屋面：发现防水保护层裂缝、地砖破损、女儿墙裂缝、漆面脱皮、污染、落水口水篦子生锈等现象二日处理完成，非上人屋面；</w:t>
            </w:r>
          </w:p>
          <w:p>
            <w:pPr>
              <w:widowControl/>
              <w:numPr>
                <w:ilvl w:val="0"/>
                <w:numId w:val="81"/>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发现瓦面破损三天内修复完成，上人屋面防水保护层完好无损，瓷砖无缺角，无裂缝；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防水</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2"/>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夏季每周巡检一次，雨天过后全面巡查房屋有无漏水情况，发现漏水应在七日内处理完成；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楼宇</w:t>
            </w:r>
          </w:p>
          <w:p>
            <w:pPr>
              <w:adjustRightInd w:val="0"/>
              <w:snapToGrid w:val="0"/>
              <w:spacing w:line="360" w:lineRule="auto"/>
              <w:jc w:val="center"/>
              <w:rPr>
                <w:rFonts w:hint="eastAsia" w:ascii="宋体" w:hAnsi="宋体" w:cs="等线"/>
                <w:szCs w:val="21"/>
              </w:rPr>
            </w:pPr>
            <w:r>
              <w:rPr>
                <w:rFonts w:hint="eastAsia" w:ascii="宋体" w:hAnsi="宋体" w:cs="等线"/>
                <w:szCs w:val="21"/>
              </w:rPr>
              <w:t>外墙</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每周巡查一次，发现外墙裂缝，瓷砖掉落、破损、外墙漆面起皮、掉漆、污染现象七日内解决完成，发现外墙渗水、漏水十五天内解决完成；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楼宇</w:t>
            </w:r>
          </w:p>
          <w:p>
            <w:pPr>
              <w:adjustRightInd w:val="0"/>
              <w:snapToGrid w:val="0"/>
              <w:spacing w:line="360" w:lineRule="auto"/>
              <w:jc w:val="center"/>
              <w:rPr>
                <w:rFonts w:hint="eastAsia" w:ascii="宋体" w:hAnsi="宋体" w:cs="等线"/>
                <w:szCs w:val="21"/>
              </w:rPr>
            </w:pPr>
            <w:r>
              <w:rPr>
                <w:rFonts w:hint="eastAsia" w:ascii="宋体" w:hAnsi="宋体" w:cs="等线"/>
                <w:szCs w:val="21"/>
              </w:rPr>
              <w:t>门窗</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每周巡检一次，检查门窗开关灵活，接缝严密不松动；</w:t>
            </w:r>
          </w:p>
          <w:p>
            <w:pPr>
              <w:widowControl/>
              <w:numPr>
                <w:ilvl w:val="0"/>
                <w:numId w:val="8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木制工程应牢固、平直、美观．接缝严密；</w:t>
            </w:r>
          </w:p>
          <w:p>
            <w:pPr>
              <w:widowControl/>
              <w:numPr>
                <w:ilvl w:val="0"/>
                <w:numId w:val="8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发现门窗开关不灵活、松动、脱楔、腐烂损坏的二日内更换；</w:t>
            </w:r>
          </w:p>
          <w:p>
            <w:pPr>
              <w:widowControl/>
              <w:numPr>
                <w:ilvl w:val="0"/>
                <w:numId w:val="8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小五金应修换配齐。大修时公用部分玻璃应一次配齐，油灰嵌牢；</w:t>
            </w:r>
          </w:p>
          <w:p>
            <w:pPr>
              <w:widowControl/>
              <w:numPr>
                <w:ilvl w:val="0"/>
                <w:numId w:val="8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门窗损坏严重无法修复的应更换；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墙面</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每周巡检一次，发现瓷砖破损、油漆脱皮、污染，裂缝二日内处理完成，暂时完不成应挂告示牌，说明维修完成时间；</w:t>
            </w:r>
          </w:p>
          <w:p>
            <w:pPr>
              <w:widowControl/>
              <w:numPr>
                <w:ilvl w:val="0"/>
                <w:numId w:val="8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踢脚线局部损坏、残缺、脱落的应当天修复，大部损坏的七日内予以补齐；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地面瓷砖</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每周巡检一次，发现瓷砖破损二日内处理完成，暂时完不成应挂告示牌，说明维修完成时间；</w:t>
            </w:r>
          </w:p>
          <w:p>
            <w:pPr>
              <w:widowControl/>
              <w:numPr>
                <w:ilvl w:val="0"/>
                <w:numId w:val="8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地面瓷砖完好无损，瓷砖无断裂、缺角等现象。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天花板</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每周巡检一次，发现抹灰层裂缝、空鼓、掉落等现象，1日内修复完成；</w:t>
            </w:r>
          </w:p>
          <w:p>
            <w:pPr>
              <w:widowControl/>
              <w:numPr>
                <w:ilvl w:val="0"/>
                <w:numId w:val="8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天花板无裂缝、无空鼓、无污染、无掉落现象。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后楼梯</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每周巡检一次，天花板、墙面、地面同6、7项；</w:t>
            </w:r>
          </w:p>
          <w:p>
            <w:pPr>
              <w:widowControl/>
              <w:numPr>
                <w:ilvl w:val="0"/>
                <w:numId w:val="8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发现拦杆扶手松动，锈蚀、断裂二日内修复完成；</w:t>
            </w:r>
          </w:p>
          <w:p>
            <w:pPr>
              <w:widowControl/>
              <w:numPr>
                <w:ilvl w:val="0"/>
                <w:numId w:val="8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发现楼梯踏步缺角七日内修复完成；</w:t>
            </w:r>
          </w:p>
          <w:p>
            <w:pPr>
              <w:widowControl/>
              <w:numPr>
                <w:ilvl w:val="0"/>
                <w:numId w:val="8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拦杆无松动、锈蚀、断裂现象，楼梯踏步无缺角现象。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吊顶</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8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每周巡检一次，发现石膏板、木层板破损二日内处理完成，方块石膏板缺失损坏当日修复完成；</w:t>
            </w:r>
          </w:p>
          <w:p>
            <w:pPr>
              <w:widowControl/>
              <w:numPr>
                <w:ilvl w:val="0"/>
                <w:numId w:val="8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天花板完好无损，无裂缝、无起皮，无污染现象。</w:t>
            </w:r>
          </w:p>
          <w:p>
            <w:pPr>
              <w:widowControl/>
              <w:numPr>
                <w:ilvl w:val="0"/>
                <w:numId w:val="8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每月检查一次吊顶的吊钩（钢筋）龙骨无锈蚀，安装牢固。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照明灯</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每周巡查一次，发现脱线、开关损坏、灯管灯泡不亮、光栅、灯架破损、线路故障等当天处理完成；</w:t>
            </w:r>
          </w:p>
          <w:p>
            <w:pPr>
              <w:widowControl/>
              <w:numPr>
                <w:ilvl w:val="0"/>
                <w:numId w:val="90"/>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照明灯及开关完好无损，线路无故障，接线牢固，绝缘良好，无漏电现象。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插座</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1"/>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每周巡查一次，发现脱线、插座脱落、接触不良、线路故障等当天处理完成；</w:t>
            </w:r>
          </w:p>
          <w:p>
            <w:pPr>
              <w:widowControl/>
              <w:numPr>
                <w:ilvl w:val="0"/>
                <w:numId w:val="91"/>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插座完好无损，接线牢固，线路无故障，绝缘良好，无漏电现象。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照明配电箱</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2"/>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每周巡查一次，发现配电箱体损坏，盖子脱落，空气开关烧坏、线路故障当天修复完成，配电箱完好无损，开关正常，线路无故障，接线无松动、无锈蚀。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照明线路</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每月检查一次各配电箱、接线盒接线是否良好；</w:t>
            </w:r>
          </w:p>
          <w:p>
            <w:pPr>
              <w:widowControl/>
              <w:numPr>
                <w:ilvl w:val="0"/>
                <w:numId w:val="9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发现接触松动、接线头烧损即时维修紧固；</w:t>
            </w:r>
          </w:p>
          <w:p>
            <w:pPr>
              <w:widowControl/>
              <w:numPr>
                <w:ilvl w:val="0"/>
                <w:numId w:val="93"/>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保持照明线路绝缘良好，无短路现象，无接触不良现象，各接线头无锈蚀现象。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供水管道</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每周巡检一次，发现管道锈蚀、阀门管道漏水即时维修；</w:t>
            </w:r>
          </w:p>
          <w:p>
            <w:pPr>
              <w:widowControl/>
              <w:numPr>
                <w:ilvl w:val="0"/>
                <w:numId w:val="9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管道阀门无锈蚀、无漏水；</w:t>
            </w:r>
          </w:p>
          <w:p>
            <w:pPr>
              <w:widowControl/>
              <w:numPr>
                <w:ilvl w:val="0"/>
                <w:numId w:val="9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油漆完好无脱落起皮现象；</w:t>
            </w:r>
          </w:p>
          <w:p>
            <w:pPr>
              <w:widowControl/>
              <w:numPr>
                <w:ilvl w:val="0"/>
                <w:numId w:val="94"/>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阀门开关灵活。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水龙头</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每周巡查一次，水龙头滴水，漏水关不严及时维修，如损坏及时更换；</w:t>
            </w:r>
          </w:p>
          <w:p>
            <w:pPr>
              <w:widowControl/>
              <w:numPr>
                <w:ilvl w:val="0"/>
                <w:numId w:val="95"/>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水龙头关闭不滴水，开关灵活。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排水管道</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每周巡查一次，发现排水管堵要即时疏通，发现排水管支架、管道损坏即时维修完成；</w:t>
            </w:r>
          </w:p>
          <w:p>
            <w:pPr>
              <w:widowControl/>
              <w:numPr>
                <w:ilvl w:val="0"/>
                <w:numId w:val="9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排水管道排水通畅，无堵塞现象；</w:t>
            </w:r>
          </w:p>
          <w:p>
            <w:pPr>
              <w:widowControl/>
              <w:numPr>
                <w:ilvl w:val="0"/>
                <w:numId w:val="96"/>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管道安装牢固，支架牢固无松动，管道无锈蚀现象。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洗手盆</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每周巡查一次，盆面缺角，损坏、下水堵塞，渗漏及即时维修；</w:t>
            </w:r>
          </w:p>
          <w:p>
            <w:pPr>
              <w:widowControl/>
              <w:numPr>
                <w:ilvl w:val="0"/>
                <w:numId w:val="97"/>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盆面完整无损。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开水器</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每周巡查一次，开水器出现变形、漏水、漏电、电阻发热管损坏现象时应及时维修；</w:t>
            </w:r>
          </w:p>
          <w:p>
            <w:pPr>
              <w:widowControl/>
              <w:numPr>
                <w:ilvl w:val="0"/>
                <w:numId w:val="98"/>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开水器正常供开水。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rPr>
                <w:rFonts w:hint="eastAsia" w:ascii="宋体" w:hAnsi="宋体" w:cs="等线"/>
                <w:szCs w:val="21"/>
              </w:rPr>
            </w:pPr>
          </w:p>
        </w:tc>
        <w:tc>
          <w:tcPr>
            <w:tcW w:w="783"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360" w:lineRule="auto"/>
              <w:jc w:val="center"/>
              <w:rPr>
                <w:rFonts w:hint="eastAsia" w:ascii="宋体" w:hAnsi="宋体" w:cs="等线"/>
                <w:szCs w:val="21"/>
              </w:rPr>
            </w:pPr>
            <w:r>
              <w:rPr>
                <w:rFonts w:hint="eastAsia" w:ascii="宋体" w:hAnsi="宋体" w:cs="等线"/>
                <w:szCs w:val="21"/>
              </w:rPr>
              <w:t>喷淋头</w:t>
            </w:r>
          </w:p>
        </w:tc>
        <w:tc>
          <w:tcPr>
            <w:tcW w:w="3574" w:type="pct"/>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99"/>
              </w:numPr>
              <w:autoSpaceDE w:val="0"/>
              <w:autoSpaceDN w:val="0"/>
              <w:adjustRightInd w:val="0"/>
              <w:snapToGrid w:val="0"/>
              <w:spacing w:line="360" w:lineRule="auto"/>
              <w:ind w:left="0" w:firstLine="0"/>
              <w:jc w:val="left"/>
              <w:textAlignment w:val="baseline"/>
              <w:rPr>
                <w:rFonts w:hint="eastAsia" w:ascii="宋体" w:hAnsi="宋体" w:cs="等线"/>
                <w:szCs w:val="21"/>
              </w:rPr>
            </w:pPr>
            <w:r>
              <w:rPr>
                <w:rFonts w:hint="eastAsia" w:ascii="宋体" w:hAnsi="宋体" w:cs="等线"/>
                <w:szCs w:val="21"/>
              </w:rPr>
              <w:t>每周巡查一次，喷淋头出现漏水及时更换，管道有水，喷头完好无损，可以正常使用。</w:t>
            </w:r>
          </w:p>
        </w:tc>
      </w:tr>
    </w:tbl>
    <w:p>
      <w:pPr>
        <w:topLinePunct/>
        <w:adjustRightInd w:val="0"/>
        <w:snapToGrid w:val="0"/>
        <w:spacing w:line="360" w:lineRule="auto"/>
        <w:rPr>
          <w:rFonts w:hint="eastAsia" w:ascii="宋体" w:hAnsi="宋体" w:cs="等线"/>
          <w:szCs w:val="21"/>
        </w:rPr>
      </w:pP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6、治安保卫校园安全管理要求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A-人员要求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保安人员熟悉校园环境，文明执勤，言语规范，认真负责，人员稳定。</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保安人员的素质要求：品德好，形象佳，身体强壮，服务意识强，会讲普通话，具有初中以上文化程度，持有上岗证，无犯罪记录。男身高165cm以上，年龄不超过45周岁；女身高160cm以上，年龄不超过45周岁。退伍军人优先。</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3</w:t>
      </w:r>
      <w:r>
        <w:rPr>
          <w:rFonts w:hint="eastAsia" w:ascii="宋体" w:hAnsi="宋体" w:cs="等线"/>
          <w:color w:val="000000"/>
          <w:szCs w:val="21"/>
          <w:lang w:eastAsia="zh-CN"/>
        </w:rPr>
        <w:t>）</w:t>
      </w:r>
      <w:r>
        <w:rPr>
          <w:rFonts w:hint="eastAsia" w:ascii="宋体" w:hAnsi="宋体" w:cs="等线"/>
          <w:color w:val="000000"/>
          <w:szCs w:val="21"/>
        </w:rPr>
        <w:t>学校（幼儿园除外）保安员中持有《建</w:t>
      </w:r>
      <w:r>
        <w:rPr>
          <w:rFonts w:hint="eastAsia" w:ascii="宋体" w:hAnsi="宋体" w:cs="等线"/>
          <w:color w:val="000000"/>
          <w:szCs w:val="21"/>
          <w:lang w:eastAsia="zh-CN"/>
        </w:rPr>
        <w:t>（</w:t>
      </w:r>
      <w:r>
        <w:rPr>
          <w:rFonts w:hint="eastAsia" w:ascii="宋体" w:hAnsi="宋体" w:cs="等线"/>
          <w:color w:val="000000"/>
          <w:szCs w:val="21"/>
        </w:rPr>
        <w:t>构</w:t>
      </w:r>
      <w:r>
        <w:rPr>
          <w:rFonts w:hint="eastAsia" w:ascii="宋体" w:hAnsi="宋体" w:cs="等线"/>
          <w:color w:val="000000"/>
          <w:szCs w:val="21"/>
          <w:lang w:eastAsia="zh-CN"/>
        </w:rPr>
        <w:t>）</w:t>
      </w:r>
      <w:r>
        <w:rPr>
          <w:rFonts w:hint="eastAsia" w:ascii="宋体" w:hAnsi="宋体" w:cs="等线"/>
          <w:color w:val="000000"/>
          <w:szCs w:val="21"/>
        </w:rPr>
        <w:t>筑物消防员上岗证》或《消防设施操作员上岗证》。</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4</w:t>
      </w:r>
      <w:r>
        <w:rPr>
          <w:rFonts w:hint="eastAsia" w:ascii="宋体" w:hAnsi="宋体" w:cs="等线"/>
          <w:color w:val="000000"/>
          <w:szCs w:val="21"/>
          <w:lang w:eastAsia="zh-CN"/>
        </w:rPr>
        <w:t>）</w:t>
      </w:r>
      <w:r>
        <w:rPr>
          <w:rFonts w:hint="eastAsia" w:ascii="宋体" w:hAnsi="宋体" w:cs="等线"/>
          <w:color w:val="000000"/>
          <w:szCs w:val="21"/>
        </w:rPr>
        <w:t>保安配备应满足《深圳市中小学校和幼儿园配备专业保安工作实施方案》</w:t>
      </w:r>
      <w:r>
        <w:rPr>
          <w:rFonts w:hint="eastAsia" w:ascii="宋体" w:hAnsi="宋体" w:cs="等线"/>
          <w:color w:val="000000"/>
          <w:szCs w:val="21"/>
          <w:lang w:eastAsia="zh-CN"/>
        </w:rPr>
        <w:t>（</w:t>
      </w:r>
      <w:r>
        <w:rPr>
          <w:rFonts w:hint="eastAsia" w:ascii="宋体" w:hAnsi="宋体" w:cs="等线"/>
          <w:color w:val="000000"/>
          <w:szCs w:val="21"/>
        </w:rPr>
        <w:t>深公(治)字[2010]273号</w:t>
      </w:r>
      <w:r>
        <w:rPr>
          <w:rFonts w:hint="eastAsia" w:ascii="宋体" w:hAnsi="宋体" w:cs="等线"/>
          <w:color w:val="000000"/>
          <w:szCs w:val="21"/>
          <w:lang w:eastAsia="zh-CN"/>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B-值班要求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学校正门值班要求：实行24小时固定岗和流动巡逻相结合制度，建立并严格执行来访人员询问登记制度，防止社会闲杂人员和车辆进入校园；建立物资出入学校管理制度，凭学校证明放行，确保师生不受社会不法分子侵犯和外来车辆伤害，确保师生和学校财产安全。</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学校正门岗亭全年每天24小时有保安员值班，其中每年5月1日至10月31日</w:t>
      </w:r>
      <w:r>
        <w:rPr>
          <w:rFonts w:hint="eastAsia" w:ascii="宋体" w:hAnsi="宋体" w:cs="等线"/>
          <w:color w:val="000000"/>
          <w:szCs w:val="21"/>
          <w:lang w:eastAsia="zh-CN"/>
        </w:rPr>
        <w:t>（</w:t>
      </w:r>
      <w:r>
        <w:rPr>
          <w:rFonts w:hint="eastAsia" w:ascii="宋体" w:hAnsi="宋体" w:cs="等线"/>
          <w:color w:val="000000"/>
          <w:szCs w:val="21"/>
        </w:rPr>
        <w:t>每晚21：00至次日早晨6：00</w:t>
      </w:r>
      <w:r>
        <w:rPr>
          <w:rFonts w:hint="eastAsia" w:ascii="宋体" w:hAnsi="宋体" w:cs="等线"/>
          <w:color w:val="000000"/>
          <w:szCs w:val="21"/>
          <w:lang w:eastAsia="zh-CN"/>
        </w:rPr>
        <w:t>）</w:t>
      </w:r>
      <w:r>
        <w:rPr>
          <w:rFonts w:hint="eastAsia" w:ascii="宋体" w:hAnsi="宋体" w:cs="等线"/>
          <w:color w:val="000000"/>
          <w:szCs w:val="21"/>
        </w:rPr>
        <w:t>和11月1日至4月30日</w:t>
      </w:r>
      <w:r>
        <w:rPr>
          <w:rFonts w:hint="eastAsia" w:ascii="宋体" w:hAnsi="宋体" w:cs="等线"/>
          <w:color w:val="000000"/>
          <w:szCs w:val="21"/>
          <w:lang w:eastAsia="zh-CN"/>
        </w:rPr>
        <w:t>（</w:t>
      </w:r>
      <w:r>
        <w:rPr>
          <w:rFonts w:hint="eastAsia" w:ascii="宋体" w:hAnsi="宋体" w:cs="等线"/>
          <w:color w:val="000000"/>
          <w:szCs w:val="21"/>
        </w:rPr>
        <w:t>每晚20：00至次日早晨7：00</w:t>
      </w:r>
      <w:r>
        <w:rPr>
          <w:rFonts w:hint="eastAsia" w:ascii="宋体" w:hAnsi="宋体" w:cs="等线"/>
          <w:color w:val="000000"/>
          <w:szCs w:val="21"/>
          <w:lang w:eastAsia="zh-CN"/>
        </w:rPr>
        <w:t>）</w:t>
      </w:r>
      <w:r>
        <w:rPr>
          <w:rFonts w:hint="eastAsia" w:ascii="宋体" w:hAnsi="宋体" w:cs="等线"/>
          <w:color w:val="000000"/>
          <w:szCs w:val="21"/>
        </w:rPr>
        <w:t>保证2人值班</w:t>
      </w:r>
      <w:r>
        <w:rPr>
          <w:rFonts w:hint="eastAsia" w:ascii="宋体" w:hAnsi="宋体" w:cs="等线"/>
          <w:color w:val="000000"/>
          <w:szCs w:val="21"/>
          <w:lang w:eastAsia="zh-CN"/>
        </w:rPr>
        <w:t>（</w:t>
      </w:r>
      <w:r>
        <w:rPr>
          <w:rFonts w:hint="eastAsia" w:ascii="宋体" w:hAnsi="宋体" w:cs="等线"/>
          <w:color w:val="000000"/>
          <w:szCs w:val="21"/>
        </w:rPr>
        <w:t>1人巡逻，1人校门岗亭值班</w:t>
      </w:r>
      <w:r>
        <w:rPr>
          <w:rFonts w:hint="eastAsia" w:ascii="宋体" w:hAnsi="宋体" w:cs="等线"/>
          <w:color w:val="000000"/>
          <w:szCs w:val="21"/>
          <w:lang w:eastAsia="zh-CN"/>
        </w:rPr>
        <w:t>）</w:t>
      </w:r>
      <w:r>
        <w:rPr>
          <w:rFonts w:hint="eastAsia" w:ascii="宋体" w:hAnsi="宋体" w:cs="等线"/>
          <w:color w:val="000000"/>
          <w:szCs w:val="21"/>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3</w:t>
      </w:r>
      <w:r>
        <w:rPr>
          <w:rFonts w:hint="eastAsia" w:ascii="宋体" w:hAnsi="宋体" w:cs="等线"/>
          <w:color w:val="000000"/>
          <w:szCs w:val="21"/>
          <w:lang w:eastAsia="zh-CN"/>
        </w:rPr>
        <w:t>）</w:t>
      </w:r>
      <w:r>
        <w:rPr>
          <w:rFonts w:hint="eastAsia" w:ascii="宋体" w:hAnsi="宋体" w:cs="等线"/>
          <w:color w:val="000000"/>
          <w:szCs w:val="21"/>
        </w:rPr>
        <w:t>每天上学和放学期间</w:t>
      </w:r>
      <w:r>
        <w:rPr>
          <w:rFonts w:hint="eastAsia" w:ascii="宋体" w:hAnsi="宋体" w:cs="等线"/>
          <w:color w:val="000000"/>
          <w:szCs w:val="21"/>
          <w:lang w:eastAsia="zh-CN"/>
        </w:rPr>
        <w:t>（</w:t>
      </w:r>
      <w:r>
        <w:rPr>
          <w:rFonts w:hint="eastAsia" w:ascii="宋体" w:hAnsi="宋体" w:cs="等线"/>
          <w:color w:val="000000"/>
          <w:szCs w:val="21"/>
        </w:rPr>
        <w:t>共四个时段：上午上学一小时、放学一小时；下午上学一小时、放学一小时</w:t>
      </w:r>
      <w:r>
        <w:rPr>
          <w:rFonts w:hint="eastAsia" w:ascii="宋体" w:hAnsi="宋体" w:cs="等线"/>
          <w:color w:val="000000"/>
          <w:szCs w:val="21"/>
          <w:lang w:eastAsia="zh-CN"/>
        </w:rPr>
        <w:t>）</w:t>
      </w:r>
      <w:r>
        <w:rPr>
          <w:rFonts w:hint="eastAsia" w:ascii="宋体" w:hAnsi="宋体" w:cs="等线"/>
          <w:color w:val="000000"/>
          <w:szCs w:val="21"/>
        </w:rPr>
        <w:t>，学校校园所有出入口至少有2名保安值岗。</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C-安全管理要求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做好安全防范措施，制订科学高效的突发事件</w:t>
      </w:r>
      <w:r>
        <w:rPr>
          <w:rFonts w:hint="eastAsia" w:ascii="宋体" w:hAnsi="宋体" w:cs="等线"/>
          <w:color w:val="000000"/>
          <w:szCs w:val="21"/>
          <w:lang w:eastAsia="zh-CN"/>
        </w:rPr>
        <w:t>（</w:t>
      </w:r>
      <w:r>
        <w:rPr>
          <w:rFonts w:hint="eastAsia" w:ascii="宋体" w:hAnsi="宋体" w:cs="等线"/>
          <w:color w:val="000000"/>
          <w:szCs w:val="21"/>
        </w:rPr>
        <w:t>设备、消防、治安、防疫、防止自然灾害等</w:t>
      </w:r>
      <w:r>
        <w:rPr>
          <w:rFonts w:hint="eastAsia" w:ascii="宋体" w:hAnsi="宋体" w:cs="等线"/>
          <w:color w:val="000000"/>
          <w:szCs w:val="21"/>
          <w:lang w:eastAsia="zh-CN"/>
        </w:rPr>
        <w:t>）</w:t>
      </w:r>
      <w:r>
        <w:rPr>
          <w:rFonts w:hint="eastAsia" w:ascii="宋体" w:hAnsi="宋体" w:cs="等线"/>
          <w:color w:val="000000"/>
          <w:szCs w:val="21"/>
        </w:rPr>
        <w:t>应急预案。做到校园日常秩序井然有序，学校财产不受损失，师生人身安全不受侵犯，责任事故发生率为零。</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负责对学校红线内周边环境进行日常巡视。由学校与中标人共同确定值勤岗位、值勤时间、岗位职责等，确保万无一失。遇突发事件能按应急预案及时处理，有足够的人员和器械保证，能有效保护现场，并及时报告学校领导，必要时及时报警。</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3</w:t>
      </w:r>
      <w:r>
        <w:rPr>
          <w:rFonts w:hint="eastAsia" w:ascii="宋体" w:hAnsi="宋体" w:cs="等线"/>
          <w:color w:val="000000"/>
          <w:szCs w:val="21"/>
          <w:lang w:eastAsia="zh-CN"/>
        </w:rPr>
        <w:t>）</w:t>
      </w:r>
      <w:r>
        <w:rPr>
          <w:rFonts w:hint="eastAsia" w:ascii="宋体" w:hAnsi="宋体" w:cs="等线"/>
          <w:color w:val="000000"/>
          <w:szCs w:val="21"/>
        </w:rPr>
        <w:t>每月组织一次保安人员岗位培训或出操训练，每年与有关单位组织最少一次联合消防演习。</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4</w:t>
      </w:r>
      <w:r>
        <w:rPr>
          <w:rFonts w:hint="eastAsia" w:ascii="宋体" w:hAnsi="宋体" w:cs="等线"/>
          <w:color w:val="000000"/>
          <w:szCs w:val="21"/>
          <w:lang w:eastAsia="zh-CN"/>
        </w:rPr>
        <w:t>）</w:t>
      </w:r>
      <w:r>
        <w:rPr>
          <w:rFonts w:hint="eastAsia" w:ascii="宋体" w:hAnsi="宋体" w:cs="等线"/>
          <w:color w:val="000000"/>
          <w:szCs w:val="21"/>
        </w:rPr>
        <w:t>负责校园机动车</w:t>
      </w:r>
      <w:r>
        <w:rPr>
          <w:rFonts w:hint="eastAsia" w:ascii="宋体" w:hAnsi="宋体" w:cs="等线"/>
          <w:color w:val="000000"/>
          <w:szCs w:val="21"/>
          <w:lang w:eastAsia="zh-CN"/>
        </w:rPr>
        <w:t>（</w:t>
      </w:r>
      <w:r>
        <w:rPr>
          <w:rFonts w:hint="eastAsia" w:ascii="宋体" w:hAnsi="宋体" w:cs="等线"/>
          <w:color w:val="000000"/>
          <w:szCs w:val="21"/>
        </w:rPr>
        <w:t>停车场</w:t>
      </w:r>
      <w:r>
        <w:rPr>
          <w:rFonts w:hint="eastAsia" w:ascii="宋体" w:hAnsi="宋体" w:cs="等线"/>
          <w:color w:val="000000"/>
          <w:szCs w:val="21"/>
          <w:lang w:eastAsia="zh-CN"/>
        </w:rPr>
        <w:t>）</w:t>
      </w:r>
      <w:r>
        <w:rPr>
          <w:rFonts w:hint="eastAsia" w:ascii="宋体" w:hAnsi="宋体" w:cs="等线"/>
          <w:color w:val="000000"/>
          <w:szCs w:val="21"/>
        </w:rPr>
        <w:t>管理，做到管理制度完善，管理责任明确。建立车辆出入登记制度，需进入校园的车辆按指定路线和时间、车速行驶，指引车辆按规定位置停放。不出现校门口停放车辆、校园内鸣放喇叭等现象，确保交通畅通，防止交通事件发生。</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5</w:t>
      </w:r>
      <w:r>
        <w:rPr>
          <w:rFonts w:hint="eastAsia" w:ascii="宋体" w:hAnsi="宋体" w:cs="等线"/>
          <w:color w:val="000000"/>
          <w:szCs w:val="21"/>
          <w:lang w:eastAsia="zh-CN"/>
        </w:rPr>
        <w:t>）</w:t>
      </w:r>
      <w:r>
        <w:rPr>
          <w:rFonts w:hint="eastAsia" w:ascii="宋体" w:hAnsi="宋体" w:cs="等线"/>
          <w:color w:val="000000"/>
          <w:szCs w:val="21"/>
        </w:rPr>
        <w:t>负责校园教室及功能场馆安全管理，按学校管理规定，每天定时打开、关闭体育馆、教室门窗，并定时对全校教室、功能室用电设备进行巡查。</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6</w:t>
      </w:r>
      <w:r>
        <w:rPr>
          <w:rFonts w:hint="eastAsia" w:ascii="宋体" w:hAnsi="宋体" w:cs="等线"/>
          <w:color w:val="000000"/>
          <w:szCs w:val="21"/>
          <w:lang w:eastAsia="zh-CN"/>
        </w:rPr>
        <w:t>）</w:t>
      </w:r>
      <w:r>
        <w:rPr>
          <w:rFonts w:hint="eastAsia" w:ascii="宋体" w:hAnsi="宋体" w:cs="等线"/>
          <w:color w:val="000000"/>
          <w:szCs w:val="21"/>
        </w:rPr>
        <w:t>若学校举行教育教学大型活动或接待，中标人应按学校要求无条件安排足够安保人员给予配合，并保证服务到位，态度良好。中标人同意每年为每学校提供4次大型活动的安保力量，并在原有保安基础上视情况每天另外增派4－12名保安人员。</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7</w:t>
      </w:r>
      <w:r>
        <w:rPr>
          <w:rFonts w:hint="eastAsia" w:ascii="宋体" w:hAnsi="宋体" w:cs="等线"/>
          <w:color w:val="000000"/>
          <w:szCs w:val="21"/>
          <w:lang w:eastAsia="zh-CN"/>
        </w:rPr>
        <w:t>）</w:t>
      </w:r>
      <w:r>
        <w:rPr>
          <w:rFonts w:hint="eastAsia" w:ascii="宋体" w:hAnsi="宋体" w:cs="等线"/>
          <w:color w:val="000000"/>
          <w:szCs w:val="21"/>
        </w:rPr>
        <w:t>负责报刊的收发工作，行政办公室报刊投送到户，其它部门、人员报刊投送到报箱。</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8</w:t>
      </w:r>
      <w:r>
        <w:rPr>
          <w:rFonts w:hint="eastAsia" w:ascii="宋体" w:hAnsi="宋体" w:cs="等线"/>
          <w:color w:val="000000"/>
          <w:szCs w:val="21"/>
          <w:lang w:eastAsia="zh-CN"/>
        </w:rPr>
        <w:t>）</w:t>
      </w:r>
      <w:r>
        <w:rPr>
          <w:rFonts w:hint="eastAsia" w:ascii="宋体" w:hAnsi="宋体" w:cs="等线"/>
          <w:color w:val="000000"/>
          <w:szCs w:val="21"/>
        </w:rPr>
        <w:t>无偿协助学校零星搬运工作。</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D-消防监控管理要求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贯彻“预防为主，防消结合”的工作方针，实行技防、人防的有效结合。借助先进的消防监控系统和消防设备设施，做好日常消防防范工作。按时对消防报警系统进行联动测试，定期进行消防演习，提高员工防火、灭火技能。</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消防监控中心值班员对学校的消防系统进行监控，发现报警立刻通知相关岗位人员到现场查看确认，防止超标准使用报警，确属火警则按火警处理程序立即进行处理，属误报的，查明原因，消除故障，恢复系统，做好处理记录。</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发生火警或误报使电梯迫降时，立即用电梯对讲电话通知电梯内乘客保持镇静，并通知相关人员做好解救工作。</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3</w:t>
      </w:r>
      <w:r>
        <w:rPr>
          <w:rFonts w:hint="eastAsia" w:ascii="宋体" w:hAnsi="宋体" w:cs="等线"/>
          <w:color w:val="000000"/>
          <w:szCs w:val="21"/>
          <w:lang w:eastAsia="zh-CN"/>
        </w:rPr>
        <w:t>）</w:t>
      </w:r>
      <w:r>
        <w:rPr>
          <w:rFonts w:hint="eastAsia" w:ascii="宋体" w:hAnsi="宋体" w:cs="等线"/>
          <w:color w:val="000000"/>
          <w:szCs w:val="21"/>
        </w:rPr>
        <w:t>定期对消防系统进行巡视检查、检测和保养，发现问题及时排除，保证系统的正常可靠运行。</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4</w:t>
      </w:r>
      <w:r>
        <w:rPr>
          <w:rFonts w:hint="eastAsia" w:ascii="宋体" w:hAnsi="宋体" w:cs="等线"/>
          <w:color w:val="000000"/>
          <w:szCs w:val="21"/>
          <w:lang w:eastAsia="zh-CN"/>
        </w:rPr>
        <w:t>）</w:t>
      </w:r>
      <w:r>
        <w:rPr>
          <w:rFonts w:hint="eastAsia" w:ascii="宋体" w:hAnsi="宋体" w:cs="等线"/>
          <w:color w:val="000000"/>
          <w:szCs w:val="21"/>
        </w:rPr>
        <w:t>严格执行交接班制度，加强消防监控室管理，禁止闲杂人员出入。</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5</w:t>
      </w:r>
      <w:r>
        <w:rPr>
          <w:rFonts w:hint="eastAsia" w:ascii="宋体" w:hAnsi="宋体" w:cs="等线"/>
          <w:color w:val="000000"/>
          <w:szCs w:val="21"/>
          <w:lang w:eastAsia="zh-CN"/>
        </w:rPr>
        <w:t>）</w:t>
      </w:r>
      <w:r>
        <w:rPr>
          <w:rFonts w:hint="eastAsia" w:ascii="宋体" w:hAnsi="宋体" w:cs="等线"/>
          <w:color w:val="000000"/>
          <w:szCs w:val="21"/>
        </w:rPr>
        <w:t>负责校园内消防安全。指派消防安全责任人，保安员同时担任学校义务消防员；保证消防疏散通道畅通，搞好校园消防设备、设施维护，确保完好无损，可随时起用；消防设备设施属学校范围内问题的及时向学校汇报。</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E-安全事故处理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（1）应制定安全事故处理预案，对突发事故和刑事、火灾、水灾、爆炸、地震、安全疏散以及电梯应急等制定相应的安全事故处理预案；</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（2）应成立安全事故应急小组，书面描述小组职责，每位成员应熟练掌握，并每年至少3次，定期进行小组训练或培训；</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（3）应急小组至少每半年召开1次会议，熟悉程序、路线和有关内容，对紧急事故应尽可能减少造成的人员和财产损失；</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（4）应急小组应与当地消防、社区民警保持沟通；</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（5）应建立安全事故档案工作记录。</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F-校园内施工现场管理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（1）根据学校要求制定校内施工现场管理制度，必要时专门设置相应的非常设岗位。</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（2）配合学校做好施工单位人员进出、人员活动范围、施工时段、文明施工等涉及施工人员的管理。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（3）配合学校对施工单位的车辆进出、作业工具进出、材料和设备进出、物资存放、垃圾存放与清运等涉物管理。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（4）施工区域内的设施设备管理。内容主要为是否违章装修、是否损坏公共设施设备、是否存在改变使用功能导致雨污混流现象、是否存在渗漏水现象等。</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（5）在学校主管部门批准的前提下，配合学校满足施工单位用水用电需要，水电使用操作规范，加强节水节电的管理。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（6）认真周密地做好施工现场及周边的安全管理，确保师生和其他人员安全，确保消防安全。</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G-社区警务协作</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物业服务企业应保持24小时与当地社区警务室联系；与社区警务一起提高公众防范能力，共同预防和确保服务区安全。</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7、疫情防控</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疫情时期根据防控防疫要求配置岗位并开展相关工作。</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1）门岗防疫：保安人员对所有入校车辆驾乘人员、步行人员进行测体温，查验健康码、行程码；如遇发热病人，直接就地隔离消毒并接引至发热门诊就诊。对快递、外卖人员一律禁止进入，相关物品放置在指定区域后立即劝离，定期对快递和存放区域进行消毒，未戴口罩人员不允许入内。（根据疫情防控政策适时调整）</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所有在岗、轮岗、新上岗工作人员应按照要求完成新冠病毒疫苗全程接种，实行“应接尽接、应接必接”。</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（3）严格落实学校疫情防控工作要求，制定应急处置预案、储备相关物资、开展培训演练，确保及时有效应对特殊情况发生。</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4）加强重点场所消杀，对教学办公楼宇公共区域电梯、卫生间、过道、扶手等重点部位增加消杀频次；对大门口、道路、垃圾桶等重点区域进行多频次、规范性、无死角全面环境消杀，为师生提供健康的学习工作生活环境。</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（5）高标准、严要求完成垃圾清运任务。按照既定处置预案对垃圾进行消杀、装运；装运工作期间严格做好个人防护，坚持防疫安全不松懈、把好疫情防控关，保障校园各项工作平稳运行。</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（6）及时对教室、走廊、洗手间、卫生间等进行了全方位彻底的灭菌消毒，及时清理校园白色垃圾，保持校园干净、整洁。</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8、项目管理标准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1、按“全国物业管理示范大厦”标准进行管理。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2、杜绝火灾等安全事故。</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3、环境卫生达标率95%。</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4、治安案件案发率为零，无任何重大事故发生。</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5、用户满意及基本满意率95%。</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6、有效投诉处理率100%。</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7、有效投诉率低于5%。</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8、消毒、消杀、绿化达标率为100%。</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9、利用现代化管理手段对物业进行管理。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10、未尽事宜，依照教育主管部门及物业管理部门的相关规定执行。</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9、人员管理要求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人员管理要求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a.投标人中标后提供拟为本项目配备的从业人员上岗证及其它规定应提交的证明文件</w:t>
      </w:r>
      <w:r>
        <w:rPr>
          <w:rFonts w:hint="eastAsia" w:ascii="宋体" w:hAnsi="宋体" w:cs="等线"/>
          <w:color w:val="000000"/>
          <w:szCs w:val="21"/>
          <w:lang w:eastAsia="zh-CN"/>
        </w:rPr>
        <w:t>（</w:t>
      </w:r>
      <w:r>
        <w:rPr>
          <w:rFonts w:hint="eastAsia" w:ascii="宋体" w:hAnsi="宋体" w:cs="等线"/>
          <w:color w:val="000000"/>
          <w:szCs w:val="21"/>
        </w:rPr>
        <w:t>幼儿园配备人员需按照相关卫生保健要求进行体检合格后方可录用</w:t>
      </w:r>
      <w:r>
        <w:rPr>
          <w:rFonts w:hint="eastAsia" w:ascii="宋体" w:hAnsi="宋体" w:cs="等线"/>
          <w:color w:val="000000"/>
          <w:szCs w:val="21"/>
          <w:lang w:eastAsia="zh-CN"/>
        </w:rPr>
        <w:t>）</w:t>
      </w:r>
      <w:r>
        <w:rPr>
          <w:rFonts w:hint="eastAsia" w:ascii="宋体" w:hAnsi="宋体" w:cs="等线"/>
          <w:color w:val="000000"/>
          <w:szCs w:val="21"/>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b.中标人应针对本项目提出具体的岗位后续培训计划。</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c.投标人应承诺24小时内更换工作表现差及出现事故的本项目从业人员。</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d.中标人拟委派人员的基本情况报学校备案，人员做到相对稳定。</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e.中标人为所有选派到本项目从业人员办理工伤、保险、签订劳动合同等。</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f.中标人依据深圳市政府物业服务收费指导标准意见，与各学校实际情况进行从业人员整合配置。</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g.拟投入的管理团队应包含项目负责人、各专业负责人（维修、安保、绿化、保洁）以及符合各学校需求的团队。项目负责人应具备物业或维修或安保或绿化或保洁相关专业知识，具有较好的统筹协调和沟通管理能力，能够统筹协调各岗位人员，协助学校积极有效的做好管理工作；各专业负责人应具备所在专业的专业知识或专业技能，具备一定的人员管理能力，能够结合学校实际情况，满足学校在各专业领域开展个性化的管理需求服务。</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人员配备</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本项目需确保物业服务需要，保障学校正常运营，各标段服务人员至少满足以下配备数量要求：</w:t>
      </w:r>
    </w:p>
    <w:p>
      <w:pPr>
        <w:topLinePunct/>
        <w:adjustRightInd w:val="0"/>
        <w:snapToGrid w:val="0"/>
        <w:spacing w:line="360" w:lineRule="auto"/>
        <w:jc w:val="center"/>
        <w:rPr>
          <w:rFonts w:hint="eastAsia" w:ascii="宋体" w:hAnsi="宋体" w:cs="等线"/>
          <w:szCs w:val="21"/>
        </w:rPr>
      </w:pPr>
      <w:r>
        <w:rPr>
          <w:rFonts w:hint="eastAsia" w:ascii="宋体" w:hAnsi="宋体" w:cs="等线"/>
          <w:szCs w:val="21"/>
        </w:rPr>
        <w:t>人员明细表</w:t>
      </w:r>
    </w:p>
    <w:tbl>
      <w:tblPr>
        <w:tblStyle w:val="23"/>
        <w:tblW w:w="916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43"/>
        <w:gridCol w:w="4011"/>
        <w:gridCol w:w="611"/>
        <w:gridCol w:w="873"/>
        <w:gridCol w:w="995"/>
        <w:gridCol w:w="824"/>
        <w:gridCol w:w="11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05" w:type="pct"/>
            <w:tcBorders>
              <w:top w:val="single" w:color="000000" w:sz="2" w:space="0"/>
              <w:bottom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szCs w:val="21"/>
              </w:rPr>
              <w:t>序号</w:t>
            </w:r>
          </w:p>
        </w:tc>
        <w:tc>
          <w:tcPr>
            <w:tcW w:w="2186" w:type="pct"/>
            <w:tcBorders>
              <w:top w:val="single" w:color="000000" w:sz="2" w:space="0"/>
              <w:bottom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szCs w:val="21"/>
              </w:rPr>
              <w:t>学校</w:t>
            </w:r>
          </w:p>
        </w:tc>
        <w:tc>
          <w:tcPr>
            <w:tcW w:w="333" w:type="pct"/>
            <w:tcBorders>
              <w:top w:val="single" w:color="000000" w:sz="2" w:space="0"/>
              <w:bottom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szCs w:val="21"/>
              </w:rPr>
              <w:t>保安</w:t>
            </w:r>
          </w:p>
        </w:tc>
        <w:tc>
          <w:tcPr>
            <w:tcW w:w="476" w:type="pct"/>
            <w:tcBorders>
              <w:top w:val="single" w:color="000000" w:sz="2" w:space="0"/>
              <w:bottom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szCs w:val="21"/>
              </w:rPr>
              <w:t>维修</w:t>
            </w:r>
          </w:p>
        </w:tc>
        <w:tc>
          <w:tcPr>
            <w:tcW w:w="542" w:type="pct"/>
            <w:tcBorders>
              <w:top w:val="single" w:color="000000" w:sz="2" w:space="0"/>
              <w:bottom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szCs w:val="21"/>
              </w:rPr>
              <w:t>保洁</w:t>
            </w:r>
          </w:p>
        </w:tc>
        <w:tc>
          <w:tcPr>
            <w:tcW w:w="449" w:type="pct"/>
            <w:tcBorders>
              <w:top w:val="single" w:color="000000" w:sz="2" w:space="0"/>
              <w:bottom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szCs w:val="21"/>
              </w:rPr>
              <w:t>绿化</w:t>
            </w:r>
          </w:p>
        </w:tc>
        <w:tc>
          <w:tcPr>
            <w:tcW w:w="606" w:type="pct"/>
            <w:tcBorders>
              <w:top w:val="single" w:color="000000" w:sz="2" w:space="0"/>
              <w:bottom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szCs w:val="21"/>
              </w:rPr>
              <w:t>项目经理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05" w:type="pct"/>
            <w:tcBorders>
              <w:top w:val="single" w:color="auto" w:sz="4" w:space="0"/>
              <w:left w:val="single" w:color="auto" w:sz="4" w:space="0"/>
              <w:bottom w:val="single" w:color="auto" w:sz="4" w:space="0"/>
              <w:right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szCs w:val="21"/>
              </w:rPr>
              <w:t>1</w:t>
            </w:r>
          </w:p>
        </w:tc>
        <w:tc>
          <w:tcPr>
            <w:tcW w:w="2186"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textAlignment w:val="center"/>
              <w:rPr>
                <w:rFonts w:hint="eastAsia" w:ascii="宋体" w:hAnsi="宋体" w:cs="宋体"/>
                <w:szCs w:val="21"/>
              </w:rPr>
            </w:pPr>
            <w:r>
              <w:rPr>
                <w:rFonts w:hint="eastAsia" w:ascii="宋体" w:hAnsi="宋体" w:cs="宋体"/>
                <w:b/>
                <w:bCs/>
                <w:color w:val="FF0000"/>
                <w:sz w:val="22"/>
              </w:rPr>
              <w:t>深圳市龙华区北站幼教集团超核幼儿园</w:t>
            </w:r>
          </w:p>
        </w:tc>
        <w:tc>
          <w:tcPr>
            <w:tcW w:w="33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szCs w:val="21"/>
              </w:rPr>
              <w:t>5</w:t>
            </w:r>
          </w:p>
        </w:tc>
        <w:tc>
          <w:tcPr>
            <w:tcW w:w="47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0.5</w:t>
            </w:r>
          </w:p>
        </w:tc>
        <w:tc>
          <w:tcPr>
            <w:tcW w:w="54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1</w:t>
            </w:r>
          </w:p>
        </w:tc>
        <w:tc>
          <w:tcPr>
            <w:tcW w:w="4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0</w:t>
            </w:r>
          </w:p>
        </w:tc>
        <w:tc>
          <w:tcPr>
            <w:tcW w:w="6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405" w:type="pct"/>
            <w:tcBorders>
              <w:top w:val="single" w:color="auto" w:sz="4" w:space="0"/>
              <w:left w:val="single" w:color="auto" w:sz="4" w:space="0"/>
              <w:bottom w:val="single" w:color="auto" w:sz="4" w:space="0"/>
              <w:right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szCs w:val="21"/>
              </w:rPr>
              <w:t>2</w:t>
            </w:r>
          </w:p>
        </w:tc>
        <w:tc>
          <w:tcPr>
            <w:tcW w:w="2186" w:type="pct"/>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textAlignment w:val="center"/>
              <w:rPr>
                <w:rFonts w:hint="eastAsia" w:ascii="宋体" w:hAnsi="宋体" w:cs="宋体"/>
                <w:szCs w:val="21"/>
              </w:rPr>
            </w:pPr>
            <w:r>
              <w:rPr>
                <w:rFonts w:hint="eastAsia" w:ascii="宋体" w:hAnsi="宋体" w:cs="宋体"/>
                <w:b/>
                <w:bCs/>
                <w:color w:val="FF0000"/>
                <w:sz w:val="22"/>
              </w:rPr>
              <w:t>深圳市龙华区北站幼教集团</w:t>
            </w:r>
            <w:r>
              <w:rPr>
                <w:rFonts w:hint="eastAsia" w:ascii="宋体" w:hAnsi="宋体" w:cs="宋体"/>
                <w:b/>
                <w:bCs/>
                <w:color w:val="FF0000"/>
              </w:rPr>
              <w:t>颐樾府</w:t>
            </w:r>
            <w:r>
              <w:rPr>
                <w:rFonts w:hint="eastAsia" w:ascii="宋体" w:hAnsi="宋体" w:cs="宋体"/>
                <w:b/>
                <w:bCs/>
                <w:color w:val="FF0000"/>
                <w:sz w:val="22"/>
              </w:rPr>
              <w:t>幼儿园</w:t>
            </w:r>
          </w:p>
        </w:tc>
        <w:tc>
          <w:tcPr>
            <w:tcW w:w="33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5</w:t>
            </w:r>
          </w:p>
        </w:tc>
        <w:tc>
          <w:tcPr>
            <w:tcW w:w="47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0</w:t>
            </w:r>
          </w:p>
        </w:tc>
        <w:tc>
          <w:tcPr>
            <w:tcW w:w="54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1</w:t>
            </w:r>
          </w:p>
        </w:tc>
        <w:tc>
          <w:tcPr>
            <w:tcW w:w="4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0</w:t>
            </w:r>
          </w:p>
        </w:tc>
        <w:tc>
          <w:tcPr>
            <w:tcW w:w="6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2591" w:type="pct"/>
            <w:gridSpan w:val="2"/>
            <w:tcBorders>
              <w:top w:val="single" w:color="auto" w:sz="4" w:space="0"/>
              <w:left w:val="single" w:color="auto" w:sz="4" w:space="0"/>
              <w:bottom w:val="single" w:color="auto" w:sz="4" w:space="0"/>
              <w:right w:val="single" w:color="auto" w:sz="4" w:space="0"/>
            </w:tcBorders>
            <w:noWrap w:val="0"/>
            <w:vAlign w:val="top"/>
          </w:tcPr>
          <w:p>
            <w:pPr>
              <w:topLinePunct/>
              <w:spacing w:line="360" w:lineRule="auto"/>
              <w:jc w:val="center"/>
              <w:rPr>
                <w:rFonts w:hint="eastAsia" w:ascii="宋体" w:hAnsi="宋体" w:cs="宋体"/>
                <w:szCs w:val="21"/>
              </w:rPr>
            </w:pPr>
            <w:r>
              <w:rPr>
                <w:rFonts w:hint="eastAsia" w:ascii="宋体" w:hAnsi="宋体" w:cs="宋体"/>
                <w:color w:val="000000"/>
                <w:kern w:val="0"/>
                <w:szCs w:val="21"/>
              </w:rPr>
              <w:t>合计</w:t>
            </w:r>
          </w:p>
        </w:tc>
        <w:tc>
          <w:tcPr>
            <w:tcW w:w="33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10</w:t>
            </w:r>
          </w:p>
        </w:tc>
        <w:tc>
          <w:tcPr>
            <w:tcW w:w="47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0.5</w:t>
            </w:r>
          </w:p>
        </w:tc>
        <w:tc>
          <w:tcPr>
            <w:tcW w:w="542"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2</w:t>
            </w:r>
          </w:p>
        </w:tc>
        <w:tc>
          <w:tcPr>
            <w:tcW w:w="449"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0</w:t>
            </w:r>
          </w:p>
        </w:tc>
        <w:tc>
          <w:tcPr>
            <w:tcW w:w="60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textAlignment w:val="center"/>
              <w:rPr>
                <w:rFonts w:hint="eastAsia" w:ascii="宋体" w:hAnsi="宋体" w:cs="宋体"/>
                <w:szCs w:val="21"/>
              </w:rPr>
            </w:pPr>
            <w:r>
              <w:rPr>
                <w:rFonts w:hint="eastAsia" w:ascii="宋体" w:hAnsi="宋体" w:cs="宋体"/>
                <w:color w:val="000000"/>
                <w:kern w:val="0"/>
                <w:szCs w:val="21"/>
              </w:rPr>
              <w:t>0</w:t>
            </w:r>
          </w:p>
        </w:tc>
      </w:tr>
    </w:tbl>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备注：1、幼儿园不配置专职项目经理，其他所有类型学校每所学校配置专职项目经理1人；</w:t>
      </w:r>
    </w:p>
    <w:p>
      <w:pPr>
        <w:numPr>
          <w:ilvl w:val="0"/>
          <w:numId w:val="100"/>
        </w:numPr>
        <w:adjustRightInd w:val="0"/>
        <w:snapToGrid w:val="0"/>
        <w:spacing w:line="360" w:lineRule="auto"/>
        <w:ind w:firstLine="420" w:firstLineChars="200"/>
      </w:pPr>
      <w:r>
        <w:rPr>
          <w:rFonts w:hint="eastAsia" w:ascii="宋体" w:hAnsi="宋体" w:cs="等线"/>
          <w:color w:val="000000"/>
          <w:szCs w:val="21"/>
        </w:rPr>
        <w:t>所有人员原则上按各标段人员配置明细表进行配置，中标供应商可在保证服务质量的情况下进行资源整合进行调配。</w:t>
      </w:r>
    </w:p>
    <w:p>
      <w:pPr>
        <w:numPr>
          <w:ilvl w:val="0"/>
          <w:numId w:val="100"/>
        </w:numPr>
        <w:adjustRightInd w:val="0"/>
        <w:snapToGrid w:val="0"/>
        <w:spacing w:line="360" w:lineRule="auto"/>
        <w:ind w:firstLine="420" w:firstLineChars="200"/>
      </w:pPr>
      <w:r>
        <w:rPr>
          <w:rFonts w:hint="eastAsia" w:ascii="宋体" w:hAnsi="宋体" w:cs="等线"/>
          <w:b w:val="0"/>
          <w:bCs w:val="0"/>
          <w:color w:val="000000"/>
          <w:sz w:val="21"/>
          <w:szCs w:val="21"/>
        </w:rPr>
        <w:t>根据幼儿园实际运行情况及物业人员到岗情况，费用据实结算。</w:t>
      </w:r>
    </w:p>
    <w:p>
      <w:pPr>
        <w:pStyle w:val="2"/>
      </w:pP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10、其他相关要求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1、学校物业服务的特殊工种</w:t>
      </w:r>
      <w:r>
        <w:rPr>
          <w:rFonts w:hint="eastAsia" w:ascii="宋体" w:hAnsi="宋体" w:cs="等线"/>
          <w:color w:val="000000"/>
          <w:szCs w:val="21"/>
          <w:lang w:eastAsia="zh-CN"/>
        </w:rPr>
        <w:t>（</w:t>
      </w:r>
      <w:r>
        <w:rPr>
          <w:rFonts w:hint="eastAsia" w:ascii="宋体" w:hAnsi="宋体" w:cs="等线"/>
          <w:color w:val="000000"/>
          <w:szCs w:val="21"/>
        </w:rPr>
        <w:t>电梯维护、消杀、外墙清洗等</w:t>
      </w:r>
      <w:r>
        <w:rPr>
          <w:rFonts w:hint="eastAsia" w:ascii="宋体" w:hAnsi="宋体" w:cs="等线"/>
          <w:color w:val="000000"/>
          <w:szCs w:val="21"/>
          <w:lang w:eastAsia="zh-CN"/>
        </w:rPr>
        <w:t>）</w:t>
      </w:r>
      <w:r>
        <w:rPr>
          <w:rFonts w:hint="eastAsia" w:ascii="宋体" w:hAnsi="宋体" w:cs="等线"/>
          <w:color w:val="000000"/>
          <w:szCs w:val="21"/>
        </w:rPr>
        <w:t>委托有资质证书或资格证书的企业，经甲方同意后方可委托。</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2、安全管理所需的器械及设备</w:t>
      </w:r>
      <w:r>
        <w:rPr>
          <w:rFonts w:hint="eastAsia" w:ascii="宋体" w:hAnsi="宋体" w:cs="等线"/>
          <w:color w:val="000000"/>
          <w:szCs w:val="21"/>
          <w:lang w:eastAsia="zh-CN"/>
        </w:rPr>
        <w:t>（</w:t>
      </w:r>
      <w:r>
        <w:rPr>
          <w:rFonts w:hint="eastAsia" w:ascii="宋体" w:hAnsi="宋体" w:cs="等线"/>
          <w:color w:val="000000"/>
          <w:szCs w:val="21"/>
        </w:rPr>
        <w:t>如对讲机、警棍等</w:t>
      </w:r>
      <w:r>
        <w:rPr>
          <w:rFonts w:hint="eastAsia" w:ascii="宋体" w:hAnsi="宋体" w:cs="等线"/>
          <w:color w:val="000000"/>
          <w:szCs w:val="21"/>
          <w:lang w:eastAsia="zh-CN"/>
        </w:rPr>
        <w:t>）</w:t>
      </w:r>
      <w:r>
        <w:rPr>
          <w:rFonts w:hint="eastAsia" w:ascii="宋体" w:hAnsi="宋体" w:cs="等线"/>
          <w:color w:val="000000"/>
          <w:szCs w:val="21"/>
        </w:rPr>
        <w:t>均由学校提供，房屋设备设施及机电设备设施日常维修材料及保养费用均由学校承担。室内摆花、绿植购买及养护费用由学校承担，供应商负责室内外绿化养护</w:t>
      </w:r>
      <w:r>
        <w:rPr>
          <w:rFonts w:hint="eastAsia" w:ascii="宋体" w:hAnsi="宋体" w:cs="等线"/>
          <w:color w:val="000000"/>
          <w:szCs w:val="21"/>
          <w:lang w:eastAsia="zh-CN"/>
        </w:rPr>
        <w:t>（</w:t>
      </w:r>
      <w:r>
        <w:rPr>
          <w:rFonts w:hint="eastAsia" w:ascii="宋体" w:hAnsi="宋体" w:cs="等线"/>
          <w:color w:val="000000"/>
          <w:szCs w:val="21"/>
        </w:rPr>
        <w:t>如施肥、杀虫等</w:t>
      </w:r>
      <w:r>
        <w:rPr>
          <w:rFonts w:hint="eastAsia" w:ascii="宋体" w:hAnsi="宋体" w:cs="等线"/>
          <w:color w:val="000000"/>
          <w:szCs w:val="21"/>
          <w:lang w:eastAsia="zh-CN"/>
        </w:rPr>
        <w:t>）</w:t>
      </w:r>
      <w:r>
        <w:rPr>
          <w:rFonts w:hint="eastAsia" w:ascii="宋体" w:hAnsi="宋体" w:cs="等线"/>
          <w:color w:val="000000"/>
          <w:szCs w:val="21"/>
        </w:rPr>
        <w:t>费用。纸巾、洗手液等由学校提供，供应商提供日常清洁剂及耗材。</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3、付款方式：每月5日为上月物业管理服务费结算日，凭承包方完税发票，由甲方签署付款凭证，办理付款手续。</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4、甲方违反合同约定，导致乙方未能完成服务内容的，乙方有权要求甲方限期解决；逾期未解决的，乙方可要求甲方支付1个月物业管理服务费的违约金；造成损失的，乙方可要求甲方承担相应的赔偿责任。</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5、乙方提供的服务达不到合同约定的标准的，甲方有权要求乙方在合理期限内改进，乙方未能改进的，甲方可要求乙方支付1个月物业管理服务费的违约金；给甲方造成损失的，甲方可要求乙方承担相应的赔偿责任。</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6、学校至少提供以下条件：</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提供办公用房1间。</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提供工具库房1间。</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3</w:t>
      </w:r>
      <w:r>
        <w:rPr>
          <w:rFonts w:hint="eastAsia" w:ascii="宋体" w:hAnsi="宋体" w:cs="等线"/>
          <w:color w:val="000000"/>
          <w:szCs w:val="21"/>
          <w:lang w:eastAsia="zh-CN"/>
        </w:rPr>
        <w:t>）</w:t>
      </w:r>
      <w:r>
        <w:rPr>
          <w:rFonts w:hint="eastAsia" w:ascii="宋体" w:hAnsi="宋体" w:cs="等线"/>
          <w:color w:val="000000"/>
          <w:szCs w:val="21"/>
        </w:rPr>
        <w:t>提供安装办公电话1部。</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原则上学校不提供物业人员食宿，中标物业公司可根据学校管理实际需求与学校商议解决。</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7、承担费用要求</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投标人应承担以下费用：</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1</w:t>
      </w:r>
      <w:r>
        <w:rPr>
          <w:rFonts w:hint="eastAsia" w:ascii="宋体" w:hAnsi="宋体" w:cs="等线"/>
          <w:color w:val="000000"/>
          <w:szCs w:val="21"/>
          <w:lang w:eastAsia="zh-CN"/>
        </w:rPr>
        <w:t>）</w:t>
      </w:r>
      <w:r>
        <w:rPr>
          <w:rFonts w:hint="eastAsia" w:ascii="宋体" w:hAnsi="宋体" w:cs="等线"/>
          <w:color w:val="000000"/>
          <w:szCs w:val="21"/>
        </w:rPr>
        <w:t>本项目所涉及的各类手续报批、应检等费用；</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lang w:eastAsia="zh-CN"/>
        </w:rPr>
        <w:t>（</w:t>
      </w:r>
      <w:r>
        <w:rPr>
          <w:rFonts w:hint="eastAsia" w:ascii="宋体" w:hAnsi="宋体" w:cs="等线"/>
          <w:color w:val="000000"/>
          <w:szCs w:val="21"/>
        </w:rPr>
        <w:t>2</w:t>
      </w:r>
      <w:r>
        <w:rPr>
          <w:rFonts w:hint="eastAsia" w:ascii="宋体" w:hAnsi="宋体" w:cs="等线"/>
          <w:color w:val="000000"/>
          <w:szCs w:val="21"/>
          <w:lang w:eastAsia="zh-CN"/>
        </w:rPr>
        <w:t>）</w:t>
      </w:r>
      <w:r>
        <w:rPr>
          <w:rFonts w:hint="eastAsia" w:ascii="宋体" w:hAnsi="宋体" w:cs="等线"/>
          <w:color w:val="000000"/>
          <w:szCs w:val="21"/>
        </w:rPr>
        <w:t>本项目所涉及员工工资、福利、保险、税金等以及所需要的设备、配件、工具、耗材、服装等管理费用</w:t>
      </w:r>
      <w:r>
        <w:rPr>
          <w:rFonts w:hint="eastAsia" w:ascii="宋体" w:hAnsi="宋体" w:cs="等线"/>
          <w:color w:val="000000"/>
          <w:szCs w:val="21"/>
          <w:lang w:eastAsia="zh-CN"/>
        </w:rPr>
        <w:t>（</w:t>
      </w:r>
      <w:r>
        <w:rPr>
          <w:rFonts w:hint="eastAsia" w:ascii="宋体" w:hAnsi="宋体" w:cs="等线"/>
          <w:color w:val="000000"/>
          <w:szCs w:val="21"/>
        </w:rPr>
        <w:t>本标书列明由学校提供的除外</w:t>
      </w:r>
      <w:r>
        <w:rPr>
          <w:rFonts w:hint="eastAsia" w:ascii="宋体" w:hAnsi="宋体" w:cs="等线"/>
          <w:color w:val="000000"/>
          <w:szCs w:val="21"/>
          <w:lang w:eastAsia="zh-CN"/>
        </w:rPr>
        <w:t>）</w:t>
      </w:r>
      <w:r>
        <w:rPr>
          <w:rFonts w:hint="eastAsia" w:ascii="宋体" w:hAnsi="宋体" w:cs="等线"/>
          <w:color w:val="000000"/>
          <w:szCs w:val="21"/>
        </w:rPr>
        <w:t>。</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8、中标人拟委派人员的基本情况报学校备案，派出人员遵守学校规章制度，人员做到相对稳定，不得频繁变动，如有人员调动或离职，在24小时内配齐，以保证工作正常运转。</w:t>
      </w:r>
    </w:p>
    <w:p>
      <w:pPr>
        <w:keepNext/>
        <w:keepLines/>
        <w:numPr>
          <w:ilvl w:val="0"/>
          <w:numId w:val="3"/>
        </w:numPr>
        <w:tabs>
          <w:tab w:val="left" w:pos="1680"/>
        </w:tabs>
        <w:spacing w:before="260" w:after="78" w:afterLines="25" w:line="240" w:lineRule="auto"/>
        <w:ind w:left="0" w:leftChars="0" w:firstLine="420" w:firstLineChars="0"/>
        <w:jc w:val="center"/>
        <w:outlineLvl w:val="2"/>
        <w:rPr>
          <w:rFonts w:hint="eastAsia" w:ascii="Arial" w:hAnsi="Arial" w:eastAsia="宋体" w:cs="Times New Roman"/>
          <w:b/>
          <w:sz w:val="28"/>
          <w:szCs w:val="28"/>
        </w:rPr>
      </w:pPr>
      <w:r>
        <w:rPr>
          <w:rFonts w:hint="eastAsia" w:ascii="Arial" w:hAnsi="Arial" w:eastAsia="宋体" w:cs="Times New Roman"/>
          <w:b/>
          <w:sz w:val="28"/>
          <w:szCs w:val="28"/>
        </w:rPr>
        <w:t>★商务要求</w:t>
      </w:r>
    </w:p>
    <w:p>
      <w:pPr>
        <w:numPr>
          <w:ilvl w:val="0"/>
          <w:numId w:val="101"/>
        </w:numPr>
        <w:adjustRightInd w:val="0"/>
        <w:snapToGrid w:val="0"/>
        <w:spacing w:line="360" w:lineRule="auto"/>
        <w:ind w:firstLine="420" w:firstLineChars="200"/>
        <w:rPr>
          <w:rFonts w:hint="eastAsia" w:ascii="宋体" w:hAnsi="宋体" w:cs="等线"/>
          <w:szCs w:val="21"/>
        </w:rPr>
      </w:pPr>
      <w:r>
        <w:rPr>
          <w:rFonts w:hint="eastAsia" w:ascii="宋体" w:hAnsi="宋体" w:cs="等线"/>
          <w:szCs w:val="21"/>
        </w:rPr>
        <w:t>服务期限：</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本项目服务期限为9个月。</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2、乙方在合同服务期限内，应配备本项目所需的足够数量的人员，如出现人员缺少、未到岗等情况，甲方有权根据实际情况依据包干工资，按天扣除缺岗人工工资。</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3.付款期限和方式：</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每月5日为上月物业管理服务费结算日，凭承包方完税发票，由甲方签署付款凭证，办理付款手续。</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投标人中标后与对应中标标段的学校、幼儿园签订物业管理服务合同，由各学校（幼儿园）按月支付物业管理服务费用。如学校（幼儿园）因财务程序造成付款延迟，中标商需先行垫付物业员工工资，并保障服务质量。新建学校（幼儿园）的费用按实际入场时间按月进行支付，具体服务期限和报价详见各学校（幼儿园）物业费用分解。如有学校（幼儿园）原物业服务合同期未到期的，学校（幼儿园）需提前告知中标供应商，双方协商解决，原则上按原物业服务合同继续履约，合同期满后由本次中标物业公司提供服务。</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4.验收条件：以合同约定为准。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5.违约责任：以合同约定为准。</w:t>
      </w:r>
    </w:p>
    <w:p>
      <w:pPr>
        <w:adjustRightInd w:val="0"/>
        <w:snapToGrid w:val="0"/>
        <w:spacing w:line="360" w:lineRule="auto"/>
        <w:ind w:firstLine="420" w:firstLineChars="200"/>
        <w:rPr>
          <w:rFonts w:hint="eastAsia" w:ascii="宋体" w:hAnsi="宋体" w:cs="等线"/>
          <w:color w:val="000000"/>
          <w:szCs w:val="21"/>
        </w:rPr>
      </w:pPr>
      <w:r>
        <w:rPr>
          <w:rFonts w:hint="eastAsia" w:ascii="宋体" w:hAnsi="宋体" w:cs="等线"/>
          <w:color w:val="000000"/>
          <w:szCs w:val="21"/>
        </w:rPr>
        <w:t>6.争议解决方法：以合同约定为准。</w:t>
      </w:r>
    </w:p>
    <w:p>
      <w:pPr>
        <w:pStyle w:val="5"/>
        <w:spacing w:before="156" w:beforeLines="50" w:after="156" w:afterLines="50" w:line="240" w:lineRule="auto"/>
        <w:jc w:val="center"/>
        <w:rPr>
          <w:szCs w:val="28"/>
        </w:rPr>
      </w:pPr>
      <w:r>
        <w:rPr>
          <w:rFonts w:hint="eastAsia"/>
          <w:szCs w:val="28"/>
        </w:rPr>
        <w:t>其他重要条款</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bCs/>
          <w:szCs w:val="21"/>
        </w:rPr>
      </w:pPr>
      <w:r>
        <w:rPr>
          <w:rFonts w:hint="eastAsia"/>
          <w:bCs/>
          <w:szCs w:val="21"/>
        </w:rPr>
        <w:t>2、投标人应充分了解项目的位置、情况、道路及任何其它足以影响投标报价的情况，任何因忽视或误解项目情况而导致的索赔或服务期限延长申请将不获批准。</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bCs/>
          <w:szCs w:val="21"/>
        </w:rPr>
      </w:pPr>
      <w:r>
        <w:rPr>
          <w:rFonts w:hint="eastAsia"/>
          <w:bCs/>
          <w:szCs w:val="21"/>
        </w:rPr>
        <w:t>3、投标人不得期望通过索赔等方式获取补偿，否则，除可能遭到拒绝外，还可能将被作为不良行为记录在案，并可能影响其以后参加政府采购的项目投标。各投标人在投标报价时，应充分考虑投标报价的风险。</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bCs/>
          <w:szCs w:val="21"/>
        </w:rPr>
      </w:pPr>
      <w:r>
        <w:rPr>
          <w:rFonts w:hint="eastAsia"/>
          <w:bCs/>
          <w:szCs w:val="21"/>
        </w:rPr>
        <w:t>4、除政府采购合同继续履行将损害国家利益和社会公共利益外，双方当事人不得擅自变更、中止或者终止合同。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pStyle w:val="14"/>
        <w:rPr>
          <w:rFonts w:hint="eastAsia"/>
          <w:bCs/>
          <w:szCs w:val="21"/>
        </w:rPr>
        <w:sectPr>
          <w:headerReference r:id="rId8" w:type="first"/>
          <w:footerReference r:id="rId11" w:type="first"/>
          <w:footerReference r:id="rId9" w:type="default"/>
          <w:headerReference r:id="rId7" w:type="even"/>
          <w:footerReference r:id="rId10" w:type="even"/>
          <w:pgSz w:w="11906" w:h="16838"/>
          <w:pgMar w:top="1440" w:right="1417" w:bottom="1440" w:left="1417" w:header="851" w:footer="992" w:gutter="0"/>
          <w:pgNumType w:fmt="decimal" w:start="3"/>
          <w:cols w:space="425" w:num="1"/>
          <w:docGrid w:type="lines" w:linePitch="312" w:charSpace="0"/>
        </w:sectPr>
      </w:pPr>
    </w:p>
    <w:p>
      <w:pPr>
        <w:keepNext/>
        <w:keepLines/>
        <w:adjustRightInd w:val="0"/>
        <w:spacing w:line="320" w:lineRule="atLeast"/>
        <w:jc w:val="center"/>
        <w:textAlignment w:val="baseline"/>
        <w:outlineLvl w:val="1"/>
        <w:rPr>
          <w:rFonts w:ascii="宋体" w:hAnsi="宋体" w:eastAsia="宋体" w:cs="Times New Roman"/>
          <w:b/>
          <w:bCs/>
          <w:kern w:val="0"/>
          <w:sz w:val="28"/>
          <w:szCs w:val="28"/>
        </w:rPr>
      </w:pPr>
      <w:r>
        <w:rPr>
          <w:rFonts w:hint="eastAsia" w:ascii="宋体" w:hAnsi="宋体" w:eastAsia="宋体" w:cs="Times New Roman"/>
          <w:b/>
          <w:bCs/>
          <w:kern w:val="0"/>
          <w:sz w:val="28"/>
          <w:szCs w:val="28"/>
        </w:rPr>
        <w:t>第四章</w:t>
      </w:r>
      <w:r>
        <w:rPr>
          <w:rFonts w:ascii="宋体" w:hAnsi="宋体" w:eastAsia="宋体" w:cs="Times New Roman"/>
          <w:b/>
          <w:bCs/>
          <w:kern w:val="0"/>
          <w:sz w:val="28"/>
          <w:szCs w:val="28"/>
        </w:rPr>
        <w:t xml:space="preserve"> </w:t>
      </w:r>
      <w:r>
        <w:rPr>
          <w:rFonts w:hint="eastAsia" w:ascii="宋体" w:hAnsi="宋体" w:eastAsia="宋体" w:cs="Times New Roman"/>
          <w:b/>
          <w:bCs/>
          <w:kern w:val="0"/>
          <w:sz w:val="28"/>
          <w:szCs w:val="28"/>
        </w:rPr>
        <w:t xml:space="preserve"> 投标文件组成要求及格式</w:t>
      </w:r>
    </w:p>
    <w:p>
      <w:pPr>
        <w:widowControl/>
        <w:spacing w:line="320" w:lineRule="atLeast"/>
        <w:jc w:val="left"/>
        <w:outlineLvl w:val="2"/>
        <w:rPr>
          <w:rFonts w:hint="eastAsia" w:ascii="宋体" w:hAnsi="宋体" w:eastAsia="黑体" w:cs="Times New Roman"/>
          <w:bCs/>
          <w:kern w:val="44"/>
          <w:sz w:val="24"/>
          <w:szCs w:val="24"/>
        </w:rPr>
      </w:pPr>
      <w:r>
        <w:rPr>
          <w:rFonts w:hint="eastAsia" w:ascii="宋体" w:hAnsi="宋体" w:eastAsia="黑体" w:cs="Times New Roman"/>
          <w:bCs/>
          <w:kern w:val="44"/>
          <w:sz w:val="24"/>
          <w:szCs w:val="24"/>
        </w:rPr>
        <w:t>投标文件组成：</w:t>
      </w:r>
    </w:p>
    <w:p>
      <w:pPr>
        <w:numPr>
          <w:ilvl w:val="0"/>
          <w:numId w:val="102"/>
        </w:numPr>
        <w:rPr>
          <w:rFonts w:hint="eastAsia"/>
          <w:szCs w:val="21"/>
        </w:rPr>
      </w:pPr>
      <w:bookmarkStart w:id="29" w:name="_Hlk72070784"/>
      <w:bookmarkStart w:id="30" w:name="_Hlk72257771"/>
      <w:r>
        <w:rPr>
          <w:rFonts w:hint="eastAsia"/>
          <w:szCs w:val="21"/>
        </w:rPr>
        <w:t>投标函</w:t>
      </w:r>
      <w:bookmarkEnd w:id="29"/>
    </w:p>
    <w:p>
      <w:pPr>
        <w:numPr>
          <w:ilvl w:val="0"/>
          <w:numId w:val="102"/>
        </w:numPr>
        <w:rPr>
          <w:rFonts w:hint="eastAsia"/>
          <w:szCs w:val="21"/>
        </w:rPr>
      </w:pPr>
      <w:bookmarkStart w:id="31" w:name="_Hlk72062521"/>
      <w:r>
        <w:rPr>
          <w:rFonts w:hint="eastAsia"/>
          <w:szCs w:val="21"/>
        </w:rPr>
        <w:t>政府采购投标及履约承诺函</w:t>
      </w:r>
      <w:bookmarkEnd w:id="31"/>
    </w:p>
    <w:p>
      <w:pPr>
        <w:numPr>
          <w:ilvl w:val="0"/>
          <w:numId w:val="102"/>
        </w:numPr>
        <w:rPr>
          <w:rFonts w:hint="eastAsia"/>
          <w:szCs w:val="21"/>
        </w:rPr>
      </w:pPr>
      <w:r>
        <w:rPr>
          <w:rFonts w:hint="eastAsia"/>
          <w:szCs w:val="21"/>
        </w:rPr>
        <w:t>投标人情况及资格证明文件</w:t>
      </w:r>
      <w:r>
        <w:rPr>
          <w:rFonts w:hint="eastAsia"/>
          <w:szCs w:val="21"/>
          <w:lang w:eastAsia="zh-CN"/>
        </w:rPr>
        <w:t>、供应商情况表</w:t>
      </w:r>
    </w:p>
    <w:p>
      <w:pPr>
        <w:numPr>
          <w:ilvl w:val="0"/>
          <w:numId w:val="102"/>
        </w:numPr>
        <w:rPr>
          <w:rFonts w:hint="eastAsia"/>
          <w:szCs w:val="21"/>
        </w:rPr>
      </w:pPr>
      <w:r>
        <w:rPr>
          <w:rFonts w:hint="eastAsia"/>
          <w:szCs w:val="21"/>
        </w:rPr>
        <w:t>法定代表人（负责人）证明书</w:t>
      </w:r>
    </w:p>
    <w:p>
      <w:pPr>
        <w:numPr>
          <w:ilvl w:val="0"/>
          <w:numId w:val="102"/>
        </w:numPr>
        <w:rPr>
          <w:rFonts w:hint="eastAsia"/>
          <w:szCs w:val="21"/>
        </w:rPr>
      </w:pPr>
      <w:r>
        <w:rPr>
          <w:rFonts w:hint="eastAsia"/>
          <w:szCs w:val="21"/>
        </w:rPr>
        <w:t>投标文件签署授权委托书</w:t>
      </w:r>
    </w:p>
    <w:p>
      <w:pPr>
        <w:numPr>
          <w:ilvl w:val="0"/>
          <w:numId w:val="102"/>
        </w:numPr>
        <w:rPr>
          <w:rFonts w:hint="eastAsia"/>
        </w:rPr>
      </w:pPr>
      <w:bookmarkStart w:id="32" w:name="_Hlk72257201"/>
      <w:bookmarkStart w:id="33" w:name="OLE_LINK7"/>
      <w:r>
        <w:rPr>
          <w:rFonts w:hint="eastAsia"/>
          <w:szCs w:val="21"/>
        </w:rPr>
        <w:t>项目详细报价</w:t>
      </w:r>
      <w:bookmarkEnd w:id="32"/>
      <w:bookmarkEnd w:id="33"/>
    </w:p>
    <w:p>
      <w:pPr>
        <w:numPr>
          <w:ilvl w:val="0"/>
          <w:numId w:val="102"/>
        </w:numPr>
        <w:rPr>
          <w:rFonts w:hint="eastAsia"/>
          <w:szCs w:val="21"/>
        </w:rPr>
      </w:pPr>
      <w:r>
        <w:rPr>
          <w:rFonts w:hint="eastAsia"/>
          <w:szCs w:val="21"/>
        </w:rPr>
        <w:t>实质性条款响应情况表</w:t>
      </w:r>
    </w:p>
    <w:p>
      <w:pPr>
        <w:numPr>
          <w:ilvl w:val="0"/>
          <w:numId w:val="102"/>
        </w:numPr>
        <w:rPr>
          <w:rFonts w:hint="eastAsia"/>
          <w:szCs w:val="21"/>
        </w:rPr>
      </w:pPr>
      <w:r>
        <w:rPr>
          <w:rFonts w:hint="eastAsia"/>
          <w:szCs w:val="21"/>
        </w:rPr>
        <w:t>相关认证情况</w:t>
      </w:r>
    </w:p>
    <w:p>
      <w:pPr>
        <w:numPr>
          <w:ilvl w:val="0"/>
          <w:numId w:val="102"/>
        </w:numPr>
        <w:rPr>
          <w:rFonts w:hint="eastAsia"/>
          <w:szCs w:val="21"/>
          <w:lang w:val="en-US" w:eastAsia="zh-CN"/>
        </w:rPr>
      </w:pPr>
      <w:r>
        <w:rPr>
          <w:rFonts w:hint="eastAsia"/>
          <w:szCs w:val="21"/>
        </w:rPr>
        <w:t>获奖情况</w:t>
      </w:r>
    </w:p>
    <w:p>
      <w:pPr>
        <w:numPr>
          <w:ilvl w:val="0"/>
          <w:numId w:val="102"/>
        </w:numPr>
        <w:rPr>
          <w:rFonts w:hint="eastAsia"/>
          <w:szCs w:val="21"/>
          <w:lang w:val="en-US" w:eastAsia="zh-CN"/>
        </w:rPr>
      </w:pPr>
      <w:r>
        <w:rPr>
          <w:rFonts w:hint="eastAsia"/>
          <w:szCs w:val="21"/>
        </w:rPr>
        <w:t>同类项目业绩</w:t>
      </w:r>
    </w:p>
    <w:p>
      <w:pPr>
        <w:numPr>
          <w:ilvl w:val="0"/>
          <w:numId w:val="102"/>
        </w:numPr>
        <w:rPr>
          <w:rFonts w:hint="eastAsia"/>
          <w:szCs w:val="21"/>
          <w:lang w:val="en-US" w:eastAsia="zh-CN"/>
        </w:rPr>
      </w:pPr>
      <w:r>
        <w:rPr>
          <w:rFonts w:hint="eastAsia"/>
          <w:szCs w:val="21"/>
        </w:rPr>
        <w:t>履约评价情况</w:t>
      </w:r>
    </w:p>
    <w:p>
      <w:pPr>
        <w:numPr>
          <w:ilvl w:val="0"/>
          <w:numId w:val="102"/>
        </w:numPr>
        <w:rPr>
          <w:rFonts w:hint="eastAsia"/>
          <w:szCs w:val="21"/>
          <w:lang w:val="en-US" w:eastAsia="zh-CN"/>
        </w:rPr>
      </w:pPr>
      <w:r>
        <w:rPr>
          <w:rFonts w:hint="eastAsia"/>
          <w:szCs w:val="21"/>
        </w:rPr>
        <w:t>自主知识产权产品（创新、设计）情况</w:t>
      </w:r>
    </w:p>
    <w:p>
      <w:pPr>
        <w:numPr>
          <w:ilvl w:val="0"/>
          <w:numId w:val="102"/>
        </w:numPr>
        <w:rPr>
          <w:rFonts w:hint="eastAsia"/>
          <w:szCs w:val="21"/>
        </w:rPr>
      </w:pPr>
      <w:r>
        <w:rPr>
          <w:rFonts w:hint="eastAsia"/>
          <w:szCs w:val="21"/>
        </w:rPr>
        <w:t>实施方案</w:t>
      </w:r>
    </w:p>
    <w:p>
      <w:pPr>
        <w:numPr>
          <w:ilvl w:val="0"/>
          <w:numId w:val="102"/>
        </w:numPr>
        <w:rPr>
          <w:rFonts w:hint="eastAsia"/>
          <w:szCs w:val="21"/>
        </w:rPr>
      </w:pPr>
      <w:r>
        <w:rPr>
          <w:rFonts w:hint="eastAsia"/>
          <w:szCs w:val="21"/>
        </w:rPr>
        <w:t>项目重点难点分析、应对措施及相关的合理化建议</w:t>
      </w:r>
    </w:p>
    <w:p>
      <w:pPr>
        <w:numPr>
          <w:ilvl w:val="0"/>
          <w:numId w:val="102"/>
        </w:numPr>
        <w:rPr>
          <w:rFonts w:hint="eastAsia"/>
          <w:szCs w:val="21"/>
        </w:rPr>
      </w:pPr>
      <w:r>
        <w:rPr>
          <w:rFonts w:hint="eastAsia"/>
          <w:szCs w:val="21"/>
        </w:rPr>
        <w:t>质量保障措施及方案</w:t>
      </w:r>
    </w:p>
    <w:p>
      <w:pPr>
        <w:numPr>
          <w:ilvl w:val="0"/>
          <w:numId w:val="102"/>
        </w:numPr>
        <w:rPr>
          <w:rFonts w:hint="eastAsia"/>
          <w:szCs w:val="21"/>
        </w:rPr>
      </w:pPr>
      <w:r>
        <w:rPr>
          <w:rFonts w:hint="eastAsia"/>
          <w:szCs w:val="21"/>
        </w:rPr>
        <w:t>项目完成（服务期满）后的服务承诺</w:t>
      </w:r>
    </w:p>
    <w:p>
      <w:pPr>
        <w:numPr>
          <w:ilvl w:val="0"/>
          <w:numId w:val="102"/>
        </w:numPr>
        <w:rPr>
          <w:rFonts w:hint="eastAsia"/>
          <w:szCs w:val="21"/>
        </w:rPr>
      </w:pPr>
      <w:r>
        <w:rPr>
          <w:rFonts w:hint="eastAsia"/>
          <w:szCs w:val="21"/>
        </w:rPr>
        <w:t>违约承诺</w:t>
      </w:r>
    </w:p>
    <w:p>
      <w:pPr>
        <w:numPr>
          <w:ilvl w:val="0"/>
          <w:numId w:val="102"/>
        </w:numPr>
        <w:rPr>
          <w:rFonts w:hint="eastAsia"/>
          <w:szCs w:val="21"/>
        </w:rPr>
      </w:pPr>
      <w:r>
        <w:rPr>
          <w:rFonts w:hint="eastAsia"/>
          <w:szCs w:val="21"/>
        </w:rPr>
        <w:t>项目拟使用的车辆（场地、工具、机器）情况</w:t>
      </w:r>
    </w:p>
    <w:p>
      <w:pPr>
        <w:numPr>
          <w:ilvl w:val="0"/>
          <w:numId w:val="102"/>
        </w:numPr>
        <w:rPr>
          <w:rFonts w:hint="eastAsia"/>
          <w:szCs w:val="21"/>
        </w:rPr>
      </w:pPr>
      <w:r>
        <w:rPr>
          <w:rFonts w:hint="eastAsia"/>
          <w:szCs w:val="21"/>
        </w:rPr>
        <w:t>拟安排项目负责人情况（仅限1人）</w:t>
      </w:r>
    </w:p>
    <w:p>
      <w:pPr>
        <w:numPr>
          <w:ilvl w:val="0"/>
          <w:numId w:val="102"/>
        </w:numPr>
        <w:rPr>
          <w:rFonts w:hint="eastAsia"/>
          <w:szCs w:val="21"/>
        </w:rPr>
      </w:pPr>
      <w:r>
        <w:rPr>
          <w:rFonts w:hint="eastAsia"/>
          <w:szCs w:val="21"/>
        </w:rPr>
        <w:t>拟安排的项目团队成员（项目负责人除外）情况</w:t>
      </w:r>
    </w:p>
    <w:p>
      <w:pPr>
        <w:numPr>
          <w:ilvl w:val="0"/>
          <w:numId w:val="102"/>
        </w:numPr>
        <w:rPr>
          <w:rFonts w:hint="eastAsia"/>
          <w:szCs w:val="21"/>
        </w:rPr>
      </w:pPr>
      <w:r>
        <w:rPr>
          <w:rFonts w:hint="eastAsia"/>
          <w:szCs w:val="21"/>
        </w:rPr>
        <w:t>投标人认为需要加以说明的其他内容</w:t>
      </w:r>
    </w:p>
    <w:p>
      <w:pPr>
        <w:spacing w:line="320" w:lineRule="atLeast"/>
        <w:rPr>
          <w:rFonts w:hint="eastAsia" w:ascii="宋体" w:hAnsi="宋体"/>
          <w:b/>
          <w:sz w:val="24"/>
          <w:szCs w:val="24"/>
        </w:rPr>
      </w:pPr>
    </w:p>
    <w:p>
      <w:pPr>
        <w:pStyle w:val="2"/>
        <w:rPr>
          <w:rFonts w:hint="eastAsia"/>
        </w:rPr>
      </w:pPr>
    </w:p>
    <w:p>
      <w:pPr>
        <w:spacing w:line="320" w:lineRule="atLeast"/>
        <w:rPr>
          <w:rFonts w:ascii="宋体" w:hAnsi="宋体"/>
          <w:b/>
          <w:sz w:val="24"/>
          <w:szCs w:val="24"/>
        </w:rPr>
      </w:pPr>
      <w:r>
        <w:rPr>
          <w:rFonts w:hint="eastAsia" w:ascii="宋体" w:hAnsi="宋体"/>
          <w:b/>
          <w:sz w:val="24"/>
          <w:szCs w:val="24"/>
        </w:rPr>
        <w:t>备注：</w:t>
      </w:r>
    </w:p>
    <w:p>
      <w:pPr>
        <w:snapToGrid w:val="0"/>
        <w:spacing w:line="320" w:lineRule="atLeast"/>
        <w:ind w:firstLine="482" w:firstLineChars="200"/>
        <w:rPr>
          <w:rFonts w:ascii="宋体" w:hAnsi="宋体"/>
          <w:b/>
          <w:sz w:val="24"/>
          <w:szCs w:val="24"/>
        </w:rPr>
      </w:pPr>
      <w:r>
        <w:rPr>
          <w:rFonts w:hint="eastAsia" w:ascii="宋体" w:hAnsi="宋体"/>
          <w:b/>
          <w:sz w:val="24"/>
          <w:szCs w:val="24"/>
        </w:rPr>
        <w:t>1.本项目为网上电子投标项目，投标文件不需法人或授权委托人另行签字，无需加盖单位公章，招标文件另有规定的除外。</w:t>
      </w:r>
    </w:p>
    <w:p>
      <w:pPr>
        <w:snapToGrid w:val="0"/>
        <w:spacing w:after="78" w:afterLines="25"/>
        <w:ind w:firstLine="482" w:firstLineChars="200"/>
        <w:rPr>
          <w:rFonts w:ascii="宋体" w:hAnsi="宋体" w:eastAsia="黑体" w:cs="Times New Roman"/>
          <w:bCs/>
          <w:kern w:val="44"/>
          <w:sz w:val="32"/>
          <w:szCs w:val="32"/>
        </w:rPr>
      </w:pPr>
      <w:bookmarkStart w:id="34" w:name="_Hlk72263559"/>
      <w:r>
        <w:rPr>
          <w:rFonts w:hint="eastAsia" w:ascii="宋体" w:hAnsi="宋体"/>
          <w:b/>
          <w:sz w:val="24"/>
          <w:szCs w:val="24"/>
        </w:rPr>
        <w:t>2.关于填写“开标一览表”的说明：“开标一览表”中除“投标总价”外，其他信息不作评审依据。</w:t>
      </w:r>
      <w:bookmarkEnd w:id="30"/>
      <w:bookmarkEnd w:id="34"/>
      <w:r>
        <w:rPr>
          <w:rFonts w:ascii="宋体" w:hAnsi="宋体" w:eastAsia="黑体" w:cs="Times New Roman"/>
          <w:bCs/>
          <w:kern w:val="44"/>
          <w:sz w:val="32"/>
          <w:szCs w:val="32"/>
        </w:rPr>
        <w:br w:type="page"/>
      </w:r>
    </w:p>
    <w:p>
      <w:pPr>
        <w:pStyle w:val="5"/>
        <w:numPr>
          <w:ilvl w:val="0"/>
          <w:numId w:val="103"/>
        </w:numPr>
        <w:ind w:left="0" w:leftChars="0" w:firstLine="0" w:firstLineChars="0"/>
        <w:jc w:val="center"/>
        <w:rPr>
          <w:rFonts w:ascii="黑体" w:eastAsia="黑体"/>
          <w:b w:val="0"/>
          <w:sz w:val="24"/>
        </w:rPr>
      </w:pPr>
      <w:bookmarkStart w:id="35" w:name="OLE_LINK16"/>
      <w:r>
        <w:rPr>
          <w:rFonts w:hint="eastAsia" w:ascii="黑体" w:eastAsia="黑体"/>
          <w:b w:val="0"/>
          <w:sz w:val="24"/>
        </w:rPr>
        <w:t>投标函</w:t>
      </w:r>
    </w:p>
    <w:bookmarkEnd w:id="35"/>
    <w:p>
      <w:pPr>
        <w:spacing w:line="360" w:lineRule="auto"/>
        <w:rPr>
          <w:rFonts w:ascii="宋体" w:hAnsi="宋体"/>
          <w:szCs w:val="21"/>
        </w:rPr>
      </w:pPr>
      <w:bookmarkStart w:id="36"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37" w:name="_Hlk73818812"/>
      <w:r>
        <w:rPr>
          <w:rFonts w:hint="eastAsia"/>
          <w:szCs w:val="21"/>
        </w:rPr>
        <w:t>1、根据已收到贵单位的项目编号为</w:t>
      </w:r>
      <w:r>
        <w:rPr>
          <w:rFonts w:hint="eastAsia"/>
          <w:szCs w:val="21"/>
          <w:u w:val="thick"/>
        </w:rPr>
        <w:t xml:space="preserve">                 </w:t>
      </w:r>
      <w:r>
        <w:rPr>
          <w:rFonts w:hint="eastAsia"/>
          <w:szCs w:val="21"/>
        </w:rPr>
        <w:t>的</w:t>
      </w:r>
      <w:r>
        <w:rPr>
          <w:rFonts w:hint="eastAsia"/>
          <w:szCs w:val="21"/>
          <w:u w:val="thick"/>
        </w:rPr>
        <w:t xml:space="preserve">   （项目名称）   </w:t>
      </w:r>
      <w:r>
        <w:rPr>
          <w:rFonts w:hint="eastAsia"/>
          <w:szCs w:val="21"/>
        </w:rPr>
        <w:t>项目的招标文件，遵照《深圳经济特区政府采购条例》和《深圳网上政府采购管理暂行办法》等有关规定，我单位经研究上述招标文件的专用条款及通用条款后，</w:t>
      </w:r>
      <w:bookmarkStart w:id="38" w:name="_Hlk72263588"/>
      <w:r>
        <w:rPr>
          <w:rFonts w:hint="eastAsia"/>
          <w:szCs w:val="21"/>
        </w:rPr>
        <w:t>愿意按照招标文件要求承包上述项目并修补其任何缺陷。</w:t>
      </w:r>
      <w:bookmarkEnd w:id="38"/>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39" w:name="_Hlk73819847"/>
      <w:r>
        <w:rPr>
          <w:rFonts w:hint="eastAsia" w:ascii="宋体" w:hAnsi="宋体"/>
          <w:szCs w:val="21"/>
        </w:rPr>
        <w:t>投标价格见</w:t>
      </w:r>
      <w:r>
        <w:rPr>
          <w:rFonts w:hint="eastAsia"/>
          <w:szCs w:val="21"/>
        </w:rPr>
        <w:t>投标书编制软件中《开标一览表》中填写的投标总价。</w:t>
      </w:r>
      <w:bookmarkEnd w:id="39"/>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rPr>
          <w:rFonts w:hint="eastAsia" w:ascii="宋体" w:hAnsi="宋体"/>
          <w:szCs w:val="21"/>
        </w:rPr>
      </w:pPr>
      <w:r>
        <w:rPr>
          <w:rFonts w:hint="eastAsia" w:ascii="宋体" w:hAnsi="宋体"/>
          <w:szCs w:val="21"/>
        </w:rPr>
        <w:t>6、我单位理解贵单位将不受必须接受所收到的最低报价或其它任何投标文件的约束。</w:t>
      </w:r>
      <w:bookmarkEnd w:id="37"/>
    </w:p>
    <w:p>
      <w:pPr>
        <w:ind w:firstLine="422" w:firstLineChars="200"/>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szCs w:val="21"/>
        </w:rPr>
        <w:t xml:space="preserve">  ；  </w:t>
      </w:r>
    </w:p>
    <w:p>
      <w:pPr>
        <w:ind w:left="420" w:leftChars="200" w:firstLine="210" w:firstLineChars="100"/>
        <w:rPr>
          <w:szCs w:val="21"/>
        </w:rPr>
      </w:pPr>
      <w:r>
        <w:rPr>
          <w:rFonts w:hint="eastAsia"/>
          <w:szCs w:val="21"/>
        </w:rPr>
        <w:t>单位地址：</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法定代表人（负责人）或其授权委托代理人：</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ascii="Times New Roman" w:eastAsia="宋体"/>
          <w:szCs w:val="21"/>
        </w:rPr>
        <w:t>开户银行账号：</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邮政编码：</w:t>
      </w:r>
      <w:r>
        <w:rPr>
          <w:rFonts w:hint="eastAsia"/>
          <w:szCs w:val="21"/>
          <w:u w:val="thick"/>
        </w:rPr>
        <w:t xml:space="preserve">          </w:t>
      </w:r>
      <w:r>
        <w:rPr>
          <w:rFonts w:hint="eastAsia"/>
          <w:szCs w:val="21"/>
        </w:rPr>
        <w:t xml:space="preserve">  电话：</w:t>
      </w:r>
      <w:r>
        <w:rPr>
          <w:rFonts w:hint="eastAsia"/>
          <w:szCs w:val="21"/>
          <w:u w:val="thick"/>
        </w:rPr>
        <w:t xml:space="preserve">           </w:t>
      </w:r>
      <w:r>
        <w:rPr>
          <w:rFonts w:hint="eastAsia"/>
          <w:szCs w:val="21"/>
        </w:rPr>
        <w:t xml:space="preserve"> 传真：</w:t>
      </w:r>
      <w:r>
        <w:rPr>
          <w:rFonts w:hint="eastAsia"/>
          <w:szCs w:val="21"/>
          <w:u w:val="thick"/>
        </w:rPr>
        <w:t xml:space="preserve">                            </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rPr>
          <w:rFonts w:ascii="黑体" w:hAnsi="宋体" w:eastAsia="黑体"/>
        </w:rPr>
      </w:pPr>
    </w:p>
    <w:p>
      <w:pPr>
        <w:rPr>
          <w:rFonts w:ascii="黑体" w:hAnsi="宋体" w:eastAsia="黑体"/>
        </w:rPr>
      </w:pPr>
    </w:p>
    <w:bookmarkEnd w:id="36"/>
    <w:p>
      <w:pPr>
        <w:pStyle w:val="5"/>
        <w:numPr>
          <w:ilvl w:val="0"/>
          <w:numId w:val="103"/>
        </w:numPr>
        <w:ind w:left="0" w:leftChars="0" w:firstLine="0" w:firstLineChars="0"/>
        <w:jc w:val="center"/>
        <w:rPr>
          <w:rFonts w:hint="eastAsia" w:ascii="黑体" w:hAnsi="宋体" w:eastAsia="黑体"/>
          <w:b w:val="0"/>
          <w:sz w:val="24"/>
        </w:rPr>
      </w:pPr>
      <w:r>
        <w:rPr>
          <w:rFonts w:hint="eastAsia" w:ascii="黑体" w:hAnsi="宋体" w:eastAsia="黑体"/>
          <w:b w:val="0"/>
          <w:sz w:val="24"/>
        </w:rPr>
        <w:t>政府采购投标及履约承诺函</w:t>
      </w:r>
    </w:p>
    <w:p>
      <w:pPr>
        <w:rPr>
          <w:rFonts w:ascii="宋体" w:hAnsi="宋体"/>
          <w:color w:val="FF0000"/>
          <w:szCs w:val="21"/>
        </w:rPr>
      </w:pPr>
      <w:bookmarkStart w:id="40"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ascii="宋体" w:hAnsi="宋体"/>
          <w:b/>
          <w:szCs w:val="21"/>
        </w:rPr>
      </w:pPr>
      <w:r>
        <w:rPr>
          <w:rFonts w:hint="eastAsia" w:ascii="宋体" w:hAnsi="宋体"/>
          <w:bCs/>
          <w:szCs w:val="21"/>
        </w:rPr>
        <w:t>1.我单位参与本项目所投标（响应）的货物、工程或服务，不存在侵犯知识产权的情况。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eastAsia="宋体"/>
        </w:rPr>
      </w:pPr>
      <w:r>
        <w:rPr>
          <w:rFonts w:hint="eastAsia" w:ascii="宋体" w:hAnsi="宋体"/>
          <w:szCs w:val="21"/>
        </w:rPr>
        <w:t>4.我单位</w:t>
      </w:r>
      <w:r>
        <w:rPr>
          <w:rFonts w:hint="eastAsia"/>
        </w:rPr>
        <w:t xml:space="preserve">未被列入失信被执行人、重大税收违法案件当事人名单、政府采购严重违法失信行为记录名单。 </w:t>
      </w:r>
    </w:p>
    <w:p>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rPr>
        <w:t>6.</w:t>
      </w:r>
      <w:bookmarkStart w:id="41" w:name="_Hlk72587269"/>
      <w:bookmarkStart w:id="42"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41"/>
      <w:r>
        <w:rPr>
          <w:rFonts w:hint="eastAsia" w:ascii="宋体" w:hAnsi="宋体"/>
          <w:szCs w:val="21"/>
        </w:rPr>
        <w:t>。</w:t>
      </w:r>
    </w:p>
    <w:bookmarkEnd w:id="42"/>
    <w:p>
      <w:pPr>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rPr>
        <w:t>9.我单位承诺中标后项目不转包，未经采购人同意不进行分包。</w:t>
      </w:r>
    </w:p>
    <w:p>
      <w:pPr>
        <w:ind w:firstLine="420" w:firstLineChars="200"/>
        <w:rPr>
          <w:rFonts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w:t>
      </w:r>
      <w:r>
        <w:rPr>
          <w:rFonts w:hint="eastAsia"/>
          <w:lang w:eastAsia="zh-CN"/>
        </w:rPr>
        <w:t>〈</w:t>
      </w:r>
      <w:r>
        <w:rPr>
          <w:rFonts w:hint="eastAsia"/>
        </w:rPr>
        <w:t>绿色数据中心政府采购需求标准（试行）</w:t>
      </w:r>
      <w:r>
        <w:rPr>
          <w:rFonts w:hint="eastAsia"/>
          <w:lang w:eastAsia="zh-CN"/>
        </w:rPr>
        <w:t>〉</w:t>
      </w:r>
      <w:r>
        <w:rPr>
          <w:rFonts w:hint="eastAsia"/>
        </w:rPr>
        <w:t>的通知》（财库〔2023〕7号）要求。若所投产品涉及国家强制性标准的，所投产品应符合国家强制性标准相关要求。</w:t>
      </w:r>
    </w:p>
    <w:p>
      <w:pPr>
        <w:ind w:firstLine="420" w:firstLineChars="200"/>
        <w:rPr>
          <w:rFonts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pPr>
        <w:ind w:firstLine="420" w:firstLineChars="200"/>
        <w:rPr>
          <w:rFonts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w:t>
      </w:r>
      <w:r>
        <w:rPr>
          <w:rFonts w:hint="eastAsia" w:ascii="宋体" w:hAnsi="宋体"/>
          <w:bCs/>
          <w:color w:val="FF0000"/>
        </w:rPr>
        <w:t>若存在“不同供应商的董事、股东或其他高级管理人员为同一人的”情形的，我单位保证不存在串通投标、恶意串通或者视为串通投标的情形。</w:t>
      </w:r>
    </w:p>
    <w:p>
      <w:pPr>
        <w:ind w:firstLine="422" w:firstLineChars="200"/>
        <w:rPr>
          <w:rFonts w:ascii="宋体" w:hAnsi="宋体"/>
          <w:b/>
          <w:szCs w:val="21"/>
        </w:rPr>
      </w:pPr>
      <w:r>
        <w:rPr>
          <w:rFonts w:hint="eastAsia" w:ascii="宋体" w:hAnsi="宋体"/>
          <w:b/>
        </w:rPr>
        <w:t>14.我单位清楚，如存在违反投标承诺行为情节严重的，将根据《深圳市财政局关于印发</w:t>
      </w:r>
      <w:r>
        <w:rPr>
          <w:rFonts w:hint="eastAsia" w:ascii="宋体" w:hAnsi="宋体"/>
          <w:b/>
          <w:lang w:eastAsia="zh-CN"/>
        </w:rPr>
        <w:t>〈</w:t>
      </w:r>
      <w:r>
        <w:rPr>
          <w:rFonts w:hint="eastAsia" w:ascii="宋体" w:hAnsi="宋体"/>
          <w:b/>
        </w:rPr>
        <w:t>深圳市财政局政府采购供应商信用信息管理办法</w:t>
      </w:r>
      <w:r>
        <w:rPr>
          <w:rFonts w:hint="eastAsia" w:ascii="宋体" w:hAnsi="宋体"/>
          <w:b/>
          <w:lang w:eastAsia="zh-CN"/>
        </w:rPr>
        <w:t>〉</w:t>
      </w:r>
      <w:r>
        <w:rPr>
          <w:rFonts w:hint="eastAsia" w:ascii="宋体" w:hAnsi="宋体"/>
          <w:b/>
        </w:rPr>
        <w:t>的通知》，依法被列入失信信息。</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78" w:beforeLines="25" w:after="78" w:afterLines="25"/>
        <w:ind w:firstLine="5460" w:firstLineChars="2600"/>
        <w:rPr>
          <w:rFonts w:ascii="宋体" w:hAnsi="宋体"/>
          <w:szCs w:val="21"/>
        </w:rPr>
      </w:pPr>
      <w:r>
        <w:rPr>
          <w:rFonts w:hint="eastAsia" w:ascii="宋体" w:hAnsi="宋体"/>
          <w:szCs w:val="21"/>
        </w:rPr>
        <w:t xml:space="preserve">                                    </w:t>
      </w:r>
    </w:p>
    <w:bookmarkEnd w:id="40"/>
    <w:p>
      <w:pPr>
        <w:spacing w:before="78" w:beforeLines="25" w:after="78"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pPr>
        <w:jc w:val="right"/>
        <w:rPr>
          <w:rFonts w:ascii="宋体" w:hAnsi="宋体"/>
          <w:szCs w:val="21"/>
        </w:rPr>
      </w:pPr>
      <w:r>
        <w:rPr>
          <w:rFonts w:hint="eastAsia" w:ascii="宋体" w:hAnsi="宋体"/>
          <w:color w:val="FF0000"/>
          <w:szCs w:val="21"/>
        </w:rPr>
        <w:t>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pPr>
        <w:rPr>
          <w:rFonts w:ascii="宋体"/>
          <w:b/>
          <w:szCs w:val="21"/>
        </w:rPr>
      </w:pPr>
    </w:p>
    <w:p>
      <w:pPr>
        <w:pStyle w:val="2"/>
      </w:pPr>
    </w:p>
    <w:p>
      <w:pPr>
        <w:pStyle w:val="5"/>
        <w:numPr>
          <w:ilvl w:val="0"/>
          <w:numId w:val="103"/>
        </w:numPr>
        <w:ind w:left="0" w:leftChars="0" w:firstLine="0" w:firstLineChars="0"/>
        <w:jc w:val="center"/>
        <w:rPr>
          <w:rFonts w:hint="eastAsia" w:ascii="黑体" w:hAnsi="宋体" w:eastAsia="黑体"/>
          <w:b w:val="0"/>
          <w:sz w:val="24"/>
        </w:rPr>
      </w:pPr>
      <w:r>
        <w:rPr>
          <w:rFonts w:hint="eastAsia" w:ascii="黑体" w:hAnsi="宋体" w:eastAsia="黑体"/>
          <w:b w:val="0"/>
          <w:sz w:val="24"/>
        </w:rPr>
        <w:t>投标人情况及资格证明文件</w:t>
      </w:r>
    </w:p>
    <w:p>
      <w:pPr>
        <w:jc w:val="center"/>
        <w:outlineLvl w:val="3"/>
        <w:rPr>
          <w:rFonts w:ascii="黑体" w:hAnsi="宋体" w:eastAsia="黑体"/>
          <w:bCs/>
          <w:kern w:val="0"/>
          <w:sz w:val="24"/>
          <w:szCs w:val="32"/>
        </w:rPr>
      </w:pPr>
      <w:bookmarkStart w:id="43" w:name="_Hlk72257590"/>
      <w:r>
        <w:rPr>
          <w:rFonts w:hint="eastAsia" w:ascii="黑体" w:hAnsi="宋体" w:eastAsia="黑体"/>
          <w:bCs/>
          <w:kern w:val="0"/>
          <w:sz w:val="24"/>
          <w:szCs w:val="32"/>
        </w:rPr>
        <w:t>（一）投标人资格证明文件</w:t>
      </w:r>
    </w:p>
    <w:p>
      <w:pPr>
        <w:spacing w:before="156" w:beforeLines="50"/>
        <w:ind w:firstLine="422" w:firstLineChars="200"/>
        <w:rPr>
          <w:rFonts w:hint="eastAsia"/>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政府采购投标及履约承诺函》且已在“二、政府采购投标及履约承诺函”章节中提供了，此处可不重复提供）</w:t>
      </w:r>
    </w:p>
    <w:p>
      <w:pPr>
        <w:spacing w:before="156" w:beforeLines="50"/>
        <w:ind w:firstLine="422" w:firstLineChars="200"/>
        <w:rPr>
          <w:rFonts w:hint="eastAsia"/>
          <w:b/>
          <w:bCs/>
          <w:color w:val="FF0000"/>
        </w:rPr>
      </w:pPr>
    </w:p>
    <w:p>
      <w:pPr>
        <w:spacing w:before="156" w:beforeLines="50"/>
        <w:ind w:firstLine="422" w:firstLineChars="200"/>
        <w:rPr>
          <w:rFonts w:hint="eastAsia"/>
          <w:b/>
          <w:bCs/>
          <w:color w:val="FF0000"/>
        </w:rPr>
      </w:pPr>
    </w:p>
    <w:p/>
    <w:p>
      <w:pPr>
        <w:pStyle w:val="2"/>
      </w:pPr>
    </w:p>
    <w:p>
      <w:pPr>
        <w:jc w:val="center"/>
        <w:outlineLvl w:val="3"/>
        <w:rPr>
          <w:rFonts w:hint="eastAsia" w:ascii="黑体" w:hAnsi="宋体" w:eastAsia="黑体"/>
          <w:bCs/>
          <w:kern w:val="0"/>
          <w:sz w:val="24"/>
          <w:szCs w:val="32"/>
        </w:rPr>
      </w:pPr>
      <w:r>
        <w:rPr>
          <w:rFonts w:hint="eastAsia" w:ascii="黑体" w:hAnsi="宋体" w:eastAsia="黑体"/>
          <w:bCs/>
          <w:kern w:val="0"/>
          <w:sz w:val="24"/>
          <w:szCs w:val="32"/>
          <w:lang w:val="en-US" w:eastAsia="zh-CN"/>
        </w:rPr>
        <w:t>（二）</w:t>
      </w:r>
      <w:r>
        <w:rPr>
          <w:rFonts w:hint="eastAsia" w:ascii="黑体" w:hAnsi="宋体" w:eastAsia="黑体"/>
          <w:bCs/>
          <w:kern w:val="0"/>
          <w:sz w:val="24"/>
          <w:szCs w:val="32"/>
        </w:rPr>
        <w:t>供应商基本情况表</w:t>
      </w:r>
    </w:p>
    <w:tbl>
      <w:tblPr>
        <w:tblStyle w:val="2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644"/>
        <w:gridCol w:w="1528"/>
        <w:gridCol w:w="903"/>
        <w:gridCol w:w="751"/>
        <w:gridCol w:w="1145"/>
        <w:gridCol w:w="1428"/>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4" w:type="dxa"/>
            <w:gridSpan w:val="2"/>
            <w:vAlign w:val="center"/>
          </w:tcPr>
          <w:p>
            <w:pPr>
              <w:jc w:val="center"/>
              <w:rPr>
                <w:rFonts w:ascii="宋体" w:hAnsi="宋体" w:eastAsia="宋体" w:cs="宋体"/>
                <w:szCs w:val="21"/>
              </w:rPr>
            </w:pPr>
            <w:r>
              <w:rPr>
                <w:rFonts w:hint="eastAsia" w:ascii="宋体" w:hAnsi="宋体" w:eastAsia="宋体" w:cs="宋体"/>
                <w:szCs w:val="21"/>
              </w:rPr>
              <w:t>投标（响应）供应商</w:t>
            </w:r>
          </w:p>
        </w:tc>
        <w:tc>
          <w:tcPr>
            <w:tcW w:w="2431" w:type="dxa"/>
            <w:gridSpan w:val="2"/>
            <w:vAlign w:val="center"/>
          </w:tcPr>
          <w:p>
            <w:pPr>
              <w:jc w:val="center"/>
              <w:rPr>
                <w:rFonts w:ascii="宋体" w:hAnsi="宋体" w:eastAsia="宋体" w:cs="宋体"/>
                <w:szCs w:val="21"/>
              </w:rPr>
            </w:pPr>
          </w:p>
        </w:tc>
        <w:tc>
          <w:tcPr>
            <w:tcW w:w="1896" w:type="dxa"/>
            <w:gridSpan w:val="2"/>
            <w:vAlign w:val="center"/>
          </w:tcPr>
          <w:p>
            <w:pPr>
              <w:jc w:val="center"/>
              <w:rPr>
                <w:rFonts w:ascii="宋体" w:hAnsi="宋体" w:eastAsia="宋体" w:cs="宋体"/>
                <w:szCs w:val="21"/>
              </w:rPr>
            </w:pPr>
            <w:r>
              <w:rPr>
                <w:rFonts w:hint="eastAsia" w:ascii="宋体" w:hAnsi="宋体" w:eastAsia="宋体" w:cs="宋体"/>
                <w:szCs w:val="21"/>
              </w:rPr>
              <w:t>项目名称及编号</w:t>
            </w:r>
          </w:p>
        </w:tc>
        <w:tc>
          <w:tcPr>
            <w:tcW w:w="2848" w:type="dxa"/>
            <w:gridSpan w:val="2"/>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9" w:type="dxa"/>
            <w:gridSpan w:val="8"/>
            <w:vAlign w:val="center"/>
          </w:tcPr>
          <w:p>
            <w:pPr>
              <w:jc w:val="center"/>
              <w:rPr>
                <w:rFonts w:ascii="宋体" w:hAnsi="宋体" w:eastAsia="宋体" w:cs="宋体"/>
                <w:szCs w:val="21"/>
              </w:rPr>
            </w:pPr>
            <w:r>
              <w:rPr>
                <w:rFonts w:hint="eastAsia" w:ascii="宋体" w:hAnsi="宋体" w:eastAsia="宋体" w:cs="宋体"/>
                <w:b/>
                <w:bCs/>
                <w:szCs w:val="21"/>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bottom w:val="single" w:color="auto" w:sz="4" w:space="0"/>
            </w:tcBorders>
            <w:vAlign w:val="center"/>
          </w:tcPr>
          <w:p>
            <w:pPr>
              <w:snapToGrid w:val="0"/>
              <w:jc w:val="center"/>
              <w:rPr>
                <w:rFonts w:ascii="宋体" w:hAnsi="宋体" w:eastAsia="宋体" w:cs="宋体"/>
                <w:szCs w:val="21"/>
              </w:rPr>
            </w:pPr>
            <w:r>
              <w:rPr>
                <w:rFonts w:hint="eastAsia" w:ascii="宋体" w:hAnsi="宋体" w:eastAsia="宋体" w:cs="宋体"/>
                <w:szCs w:val="21"/>
              </w:rPr>
              <w:t>序号</w:t>
            </w:r>
          </w:p>
        </w:tc>
        <w:tc>
          <w:tcPr>
            <w:tcW w:w="2172" w:type="dxa"/>
            <w:gridSpan w:val="2"/>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职务</w:t>
            </w:r>
          </w:p>
        </w:tc>
        <w:tc>
          <w:tcPr>
            <w:tcW w:w="903" w:type="dxa"/>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姓名</w:t>
            </w:r>
          </w:p>
        </w:tc>
        <w:tc>
          <w:tcPr>
            <w:tcW w:w="1896" w:type="dxa"/>
            <w:gridSpan w:val="2"/>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身份证号码</w:t>
            </w:r>
          </w:p>
        </w:tc>
        <w:tc>
          <w:tcPr>
            <w:tcW w:w="1428" w:type="dxa"/>
            <w:tcBorders>
              <w:bottom w:val="single" w:color="auto" w:sz="4" w:space="0"/>
            </w:tcBorders>
            <w:vAlign w:val="center"/>
          </w:tcPr>
          <w:p>
            <w:pPr>
              <w:snapToGrid w:val="0"/>
              <w:jc w:val="center"/>
              <w:rPr>
                <w:rFonts w:ascii="宋体" w:hAnsi="宋体" w:eastAsia="宋体" w:cs="宋体"/>
                <w:szCs w:val="21"/>
              </w:rPr>
            </w:pPr>
            <w:r>
              <w:rPr>
                <w:rFonts w:hint="eastAsia" w:ascii="宋体" w:hAnsi="宋体" w:eastAsia="宋体" w:cs="宋体"/>
                <w:szCs w:val="21"/>
              </w:rPr>
              <w:t>劳动合同</w:t>
            </w:r>
          </w:p>
          <w:p>
            <w:pPr>
              <w:snapToGrid w:val="0"/>
              <w:jc w:val="center"/>
              <w:rPr>
                <w:rFonts w:ascii="宋体" w:hAnsi="宋体" w:eastAsia="宋体" w:cs="宋体"/>
                <w:szCs w:val="21"/>
              </w:rPr>
            </w:pPr>
            <w:r>
              <w:rPr>
                <w:rFonts w:hint="eastAsia" w:ascii="宋体" w:hAnsi="宋体" w:eastAsia="宋体" w:cs="宋体"/>
                <w:szCs w:val="21"/>
              </w:rPr>
              <w:t>关系单位</w:t>
            </w:r>
          </w:p>
        </w:tc>
        <w:tc>
          <w:tcPr>
            <w:tcW w:w="1420" w:type="dxa"/>
            <w:tcBorders>
              <w:bottom w:val="single" w:color="auto" w:sz="4" w:space="0"/>
            </w:tcBorders>
            <w:vAlign w:val="center"/>
          </w:tcPr>
          <w:p>
            <w:pPr>
              <w:snapToGrid w:val="0"/>
              <w:jc w:val="center"/>
              <w:rPr>
                <w:rFonts w:ascii="宋体" w:hAnsi="宋体" w:eastAsia="宋体" w:cs="宋体"/>
                <w:szCs w:val="21"/>
              </w:rPr>
            </w:pPr>
            <w:r>
              <w:rPr>
                <w:rFonts w:hint="eastAsia" w:ascii="宋体" w:hAnsi="宋体" w:eastAsia="宋体" w:cs="宋体"/>
                <w:szCs w:val="21"/>
              </w:rPr>
              <w:t>缴纳社会</w:t>
            </w:r>
          </w:p>
          <w:p>
            <w:pPr>
              <w:snapToGrid w:val="0"/>
              <w:jc w:val="center"/>
              <w:rPr>
                <w:rFonts w:ascii="宋体" w:hAnsi="宋体" w:eastAsia="宋体" w:cs="宋体"/>
                <w:szCs w:val="21"/>
              </w:rPr>
            </w:pPr>
            <w:r>
              <w:rPr>
                <w:rFonts w:hint="eastAsia" w:ascii="宋体" w:hAnsi="宋体" w:eastAsia="宋体" w:cs="宋体"/>
                <w:szCs w:val="21"/>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1</w:t>
            </w:r>
          </w:p>
        </w:tc>
        <w:tc>
          <w:tcPr>
            <w:tcW w:w="217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ascii="宋体" w:hAnsi="宋体" w:eastAsia="宋体" w:cs="宋体"/>
                <w:szCs w:val="21"/>
              </w:rPr>
            </w:pPr>
            <w:r>
              <w:rPr>
                <w:rFonts w:hint="eastAsia" w:ascii="宋体" w:hAnsi="宋体" w:eastAsia="宋体" w:cs="宋体"/>
                <w:szCs w:val="21"/>
              </w:rPr>
              <w:t>法定代表人/单位负责人/主要经营负责人</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8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4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2</w:t>
            </w:r>
          </w:p>
        </w:tc>
        <w:tc>
          <w:tcPr>
            <w:tcW w:w="217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项目投标授权代表人</w:t>
            </w:r>
          </w:p>
        </w:tc>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89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42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top w:val="single" w:color="auto" w:sz="4" w:space="0"/>
            </w:tcBorders>
            <w:vAlign w:val="center"/>
          </w:tcPr>
          <w:p>
            <w:pPr>
              <w:jc w:val="center"/>
              <w:rPr>
                <w:rFonts w:ascii="宋体" w:hAnsi="宋体" w:eastAsia="宋体" w:cs="宋体"/>
                <w:szCs w:val="21"/>
              </w:rPr>
            </w:pPr>
            <w:r>
              <w:rPr>
                <w:rFonts w:hint="eastAsia" w:ascii="宋体" w:hAnsi="宋体" w:eastAsia="宋体" w:cs="宋体"/>
                <w:szCs w:val="21"/>
                <w:lang w:bidi="ar"/>
              </w:rPr>
              <w:t>3</w:t>
            </w:r>
          </w:p>
        </w:tc>
        <w:tc>
          <w:tcPr>
            <w:tcW w:w="2172" w:type="dxa"/>
            <w:gridSpan w:val="2"/>
            <w:tcBorders>
              <w:top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项目负责人</w:t>
            </w:r>
          </w:p>
        </w:tc>
        <w:tc>
          <w:tcPr>
            <w:tcW w:w="903" w:type="dxa"/>
            <w:tcBorders>
              <w:top w:val="single" w:color="auto" w:sz="4" w:space="0"/>
            </w:tcBorders>
            <w:vAlign w:val="center"/>
          </w:tcPr>
          <w:p>
            <w:pPr>
              <w:jc w:val="center"/>
              <w:rPr>
                <w:rFonts w:ascii="宋体" w:hAnsi="宋体" w:eastAsia="宋体" w:cs="宋体"/>
                <w:szCs w:val="21"/>
              </w:rPr>
            </w:pPr>
          </w:p>
        </w:tc>
        <w:tc>
          <w:tcPr>
            <w:tcW w:w="1896" w:type="dxa"/>
            <w:gridSpan w:val="2"/>
            <w:tcBorders>
              <w:top w:val="single" w:color="auto" w:sz="4" w:space="0"/>
            </w:tcBorders>
            <w:vAlign w:val="center"/>
          </w:tcPr>
          <w:p>
            <w:pPr>
              <w:jc w:val="center"/>
              <w:rPr>
                <w:rFonts w:ascii="宋体" w:hAnsi="宋体" w:eastAsia="宋体" w:cs="宋体"/>
                <w:szCs w:val="21"/>
              </w:rPr>
            </w:pPr>
          </w:p>
        </w:tc>
        <w:tc>
          <w:tcPr>
            <w:tcW w:w="1428" w:type="dxa"/>
            <w:tcBorders>
              <w:top w:val="single" w:color="auto" w:sz="4" w:space="0"/>
            </w:tcBorders>
            <w:vAlign w:val="center"/>
          </w:tcPr>
          <w:p>
            <w:pPr>
              <w:jc w:val="center"/>
              <w:rPr>
                <w:rFonts w:ascii="宋体" w:hAnsi="宋体" w:eastAsia="宋体" w:cs="宋体"/>
                <w:szCs w:val="21"/>
              </w:rPr>
            </w:pPr>
          </w:p>
        </w:tc>
        <w:tc>
          <w:tcPr>
            <w:tcW w:w="1420" w:type="dxa"/>
            <w:tcBorders>
              <w:top w:val="single" w:color="auto" w:sz="4" w:space="0"/>
            </w:tcBorders>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jc w:val="center"/>
              <w:rPr>
                <w:rFonts w:ascii="宋体" w:hAnsi="宋体" w:eastAsia="宋体" w:cs="宋体"/>
                <w:szCs w:val="21"/>
              </w:rPr>
            </w:pPr>
            <w:r>
              <w:rPr>
                <w:rFonts w:hint="eastAsia" w:ascii="宋体" w:hAnsi="宋体" w:eastAsia="宋体" w:cs="宋体"/>
                <w:szCs w:val="21"/>
                <w:lang w:bidi="ar"/>
              </w:rPr>
              <w:t>4</w:t>
            </w:r>
          </w:p>
        </w:tc>
        <w:tc>
          <w:tcPr>
            <w:tcW w:w="2172" w:type="dxa"/>
            <w:gridSpan w:val="2"/>
            <w:vAlign w:val="center"/>
          </w:tcPr>
          <w:p>
            <w:pPr>
              <w:jc w:val="center"/>
              <w:rPr>
                <w:rFonts w:ascii="宋体" w:hAnsi="宋体" w:eastAsia="宋体" w:cs="宋体"/>
                <w:szCs w:val="21"/>
              </w:rPr>
            </w:pPr>
            <w:r>
              <w:rPr>
                <w:rFonts w:hint="eastAsia" w:ascii="宋体" w:hAnsi="宋体" w:eastAsia="宋体" w:cs="宋体"/>
                <w:szCs w:val="21"/>
              </w:rPr>
              <w:t>主要技术人员</w:t>
            </w:r>
          </w:p>
        </w:tc>
        <w:tc>
          <w:tcPr>
            <w:tcW w:w="903" w:type="dxa"/>
            <w:vAlign w:val="center"/>
          </w:tcPr>
          <w:p>
            <w:pPr>
              <w:jc w:val="center"/>
              <w:rPr>
                <w:rFonts w:ascii="宋体" w:hAnsi="宋体" w:eastAsia="宋体" w:cs="宋体"/>
                <w:szCs w:val="21"/>
              </w:rPr>
            </w:pPr>
          </w:p>
        </w:tc>
        <w:tc>
          <w:tcPr>
            <w:tcW w:w="1896" w:type="dxa"/>
            <w:gridSpan w:val="2"/>
            <w:vAlign w:val="center"/>
          </w:tcPr>
          <w:p>
            <w:pPr>
              <w:jc w:val="center"/>
              <w:rPr>
                <w:rFonts w:ascii="宋体" w:hAnsi="宋体" w:eastAsia="宋体" w:cs="宋体"/>
                <w:szCs w:val="21"/>
              </w:rPr>
            </w:pPr>
          </w:p>
        </w:tc>
        <w:tc>
          <w:tcPr>
            <w:tcW w:w="1428" w:type="dxa"/>
            <w:vAlign w:val="center"/>
          </w:tcPr>
          <w:p>
            <w:pPr>
              <w:jc w:val="center"/>
              <w:rPr>
                <w:rFonts w:ascii="宋体" w:hAnsi="宋体" w:eastAsia="宋体" w:cs="宋体"/>
                <w:szCs w:val="21"/>
              </w:rPr>
            </w:pPr>
          </w:p>
        </w:tc>
        <w:tc>
          <w:tcPr>
            <w:tcW w:w="1420"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vAlign w:val="center"/>
          </w:tcPr>
          <w:p>
            <w:pPr>
              <w:jc w:val="center"/>
              <w:rPr>
                <w:rFonts w:ascii="宋体" w:hAnsi="宋体" w:eastAsia="宋体" w:cs="宋体"/>
                <w:szCs w:val="21"/>
              </w:rPr>
            </w:pPr>
            <w:r>
              <w:rPr>
                <w:rFonts w:hint="eastAsia" w:ascii="宋体" w:hAnsi="宋体" w:eastAsia="宋体" w:cs="宋体"/>
                <w:szCs w:val="21"/>
                <w:lang w:bidi="ar"/>
              </w:rPr>
              <w:t>5</w:t>
            </w:r>
          </w:p>
        </w:tc>
        <w:tc>
          <w:tcPr>
            <w:tcW w:w="2172" w:type="dxa"/>
            <w:gridSpan w:val="2"/>
            <w:vAlign w:val="center"/>
          </w:tcPr>
          <w:p>
            <w:pPr>
              <w:snapToGrid w:val="0"/>
              <w:jc w:val="center"/>
              <w:rPr>
                <w:rFonts w:ascii="宋体" w:hAnsi="宋体" w:eastAsia="宋体" w:cs="宋体"/>
                <w:szCs w:val="21"/>
              </w:rPr>
            </w:pPr>
            <w:r>
              <w:rPr>
                <w:rFonts w:hint="eastAsia" w:ascii="宋体" w:hAnsi="宋体" w:eastAsia="宋体" w:cs="宋体"/>
                <w:szCs w:val="21"/>
              </w:rPr>
              <w:t>投标文件编制人员</w:t>
            </w:r>
          </w:p>
        </w:tc>
        <w:tc>
          <w:tcPr>
            <w:tcW w:w="903" w:type="dxa"/>
            <w:vAlign w:val="center"/>
          </w:tcPr>
          <w:p>
            <w:pPr>
              <w:jc w:val="center"/>
              <w:rPr>
                <w:rFonts w:ascii="宋体" w:hAnsi="宋体" w:eastAsia="宋体" w:cs="宋体"/>
                <w:szCs w:val="21"/>
              </w:rPr>
            </w:pPr>
          </w:p>
        </w:tc>
        <w:tc>
          <w:tcPr>
            <w:tcW w:w="1896" w:type="dxa"/>
            <w:gridSpan w:val="2"/>
            <w:vAlign w:val="center"/>
          </w:tcPr>
          <w:p>
            <w:pPr>
              <w:jc w:val="center"/>
              <w:rPr>
                <w:rFonts w:ascii="宋体" w:hAnsi="宋体" w:eastAsia="宋体" w:cs="宋体"/>
                <w:szCs w:val="21"/>
              </w:rPr>
            </w:pPr>
          </w:p>
        </w:tc>
        <w:tc>
          <w:tcPr>
            <w:tcW w:w="1428" w:type="dxa"/>
            <w:vAlign w:val="center"/>
          </w:tcPr>
          <w:p>
            <w:pPr>
              <w:jc w:val="center"/>
              <w:rPr>
                <w:rFonts w:ascii="宋体" w:hAnsi="宋体" w:eastAsia="宋体" w:cs="宋体"/>
                <w:szCs w:val="21"/>
              </w:rPr>
            </w:pPr>
          </w:p>
        </w:tc>
        <w:tc>
          <w:tcPr>
            <w:tcW w:w="1420" w:type="dxa"/>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9" w:type="dxa"/>
            <w:gridSpan w:val="8"/>
            <w:vAlign w:val="center"/>
          </w:tcPr>
          <w:p>
            <w:pPr>
              <w:jc w:val="left"/>
              <w:rPr>
                <w:rFonts w:ascii="宋体" w:hAnsi="宋体" w:eastAsia="宋体" w:cs="宋体"/>
                <w:szCs w:val="21"/>
              </w:rPr>
            </w:pPr>
            <w:r>
              <w:rPr>
                <w:rFonts w:hint="eastAsia" w:ascii="宋体" w:hAnsi="宋体" w:eastAsia="宋体" w:cs="宋体"/>
                <w:b/>
                <w:bCs/>
                <w:szCs w:val="21"/>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519" w:type="dxa"/>
            <w:gridSpan w:val="8"/>
            <w:vAlign w:val="center"/>
          </w:tcPr>
          <w:p>
            <w:pPr>
              <w:jc w:val="center"/>
              <w:rPr>
                <w:rFonts w:ascii="宋体" w:hAnsi="宋体" w:eastAsia="宋体" w:cs="宋体"/>
                <w:b/>
                <w:bCs/>
                <w:szCs w:val="21"/>
              </w:rPr>
            </w:pPr>
            <w:r>
              <w:rPr>
                <w:rFonts w:hint="eastAsia" w:ascii="宋体" w:hAnsi="宋体" w:eastAsia="宋体" w:cs="宋体"/>
                <w:b/>
                <w:bCs/>
                <w:szCs w:val="21"/>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tcBorders>
              <w:bottom w:val="single" w:color="auto" w:sz="4" w:space="0"/>
            </w:tcBorders>
            <w:vAlign w:val="center"/>
          </w:tcPr>
          <w:p>
            <w:pPr>
              <w:jc w:val="center"/>
              <w:rPr>
                <w:rFonts w:ascii="宋体" w:hAnsi="宋体" w:eastAsia="宋体" w:cs="宋体"/>
                <w:szCs w:val="21"/>
                <w:lang w:bidi="ar"/>
              </w:rPr>
            </w:pPr>
            <w:r>
              <w:rPr>
                <w:rFonts w:hint="eastAsia" w:ascii="宋体" w:hAnsi="宋体" w:eastAsia="宋体" w:cs="宋体"/>
                <w:szCs w:val="21"/>
                <w:lang w:bidi="ar"/>
              </w:rPr>
              <w:t>序号</w:t>
            </w:r>
          </w:p>
        </w:tc>
        <w:tc>
          <w:tcPr>
            <w:tcW w:w="2172" w:type="dxa"/>
            <w:gridSpan w:val="2"/>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关联关系类型</w:t>
            </w:r>
          </w:p>
        </w:tc>
        <w:tc>
          <w:tcPr>
            <w:tcW w:w="1654" w:type="dxa"/>
            <w:gridSpan w:val="2"/>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关联主体名称</w:t>
            </w:r>
          </w:p>
        </w:tc>
        <w:tc>
          <w:tcPr>
            <w:tcW w:w="3993" w:type="dxa"/>
            <w:gridSpan w:val="3"/>
            <w:tcBorders>
              <w:bottom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lang w:bidi="ar"/>
              </w:rPr>
            </w:pPr>
            <w:r>
              <w:rPr>
                <w:rFonts w:hint="eastAsia" w:ascii="宋体" w:hAnsi="宋体" w:eastAsia="宋体" w:cs="宋体"/>
                <w:szCs w:val="21"/>
                <w:lang w:bidi="ar"/>
              </w:rPr>
              <w:t>1</w:t>
            </w:r>
          </w:p>
        </w:tc>
        <w:tc>
          <w:tcPr>
            <w:tcW w:w="217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控股股东</w:t>
            </w:r>
          </w:p>
        </w:tc>
        <w:tc>
          <w:tcPr>
            <w:tcW w:w="16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3993"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eastAsia="宋体" w:cs="宋体"/>
                <w:szCs w:val="21"/>
              </w:rPr>
            </w:pPr>
            <w:r>
              <w:rPr>
                <w:rFonts w:hint="eastAsia" w:ascii="宋体" w:hAnsi="宋体" w:eastAsia="宋体" w:cs="宋体"/>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lang w:bidi="ar"/>
              </w:rPr>
            </w:pPr>
            <w:r>
              <w:rPr>
                <w:rFonts w:hint="eastAsia" w:ascii="宋体" w:hAnsi="宋体" w:eastAsia="宋体" w:cs="宋体"/>
                <w:szCs w:val="21"/>
                <w:lang w:bidi="ar"/>
              </w:rPr>
              <w:t>2</w:t>
            </w:r>
          </w:p>
        </w:tc>
        <w:tc>
          <w:tcPr>
            <w:tcW w:w="217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r>
              <w:rPr>
                <w:rFonts w:hint="eastAsia" w:ascii="宋体" w:hAnsi="宋体" w:eastAsia="宋体" w:cs="宋体"/>
                <w:szCs w:val="21"/>
              </w:rPr>
              <w:t>管理关系</w:t>
            </w:r>
          </w:p>
        </w:tc>
        <w:tc>
          <w:tcPr>
            <w:tcW w:w="16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zCs w:val="21"/>
              </w:rPr>
            </w:pPr>
          </w:p>
        </w:tc>
        <w:tc>
          <w:tcPr>
            <w:tcW w:w="3993"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eastAsia="宋体" w:cs="宋体"/>
                <w:szCs w:val="21"/>
              </w:rPr>
            </w:pPr>
            <w:r>
              <w:rPr>
                <w:rFonts w:hint="eastAsia" w:ascii="宋体" w:hAnsi="宋体" w:eastAsia="宋体" w:cs="宋体"/>
                <w:szCs w:val="21"/>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19"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宋体" w:hAnsi="宋体" w:eastAsia="宋体" w:cs="宋体"/>
                <w:b/>
                <w:bCs/>
                <w:color w:val="FF0000"/>
                <w:szCs w:val="21"/>
              </w:rPr>
            </w:pPr>
            <w:r>
              <w:rPr>
                <w:rFonts w:ascii="宋体" w:hAnsi="宋体" w:eastAsia="宋体" w:cs="宋体"/>
                <w:b/>
                <w:bCs/>
                <w:color w:val="FF0000"/>
                <w:szCs w:val="21"/>
              </w:rPr>
              <w:t>说明：1.同一关联关系类型有多个主体的，应分行填写。</w:t>
            </w:r>
          </w:p>
          <w:p>
            <w:pPr>
              <w:snapToGrid w:val="0"/>
              <w:jc w:val="left"/>
              <w:rPr>
                <w:rFonts w:ascii="宋体" w:hAnsi="宋体" w:eastAsia="宋体" w:cs="宋体"/>
                <w:szCs w:val="21"/>
              </w:rPr>
            </w:pPr>
            <w:r>
              <w:rPr>
                <w:rFonts w:ascii="宋体" w:hAnsi="宋体" w:eastAsia="宋体" w:cs="宋体"/>
                <w:b/>
                <w:bCs/>
                <w:color w:val="FF0000"/>
                <w:szCs w:val="21"/>
                <w:highlight w:val="yellow"/>
              </w:rPr>
              <w:t>2.《供应商基本情况表》为必填内容，若存在异常且不符合要求的供应商资格性审查将不予通过，作投标无效处理。</w:t>
            </w:r>
          </w:p>
        </w:tc>
      </w:tr>
    </w:tbl>
    <w:p>
      <w:pPr>
        <w:pStyle w:val="2"/>
        <w:rPr>
          <w:rFonts w:hint="eastAsia" w:eastAsiaTheme="minorEastAsia"/>
          <w:lang w:eastAsia="zh-CN"/>
        </w:rPr>
      </w:pPr>
    </w:p>
    <w:p>
      <w:pPr>
        <w:ind w:firstLine="480" w:firstLineChars="200"/>
        <w:outlineLvl w:val="3"/>
        <w:rPr>
          <w:rFonts w:ascii="黑体" w:hAnsi="宋体" w:eastAsia="黑体"/>
          <w:bCs/>
          <w:kern w:val="0"/>
          <w:sz w:val="24"/>
          <w:szCs w:val="32"/>
        </w:rPr>
      </w:pPr>
      <w:bookmarkStart w:id="44" w:name="_Hlk72257908"/>
      <w:r>
        <w:rPr>
          <w:rFonts w:hint="eastAsia" w:ascii="黑体" w:hAnsi="宋体" w:eastAsia="黑体"/>
          <w:bCs/>
          <w:kern w:val="0"/>
          <w:sz w:val="24"/>
          <w:szCs w:val="32"/>
        </w:rPr>
        <w:t>（</w:t>
      </w:r>
      <w:r>
        <w:rPr>
          <w:rFonts w:hint="eastAsia" w:ascii="黑体" w:hAnsi="宋体" w:eastAsia="黑体"/>
          <w:bCs/>
          <w:kern w:val="0"/>
          <w:sz w:val="24"/>
          <w:szCs w:val="32"/>
          <w:lang w:eastAsia="zh-CN"/>
        </w:rPr>
        <w:t>三</w:t>
      </w:r>
      <w:r>
        <w:rPr>
          <w:rFonts w:hint="eastAsia" w:ascii="黑体" w:hAnsi="宋体" w:eastAsia="黑体"/>
          <w:bCs/>
          <w:kern w:val="0"/>
          <w:sz w:val="24"/>
          <w:szCs w:val="32"/>
        </w:rPr>
        <w:t>）中小企业声明函、残疾人福利性单位声明函及监狱企业声明函</w:t>
      </w:r>
      <w:bookmarkEnd w:id="43"/>
    </w:p>
    <w:p>
      <w:pPr>
        <w:bidi w:val="0"/>
      </w:pPr>
    </w:p>
    <w:p>
      <w:pPr>
        <w:bidi w:val="0"/>
      </w:pPr>
      <w:r>
        <w:rPr>
          <w:rFonts w:hint="eastAsia"/>
        </w:rPr>
        <w:t>填写指引：</w:t>
      </w:r>
    </w:p>
    <w:p>
      <w:pPr>
        <w:bidi w:val="0"/>
      </w:pPr>
      <w:r>
        <w:rPr>
          <w:rFonts w:hint="eastAsia"/>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pPr>
        <w:bidi w:val="0"/>
      </w:pPr>
      <w:r>
        <w:rPr>
          <w:rFonts w:hint="eastAsia"/>
        </w:rPr>
        <w:t>2、该部分内容填写需要参考的相关文件：</w:t>
      </w:r>
    </w:p>
    <w:p>
      <w:pPr>
        <w:bidi w:val="0"/>
      </w:pPr>
      <w:r>
        <w:rPr>
          <w:rFonts w:hint="eastAsia"/>
          <w:lang w:eastAsia="zh-CN"/>
        </w:rPr>
        <w:t>（</w:t>
      </w:r>
      <w:r>
        <w:t>1</w:t>
      </w:r>
      <w:r>
        <w:rPr>
          <w:rFonts w:hint="eastAsia"/>
          <w:lang w:eastAsia="zh-CN"/>
        </w:rPr>
        <w:t>）</w:t>
      </w:r>
      <w:r>
        <w:rPr>
          <w:rFonts w:hint="eastAsia"/>
        </w:rPr>
        <w:t>财政部《政府采购促进中小企业发展管理办法》（财库〔2020〕46号）</w:t>
      </w:r>
    </w:p>
    <w:p>
      <w:pPr>
        <w:bidi w:val="0"/>
      </w:pPr>
      <w:r>
        <w:rPr>
          <w:rFonts w:hint="eastAsia"/>
        </w:rPr>
        <w:t>(</w:t>
      </w:r>
      <w:r>
        <w:t>2</w:t>
      </w:r>
      <w:r>
        <w:rPr>
          <w:rFonts w:hint="eastAsia"/>
          <w:lang w:eastAsia="zh-CN"/>
        </w:rPr>
        <w:t>）</w:t>
      </w:r>
      <w:bookmarkStart w:id="45" w:name="_Hlk71925120"/>
      <w:r>
        <w:rPr>
          <w:rFonts w:hint="eastAsia"/>
        </w:rPr>
        <w:t>《工业和信息化部、国家统计局、国家发展和改革委员会、财政部关于印发中小企业划型标准规定的通知》（工信部联企业〔2011〕300号</w:t>
      </w:r>
      <w:bookmarkEnd w:id="45"/>
      <w:r>
        <w:rPr>
          <w:rFonts w:hint="eastAsia"/>
        </w:rPr>
        <w:t>）</w:t>
      </w:r>
    </w:p>
    <w:p>
      <w:pPr>
        <w:bidi w:val="0"/>
      </w:pPr>
      <w:r>
        <w:rPr>
          <w:rFonts w:hint="eastAsia"/>
        </w:rPr>
        <w:t>(3</w:t>
      </w:r>
      <w:r>
        <w:rPr>
          <w:rFonts w:hint="eastAsia"/>
          <w:lang w:eastAsia="zh-CN"/>
        </w:rPr>
        <w:t>）</w:t>
      </w:r>
      <w:r>
        <w:rPr>
          <w:rFonts w:hint="eastAsia"/>
        </w:rPr>
        <w:t>《统计上大中小微型企业划分办法</w:t>
      </w:r>
      <w:r>
        <w:rPr>
          <w:rFonts w:hint="eastAsia"/>
          <w:lang w:eastAsia="zh-CN"/>
        </w:rPr>
        <w:t>（</w:t>
      </w:r>
      <w:r>
        <w:rPr>
          <w:rFonts w:hint="eastAsia"/>
        </w:rPr>
        <w:t>2017</w:t>
      </w:r>
      <w:r>
        <w:rPr>
          <w:rFonts w:hint="eastAsia"/>
          <w:lang w:eastAsia="zh-CN"/>
        </w:rPr>
        <w:t>）</w:t>
      </w:r>
      <w:r>
        <w:rPr>
          <w:rFonts w:hint="eastAsia"/>
        </w:rPr>
        <w:t>》（国统字〔2017〕213号）</w:t>
      </w:r>
    </w:p>
    <w:p>
      <w:pPr>
        <w:bidi w:val="0"/>
      </w:pPr>
      <w:r>
        <w:rPr>
          <w:rFonts w:hint="eastAsia"/>
        </w:rPr>
        <w:t>(4</w:t>
      </w:r>
      <w:r>
        <w:rPr>
          <w:rFonts w:hint="eastAsia"/>
          <w:lang w:eastAsia="zh-CN"/>
        </w:rPr>
        <w:t>）</w:t>
      </w:r>
      <w:r>
        <w:rPr>
          <w:rFonts w:hint="eastAsia"/>
        </w:rPr>
        <w:t>《关于促进残疾人就业政府采购政策的通知》（财库〔2017〕141号）</w:t>
      </w:r>
    </w:p>
    <w:p>
      <w:pPr>
        <w:bidi w:val="0"/>
      </w:pPr>
      <w:r>
        <w:rPr>
          <w:rFonts w:hint="eastAsia"/>
        </w:rPr>
        <w:t>(5</w:t>
      </w:r>
      <w:r>
        <w:rPr>
          <w:rFonts w:hint="eastAsia"/>
          <w:lang w:eastAsia="zh-CN"/>
        </w:rPr>
        <w:t>）</w:t>
      </w:r>
      <w:r>
        <w:rPr>
          <w:rFonts w:hint="eastAsia"/>
        </w:rPr>
        <w:t>《关于政府采购支持监狱企业发展有关问题的通知》（财库〔2014〕68号）</w:t>
      </w:r>
    </w:p>
    <w:p>
      <w:pPr>
        <w:bidi w:val="0"/>
      </w:pPr>
      <w:r>
        <w:rPr>
          <w:rFonts w:hint="eastAsia"/>
        </w:rPr>
        <w:t>3、请依照提供的格式和内容填写声明函，不要随意变更格式；声明函不需要盖章或签字；满足多项优惠政策的投标人，不重复享受多项价格扣除政策。</w:t>
      </w:r>
    </w:p>
    <w:p>
      <w:pPr>
        <w:bidi w:val="0"/>
      </w:pPr>
      <w:r>
        <w:rPr>
          <w:rFonts w:hint="eastAsia"/>
        </w:rPr>
        <w:t>4、声明函具体填写要求：</w:t>
      </w:r>
    </w:p>
    <w:p>
      <w:pPr>
        <w:bidi w:val="0"/>
      </w:pPr>
      <w:r>
        <w:rPr>
          <w:rFonts w:hint="eastAsia"/>
        </w:rPr>
        <w:t>（1）声明是中小企业须填写《中小企业声明函》的以下内容：</w:t>
      </w:r>
    </w:p>
    <w:p>
      <w:pPr>
        <w:bidi w:val="0"/>
        <w:ind w:left="0" w:leftChars="0" w:firstLine="420" w:firstLineChars="200"/>
      </w:pPr>
      <w:r>
        <w:rPr>
          <w:rFonts w:hint="eastAsia"/>
        </w:rPr>
        <w:t>第一处，</w:t>
      </w:r>
      <w:r>
        <w:rPr>
          <w:rFonts w:hint="eastAsia"/>
          <w:highlight w:val="yellow"/>
        </w:rPr>
        <w:t>在“单位名称”下划线处如实填写采购人名称</w:t>
      </w:r>
      <w:r>
        <w:rPr>
          <w:rFonts w:hint="eastAsia"/>
        </w:rPr>
        <w:t>（深圳公共资源交易中心不是本项目的采购人，而是组织实施机构）；</w:t>
      </w:r>
    </w:p>
    <w:p>
      <w:pPr>
        <w:bidi w:val="0"/>
        <w:ind w:left="0" w:leftChars="0" w:firstLine="420" w:firstLineChars="200"/>
      </w:pPr>
      <w:r>
        <w:rPr>
          <w:rFonts w:hint="eastAsia"/>
        </w:rPr>
        <w:t>第二处，</w:t>
      </w:r>
      <w:r>
        <w:rPr>
          <w:rFonts w:hint="eastAsia"/>
          <w:highlight w:val="yellow"/>
        </w:rPr>
        <w:t>在“项目名称”下划线处如实填写采购</w:t>
      </w:r>
      <w:r>
        <w:rPr>
          <w:rFonts w:hint="eastAsia"/>
          <w:highlight w:val="yellow"/>
          <w:lang w:val="en-US" w:eastAsia="zh-CN"/>
        </w:rPr>
        <w:t>文件中确定的</w:t>
      </w:r>
      <w:r>
        <w:rPr>
          <w:rFonts w:hint="eastAsia"/>
          <w:highlight w:val="yellow"/>
        </w:rPr>
        <w:t>项目名称</w:t>
      </w:r>
      <w:r>
        <w:rPr>
          <w:rFonts w:hint="eastAsia"/>
          <w:lang w:eastAsia="zh-CN"/>
        </w:rPr>
        <w:t>。对于分包方式面向中小企业采购的项目，应标明中小企业的具体分包内容；对于以联合体方式面向中小企业采购的项目，应标明联合体中中小企业所承担的具体内容</w:t>
      </w:r>
      <w:r>
        <w:rPr>
          <w:rFonts w:hint="eastAsia"/>
        </w:rPr>
        <w:t>；</w:t>
      </w:r>
    </w:p>
    <w:p>
      <w:pPr>
        <w:bidi w:val="0"/>
        <w:ind w:left="0" w:leftChars="0" w:firstLine="420" w:firstLineChars="200"/>
      </w:pPr>
      <w:r>
        <w:rPr>
          <w:rFonts w:hint="eastAsia"/>
        </w:rPr>
        <w:t>第三处，</w:t>
      </w:r>
      <w:r>
        <w:rPr>
          <w:rFonts w:hint="eastAsia"/>
          <w:highlight w:val="yellow"/>
        </w:rPr>
        <w:t>在“标的名称”下划线处填写所采购标的具体名称</w:t>
      </w:r>
      <w:r>
        <w:rPr>
          <w:rFonts w:hint="eastAsia"/>
        </w:rPr>
        <w:t>（以招标文件第一册第三章用户需求书“</w:t>
      </w:r>
      <w:bookmarkStart w:id="46" w:name="OLE_LINK35"/>
      <w:r>
        <w:rPr>
          <w:rFonts w:hint="eastAsia"/>
        </w:rPr>
        <w:t>标的名称</w:t>
      </w:r>
      <w:bookmarkEnd w:id="46"/>
      <w:r>
        <w:rPr>
          <w:rFonts w:hint="eastAsia"/>
        </w:rPr>
        <w:t>”一栏为准）；如果涉及多项</w:t>
      </w:r>
      <w:r>
        <w:rPr>
          <w:rFonts w:hint="eastAsia"/>
          <w:lang w:val="en-US" w:eastAsia="zh-CN"/>
        </w:rPr>
        <w:t>服务</w:t>
      </w:r>
      <w:r>
        <w:rPr>
          <w:rFonts w:hint="eastAsia"/>
        </w:rPr>
        <w:t>（标的）为同一企业</w:t>
      </w:r>
      <w:r>
        <w:rPr>
          <w:rFonts w:hint="eastAsia"/>
          <w:lang w:val="en-US" w:eastAsia="zh-CN"/>
        </w:rPr>
        <w:t>承接的</w:t>
      </w:r>
      <w:r>
        <w:rPr>
          <w:rFonts w:hint="eastAsia"/>
        </w:rPr>
        <w:t>，“标的名称”下划线处可以如实填写多项</w:t>
      </w:r>
      <w:r>
        <w:rPr>
          <w:rFonts w:hint="eastAsia"/>
          <w:lang w:val="en-US" w:eastAsia="zh-CN"/>
        </w:rPr>
        <w:t>服务</w:t>
      </w:r>
      <w:r>
        <w:rPr>
          <w:rFonts w:hint="eastAsia"/>
        </w:rPr>
        <w:t>；对于分包方式面向中小企业采购的项目</w:t>
      </w:r>
      <w:r>
        <w:rPr>
          <w:rFonts w:hint="eastAsia"/>
          <w:lang w:eastAsia="zh-CN"/>
        </w:rPr>
        <w:t>，</w:t>
      </w:r>
      <w:r>
        <w:rPr>
          <w:rFonts w:hint="eastAsia"/>
        </w:rPr>
        <w:t>“标的名称”应填写采购文件中注明的分包给中小企业的采购标的名称；对于以联合体方式面向中小企业采购的项目“标的名称”应填写采购文件中注明的联合体中中小企业承担的采购标的名称。</w:t>
      </w:r>
    </w:p>
    <w:p>
      <w:pPr>
        <w:bidi w:val="0"/>
        <w:ind w:left="0" w:leftChars="0" w:firstLine="420" w:firstLineChars="200"/>
      </w:pPr>
      <w:r>
        <w:rPr>
          <w:rFonts w:hint="eastAsia"/>
        </w:rPr>
        <w:t>第四处，在“</w:t>
      </w:r>
      <w:r>
        <w:rPr>
          <w:rFonts w:hint="eastAsia"/>
          <w:lang w:val="en-US" w:eastAsia="zh-CN"/>
        </w:rPr>
        <w:t>采购</w:t>
      </w:r>
      <w:r>
        <w:rPr>
          <w:rFonts w:hint="eastAsia"/>
        </w:rPr>
        <w:t>文件中明确的所属行业”下划线处填写采购标的对应的中小企业划分标准所属行业（所属行业以招标文件第一册第</w:t>
      </w:r>
      <w:r>
        <w:rPr>
          <w:rFonts w:hint="eastAsia"/>
          <w:lang w:eastAsia="zh-CN"/>
        </w:rPr>
        <w:t>二</w:t>
      </w:r>
      <w:r>
        <w:rPr>
          <w:rFonts w:hint="eastAsia"/>
        </w:rPr>
        <w:t>章对通用条款的补充内容及其他关键信息的“</w:t>
      </w:r>
      <w:r>
        <w:rPr>
          <w:rFonts w:hint="eastAsia"/>
          <w:lang w:val="en-US" w:eastAsia="zh-CN"/>
        </w:rPr>
        <w:t>标的所属行业</w:t>
      </w:r>
      <w:r>
        <w:rPr>
          <w:rFonts w:hint="eastAsia"/>
        </w:rPr>
        <w:t>”一栏为准）</w:t>
      </w:r>
      <w:r>
        <w:rPr>
          <w:rFonts w:hint="eastAsia"/>
          <w:lang w:eastAsia="zh-CN"/>
        </w:rPr>
        <w: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pPr>
        <w:bidi w:val="0"/>
        <w:ind w:left="0" w:leftChars="0" w:firstLine="420" w:firstLineChars="200"/>
        <w:rPr>
          <w:rFonts w:hint="eastAsia"/>
          <w:lang w:eastAsia="zh-CN"/>
        </w:rPr>
      </w:pPr>
      <w:r>
        <w:rPr>
          <w:rFonts w:hint="eastAsia"/>
        </w:rPr>
        <w:t>第五处，在“企业名称”下划线处如实填写</w:t>
      </w:r>
      <w:r>
        <w:rPr>
          <w:rFonts w:hint="eastAsia"/>
          <w:lang w:eastAsia="zh-CN"/>
        </w:rPr>
        <w:t>服务承接商</w:t>
      </w:r>
      <w:r>
        <w:rPr>
          <w:rFonts w:hint="eastAsia"/>
        </w:rPr>
        <w:t>名称</w:t>
      </w:r>
      <w:r>
        <w:rPr>
          <w:rFonts w:hint="eastAsia"/>
          <w:lang w:eastAsia="zh-CN"/>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pPr>
        <w:bidi w:val="0"/>
        <w:ind w:left="0" w:leftChars="0" w:firstLine="420" w:firstLineChars="200"/>
        <w:rPr>
          <w:rFonts w:hint="eastAsia"/>
        </w:rPr>
      </w:pPr>
      <w:r>
        <w:rPr>
          <w:rFonts w:hint="eastAsia"/>
          <w:lang w:val="en-US" w:eastAsia="zh-CN"/>
        </w:rPr>
        <w:t>第六、七、八处，</w:t>
      </w:r>
      <w:r>
        <w:rPr>
          <w:rFonts w:hint="eastAsia"/>
        </w:rPr>
        <w:t>在“从业人员”、“营业收入”、“资产总额”下划线处如实填写从业人员、营业收入、资产总额</w:t>
      </w:r>
      <w:r>
        <w:rPr>
          <w:rFonts w:hint="eastAsia"/>
          <w:lang w:eastAsia="zh-CN"/>
        </w:rPr>
        <w:t>。从业人员、资产总额指标以上年度末数据为依据，营业收入指标以上年度累计数据为依据。无上年度数据的新成立企业可不填报。</w:t>
      </w:r>
    </w:p>
    <w:p>
      <w:pPr>
        <w:bidi w:val="0"/>
        <w:ind w:left="0" w:leftChars="0" w:firstLine="420" w:firstLineChars="200"/>
        <w:rPr>
          <w:rFonts w:hint="eastAsia"/>
        </w:rPr>
      </w:pPr>
      <w:r>
        <w:rPr>
          <w:rFonts w:hint="eastAsia"/>
          <w:lang w:val="en-US" w:eastAsia="zh-CN"/>
        </w:rPr>
        <w:t>第九处，</w:t>
      </w:r>
      <w:r>
        <w:rPr>
          <w:rFonts w:hint="eastAsia"/>
        </w:rPr>
        <w:t>在“中型企业、小型企业、微型企业”下划线处应依据企业上年度从业人员、营业收入、资产总额等指标</w:t>
      </w:r>
      <w:r>
        <w:rPr>
          <w:rFonts w:hint="eastAsia"/>
          <w:lang w:eastAsia="zh-CN"/>
        </w:rPr>
        <w:t>，</w:t>
      </w:r>
      <w:r>
        <w:rPr>
          <w:rFonts w:hint="eastAsia"/>
        </w:rPr>
        <w:t>按照《中小企业划型标准规定》（工信部联企业〔2011〕300号）、《金融业企业划型标准规定》（银发〔2015〕309号）</w:t>
      </w:r>
      <w:r>
        <w:rPr>
          <w:rFonts w:hint="eastAsia"/>
          <w:lang w:eastAsia="zh-CN"/>
        </w:rPr>
        <w:t>，</w:t>
      </w:r>
      <w:r>
        <w:rPr>
          <w:rFonts w:hint="eastAsia"/>
        </w:rPr>
        <w:t>判断《中小企业声明函》载明的</w:t>
      </w:r>
      <w:r>
        <w:rPr>
          <w:rFonts w:hint="eastAsia"/>
          <w:lang w:eastAsia="zh-CN"/>
        </w:rPr>
        <w:t>服务承接商</w:t>
      </w:r>
      <w:r>
        <w:rPr>
          <w:rFonts w:hint="eastAsia"/>
        </w:rPr>
        <w:t>是否属于采购文件所属行业的中型企业/小型企业/微型企业。</w:t>
      </w:r>
    </w:p>
    <w:p>
      <w:pPr>
        <w:bidi w:val="0"/>
        <w:ind w:left="0" w:leftChars="0" w:firstLine="420" w:firstLineChars="200"/>
        <w:rPr>
          <w:rFonts w:hint="eastAsia"/>
          <w:lang w:eastAsia="zh-CN"/>
        </w:rPr>
      </w:pPr>
      <w:r>
        <w:rPr>
          <w:rFonts w:hint="eastAsia"/>
          <w:lang w:eastAsia="zh-CN"/>
        </w:rPr>
        <w:t>（</w:t>
      </w:r>
      <w:r>
        <w:rPr>
          <w:rFonts w:hint="eastAsia"/>
          <w:lang w:val="en-US" w:eastAsia="zh-CN"/>
        </w:rPr>
        <w:t>2</w:t>
      </w:r>
      <w:r>
        <w:rPr>
          <w:rFonts w:hint="eastAsia"/>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bidi w:val="0"/>
        <w:ind w:left="0" w:leftChars="0" w:firstLine="420" w:firstLineChars="20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highlight w:val="yellow"/>
        </w:rPr>
        <w:t>事业单位、社会组织等非企业主体不享受中小企业扶持政策</w:t>
      </w:r>
      <w:r>
        <w:rPr>
          <w:rFonts w:hint="eastAsia"/>
          <w:highlight w:val="yellow"/>
          <w:lang w:eastAsia="zh-CN"/>
        </w:rPr>
        <w:t>。</w:t>
      </w:r>
    </w:p>
    <w:p>
      <w:pPr>
        <w:bidi w:val="0"/>
        <w:ind w:left="0" w:leftChars="0" w:firstLine="420" w:firstLineChars="200"/>
      </w:pPr>
      <w:r>
        <w:rPr>
          <w:rFonts w:hint="eastAsia"/>
        </w:rPr>
        <w:t>（</w:t>
      </w:r>
      <w:r>
        <w:rPr>
          <w:rFonts w:hint="eastAsia"/>
          <w:lang w:val="en-US" w:eastAsia="zh-CN"/>
        </w:rPr>
        <w:t>4</w:t>
      </w:r>
      <w:r>
        <w:rPr>
          <w:rFonts w:hint="eastAsia"/>
        </w:rPr>
        <w:t>）声明是残疾人福利性单位须填写《残疾人福利性单位声明函》的相关内容，具体参照以上《中小企业声明函》填写要求执行。</w:t>
      </w:r>
    </w:p>
    <w:p>
      <w:pPr>
        <w:bidi w:val="0"/>
        <w:ind w:left="0" w:leftChars="0" w:firstLine="420" w:firstLineChars="200"/>
      </w:pPr>
      <w:r>
        <w:rPr>
          <w:rFonts w:hint="eastAsia"/>
        </w:rPr>
        <w:t>（</w:t>
      </w:r>
      <w:r>
        <w:rPr>
          <w:rFonts w:hint="eastAsia"/>
          <w:lang w:val="en-US" w:eastAsia="zh-CN"/>
        </w:rPr>
        <w:t>5</w:t>
      </w:r>
      <w:r>
        <w:rPr>
          <w:rFonts w:hint="eastAsia"/>
        </w:rPr>
        <w:t>）声明是监狱企业须填写《监狱企业声明函》的三项内容（填写位置的字体已加粗），具体参照以上《中小企业声明函》填写要求执行。</w:t>
      </w:r>
    </w:p>
    <w:p>
      <w:pPr>
        <w:bidi w:val="0"/>
        <w:ind w:left="0" w:leftChars="0" w:firstLine="420" w:firstLineChars="200"/>
        <w:rPr>
          <w:rFonts w:hint="eastAsia"/>
          <w:lang w:val="en-US" w:eastAsia="zh-CN"/>
        </w:rPr>
      </w:pPr>
      <w:r>
        <w:rPr>
          <w:rFonts w:hint="eastAsia"/>
          <w:lang w:val="en-US" w:eastAsia="zh-CN"/>
        </w:rPr>
        <w:t>5、本项目属于服务类项目，相关服务承接商应当为中小企业或残疾人福利性单位或监狱企业，如包含硬件设备、产品等货物采购的，不再对其中涉及的货物制造商作出要求。</w:t>
      </w:r>
    </w:p>
    <w:p>
      <w:pPr>
        <w:bidi w:val="0"/>
        <w:ind w:left="0" w:leftChars="0" w:firstLine="420" w:firstLineChars="200"/>
        <w:rPr>
          <w:rFonts w:hint="eastAsia"/>
          <w:lang w:val="en-US" w:eastAsia="zh-CN"/>
        </w:rPr>
      </w:pPr>
      <w:r>
        <w:rPr>
          <w:rFonts w:hint="eastAsia"/>
          <w:lang w:val="en-US" w:eastAsia="zh-CN"/>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bidi w:val="0"/>
        <w:ind w:left="0" w:leftChars="0" w:firstLine="420" w:firstLineChars="200"/>
        <w:rPr>
          <w:rFonts w:hint="eastAsia"/>
          <w:lang w:val="en-US" w:eastAsia="zh-CN"/>
        </w:rPr>
      </w:pPr>
      <w:r>
        <w:rPr>
          <w:rFonts w:hint="eastAsia"/>
          <w:lang w:val="en-US" w:eastAsia="zh-CN"/>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pStyle w:val="2"/>
      </w:pPr>
    </w:p>
    <w:bookmarkEnd w:id="44"/>
    <w:p>
      <w:pPr>
        <w:numPr>
          <w:ilvl w:val="0"/>
          <w:numId w:val="104"/>
        </w:numPr>
        <w:jc w:val="center"/>
        <w:outlineLvl w:val="3"/>
        <w:rPr>
          <w:b/>
          <w:sz w:val="24"/>
        </w:rPr>
      </w:pPr>
      <w:r>
        <w:rPr>
          <w:b/>
          <w:sz w:val="24"/>
        </w:rPr>
        <w:t>中小企业声明函（</w:t>
      </w:r>
      <w:r>
        <w:rPr>
          <w:rFonts w:hint="eastAsia"/>
          <w:b/>
          <w:sz w:val="24"/>
        </w:rPr>
        <w:t>服务</w:t>
      </w:r>
      <w:r>
        <w:rPr>
          <w:b/>
          <w:sz w:val="24"/>
        </w:rPr>
        <w:t>）</w:t>
      </w:r>
    </w:p>
    <w:p>
      <w:pPr>
        <w:pStyle w:val="2"/>
      </w:pPr>
    </w:p>
    <w:p>
      <w:pPr>
        <w:bidi w:val="0"/>
        <w:ind w:left="0" w:leftChars="0" w:firstLine="420" w:firstLineChars="200"/>
        <w:rPr>
          <w:rFonts w:asciiTheme="minorEastAsia" w:hAnsiTheme="minorEastAsia" w:cstheme="minorEastAsia"/>
          <w:szCs w:val="21"/>
        </w:rPr>
      </w:pPr>
      <w:r>
        <w:rPr>
          <w:rFonts w:hint="eastAsia" w:asciiTheme="minorEastAsia" w:hAnsiTheme="minorEastAsia" w:cstheme="minorEastAsia"/>
          <w:szCs w:val="21"/>
        </w:rPr>
        <w:t>本公司郑重声明，根据《政府采购促进中小企业发展管理办法》（财库﹝2020﹞46号）的规定，本公司参加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采购活动，服务全部由符合政策要求的中小企业承接。相关企业（含联合体中的中小企业、签订分包意向协议的中小企业）的具体情况如下：</w:t>
      </w:r>
    </w:p>
    <w:p>
      <w:pPr>
        <w:bidi w:val="0"/>
        <w:ind w:left="0" w:leftChars="0" w:firstLine="420" w:firstLineChars="200"/>
        <w:rPr>
          <w:rFonts w:asciiTheme="minorEastAsia" w:hAnsiTheme="minorEastAsia" w:cstheme="minorEastAsia"/>
          <w:szCs w:val="21"/>
        </w:rPr>
      </w:pPr>
      <w:r>
        <w:rPr>
          <w:rFonts w:hint="eastAsia" w:asciiTheme="minorEastAsia" w:hAnsiTheme="minorEastAsia" w:cstheme="minorEastAsia"/>
          <w:szCs w:val="21"/>
        </w:rPr>
        <w:t>1.</w:t>
      </w:r>
      <w:r>
        <w:rPr>
          <w:rFonts w:hint="eastAsia" w:asciiTheme="minorEastAsia" w:hAnsiTheme="minorEastAsia" w:cstheme="minorEastAsia"/>
          <w:b/>
          <w:bCs/>
          <w:i/>
          <w:iCs/>
          <w:szCs w:val="21"/>
          <w:u w:val="single"/>
        </w:rPr>
        <w:t xml:space="preserve">    （标的名称）     </w:t>
      </w:r>
      <w:r>
        <w:rPr>
          <w:rFonts w:hint="eastAsia" w:asciiTheme="minorEastAsia" w:hAnsiTheme="minorEastAsia" w:cstheme="minorEastAsia"/>
          <w:szCs w:val="21"/>
        </w:rPr>
        <w:t>，属于</w:t>
      </w:r>
      <w:r>
        <w:rPr>
          <w:rFonts w:hint="eastAsia" w:asciiTheme="minorEastAsia" w:hAnsiTheme="minorEastAsia" w:cstheme="minorEastAsia"/>
          <w:b/>
          <w:bCs/>
          <w:i/>
          <w:iCs/>
          <w:szCs w:val="21"/>
          <w:u w:val="single"/>
        </w:rPr>
        <w:t xml:space="preserve">    （采购文件中明确的所属行业）    </w:t>
      </w:r>
      <w:r>
        <w:rPr>
          <w:rFonts w:hint="eastAsia" w:asciiTheme="minorEastAsia" w:hAnsiTheme="minorEastAsia" w:cstheme="minorEastAsia"/>
          <w:szCs w:val="21"/>
        </w:rPr>
        <w:t>行业；承接企业为</w:t>
      </w:r>
      <w:r>
        <w:rPr>
          <w:rFonts w:hint="eastAsia" w:asciiTheme="minorEastAsia" w:hAnsi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cstheme="minorEastAsia"/>
          <w:szCs w:val="21"/>
        </w:rPr>
        <w:t>，从业人员</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人，营业收入为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万元，资产总额为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万元，属于</w:t>
      </w:r>
      <w:r>
        <w:rPr>
          <w:rFonts w:hint="eastAsia" w:asciiTheme="minorEastAsia" w:hAnsiTheme="minorEastAsia" w:cstheme="minorEastAsia"/>
          <w:b/>
          <w:bCs/>
          <w:i/>
          <w:iCs/>
          <w:szCs w:val="21"/>
          <w:u w:val="single"/>
        </w:rPr>
        <w:t xml:space="preserve">    （中型企业、小型企业、微型企业）    </w:t>
      </w:r>
      <w:r>
        <w:rPr>
          <w:rFonts w:hint="eastAsia" w:asciiTheme="minorEastAsia" w:hAnsiTheme="minorEastAsia" w:cstheme="minorEastAsia"/>
          <w:szCs w:val="21"/>
        </w:rPr>
        <w:t>；</w:t>
      </w:r>
    </w:p>
    <w:p>
      <w:pPr>
        <w:bidi w:val="0"/>
        <w:ind w:left="0" w:leftChars="0" w:firstLine="420" w:firstLineChars="200"/>
        <w:rPr>
          <w:rFonts w:asciiTheme="minorEastAsia" w:hAnsiTheme="minorEastAsia" w:cstheme="minorEastAsia"/>
          <w:szCs w:val="21"/>
        </w:rPr>
      </w:pPr>
      <w:r>
        <w:rPr>
          <w:rFonts w:hint="eastAsia" w:asciiTheme="minorEastAsia" w:hAnsiTheme="minorEastAsia" w:cstheme="minorEastAsia"/>
          <w:szCs w:val="21"/>
        </w:rPr>
        <w:t>2.</w:t>
      </w:r>
      <w:r>
        <w:rPr>
          <w:rFonts w:hint="eastAsia" w:asciiTheme="minorEastAsia" w:hAnsiTheme="minorEastAsia" w:cstheme="minorEastAsia"/>
          <w:b/>
          <w:bCs/>
          <w:i/>
          <w:iCs/>
          <w:szCs w:val="21"/>
          <w:u w:val="single"/>
        </w:rPr>
        <w:t xml:space="preserve">    （标的名称）     </w:t>
      </w:r>
      <w:r>
        <w:rPr>
          <w:rFonts w:hint="eastAsia" w:asciiTheme="minorEastAsia" w:hAnsiTheme="minorEastAsia" w:cstheme="minorEastAsia"/>
          <w:szCs w:val="21"/>
        </w:rPr>
        <w:t>，属于</w:t>
      </w:r>
      <w:r>
        <w:rPr>
          <w:rFonts w:hint="eastAsia" w:asciiTheme="minorEastAsia" w:hAnsiTheme="minorEastAsia" w:cstheme="minorEastAsia"/>
          <w:b/>
          <w:bCs/>
          <w:i/>
          <w:iCs/>
          <w:szCs w:val="21"/>
          <w:u w:val="single"/>
        </w:rPr>
        <w:t xml:space="preserve">    （采购文件中明确的所属行业）    </w:t>
      </w:r>
      <w:r>
        <w:rPr>
          <w:rFonts w:hint="eastAsia" w:asciiTheme="minorEastAsia" w:hAnsiTheme="minorEastAsia" w:cstheme="minorEastAsia"/>
          <w:szCs w:val="21"/>
        </w:rPr>
        <w:t>行业；承接企业为</w:t>
      </w:r>
      <w:r>
        <w:rPr>
          <w:rFonts w:hint="eastAsia" w:asciiTheme="minorEastAsia" w:hAnsi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cstheme="minorEastAsia"/>
          <w:szCs w:val="21"/>
        </w:rPr>
        <w:t>，从业人员</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人，营业收入为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万元，资产总额为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万元，属于</w:t>
      </w:r>
      <w:r>
        <w:rPr>
          <w:rFonts w:hint="eastAsia" w:asciiTheme="minorEastAsia" w:hAnsiTheme="minorEastAsia" w:cstheme="minorEastAsia"/>
          <w:b/>
          <w:bCs/>
          <w:i/>
          <w:iCs/>
          <w:szCs w:val="21"/>
          <w:u w:val="single"/>
        </w:rPr>
        <w:t xml:space="preserve">    （中型企业、小型企业、微型企业）    </w:t>
      </w:r>
      <w:r>
        <w:rPr>
          <w:rFonts w:hint="eastAsia" w:asciiTheme="minorEastAsia" w:hAnsiTheme="minorEastAsia" w:cstheme="minorEastAsia"/>
          <w:szCs w:val="21"/>
        </w:rPr>
        <w:t>；</w:t>
      </w:r>
    </w:p>
    <w:p>
      <w:pPr>
        <w:bidi w:val="0"/>
        <w:ind w:left="0" w:leftChars="0" w:firstLine="420" w:firstLineChars="200"/>
      </w:pPr>
      <w:r>
        <w:rPr>
          <w:rFonts w:hint="eastAsia"/>
        </w:rPr>
        <w:t>……</w:t>
      </w:r>
    </w:p>
    <w:p>
      <w:pPr>
        <w:bidi w:val="0"/>
        <w:ind w:left="0" w:leftChars="0" w:firstLine="420" w:firstLineChars="200"/>
      </w:pPr>
      <w:r>
        <w:rPr>
          <w:rFonts w:hint="eastAsia"/>
        </w:rPr>
        <w:t>以上企业，不属于大企业的分支机构，不存在控股股东为大企业的情形，也不存在与大企业的负责人为同一人的情形。</w:t>
      </w:r>
    </w:p>
    <w:p>
      <w:pPr>
        <w:bidi w:val="0"/>
        <w:ind w:left="0" w:leftChars="0" w:firstLine="420" w:firstLineChars="200"/>
      </w:pPr>
      <w:r>
        <w:rPr>
          <w:rFonts w:hint="eastAsia"/>
        </w:rPr>
        <w:t>本企业对上述声明内容的真实性负责。如有虚假，将依法承担相应责任。</w:t>
      </w:r>
    </w:p>
    <w:p>
      <w:pPr>
        <w:bidi w:val="0"/>
        <w:ind w:left="0" w:leftChars="0" w:firstLine="420" w:firstLineChars="200"/>
      </w:pPr>
      <w:bookmarkStart w:id="47" w:name="_Hlk73562275"/>
      <w:r>
        <w:rPr>
          <w:rFonts w:hint="eastAsia"/>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47"/>
    </w:p>
    <w:p>
      <w:pPr>
        <w:ind w:firstLine="420" w:firstLineChars="200"/>
      </w:pPr>
    </w:p>
    <w:p>
      <w:pPr>
        <w:jc w:val="center"/>
        <w:outlineLvl w:val="3"/>
        <w:rPr>
          <w:b/>
          <w:sz w:val="24"/>
        </w:rPr>
      </w:pPr>
      <w:r>
        <w:rPr>
          <w:rFonts w:hint="eastAsia"/>
          <w:b/>
          <w:sz w:val="24"/>
        </w:rPr>
        <w:t>2、残疾人福利性单位声明函（服务类）</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项目采购活动由本单位提供服务。</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p>
    <w:p>
      <w:pPr>
        <w:ind w:firstLine="420" w:firstLineChars="200"/>
        <w:rPr>
          <w:rFonts w:ascii="宋体" w:hAnsi="宋体"/>
          <w:szCs w:val="21"/>
        </w:rPr>
      </w:pPr>
    </w:p>
    <w:p>
      <w:pPr>
        <w:jc w:val="center"/>
        <w:outlineLvl w:val="3"/>
        <w:rPr>
          <w:b/>
          <w:sz w:val="24"/>
        </w:rPr>
      </w:pPr>
      <w:r>
        <w:rPr>
          <w:rFonts w:hint="eastAsia"/>
          <w:b/>
          <w:sz w:val="24"/>
        </w:rPr>
        <w:t>3、监狱企业声明函【服务类，监狱企业如需享受优惠政策，还须另行提供省级以上监狱管理局、戒毒管理局（含新疆生产建设兵团）出具的监狱企业证明文件】</w:t>
      </w:r>
    </w:p>
    <w:p>
      <w:pPr>
        <w:ind w:firstLine="420" w:firstLineChars="200"/>
        <w:rPr>
          <w:rFonts w:ascii="宋体" w:hAnsi="宋体"/>
          <w:szCs w:val="21"/>
        </w:rPr>
      </w:pPr>
      <w:r>
        <w:rPr>
          <w:rFonts w:hint="eastAsia" w:ascii="宋体" w:hAnsi="宋体"/>
          <w:szCs w:val="21"/>
        </w:rPr>
        <w:t>本投标人郑重声明，根据《财政部司法部关于政府采购支持监狱企业发展有关问题的通知》（财库〔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szCs w:val="21"/>
          <w:u w:val="single"/>
        </w:rPr>
        <w:t>（</w:t>
      </w:r>
      <w:r>
        <w:rPr>
          <w:rFonts w:hint="eastAsia" w:ascii="宋体" w:hAnsi="宋体"/>
          <w:b/>
          <w:bCs/>
          <w:szCs w:val="21"/>
          <w:u w:val="single"/>
        </w:rPr>
        <w:t>采购人</w:t>
      </w:r>
      <w:r>
        <w:rPr>
          <w:rFonts w:ascii="宋体" w:hAnsi="宋体"/>
          <w:b/>
          <w:bCs/>
          <w:szCs w:val="21"/>
          <w:u w:val="single"/>
        </w:rPr>
        <w:t>名称）</w:t>
      </w:r>
      <w:r>
        <w:rPr>
          <w:rFonts w:ascii="宋体" w:hAnsi="宋体"/>
          <w:szCs w:val="21"/>
        </w:rPr>
        <w:t>的</w:t>
      </w:r>
      <w:r>
        <w:rPr>
          <w:rFonts w:ascii="宋体" w:hAnsi="宋体"/>
          <w:b/>
          <w:bCs/>
          <w:szCs w:val="21"/>
          <w:u w:val="single"/>
        </w:rPr>
        <w:t>（项目名称）</w:t>
      </w:r>
      <w:r>
        <w:rPr>
          <w:rFonts w:ascii="宋体" w:hAnsi="宋体"/>
          <w:szCs w:val="21"/>
        </w:rPr>
        <w:t>采购活动，</w:t>
      </w:r>
      <w:r>
        <w:rPr>
          <w:rFonts w:hint="eastAsia" w:ascii="宋体" w:hAnsi="宋体"/>
          <w:szCs w:val="21"/>
        </w:rPr>
        <w:t>服务</w:t>
      </w:r>
      <w:r>
        <w:rPr>
          <w:rFonts w:ascii="宋体" w:hAnsi="宋体"/>
          <w:szCs w:val="21"/>
        </w:rPr>
        <w:t>全部由符合政策要求的</w:t>
      </w:r>
      <w:r>
        <w:rPr>
          <w:rFonts w:hint="eastAsia" w:ascii="宋体" w:hAnsi="宋体"/>
          <w:szCs w:val="21"/>
        </w:rPr>
        <w:t>监狱企业承接</w:t>
      </w:r>
      <w:r>
        <w:rPr>
          <w:rFonts w:ascii="宋体" w:hAnsi="宋体"/>
          <w:szCs w:val="21"/>
        </w:rPr>
        <w:t>。相关</w:t>
      </w:r>
      <w:r>
        <w:rPr>
          <w:rFonts w:hint="eastAsia" w:ascii="宋体" w:hAnsi="宋体"/>
          <w:szCs w:val="21"/>
        </w:rPr>
        <w:t>监狱企业</w:t>
      </w:r>
      <w:r>
        <w:rPr>
          <w:rFonts w:ascii="宋体" w:hAnsi="宋体"/>
          <w:szCs w:val="21"/>
        </w:rPr>
        <w:t>的具体情况如下：</w:t>
      </w:r>
    </w:p>
    <w:p>
      <w:pPr>
        <w:ind w:firstLine="420" w:firstLineChars="200"/>
        <w:rPr>
          <w:rFonts w:ascii="宋体" w:hAnsi="宋体"/>
          <w:szCs w:val="21"/>
        </w:rPr>
      </w:pPr>
      <w:r>
        <w:rPr>
          <w:rFonts w:ascii="宋体" w:hAnsi="宋体"/>
          <w:szCs w:val="21"/>
        </w:rPr>
        <w:t>1.</w:t>
      </w:r>
      <w:r>
        <w:rPr>
          <w:rFonts w:ascii="宋体" w:hAnsi="宋体"/>
          <w:b/>
          <w:bCs/>
          <w:szCs w:val="21"/>
          <w:u w:val="single"/>
        </w:rPr>
        <w:t xml:space="preserve"> </w:t>
      </w:r>
      <w:r>
        <w:rPr>
          <w:rFonts w:ascii="宋体" w:hAnsi="宋体"/>
          <w:b/>
          <w:bCs/>
          <w:i/>
          <w:iCs/>
          <w:szCs w:val="21"/>
          <w:u w:val="single"/>
        </w:rPr>
        <w:t>（标的名称</w:t>
      </w:r>
      <w:r>
        <w:rPr>
          <w:rFonts w:ascii="宋体" w:hAnsi="宋体"/>
          <w:b/>
          <w:bCs/>
          <w:szCs w:val="21"/>
          <w:u w:val="single"/>
        </w:rPr>
        <w:t>）</w:t>
      </w:r>
      <w:r>
        <w:rPr>
          <w:rFonts w:ascii="宋体" w:hAnsi="宋体"/>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ascii="宋体" w:hAnsi="宋体"/>
          <w:szCs w:val="21"/>
        </w:rPr>
        <w:t>；</w:t>
      </w:r>
    </w:p>
    <w:p>
      <w:pPr>
        <w:ind w:firstLine="420" w:firstLineChars="200"/>
        <w:rPr>
          <w:rFonts w:ascii="宋体" w:hAnsi="宋体"/>
          <w:szCs w:val="21"/>
        </w:rPr>
      </w:pPr>
      <w:r>
        <w:rPr>
          <w:rFonts w:ascii="宋体" w:hAnsi="宋体"/>
          <w:szCs w:val="21"/>
        </w:rPr>
        <w:t>2.</w:t>
      </w:r>
      <w:r>
        <w:rPr>
          <w:rFonts w:ascii="宋体" w:hAnsi="宋体"/>
          <w:b/>
          <w:bCs/>
          <w:szCs w:val="21"/>
          <w:u w:val="single"/>
        </w:rPr>
        <w:t xml:space="preserve"> </w:t>
      </w:r>
      <w:r>
        <w:rPr>
          <w:rFonts w:ascii="宋体" w:hAnsi="宋体"/>
          <w:b/>
          <w:bCs/>
          <w:i/>
          <w:iCs/>
          <w:szCs w:val="21"/>
          <w:u w:val="single"/>
        </w:rPr>
        <w:t>（标的名称）</w:t>
      </w:r>
      <w:r>
        <w:rPr>
          <w:rFonts w:ascii="宋体" w:hAnsi="宋体"/>
          <w:i/>
          <w:iCs/>
          <w:szCs w:val="21"/>
        </w:rPr>
        <w:t xml:space="preserve"> </w:t>
      </w:r>
      <w:r>
        <w:rPr>
          <w:rFonts w:hint="eastAsia" w:ascii="宋体" w:hAnsi="宋体"/>
          <w:szCs w:val="21"/>
        </w:rPr>
        <w:t>，承接单位</w:t>
      </w:r>
      <w:r>
        <w:rPr>
          <w:rFonts w:ascii="宋体" w:hAnsi="宋体"/>
          <w:szCs w:val="21"/>
        </w:rPr>
        <w:t>为</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ascii="宋体" w:hAnsi="宋体"/>
          <w:szCs w:val="21"/>
        </w:rPr>
        <w:t>，属于</w:t>
      </w:r>
      <w:r>
        <w:rPr>
          <w:rFonts w:hint="eastAsia" w:ascii="宋体" w:hAnsi="宋体"/>
          <w:b/>
          <w:bCs/>
          <w:i/>
          <w:iCs/>
          <w:szCs w:val="21"/>
          <w:u w:val="single"/>
        </w:rPr>
        <w:t>监狱企业</w:t>
      </w:r>
      <w:r>
        <w:rPr>
          <w:rFonts w:hint="eastAsia" w:ascii="宋体" w:hAnsi="宋体"/>
          <w:szCs w:val="21"/>
        </w:rPr>
        <w:t>。</w:t>
      </w:r>
    </w:p>
    <w:p>
      <w:pPr>
        <w:bidi w:val="0"/>
        <w:ind w:left="0" w:leftChars="0" w:firstLine="420" w:firstLineChars="200"/>
      </w:pPr>
      <w:r>
        <w:t xml:space="preserve">…… </w:t>
      </w:r>
    </w:p>
    <w:p>
      <w:pPr>
        <w:ind w:firstLine="420" w:firstLineChars="200"/>
        <w:rPr>
          <w:rFonts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pPr>
        <w:ind w:firstLine="420" w:firstLineChars="200"/>
        <w:rPr>
          <w:rFonts w:hint="eastAsia" w:ascii="宋体" w:hAnsi="宋体"/>
          <w:szCs w:val="21"/>
        </w:rPr>
      </w:pPr>
      <w:r>
        <w:rPr>
          <w:rFonts w:hint="eastAsia" w:ascii="宋体" w:hAnsi="宋体"/>
          <w:szCs w:val="21"/>
        </w:rPr>
        <w:t>附：省级以上监狱管理局、戒毒管理局（含新疆生产建设兵团）出具的监狱企业证明文件。</w:t>
      </w:r>
    </w:p>
    <w:p>
      <w:pPr>
        <w:pStyle w:val="2"/>
      </w:pPr>
    </w:p>
    <w:p>
      <w:pPr>
        <w:pStyle w:val="5"/>
        <w:numPr>
          <w:ilvl w:val="0"/>
          <w:numId w:val="103"/>
        </w:numPr>
        <w:ind w:left="0" w:leftChars="0" w:firstLine="0" w:firstLineChars="0"/>
        <w:jc w:val="center"/>
        <w:rPr>
          <w:rFonts w:ascii="黑体" w:eastAsia="黑体"/>
          <w:b w:val="0"/>
          <w:sz w:val="24"/>
        </w:rPr>
      </w:pPr>
      <w:bookmarkStart w:id="48" w:name="_Hlk72092499"/>
      <w:bookmarkStart w:id="49" w:name="OLE_LINK22"/>
      <w:bookmarkStart w:id="50" w:name="OLE_LINK17"/>
      <w:r>
        <w:rPr>
          <w:rFonts w:hint="eastAsia" w:ascii="黑体" w:eastAsia="黑体"/>
          <w:b w:val="0"/>
          <w:sz w:val="24"/>
        </w:rPr>
        <w:t>法定代表人（负责人）证明书</w:t>
      </w:r>
      <w:bookmarkEnd w:id="48"/>
      <w:bookmarkEnd w:id="49"/>
    </w:p>
    <w:p>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105"/>
        </w:numPr>
        <w:spacing w:line="360" w:lineRule="auto"/>
        <w:ind w:firstLine="420" w:firstLineChars="200"/>
        <w:rPr>
          <w:szCs w:val="21"/>
        </w:rPr>
      </w:pPr>
      <w:r>
        <w:rPr>
          <w:rFonts w:hint="eastAsia"/>
          <w:szCs w:val="21"/>
          <w:lang w:eastAsia="zh-Hans"/>
        </w:rPr>
        <w:t>本证明书</w:t>
      </w:r>
      <w:r>
        <w:rPr>
          <w:rFonts w:hint="eastAsia"/>
          <w:szCs w:val="21"/>
          <w:lang w:eastAsia="zh-CN"/>
        </w:rPr>
        <w:t>要提</w:t>
      </w:r>
      <w:r>
        <w:rPr>
          <w:rFonts w:hint="eastAsia"/>
          <w:szCs w:val="21"/>
          <w:lang w:eastAsia="zh-Hans"/>
        </w:rPr>
        <w:t>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pPr>
        <w:numPr>
          <w:ilvl w:val="0"/>
          <w:numId w:val="105"/>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pPr>
        <w:numPr>
          <w:ilvl w:val="0"/>
          <w:numId w:val="105"/>
        </w:numPr>
        <w:spacing w:line="360" w:lineRule="auto"/>
        <w:ind w:firstLine="420" w:firstLineChars="200"/>
        <w:rPr>
          <w:szCs w:val="21"/>
        </w:rPr>
      </w:pPr>
      <w:r>
        <w:rPr>
          <w:rFonts w:hint="eastAsia"/>
          <w:szCs w:val="21"/>
        </w:rPr>
        <w:t>内容必须填写真实、清楚，涂改无效，不得转让、买卖。</w:t>
      </w:r>
    </w:p>
    <w:p>
      <w:pPr>
        <w:pStyle w:val="2"/>
      </w:pPr>
    </w:p>
    <w:tbl>
      <w:tblPr>
        <w:tblStyle w:val="2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jc w:val="center"/>
            </w:pPr>
            <w:r>
              <w:rPr>
                <w:rFonts w:hint="eastAsia"/>
              </w:rPr>
              <w:t>证件扫描件正面</w:t>
            </w:r>
          </w:p>
          <w:p>
            <w:pPr>
              <w:pStyle w:val="2"/>
              <w:jc w:val="center"/>
            </w:pPr>
          </w:p>
          <w:p>
            <w:pPr>
              <w:pStyle w:val="19"/>
              <w:jc w:val="center"/>
            </w:pPr>
          </w:p>
          <w:p>
            <w:pPr>
              <w:pStyle w:val="19"/>
              <w:jc w:val="center"/>
            </w:pPr>
          </w:p>
        </w:tc>
        <w:tc>
          <w:tcPr>
            <w:tcW w:w="4265" w:type="dxa"/>
          </w:tcPr>
          <w:p>
            <w:pPr>
              <w:jc w:val="center"/>
            </w:pPr>
            <w:r>
              <w:rPr>
                <w:rFonts w:hint="eastAsia"/>
              </w:rPr>
              <w:t>证件扫描件反面</w:t>
            </w:r>
          </w:p>
          <w:p>
            <w:pPr>
              <w:pStyle w:val="2"/>
              <w:jc w:val="center"/>
            </w:pPr>
          </w:p>
          <w:p>
            <w:pPr>
              <w:pStyle w:val="19"/>
              <w:jc w:val="center"/>
            </w:pPr>
          </w:p>
          <w:p>
            <w:pPr>
              <w:pStyle w:val="19"/>
              <w:jc w:val="center"/>
            </w:pPr>
          </w:p>
        </w:tc>
      </w:tr>
    </w:tbl>
    <w:p>
      <w:pPr>
        <w:spacing w:line="360" w:lineRule="auto"/>
        <w:ind w:firstLine="422" w:firstLineChars="200"/>
        <w:rPr>
          <w:rFonts w:hint="eastAsia"/>
          <w:lang w:val="en-US" w:eastAsia="zh-CN"/>
        </w:rPr>
      </w:pPr>
      <w:r>
        <w:rPr>
          <w:rFonts w:hint="eastAsia"/>
          <w:b/>
          <w:bCs/>
          <w:color w:val="FF0000"/>
          <w:szCs w:val="21"/>
          <w:u w:val="none"/>
        </w:rPr>
        <w:t>温馨提示：为避免出现《深圳经济特区政府采购条例实施细则》第七十五条第二项所列情形，请投标供应商核实你单位法定代表人、本项目投标授权代表人、项目负责人（如有）、主要技术人员（如有）等是否在贵公司缴纳社会保险。</w:t>
      </w:r>
    </w:p>
    <w:p>
      <w:pPr>
        <w:rPr>
          <w:sz w:val="24"/>
        </w:rPr>
      </w:pPr>
    </w:p>
    <w:p>
      <w:pPr>
        <w:pStyle w:val="5"/>
        <w:numPr>
          <w:ilvl w:val="0"/>
          <w:numId w:val="103"/>
        </w:numPr>
        <w:ind w:left="0" w:leftChars="0" w:firstLine="0" w:firstLineChars="0"/>
        <w:jc w:val="center"/>
        <w:rPr>
          <w:rFonts w:hint="eastAsia" w:ascii="黑体" w:hAnsi="宋体" w:eastAsia="黑体"/>
          <w:b w:val="0"/>
          <w:sz w:val="24"/>
        </w:rPr>
      </w:pPr>
      <w:bookmarkStart w:id="51" w:name="OLE_LINK23"/>
      <w:r>
        <w:rPr>
          <w:rFonts w:hint="eastAsia" w:ascii="黑体" w:hAnsi="宋体" w:eastAsia="黑体"/>
          <w:b w:val="0"/>
          <w:sz w:val="24"/>
        </w:rPr>
        <w:t>投标文件签署授权委托书</w:t>
      </w:r>
    </w:p>
    <w:bookmarkEnd w:id="51"/>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rFonts w:hint="eastAsia"/>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p>
      <w:pPr>
        <w:pStyle w:val="2"/>
      </w:pPr>
    </w:p>
    <w:tbl>
      <w:tblPr>
        <w:tblStyle w:val="2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4" w:type="dxa"/>
          </w:tcPr>
          <w:p>
            <w:pPr>
              <w:jc w:val="center"/>
            </w:pPr>
            <w:r>
              <w:rPr>
                <w:rFonts w:hint="eastAsia" w:ascii="Times New Roman" w:eastAsia="宋体"/>
              </w:rPr>
              <w:t>证件扫描件正面</w:t>
            </w:r>
          </w:p>
          <w:p>
            <w:pPr>
              <w:pStyle w:val="2"/>
              <w:jc w:val="center"/>
            </w:pPr>
          </w:p>
          <w:p>
            <w:pPr>
              <w:pStyle w:val="19"/>
              <w:jc w:val="center"/>
            </w:pPr>
          </w:p>
          <w:p>
            <w:pPr>
              <w:pStyle w:val="19"/>
              <w:jc w:val="center"/>
            </w:pPr>
          </w:p>
        </w:tc>
        <w:tc>
          <w:tcPr>
            <w:tcW w:w="4265" w:type="dxa"/>
          </w:tcPr>
          <w:p>
            <w:pPr>
              <w:jc w:val="center"/>
            </w:pPr>
            <w:r>
              <w:rPr>
                <w:rFonts w:hint="eastAsia" w:ascii="Times New Roman" w:eastAsia="宋体"/>
              </w:rPr>
              <w:t>证件扫描件反面</w:t>
            </w:r>
          </w:p>
          <w:p>
            <w:pPr>
              <w:pStyle w:val="2"/>
              <w:jc w:val="center"/>
            </w:pPr>
          </w:p>
          <w:p>
            <w:pPr>
              <w:pStyle w:val="19"/>
              <w:jc w:val="center"/>
            </w:pPr>
          </w:p>
          <w:p>
            <w:pPr>
              <w:pStyle w:val="19"/>
              <w:jc w:val="center"/>
            </w:pPr>
          </w:p>
        </w:tc>
      </w:tr>
    </w:tbl>
    <w:p>
      <w:pPr>
        <w:spacing w:line="360" w:lineRule="auto"/>
        <w:ind w:firstLine="422" w:firstLineChars="200"/>
        <w:rPr>
          <w:rFonts w:hint="eastAsia" w:ascii="黑体" w:hAnsi="宋体" w:eastAsia="黑体"/>
          <w:b w:val="0"/>
          <w:sz w:val="24"/>
        </w:rPr>
      </w:pPr>
      <w:r>
        <w:rPr>
          <w:rFonts w:hint="eastAsia"/>
          <w:b/>
          <w:bCs/>
          <w:color w:val="FF0000"/>
          <w:szCs w:val="21"/>
          <w:u w:val="none"/>
        </w:rPr>
        <w:t>温馨提示：为避免出现《深圳经济特区政府采购条例实施细则》第七十五条第二项所列情形，请投标供应商核实你单位法定代表人、本项目投标授权代表人、项目负责人（如有）、主要技术人员（如有）等是否在贵公司缴纳社会保险。</w:t>
      </w:r>
    </w:p>
    <w:p>
      <w:pPr>
        <w:pStyle w:val="5"/>
        <w:numPr>
          <w:ilvl w:val="0"/>
          <w:numId w:val="103"/>
        </w:numPr>
        <w:ind w:left="0" w:leftChars="0" w:firstLine="0" w:firstLineChars="0"/>
        <w:jc w:val="center"/>
        <w:rPr>
          <w:rFonts w:hint="eastAsia" w:ascii="黑体" w:hAnsi="宋体" w:eastAsia="黑体"/>
          <w:b w:val="0"/>
          <w:sz w:val="24"/>
        </w:rPr>
      </w:pPr>
      <w:bookmarkStart w:id="52" w:name="OLE_LINK3"/>
      <w:r>
        <w:rPr>
          <w:rFonts w:hint="eastAsia" w:ascii="黑体" w:hAnsi="宋体" w:eastAsia="黑体"/>
          <w:b w:val="0"/>
          <w:sz w:val="24"/>
        </w:rPr>
        <w:t>项目详细报价</w:t>
      </w:r>
    </w:p>
    <w:bookmarkEnd w:id="50"/>
    <w:bookmarkEnd w:id="52"/>
    <w:p>
      <w:pPr>
        <w:tabs>
          <w:tab w:val="left" w:pos="720"/>
        </w:tabs>
        <w:ind w:firstLine="3132" w:firstLineChars="1300"/>
        <w:rPr>
          <w:b/>
          <w:sz w:val="24"/>
        </w:rPr>
      </w:pPr>
      <w:r>
        <w:rPr>
          <w:rFonts w:hint="eastAsia"/>
          <w:b/>
          <w:sz w:val="24"/>
        </w:rPr>
        <w:t>（一）分项报价表</w:t>
      </w:r>
    </w:p>
    <w:tbl>
      <w:tblPr>
        <w:tblStyle w:val="23"/>
        <w:tblW w:w="8436" w:type="dxa"/>
        <w:jc w:val="center"/>
        <w:tblLayout w:type="fixed"/>
        <w:tblCellMar>
          <w:top w:w="0" w:type="dxa"/>
          <w:left w:w="108" w:type="dxa"/>
          <w:bottom w:w="0" w:type="dxa"/>
          <w:right w:w="108" w:type="dxa"/>
        </w:tblCellMar>
      </w:tblPr>
      <w:tblGrid>
        <w:gridCol w:w="618"/>
        <w:gridCol w:w="1016"/>
        <w:gridCol w:w="7"/>
        <w:gridCol w:w="3145"/>
        <w:gridCol w:w="1559"/>
        <w:gridCol w:w="2091"/>
      </w:tblGrid>
      <w:tr>
        <w:tblPrEx>
          <w:tblCellMar>
            <w:top w:w="0" w:type="dxa"/>
            <w:left w:w="108" w:type="dxa"/>
            <w:bottom w:w="0" w:type="dxa"/>
            <w:right w:w="108" w:type="dxa"/>
          </w:tblCellMar>
        </w:tblPrEx>
        <w:trPr>
          <w:trHeight w:val="285" w:hRule="atLeast"/>
          <w:jc w:val="center"/>
        </w:trPr>
        <w:tc>
          <w:tcPr>
            <w:tcW w:w="618" w:type="dxa"/>
            <w:tcBorders>
              <w:top w:val="single" w:color="auto" w:sz="8" w:space="0"/>
              <w:left w:val="single" w:color="auto" w:sz="8" w:space="0"/>
              <w:bottom w:val="single" w:color="auto" w:sz="4" w:space="0"/>
              <w:right w:val="single" w:color="auto" w:sz="4" w:space="0"/>
            </w:tcBorders>
            <w:shd w:val="clear" w:color="000000" w:fill="E7E6E6"/>
            <w:noWrap w:val="0"/>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4168" w:type="dxa"/>
            <w:gridSpan w:val="3"/>
            <w:tcBorders>
              <w:top w:val="single" w:color="auto" w:sz="8" w:space="0"/>
              <w:left w:val="nil"/>
              <w:bottom w:val="single" w:color="auto" w:sz="4" w:space="0"/>
              <w:right w:val="single" w:color="auto" w:sz="4" w:space="0"/>
            </w:tcBorders>
            <w:shd w:val="clear" w:color="000000" w:fill="E7E6E6"/>
            <w:noWrap w:val="0"/>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需求名称</w:t>
            </w:r>
          </w:p>
        </w:tc>
        <w:tc>
          <w:tcPr>
            <w:tcW w:w="1559" w:type="dxa"/>
            <w:tcBorders>
              <w:top w:val="single" w:color="auto" w:sz="8" w:space="0"/>
              <w:left w:val="nil"/>
              <w:bottom w:val="single" w:color="auto" w:sz="4" w:space="0"/>
              <w:right w:val="single" w:color="auto" w:sz="4" w:space="0"/>
            </w:tcBorders>
            <w:shd w:val="clear" w:color="000000" w:fill="E7E6E6"/>
            <w:noWrap w:val="0"/>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金额（元）</w:t>
            </w:r>
          </w:p>
        </w:tc>
        <w:tc>
          <w:tcPr>
            <w:tcW w:w="2091" w:type="dxa"/>
            <w:tcBorders>
              <w:top w:val="single" w:color="auto" w:sz="8" w:space="0"/>
              <w:left w:val="nil"/>
              <w:bottom w:val="single" w:color="auto" w:sz="4" w:space="0"/>
              <w:right w:val="single" w:color="auto" w:sz="8" w:space="0"/>
            </w:tcBorders>
            <w:shd w:val="clear" w:color="000000" w:fill="E7E6E6"/>
            <w:noWrap w:val="0"/>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说明</w:t>
            </w:r>
          </w:p>
        </w:tc>
      </w:tr>
      <w:tr>
        <w:tblPrEx>
          <w:tblCellMar>
            <w:top w:w="0" w:type="dxa"/>
            <w:left w:w="108" w:type="dxa"/>
            <w:bottom w:w="0" w:type="dxa"/>
            <w:right w:w="108" w:type="dxa"/>
          </w:tblCellMar>
        </w:tblPrEx>
        <w:trPr>
          <w:trHeight w:val="285" w:hRule="atLeast"/>
          <w:jc w:val="center"/>
        </w:trPr>
        <w:tc>
          <w:tcPr>
            <w:tcW w:w="618" w:type="dxa"/>
            <w:vMerge w:val="restart"/>
            <w:tcBorders>
              <w:top w:val="single" w:color="auto" w:sz="4" w:space="0"/>
              <w:left w:val="single" w:color="auto" w:sz="8" w:space="0"/>
              <w:right w:val="single" w:color="auto" w:sz="4" w:space="0"/>
            </w:tcBorders>
            <w:shd w:val="clear" w:color="auto" w:fill="auto"/>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一</w:t>
            </w:r>
          </w:p>
        </w:tc>
        <w:tc>
          <w:tcPr>
            <w:tcW w:w="4168" w:type="dxa"/>
            <w:gridSpan w:val="3"/>
            <w:tcBorders>
              <w:top w:val="single" w:color="auto" w:sz="4" w:space="0"/>
              <w:left w:val="nil"/>
              <w:bottom w:val="single" w:color="auto" w:sz="4" w:space="0"/>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ascii="宋体" w:hAnsi="宋体" w:cs="宋体"/>
                <w:kern w:val="0"/>
                <w:sz w:val="20"/>
                <w:szCs w:val="20"/>
              </w:rPr>
            </w:pPr>
            <w:r>
              <w:rPr>
                <w:rFonts w:hint="eastAsia" w:ascii="宋体" w:hAnsi="宋体" w:eastAsia="宋体" w:cs="宋体"/>
                <w:sz w:val="21"/>
                <w:szCs w:val="21"/>
                <w:lang w:val="en-US" w:eastAsia="zh-CN"/>
              </w:rPr>
              <w:t>深圳市龙华区北站幼教集团超核幼儿园</w:t>
            </w: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pPr>
              <w:widowControl/>
              <w:adjustRightInd w:val="0"/>
              <w:snapToGrid w:val="0"/>
              <w:spacing w:line="240" w:lineRule="auto"/>
              <w:jc w:val="center"/>
              <w:textAlignment w:val="center"/>
              <w:rPr>
                <w:rFonts w:ascii="宋体" w:hAnsi="宋体" w:cs="宋体"/>
                <w:kern w:val="0"/>
                <w:sz w:val="20"/>
                <w:szCs w:val="20"/>
              </w:rPr>
            </w:pPr>
          </w:p>
        </w:tc>
        <w:tc>
          <w:tcPr>
            <w:tcW w:w="2091" w:type="dxa"/>
            <w:tcBorders>
              <w:top w:val="single" w:color="auto" w:sz="4" w:space="0"/>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r>
              <w:rPr>
                <w:rFonts w:hint="eastAsia" w:ascii="宋体" w:hAnsi="宋体" w:eastAsia="宋体" w:cs="宋体"/>
                <w:color w:val="000000"/>
                <w:kern w:val="0"/>
                <w:sz w:val="21"/>
                <w:szCs w:val="21"/>
                <w:lang w:eastAsia="zh-CN"/>
              </w:rPr>
              <w:t>不得超出分项</w:t>
            </w:r>
            <w:r>
              <w:rPr>
                <w:rFonts w:hint="eastAsia" w:ascii="宋体" w:hAnsi="宋体" w:eastAsia="宋体" w:cs="宋体"/>
                <w:color w:val="000000"/>
                <w:kern w:val="0"/>
                <w:sz w:val="21"/>
                <w:szCs w:val="21"/>
              </w:rPr>
              <w:t>财政预算限额377550.00（元）</w:t>
            </w: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shd w:val="clear" w:color="auto" w:fill="auto"/>
            <w:noWrap w:val="0"/>
            <w:vAlign w:val="center"/>
          </w:tcPr>
          <w:p>
            <w:pPr>
              <w:widowControl/>
              <w:jc w:val="center"/>
              <w:rPr>
                <w:rFonts w:hint="eastAsia" w:ascii="宋体" w:hAnsi="宋体" w:cs="宋体"/>
                <w:kern w:val="0"/>
                <w:sz w:val="20"/>
                <w:szCs w:val="20"/>
              </w:rPr>
            </w:pPr>
          </w:p>
        </w:tc>
        <w:tc>
          <w:tcPr>
            <w:tcW w:w="1023" w:type="dxa"/>
            <w:gridSpan w:val="2"/>
            <w:vMerge w:val="restart"/>
            <w:tcBorders>
              <w:top w:val="single" w:color="auto" w:sz="4" w:space="0"/>
              <w:left w:val="nil"/>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w:t>
            </w:r>
          </w:p>
        </w:tc>
        <w:tc>
          <w:tcPr>
            <w:tcW w:w="31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pPr>
              <w:widowControl/>
              <w:adjustRightInd w:val="0"/>
              <w:snapToGrid w:val="0"/>
              <w:spacing w:line="240" w:lineRule="auto"/>
              <w:jc w:val="center"/>
              <w:textAlignment w:val="center"/>
              <w:rPr>
                <w:rFonts w:hint="eastAsia" w:ascii="宋体" w:hAnsi="宋体" w:eastAsia="宋体" w:cs="宋体"/>
                <w:color w:val="000000"/>
                <w:kern w:val="0"/>
                <w:sz w:val="21"/>
                <w:szCs w:val="21"/>
              </w:rPr>
            </w:pPr>
          </w:p>
        </w:tc>
        <w:tc>
          <w:tcPr>
            <w:tcW w:w="2091" w:type="dxa"/>
            <w:tcBorders>
              <w:top w:val="single" w:color="auto" w:sz="4" w:space="0"/>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shd w:val="clear" w:color="auto" w:fill="auto"/>
            <w:noWrap w:val="0"/>
            <w:vAlign w:val="center"/>
          </w:tcPr>
          <w:p>
            <w:pPr>
              <w:widowControl/>
              <w:jc w:val="center"/>
              <w:rPr>
                <w:rFonts w:hint="eastAsia" w:ascii="宋体" w:hAnsi="宋体" w:cs="宋体"/>
                <w:kern w:val="0"/>
                <w:sz w:val="20"/>
                <w:szCs w:val="20"/>
              </w:rPr>
            </w:pPr>
          </w:p>
        </w:tc>
        <w:tc>
          <w:tcPr>
            <w:tcW w:w="1023" w:type="dxa"/>
            <w:gridSpan w:val="2"/>
            <w:vMerge w:val="continue"/>
            <w:tcBorders>
              <w:left w:val="nil"/>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31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pPr>
              <w:widowControl/>
              <w:adjustRightInd w:val="0"/>
              <w:snapToGrid w:val="0"/>
              <w:spacing w:line="240" w:lineRule="auto"/>
              <w:jc w:val="center"/>
              <w:textAlignment w:val="center"/>
              <w:rPr>
                <w:rFonts w:hint="eastAsia" w:ascii="宋体" w:hAnsi="宋体" w:eastAsia="宋体" w:cs="宋体"/>
                <w:color w:val="000000"/>
                <w:kern w:val="0"/>
                <w:sz w:val="21"/>
                <w:szCs w:val="21"/>
              </w:rPr>
            </w:pPr>
          </w:p>
        </w:tc>
        <w:tc>
          <w:tcPr>
            <w:tcW w:w="2091" w:type="dxa"/>
            <w:tcBorders>
              <w:top w:val="single" w:color="auto" w:sz="4" w:space="0"/>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shd w:val="clear" w:color="auto" w:fill="auto"/>
            <w:noWrap w:val="0"/>
            <w:vAlign w:val="center"/>
          </w:tcPr>
          <w:p>
            <w:pPr>
              <w:widowControl/>
              <w:jc w:val="center"/>
              <w:rPr>
                <w:rFonts w:hint="eastAsia" w:ascii="宋体" w:hAnsi="宋体" w:cs="宋体"/>
                <w:kern w:val="0"/>
                <w:sz w:val="20"/>
                <w:szCs w:val="20"/>
              </w:rPr>
            </w:pPr>
          </w:p>
        </w:tc>
        <w:tc>
          <w:tcPr>
            <w:tcW w:w="1023" w:type="dxa"/>
            <w:gridSpan w:val="2"/>
            <w:vMerge w:val="continue"/>
            <w:tcBorders>
              <w:left w:val="nil"/>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31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pPr>
              <w:widowControl/>
              <w:adjustRightInd w:val="0"/>
              <w:snapToGrid w:val="0"/>
              <w:spacing w:line="240" w:lineRule="auto"/>
              <w:jc w:val="center"/>
              <w:textAlignment w:val="center"/>
              <w:rPr>
                <w:rFonts w:hint="eastAsia" w:ascii="宋体" w:hAnsi="宋体" w:eastAsia="宋体" w:cs="宋体"/>
                <w:color w:val="000000"/>
                <w:kern w:val="0"/>
                <w:sz w:val="21"/>
                <w:szCs w:val="21"/>
              </w:rPr>
            </w:pPr>
          </w:p>
        </w:tc>
        <w:tc>
          <w:tcPr>
            <w:tcW w:w="2091" w:type="dxa"/>
            <w:tcBorders>
              <w:top w:val="single" w:color="auto" w:sz="4" w:space="0"/>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shd w:val="clear" w:color="auto" w:fill="auto"/>
            <w:noWrap w:val="0"/>
            <w:vAlign w:val="center"/>
          </w:tcPr>
          <w:p>
            <w:pPr>
              <w:widowControl/>
              <w:jc w:val="center"/>
              <w:rPr>
                <w:rFonts w:hint="eastAsia" w:ascii="宋体" w:hAnsi="宋体" w:cs="宋体"/>
                <w:kern w:val="0"/>
                <w:sz w:val="20"/>
                <w:szCs w:val="20"/>
              </w:rPr>
            </w:pPr>
          </w:p>
        </w:tc>
        <w:tc>
          <w:tcPr>
            <w:tcW w:w="1023" w:type="dxa"/>
            <w:gridSpan w:val="2"/>
            <w:vMerge w:val="continue"/>
            <w:tcBorders>
              <w:left w:val="nil"/>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31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pPr>
              <w:widowControl/>
              <w:adjustRightInd w:val="0"/>
              <w:snapToGrid w:val="0"/>
              <w:spacing w:line="240" w:lineRule="auto"/>
              <w:jc w:val="center"/>
              <w:textAlignment w:val="center"/>
              <w:rPr>
                <w:rFonts w:hint="eastAsia" w:ascii="宋体" w:hAnsi="宋体" w:eastAsia="宋体" w:cs="宋体"/>
                <w:color w:val="000000"/>
                <w:kern w:val="0"/>
                <w:sz w:val="21"/>
                <w:szCs w:val="21"/>
              </w:rPr>
            </w:pPr>
          </w:p>
        </w:tc>
        <w:tc>
          <w:tcPr>
            <w:tcW w:w="2091" w:type="dxa"/>
            <w:tcBorders>
              <w:top w:val="single" w:color="auto" w:sz="4" w:space="0"/>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shd w:val="clear" w:color="auto" w:fill="auto"/>
            <w:noWrap w:val="0"/>
            <w:vAlign w:val="center"/>
          </w:tcPr>
          <w:p>
            <w:pPr>
              <w:widowControl/>
              <w:jc w:val="center"/>
              <w:rPr>
                <w:rFonts w:hint="eastAsia" w:ascii="宋体" w:hAnsi="宋体" w:cs="宋体"/>
                <w:kern w:val="0"/>
                <w:sz w:val="20"/>
                <w:szCs w:val="20"/>
              </w:rPr>
            </w:pPr>
          </w:p>
        </w:tc>
        <w:tc>
          <w:tcPr>
            <w:tcW w:w="1023" w:type="dxa"/>
            <w:gridSpan w:val="2"/>
            <w:vMerge w:val="continue"/>
            <w:tcBorders>
              <w:left w:val="nil"/>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31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pPr>
              <w:widowControl/>
              <w:adjustRightInd w:val="0"/>
              <w:snapToGrid w:val="0"/>
              <w:spacing w:line="240" w:lineRule="auto"/>
              <w:jc w:val="center"/>
              <w:textAlignment w:val="center"/>
              <w:rPr>
                <w:rFonts w:hint="eastAsia" w:ascii="宋体" w:hAnsi="宋体" w:eastAsia="宋体" w:cs="宋体"/>
                <w:color w:val="000000"/>
                <w:kern w:val="0"/>
                <w:sz w:val="21"/>
                <w:szCs w:val="21"/>
              </w:rPr>
            </w:pPr>
          </w:p>
        </w:tc>
        <w:tc>
          <w:tcPr>
            <w:tcW w:w="2091" w:type="dxa"/>
            <w:tcBorders>
              <w:top w:val="single" w:color="auto" w:sz="4" w:space="0"/>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shd w:val="clear" w:color="auto" w:fill="auto"/>
            <w:noWrap w:val="0"/>
            <w:vAlign w:val="center"/>
          </w:tcPr>
          <w:p>
            <w:pPr>
              <w:widowControl/>
              <w:jc w:val="center"/>
              <w:rPr>
                <w:rFonts w:hint="eastAsia" w:ascii="宋体" w:hAnsi="宋体" w:cs="宋体"/>
                <w:kern w:val="0"/>
                <w:sz w:val="20"/>
                <w:szCs w:val="20"/>
              </w:rPr>
            </w:pPr>
          </w:p>
        </w:tc>
        <w:tc>
          <w:tcPr>
            <w:tcW w:w="1023" w:type="dxa"/>
            <w:gridSpan w:val="2"/>
            <w:vMerge w:val="continue"/>
            <w:tcBorders>
              <w:left w:val="nil"/>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31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pPr>
              <w:widowControl/>
              <w:adjustRightInd w:val="0"/>
              <w:snapToGrid w:val="0"/>
              <w:spacing w:line="240" w:lineRule="auto"/>
              <w:jc w:val="center"/>
              <w:textAlignment w:val="center"/>
              <w:rPr>
                <w:rFonts w:hint="eastAsia" w:ascii="宋体" w:hAnsi="宋体" w:eastAsia="宋体" w:cs="宋体"/>
                <w:color w:val="000000"/>
                <w:kern w:val="0"/>
                <w:sz w:val="21"/>
                <w:szCs w:val="21"/>
              </w:rPr>
            </w:pPr>
          </w:p>
        </w:tc>
        <w:tc>
          <w:tcPr>
            <w:tcW w:w="2091" w:type="dxa"/>
            <w:tcBorders>
              <w:top w:val="single" w:color="auto" w:sz="4" w:space="0"/>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bottom w:val="single" w:color="auto" w:sz="4" w:space="0"/>
              <w:right w:val="single" w:color="auto" w:sz="4" w:space="0"/>
            </w:tcBorders>
            <w:shd w:val="clear" w:color="auto" w:fill="auto"/>
            <w:noWrap w:val="0"/>
            <w:vAlign w:val="center"/>
          </w:tcPr>
          <w:p>
            <w:pPr>
              <w:widowControl/>
              <w:jc w:val="center"/>
              <w:rPr>
                <w:rFonts w:hint="eastAsia" w:ascii="宋体" w:hAnsi="宋体" w:cs="宋体"/>
                <w:kern w:val="0"/>
                <w:sz w:val="20"/>
                <w:szCs w:val="20"/>
              </w:rPr>
            </w:pPr>
          </w:p>
        </w:tc>
        <w:tc>
          <w:tcPr>
            <w:tcW w:w="4168" w:type="dxa"/>
            <w:gridSpan w:val="3"/>
            <w:tcBorders>
              <w:top w:val="single" w:color="auto" w:sz="4" w:space="0"/>
              <w:left w:val="nil"/>
              <w:bottom w:val="single" w:color="auto" w:sz="4" w:space="0"/>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费用小计</w:t>
            </w: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pPr>
              <w:widowControl/>
              <w:adjustRightInd w:val="0"/>
              <w:snapToGrid w:val="0"/>
              <w:spacing w:line="240" w:lineRule="auto"/>
              <w:jc w:val="center"/>
              <w:textAlignment w:val="center"/>
              <w:rPr>
                <w:rFonts w:hint="eastAsia" w:ascii="宋体" w:hAnsi="宋体" w:eastAsia="宋体" w:cs="宋体"/>
                <w:color w:val="000000"/>
                <w:kern w:val="0"/>
                <w:sz w:val="21"/>
                <w:szCs w:val="21"/>
              </w:rPr>
            </w:pPr>
          </w:p>
        </w:tc>
        <w:tc>
          <w:tcPr>
            <w:tcW w:w="2091" w:type="dxa"/>
            <w:tcBorders>
              <w:top w:val="single" w:color="auto" w:sz="4" w:space="0"/>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restart"/>
            <w:tcBorders>
              <w:top w:val="single" w:color="auto" w:sz="4" w:space="0"/>
              <w:left w:val="single" w:color="auto" w:sz="8" w:space="0"/>
              <w:right w:val="single" w:color="auto" w:sz="4" w:space="0"/>
            </w:tcBorders>
            <w:shd w:val="clear" w:color="auto" w:fill="auto"/>
            <w:noWrap w:val="0"/>
            <w:vAlign w:val="center"/>
          </w:tcPr>
          <w:p>
            <w:pPr>
              <w:widowControl/>
              <w:jc w:val="center"/>
              <w:rPr>
                <w:rFonts w:hint="eastAsia" w:ascii="宋体" w:hAnsi="宋体" w:cs="宋体" w:eastAsiaTheme="minorEastAsia"/>
                <w:kern w:val="0"/>
                <w:sz w:val="20"/>
                <w:szCs w:val="20"/>
                <w:lang w:eastAsia="zh-CN"/>
              </w:rPr>
            </w:pPr>
            <w:r>
              <w:rPr>
                <w:rFonts w:hint="eastAsia" w:ascii="宋体" w:hAnsi="宋体" w:cs="宋体"/>
                <w:kern w:val="0"/>
                <w:sz w:val="20"/>
                <w:szCs w:val="20"/>
                <w:lang w:eastAsia="zh-CN"/>
              </w:rPr>
              <w:t>二</w:t>
            </w:r>
          </w:p>
        </w:tc>
        <w:tc>
          <w:tcPr>
            <w:tcW w:w="4168" w:type="dxa"/>
            <w:gridSpan w:val="3"/>
            <w:tcBorders>
              <w:top w:val="single" w:color="auto" w:sz="4" w:space="0"/>
              <w:left w:val="nil"/>
              <w:bottom w:val="single" w:color="auto" w:sz="4" w:space="0"/>
              <w:right w:val="single" w:color="auto" w:sz="4" w:space="0"/>
            </w:tcBorders>
            <w:shd w:val="clear" w:color="auto" w:fill="auto"/>
            <w:noWrap w:val="0"/>
            <w:vAlign w:val="center"/>
          </w:tcPr>
          <w:p>
            <w:pPr>
              <w:widowControl/>
              <w:kinsoku/>
              <w:overflowPunct/>
              <w:topLinePunct w:val="0"/>
              <w:bidi w:val="0"/>
              <w:spacing w:line="240" w:lineRule="auto"/>
              <w:ind w:firstLine="0" w:firstLineChars="0"/>
              <w:jc w:val="center"/>
              <w:rPr>
                <w:rFonts w:ascii="宋体" w:hAnsi="宋体" w:cs="宋体"/>
                <w:kern w:val="0"/>
                <w:sz w:val="20"/>
                <w:szCs w:val="20"/>
              </w:rPr>
            </w:pPr>
            <w:r>
              <w:rPr>
                <w:rFonts w:hint="eastAsia" w:ascii="宋体" w:hAnsi="宋体" w:eastAsia="宋体" w:cs="宋体"/>
                <w:sz w:val="21"/>
                <w:szCs w:val="21"/>
                <w:lang w:val="en-US" w:eastAsia="zh-CN"/>
              </w:rPr>
              <w:t>深圳市龙华区北站幼教集团颐樾府幼儿园</w:t>
            </w:r>
          </w:p>
        </w:tc>
        <w:tc>
          <w:tcPr>
            <w:tcW w:w="1559" w:type="dxa"/>
            <w:tcBorders>
              <w:top w:val="single" w:color="auto" w:sz="4" w:space="0"/>
              <w:left w:val="nil"/>
              <w:bottom w:val="single" w:color="auto" w:sz="4" w:space="0"/>
              <w:right w:val="single" w:color="auto" w:sz="4" w:space="0"/>
            </w:tcBorders>
            <w:shd w:val="clear" w:color="000000" w:fill="FFFFFF"/>
            <w:noWrap w:val="0"/>
            <w:vAlign w:val="center"/>
          </w:tcPr>
          <w:p>
            <w:pPr>
              <w:widowControl/>
              <w:adjustRightInd w:val="0"/>
              <w:snapToGrid w:val="0"/>
              <w:spacing w:line="240" w:lineRule="auto"/>
              <w:jc w:val="center"/>
              <w:textAlignment w:val="center"/>
              <w:rPr>
                <w:rFonts w:ascii="宋体" w:hAnsi="宋体" w:cs="宋体"/>
                <w:kern w:val="0"/>
                <w:sz w:val="20"/>
                <w:szCs w:val="20"/>
              </w:rPr>
            </w:pPr>
          </w:p>
        </w:tc>
        <w:tc>
          <w:tcPr>
            <w:tcW w:w="2091" w:type="dxa"/>
            <w:tcBorders>
              <w:top w:val="single" w:color="auto" w:sz="4" w:space="0"/>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r>
              <w:rPr>
                <w:rFonts w:hint="eastAsia" w:ascii="宋体" w:hAnsi="宋体" w:eastAsia="宋体" w:cs="宋体"/>
                <w:color w:val="000000"/>
                <w:kern w:val="0"/>
                <w:sz w:val="21"/>
                <w:szCs w:val="21"/>
                <w:lang w:eastAsia="zh-CN"/>
              </w:rPr>
              <w:t>不得超出分项</w:t>
            </w:r>
            <w:r>
              <w:rPr>
                <w:rFonts w:hint="eastAsia" w:ascii="宋体" w:hAnsi="宋体" w:eastAsia="宋体" w:cs="宋体"/>
                <w:color w:val="000000"/>
                <w:kern w:val="0"/>
                <w:sz w:val="21"/>
                <w:szCs w:val="21"/>
              </w:rPr>
              <w:t>财政预算限额343800.00（元）</w:t>
            </w:r>
          </w:p>
        </w:tc>
      </w:tr>
      <w:tr>
        <w:tblPrEx>
          <w:tblCellMar>
            <w:top w:w="0" w:type="dxa"/>
            <w:left w:w="108" w:type="dxa"/>
            <w:bottom w:w="0" w:type="dxa"/>
            <w:right w:w="108" w:type="dxa"/>
          </w:tblCellMar>
        </w:tblPrEx>
        <w:trPr>
          <w:trHeight w:val="600" w:hRule="atLeast"/>
          <w:jc w:val="center"/>
        </w:trPr>
        <w:tc>
          <w:tcPr>
            <w:tcW w:w="618" w:type="dxa"/>
            <w:vMerge w:val="continue"/>
            <w:tcBorders>
              <w:left w:val="single" w:color="auto" w:sz="8" w:space="0"/>
              <w:right w:val="single" w:color="auto" w:sz="4" w:space="0"/>
            </w:tcBorders>
            <w:noWrap w:val="0"/>
            <w:vAlign w:val="center"/>
          </w:tcPr>
          <w:p>
            <w:pPr>
              <w:widowControl/>
              <w:jc w:val="center"/>
              <w:rPr>
                <w:rFonts w:ascii="宋体" w:hAnsi="宋体" w:cs="宋体"/>
                <w:kern w:val="0"/>
                <w:sz w:val="20"/>
                <w:szCs w:val="20"/>
              </w:rPr>
            </w:pPr>
          </w:p>
        </w:tc>
        <w:tc>
          <w:tcPr>
            <w:tcW w:w="1016"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w:t>
            </w:r>
          </w:p>
        </w:tc>
        <w:tc>
          <w:tcPr>
            <w:tcW w:w="3152" w:type="dxa"/>
            <w:gridSpan w:val="2"/>
            <w:tcBorders>
              <w:top w:val="nil"/>
              <w:left w:val="nil"/>
              <w:bottom w:val="single" w:color="auto" w:sz="4" w:space="0"/>
              <w:right w:val="single" w:color="auto" w:sz="4" w:space="0"/>
            </w:tcBorders>
            <w:noWrap w:val="0"/>
            <w:vAlign w:val="center"/>
          </w:tcPr>
          <w:p>
            <w:pPr>
              <w:widowControl/>
              <w:kinsoku/>
              <w:overflowPunct/>
              <w:topLinePunct w:val="0"/>
              <w:bidi w:val="0"/>
              <w:spacing w:line="240" w:lineRule="auto"/>
              <w:ind w:firstLine="0" w:firstLineChars="0"/>
              <w:jc w:val="center"/>
              <w:rPr>
                <w:rFonts w:ascii="宋体" w:hAnsi="宋体" w:cs="宋体"/>
                <w:kern w:val="0"/>
                <w:sz w:val="20"/>
                <w:szCs w:val="20"/>
              </w:rPr>
            </w:pPr>
          </w:p>
        </w:tc>
        <w:tc>
          <w:tcPr>
            <w:tcW w:w="1559" w:type="dxa"/>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textAlignment w:val="center"/>
              <w:rPr>
                <w:rFonts w:ascii="宋体" w:hAnsi="宋体" w:cs="宋体"/>
                <w:kern w:val="0"/>
                <w:sz w:val="20"/>
                <w:szCs w:val="20"/>
              </w:rPr>
            </w:pPr>
          </w:p>
        </w:tc>
        <w:tc>
          <w:tcPr>
            <w:tcW w:w="2091" w:type="dxa"/>
            <w:vMerge w:val="restart"/>
            <w:tcBorders>
              <w:top w:val="nil"/>
              <w:left w:val="nil"/>
              <w:right w:val="single" w:color="auto" w:sz="8"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noWrap w:val="0"/>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0"/>
                <w:szCs w:val="20"/>
              </w:rPr>
            </w:pPr>
          </w:p>
        </w:tc>
        <w:tc>
          <w:tcPr>
            <w:tcW w:w="3152" w:type="dxa"/>
            <w:gridSpan w:val="2"/>
            <w:tcBorders>
              <w:top w:val="nil"/>
              <w:left w:val="nil"/>
              <w:bottom w:val="single" w:color="auto" w:sz="4" w:space="0"/>
              <w:right w:val="single" w:color="auto" w:sz="4" w:space="0"/>
            </w:tcBorders>
            <w:noWrap w:val="0"/>
            <w:vAlign w:val="center"/>
          </w:tcPr>
          <w:p>
            <w:pPr>
              <w:widowControl/>
              <w:kinsoku/>
              <w:overflowPunct/>
              <w:topLinePunct w:val="0"/>
              <w:bidi w:val="0"/>
              <w:spacing w:line="240" w:lineRule="auto"/>
              <w:ind w:firstLine="0" w:firstLineChars="0"/>
              <w:jc w:val="center"/>
              <w:rPr>
                <w:rFonts w:ascii="宋体" w:hAnsi="宋体" w:cs="宋体"/>
                <w:kern w:val="0"/>
                <w:sz w:val="20"/>
                <w:szCs w:val="20"/>
              </w:rPr>
            </w:pPr>
          </w:p>
        </w:tc>
        <w:tc>
          <w:tcPr>
            <w:tcW w:w="1559" w:type="dxa"/>
            <w:tcBorders>
              <w:top w:val="nil"/>
              <w:left w:val="nil"/>
              <w:bottom w:val="single" w:color="auto" w:sz="4" w:space="0"/>
              <w:right w:val="single" w:color="auto" w:sz="4" w:space="0"/>
            </w:tcBorders>
            <w:noWrap w:val="0"/>
            <w:vAlign w:val="center"/>
          </w:tcPr>
          <w:p>
            <w:pPr>
              <w:widowControl/>
              <w:adjustRightInd w:val="0"/>
              <w:snapToGrid w:val="0"/>
              <w:spacing w:line="240" w:lineRule="auto"/>
              <w:jc w:val="center"/>
              <w:textAlignment w:val="center"/>
              <w:rPr>
                <w:rFonts w:ascii="宋体" w:hAnsi="宋体" w:cs="宋体"/>
                <w:kern w:val="0"/>
                <w:sz w:val="20"/>
                <w:szCs w:val="20"/>
              </w:rPr>
            </w:pPr>
          </w:p>
        </w:tc>
        <w:tc>
          <w:tcPr>
            <w:tcW w:w="2091" w:type="dxa"/>
            <w:vMerge w:val="continue"/>
            <w:tcBorders>
              <w:left w:val="nil"/>
              <w:right w:val="single" w:color="auto" w:sz="8" w:space="0"/>
            </w:tcBorders>
            <w:noWrap w:val="0"/>
            <w:vAlign w:val="center"/>
          </w:tcPr>
          <w:p>
            <w:pPr>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noWrap w:val="0"/>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0"/>
                <w:szCs w:val="20"/>
              </w:rPr>
            </w:pPr>
          </w:p>
        </w:tc>
        <w:tc>
          <w:tcPr>
            <w:tcW w:w="3152" w:type="dxa"/>
            <w:gridSpan w:val="2"/>
            <w:tcBorders>
              <w:top w:val="nil"/>
              <w:left w:val="nil"/>
              <w:bottom w:val="single" w:color="auto" w:sz="4" w:space="0"/>
              <w:right w:val="single" w:color="auto" w:sz="4" w:space="0"/>
            </w:tcBorders>
            <w:noWrap w:val="0"/>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szCs w:val="20"/>
              </w:rPr>
            </w:pPr>
          </w:p>
        </w:tc>
        <w:tc>
          <w:tcPr>
            <w:tcW w:w="2091" w:type="dxa"/>
            <w:vMerge w:val="continue"/>
            <w:tcBorders>
              <w:left w:val="nil"/>
              <w:right w:val="single" w:color="auto" w:sz="8" w:space="0"/>
            </w:tcBorders>
            <w:noWrap w:val="0"/>
            <w:vAlign w:val="center"/>
          </w:tcPr>
          <w:p>
            <w:pPr>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noWrap w:val="0"/>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0"/>
                <w:szCs w:val="20"/>
              </w:rPr>
            </w:pPr>
          </w:p>
        </w:tc>
        <w:tc>
          <w:tcPr>
            <w:tcW w:w="3152" w:type="dxa"/>
            <w:gridSpan w:val="2"/>
            <w:tcBorders>
              <w:top w:val="nil"/>
              <w:left w:val="nil"/>
              <w:bottom w:val="single" w:color="auto" w:sz="4" w:space="0"/>
              <w:right w:val="single" w:color="auto" w:sz="4" w:space="0"/>
            </w:tcBorders>
            <w:noWrap w:val="0"/>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szCs w:val="20"/>
              </w:rPr>
            </w:pPr>
          </w:p>
        </w:tc>
        <w:tc>
          <w:tcPr>
            <w:tcW w:w="2091" w:type="dxa"/>
            <w:vMerge w:val="continue"/>
            <w:tcBorders>
              <w:left w:val="nil"/>
              <w:right w:val="single" w:color="auto" w:sz="8" w:space="0"/>
            </w:tcBorders>
            <w:noWrap w:val="0"/>
            <w:vAlign w:val="center"/>
          </w:tcPr>
          <w:p>
            <w:pPr>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noWrap w:val="0"/>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0"/>
                <w:szCs w:val="20"/>
              </w:rPr>
            </w:pPr>
          </w:p>
        </w:tc>
        <w:tc>
          <w:tcPr>
            <w:tcW w:w="3152" w:type="dxa"/>
            <w:gridSpan w:val="2"/>
            <w:tcBorders>
              <w:top w:val="nil"/>
              <w:left w:val="nil"/>
              <w:bottom w:val="single" w:color="auto" w:sz="4" w:space="0"/>
              <w:right w:val="single" w:color="auto" w:sz="4" w:space="0"/>
            </w:tcBorders>
            <w:noWrap w:val="0"/>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szCs w:val="20"/>
              </w:rPr>
            </w:pPr>
          </w:p>
        </w:tc>
        <w:tc>
          <w:tcPr>
            <w:tcW w:w="2091" w:type="dxa"/>
            <w:vMerge w:val="continue"/>
            <w:tcBorders>
              <w:left w:val="nil"/>
              <w:right w:val="single" w:color="auto" w:sz="8" w:space="0"/>
            </w:tcBorders>
            <w:noWrap w:val="0"/>
            <w:vAlign w:val="center"/>
          </w:tcPr>
          <w:p>
            <w:pPr>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noWrap w:val="0"/>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0"/>
                <w:szCs w:val="20"/>
              </w:rPr>
            </w:pPr>
          </w:p>
        </w:tc>
        <w:tc>
          <w:tcPr>
            <w:tcW w:w="3152" w:type="dxa"/>
            <w:gridSpan w:val="2"/>
            <w:tcBorders>
              <w:top w:val="nil"/>
              <w:left w:val="nil"/>
              <w:bottom w:val="single" w:color="auto" w:sz="4" w:space="0"/>
              <w:right w:val="single" w:color="auto" w:sz="4" w:space="0"/>
            </w:tcBorders>
            <w:noWrap w:val="0"/>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szCs w:val="20"/>
              </w:rPr>
            </w:pPr>
          </w:p>
        </w:tc>
        <w:tc>
          <w:tcPr>
            <w:tcW w:w="2091" w:type="dxa"/>
            <w:vMerge w:val="continue"/>
            <w:tcBorders>
              <w:left w:val="nil"/>
              <w:bottom w:val="single" w:color="auto" w:sz="4" w:space="0"/>
              <w:right w:val="single" w:color="auto" w:sz="8"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4168" w:type="dxa"/>
            <w:gridSpan w:val="3"/>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r>
              <w:rPr>
                <w:rFonts w:hint="eastAsia" w:ascii="宋体" w:hAnsi="宋体" w:cs="宋体"/>
                <w:kern w:val="0"/>
                <w:sz w:val="20"/>
                <w:szCs w:val="20"/>
              </w:rPr>
              <w:t>费用小计</w:t>
            </w:r>
          </w:p>
        </w:tc>
        <w:tc>
          <w:tcPr>
            <w:tcW w:w="1559"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2091" w:type="dxa"/>
            <w:tcBorders>
              <w:top w:val="nil"/>
              <w:left w:val="nil"/>
              <w:bottom w:val="single" w:color="auto" w:sz="4" w:space="0"/>
              <w:right w:val="single" w:color="auto" w:sz="8" w:space="0"/>
            </w:tcBorders>
            <w:shd w:val="clear" w:color="000000" w:fill="FFFFFF"/>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restart"/>
            <w:tcBorders>
              <w:top w:val="nil"/>
              <w:left w:val="single" w:color="auto" w:sz="8" w:space="0"/>
              <w:right w:val="single" w:color="auto" w:sz="4" w:space="0"/>
            </w:tcBorders>
            <w:shd w:val="clear" w:color="000000" w:fill="FFFFFF"/>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三</w:t>
            </w:r>
          </w:p>
        </w:tc>
        <w:tc>
          <w:tcPr>
            <w:tcW w:w="1016" w:type="dxa"/>
            <w:vMerge w:val="restart"/>
            <w:tcBorders>
              <w:top w:val="nil"/>
              <w:left w:val="single" w:color="auto" w:sz="4" w:space="0"/>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其他费用</w:t>
            </w:r>
          </w:p>
        </w:tc>
        <w:tc>
          <w:tcPr>
            <w:tcW w:w="3152" w:type="dxa"/>
            <w:gridSpan w:val="2"/>
            <w:tcBorders>
              <w:top w:val="nil"/>
              <w:left w:val="nil"/>
              <w:bottom w:val="single" w:color="auto" w:sz="4" w:space="0"/>
              <w:right w:val="single" w:color="auto" w:sz="4" w:space="0"/>
            </w:tcBorders>
            <w:shd w:val="clear" w:color="000000" w:fill="FFFFFF"/>
            <w:noWrap w:val="0"/>
            <w:vAlign w:val="center"/>
          </w:tcPr>
          <w:p>
            <w:pPr>
              <w:widowControl/>
              <w:jc w:val="left"/>
              <w:rPr>
                <w:rFonts w:ascii="宋体" w:hAnsi="宋体" w:cs="宋体"/>
                <w:kern w:val="0"/>
                <w:sz w:val="20"/>
                <w:szCs w:val="20"/>
              </w:rPr>
            </w:pPr>
            <w:r>
              <w:rPr>
                <w:rFonts w:hint="eastAsia" w:ascii="宋体" w:hAnsi="宋体" w:cs="宋体"/>
                <w:kern w:val="0"/>
                <w:sz w:val="20"/>
                <w:szCs w:val="20"/>
              </w:rPr>
              <w:t>*</w:t>
            </w:r>
            <w:r>
              <w:rPr>
                <w:rFonts w:ascii="宋体" w:hAnsi="宋体" w:cs="宋体"/>
                <w:kern w:val="0"/>
                <w:sz w:val="20"/>
                <w:szCs w:val="20"/>
              </w:rPr>
              <w:t>*</w:t>
            </w:r>
          </w:p>
        </w:tc>
        <w:tc>
          <w:tcPr>
            <w:tcW w:w="1559"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2091" w:type="dxa"/>
            <w:tcBorders>
              <w:top w:val="nil"/>
              <w:left w:val="nil"/>
              <w:bottom w:val="single" w:color="auto" w:sz="4" w:space="0"/>
              <w:right w:val="single" w:color="auto" w:sz="8" w:space="0"/>
            </w:tcBorders>
            <w:shd w:val="clear" w:color="000000" w:fill="FFFFFF"/>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right w:val="single" w:color="auto" w:sz="4" w:space="0"/>
            </w:tcBorders>
            <w:shd w:val="clear" w:color="000000" w:fill="FFFFFF"/>
            <w:noWrap w:val="0"/>
            <w:vAlign w:val="center"/>
          </w:tcPr>
          <w:p>
            <w:pPr>
              <w:jc w:val="center"/>
              <w:rPr>
                <w:rFonts w:ascii="宋体" w:hAnsi="宋体" w:cs="宋体"/>
                <w:kern w:val="0"/>
                <w:sz w:val="20"/>
                <w:szCs w:val="20"/>
              </w:rPr>
            </w:pPr>
          </w:p>
        </w:tc>
        <w:tc>
          <w:tcPr>
            <w:tcW w:w="1016" w:type="dxa"/>
            <w:vMerge w:val="continue"/>
            <w:tcBorders>
              <w:top w:val="nil"/>
              <w:left w:val="single" w:color="auto" w:sz="4" w:space="0"/>
              <w:bottom w:val="single" w:color="auto" w:sz="4" w:space="0"/>
              <w:right w:val="single" w:color="auto" w:sz="4" w:space="0"/>
            </w:tcBorders>
            <w:shd w:val="clear" w:color="auto" w:fill="auto"/>
            <w:noWrap w:val="0"/>
            <w:vAlign w:val="center"/>
          </w:tcPr>
          <w:p>
            <w:pPr>
              <w:widowControl/>
              <w:jc w:val="left"/>
              <w:rPr>
                <w:rFonts w:ascii="宋体" w:hAnsi="宋体" w:cs="宋体"/>
                <w:kern w:val="0"/>
                <w:sz w:val="20"/>
                <w:szCs w:val="20"/>
              </w:rPr>
            </w:pPr>
          </w:p>
        </w:tc>
        <w:tc>
          <w:tcPr>
            <w:tcW w:w="3152" w:type="dxa"/>
            <w:gridSpan w:val="2"/>
            <w:tcBorders>
              <w:top w:val="nil"/>
              <w:left w:val="nil"/>
              <w:bottom w:val="single" w:color="auto" w:sz="4" w:space="0"/>
              <w:right w:val="single" w:color="auto" w:sz="4" w:space="0"/>
            </w:tcBorders>
            <w:shd w:val="clear" w:color="000000" w:fill="FFFFFF"/>
            <w:noWrap w:val="0"/>
            <w:vAlign w:val="center"/>
          </w:tcPr>
          <w:p>
            <w:pPr>
              <w:widowControl/>
              <w:jc w:val="left"/>
              <w:rPr>
                <w:rFonts w:ascii="宋体" w:hAnsi="宋体" w:cs="宋体"/>
                <w:kern w:val="0"/>
                <w:sz w:val="20"/>
                <w:szCs w:val="20"/>
              </w:rPr>
            </w:pPr>
          </w:p>
        </w:tc>
        <w:tc>
          <w:tcPr>
            <w:tcW w:w="1559"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2091" w:type="dxa"/>
            <w:tcBorders>
              <w:top w:val="nil"/>
              <w:left w:val="nil"/>
              <w:bottom w:val="single" w:color="auto" w:sz="4" w:space="0"/>
              <w:right w:val="single" w:color="auto" w:sz="8" w:space="0"/>
            </w:tcBorders>
            <w:shd w:val="clear" w:color="000000" w:fill="FFFFFF"/>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vMerge w:val="continue"/>
            <w:tcBorders>
              <w:left w:val="single" w:color="auto" w:sz="8" w:space="0"/>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4168" w:type="dxa"/>
            <w:gridSpan w:val="3"/>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其他费用小计</w:t>
            </w:r>
          </w:p>
        </w:tc>
        <w:tc>
          <w:tcPr>
            <w:tcW w:w="1559"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2091" w:type="dxa"/>
            <w:tcBorders>
              <w:top w:val="nil"/>
              <w:left w:val="nil"/>
              <w:bottom w:val="single" w:color="auto" w:sz="4" w:space="0"/>
              <w:right w:val="single" w:color="auto" w:sz="8" w:space="0"/>
            </w:tcBorders>
            <w:shd w:val="clear" w:color="000000" w:fill="FFFFFF"/>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tcBorders>
              <w:top w:val="nil"/>
              <w:left w:val="single" w:color="auto" w:sz="8" w:space="0"/>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四</w:t>
            </w:r>
          </w:p>
        </w:tc>
        <w:tc>
          <w:tcPr>
            <w:tcW w:w="4168" w:type="dxa"/>
            <w:gridSpan w:val="3"/>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ascii="宋体" w:hAnsi="宋体" w:cs="宋体"/>
                <w:kern w:val="0"/>
                <w:sz w:val="20"/>
                <w:szCs w:val="20"/>
              </w:rPr>
            </w:pPr>
            <w:r>
              <w:rPr>
                <w:rFonts w:hint="eastAsia" w:ascii="宋体" w:hAnsi="宋体" w:cs="宋体"/>
                <w:kern w:val="0"/>
                <w:sz w:val="20"/>
                <w:szCs w:val="20"/>
              </w:rPr>
              <w:t>税金</w:t>
            </w:r>
          </w:p>
        </w:tc>
        <w:tc>
          <w:tcPr>
            <w:tcW w:w="1559"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2091" w:type="dxa"/>
            <w:tcBorders>
              <w:top w:val="nil"/>
              <w:left w:val="nil"/>
              <w:bottom w:val="single" w:color="auto" w:sz="4" w:space="0"/>
              <w:right w:val="single" w:color="auto" w:sz="8" w:space="0"/>
            </w:tcBorders>
            <w:shd w:val="clear" w:color="000000" w:fill="FFFFFF"/>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tcBorders>
              <w:top w:val="nil"/>
              <w:left w:val="single" w:color="auto" w:sz="8" w:space="0"/>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4168" w:type="dxa"/>
            <w:gridSpan w:val="3"/>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ascii="宋体" w:hAnsi="宋体" w:cs="宋体"/>
                <w:kern w:val="0"/>
                <w:sz w:val="20"/>
                <w:szCs w:val="20"/>
              </w:rPr>
            </w:pPr>
            <w:r>
              <w:rPr>
                <w:rFonts w:hint="eastAsia" w:ascii="宋体" w:hAnsi="宋体" w:cs="宋体"/>
                <w:b/>
                <w:bCs/>
                <w:kern w:val="0"/>
                <w:sz w:val="20"/>
                <w:szCs w:val="20"/>
              </w:rPr>
              <w:t>……</w:t>
            </w:r>
          </w:p>
        </w:tc>
        <w:tc>
          <w:tcPr>
            <w:tcW w:w="1559" w:type="dxa"/>
            <w:tcBorders>
              <w:top w:val="nil"/>
              <w:left w:val="nil"/>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2091" w:type="dxa"/>
            <w:tcBorders>
              <w:top w:val="nil"/>
              <w:left w:val="nil"/>
              <w:bottom w:val="single" w:color="auto" w:sz="4" w:space="0"/>
              <w:right w:val="single" w:color="auto" w:sz="8" w:space="0"/>
            </w:tcBorders>
            <w:shd w:val="clear" w:color="000000" w:fill="FFFFFF"/>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285" w:hRule="atLeast"/>
          <w:jc w:val="center"/>
        </w:trPr>
        <w:tc>
          <w:tcPr>
            <w:tcW w:w="618" w:type="dxa"/>
            <w:tcBorders>
              <w:top w:val="nil"/>
              <w:left w:val="single" w:color="auto" w:sz="8" w:space="0"/>
              <w:bottom w:val="single" w:color="auto" w:sz="4" w:space="0"/>
              <w:right w:val="single" w:color="auto" w:sz="4" w:space="0"/>
            </w:tcBorders>
            <w:shd w:val="clear" w:color="000000" w:fill="FFFFFF"/>
            <w:noWrap w:val="0"/>
            <w:vAlign w:val="center"/>
          </w:tcPr>
          <w:p>
            <w:pPr>
              <w:widowControl/>
              <w:jc w:val="center"/>
              <w:rPr>
                <w:rFonts w:ascii="宋体" w:hAnsi="宋体" w:cs="宋体"/>
                <w:kern w:val="0"/>
                <w:sz w:val="20"/>
                <w:szCs w:val="20"/>
              </w:rPr>
            </w:pPr>
          </w:p>
        </w:tc>
        <w:tc>
          <w:tcPr>
            <w:tcW w:w="4168" w:type="dxa"/>
            <w:gridSpan w:val="3"/>
            <w:tcBorders>
              <w:top w:val="single" w:color="auto" w:sz="4" w:space="0"/>
              <w:left w:val="nil"/>
              <w:bottom w:val="single" w:color="auto" w:sz="4" w:space="0"/>
              <w:right w:val="single" w:color="auto" w:sz="4" w:space="0"/>
            </w:tcBorders>
            <w:shd w:val="clear" w:color="000000" w:fill="FFFFFF"/>
            <w:noWrap w:val="0"/>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合计</w:t>
            </w:r>
            <w:r>
              <w:rPr>
                <w:rFonts w:hint="eastAsia" w:ascii="宋体" w:hAnsi="宋体" w:eastAsia="宋体" w:cs="宋体"/>
                <w:b/>
                <w:bCs/>
                <w:kern w:val="0"/>
                <w:sz w:val="20"/>
                <w:szCs w:val="20"/>
                <w:lang w:eastAsia="zh-CN"/>
              </w:rPr>
              <w:t>（</w:t>
            </w:r>
            <w:r>
              <w:rPr>
                <w:rFonts w:hint="eastAsia" w:ascii="宋体" w:hAnsi="宋体" w:cs="宋体"/>
                <w:b/>
                <w:bCs/>
                <w:kern w:val="0"/>
                <w:sz w:val="20"/>
                <w:szCs w:val="20"/>
              </w:rPr>
              <w:t>元</w:t>
            </w:r>
            <w:r>
              <w:rPr>
                <w:rFonts w:hint="eastAsia" w:ascii="宋体" w:hAnsi="宋体" w:eastAsia="宋体" w:cs="宋体"/>
                <w:b/>
                <w:bCs/>
                <w:kern w:val="0"/>
                <w:sz w:val="20"/>
                <w:szCs w:val="20"/>
                <w:lang w:eastAsia="zh-CN"/>
              </w:rPr>
              <w:t>）</w:t>
            </w:r>
          </w:p>
        </w:tc>
        <w:tc>
          <w:tcPr>
            <w:tcW w:w="1559" w:type="dxa"/>
            <w:tcBorders>
              <w:top w:val="nil"/>
              <w:left w:val="nil"/>
              <w:bottom w:val="single" w:color="auto" w:sz="4" w:space="0"/>
              <w:right w:val="single" w:color="auto" w:sz="4" w:space="0"/>
            </w:tcBorders>
            <w:shd w:val="clear" w:color="000000" w:fill="FFFFFF"/>
            <w:noWrap w:val="0"/>
            <w:vAlign w:val="center"/>
          </w:tcPr>
          <w:p>
            <w:pPr>
              <w:widowControl/>
              <w:jc w:val="right"/>
              <w:rPr>
                <w:rFonts w:ascii="宋体" w:hAnsi="宋体" w:cs="宋体"/>
                <w:b/>
                <w:bCs/>
                <w:kern w:val="0"/>
                <w:sz w:val="20"/>
                <w:szCs w:val="20"/>
              </w:rPr>
            </w:pPr>
          </w:p>
        </w:tc>
        <w:tc>
          <w:tcPr>
            <w:tcW w:w="2091" w:type="dxa"/>
            <w:tcBorders>
              <w:top w:val="nil"/>
              <w:left w:val="nil"/>
              <w:bottom w:val="single" w:color="auto" w:sz="4" w:space="0"/>
              <w:right w:val="single" w:color="auto" w:sz="8" w:space="0"/>
            </w:tcBorders>
            <w:shd w:val="clear" w:color="000000" w:fill="FFFFFF"/>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以上各项之和</w:t>
            </w:r>
          </w:p>
        </w:tc>
      </w:tr>
    </w:tbl>
    <w:p>
      <w:pPr>
        <w:spacing w:after="60"/>
        <w:rPr>
          <w:rFonts w:hint="eastAsia" w:ascii="宋体" w:hAnsi="宋体" w:eastAsia="宋体" w:cs="宋体"/>
          <w:sz w:val="21"/>
          <w:szCs w:val="21"/>
        </w:rPr>
      </w:pPr>
      <w:r>
        <w:rPr>
          <w:rFonts w:hint="eastAsia" w:ascii="宋体" w:hAnsi="宋体"/>
        </w:rPr>
        <w:t>注：</w:t>
      </w:r>
      <w:r>
        <w:rPr>
          <w:rFonts w:hint="eastAsia" w:ascii="宋体" w:hAnsi="宋体" w:eastAsia="宋体" w:cs="宋体"/>
          <w:sz w:val="21"/>
          <w:szCs w:val="21"/>
        </w:rPr>
        <w:t>1、所有价格应按“招标文件”中规定的货币单位填写；</w:t>
      </w:r>
    </w:p>
    <w:p>
      <w:pPr>
        <w:numPr>
          <w:ilvl w:val="0"/>
          <w:numId w:val="106"/>
        </w:numPr>
        <w:spacing w:after="60"/>
        <w:rPr>
          <w:rFonts w:hint="eastAsia" w:ascii="宋体" w:hAnsi="宋体" w:eastAsia="宋体" w:cs="宋体"/>
          <w:sz w:val="21"/>
          <w:szCs w:val="21"/>
        </w:rPr>
      </w:pPr>
      <w:r>
        <w:rPr>
          <w:rFonts w:hint="eastAsia" w:ascii="宋体" w:hAnsi="宋体" w:eastAsia="宋体" w:cs="宋体"/>
          <w:sz w:val="21"/>
          <w:szCs w:val="21"/>
        </w:rPr>
        <w:t>投标总价应为以上各分项价格之和；</w:t>
      </w:r>
    </w:p>
    <w:p>
      <w:pPr>
        <w:numPr>
          <w:ilvl w:val="0"/>
          <w:numId w:val="0"/>
        </w:numPr>
        <w:spacing w:after="60"/>
        <w:rPr>
          <w:rFonts w:hint="eastAsia" w:ascii="宋体" w:hAnsi="宋体" w:eastAsia="宋体" w:cs="宋体"/>
          <w:b/>
          <w:bCs/>
          <w:sz w:val="21"/>
          <w:szCs w:val="21"/>
        </w:rPr>
      </w:pPr>
      <w:r>
        <w:rPr>
          <w:rFonts w:hint="eastAsia" w:ascii="宋体" w:hAnsi="宋体" w:eastAsia="宋体" w:cs="宋体"/>
          <w:b/>
          <w:sz w:val="21"/>
          <w:szCs w:val="21"/>
        </w:rPr>
        <w:t>3、投标人如果需要对报价或其它内容加以说明，可在备注栏填写</w:t>
      </w:r>
      <w:r>
        <w:rPr>
          <w:rFonts w:hint="eastAsia" w:ascii="宋体" w:hAnsi="宋体" w:eastAsia="宋体" w:cs="宋体"/>
          <w:b/>
          <w:bCs/>
          <w:sz w:val="21"/>
          <w:szCs w:val="21"/>
        </w:rPr>
        <w:t>。</w:t>
      </w:r>
    </w:p>
    <w:p>
      <w:pPr>
        <w:pStyle w:val="22"/>
        <w:rPr>
          <w:rFonts w:hint="eastAsia"/>
          <w:lang w:val="en-US" w:eastAsia="zh-CN"/>
        </w:rPr>
      </w:pPr>
    </w:p>
    <w:p>
      <w:pPr>
        <w:tabs>
          <w:tab w:val="left" w:pos="720"/>
        </w:tabs>
        <w:jc w:val="center"/>
        <w:rPr>
          <w:b/>
          <w:bCs/>
        </w:rPr>
      </w:pPr>
      <w:r>
        <w:rPr>
          <w:rFonts w:hint="eastAsia"/>
          <w:b/>
          <w:sz w:val="24"/>
        </w:rPr>
        <w:t>（二）</w:t>
      </w:r>
      <w:bookmarkStart w:id="53" w:name="_Hlk72073235"/>
      <w:r>
        <w:rPr>
          <w:rFonts w:hint="eastAsia"/>
          <w:b/>
          <w:sz w:val="24"/>
        </w:rPr>
        <w:t>投标人认为需要涉及的其他内容报价清单</w:t>
      </w:r>
      <w:bookmarkEnd w:id="53"/>
    </w:p>
    <w:p>
      <w:pPr>
        <w:tabs>
          <w:tab w:val="left" w:pos="651"/>
        </w:tabs>
        <w:snapToGrid w:val="0"/>
        <w:jc w:val="center"/>
        <w:rPr>
          <w:rFonts w:ascii="黑体" w:eastAsia="黑体"/>
          <w:kern w:val="0"/>
          <w:sz w:val="24"/>
          <w:szCs w:val="24"/>
        </w:rPr>
      </w:pPr>
    </w:p>
    <w:p>
      <w:pPr>
        <w:pStyle w:val="5"/>
        <w:numPr>
          <w:ilvl w:val="0"/>
          <w:numId w:val="103"/>
        </w:numPr>
        <w:ind w:left="0" w:leftChars="0" w:firstLine="0" w:firstLineChars="0"/>
        <w:jc w:val="center"/>
        <w:rPr>
          <w:rFonts w:hint="eastAsia" w:ascii="黑体" w:hAnsi="宋体" w:eastAsia="黑体"/>
          <w:b w:val="0"/>
          <w:sz w:val="24"/>
        </w:rPr>
      </w:pPr>
      <w:bookmarkStart w:id="54" w:name="_Hlk72092634"/>
      <w:bookmarkStart w:id="55" w:name="OLE_LINK10"/>
      <w:r>
        <w:rPr>
          <w:rFonts w:hint="eastAsia" w:ascii="黑体" w:hAnsi="宋体" w:eastAsia="黑体"/>
          <w:b w:val="0"/>
          <w:sz w:val="24"/>
        </w:rPr>
        <w:t>实质性条款响应情况表</w:t>
      </w:r>
      <w:bookmarkEnd w:id="54"/>
      <w:bookmarkEnd w:id="55"/>
    </w:p>
    <w:tbl>
      <w:tblPr>
        <w:tblStyle w:val="23"/>
        <w:tblW w:w="9403"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901"/>
        <w:gridCol w:w="2176"/>
        <w:gridCol w:w="1732"/>
        <w:gridCol w:w="992"/>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29" w:hRule="atLeast"/>
          <w:jc w:val="center"/>
        </w:trPr>
        <w:tc>
          <w:tcPr>
            <w:tcW w:w="602" w:type="dxa"/>
            <w:vAlign w:val="center"/>
          </w:tcPr>
          <w:p>
            <w:pPr>
              <w:jc w:val="center"/>
              <w:rPr>
                <w:rFonts w:ascii="宋体" w:hAnsi="宋体" w:eastAsia="宋体" w:cs="Arial"/>
                <w:b/>
                <w:szCs w:val="21"/>
              </w:rPr>
            </w:pPr>
            <w:r>
              <w:rPr>
                <w:rFonts w:hint="eastAsia" w:ascii="宋体" w:hAnsi="宋体" w:eastAsia="宋体" w:cs="Arial"/>
                <w:b/>
                <w:szCs w:val="21"/>
              </w:rPr>
              <w:t>序号</w:t>
            </w:r>
          </w:p>
        </w:tc>
        <w:tc>
          <w:tcPr>
            <w:tcW w:w="3901" w:type="dxa"/>
            <w:vAlign w:val="center"/>
          </w:tcPr>
          <w:p>
            <w:pPr>
              <w:jc w:val="center"/>
              <w:rPr>
                <w:rFonts w:ascii="宋体" w:hAnsi="宋体" w:eastAsia="宋体" w:cs="Arial"/>
                <w:b/>
                <w:szCs w:val="21"/>
              </w:rPr>
            </w:pPr>
            <w:r>
              <w:rPr>
                <w:rFonts w:hint="eastAsia" w:ascii="宋体" w:hAnsi="宋体" w:eastAsia="宋体" w:cs="Arial"/>
                <w:b/>
                <w:szCs w:val="21"/>
              </w:rPr>
              <w:t>实质性条款具体内容</w:t>
            </w:r>
          </w:p>
        </w:tc>
        <w:tc>
          <w:tcPr>
            <w:tcW w:w="2176" w:type="dxa"/>
            <w:vAlign w:val="center"/>
          </w:tcPr>
          <w:p>
            <w:pPr>
              <w:jc w:val="center"/>
              <w:rPr>
                <w:rFonts w:ascii="宋体" w:hAnsi="宋体" w:eastAsia="宋体" w:cs="Arial"/>
                <w:b/>
                <w:szCs w:val="21"/>
              </w:rPr>
            </w:pPr>
            <w:r>
              <w:rPr>
                <w:rFonts w:hint="eastAsia" w:ascii="宋体" w:hAnsi="宋体" w:eastAsia="宋体" w:cs="Arial"/>
                <w:b/>
                <w:szCs w:val="21"/>
              </w:rPr>
              <w:t>投标文件响应</w:t>
            </w:r>
          </w:p>
        </w:tc>
        <w:tc>
          <w:tcPr>
            <w:tcW w:w="1732" w:type="dxa"/>
          </w:tcPr>
          <w:p>
            <w:pPr>
              <w:spacing w:before="156" w:beforeLines="50"/>
              <w:jc w:val="center"/>
              <w:rPr>
                <w:rFonts w:ascii="宋体" w:hAnsi="宋体" w:eastAsia="宋体" w:cs="Arial"/>
                <w:b/>
                <w:szCs w:val="21"/>
              </w:rPr>
            </w:pPr>
            <w:r>
              <w:rPr>
                <w:rFonts w:hint="eastAsia" w:ascii="宋体" w:hAnsi="宋体" w:eastAsia="宋体" w:cs="Arial"/>
                <w:b/>
                <w:szCs w:val="21"/>
              </w:rPr>
              <w:t>偏离情况</w:t>
            </w:r>
          </w:p>
        </w:tc>
        <w:tc>
          <w:tcPr>
            <w:tcW w:w="992" w:type="dxa"/>
            <w:vAlign w:val="center"/>
          </w:tcPr>
          <w:p>
            <w:pPr>
              <w:jc w:val="center"/>
              <w:rPr>
                <w:rFonts w:ascii="宋体" w:hAnsi="宋体" w:eastAsia="宋体" w:cs="Arial"/>
                <w:b/>
                <w:szCs w:val="21"/>
              </w:rPr>
            </w:pPr>
            <w:r>
              <w:rPr>
                <w:rFonts w:hint="eastAsia" w:ascii="宋体" w:hAnsi="宋体" w:eastAsia="宋体" w:cs="Arial"/>
                <w:b/>
                <w:szCs w:val="21"/>
              </w:rPr>
              <w:t>说明</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060" w:hRule="atLeast"/>
          <w:jc w:val="center"/>
        </w:trPr>
        <w:tc>
          <w:tcPr>
            <w:tcW w:w="602" w:type="dxa"/>
            <w:vAlign w:val="center"/>
          </w:tcPr>
          <w:p>
            <w:pPr>
              <w:spacing w:line="300" w:lineRule="auto"/>
              <w:jc w:val="center"/>
              <w:rPr>
                <w:rFonts w:ascii="宋体" w:hAnsi="宋体" w:eastAsia="宋体" w:cs="Times New Roman"/>
                <w:b/>
                <w:color w:val="FF0000"/>
                <w:kern w:val="0"/>
                <w:szCs w:val="21"/>
              </w:rPr>
            </w:pPr>
            <w:r>
              <w:rPr>
                <w:rFonts w:hint="eastAsia" w:ascii="宋体" w:hAnsi="宋体" w:eastAsia="宋体" w:cs="Times New Roman"/>
                <w:b/>
                <w:color w:val="FF0000"/>
                <w:kern w:val="0"/>
                <w:szCs w:val="21"/>
              </w:rPr>
              <w:t>1</w:t>
            </w:r>
          </w:p>
        </w:tc>
        <w:tc>
          <w:tcPr>
            <w:tcW w:w="3901" w:type="dxa"/>
            <w:vAlign w:val="center"/>
          </w:tcPr>
          <w:p>
            <w:pPr>
              <w:spacing w:line="300" w:lineRule="auto"/>
              <w:jc w:val="center"/>
              <w:rPr>
                <w:rFonts w:ascii="宋体" w:hAnsi="宋体" w:eastAsia="宋体" w:cs="Times New Roman"/>
                <w:b/>
                <w:color w:val="FF0000"/>
                <w:kern w:val="0"/>
                <w:szCs w:val="21"/>
              </w:rPr>
            </w:pPr>
            <w:r>
              <w:rPr>
                <w:rFonts w:hint="eastAsia" w:ascii="宋体" w:hAnsi="宋体" w:eastAsia="宋体" w:cs="Times New Roman"/>
                <w:b/>
                <w:color w:val="FF0000"/>
                <w:kern w:val="0"/>
                <w:szCs w:val="21"/>
              </w:rPr>
              <w:t>本项目招标文件中所有带★号条款内容</w:t>
            </w:r>
          </w:p>
        </w:tc>
        <w:tc>
          <w:tcPr>
            <w:tcW w:w="2176" w:type="dxa"/>
            <w:vAlign w:val="center"/>
          </w:tcPr>
          <w:p>
            <w:pPr>
              <w:spacing w:line="300" w:lineRule="auto"/>
              <w:jc w:val="center"/>
              <w:rPr>
                <w:rFonts w:ascii="宋体" w:hAnsi="宋体" w:eastAsia="宋体" w:cs="Times New Roman"/>
                <w:b/>
                <w:kern w:val="0"/>
                <w:szCs w:val="21"/>
              </w:rPr>
            </w:pPr>
            <w:r>
              <w:rPr>
                <w:rFonts w:hint="eastAsia" w:ascii="宋体" w:hAnsi="宋体" w:eastAsia="宋体" w:cs="Times New Roman"/>
                <w:b/>
                <w:kern w:val="0"/>
                <w:szCs w:val="21"/>
              </w:rPr>
              <w:t>完全响应</w:t>
            </w:r>
          </w:p>
        </w:tc>
        <w:tc>
          <w:tcPr>
            <w:tcW w:w="1732" w:type="dxa"/>
            <w:vAlign w:val="center"/>
          </w:tcPr>
          <w:p>
            <w:pPr>
              <w:spacing w:line="300" w:lineRule="auto"/>
              <w:jc w:val="center"/>
              <w:rPr>
                <w:rFonts w:ascii="宋体" w:hAnsi="宋体" w:eastAsia="宋体" w:cs="Times New Roman"/>
                <w:b/>
                <w:kern w:val="0"/>
                <w:szCs w:val="21"/>
              </w:rPr>
            </w:pPr>
            <w:r>
              <w:rPr>
                <w:rFonts w:hint="eastAsia" w:ascii="宋体" w:hAnsi="宋体" w:eastAsia="宋体" w:cs="Times New Roman"/>
                <w:b/>
                <w:kern w:val="0"/>
                <w:szCs w:val="21"/>
              </w:rPr>
              <w:t>无偏离</w:t>
            </w:r>
          </w:p>
        </w:tc>
        <w:tc>
          <w:tcPr>
            <w:tcW w:w="992" w:type="dxa"/>
            <w:vAlign w:val="center"/>
          </w:tcPr>
          <w:p>
            <w:pPr>
              <w:spacing w:line="300" w:lineRule="auto"/>
              <w:jc w:val="center"/>
              <w:rPr>
                <w:rFonts w:ascii="宋体" w:hAnsi="宋体" w:eastAsia="宋体" w:cs="Times New Roman"/>
                <w:b/>
                <w:color w:val="FF0000"/>
                <w:kern w:val="0"/>
                <w:szCs w:val="21"/>
              </w:rPr>
            </w:pPr>
          </w:p>
        </w:tc>
      </w:tr>
    </w:tbl>
    <w:p>
      <w:pPr>
        <w:snapToGrid w:val="0"/>
        <w:rPr>
          <w:rFonts w:cs="Times New Roman" w:asciiTheme="minorEastAsia" w:hAnsiTheme="minorEastAsia"/>
          <w:sz w:val="24"/>
          <w:szCs w:val="24"/>
        </w:rPr>
      </w:pPr>
    </w:p>
    <w:p>
      <w:pPr>
        <w:snapToGrid w:val="0"/>
        <w:rPr>
          <w:rFonts w:cs="Times New Roman" w:asciiTheme="minorEastAsia" w:hAnsiTheme="minorEastAsia"/>
          <w:b/>
          <w:sz w:val="24"/>
          <w:szCs w:val="24"/>
        </w:rPr>
      </w:pPr>
      <w:r>
        <w:rPr>
          <w:rFonts w:hint="eastAsia" w:ascii="宋体" w:hAnsi="宋体" w:eastAsia="宋体" w:cs="Times New Roman"/>
          <w:b/>
          <w:sz w:val="24"/>
          <w:szCs w:val="24"/>
        </w:rPr>
        <w:t>填写说明：</w:t>
      </w:r>
    </w:p>
    <w:p>
      <w:pPr>
        <w:spacing w:line="276" w:lineRule="auto"/>
        <w:ind w:firstLine="480" w:firstLineChars="200"/>
        <w:rPr>
          <w:rFonts w:ascii="宋体" w:hAnsi="宋体" w:cs="宋体"/>
          <w:bCs/>
          <w:sz w:val="24"/>
          <w:szCs w:val="24"/>
        </w:rPr>
      </w:pPr>
      <w:r>
        <w:rPr>
          <w:rFonts w:hint="eastAsia" w:ascii="宋体" w:hAnsi="宋体" w:cs="宋体"/>
          <w:bCs/>
          <w:sz w:val="24"/>
          <w:szCs w:val="24"/>
        </w:rPr>
        <w:t>1、上表所列各项均为不可负偏离条款。</w:t>
      </w:r>
    </w:p>
    <w:p>
      <w:pPr>
        <w:spacing w:line="276" w:lineRule="auto"/>
        <w:ind w:firstLine="480" w:firstLineChars="200"/>
        <w:rPr>
          <w:rFonts w:ascii="宋体" w:hAnsi="宋体" w:cs="宋体"/>
          <w:bCs/>
          <w:sz w:val="24"/>
          <w:szCs w:val="24"/>
        </w:rPr>
      </w:pPr>
      <w:r>
        <w:rPr>
          <w:rFonts w:hint="eastAsia" w:ascii="宋体" w:hAnsi="宋体" w:cs="宋体"/>
          <w:bCs/>
          <w:sz w:val="24"/>
          <w:szCs w:val="24"/>
        </w:rPr>
        <w:t>2、“投标文件响应”一栏应当详细填写投标人自身响应情况，而不能不合理照搬照抄招标文件实质性条款具体内容。</w:t>
      </w:r>
      <w:r>
        <w:rPr>
          <w:rFonts w:hint="eastAsia" w:ascii="宋体" w:hAnsi="宋体" w:cs="宋体"/>
          <w:b/>
          <w:bCs/>
          <w:sz w:val="24"/>
          <w:szCs w:val="24"/>
        </w:rPr>
        <w:t>如完全满足实质性条款具体内容可填写“完全响应”，除招标文件另有注明外，不强制要求逐条列出响应。</w:t>
      </w:r>
    </w:p>
    <w:p>
      <w:pPr>
        <w:spacing w:line="276" w:lineRule="auto"/>
        <w:ind w:firstLine="480" w:firstLineChars="200"/>
        <w:rPr>
          <w:rFonts w:ascii="宋体" w:hAnsi="宋体" w:cs="宋体"/>
          <w:bCs/>
          <w:sz w:val="24"/>
          <w:szCs w:val="24"/>
        </w:rPr>
      </w:pPr>
      <w:r>
        <w:rPr>
          <w:rFonts w:hint="eastAsia" w:ascii="宋体" w:hAnsi="宋体" w:cs="宋体"/>
          <w:bCs/>
          <w:sz w:val="24"/>
          <w:szCs w:val="24"/>
        </w:rPr>
        <w:t>3、“偏离情况”一栏应填写</w:t>
      </w:r>
      <w:r>
        <w:rPr>
          <w:rFonts w:hint="eastAsia" w:ascii="宋体" w:hAnsi="宋体" w:cs="宋体"/>
          <w:sz w:val="24"/>
          <w:szCs w:val="24"/>
        </w:rPr>
        <w:t>“</w:t>
      </w:r>
      <w:r>
        <w:rPr>
          <w:rFonts w:hint="eastAsia" w:ascii="宋体" w:hAnsi="宋体" w:cs="宋体"/>
          <w:b/>
          <w:bCs/>
          <w:sz w:val="24"/>
          <w:szCs w:val="24"/>
        </w:rPr>
        <w:t>正偏离</w:t>
      </w:r>
      <w:r>
        <w:rPr>
          <w:rFonts w:hint="eastAsia" w:ascii="宋体" w:hAnsi="宋体" w:cs="宋体"/>
          <w:sz w:val="24"/>
          <w:szCs w:val="24"/>
        </w:rPr>
        <w:t>”或“</w:t>
      </w:r>
      <w:r>
        <w:rPr>
          <w:rFonts w:hint="eastAsia" w:ascii="宋体" w:hAnsi="宋体" w:cs="宋体"/>
          <w:b/>
          <w:bCs/>
          <w:sz w:val="24"/>
          <w:szCs w:val="24"/>
        </w:rPr>
        <w:t>负偏离</w:t>
      </w:r>
      <w:r>
        <w:rPr>
          <w:rFonts w:hint="eastAsia" w:ascii="宋体" w:hAnsi="宋体" w:cs="宋体"/>
          <w:sz w:val="24"/>
          <w:szCs w:val="24"/>
        </w:rPr>
        <w:t>”或“</w:t>
      </w:r>
      <w:r>
        <w:rPr>
          <w:rFonts w:hint="eastAsia" w:ascii="宋体" w:hAnsi="宋体" w:cs="宋体"/>
          <w:b/>
          <w:bCs/>
          <w:sz w:val="24"/>
          <w:szCs w:val="24"/>
        </w:rPr>
        <w:t>无偏离</w:t>
      </w:r>
      <w:r>
        <w:rPr>
          <w:rFonts w:hint="eastAsia" w:ascii="宋体" w:hAnsi="宋体" w:cs="宋体"/>
          <w:sz w:val="24"/>
          <w:szCs w:val="24"/>
        </w:rPr>
        <w:t>”</w:t>
      </w:r>
      <w:r>
        <w:rPr>
          <w:rFonts w:hint="eastAsia" w:ascii="宋体" w:hAnsi="宋体" w:cs="宋体"/>
          <w:bCs/>
          <w:sz w:val="24"/>
          <w:szCs w:val="24"/>
        </w:rPr>
        <w:t>，“正偏离”表示“投标响应优于实质性条款具体内容要求”，“负偏离”表示“投标响应不满足实质性条款具体内容要求”，“无偏离”表示“投标响应与实质性条款具体内容要求一致”。</w:t>
      </w:r>
    </w:p>
    <w:p>
      <w:pPr>
        <w:spacing w:line="276" w:lineRule="auto"/>
        <w:ind w:firstLine="480" w:firstLineChars="200"/>
        <w:rPr>
          <w:rFonts w:ascii="宋体" w:hAnsi="宋体" w:cs="宋体"/>
          <w:bCs/>
          <w:sz w:val="24"/>
          <w:szCs w:val="24"/>
        </w:rPr>
      </w:pPr>
      <w:r>
        <w:rPr>
          <w:rFonts w:hint="eastAsia" w:ascii="宋体" w:hAnsi="宋体" w:cs="宋体"/>
          <w:bCs/>
          <w:sz w:val="24"/>
          <w:szCs w:val="24"/>
        </w:rPr>
        <w:t>4、评审委员会有权对投标响应情况作出判断。</w:t>
      </w:r>
    </w:p>
    <w:p>
      <w:pPr>
        <w:spacing w:line="276" w:lineRule="auto"/>
        <w:ind w:firstLine="480" w:firstLineChars="200"/>
        <w:rPr>
          <w:rFonts w:ascii="宋体" w:hAnsi="宋体" w:cs="宋体"/>
          <w:bCs/>
          <w:sz w:val="24"/>
          <w:szCs w:val="24"/>
        </w:rPr>
      </w:pPr>
      <w:r>
        <w:rPr>
          <w:rFonts w:hint="eastAsia" w:ascii="宋体" w:hAnsi="宋体" w:cs="宋体"/>
          <w:bCs/>
          <w:sz w:val="24"/>
          <w:szCs w:val="24"/>
        </w:rPr>
        <w:t>5、实质性响应条款“投标响应情况”与投标文件其它内容冲突的，以实质性响应条款“投标响应情况”为准。</w:t>
      </w:r>
    </w:p>
    <w:p>
      <w:pPr>
        <w:spacing w:line="276" w:lineRule="auto"/>
        <w:ind w:firstLine="480" w:firstLineChars="200"/>
        <w:rPr>
          <w:rFonts w:ascii="宋体" w:hAnsi="宋体" w:cs="宋体"/>
          <w:bCs/>
          <w:sz w:val="24"/>
          <w:szCs w:val="24"/>
        </w:rPr>
      </w:pPr>
      <w:r>
        <w:rPr>
          <w:rFonts w:hint="eastAsia" w:ascii="宋体" w:hAnsi="宋体" w:cs="宋体"/>
          <w:bCs/>
          <w:sz w:val="24"/>
          <w:szCs w:val="24"/>
        </w:rPr>
        <w:t>6、以上实质性条款中要求提供证明材料，需如实提供证明材料扫描件，在“说明”一栏中列明证明材料的位置，以便评审；未要求提供证明材料的，投标人可以不提供。</w:t>
      </w:r>
    </w:p>
    <w:p>
      <w:pPr>
        <w:pStyle w:val="5"/>
        <w:numPr>
          <w:ilvl w:val="0"/>
          <w:numId w:val="103"/>
        </w:numPr>
        <w:ind w:left="0" w:leftChars="0" w:firstLine="0" w:firstLineChars="0"/>
        <w:jc w:val="center"/>
        <w:rPr>
          <w:rFonts w:hint="eastAsia" w:ascii="黑体" w:hAnsi="宋体" w:eastAsia="黑体"/>
          <w:b w:val="0"/>
          <w:sz w:val="24"/>
          <w:lang w:eastAsia="zh-CN"/>
        </w:rPr>
      </w:pPr>
      <w:bookmarkStart w:id="56" w:name="OLE_LINK31"/>
      <w:r>
        <w:rPr>
          <w:rFonts w:hint="eastAsia" w:ascii="黑体" w:hAnsi="宋体" w:eastAsia="黑体"/>
          <w:b w:val="0"/>
          <w:sz w:val="24"/>
          <w:lang w:eastAsia="zh-CN"/>
        </w:rPr>
        <w:t>相关认证情况</w:t>
      </w:r>
    </w:p>
    <w:p>
      <w:pPr>
        <w:pStyle w:val="5"/>
        <w:numPr>
          <w:ilvl w:val="0"/>
          <w:numId w:val="103"/>
        </w:numPr>
        <w:ind w:left="0" w:leftChars="0" w:firstLine="0" w:firstLineChars="0"/>
        <w:jc w:val="center"/>
        <w:rPr>
          <w:rFonts w:hint="eastAsia" w:ascii="黑体" w:hAnsi="宋体" w:eastAsia="黑体"/>
          <w:b w:val="0"/>
          <w:sz w:val="24"/>
          <w:lang w:val="en-US" w:eastAsia="zh-CN"/>
        </w:rPr>
      </w:pPr>
      <w:r>
        <w:rPr>
          <w:rFonts w:hint="eastAsia" w:ascii="黑体" w:hAnsi="宋体" w:eastAsia="黑体"/>
          <w:b w:val="0"/>
          <w:sz w:val="24"/>
          <w:lang w:eastAsia="zh-CN"/>
        </w:rPr>
        <w:t>获奖情况</w:t>
      </w:r>
    </w:p>
    <w:p>
      <w:pPr>
        <w:pStyle w:val="5"/>
        <w:numPr>
          <w:ilvl w:val="0"/>
          <w:numId w:val="103"/>
        </w:numPr>
        <w:ind w:left="0" w:leftChars="0" w:firstLine="0" w:firstLineChars="0"/>
        <w:jc w:val="center"/>
        <w:rPr>
          <w:rFonts w:hint="eastAsia" w:ascii="黑体" w:hAnsi="宋体" w:eastAsia="黑体"/>
          <w:b w:val="0"/>
          <w:sz w:val="24"/>
          <w:lang w:val="en-US" w:eastAsia="zh-CN"/>
        </w:rPr>
      </w:pPr>
      <w:r>
        <w:rPr>
          <w:rFonts w:hint="eastAsia" w:ascii="黑体" w:hAnsi="宋体" w:eastAsia="黑体"/>
          <w:b w:val="0"/>
          <w:sz w:val="24"/>
          <w:lang w:eastAsia="zh-CN"/>
        </w:rPr>
        <w:t>同类项目业绩</w:t>
      </w:r>
    </w:p>
    <w:p>
      <w:pPr>
        <w:pStyle w:val="5"/>
        <w:numPr>
          <w:ilvl w:val="0"/>
          <w:numId w:val="103"/>
        </w:numPr>
        <w:ind w:left="0" w:leftChars="0" w:firstLine="0" w:firstLineChars="0"/>
        <w:jc w:val="center"/>
        <w:rPr>
          <w:rFonts w:hint="eastAsia" w:ascii="黑体" w:hAnsi="宋体" w:eastAsia="黑体"/>
          <w:b w:val="0"/>
          <w:sz w:val="24"/>
          <w:lang w:val="en-US" w:eastAsia="zh-CN"/>
        </w:rPr>
      </w:pPr>
      <w:bookmarkStart w:id="57" w:name="OLE_LINK8"/>
      <w:r>
        <w:rPr>
          <w:rFonts w:hint="eastAsia" w:ascii="黑体" w:hAnsi="宋体" w:eastAsia="黑体"/>
          <w:b w:val="0"/>
          <w:sz w:val="24"/>
          <w:lang w:eastAsia="zh-CN"/>
        </w:rPr>
        <w:t>履约评价情况</w:t>
      </w:r>
    </w:p>
    <w:bookmarkEnd w:id="57"/>
    <w:p>
      <w:pPr>
        <w:pStyle w:val="5"/>
        <w:numPr>
          <w:ilvl w:val="0"/>
          <w:numId w:val="103"/>
        </w:numPr>
        <w:ind w:left="0" w:leftChars="0" w:firstLine="0" w:firstLineChars="0"/>
        <w:jc w:val="center"/>
        <w:rPr>
          <w:rFonts w:hint="eastAsia" w:ascii="黑体" w:hAnsi="宋体" w:eastAsia="黑体"/>
          <w:b w:val="0"/>
          <w:sz w:val="24"/>
          <w:lang w:val="en-US" w:eastAsia="zh-CN"/>
        </w:rPr>
      </w:pPr>
      <w:bookmarkStart w:id="58" w:name="OLE_LINK9"/>
      <w:r>
        <w:rPr>
          <w:rFonts w:hint="eastAsia" w:ascii="黑体" w:hAnsi="宋体" w:eastAsia="黑体"/>
          <w:b w:val="0"/>
          <w:sz w:val="24"/>
          <w:lang w:eastAsia="zh-CN"/>
        </w:rPr>
        <w:t>自主知识产权产品（创新、设计）情况</w:t>
      </w:r>
    </w:p>
    <w:bookmarkEnd w:id="58"/>
    <w:p>
      <w:pPr>
        <w:pStyle w:val="5"/>
        <w:numPr>
          <w:ilvl w:val="0"/>
          <w:numId w:val="103"/>
        </w:numPr>
        <w:ind w:left="0" w:leftChars="0" w:firstLine="0" w:firstLineChars="0"/>
        <w:jc w:val="center"/>
        <w:rPr>
          <w:rFonts w:hint="eastAsia" w:ascii="黑体" w:hAnsi="宋体" w:eastAsia="黑体"/>
          <w:b w:val="0"/>
          <w:sz w:val="24"/>
          <w:lang w:eastAsia="zh-CN"/>
        </w:rPr>
      </w:pPr>
      <w:r>
        <w:rPr>
          <w:rFonts w:hint="eastAsia" w:ascii="黑体" w:hAnsi="宋体" w:eastAsia="黑体"/>
          <w:b w:val="0"/>
          <w:sz w:val="24"/>
          <w:lang w:eastAsia="zh-CN"/>
        </w:rPr>
        <w:t>实施方案</w:t>
      </w:r>
    </w:p>
    <w:p>
      <w:pPr>
        <w:pStyle w:val="5"/>
        <w:numPr>
          <w:ilvl w:val="0"/>
          <w:numId w:val="103"/>
        </w:numPr>
        <w:ind w:left="0" w:leftChars="0" w:firstLine="0" w:firstLineChars="0"/>
        <w:jc w:val="center"/>
        <w:rPr>
          <w:rFonts w:hint="eastAsia" w:ascii="黑体" w:hAnsi="宋体" w:eastAsia="黑体"/>
          <w:b w:val="0"/>
          <w:sz w:val="24"/>
          <w:lang w:eastAsia="zh-CN"/>
        </w:rPr>
      </w:pPr>
      <w:r>
        <w:rPr>
          <w:rFonts w:hint="eastAsia" w:ascii="黑体" w:hAnsi="宋体" w:eastAsia="黑体"/>
          <w:b w:val="0"/>
          <w:sz w:val="24"/>
          <w:lang w:eastAsia="zh-CN"/>
        </w:rPr>
        <w:t>项目重点难点分析、应对措施及相关的合理化建议</w:t>
      </w:r>
    </w:p>
    <w:p>
      <w:pPr>
        <w:pStyle w:val="5"/>
        <w:numPr>
          <w:ilvl w:val="0"/>
          <w:numId w:val="103"/>
        </w:numPr>
        <w:ind w:left="0" w:leftChars="0" w:firstLine="0" w:firstLineChars="0"/>
        <w:jc w:val="center"/>
        <w:rPr>
          <w:rFonts w:hint="eastAsia" w:ascii="黑体" w:hAnsi="宋体" w:eastAsia="黑体"/>
          <w:b w:val="0"/>
          <w:sz w:val="24"/>
          <w:lang w:eastAsia="zh-CN"/>
        </w:rPr>
      </w:pPr>
      <w:r>
        <w:rPr>
          <w:rFonts w:hint="eastAsia" w:ascii="黑体" w:hAnsi="宋体" w:eastAsia="黑体"/>
          <w:b w:val="0"/>
          <w:sz w:val="24"/>
          <w:lang w:eastAsia="zh-CN"/>
        </w:rPr>
        <w:t>质量保障措施及方案</w:t>
      </w:r>
    </w:p>
    <w:p>
      <w:pPr>
        <w:pStyle w:val="5"/>
        <w:numPr>
          <w:ilvl w:val="0"/>
          <w:numId w:val="103"/>
        </w:numPr>
        <w:ind w:left="0" w:leftChars="0" w:firstLine="0" w:firstLineChars="0"/>
        <w:jc w:val="center"/>
        <w:rPr>
          <w:rFonts w:hint="eastAsia" w:ascii="黑体" w:hAnsi="宋体" w:eastAsia="黑体"/>
          <w:b w:val="0"/>
          <w:sz w:val="24"/>
          <w:lang w:eastAsia="zh-CN"/>
        </w:rPr>
      </w:pPr>
      <w:r>
        <w:rPr>
          <w:rFonts w:hint="eastAsia" w:ascii="黑体" w:hAnsi="宋体" w:eastAsia="黑体"/>
          <w:b w:val="0"/>
          <w:sz w:val="24"/>
          <w:lang w:eastAsia="zh-CN"/>
        </w:rPr>
        <w:t>项目完成（服务期满）后的服务承诺</w:t>
      </w:r>
    </w:p>
    <w:p>
      <w:pPr>
        <w:pStyle w:val="5"/>
        <w:numPr>
          <w:ilvl w:val="0"/>
          <w:numId w:val="103"/>
        </w:numPr>
        <w:ind w:left="0" w:leftChars="0" w:firstLine="0" w:firstLineChars="0"/>
        <w:jc w:val="center"/>
        <w:rPr>
          <w:rFonts w:hint="eastAsia" w:ascii="黑体" w:hAnsi="宋体" w:eastAsia="黑体"/>
          <w:b w:val="0"/>
          <w:sz w:val="24"/>
          <w:lang w:eastAsia="zh-CN"/>
        </w:rPr>
      </w:pPr>
      <w:r>
        <w:rPr>
          <w:rFonts w:hint="eastAsia" w:ascii="黑体" w:hAnsi="宋体" w:eastAsia="黑体"/>
          <w:b w:val="0"/>
          <w:sz w:val="24"/>
          <w:lang w:eastAsia="zh-CN"/>
        </w:rPr>
        <w:t>违约承诺</w:t>
      </w:r>
    </w:p>
    <w:p>
      <w:pPr>
        <w:pStyle w:val="5"/>
        <w:numPr>
          <w:ilvl w:val="0"/>
          <w:numId w:val="103"/>
        </w:numPr>
        <w:ind w:left="0" w:leftChars="0" w:firstLine="0" w:firstLineChars="0"/>
        <w:jc w:val="center"/>
        <w:rPr>
          <w:rFonts w:hint="eastAsia" w:ascii="黑体" w:hAnsi="宋体" w:eastAsia="黑体"/>
          <w:b w:val="0"/>
          <w:sz w:val="24"/>
          <w:lang w:eastAsia="zh-CN"/>
        </w:rPr>
      </w:pPr>
      <w:r>
        <w:rPr>
          <w:rFonts w:hint="eastAsia" w:ascii="黑体" w:hAnsi="宋体" w:eastAsia="黑体"/>
          <w:b w:val="0"/>
          <w:sz w:val="24"/>
          <w:lang w:eastAsia="zh-CN"/>
        </w:rPr>
        <w:t>项目拟使用的车辆（场地、工具、机器）情况</w:t>
      </w:r>
    </w:p>
    <w:p>
      <w:pPr>
        <w:pStyle w:val="5"/>
        <w:numPr>
          <w:ilvl w:val="0"/>
          <w:numId w:val="103"/>
        </w:numPr>
        <w:ind w:left="0" w:leftChars="0" w:firstLine="0" w:firstLineChars="0"/>
        <w:jc w:val="center"/>
        <w:rPr>
          <w:rFonts w:hint="eastAsia" w:ascii="黑体" w:hAnsi="宋体" w:eastAsia="黑体"/>
          <w:b w:val="0"/>
          <w:sz w:val="24"/>
          <w:lang w:eastAsia="zh-CN"/>
        </w:rPr>
      </w:pPr>
      <w:r>
        <w:rPr>
          <w:rFonts w:hint="eastAsia" w:ascii="黑体" w:hAnsi="宋体" w:eastAsia="黑体"/>
          <w:b w:val="0"/>
          <w:sz w:val="24"/>
          <w:lang w:eastAsia="zh-CN"/>
        </w:rPr>
        <w:t>拟安排项目负责人情况（仅限1人）</w:t>
      </w:r>
    </w:p>
    <w:p>
      <w:pPr>
        <w:pStyle w:val="5"/>
        <w:numPr>
          <w:ilvl w:val="0"/>
          <w:numId w:val="103"/>
        </w:numPr>
        <w:ind w:left="0" w:leftChars="0" w:firstLine="0" w:firstLineChars="0"/>
        <w:jc w:val="center"/>
        <w:rPr>
          <w:rFonts w:hint="eastAsia" w:ascii="黑体" w:hAnsi="宋体" w:eastAsia="黑体"/>
          <w:b w:val="0"/>
          <w:sz w:val="24"/>
          <w:lang w:eastAsia="zh-CN"/>
        </w:rPr>
      </w:pPr>
      <w:r>
        <w:rPr>
          <w:rFonts w:hint="eastAsia" w:ascii="黑体" w:hAnsi="宋体" w:eastAsia="黑体"/>
          <w:b w:val="0"/>
          <w:sz w:val="24"/>
          <w:lang w:eastAsia="zh-CN"/>
        </w:rPr>
        <w:t>拟安排的项目团队成员（项目负责人除外）情况</w:t>
      </w:r>
    </w:p>
    <w:p>
      <w:pPr>
        <w:pStyle w:val="5"/>
        <w:numPr>
          <w:ilvl w:val="0"/>
          <w:numId w:val="103"/>
        </w:numPr>
        <w:ind w:left="0" w:leftChars="0" w:firstLine="0" w:firstLineChars="0"/>
        <w:jc w:val="center"/>
        <w:rPr>
          <w:rFonts w:hint="eastAsia"/>
          <w:lang w:eastAsia="zh-CN"/>
        </w:rPr>
      </w:pPr>
      <w:r>
        <w:rPr>
          <w:rFonts w:hint="eastAsia" w:ascii="黑体" w:hAnsi="宋体" w:eastAsia="黑体"/>
          <w:b w:val="0"/>
          <w:sz w:val="24"/>
          <w:lang w:val="en-US" w:eastAsia="zh-CN"/>
        </w:rPr>
        <w:t>投标人认为需要加以说明的其他内容</w:t>
      </w:r>
      <w:bookmarkStart w:id="114" w:name="_GoBack"/>
      <w:bookmarkEnd w:id="114"/>
    </w:p>
    <w:bookmarkEnd w:id="56"/>
    <w:p>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政府采购违法行为风险知悉确认书</w:t>
      </w:r>
    </w:p>
    <w:p>
      <w:pPr>
        <w:widowControl/>
        <w:jc w:val="center"/>
        <w:rPr>
          <w:rFonts w:ascii="黑体" w:hAnsi="宋体" w:eastAsia="黑体"/>
          <w:kern w:val="0"/>
          <w:sz w:val="24"/>
          <w:szCs w:val="20"/>
        </w:rPr>
      </w:pPr>
    </w:p>
    <w:p>
      <w:pPr>
        <w:spacing w:before="0" w:beforeLines="0" w:after="157" w:afterLines="50" w:line="360" w:lineRule="exact"/>
        <w:ind w:firstLine="482" w:firstLineChars="200"/>
        <w:rPr>
          <w:rFonts w:hint="eastAsia" w:eastAsia="宋体" w:cs="Times New Roman"/>
          <w:b/>
          <w:bCs/>
          <w:color w:val="auto"/>
          <w:sz w:val="24"/>
          <w:lang w:val="en-US" w:eastAsia="zh-CN"/>
        </w:rPr>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投标前已充分知悉以下情形为参与政府采购活动时的重大风险事项，并承诺已对下述风险提示事项重点排查，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若存在下述情况，我单位愿意依法承担被记入供应商诚信档案、罚款、取消参与政府采购资格、吊销营业执照等处罚；构成犯罪的，依法承担刑事责任。</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1"/>
                <w:szCs w:val="21"/>
                <w:highlight w:val="none"/>
                <w:lang w:val="en-US" w:eastAsia="zh-CN"/>
              </w:rPr>
              <w:t>同一人、属同一单位或者在同一单位缴纳社会保险</w:t>
            </w:r>
            <w:r>
              <w:rPr>
                <w:rFonts w:hint="eastAsia" w:ascii="仿宋_GB2312" w:hAnsi="仿宋_GB2312" w:eastAsia="仿宋_GB2312" w:cs="仿宋_GB2312"/>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1"/>
                <w:szCs w:val="21"/>
                <w:highlight w:val="none"/>
                <w:lang w:val="en-US" w:eastAsia="zh-CN"/>
              </w:rPr>
              <w:t>同一人或直接控股、管理关系</w:t>
            </w:r>
            <w:r>
              <w:rPr>
                <w:rFonts w:hint="eastAsia" w:ascii="仿宋_GB2312" w:hAnsi="仿宋_GB2312" w:eastAsia="仿宋_GB2312" w:cs="仿宋_GB2312"/>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与其他投标供应商的投标文件或部分投标文件</w:t>
            </w:r>
            <w:r>
              <w:rPr>
                <w:rFonts w:hint="eastAsia" w:ascii="仿宋_GB2312" w:hAnsi="仿宋_GB2312" w:eastAsia="仿宋_GB2312" w:cs="仿宋_GB2312"/>
                <w:b/>
                <w:bCs/>
                <w:color w:val="auto"/>
                <w:sz w:val="21"/>
                <w:szCs w:val="21"/>
                <w:highlight w:val="none"/>
                <w:lang w:val="en-US" w:eastAsia="zh-CN"/>
              </w:rPr>
              <w:t>相互混装或存在非正常一致</w:t>
            </w:r>
            <w:r>
              <w:rPr>
                <w:rFonts w:hint="eastAsia" w:ascii="仿宋_GB2312" w:hAnsi="仿宋_GB2312" w:eastAsia="仿宋_GB2312" w:cs="仿宋_GB2312"/>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与其他投标供应商的投标文件由</w:t>
            </w:r>
            <w:r>
              <w:rPr>
                <w:rFonts w:hint="eastAsia" w:ascii="仿宋_GB2312" w:hAnsi="仿宋_GB2312" w:eastAsia="仿宋_GB2312" w:cs="仿宋_GB2312"/>
                <w:b/>
                <w:bCs/>
                <w:color w:val="auto"/>
                <w:sz w:val="21"/>
                <w:szCs w:val="21"/>
                <w:highlight w:val="none"/>
                <w:lang w:val="en-US" w:eastAsia="zh-CN"/>
              </w:rPr>
              <w:t>同一单位或者同一人编制</w:t>
            </w:r>
            <w:r>
              <w:rPr>
                <w:rFonts w:hint="eastAsia" w:ascii="仿宋_GB2312" w:hAnsi="仿宋_GB2312" w:eastAsia="仿宋_GB2312" w:cs="仿宋_GB2312"/>
                <w:color w:val="auto"/>
                <w:sz w:val="21"/>
                <w:szCs w:val="21"/>
                <w:highlight w:val="none"/>
                <w:lang w:val="en-US" w:eastAsia="zh-CN"/>
              </w:rPr>
              <w:t>，或者使用</w:t>
            </w:r>
            <w:r>
              <w:rPr>
                <w:rFonts w:hint="eastAsia" w:ascii="仿宋_GB2312" w:hAnsi="仿宋_GB2312" w:eastAsia="仿宋_GB2312" w:cs="仿宋_GB2312"/>
                <w:b/>
                <w:bCs/>
                <w:color w:val="auto"/>
                <w:sz w:val="21"/>
                <w:szCs w:val="21"/>
                <w:highlight w:val="none"/>
                <w:lang w:val="en-US" w:eastAsia="zh-CN"/>
              </w:rPr>
              <w:t>同一设备编制</w:t>
            </w:r>
            <w:r>
              <w:rPr>
                <w:rFonts w:hint="eastAsia" w:ascii="仿宋_GB2312" w:hAnsi="仿宋_GB2312" w:eastAsia="仿宋_GB2312" w:cs="仿宋_GB2312"/>
                <w:color w:val="auto"/>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提供</w:t>
            </w:r>
            <w:r>
              <w:rPr>
                <w:rFonts w:hint="eastAsia" w:ascii="仿宋_GB2312" w:hAnsi="仿宋_GB2312" w:eastAsia="仿宋_GB2312" w:cs="仿宋_GB2312"/>
                <w:b/>
                <w:bCs/>
                <w:color w:val="auto"/>
                <w:sz w:val="21"/>
                <w:szCs w:val="21"/>
                <w:highlight w:val="none"/>
                <w:lang w:val="en-US" w:eastAsia="zh-CN"/>
              </w:rPr>
              <w:t>未经出具机构核实</w:t>
            </w:r>
            <w:r>
              <w:rPr>
                <w:rFonts w:hint="eastAsia" w:ascii="仿宋_GB2312" w:hAnsi="仿宋_GB2312" w:eastAsia="仿宋_GB2312" w:cs="仿宋_GB2312"/>
                <w:color w:val="auto"/>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sz w:val="21"/>
                <w:szCs w:val="21"/>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在深圳政府采购网站进行的活动，均具有法律效力，须承担相应的法律后果。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已充分知悉政府采购违法、违规行为的法律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spacing w:beforeLines="0" w:line="340" w:lineRule="exact"/>
        <w:ind w:firstLine="420" w:firstLineChars="200"/>
        <w:rPr>
          <w:color w:val="auto"/>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已仔细阅读《政府采购违法行为风险知悉确认书》，充分知悉违法行为的法律后果，并承诺将严谨、诚信、依法依规参与政府采购活动”。</w:t>
      </w:r>
    </w:p>
    <w:tbl>
      <w:tblPr>
        <w:tblStyle w:val="43"/>
        <w:tblW w:w="8529"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304" w:hRule="atLeast"/>
          <w:jc w:val="center"/>
        </w:trPr>
        <w:tc>
          <w:tcPr>
            <w:tcW w:w="8529" w:type="dxa"/>
            <w:tcBorders>
              <w:top w:val="nil"/>
              <w:left w:val="nil"/>
              <w:bottom w:val="single" w:color="000000" w:sz="8" w:space="0"/>
              <w:right w:val="nil"/>
            </w:tcBorders>
            <w:noWrap w:val="0"/>
            <w:vAlign w:val="top"/>
          </w:tcPr>
          <w:p>
            <w:pPr>
              <w:autoSpaceDE w:val="0"/>
              <w:autoSpaceDN w:val="0"/>
              <w:spacing w:beforeLines="0" w:line="340" w:lineRule="exact"/>
              <w:ind w:firstLine="1866"/>
              <w:rPr>
                <w:rFonts w:ascii="宋体" w:hAnsi="宋体" w:eastAsia="宋体"/>
                <w:color w:val="auto"/>
                <w:spacing w:val="-4"/>
                <w:kern w:val="0"/>
                <w:szCs w:val="21"/>
                <w:highlight w:val="none"/>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000000" w:sz="8" w:space="0"/>
              <w:right w:val="nil"/>
            </w:tcBorders>
            <w:noWrap w:val="0"/>
            <w:vAlign w:val="top"/>
          </w:tcPr>
          <w:p>
            <w:pPr>
              <w:autoSpaceDE w:val="0"/>
              <w:autoSpaceDN w:val="0"/>
              <w:spacing w:beforeLines="0" w:line="340" w:lineRule="exact"/>
              <w:ind w:firstLine="1866"/>
              <w:rPr>
                <w:rFonts w:ascii="宋体" w:hAnsi="宋体" w:eastAsia="宋体"/>
                <w:color w:val="auto"/>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000000" w:sz="8" w:space="0"/>
              <w:right w:val="nil"/>
            </w:tcBorders>
            <w:noWrap w:val="0"/>
            <w:vAlign w:val="top"/>
          </w:tcPr>
          <w:p>
            <w:pPr>
              <w:autoSpaceDE w:val="0"/>
              <w:autoSpaceDN w:val="0"/>
              <w:spacing w:beforeLines="0" w:line="340" w:lineRule="exact"/>
              <w:ind w:firstLine="1866"/>
              <w:rPr>
                <w:rFonts w:ascii="宋体" w:hAnsi="宋体" w:eastAsia="宋体"/>
                <w:color w:val="auto"/>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auto" w:sz="8" w:space="0"/>
              <w:right w:val="nil"/>
            </w:tcBorders>
            <w:noWrap w:val="0"/>
            <w:vAlign w:val="top"/>
          </w:tcPr>
          <w:p>
            <w:pPr>
              <w:autoSpaceDE w:val="0"/>
              <w:autoSpaceDN w:val="0"/>
              <w:spacing w:beforeLines="0" w:line="340" w:lineRule="exact"/>
              <w:ind w:firstLine="1866"/>
              <w:rPr>
                <w:rFonts w:ascii="宋体" w:hAnsi="宋体" w:eastAsia="宋体"/>
                <w:color w:val="auto"/>
                <w:spacing w:val="-4"/>
                <w:kern w:val="0"/>
                <w:szCs w:val="21"/>
              </w:rPr>
            </w:pPr>
          </w:p>
        </w:tc>
      </w:tr>
    </w:tbl>
    <w:p>
      <w:pPr>
        <w:widowControl/>
        <w:wordWrap w:val="0"/>
        <w:autoSpaceDE w:val="0"/>
        <w:autoSpaceDN w:val="0"/>
        <w:spacing w:beforeLines="0" w:line="340" w:lineRule="exact"/>
        <w:ind w:right="808" w:firstLine="404" w:firstLineChars="200"/>
        <w:jc w:val="right"/>
        <w:rPr>
          <w:rFonts w:hint="eastAsia" w:ascii="宋体" w:hAnsi="宋体" w:eastAsia="宋体"/>
          <w:color w:val="auto"/>
          <w:spacing w:val="-4"/>
          <w:kern w:val="0"/>
          <w:szCs w:val="21"/>
        </w:rPr>
      </w:pP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b/>
          <w:bCs/>
          <w:color w:val="auto"/>
          <w:spacing w:val="-4"/>
          <w:kern w:val="0"/>
          <w:szCs w:val="21"/>
          <w:highlight w:val="none"/>
        </w:rPr>
      </w:pPr>
      <w:r>
        <w:rPr>
          <w:rFonts w:hint="eastAsia" w:ascii="宋体" w:hAnsi="宋体" w:eastAsia="宋体"/>
          <w:b/>
          <w:bCs/>
          <w:color w:val="auto"/>
          <w:spacing w:val="-4"/>
          <w:kern w:val="0"/>
          <w:szCs w:val="21"/>
        </w:rPr>
        <w:t>注：</w:t>
      </w:r>
      <w:r>
        <w:rPr>
          <w:rFonts w:hint="eastAsia" w:ascii="宋体" w:hAnsi="宋体"/>
          <w:b/>
          <w:bCs/>
          <w:color w:val="auto"/>
          <w:spacing w:val="-4"/>
          <w:kern w:val="0"/>
          <w:szCs w:val="21"/>
          <w:lang w:val="en-US" w:eastAsia="zh-CN"/>
        </w:rPr>
        <w:t>1.</w:t>
      </w:r>
      <w:r>
        <w:rPr>
          <w:rFonts w:hint="eastAsia" w:ascii="宋体" w:hAnsi="宋体" w:eastAsia="宋体"/>
          <w:b/>
          <w:bCs/>
          <w:color w:val="auto"/>
          <w:spacing w:val="-4"/>
          <w:kern w:val="0"/>
          <w:szCs w:val="21"/>
          <w:lang w:eastAsia="zh-CN"/>
        </w:rPr>
        <w:t>《</w:t>
      </w:r>
      <w:r>
        <w:rPr>
          <w:rFonts w:hint="eastAsia" w:ascii="宋体" w:hAnsi="宋体" w:eastAsia="宋体"/>
          <w:b/>
          <w:bCs/>
          <w:color w:val="auto"/>
          <w:spacing w:val="-4"/>
          <w:kern w:val="0"/>
          <w:szCs w:val="21"/>
          <w:lang w:val="en-US" w:eastAsia="zh-CN"/>
        </w:rPr>
        <w:t>政府采购违法行为风险知悉确认书</w:t>
      </w:r>
      <w:r>
        <w:rPr>
          <w:rFonts w:hint="eastAsia" w:ascii="宋体" w:hAnsi="宋体" w:eastAsia="宋体"/>
          <w:b/>
          <w:bCs/>
          <w:color w:val="auto"/>
          <w:spacing w:val="-4"/>
          <w:kern w:val="0"/>
          <w:szCs w:val="21"/>
          <w:lang w:eastAsia="zh-CN"/>
        </w:rPr>
        <w:t>》需由</w:t>
      </w:r>
      <w:r>
        <w:rPr>
          <w:rFonts w:hint="eastAsia" w:ascii="宋体" w:hAnsi="宋体" w:eastAsia="宋体"/>
          <w:b/>
          <w:bCs/>
          <w:color w:val="auto"/>
          <w:spacing w:val="-4"/>
          <w:kern w:val="0"/>
          <w:szCs w:val="21"/>
          <w:highlight w:val="none"/>
        </w:rPr>
        <w:t>投标供应商负责人签字并加盖单位公章后，扫描上传至投标文件一并提交。</w:t>
      </w:r>
    </w:p>
    <w:p>
      <w:pPr>
        <w:widowControl/>
        <w:autoSpaceDE w:val="0"/>
        <w:autoSpaceDN w:val="0"/>
        <w:spacing w:line="400" w:lineRule="exact"/>
        <w:ind w:firstLine="422" w:firstLineChars="200"/>
        <w:jc w:val="left"/>
        <w:rPr>
          <w:rFonts w:ascii="宋体" w:hAnsi="宋体"/>
          <w:color w:val="FF0000"/>
          <w:spacing w:val="-4"/>
          <w:kern w:val="0"/>
          <w:szCs w:val="21"/>
        </w:rPr>
      </w:pPr>
      <w:r>
        <w:rPr>
          <w:rFonts w:hint="eastAsia"/>
          <w:b/>
          <w:bCs/>
          <w:color w:val="auto"/>
          <w:lang w:val="en-US" w:eastAsia="zh-CN"/>
        </w:rPr>
        <w: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t>
      </w:r>
    </w:p>
    <w:p>
      <w:pPr>
        <w:rPr>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keepNext w:val="0"/>
        <w:keepLines w:val="0"/>
        <w:pageBreakBefore w:val="0"/>
        <w:widowControl w:val="0"/>
        <w:kinsoku/>
        <w:wordWrap w:val="0"/>
        <w:overflowPunct/>
        <w:topLinePunct w:val="0"/>
        <w:autoSpaceDE/>
        <w:autoSpaceDN/>
        <w:bidi w:val="0"/>
        <w:adjustRightInd/>
        <w:snapToGrid/>
        <w:ind w:left="420" w:leftChars="200" w:firstLine="210" w:firstLineChars="100"/>
        <w:textAlignment w:val="auto"/>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spacing w:line="360" w:lineRule="auto"/>
        <w:jc w:val="left"/>
        <w:rPr>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eastAsia="zh-CN"/>
        </w:rPr>
        <w:t>三</w:t>
      </w:r>
      <w:r>
        <w:rPr>
          <w:rFonts w:hint="eastAsia" w:ascii="黑体" w:hAnsi="宋体" w:eastAsia="黑体"/>
          <w:kern w:val="0"/>
          <w:sz w:val="24"/>
          <w:szCs w:val="20"/>
        </w:rPr>
        <w:t>）投标人认为需要加以说明的其他内容（格式自定）</w:t>
      </w:r>
    </w:p>
    <w:p>
      <w:pPr>
        <w:spacing w:after="78" w:afterLines="25" w:line="300" w:lineRule="auto"/>
        <w:rPr>
          <w:rFonts w:ascii="Arial" w:hAnsi="Arial" w:eastAsia="宋体" w:cs="Times New Roman"/>
          <w:sz w:val="24"/>
          <w:szCs w:val="24"/>
        </w:rPr>
      </w:pPr>
    </w:p>
    <w:p>
      <w:pPr>
        <w:rPr>
          <w:rFonts w:ascii="宋体" w:hAnsi="宋体" w:eastAsia="宋体" w:cs="Times New Roman"/>
          <w:b/>
          <w:bCs/>
          <w:kern w:val="0"/>
          <w:sz w:val="28"/>
          <w:szCs w:val="28"/>
        </w:rPr>
      </w:pPr>
      <w:r>
        <w:rPr>
          <w:rFonts w:hint="eastAsia" w:ascii="宋体" w:hAnsi="宋体" w:eastAsia="宋体" w:cs="Times New Roman"/>
          <w:b/>
          <w:bCs/>
          <w:kern w:val="0"/>
          <w:sz w:val="28"/>
          <w:szCs w:val="28"/>
        </w:rPr>
        <w:br w:type="page"/>
      </w:r>
    </w:p>
    <w:p>
      <w:pPr>
        <w:keepNext/>
        <w:keepLines/>
        <w:adjustRightInd w:val="0"/>
        <w:spacing w:before="260" w:after="260"/>
        <w:jc w:val="center"/>
        <w:textAlignment w:val="baseline"/>
        <w:outlineLvl w:val="1"/>
        <w:rPr>
          <w:rFonts w:ascii="黑体" w:hAnsi="华文中宋" w:eastAsia="黑体" w:cs="Times New Roman"/>
          <w:sz w:val="28"/>
          <w:szCs w:val="28"/>
        </w:rPr>
      </w:pPr>
      <w:r>
        <w:rPr>
          <w:rFonts w:hint="eastAsia" w:ascii="宋体" w:hAnsi="宋体" w:eastAsia="宋体" w:cs="Times New Roman"/>
          <w:b/>
          <w:bCs/>
          <w:kern w:val="0"/>
          <w:sz w:val="28"/>
          <w:szCs w:val="28"/>
        </w:rPr>
        <w:t>第五章  合同条款及格式</w:t>
      </w:r>
    </w:p>
    <w:p>
      <w:pPr>
        <w:bidi w:val="0"/>
        <w:jc w:val="center"/>
      </w:pPr>
      <w:r>
        <w:rPr>
          <w:rFonts w:hint="eastAsia"/>
        </w:rPr>
        <w:t>（仅供参考，具体以项目需求及采购结果为准）</w:t>
      </w:r>
    </w:p>
    <w:p>
      <w:pPr>
        <w:rPr>
          <w:rFonts w:ascii="宋体" w:hAnsi="宋体"/>
          <w:b/>
          <w:bCs/>
          <w:szCs w:val="21"/>
        </w:rPr>
      </w:pPr>
      <w:r>
        <w:rPr>
          <w:rFonts w:hint="eastAsia" w:ascii="宋体" w:hAnsi="宋体"/>
          <w:b/>
          <w:bCs/>
          <w:szCs w:val="21"/>
        </w:rPr>
        <w:t>甲方：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p>
    <w:p>
      <w:pPr>
        <w:rPr>
          <w:rFonts w:ascii="宋体" w:hAnsi="宋体"/>
          <w:b/>
          <w:bCs/>
          <w:szCs w:val="21"/>
        </w:rPr>
      </w:pPr>
      <w:r>
        <w:rPr>
          <w:rFonts w:hint="eastAsia" w:ascii="宋体" w:hAnsi="宋体"/>
          <w:b/>
          <w:bCs/>
          <w:szCs w:val="21"/>
        </w:rPr>
        <w:t>乙方：</w:t>
      </w:r>
    </w:p>
    <w:p>
      <w:pPr>
        <w:rPr>
          <w:rFonts w:ascii="宋体" w:hAnsi="宋体"/>
          <w:szCs w:val="21"/>
        </w:rPr>
      </w:pPr>
      <w:r>
        <w:rPr>
          <w:rFonts w:hint="eastAsia" w:ascii="宋体" w:hAnsi="宋体"/>
          <w:szCs w:val="21"/>
        </w:rPr>
        <w:t>地址：</w:t>
      </w:r>
    </w:p>
    <w:p>
      <w:pPr>
        <w:rPr>
          <w:rFonts w:ascii="宋体" w:hAnsi="宋体"/>
          <w:szCs w:val="21"/>
        </w:rPr>
      </w:pPr>
      <w:r>
        <w:rPr>
          <w:rFonts w:hint="eastAsia" w:ascii="宋体" w:hAnsi="宋体"/>
          <w:szCs w:val="21"/>
        </w:rPr>
        <w:t>联系人：</w:t>
      </w:r>
      <w:r>
        <w:rPr>
          <w:rFonts w:ascii="宋体" w:hAnsi="宋体"/>
          <w:szCs w:val="21"/>
        </w:rPr>
        <w:t xml:space="preserve">                          </w:t>
      </w:r>
    </w:p>
    <w:p>
      <w:pPr>
        <w:rPr>
          <w:rFonts w:ascii="宋体" w:hAnsi="宋体"/>
          <w:b/>
          <w:bCs/>
          <w:szCs w:val="21"/>
        </w:rPr>
      </w:pPr>
      <w:r>
        <w:rPr>
          <w:rFonts w:hint="eastAsia" w:ascii="宋体" w:hAnsi="宋体"/>
          <w:szCs w:val="21"/>
        </w:rPr>
        <w:t>联系电话：</w:t>
      </w:r>
    </w:p>
    <w:p>
      <w:pPr>
        <w:rPr>
          <w:rFonts w:ascii="宋体" w:hAnsi="宋体"/>
          <w:szCs w:val="21"/>
        </w:rPr>
      </w:pPr>
      <w:r>
        <w:rPr>
          <w:rFonts w:ascii="宋体" w:hAnsi="宋体"/>
          <w:b/>
          <w:bCs/>
          <w:szCs w:val="21"/>
        </w:rPr>
        <w:t xml:space="preserve">            </w:t>
      </w:r>
      <w:r>
        <w:rPr>
          <w:rFonts w:hint="eastAsia" w:ascii="宋体" w:hAnsi="宋体"/>
          <w:b/>
          <w:bCs/>
          <w:szCs w:val="21"/>
        </w:rPr>
        <w:t xml:space="preserve">          </w:t>
      </w:r>
    </w:p>
    <w:p>
      <w:pPr>
        <w:rPr>
          <w:rFonts w:ascii="宋体" w:hAnsi="宋体"/>
          <w:szCs w:val="21"/>
        </w:rPr>
      </w:pPr>
    </w:p>
    <w:p>
      <w:pPr>
        <w:ind w:firstLine="420" w:firstLineChars="200"/>
        <w:rPr>
          <w:rFonts w:ascii="宋体" w:hAnsi="宋体"/>
          <w:szCs w:val="21"/>
        </w:rPr>
      </w:pPr>
      <w:r>
        <w:rPr>
          <w:rFonts w:hint="eastAsia" w:ascii="宋体" w:hAnsi="宋体"/>
          <w:szCs w:val="21"/>
        </w:rPr>
        <w:t>根据深圳公共资源交易中心（深圳交易集团有限公司龙华分公司）*</w:t>
      </w:r>
      <w:r>
        <w:rPr>
          <w:rFonts w:ascii="宋体" w:hAnsi="宋体"/>
          <w:szCs w:val="21"/>
        </w:rPr>
        <w:t>**</w:t>
      </w:r>
      <w:r>
        <w:rPr>
          <w:rFonts w:hint="eastAsia" w:ascii="宋体" w:hAnsi="宋体"/>
          <w:szCs w:val="21"/>
        </w:rPr>
        <w:t>号项目结果，*</w:t>
      </w:r>
      <w:r>
        <w:rPr>
          <w:rFonts w:ascii="宋体" w:hAnsi="宋体"/>
          <w:szCs w:val="21"/>
        </w:rPr>
        <w:t>**</w:t>
      </w:r>
      <w:r>
        <w:rPr>
          <w:rFonts w:hint="eastAsia" w:ascii="宋体" w:hAnsi="宋体"/>
          <w:szCs w:val="21"/>
        </w:rPr>
        <w:t>单位为中标人。按照《中华人民共和国民法典》（第三编 合同）和《深圳经济特区政府采购条例》，经深圳市（以下简称甲方）和单位（以下简称乙方）协商，就甲方委托乙方承担</w:t>
      </w:r>
      <w:r>
        <w:rPr>
          <w:rFonts w:hint="eastAsia" w:ascii="宋体" w:hAnsi="宋体"/>
          <w:b/>
          <w:bCs/>
          <w:snapToGrid w:val="0"/>
          <w:kern w:val="0"/>
          <w:szCs w:val="21"/>
          <w:u w:val="single"/>
          <w:lang w:val="zh-CN"/>
        </w:rPr>
        <w:t xml:space="preserve">                      服务项目</w:t>
      </w:r>
      <w:r>
        <w:rPr>
          <w:rFonts w:hint="eastAsia" w:ascii="宋体" w:hAnsi="宋体"/>
          <w:szCs w:val="21"/>
        </w:rPr>
        <w:t>，达成以下合同条款：</w:t>
      </w:r>
    </w:p>
    <w:p>
      <w:pPr>
        <w:ind w:firstLine="422" w:firstLineChars="200"/>
        <w:rPr>
          <w:rFonts w:ascii="宋体" w:hAnsi="宋体"/>
          <w:b/>
          <w:bCs/>
          <w:szCs w:val="21"/>
        </w:rPr>
      </w:pPr>
      <w:r>
        <w:rPr>
          <w:rFonts w:hint="eastAsia" w:ascii="宋体" w:hAnsi="宋体"/>
          <w:b/>
          <w:bCs/>
          <w:szCs w:val="21"/>
        </w:rPr>
        <w:t>第一条　项目概况</w:t>
      </w:r>
    </w:p>
    <w:p>
      <w:pPr>
        <w:ind w:firstLine="420" w:firstLineChars="200"/>
        <w:rPr>
          <w:rFonts w:ascii="宋体" w:hAnsi="宋体"/>
          <w:szCs w:val="21"/>
        </w:rPr>
      </w:pPr>
      <w:r>
        <w:rPr>
          <w:rFonts w:hint="eastAsia" w:ascii="宋体" w:hAnsi="宋体"/>
          <w:szCs w:val="21"/>
        </w:rPr>
        <w:t xml:space="preserve">项目名称： </w:t>
      </w:r>
    </w:p>
    <w:p>
      <w:pPr>
        <w:ind w:firstLine="420" w:firstLineChars="200"/>
        <w:rPr>
          <w:rFonts w:ascii="宋体" w:hAnsi="宋体"/>
          <w:szCs w:val="21"/>
        </w:rPr>
      </w:pPr>
      <w:r>
        <w:rPr>
          <w:rFonts w:hint="eastAsia" w:ascii="宋体" w:hAnsi="宋体"/>
          <w:szCs w:val="21"/>
        </w:rPr>
        <w:t xml:space="preserve">项目内容： </w:t>
      </w:r>
    </w:p>
    <w:p>
      <w:pPr>
        <w:ind w:firstLine="420" w:firstLineChars="200"/>
        <w:rPr>
          <w:rFonts w:ascii="宋体" w:hAnsi="宋体"/>
          <w:szCs w:val="21"/>
        </w:rPr>
      </w:pPr>
      <w:r>
        <w:rPr>
          <w:rFonts w:hint="eastAsia" w:ascii="宋体" w:hAnsi="宋体"/>
          <w:szCs w:val="21"/>
        </w:rPr>
        <w:t xml:space="preserve">服务时间： </w:t>
      </w:r>
    </w:p>
    <w:p>
      <w:pPr>
        <w:ind w:firstLine="420" w:firstLineChars="200"/>
        <w:rPr>
          <w:rFonts w:ascii="宋体" w:hAnsi="宋体"/>
          <w:szCs w:val="21"/>
        </w:rPr>
      </w:pPr>
      <w:r>
        <w:rPr>
          <w:rFonts w:hint="eastAsia" w:ascii="宋体" w:hAnsi="宋体"/>
          <w:szCs w:val="21"/>
        </w:rPr>
        <w:t>合同价款：合同总价为元，含一切税、费。</w:t>
      </w:r>
      <w:r>
        <w:t>本合同总价包括</w:t>
      </w:r>
      <w:r>
        <w:rPr>
          <w:rFonts w:hint="eastAsia" w:ascii="宋体" w:hAnsi="宋体"/>
          <w:szCs w:val="21"/>
        </w:rPr>
        <w:t>乙方为实施本项目*</w:t>
      </w:r>
      <w:r>
        <w:rPr>
          <w:rFonts w:ascii="宋体" w:hAnsi="宋体"/>
          <w:szCs w:val="21"/>
        </w:rPr>
        <w:t>**</w:t>
      </w:r>
      <w:r>
        <w:rPr>
          <w:rFonts w:hint="eastAsia" w:ascii="宋体" w:hAnsi="宋体"/>
          <w:szCs w:val="21"/>
        </w:rPr>
        <w:t>所需的设备仪器费、车辆租赁费、</w:t>
      </w:r>
      <w:r>
        <w:t>服务</w:t>
      </w:r>
      <w:r>
        <w:rPr>
          <w:rFonts w:hint="eastAsia"/>
        </w:rPr>
        <w:t>和</w:t>
      </w:r>
      <w:r>
        <w:t>技术费用</w:t>
      </w:r>
      <w:r>
        <w:rPr>
          <w:rFonts w:hint="eastAsia"/>
        </w:rPr>
        <w:t>等</w:t>
      </w:r>
      <w:r>
        <w:t>，为固定不变价格，且不随通货膨胀的影响而波动。合同总价包括</w:t>
      </w:r>
      <w:r>
        <w:rPr>
          <w:rFonts w:hint="eastAsia" w:ascii="宋体" w:hAnsi="宋体"/>
          <w:szCs w:val="21"/>
        </w:rPr>
        <w:t>乙方</w:t>
      </w:r>
      <w:r>
        <w:t>履行本合同义务所发生的一切费用和支出和以各种方式寄送技术资料到</w:t>
      </w:r>
      <w:r>
        <w:rPr>
          <w:rFonts w:hint="eastAsia"/>
        </w:rPr>
        <w:t>甲</w:t>
      </w:r>
      <w:r>
        <w:t>方办公室所发生的费用。</w:t>
      </w:r>
    </w:p>
    <w:p>
      <w:pPr>
        <w:pStyle w:val="8"/>
        <w:rPr>
          <w:rFonts w:ascii="宋体" w:hAnsi="宋体"/>
          <w:szCs w:val="21"/>
        </w:rPr>
      </w:pPr>
      <w:r>
        <w:rPr>
          <w:rFonts w:hint="eastAsia" w:ascii="宋体" w:hAnsi="宋体"/>
          <w:szCs w:val="21"/>
        </w:rPr>
        <w:t>支付方式：分期支付。</w:t>
      </w:r>
    </w:p>
    <w:p>
      <w:pPr>
        <w:ind w:firstLine="422" w:firstLineChars="200"/>
        <w:rPr>
          <w:rFonts w:ascii="宋体" w:hAnsi="宋体"/>
          <w:b/>
          <w:bCs/>
          <w:szCs w:val="21"/>
        </w:rPr>
      </w:pPr>
      <w:r>
        <w:rPr>
          <w:rFonts w:hint="eastAsia" w:ascii="宋体" w:hAnsi="宋体"/>
          <w:b/>
          <w:bCs/>
          <w:szCs w:val="21"/>
        </w:rPr>
        <w:t>第二条  服务范围</w:t>
      </w:r>
    </w:p>
    <w:p>
      <w:pPr>
        <w:ind w:firstLine="420" w:firstLineChars="200"/>
        <w:rPr>
          <w:rFonts w:ascii="宋体" w:hAnsi="宋体"/>
          <w:szCs w:val="21"/>
        </w:rPr>
      </w:pPr>
      <w:r>
        <w:rPr>
          <w:rFonts w:hint="eastAsia" w:ascii="宋体" w:hAnsi="宋体"/>
          <w:szCs w:val="21"/>
        </w:rPr>
        <w:t xml:space="preserve">1、  </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 xml:space="preserve">3、  </w:t>
      </w:r>
    </w:p>
    <w:p>
      <w:pPr>
        <w:ind w:firstLine="420" w:firstLineChars="200"/>
        <w:rPr>
          <w:rFonts w:ascii="宋体" w:hAnsi="宋体"/>
          <w:szCs w:val="21"/>
        </w:rPr>
      </w:pPr>
      <w:r>
        <w:rPr>
          <w:rFonts w:hint="eastAsia" w:ascii="宋体" w:hAnsi="宋体"/>
          <w:szCs w:val="21"/>
        </w:rPr>
        <w:t>4、 其他合同未明示的相关工作。</w:t>
      </w:r>
    </w:p>
    <w:p>
      <w:pPr>
        <w:ind w:firstLine="422" w:firstLineChars="200"/>
        <w:rPr>
          <w:rFonts w:ascii="宋体" w:hAnsi="宋体"/>
          <w:b/>
          <w:bCs/>
          <w:szCs w:val="21"/>
        </w:rPr>
      </w:pPr>
      <w:r>
        <w:rPr>
          <w:rFonts w:hint="eastAsia" w:ascii="宋体" w:hAnsi="宋体"/>
          <w:b/>
          <w:bCs/>
          <w:szCs w:val="21"/>
        </w:rPr>
        <w:t>第三条  时间要求及阶段成果</w:t>
      </w:r>
    </w:p>
    <w:p>
      <w:pPr>
        <w:ind w:firstLine="420" w:firstLineChars="200"/>
        <w:rPr>
          <w:rFonts w:ascii="宋体" w:hAnsi="宋体"/>
          <w:szCs w:val="21"/>
        </w:rPr>
      </w:pPr>
      <w:r>
        <w:rPr>
          <w:rFonts w:hint="eastAsia" w:ascii="宋体" w:hAnsi="宋体"/>
          <w:szCs w:val="21"/>
        </w:rPr>
        <w:t>1、合同签订天内完成项目实施的准备工作，包括工作大纲和试验细则的编制；</w:t>
      </w:r>
    </w:p>
    <w:p>
      <w:pPr>
        <w:ind w:firstLine="420" w:firstLineChars="200"/>
        <w:rPr>
          <w:rFonts w:ascii="宋体" w:hAnsi="宋体"/>
          <w:szCs w:val="21"/>
        </w:rPr>
      </w:pPr>
      <w:r>
        <w:rPr>
          <w:rFonts w:hint="eastAsia" w:ascii="宋体" w:hAnsi="宋体"/>
          <w:szCs w:val="21"/>
        </w:rPr>
        <w:t xml:space="preserve">2、 </w:t>
      </w:r>
    </w:p>
    <w:p>
      <w:pPr>
        <w:ind w:firstLine="420" w:firstLineChars="200"/>
        <w:rPr>
          <w:rFonts w:ascii="宋体" w:hAnsi="宋体"/>
          <w:szCs w:val="21"/>
        </w:rPr>
      </w:pPr>
      <w:r>
        <w:rPr>
          <w:rFonts w:hint="eastAsia" w:ascii="宋体" w:hAnsi="宋体"/>
          <w:szCs w:val="21"/>
        </w:rPr>
        <w:t>3、</w:t>
      </w:r>
    </w:p>
    <w:p>
      <w:pPr>
        <w:ind w:firstLine="420" w:firstLineChars="200"/>
        <w:rPr>
          <w:rFonts w:ascii="宋体" w:hAnsi="宋体"/>
          <w:szCs w:val="21"/>
        </w:rPr>
      </w:pPr>
      <w:r>
        <w:rPr>
          <w:rFonts w:hint="eastAsia" w:ascii="宋体" w:hAnsi="宋体"/>
          <w:szCs w:val="21"/>
        </w:rPr>
        <w:t>4、</w:t>
      </w:r>
    </w:p>
    <w:p>
      <w:pPr>
        <w:ind w:firstLine="422" w:firstLineChars="200"/>
        <w:rPr>
          <w:rFonts w:ascii="宋体" w:hAnsi="宋体"/>
          <w:b/>
          <w:bCs/>
          <w:szCs w:val="21"/>
        </w:rPr>
      </w:pPr>
      <w:r>
        <w:rPr>
          <w:rFonts w:hint="eastAsia" w:ascii="宋体" w:hAnsi="宋体"/>
          <w:b/>
          <w:bCs/>
          <w:szCs w:val="21"/>
        </w:rPr>
        <w:t>第四条  服务资料归属</w:t>
      </w:r>
    </w:p>
    <w:p>
      <w:pPr>
        <w:ind w:firstLine="420" w:firstLineChars="200"/>
      </w:pPr>
      <w:r>
        <w:t>1</w:t>
      </w:r>
      <w:r>
        <w:rPr>
          <w:rFonts w:hint="eastAsia"/>
        </w:rPr>
        <w:t>、</w:t>
      </w:r>
      <w:r>
        <w:t>所有提交给</w:t>
      </w:r>
      <w:r>
        <w:rPr>
          <w:rFonts w:hint="eastAsia"/>
        </w:rPr>
        <w:t>甲</w:t>
      </w:r>
      <w:r>
        <w:t>方的服务</w:t>
      </w:r>
      <w:r>
        <w:rPr>
          <w:rFonts w:hint="eastAsia"/>
        </w:rPr>
        <w:t>文件</w:t>
      </w:r>
      <w:r>
        <w:t>及相关的资料的最后文本，包括为履行技术服务范围所编制的图纸、计划和证明资料等，都属于</w:t>
      </w:r>
      <w:r>
        <w:rPr>
          <w:rFonts w:hint="eastAsia"/>
        </w:rPr>
        <w:t>甲</w:t>
      </w:r>
      <w:r>
        <w:t>方的财产，</w:t>
      </w:r>
      <w:r>
        <w:rPr>
          <w:rFonts w:hint="eastAsia" w:ascii="宋体" w:hAnsi="宋体"/>
          <w:szCs w:val="21"/>
        </w:rPr>
        <w:t>乙</w:t>
      </w:r>
      <w:r>
        <w:t>方在提交给</w:t>
      </w:r>
      <w:r>
        <w:rPr>
          <w:rFonts w:hint="eastAsia"/>
        </w:rPr>
        <w:t>甲</w:t>
      </w:r>
      <w:r>
        <w:t>方之前应将上述资料进行整理归类和编制索引</w:t>
      </w:r>
      <w:r>
        <w:rPr>
          <w:rFonts w:hint="eastAsia"/>
        </w:rPr>
        <w:t>。</w:t>
      </w:r>
    </w:p>
    <w:p>
      <w:pPr>
        <w:ind w:firstLine="420" w:firstLineChars="200"/>
      </w:pPr>
      <w:r>
        <w:t>2</w:t>
      </w:r>
      <w:r>
        <w:rPr>
          <w:rFonts w:hint="eastAsia"/>
        </w:rPr>
        <w:t>、</w:t>
      </w:r>
      <w:r>
        <w:rPr>
          <w:rFonts w:hint="eastAsia" w:ascii="宋体" w:hAnsi="宋体"/>
          <w:szCs w:val="21"/>
        </w:rPr>
        <w:t>乙</w:t>
      </w:r>
      <w:r>
        <w:t>方未经</w:t>
      </w:r>
      <w:r>
        <w:rPr>
          <w:rFonts w:hint="eastAsia"/>
        </w:rPr>
        <w:t>甲</w:t>
      </w:r>
      <w:r>
        <w:t>方的书面同意，不得将上述资料用于与本服务项目之外的任何项目</w:t>
      </w:r>
      <w:r>
        <w:rPr>
          <w:rFonts w:hint="eastAsia"/>
        </w:rPr>
        <w:t>。</w:t>
      </w:r>
    </w:p>
    <w:p>
      <w:pPr>
        <w:ind w:firstLine="420" w:firstLineChars="200"/>
      </w:pPr>
      <w:r>
        <w:rPr>
          <w:rFonts w:hint="eastAsia"/>
        </w:rPr>
        <w:t>3、</w:t>
      </w:r>
      <w:r>
        <w:t>合同履行</w:t>
      </w:r>
      <w:r>
        <w:rPr>
          <w:rFonts w:hint="eastAsia"/>
        </w:rPr>
        <w:t>完毕，</w:t>
      </w:r>
      <w:r>
        <w:t>未经</w:t>
      </w:r>
      <w:r>
        <w:rPr>
          <w:rFonts w:hint="eastAsia"/>
        </w:rPr>
        <w:t>甲</w:t>
      </w:r>
      <w:r>
        <w:t>方的书面同意</w:t>
      </w:r>
      <w:r>
        <w:rPr>
          <w:rFonts w:hint="eastAsia"/>
        </w:rPr>
        <w:t>，</w:t>
      </w:r>
      <w:r>
        <w:rPr>
          <w:rFonts w:hint="eastAsia" w:ascii="宋体" w:hAnsi="宋体"/>
          <w:szCs w:val="21"/>
        </w:rPr>
        <w:t>乙</w:t>
      </w:r>
      <w:r>
        <w:t>方</w:t>
      </w:r>
      <w:r>
        <w:rPr>
          <w:rFonts w:hint="eastAsia"/>
        </w:rPr>
        <w:t>不得保存在</w:t>
      </w:r>
      <w:r>
        <w:t>履行合同过程中所获得或接触到的任何</w:t>
      </w:r>
      <w:r>
        <w:rPr>
          <w:rFonts w:hint="eastAsia" w:ascii="宋体" w:hAnsi="宋体"/>
          <w:szCs w:val="21"/>
        </w:rPr>
        <w:t>内部数据资料。</w:t>
      </w:r>
    </w:p>
    <w:p>
      <w:pPr>
        <w:ind w:firstLine="422" w:firstLineChars="200"/>
        <w:rPr>
          <w:rFonts w:ascii="宋体" w:hAnsi="宋体"/>
          <w:b/>
          <w:bCs/>
          <w:szCs w:val="21"/>
        </w:rPr>
      </w:pPr>
      <w:r>
        <w:rPr>
          <w:rFonts w:hint="eastAsia" w:ascii="宋体" w:hAnsi="宋体"/>
          <w:b/>
          <w:bCs/>
          <w:szCs w:val="21"/>
        </w:rPr>
        <w:t>第五条  甲方的义务</w:t>
      </w:r>
    </w:p>
    <w:p>
      <w:pPr>
        <w:ind w:firstLine="420" w:firstLineChars="200"/>
        <w:rPr>
          <w:rFonts w:ascii="宋体" w:hAnsi="宋体"/>
          <w:szCs w:val="21"/>
        </w:rPr>
      </w:pPr>
      <w:r>
        <w:rPr>
          <w:rFonts w:hint="eastAsia" w:ascii="宋体" w:hAnsi="宋体"/>
          <w:szCs w:val="21"/>
        </w:rPr>
        <w:t>1、负责与本服务项目有关的第三方的协调，提供开展服务工作的外部条件。</w:t>
      </w:r>
    </w:p>
    <w:p>
      <w:pPr>
        <w:ind w:firstLine="420" w:firstLineChars="200"/>
        <w:rPr>
          <w:rFonts w:ascii="宋体" w:hAnsi="宋体"/>
          <w:szCs w:val="21"/>
        </w:rPr>
      </w:pPr>
      <w:r>
        <w:rPr>
          <w:rFonts w:hint="eastAsia" w:ascii="宋体" w:hAnsi="宋体"/>
          <w:szCs w:val="21"/>
        </w:rPr>
        <w:t>2、向乙方提供与本项目服务工作有关的资料。</w:t>
      </w:r>
    </w:p>
    <w:p>
      <w:pPr>
        <w:ind w:firstLine="420" w:firstLineChars="200"/>
        <w:rPr>
          <w:rFonts w:ascii="宋体" w:hAnsi="宋体"/>
          <w:szCs w:val="21"/>
        </w:rPr>
      </w:pPr>
      <w:r>
        <w:rPr>
          <w:rFonts w:hint="eastAsia" w:ascii="宋体" w:hAnsi="宋体"/>
          <w:szCs w:val="21"/>
        </w:rPr>
        <w:t>3、负责组织有关专家对项目试验成果评估报告的评审。</w:t>
      </w:r>
    </w:p>
    <w:p>
      <w:pPr>
        <w:ind w:firstLine="422" w:firstLineChars="200"/>
        <w:rPr>
          <w:rFonts w:ascii="宋体" w:hAnsi="宋体"/>
          <w:b/>
          <w:bCs/>
          <w:szCs w:val="21"/>
        </w:rPr>
      </w:pPr>
      <w:r>
        <w:rPr>
          <w:rFonts w:hint="eastAsia" w:ascii="宋体" w:hAnsi="宋体"/>
          <w:b/>
          <w:bCs/>
          <w:szCs w:val="21"/>
        </w:rPr>
        <w:t>第六条　乙方的义务</w:t>
      </w:r>
    </w:p>
    <w:p>
      <w:pPr>
        <w:ind w:firstLine="420" w:firstLineChars="200"/>
        <w:rPr>
          <w:rFonts w:ascii="宋体" w:hAnsi="宋体"/>
          <w:szCs w:val="21"/>
        </w:rPr>
      </w:pPr>
      <w:r>
        <w:rPr>
          <w:rFonts w:hint="eastAsia" w:ascii="宋体" w:hAnsi="宋体"/>
          <w:szCs w:val="21"/>
          <w:lang w:eastAsia="zh-CN"/>
        </w:rPr>
        <w:t>1</w:t>
      </w:r>
      <w:r>
        <w:rPr>
          <w:rFonts w:hint="eastAsia" w:ascii="宋体" w:hAnsi="宋体"/>
          <w:szCs w:val="21"/>
        </w:rPr>
        <w:t>、应按照招标文件、投标文件要求按期完成本项目服务工作。</w:t>
      </w:r>
    </w:p>
    <w:p>
      <w:pPr>
        <w:ind w:firstLine="420" w:firstLineChars="200"/>
        <w:rPr>
          <w:rFonts w:ascii="宋体" w:hAnsi="宋体"/>
          <w:szCs w:val="21"/>
        </w:rPr>
      </w:pPr>
      <w:r>
        <w:rPr>
          <w:rFonts w:hint="eastAsia" w:ascii="宋体" w:hAnsi="宋体"/>
          <w:szCs w:val="21"/>
        </w:rPr>
        <w:t>2、负责组织项目的实施，保证工程进度和成桥荷载试验工作质量，并满足交通部交工验收相关标准。</w:t>
      </w:r>
    </w:p>
    <w:p>
      <w:pPr>
        <w:ind w:firstLine="420" w:firstLineChars="200"/>
        <w:rPr>
          <w:rFonts w:ascii="宋体" w:hAnsi="宋体"/>
          <w:szCs w:val="21"/>
        </w:rPr>
      </w:pPr>
      <w:r>
        <w:rPr>
          <w:rFonts w:hint="eastAsia" w:ascii="宋体" w:hAnsi="宋体"/>
          <w:szCs w:val="21"/>
        </w:rPr>
        <w:t>3、</w:t>
      </w:r>
      <w:r>
        <w:rPr>
          <w:rFonts w:hint="eastAsia" w:ascii="宋体" w:hAnsi="宋体"/>
        </w:rPr>
        <w:t>向甲方提交检测资料等各套，一套电子版文件。</w:t>
      </w:r>
    </w:p>
    <w:p>
      <w:pPr>
        <w:ind w:firstLine="420" w:firstLineChars="200"/>
        <w:rPr>
          <w:rFonts w:ascii="宋体" w:hAnsi="宋体"/>
          <w:szCs w:val="21"/>
        </w:rPr>
      </w:pPr>
      <w:r>
        <w:rPr>
          <w:rFonts w:hint="eastAsia" w:ascii="宋体" w:hAnsi="宋体"/>
          <w:szCs w:val="21"/>
        </w:rPr>
        <w:t>4、在履行合同期间或合同规定期限内，不得泄露与本合同规定业务活动有关的保密资料。</w:t>
      </w:r>
    </w:p>
    <w:p>
      <w:pPr>
        <w:ind w:firstLine="422" w:firstLineChars="200"/>
        <w:rPr>
          <w:rFonts w:ascii="宋体" w:hAnsi="宋体"/>
          <w:b/>
          <w:bCs/>
          <w:szCs w:val="21"/>
        </w:rPr>
      </w:pPr>
      <w:r>
        <w:rPr>
          <w:rFonts w:hint="eastAsia" w:ascii="宋体" w:hAnsi="宋体"/>
          <w:b/>
          <w:bCs/>
          <w:szCs w:val="21"/>
        </w:rPr>
        <w:t>第七条  甲方的权利</w:t>
      </w:r>
    </w:p>
    <w:p>
      <w:pPr>
        <w:ind w:firstLine="420" w:firstLineChars="200"/>
        <w:rPr>
          <w:rFonts w:ascii="宋体" w:hAnsi="宋体"/>
          <w:szCs w:val="21"/>
        </w:rPr>
      </w:pPr>
      <w:r>
        <w:rPr>
          <w:rFonts w:ascii="宋体" w:hAnsi="宋体"/>
          <w:szCs w:val="21"/>
        </w:rPr>
        <w:t>1</w:t>
      </w:r>
      <w:r>
        <w:rPr>
          <w:rFonts w:hint="eastAsia" w:ascii="宋体" w:hAnsi="宋体"/>
          <w:szCs w:val="21"/>
        </w:rPr>
        <w:t>、有权向乙方询问工作进展情况及相关的内容。</w:t>
      </w:r>
    </w:p>
    <w:p>
      <w:pPr>
        <w:ind w:firstLine="420" w:firstLineChars="200"/>
        <w:rPr>
          <w:rFonts w:ascii="宋体" w:hAnsi="宋体"/>
          <w:szCs w:val="21"/>
        </w:rPr>
      </w:pPr>
      <w:r>
        <w:rPr>
          <w:rFonts w:ascii="宋体" w:hAnsi="宋体"/>
          <w:szCs w:val="21"/>
        </w:rPr>
        <w:t>2</w:t>
      </w:r>
      <w:r>
        <w:rPr>
          <w:rFonts w:hint="eastAsia" w:ascii="宋体" w:hAnsi="宋体"/>
          <w:szCs w:val="21"/>
        </w:rPr>
        <w:t>、有权阐述对具体问题的意见和建议。</w:t>
      </w:r>
    </w:p>
    <w:p>
      <w:pPr>
        <w:ind w:firstLine="420" w:firstLineChars="200"/>
        <w:rPr>
          <w:rFonts w:ascii="宋体" w:hAnsi="宋体"/>
          <w:szCs w:val="21"/>
        </w:rPr>
      </w:pPr>
      <w:r>
        <w:rPr>
          <w:rFonts w:ascii="宋体" w:hAnsi="宋体"/>
          <w:szCs w:val="21"/>
        </w:rPr>
        <w:t>3</w:t>
      </w:r>
      <w:r>
        <w:rPr>
          <w:rFonts w:hint="eastAsia" w:ascii="宋体" w:hAnsi="宋体"/>
          <w:szCs w:val="21"/>
        </w:rPr>
        <w:t>、当甲方认定乙方人员不按合同履行其职责，或与第三人串通给甲方造成经济损失的，甲方有权要求更换人员，直至终止合同并要求乙方承担相应的赔偿责任。</w:t>
      </w:r>
    </w:p>
    <w:p>
      <w:pPr>
        <w:ind w:firstLine="422" w:firstLineChars="200"/>
        <w:rPr>
          <w:rFonts w:ascii="宋体" w:hAnsi="宋体"/>
          <w:b/>
          <w:bCs/>
          <w:szCs w:val="21"/>
        </w:rPr>
      </w:pPr>
      <w:r>
        <w:rPr>
          <w:rFonts w:hint="eastAsia" w:ascii="宋体" w:hAnsi="宋体"/>
          <w:b/>
          <w:bCs/>
          <w:szCs w:val="21"/>
        </w:rPr>
        <w:t>第八条  乙方的权利</w:t>
      </w:r>
    </w:p>
    <w:p>
      <w:pPr>
        <w:ind w:firstLine="420" w:firstLineChars="200"/>
        <w:rPr>
          <w:rFonts w:ascii="宋体" w:hAnsi="宋体"/>
          <w:szCs w:val="21"/>
        </w:rPr>
      </w:pPr>
      <w:r>
        <w:rPr>
          <w:rFonts w:ascii="宋体" w:hAnsi="宋体"/>
          <w:szCs w:val="21"/>
        </w:rPr>
        <w:t>1</w:t>
      </w:r>
      <w:r>
        <w:rPr>
          <w:rFonts w:hint="eastAsia" w:ascii="宋体" w:hAnsi="宋体"/>
          <w:szCs w:val="21"/>
        </w:rPr>
        <w:t>、乙方在本项目服务过程中，如甲方提供的资料不明确时可向甲方提出书面报告。</w:t>
      </w:r>
    </w:p>
    <w:p>
      <w:pPr>
        <w:ind w:firstLine="420" w:firstLineChars="200"/>
        <w:rPr>
          <w:rFonts w:ascii="宋体" w:hAnsi="宋体"/>
          <w:szCs w:val="21"/>
        </w:rPr>
      </w:pPr>
      <w:r>
        <w:rPr>
          <w:rFonts w:ascii="宋体" w:hAnsi="宋体"/>
          <w:szCs w:val="21"/>
        </w:rPr>
        <w:t>2</w:t>
      </w:r>
      <w:r>
        <w:rPr>
          <w:rFonts w:hint="eastAsia" w:ascii="宋体" w:hAnsi="宋体"/>
          <w:szCs w:val="21"/>
        </w:rPr>
        <w:t>、乙方在本项目服务过程中，有权对第三方提出与本服务业务有关的问题进行核对或查问。</w:t>
      </w:r>
    </w:p>
    <w:p>
      <w:pPr>
        <w:ind w:firstLine="420" w:firstLineChars="200"/>
        <w:rPr>
          <w:rFonts w:ascii="宋体" w:hAnsi="宋体"/>
          <w:szCs w:val="21"/>
        </w:rPr>
      </w:pPr>
      <w:r>
        <w:rPr>
          <w:rFonts w:ascii="宋体" w:hAnsi="宋体"/>
          <w:szCs w:val="21"/>
        </w:rPr>
        <w:t>3</w:t>
      </w:r>
      <w:r>
        <w:rPr>
          <w:rFonts w:hint="eastAsia" w:ascii="宋体" w:hAnsi="宋体"/>
          <w:szCs w:val="21"/>
        </w:rPr>
        <w:t>、乙方在本项目服务过程中，有到工程现场勘察的权利。</w:t>
      </w:r>
    </w:p>
    <w:p>
      <w:pPr>
        <w:ind w:firstLine="422" w:firstLineChars="200"/>
        <w:rPr>
          <w:rFonts w:ascii="宋体" w:hAnsi="宋体"/>
          <w:b/>
          <w:bCs/>
          <w:szCs w:val="21"/>
        </w:rPr>
      </w:pPr>
      <w:r>
        <w:rPr>
          <w:rFonts w:hint="eastAsia" w:ascii="宋体" w:hAnsi="宋体"/>
          <w:b/>
          <w:bCs/>
          <w:szCs w:val="21"/>
        </w:rPr>
        <w:t>第九条  甲方的责任</w:t>
      </w:r>
    </w:p>
    <w:p>
      <w:pPr>
        <w:ind w:firstLine="420" w:firstLineChars="200"/>
        <w:rPr>
          <w:rFonts w:ascii="宋体" w:hAnsi="宋体"/>
          <w:szCs w:val="21"/>
        </w:rPr>
      </w:pPr>
      <w:r>
        <w:rPr>
          <w:rFonts w:hint="eastAsia" w:ascii="宋体" w:hAnsi="宋体"/>
          <w:szCs w:val="21"/>
        </w:rPr>
        <w:t>1、应当履行本合同约定的义务，如有违反则应当承担违约责任，赔偿给乙方造成的损失。</w:t>
      </w:r>
    </w:p>
    <w:p>
      <w:pPr>
        <w:ind w:firstLine="420" w:firstLineChars="200"/>
        <w:rPr>
          <w:rFonts w:ascii="宋体" w:hAnsi="宋体"/>
          <w:szCs w:val="21"/>
        </w:rPr>
      </w:pPr>
      <w:r>
        <w:rPr>
          <w:rFonts w:hint="eastAsia" w:ascii="宋体" w:hAnsi="宋体"/>
          <w:szCs w:val="21"/>
        </w:rPr>
        <w:t>2、甲方向乙方提出赔偿要求不能成立时，则应补偿由于该赔偿或其他要求所导致乙方的各种费用的支出。</w:t>
      </w:r>
    </w:p>
    <w:p>
      <w:pPr>
        <w:ind w:firstLine="422" w:firstLineChars="200"/>
        <w:rPr>
          <w:rFonts w:ascii="宋体" w:hAnsi="宋体"/>
          <w:b/>
          <w:bCs/>
          <w:szCs w:val="21"/>
        </w:rPr>
      </w:pPr>
      <w:r>
        <w:rPr>
          <w:rFonts w:hint="eastAsia" w:ascii="宋体" w:hAnsi="宋体"/>
          <w:b/>
          <w:bCs/>
          <w:szCs w:val="21"/>
        </w:rPr>
        <w:t>第十条  乙方的责任</w:t>
      </w:r>
    </w:p>
    <w:p>
      <w:pPr>
        <w:ind w:firstLine="420" w:firstLineChars="200"/>
        <w:rPr>
          <w:rFonts w:ascii="宋体" w:hAnsi="宋体"/>
          <w:szCs w:val="21"/>
        </w:rPr>
      </w:pPr>
      <w:r>
        <w:rPr>
          <w:rFonts w:hint="eastAsia" w:ascii="宋体" w:hAnsi="宋体"/>
          <w:szCs w:val="21"/>
        </w:rPr>
        <w:t>1、乙方的责任期即本合同有效期。如因非乙方的责任造成进度的推迟或延误而超过约定的日期，双方应进一步约定相应延长合同有效期。</w:t>
      </w:r>
    </w:p>
    <w:p>
      <w:pPr>
        <w:ind w:firstLine="420" w:firstLineChars="200"/>
        <w:rPr>
          <w:rFonts w:ascii="宋体" w:hAnsi="宋体"/>
          <w:szCs w:val="21"/>
        </w:rPr>
      </w:pPr>
      <w:r>
        <w:rPr>
          <w:rFonts w:hint="eastAsia" w:ascii="宋体" w:hAnsi="宋体"/>
          <w:szCs w:val="21"/>
        </w:rPr>
        <w:t>2、乙方的责任期内，应当履行本合同中约定的义务，因乙方的单方过失造成的经济损失，应当向甲方进行赔偿。</w:t>
      </w:r>
    </w:p>
    <w:p>
      <w:pPr>
        <w:ind w:firstLine="420" w:firstLineChars="200"/>
        <w:rPr>
          <w:rFonts w:ascii="宋体" w:hAnsi="宋体"/>
          <w:szCs w:val="21"/>
        </w:rPr>
      </w:pPr>
      <w:r>
        <w:rPr>
          <w:rFonts w:hint="eastAsia" w:ascii="宋体" w:hAnsi="宋体"/>
          <w:szCs w:val="21"/>
        </w:rPr>
        <w:t>3、乙方对甲方或第三方所提出的问题不能及时核对或答复，导致合同不能全部或部分履行，乙方应承担责任。</w:t>
      </w:r>
    </w:p>
    <w:p>
      <w:pPr>
        <w:ind w:firstLine="420" w:firstLineChars="200"/>
        <w:rPr>
          <w:rFonts w:ascii="宋体" w:hAnsi="宋体"/>
          <w:szCs w:val="21"/>
        </w:rPr>
      </w:pPr>
      <w:r>
        <w:rPr>
          <w:rFonts w:hint="eastAsia" w:ascii="宋体" w:hAnsi="宋体"/>
          <w:szCs w:val="21"/>
        </w:rPr>
        <w:t>4、乙方向甲方提出赔偿要求不能成立时，则应补偿由于该赔偿或其他要求所导致甲方的各种费用的支出。</w:t>
      </w:r>
    </w:p>
    <w:p>
      <w:pPr>
        <w:ind w:firstLine="422" w:firstLineChars="200"/>
        <w:rPr>
          <w:rFonts w:ascii="宋体" w:hAnsi="宋体"/>
          <w:b/>
          <w:bCs/>
          <w:szCs w:val="21"/>
        </w:rPr>
      </w:pPr>
      <w:r>
        <w:rPr>
          <w:rFonts w:hint="eastAsia" w:ascii="宋体" w:hAnsi="宋体"/>
          <w:b/>
          <w:bCs/>
          <w:szCs w:val="21"/>
        </w:rPr>
        <w:t>第十一条  人员要求</w:t>
      </w:r>
    </w:p>
    <w:p>
      <w:pPr>
        <w:ind w:firstLine="420" w:firstLineChars="200"/>
        <w:rPr>
          <w:rFonts w:ascii="宋体" w:hAnsi="宋体"/>
          <w:szCs w:val="21"/>
        </w:rPr>
      </w:pPr>
      <w:r>
        <w:rPr>
          <w:rFonts w:hint="eastAsia" w:ascii="宋体" w:hAnsi="宋体"/>
          <w:szCs w:val="21"/>
        </w:rPr>
        <w:t>1、参加本项目试验的人员必须具有国家和有关部门规定的相应资质。</w:t>
      </w:r>
    </w:p>
    <w:p>
      <w:pPr>
        <w:ind w:firstLine="420" w:firstLineChars="200"/>
        <w:rPr>
          <w:rFonts w:ascii="宋体" w:hAnsi="宋体"/>
          <w:szCs w:val="21"/>
        </w:rPr>
      </w:pPr>
      <w:r>
        <w:rPr>
          <w:rFonts w:hint="eastAsia" w:ascii="宋体" w:hAnsi="宋体"/>
          <w:szCs w:val="21"/>
        </w:rPr>
        <w:t>2、 参加本项目的试验人员的配置必须与投标文件中的服务承诺书和试验服务组织实施方案一致。</w:t>
      </w:r>
    </w:p>
    <w:p>
      <w:pPr>
        <w:ind w:firstLine="420" w:firstLineChars="200"/>
        <w:rPr>
          <w:rFonts w:ascii="宋体" w:hAnsi="宋体"/>
          <w:szCs w:val="21"/>
        </w:rPr>
      </w:pPr>
      <w:r>
        <w:rPr>
          <w:rFonts w:hint="eastAsia" w:ascii="宋体" w:hAnsi="宋体"/>
          <w:szCs w:val="21"/>
        </w:rPr>
        <w:t>3、必须以直属试验人员参与本项目服务，不得使用挂靠队伍。</w:t>
      </w:r>
    </w:p>
    <w:p>
      <w:pPr>
        <w:ind w:firstLine="422" w:firstLineChars="200"/>
        <w:rPr>
          <w:rFonts w:ascii="宋体" w:hAnsi="宋体"/>
          <w:b/>
          <w:bCs/>
          <w:szCs w:val="21"/>
        </w:rPr>
      </w:pPr>
      <w:r>
        <w:rPr>
          <w:rFonts w:hint="eastAsia" w:ascii="宋体" w:hAnsi="宋体"/>
          <w:b/>
          <w:bCs/>
          <w:szCs w:val="21"/>
        </w:rPr>
        <w:t>第十二条  乙方服务工具要求</w:t>
      </w:r>
    </w:p>
    <w:p>
      <w:pPr>
        <w:ind w:firstLine="420" w:firstLineChars="200"/>
        <w:rPr>
          <w:rFonts w:ascii="宋体" w:hAnsi="宋体"/>
          <w:szCs w:val="21"/>
        </w:rPr>
      </w:pPr>
      <w:r>
        <w:rPr>
          <w:rFonts w:hint="eastAsia" w:ascii="宋体" w:hAnsi="宋体"/>
          <w:szCs w:val="21"/>
        </w:rPr>
        <w:t>1、乙方应配备中标项目所需的足够数量的仪器、仪表以及工具等设备。用户不需向乙方提供施工工具和仪器、仪表。</w:t>
      </w:r>
    </w:p>
    <w:p>
      <w:pPr>
        <w:ind w:firstLine="420" w:firstLineChars="200"/>
        <w:rPr>
          <w:rFonts w:ascii="宋体" w:hAnsi="宋体"/>
          <w:szCs w:val="21"/>
        </w:rPr>
      </w:pPr>
      <w:r>
        <w:rPr>
          <w:rFonts w:hint="eastAsia" w:ascii="宋体" w:hAnsi="宋体"/>
          <w:szCs w:val="21"/>
        </w:rPr>
        <w:t>2、乙方在提供服务过程中应自备车辆。</w:t>
      </w:r>
    </w:p>
    <w:p>
      <w:pPr>
        <w:ind w:firstLine="422" w:firstLineChars="200"/>
        <w:rPr>
          <w:rFonts w:ascii="宋体" w:hAnsi="宋体"/>
          <w:b/>
          <w:bCs/>
          <w:szCs w:val="21"/>
        </w:rPr>
      </w:pPr>
      <w:r>
        <w:rPr>
          <w:rFonts w:hint="eastAsia" w:ascii="宋体" w:hAnsi="宋体"/>
          <w:b/>
          <w:bCs/>
          <w:szCs w:val="21"/>
        </w:rPr>
        <w:t>第十三条  保密要求</w:t>
      </w:r>
    </w:p>
    <w:p>
      <w:pPr>
        <w:ind w:firstLine="420" w:firstLineChars="200"/>
        <w:rPr>
          <w:rFonts w:ascii="宋体" w:hAnsi="宋体"/>
          <w:szCs w:val="21"/>
        </w:rPr>
      </w:pPr>
      <w:r>
        <w:rPr>
          <w:rFonts w:hint="eastAsia" w:ascii="宋体" w:hAnsi="宋体"/>
          <w:szCs w:val="21"/>
        </w:rPr>
        <w:t>1、</w:t>
      </w:r>
      <w:r>
        <w:rPr>
          <w:rFonts w:ascii="宋体" w:hAnsi="宋体"/>
          <w:szCs w:val="21"/>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pPr>
        <w:ind w:firstLine="420" w:firstLineChars="200"/>
        <w:rPr>
          <w:rFonts w:ascii="宋体" w:hAnsi="宋体"/>
          <w:szCs w:val="21"/>
        </w:rPr>
      </w:pPr>
      <w:r>
        <w:rPr>
          <w:rFonts w:hint="eastAsia" w:ascii="宋体" w:hAnsi="宋体"/>
          <w:szCs w:val="21"/>
        </w:rPr>
        <w:t>2、</w:t>
      </w:r>
      <w:r>
        <w:rPr>
          <w:rFonts w:ascii="宋体" w:hAnsi="宋体"/>
          <w:szCs w:val="21"/>
        </w:rPr>
        <w:t>乙方在履行合同过程中所获得或接触到的任何</w:t>
      </w:r>
      <w:r>
        <w:rPr>
          <w:rFonts w:hint="eastAsia" w:ascii="宋体" w:hAnsi="宋体"/>
          <w:szCs w:val="21"/>
        </w:rPr>
        <w:t>内部数据资料，未经甲方同意，不得向第三方透露。</w:t>
      </w:r>
    </w:p>
    <w:p>
      <w:pPr>
        <w:ind w:firstLine="420" w:firstLineChars="200"/>
        <w:rPr>
          <w:rFonts w:ascii="宋体" w:hAnsi="宋体"/>
          <w:szCs w:val="21"/>
        </w:rPr>
      </w:pPr>
      <w:r>
        <w:rPr>
          <w:rFonts w:hint="eastAsia" w:ascii="宋体" w:hAnsi="宋体"/>
          <w:szCs w:val="21"/>
        </w:rPr>
        <w:t>3、</w:t>
      </w:r>
      <w:r>
        <w:rPr>
          <w:rFonts w:ascii="宋体" w:hAnsi="宋体"/>
          <w:szCs w:val="21"/>
        </w:rPr>
        <w:t>乙方</w:t>
      </w:r>
      <w:r>
        <w:rPr>
          <w:rFonts w:hint="eastAsia" w:ascii="宋体" w:hAnsi="宋体"/>
          <w:szCs w:val="21"/>
        </w:rPr>
        <w:t>实施项目的一切程序都应符合国家安全、保密的有关规定和标准。</w:t>
      </w:r>
    </w:p>
    <w:p>
      <w:pPr>
        <w:ind w:firstLine="420" w:firstLineChars="200"/>
        <w:rPr>
          <w:rFonts w:ascii="宋体" w:hAnsi="宋体"/>
          <w:szCs w:val="21"/>
        </w:rPr>
      </w:pPr>
      <w:r>
        <w:rPr>
          <w:rFonts w:hint="eastAsia" w:ascii="宋体" w:hAnsi="宋体"/>
          <w:szCs w:val="21"/>
        </w:rPr>
        <w:t>4、</w:t>
      </w:r>
      <w:r>
        <w:rPr>
          <w:rFonts w:ascii="宋体" w:hAnsi="宋体"/>
          <w:szCs w:val="21"/>
        </w:rPr>
        <w:t>乙方</w:t>
      </w:r>
      <w:r>
        <w:rPr>
          <w:rFonts w:hint="eastAsia" w:ascii="宋体" w:hAnsi="宋体"/>
          <w:szCs w:val="21"/>
        </w:rPr>
        <w:t>参加项目的有关人员均需同甲方签订保密协议。</w:t>
      </w:r>
    </w:p>
    <w:p>
      <w:pPr>
        <w:ind w:firstLine="422" w:firstLineChars="200"/>
        <w:rPr>
          <w:rFonts w:ascii="宋体" w:hAnsi="宋体"/>
          <w:b/>
          <w:bCs/>
          <w:szCs w:val="21"/>
        </w:rPr>
      </w:pPr>
      <w:r>
        <w:rPr>
          <w:rFonts w:hint="eastAsia" w:ascii="宋体" w:hAnsi="宋体"/>
          <w:b/>
          <w:bCs/>
          <w:szCs w:val="21"/>
        </w:rPr>
        <w:t xml:space="preserve">第十四条  验收     </w:t>
      </w:r>
    </w:p>
    <w:p>
      <w:pPr>
        <w:ind w:firstLine="420" w:firstLineChars="200"/>
        <w:rPr>
          <w:rFonts w:ascii="宋体" w:hAnsi="宋体"/>
          <w:szCs w:val="21"/>
        </w:rPr>
      </w:pPr>
      <w:r>
        <w:rPr>
          <w:rFonts w:hint="eastAsia" w:ascii="宋体" w:hAnsi="宋体"/>
          <w:szCs w:val="21"/>
        </w:rPr>
        <w:t>1、下列文件的验收分为</w:t>
      </w:r>
      <w:r>
        <w:rPr>
          <w:rFonts w:hint="eastAsia" w:ascii="宋体" w:hAnsi="宋体"/>
          <w:szCs w:val="21"/>
          <w:u w:val="single"/>
        </w:rPr>
        <w:t xml:space="preserve">          三</w:t>
      </w:r>
      <w:r>
        <w:rPr>
          <w:rFonts w:hint="eastAsia" w:ascii="宋体" w:hAnsi="宋体"/>
          <w:szCs w:val="21"/>
        </w:rPr>
        <w:t>个阶段</w:t>
      </w:r>
      <w:r>
        <w:rPr>
          <w:rFonts w:hint="eastAsia" w:ascii="宋体" w:hAnsi="宋体"/>
          <w:szCs w:val="21"/>
          <w:lang w:eastAsia="zh-CN"/>
        </w:rPr>
        <w:t>：</w:t>
      </w:r>
    </w:p>
    <w:p>
      <w:pPr>
        <w:ind w:firstLine="420" w:firstLineChars="200"/>
        <w:rPr>
          <w:rFonts w:ascii="宋体" w:hAnsi="宋体"/>
          <w:szCs w:val="21"/>
        </w:rPr>
      </w:pPr>
      <w:r>
        <w:rPr>
          <w:rFonts w:hint="eastAsia" w:ascii="宋体" w:hAnsi="宋体"/>
          <w:szCs w:val="21"/>
        </w:rPr>
        <w:t>2、其余文件和工作由用户组织有关技术人员根据国家和行业有关规范、规程、标准和用户需求直接验收。</w:t>
      </w:r>
    </w:p>
    <w:p>
      <w:pPr>
        <w:ind w:firstLine="420" w:firstLineChars="200"/>
        <w:rPr>
          <w:rFonts w:ascii="宋体" w:hAnsi="宋体"/>
          <w:szCs w:val="21"/>
        </w:rPr>
      </w:pPr>
      <w:r>
        <w:rPr>
          <w:rFonts w:hint="eastAsia" w:ascii="宋体" w:hAnsi="宋体"/>
          <w:szCs w:val="21"/>
        </w:rPr>
        <w:t>3、验收依据为招标文件、投标文件，国家和行业有关规范、规程和标准。</w:t>
      </w:r>
    </w:p>
    <w:p>
      <w:pPr>
        <w:ind w:firstLine="422" w:firstLineChars="200"/>
        <w:rPr>
          <w:rFonts w:ascii="宋体" w:hAnsi="宋体"/>
          <w:b/>
          <w:bCs/>
          <w:szCs w:val="21"/>
        </w:rPr>
      </w:pPr>
      <w:r>
        <w:rPr>
          <w:rFonts w:hint="eastAsia" w:ascii="宋体" w:hAnsi="宋体"/>
          <w:b/>
          <w:bCs/>
          <w:szCs w:val="21"/>
        </w:rPr>
        <w:t>第十五条  付款方式</w:t>
      </w:r>
    </w:p>
    <w:p>
      <w:pPr>
        <w:ind w:firstLine="420" w:firstLineChars="200"/>
        <w:rPr>
          <w:rFonts w:ascii="宋体" w:hAnsi="宋体"/>
          <w:szCs w:val="21"/>
        </w:rPr>
      </w:pPr>
      <w:r>
        <w:rPr>
          <w:rFonts w:hint="eastAsia" w:ascii="宋体" w:hAnsi="宋体"/>
          <w:szCs w:val="21"/>
        </w:rPr>
        <w:t>1、合同签订后   天内乙方向甲方开具合法有效的发票后，甲方于   天内向乙方支付合同总价%的款项。</w:t>
      </w:r>
    </w:p>
    <w:p>
      <w:pPr>
        <w:ind w:firstLine="420" w:firstLineChars="200"/>
        <w:rPr>
          <w:rFonts w:ascii="宋体" w:hAnsi="宋体"/>
          <w:szCs w:val="21"/>
        </w:rPr>
      </w:pPr>
      <w:r>
        <w:rPr>
          <w:rFonts w:hint="eastAsia" w:ascii="宋体" w:hAnsi="宋体"/>
          <w:szCs w:val="21"/>
        </w:rPr>
        <w:t>2、检测完成并提交评估报告后  天内，乙方向甲方开具合法有效发票后 天，甲方向乙方支付合同总价%的款项。</w:t>
      </w:r>
    </w:p>
    <w:p>
      <w:pPr>
        <w:ind w:firstLine="420" w:firstLineChars="200"/>
        <w:rPr>
          <w:rFonts w:ascii="宋体" w:hAnsi="宋体"/>
          <w:szCs w:val="21"/>
        </w:rPr>
      </w:pPr>
      <w:r>
        <w:rPr>
          <w:rFonts w:hint="eastAsia" w:ascii="宋体" w:hAnsi="宋体"/>
          <w:szCs w:val="21"/>
        </w:rPr>
        <w:t>3、报告通过专家评审后，甲方向乙方支付合同总价%的款项。</w:t>
      </w:r>
    </w:p>
    <w:p>
      <w:pPr>
        <w:ind w:firstLine="422" w:firstLineChars="200"/>
        <w:rPr>
          <w:rFonts w:ascii="宋体" w:hAnsi="宋体"/>
          <w:b/>
          <w:bCs/>
          <w:szCs w:val="21"/>
        </w:rPr>
      </w:pPr>
      <w:r>
        <w:rPr>
          <w:rFonts w:hint="eastAsia" w:ascii="宋体" w:hAnsi="宋体"/>
          <w:b/>
          <w:bCs/>
          <w:szCs w:val="21"/>
        </w:rPr>
        <w:t>第十六条  争议解决办法</w:t>
      </w:r>
    </w:p>
    <w:p>
      <w:pPr>
        <w:ind w:firstLine="420" w:firstLineChars="200"/>
        <w:rPr>
          <w:rFonts w:ascii="宋体" w:hAnsi="宋体"/>
          <w:szCs w:val="21"/>
        </w:rPr>
      </w:pPr>
      <w:r>
        <w:rPr>
          <w:rFonts w:hint="eastAsia" w:ascii="宋体" w:hAnsi="宋体"/>
          <w:szCs w:val="21"/>
        </w:rPr>
        <w:t>执行本合同发生的争议，由甲乙双方协商解决，如协商不成的，应提交甲方所在地人民法院诉讼解决。</w:t>
      </w:r>
    </w:p>
    <w:p>
      <w:pPr>
        <w:ind w:firstLine="422" w:firstLineChars="200"/>
        <w:rPr>
          <w:rFonts w:ascii="宋体" w:hAnsi="宋体"/>
          <w:b/>
          <w:bCs/>
          <w:szCs w:val="21"/>
        </w:rPr>
      </w:pPr>
      <w:r>
        <w:rPr>
          <w:rFonts w:hint="eastAsia" w:ascii="宋体" w:hAnsi="宋体"/>
          <w:b/>
          <w:bCs/>
          <w:szCs w:val="21"/>
        </w:rPr>
        <w:t>第十七条  风险责任</w:t>
      </w:r>
    </w:p>
    <w:p>
      <w:pPr>
        <w:ind w:firstLine="420" w:firstLineChars="200"/>
        <w:rPr>
          <w:rFonts w:ascii="宋体" w:hAnsi="宋体"/>
          <w:szCs w:val="21"/>
        </w:rPr>
      </w:pPr>
      <w:r>
        <w:rPr>
          <w:rFonts w:hint="eastAsia" w:ascii="宋体" w:hAnsi="宋体"/>
          <w:szCs w:val="21"/>
          <w:lang w:eastAsia="zh-CN"/>
        </w:rPr>
        <w:t>1</w:t>
      </w:r>
      <w:r>
        <w:rPr>
          <w:rFonts w:hint="eastAsia" w:ascii="宋体" w:hAnsi="宋体"/>
          <w:szCs w:val="21"/>
        </w:rPr>
        <w:t>、乙方应完全地按照招标文件的要求和乙方投标文件的承诺完成本项目，出于自身财务、技术、人力等原因导致项目失败的，应承担全部责任。</w:t>
      </w:r>
    </w:p>
    <w:p>
      <w:pPr>
        <w:ind w:firstLine="420" w:firstLineChars="200"/>
        <w:rPr>
          <w:rFonts w:ascii="宋体" w:hAnsi="宋体"/>
          <w:szCs w:val="21"/>
        </w:rPr>
      </w:pPr>
      <w:r>
        <w:rPr>
          <w:rFonts w:hint="eastAsia" w:ascii="宋体" w:hAnsi="宋体"/>
          <w:szCs w:val="21"/>
        </w:rPr>
        <w:t>2、乙方在实施荷载试验过程中应对自身的安全生产负责，若非因甲方原因发生的各种事故甲方不承担任何责任。</w:t>
      </w:r>
    </w:p>
    <w:p>
      <w:pPr>
        <w:ind w:firstLine="422" w:firstLineChars="200"/>
        <w:rPr>
          <w:rFonts w:ascii="宋体" w:hAnsi="宋体"/>
          <w:b/>
          <w:bCs/>
          <w:szCs w:val="21"/>
        </w:rPr>
      </w:pPr>
      <w:r>
        <w:rPr>
          <w:rFonts w:hint="eastAsia" w:ascii="宋体" w:hAnsi="宋体"/>
          <w:b/>
          <w:bCs/>
          <w:szCs w:val="21"/>
        </w:rPr>
        <w:t>第十八条  违约责任</w:t>
      </w:r>
    </w:p>
    <w:p>
      <w:pPr>
        <w:pStyle w:val="11"/>
        <w:spacing w:line="240" w:lineRule="auto"/>
        <w:rPr>
          <w:rFonts w:ascii="宋体" w:hAnsi="宋体"/>
          <w:szCs w:val="21"/>
        </w:rPr>
      </w:pPr>
      <w:r>
        <w:rPr>
          <w:rFonts w:hint="eastAsia" w:ascii="宋体" w:hAnsi="宋体"/>
          <w:szCs w:val="21"/>
          <w:lang w:eastAsia="zh-CN"/>
        </w:rPr>
        <w:t>1</w:t>
      </w:r>
      <w:r>
        <w:rPr>
          <w:rFonts w:hint="eastAsia" w:ascii="宋体" w:hAnsi="宋体"/>
          <w:szCs w:val="21"/>
        </w:rPr>
        <w:t>、因乙方原因，未能按规定时间完成有关工作的，每延误一天，甲方可在支付合同余款中扣除合同价款千分之一。</w:t>
      </w:r>
    </w:p>
    <w:p>
      <w:pPr>
        <w:ind w:firstLine="420" w:firstLineChars="200"/>
        <w:rPr>
          <w:rFonts w:ascii="宋体" w:hAnsi="宋体"/>
          <w:szCs w:val="21"/>
        </w:rPr>
      </w:pPr>
      <w:r>
        <w:rPr>
          <w:rFonts w:hint="eastAsia" w:ascii="宋体" w:hAnsi="宋体"/>
          <w:szCs w:val="21"/>
        </w:rPr>
        <w:t>2、由于乙方原因造成试验成果质量低劣，不能满足大纲要求时，应继续完善试验工作，其费用由乙方承担。</w:t>
      </w:r>
    </w:p>
    <w:p>
      <w:pPr>
        <w:ind w:firstLine="420" w:firstLineChars="200"/>
        <w:rPr>
          <w:rFonts w:ascii="宋体" w:hAnsi="宋体"/>
          <w:szCs w:val="21"/>
        </w:rPr>
      </w:pPr>
      <w:r>
        <w:rPr>
          <w:rFonts w:hint="eastAsia" w:ascii="宋体" w:hAnsi="宋体"/>
          <w:szCs w:val="21"/>
        </w:rPr>
        <w:t>3、乙方交付的成果经验收不合格，应于7日内无条件修改，费用由乙方自行承担，在甲方要求整改后再次验收不合格的，甲方有权解除合同、要求乙方返还甲方已支付的合同款项，并有权要求乙方按合同总额   %支付违约金</w:t>
      </w:r>
      <w:r>
        <w:rPr>
          <w:rFonts w:hint="eastAsia" w:ascii="宋体" w:hAnsi="宋体"/>
          <w:szCs w:val="21"/>
          <w:lang w:eastAsia="zh-CN"/>
        </w:rPr>
        <w:t>。</w:t>
      </w:r>
    </w:p>
    <w:p>
      <w:pPr>
        <w:ind w:firstLine="420" w:firstLineChars="200"/>
        <w:rPr>
          <w:rFonts w:ascii="宋体" w:hAnsi="宋体"/>
          <w:szCs w:val="21"/>
        </w:rPr>
      </w:pPr>
      <w:r>
        <w:rPr>
          <w:rFonts w:hint="eastAsia" w:ascii="宋体" w:hAnsi="宋体"/>
          <w:szCs w:val="21"/>
        </w:rPr>
        <w:t>4、若甲方发现乙方派出的试验服务人员或提供的试验仪器设备不符合合同要求，乙方应在3天之内按要求派出人员或提供满足投标文件承诺的仪器设备，否则甲方有权终止合同，并保留追究乙方责任及要求赔偿损失的权利。</w:t>
      </w:r>
    </w:p>
    <w:p>
      <w:pPr>
        <w:ind w:firstLine="420" w:firstLineChars="200"/>
        <w:rPr>
          <w:rFonts w:ascii="宋体" w:hAnsi="宋体"/>
          <w:szCs w:val="21"/>
        </w:rPr>
      </w:pPr>
      <w:r>
        <w:rPr>
          <w:rFonts w:hint="eastAsia" w:ascii="宋体" w:hAnsi="宋体"/>
          <w:szCs w:val="21"/>
        </w:rPr>
        <w:t>5、乙方或其工作人员违反本合同约定的保密义务，甲方有权要求乙方按合同总额   %支付违约金；造成不良影响或对甲方造成损失的，甲方有权要求乙方消除影响，承担赔偿责任，并有权解除合同。</w:t>
      </w:r>
    </w:p>
    <w:p>
      <w:pPr>
        <w:ind w:firstLine="420" w:firstLineChars="200"/>
        <w:rPr>
          <w:rFonts w:ascii="宋体" w:hAnsi="宋体"/>
          <w:szCs w:val="21"/>
        </w:rPr>
      </w:pPr>
      <w:r>
        <w:rPr>
          <w:rFonts w:hint="eastAsia" w:ascii="宋体" w:hAnsi="宋体"/>
          <w:szCs w:val="21"/>
        </w:rPr>
        <w:t>6、因乙方提供的服务成果受到侵权指控或者引发法律纠纷，影响甲方使用服务成果或者导致合同目的不能实现的，甲方有权要求乙方按合同总额   %支付违约金，并有权解除合同。</w:t>
      </w:r>
    </w:p>
    <w:p>
      <w:pPr>
        <w:ind w:firstLine="422" w:firstLineChars="200"/>
        <w:rPr>
          <w:rFonts w:ascii="宋体" w:hAnsi="宋体"/>
          <w:b/>
          <w:bCs/>
          <w:szCs w:val="21"/>
        </w:rPr>
      </w:pPr>
      <w:r>
        <w:rPr>
          <w:rFonts w:hint="eastAsia" w:ascii="宋体" w:hAnsi="宋体"/>
          <w:b/>
          <w:bCs/>
          <w:szCs w:val="21"/>
        </w:rPr>
        <w:t>第十九条  其他</w:t>
      </w:r>
    </w:p>
    <w:p>
      <w:pPr>
        <w:ind w:firstLine="420" w:firstLineChars="200"/>
        <w:rPr>
          <w:rFonts w:ascii="宋体" w:hAnsi="宋体"/>
          <w:szCs w:val="21"/>
        </w:rPr>
      </w:pPr>
      <w:r>
        <w:rPr>
          <w:rFonts w:hint="eastAsia" w:ascii="宋体" w:hAnsi="宋体"/>
          <w:szCs w:val="21"/>
        </w:rPr>
        <w:t>1、本协议书与下列文件一起构成合同文件，如下述文件之间有任何抵触、矛盾或歧义，应按以下顺序解释：</w:t>
      </w:r>
    </w:p>
    <w:p>
      <w:pPr>
        <w:ind w:firstLine="420" w:firstLineChars="200"/>
        <w:rPr>
          <w:rFonts w:ascii="宋体" w:hAnsi="宋体"/>
          <w:szCs w:val="21"/>
        </w:rPr>
      </w:pPr>
      <w:r>
        <w:rPr>
          <w:rFonts w:hint="eastAsia" w:ascii="宋体" w:hAnsi="宋体"/>
          <w:szCs w:val="21"/>
        </w:rPr>
        <w:t>（1）政府采购合同协议书及其变更、补充协议</w:t>
      </w:r>
    </w:p>
    <w:p>
      <w:pPr>
        <w:ind w:firstLine="420" w:firstLineChars="200"/>
        <w:rPr>
          <w:rFonts w:ascii="宋体" w:hAnsi="宋体"/>
          <w:szCs w:val="21"/>
        </w:rPr>
      </w:pPr>
      <w:r>
        <w:rPr>
          <w:rFonts w:hint="eastAsia" w:ascii="宋体" w:hAnsi="宋体"/>
          <w:szCs w:val="21"/>
        </w:rPr>
        <w:t>（2）政府采购合同专用条款</w:t>
      </w:r>
    </w:p>
    <w:p>
      <w:pPr>
        <w:ind w:firstLine="420" w:firstLineChars="200"/>
        <w:rPr>
          <w:rFonts w:ascii="宋体" w:hAnsi="宋体"/>
          <w:szCs w:val="21"/>
        </w:rPr>
      </w:pPr>
      <w:r>
        <w:rPr>
          <w:rFonts w:hint="eastAsia" w:ascii="宋体" w:hAnsi="宋体"/>
          <w:szCs w:val="21"/>
        </w:rPr>
        <w:t>（3）政府采购合同通用条款</w:t>
      </w:r>
    </w:p>
    <w:p>
      <w:pPr>
        <w:ind w:firstLine="420" w:firstLineChars="200"/>
        <w:rPr>
          <w:rFonts w:ascii="宋体" w:hAnsi="宋体"/>
          <w:szCs w:val="21"/>
        </w:rPr>
      </w:pPr>
      <w:r>
        <w:rPr>
          <w:rFonts w:hint="eastAsia" w:ascii="宋体" w:hAnsi="宋体"/>
          <w:szCs w:val="21"/>
        </w:rPr>
        <w:t>（4）中标（成交）通知书</w:t>
      </w:r>
    </w:p>
    <w:p>
      <w:pPr>
        <w:ind w:firstLine="420" w:firstLineChars="200"/>
        <w:rPr>
          <w:rFonts w:ascii="宋体" w:hAnsi="宋体"/>
          <w:szCs w:val="21"/>
        </w:rPr>
      </w:pPr>
      <w:r>
        <w:rPr>
          <w:rFonts w:hint="eastAsia" w:ascii="宋体" w:hAnsi="宋体"/>
          <w:szCs w:val="21"/>
        </w:rPr>
        <w:t>（5）投标（响应）文件</w:t>
      </w:r>
    </w:p>
    <w:p>
      <w:pPr>
        <w:ind w:firstLine="420" w:firstLineChars="200"/>
        <w:rPr>
          <w:rFonts w:ascii="宋体" w:hAnsi="宋体"/>
          <w:szCs w:val="21"/>
        </w:rPr>
      </w:pPr>
      <w:r>
        <w:rPr>
          <w:rFonts w:hint="eastAsia" w:ascii="宋体" w:hAnsi="宋体"/>
          <w:szCs w:val="21"/>
        </w:rPr>
        <w:t>（6）采购文件</w:t>
      </w:r>
    </w:p>
    <w:p>
      <w:pPr>
        <w:ind w:firstLine="420" w:firstLineChars="200"/>
        <w:rPr>
          <w:rFonts w:ascii="宋体" w:hAnsi="宋体"/>
          <w:szCs w:val="21"/>
        </w:rPr>
      </w:pPr>
      <w:r>
        <w:rPr>
          <w:rFonts w:hint="eastAsia" w:ascii="宋体" w:hAnsi="宋体"/>
          <w:szCs w:val="21"/>
        </w:rPr>
        <w:t>（7）有关技术文件，图纸</w:t>
      </w:r>
    </w:p>
    <w:p>
      <w:pPr>
        <w:ind w:firstLine="420" w:firstLineChars="200"/>
        <w:rPr>
          <w:rFonts w:ascii="宋体" w:hAnsi="宋体"/>
          <w:szCs w:val="21"/>
        </w:rPr>
      </w:pPr>
      <w:r>
        <w:rPr>
          <w:rFonts w:hint="eastAsia" w:ascii="宋体" w:hAnsi="宋体"/>
          <w:szCs w:val="21"/>
        </w:rPr>
        <w:t>（8）国家法律、行政法规和规章制度规定或合同约定的作为合同组成部分的其他文件。</w:t>
      </w:r>
    </w:p>
    <w:p>
      <w:pPr>
        <w:ind w:firstLine="420" w:firstLineChars="200"/>
        <w:rPr>
          <w:rFonts w:ascii="宋体" w:hAnsi="宋体"/>
          <w:szCs w:val="21"/>
        </w:rPr>
      </w:pPr>
      <w:r>
        <w:rPr>
          <w:rFonts w:hint="eastAsia" w:ascii="宋体" w:hAnsi="宋体"/>
          <w:szCs w:val="21"/>
        </w:rPr>
        <w:t>2、下列文件均为本合同的组成部分：</w:t>
      </w:r>
    </w:p>
    <w:p>
      <w:pPr>
        <w:ind w:firstLine="420" w:firstLineChars="200"/>
        <w:rPr>
          <w:rFonts w:ascii="宋体" w:hAnsi="宋体"/>
          <w:szCs w:val="21"/>
        </w:rPr>
      </w:pPr>
      <w:r>
        <w:rPr>
          <w:rFonts w:hint="eastAsia" w:ascii="宋体" w:hAnsi="宋体"/>
          <w:szCs w:val="21"/>
        </w:rPr>
        <w:t>（1）号招标文件、答疑及补充通知；</w:t>
      </w:r>
    </w:p>
    <w:p>
      <w:pPr>
        <w:ind w:firstLine="420" w:firstLineChars="200"/>
        <w:rPr>
          <w:rFonts w:ascii="宋体" w:hAnsi="宋体"/>
          <w:szCs w:val="21"/>
        </w:rPr>
      </w:pPr>
      <w:r>
        <w:rPr>
          <w:rFonts w:hint="eastAsia" w:ascii="宋体" w:hAnsi="宋体"/>
          <w:szCs w:val="21"/>
        </w:rPr>
        <w:t>（2）投标文件；</w:t>
      </w:r>
    </w:p>
    <w:p>
      <w:pPr>
        <w:ind w:firstLine="420" w:firstLineChars="200"/>
        <w:rPr>
          <w:rFonts w:ascii="宋体" w:hAnsi="宋体"/>
          <w:szCs w:val="21"/>
        </w:rPr>
      </w:pPr>
      <w:r>
        <w:rPr>
          <w:rFonts w:hint="eastAsia" w:ascii="宋体" w:hAnsi="宋体"/>
          <w:szCs w:val="21"/>
        </w:rPr>
        <w:t>（3）本合同执行中共同签署的补充与修正文件。</w:t>
      </w:r>
    </w:p>
    <w:p>
      <w:pPr>
        <w:ind w:firstLine="420" w:firstLineChars="200"/>
        <w:rPr>
          <w:rFonts w:ascii="宋体" w:hAnsi="宋体"/>
          <w:szCs w:val="21"/>
        </w:rPr>
      </w:pPr>
      <w:r>
        <w:rPr>
          <w:rFonts w:hint="eastAsia" w:ascii="宋体" w:hAnsi="宋体"/>
          <w:szCs w:val="21"/>
        </w:rPr>
        <w:t>本合同一式份，甲、乙方双方各执</w:t>
      </w:r>
      <w:r>
        <w:rPr>
          <w:rFonts w:hint="eastAsia" w:ascii="宋体" w:hAnsi="宋体"/>
          <w:szCs w:val="21"/>
          <w:lang w:val="en-US" w:eastAsia="zh-CN"/>
        </w:rPr>
        <w:t xml:space="preserve">  </w:t>
      </w:r>
      <w:r>
        <w:rPr>
          <w:rFonts w:hint="eastAsia" w:ascii="宋体" w:hAnsi="宋体"/>
          <w:szCs w:val="21"/>
        </w:rPr>
        <w:t>份，具有同等法律效力。本合同自双方法人代表签字（盖章）认可之日起生效。</w:t>
      </w:r>
    </w:p>
    <w:p>
      <w:pPr>
        <w:ind w:firstLine="420" w:firstLineChars="200"/>
        <w:rPr>
          <w:rFonts w:ascii="宋体" w:hAnsi="宋体"/>
          <w:szCs w:val="21"/>
        </w:rPr>
      </w:pPr>
      <w:r>
        <w:rPr>
          <w:rFonts w:hint="eastAsia" w:ascii="宋体" w:hAnsi="宋体"/>
          <w:szCs w:val="21"/>
        </w:rPr>
        <w:t>本合同未尽事宜，双方友好协商，达成解决方案，经双方签字后，可作为本合同的有效附件。</w:t>
      </w:r>
    </w:p>
    <w:p>
      <w:pPr>
        <w:ind w:firstLine="420" w:firstLineChars="200"/>
        <w:rPr>
          <w:rFonts w:ascii="宋体" w:hAnsi="宋体"/>
          <w:szCs w:val="21"/>
        </w:rPr>
      </w:pPr>
    </w:p>
    <w:p>
      <w:pPr>
        <w:ind w:firstLine="420" w:firstLineChars="200"/>
        <w:rPr>
          <w:rFonts w:ascii="宋体" w:hAnsi="宋体"/>
          <w:szCs w:val="21"/>
        </w:rPr>
      </w:pPr>
    </w:p>
    <w:p>
      <w:pPr>
        <w:spacing w:line="360" w:lineRule="auto"/>
        <w:ind w:firstLine="560"/>
        <w:jc w:val="left"/>
        <w:rPr>
          <w:rFonts w:ascii="宋体" w:hAnsi="宋体"/>
          <w:szCs w:val="21"/>
        </w:rPr>
      </w:pPr>
      <w:r>
        <w:rPr>
          <w:rFonts w:hint="eastAsia" w:ascii="宋体" w:hAnsi="宋体"/>
          <w:szCs w:val="21"/>
        </w:rPr>
        <w:t>甲方（采购人）：   （盖章）       乙方（供应商）：    （盖章）</w:t>
      </w:r>
    </w:p>
    <w:p>
      <w:pPr>
        <w:spacing w:line="360" w:lineRule="auto"/>
        <w:ind w:firstLine="560"/>
        <w:jc w:val="left"/>
        <w:rPr>
          <w:rFonts w:ascii="宋体" w:hAnsi="宋体"/>
          <w:szCs w:val="21"/>
        </w:rPr>
      </w:pPr>
      <w:r>
        <w:rPr>
          <w:rFonts w:hint="eastAsia" w:ascii="宋体" w:hAnsi="宋体"/>
          <w:szCs w:val="21"/>
        </w:rPr>
        <w:t xml:space="preserve">法定代表人：                     法定代表人： </w:t>
      </w:r>
    </w:p>
    <w:p>
      <w:pPr>
        <w:spacing w:line="360" w:lineRule="auto"/>
        <w:ind w:firstLine="560"/>
        <w:jc w:val="left"/>
        <w:rPr>
          <w:rFonts w:hint="eastAsia" w:ascii="宋体" w:hAnsi="宋体"/>
          <w:szCs w:val="21"/>
        </w:rPr>
      </w:pPr>
      <w:r>
        <w:rPr>
          <w:rFonts w:hint="eastAsia" w:ascii="宋体" w:hAnsi="宋体"/>
          <w:szCs w:val="21"/>
        </w:rPr>
        <w:t>委托代理人：                     委托代理人：</w:t>
      </w:r>
    </w:p>
    <w:p>
      <w:pPr>
        <w:spacing w:line="360" w:lineRule="auto"/>
        <w:ind w:firstLine="560" w:firstLineChars="0"/>
        <w:jc w:val="left"/>
        <w:rPr>
          <w:rFonts w:ascii="宋体" w:hAnsi="宋体"/>
          <w:szCs w:val="21"/>
        </w:rPr>
      </w:pPr>
      <w:r>
        <w:rPr>
          <w:rFonts w:hint="eastAsia" w:ascii="宋体" w:hAnsi="宋体"/>
          <w:szCs w:val="21"/>
        </w:rPr>
        <w:t>日期：   年     月    日         日期：   年     月    日</w:t>
      </w:r>
    </w:p>
    <w:p>
      <w:pPr>
        <w:widowControl/>
        <w:jc w:val="left"/>
        <w:rPr>
          <w:rFonts w:ascii="宋体" w:hAnsi="宋体" w:eastAsia="黑体" w:cs="Times New Roman"/>
          <w:b/>
          <w:bCs/>
          <w:color w:val="0000FF"/>
          <w:kern w:val="44"/>
          <w:sz w:val="36"/>
          <w:szCs w:val="44"/>
        </w:rPr>
      </w:pPr>
      <w:r>
        <w:rPr>
          <w:rFonts w:ascii="宋体" w:hAnsi="宋体" w:eastAsia="黑体" w:cs="Times New Roman"/>
          <w:b/>
          <w:bCs/>
          <w:color w:val="0000FF"/>
          <w:kern w:val="44"/>
          <w:sz w:val="36"/>
          <w:szCs w:val="44"/>
        </w:rPr>
        <w:br w:type="page"/>
      </w:r>
    </w:p>
    <w:p>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7"/>
        <w:keepNext/>
        <w:keepLines/>
        <w:numPr>
          <w:ilvl w:val="0"/>
          <w:numId w:val="107"/>
        </w:numPr>
        <w:tabs>
          <w:tab w:val="left" w:pos="720"/>
        </w:tabs>
        <w:adjustRightInd w:val="0"/>
        <w:spacing w:before="156" w:beforeLines="50" w:after="156" w:afterLines="50" w:line="240" w:lineRule="auto"/>
        <w:ind w:firstLineChars="0"/>
        <w:jc w:val="center"/>
        <w:textAlignment w:val="baseline"/>
        <w:outlineLvl w:val="1"/>
        <w:rPr>
          <w:rFonts w:asciiTheme="majorHAnsi" w:hAnsiTheme="majorHAnsi" w:eastAsiaTheme="majorEastAsia" w:cstheme="majorBidi"/>
          <w:b/>
          <w:bCs/>
          <w:sz w:val="28"/>
          <w:szCs w:val="28"/>
        </w:rPr>
      </w:pPr>
      <w:bookmarkStart w:id="59" w:name="_Hlk72399513"/>
      <w:r>
        <w:rPr>
          <w:rFonts w:hint="eastAsia" w:asciiTheme="majorHAnsi" w:hAnsiTheme="majorHAnsi" w:eastAsiaTheme="majorEastAsia" w:cstheme="majorBidi"/>
          <w:b/>
          <w:bCs/>
          <w:sz w:val="28"/>
          <w:szCs w:val="28"/>
        </w:rPr>
        <w:t>总则</w:t>
      </w:r>
    </w:p>
    <w:bookmarkEnd w:id="59"/>
    <w:p>
      <w:pPr>
        <w:spacing w:line="240" w:lineRule="auto"/>
        <w:rPr>
          <w:rFonts w:ascii="黑体" w:hAnsi="宋体" w:eastAsia="黑体"/>
          <w:sz w:val="24"/>
        </w:rPr>
      </w:pPr>
      <w:bookmarkStart w:id="60" w:name="_Hlk72439706"/>
      <w:r>
        <w:rPr>
          <w:rFonts w:hint="eastAsia" w:ascii="黑体" w:hAnsi="宋体" w:eastAsia="黑体"/>
          <w:sz w:val="24"/>
        </w:rPr>
        <w:t>1. 通用条款说明</w:t>
      </w:r>
    </w:p>
    <w:p>
      <w:pPr>
        <w:spacing w:line="240" w:lineRule="auto"/>
        <w:ind w:firstLine="411" w:firstLineChars="196"/>
        <w:rPr>
          <w:rFonts w:ascii="宋体" w:hAnsi="宋体"/>
          <w:szCs w:val="21"/>
        </w:rPr>
      </w:pPr>
      <w:r>
        <w:rPr>
          <w:rFonts w:hint="eastAsia" w:ascii="宋体" w:hAnsi="宋体"/>
          <w:szCs w:val="21"/>
        </w:rPr>
        <w:t>1.1政府集中采购机构发出招标文件通用条款版本，列出深圳市政府采购项目进行招标采购所适用的通用条款内容。</w:t>
      </w:r>
      <w:bookmarkStart w:id="61" w:name="_Hlk72399729"/>
      <w:r>
        <w:rPr>
          <w:rFonts w:hint="eastAsia" w:ascii="宋体" w:hAnsi="宋体"/>
          <w:szCs w:val="21"/>
        </w:rPr>
        <w:t>如有需要，政府集中采购机构可以对通用条款的内容进行补充。</w:t>
      </w:r>
      <w:bookmarkEnd w:id="61"/>
    </w:p>
    <w:p>
      <w:pPr>
        <w:spacing w:line="240" w:lineRule="auto"/>
        <w:ind w:firstLine="411" w:firstLineChars="196"/>
        <w:rPr>
          <w:rFonts w:ascii="宋体" w:hAnsi="宋体"/>
          <w:szCs w:val="21"/>
        </w:rPr>
      </w:pPr>
      <w:r>
        <w:rPr>
          <w:rFonts w:hint="eastAsia" w:ascii="宋体" w:hAnsi="宋体"/>
          <w:szCs w:val="21"/>
        </w:rPr>
        <w:t>1.2招标文件分为第一册“专用条款”和第二册“通用条款”。</w:t>
      </w:r>
    </w:p>
    <w:p>
      <w:pPr>
        <w:spacing w:line="240" w:lineRule="auto"/>
        <w:ind w:firstLine="411" w:firstLineChars="196"/>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spacing w:line="240" w:lineRule="auto"/>
        <w:ind w:firstLine="411" w:firstLineChars="196"/>
        <w:rPr>
          <w:rFonts w:ascii="宋体" w:hAnsi="宋体"/>
          <w:szCs w:val="21"/>
        </w:rPr>
      </w:pPr>
      <w:r>
        <w:rPr>
          <w:rFonts w:hint="eastAsia" w:ascii="宋体" w:hAnsi="宋体"/>
          <w:szCs w:val="21"/>
        </w:rPr>
        <w:t>1.4“通用条款”是适用于政府采购公开招标项目的基础性条款，具有普遍性和通用性。</w:t>
      </w:r>
    </w:p>
    <w:p>
      <w:pPr>
        <w:spacing w:line="240" w:lineRule="auto"/>
        <w:ind w:firstLine="411" w:firstLineChars="196"/>
        <w:rPr>
          <w:rFonts w:ascii="宋体" w:hAnsi="宋体"/>
          <w:szCs w:val="21"/>
        </w:rPr>
      </w:pPr>
      <w:r>
        <w:rPr>
          <w:rFonts w:hint="eastAsia" w:ascii="宋体" w:hAnsi="宋体"/>
          <w:szCs w:val="21"/>
        </w:rPr>
        <w:t>1.5 “专用条款”和“通用条款”表述不一致或有冲突时，以“专用条款”为准。</w:t>
      </w:r>
    </w:p>
    <w:p>
      <w:pPr>
        <w:spacing w:line="240" w:lineRule="auto"/>
        <w:rPr>
          <w:rFonts w:ascii="黑体" w:hAnsi="宋体" w:eastAsia="黑体"/>
          <w:sz w:val="24"/>
        </w:rPr>
      </w:pPr>
      <w:r>
        <w:rPr>
          <w:rFonts w:hint="eastAsia" w:ascii="黑体" w:hAnsi="宋体" w:eastAsia="黑体"/>
          <w:sz w:val="24"/>
        </w:rPr>
        <w:t>2</w:t>
      </w:r>
      <w:r>
        <w:rPr>
          <w:rFonts w:ascii="黑体" w:hAnsi="宋体" w:eastAsia="黑体"/>
          <w:sz w:val="24"/>
        </w:rPr>
        <w:t>．</w:t>
      </w:r>
      <w:r>
        <w:rPr>
          <w:rFonts w:hint="eastAsia" w:ascii="黑体" w:hAnsi="宋体" w:eastAsia="黑体"/>
          <w:sz w:val="24"/>
        </w:rPr>
        <w:t>招标说明</w:t>
      </w:r>
    </w:p>
    <w:p>
      <w:pPr>
        <w:spacing w:line="240" w:lineRule="auto"/>
        <w:ind w:firstLine="411" w:firstLineChars="196"/>
        <w:rPr>
          <w:rFonts w:ascii="宋体" w:hAnsi="宋体"/>
          <w:szCs w:val="21"/>
        </w:rPr>
      </w:pPr>
      <w:r>
        <w:rPr>
          <w:rFonts w:hint="eastAsia" w:ascii="宋体" w:hAnsi="宋体"/>
          <w:szCs w:val="21"/>
        </w:rPr>
        <w:t>本项目参照《深圳经济特区政府采购条例</w:t>
      </w:r>
      <w:r>
        <w:rPr>
          <w:rFonts w:hint="eastAsia" w:ascii="宋体" w:hAnsi="宋体"/>
          <w:szCs w:val="21"/>
          <w:lang w:eastAsia="zh-CN"/>
        </w:rPr>
        <w:t>》《</w:t>
      </w:r>
      <w:r>
        <w:rPr>
          <w:rFonts w:hint="eastAsia" w:ascii="宋体" w:hAnsi="宋体"/>
          <w:szCs w:val="21"/>
        </w:rPr>
        <w:t>深圳经济特区政府采购条例实施细则》及政府采购其他法律法规，通过公开招标方式确定中标供应商。</w:t>
      </w:r>
    </w:p>
    <w:p>
      <w:pPr>
        <w:spacing w:line="240" w:lineRule="auto"/>
        <w:rPr>
          <w:rFonts w:ascii="黑体" w:hAnsi="宋体" w:eastAsia="黑体"/>
          <w:sz w:val="24"/>
        </w:rPr>
      </w:pPr>
      <w:r>
        <w:rPr>
          <w:rFonts w:hint="eastAsia" w:ascii="黑体" w:hAnsi="宋体" w:eastAsia="黑体"/>
          <w:sz w:val="24"/>
        </w:rPr>
        <w:t>3．定义</w:t>
      </w:r>
    </w:p>
    <w:p>
      <w:pPr>
        <w:spacing w:line="240" w:lineRule="auto"/>
        <w:ind w:firstLine="420" w:firstLineChars="200"/>
        <w:rPr>
          <w:rFonts w:ascii="宋体" w:hAnsi="宋体"/>
          <w:szCs w:val="21"/>
        </w:rPr>
      </w:pPr>
      <w:r>
        <w:rPr>
          <w:rFonts w:ascii="宋体" w:hAnsi="宋体"/>
          <w:szCs w:val="21"/>
        </w:rPr>
        <w:t>招标文件中下列术语应解释为：</w:t>
      </w:r>
    </w:p>
    <w:p>
      <w:pPr>
        <w:spacing w:line="240" w:lineRule="auto"/>
        <w:ind w:firstLine="411" w:firstLineChars="196"/>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“采购人”：指利用财政性资金依法进行政府采购的国家机关、事业单位、团体组织；</w:t>
      </w:r>
      <w:r>
        <w:rPr>
          <w:rFonts w:ascii="宋体" w:hAnsi="宋体"/>
          <w:szCs w:val="21"/>
        </w:rPr>
        <w:t xml:space="preserve"> </w:t>
      </w:r>
    </w:p>
    <w:p>
      <w:pPr>
        <w:spacing w:line="240" w:lineRule="auto"/>
        <w:ind w:firstLine="411" w:firstLineChars="196"/>
        <w:rPr>
          <w:rFonts w:ascii="宋体" w:hAnsi="宋体"/>
          <w:szCs w:val="21"/>
        </w:rPr>
      </w:pPr>
      <w:r>
        <w:rPr>
          <w:rFonts w:hint="eastAsia" w:ascii="宋体" w:hAnsi="宋体"/>
          <w:szCs w:val="21"/>
        </w:rPr>
        <w:t>3.2 “政府集中采购机构”</w:t>
      </w:r>
      <w:r>
        <w:rPr>
          <w:rFonts w:hint="eastAsia" w:ascii="Arial" w:hAnsi="Arial" w:cs="Arial"/>
          <w:szCs w:val="21"/>
          <w:shd w:val="clear" w:color="auto" w:fill="FFFFFF"/>
        </w:rPr>
        <w:t>是指市政府设立的，组织实施政府采购项目，并对政府采购活动提供服务的专门机构；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spacing w:line="240" w:lineRule="auto"/>
        <w:ind w:firstLine="411" w:firstLineChars="196"/>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spacing w:line="240" w:lineRule="auto"/>
        <w:ind w:firstLine="411" w:firstLineChars="196"/>
        <w:rPr>
          <w:rFonts w:ascii="宋体" w:hAnsi="宋体"/>
          <w:szCs w:val="21"/>
        </w:rPr>
      </w:pPr>
      <w:r>
        <w:rPr>
          <w:rFonts w:hint="eastAsia" w:ascii="宋体" w:hAnsi="宋体"/>
          <w:szCs w:val="21"/>
        </w:rPr>
        <w:t>3.4“评审委员会”是依据《深圳经济特区政府采购条例</w:t>
      </w:r>
      <w:r>
        <w:rPr>
          <w:rFonts w:hint="eastAsia" w:ascii="宋体" w:hAnsi="宋体"/>
          <w:szCs w:val="21"/>
          <w:lang w:eastAsia="zh-CN"/>
        </w:rPr>
        <w:t>》《</w:t>
      </w:r>
      <w:r>
        <w:rPr>
          <w:rFonts w:hint="eastAsia" w:ascii="宋体" w:hAnsi="宋体"/>
          <w:szCs w:val="21"/>
        </w:rPr>
        <w:t>深圳经济特区政府采购条例实施细则》等有关规定组建的专门负责本次招标其评审工作的临时性机构；</w:t>
      </w:r>
    </w:p>
    <w:p>
      <w:pPr>
        <w:spacing w:line="240" w:lineRule="auto"/>
        <w:ind w:firstLine="411" w:firstLineChars="196"/>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spacing w:line="240" w:lineRule="auto"/>
        <w:ind w:firstLine="411" w:firstLineChars="196"/>
        <w:rPr>
          <w:rFonts w:ascii="宋体" w:hAnsi="宋体"/>
          <w:szCs w:val="21"/>
        </w:rPr>
      </w:pPr>
      <w:r>
        <w:rPr>
          <w:rFonts w:hint="eastAsia" w:ascii="宋体" w:hAnsi="宋体"/>
          <w:szCs w:val="21"/>
        </w:rPr>
        <w:t>3.6“合同”指由本次招标所产生的合同或合约文件；</w:t>
      </w:r>
    </w:p>
    <w:p>
      <w:pPr>
        <w:spacing w:line="240" w:lineRule="auto"/>
        <w:ind w:firstLine="411" w:firstLineChars="196"/>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深圳公共资源交易中心（深圳交易集团有限公司龙华分公司）</w:t>
      </w:r>
      <w:r>
        <w:rPr>
          <w:rFonts w:hint="eastAsia" w:ascii="宋体" w:hAnsi="宋体"/>
          <w:szCs w:val="21"/>
        </w:rPr>
        <w:t>网站提供的深圳智慧采购平台投标文件制作专用软件（以下简称：投标文件制作软件）制作并加密的投标文件</w:t>
      </w:r>
      <w:r>
        <w:rPr>
          <w:rFonts w:hint="eastAsia" w:ascii="宋体" w:hAnsi="宋体"/>
          <w:szCs w:val="21"/>
          <w:lang w:eastAsia="zh-CN"/>
        </w:rPr>
        <w:t>，</w:t>
      </w:r>
      <w:r>
        <w:rPr>
          <w:rFonts w:hint="eastAsia" w:ascii="宋体" w:hAnsi="宋体"/>
          <w:szCs w:val="21"/>
        </w:rPr>
        <w:t>适用于网上投标；（投标文件制作软件可从“下载地址：http://zfcg.szggzy.com:8081/cgxy/013002/20210923/173e0b2c-7a4c-4246-a0c7-e0ea75d84dd6.html深圳智慧采购平台投标文件制作专用软件.zip”下载）</w:t>
      </w:r>
    </w:p>
    <w:p>
      <w:pPr>
        <w:spacing w:line="240" w:lineRule="auto"/>
        <w:ind w:firstLine="411" w:firstLineChars="196"/>
        <w:rPr>
          <w:rFonts w:ascii="宋体" w:hAnsi="宋体"/>
          <w:szCs w:val="21"/>
        </w:rPr>
      </w:pPr>
      <w:r>
        <w:rPr>
          <w:rFonts w:hint="eastAsia" w:ascii="宋体" w:hAnsi="宋体"/>
          <w:szCs w:val="21"/>
        </w:rPr>
        <w:t>3.8“网上投标”指通过</w:t>
      </w:r>
      <w:r>
        <w:rPr>
          <w:rFonts w:hint="eastAsia" w:ascii="宋体" w:hAnsi="宋体"/>
          <w:b/>
          <w:bCs/>
          <w:color w:val="FF0000"/>
          <w:szCs w:val="21"/>
        </w:rPr>
        <w:t>深圳公共资源交易中心（深圳交易集团有限公司龙华分公司）</w:t>
      </w:r>
      <w:r>
        <w:rPr>
          <w:rFonts w:hint="eastAsia" w:ascii="宋体" w:hAnsi="宋体"/>
          <w:szCs w:val="21"/>
        </w:rPr>
        <w:t>网站上传电子投标文件；</w:t>
      </w:r>
    </w:p>
    <w:p>
      <w:pPr>
        <w:spacing w:line="240" w:lineRule="auto"/>
        <w:ind w:firstLine="411" w:firstLineChars="196"/>
        <w:rPr>
          <w:rFonts w:ascii="宋体" w:hAnsi="宋体"/>
          <w:szCs w:val="21"/>
        </w:rPr>
      </w:pPr>
      <w:r>
        <w:rPr>
          <w:rFonts w:hint="eastAsia" w:ascii="宋体" w:hAnsi="宋体"/>
          <w:szCs w:val="21"/>
        </w:rPr>
        <w:t>3.9招标文件中的标题或题名仅起引导作用，而不应视为对招标文件内容的理解和解释。</w:t>
      </w:r>
    </w:p>
    <w:p>
      <w:pPr>
        <w:spacing w:line="240" w:lineRule="auto"/>
        <w:rPr>
          <w:rFonts w:ascii="黑体" w:hAnsi="宋体" w:eastAsia="黑体"/>
          <w:sz w:val="24"/>
        </w:rPr>
      </w:pPr>
      <w:r>
        <w:rPr>
          <w:rFonts w:hint="eastAsia" w:ascii="黑体" w:hAnsi="宋体" w:eastAsia="黑体"/>
          <w:sz w:val="24"/>
        </w:rPr>
        <w:t xml:space="preserve">4. </w:t>
      </w:r>
      <w:bookmarkStart w:id="62" w:name="_Hlk72398643"/>
      <w:r>
        <w:rPr>
          <w:rFonts w:hint="eastAsia" w:ascii="黑体" w:hAnsi="宋体" w:eastAsia="黑体"/>
          <w:sz w:val="24"/>
        </w:rPr>
        <w:t>政府采购供应商责任</w:t>
      </w:r>
    </w:p>
    <w:p>
      <w:pPr>
        <w:spacing w:line="240" w:lineRule="auto"/>
        <w:ind w:firstLine="411" w:firstLineChars="196"/>
        <w:rPr>
          <w:rFonts w:ascii="宋体" w:hAnsi="宋体"/>
          <w:szCs w:val="21"/>
        </w:rPr>
      </w:pPr>
      <w:r>
        <w:rPr>
          <w:rFonts w:hint="eastAsia" w:ascii="宋体" w:hAnsi="宋体"/>
          <w:szCs w:val="21"/>
        </w:rPr>
        <w:t>4.1欢迎诚信、有实力和有社会责任心的供应商参与政府采购事业。</w:t>
      </w:r>
    </w:p>
    <w:p>
      <w:pPr>
        <w:spacing w:line="240" w:lineRule="auto"/>
        <w:ind w:firstLine="411" w:firstLineChars="196"/>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spacing w:line="240" w:lineRule="auto"/>
        <w:rPr>
          <w:rFonts w:ascii="黑体" w:hAnsi="宋体" w:eastAsia="黑体"/>
          <w:sz w:val="24"/>
        </w:rPr>
      </w:pPr>
      <w:r>
        <w:rPr>
          <w:rFonts w:hint="eastAsia" w:ascii="黑体" w:hAnsi="宋体" w:eastAsia="黑体"/>
          <w:sz w:val="24"/>
        </w:rPr>
        <w:t>5．投标人参加政府采购的条件</w:t>
      </w:r>
    </w:p>
    <w:p>
      <w:pPr>
        <w:spacing w:line="240" w:lineRule="auto"/>
        <w:ind w:firstLine="411" w:firstLineChars="196"/>
        <w:jc w:val="left"/>
        <w:rPr>
          <w:rFonts w:ascii="宋体" w:hAnsi="宋体"/>
          <w:szCs w:val="21"/>
        </w:rPr>
      </w:pPr>
      <w:r>
        <w:rPr>
          <w:rFonts w:hint="eastAsia" w:ascii="宋体" w:hAnsi="宋体"/>
          <w:szCs w:val="21"/>
        </w:rPr>
        <w:t>5.1投标人应在投标前到</w:t>
      </w:r>
      <w:r>
        <w:rPr>
          <w:rFonts w:hint="eastAsia" w:ascii="宋体" w:hAnsi="宋体"/>
          <w:b/>
          <w:bCs/>
          <w:szCs w:val="21"/>
        </w:rPr>
        <w:t>深圳公共资源交易中心（具体在深圳交易集团有限公司政府采购业务分公司进行办理）</w:t>
      </w:r>
      <w:r>
        <w:rPr>
          <w:rFonts w:hint="eastAsia" w:ascii="宋体" w:hAnsi="宋体"/>
          <w:szCs w:val="21"/>
        </w:rPr>
        <w:t>进行注册并办理电子密钥。《供应商注册及信息变更指引》详见www.szggzy.com网站“交易服务指南-政府采购”。</w:t>
      </w:r>
    </w:p>
    <w:p>
      <w:pPr>
        <w:spacing w:line="240" w:lineRule="auto"/>
        <w:ind w:firstLine="411" w:firstLineChars="196"/>
        <w:rPr>
          <w:rFonts w:ascii="宋体" w:hAnsi="宋体"/>
          <w:szCs w:val="21"/>
        </w:rPr>
      </w:pPr>
      <w:r>
        <w:rPr>
          <w:rFonts w:hint="eastAsia" w:ascii="宋体" w:hAnsi="宋体"/>
          <w:szCs w:val="21"/>
        </w:rPr>
        <w:t>5.2投标人资格要求</w:t>
      </w:r>
    </w:p>
    <w:p>
      <w:pPr>
        <w:spacing w:line="240" w:lineRule="auto"/>
        <w:ind w:firstLine="411" w:firstLineChars="196"/>
        <w:rPr>
          <w:rFonts w:ascii="宋体" w:hAnsi="宋体"/>
          <w:szCs w:val="21"/>
        </w:rPr>
      </w:pPr>
      <w:r>
        <w:rPr>
          <w:rFonts w:hint="eastAsia" w:ascii="宋体" w:hAnsi="宋体"/>
          <w:szCs w:val="21"/>
        </w:rPr>
        <w:t>参加本项目的投标人应具备的资格条件详见本项目招标公告中 “投标人资格要求”（即申请人的资格要求）的内容。</w:t>
      </w:r>
    </w:p>
    <w:p>
      <w:pPr>
        <w:spacing w:line="240" w:lineRule="auto"/>
        <w:ind w:firstLine="411" w:firstLineChars="196"/>
        <w:rPr>
          <w:rFonts w:ascii="宋体" w:hAnsi="宋体"/>
          <w:szCs w:val="21"/>
        </w:rPr>
      </w:pPr>
      <w:r>
        <w:rPr>
          <w:rFonts w:hint="eastAsia" w:ascii="宋体" w:hAnsi="宋体"/>
          <w:szCs w:val="21"/>
        </w:rPr>
        <w:t>5.3联合体投标</w:t>
      </w:r>
    </w:p>
    <w:p>
      <w:pPr>
        <w:spacing w:line="240" w:lineRule="auto"/>
        <w:ind w:firstLine="411" w:firstLineChars="196"/>
        <w:rPr>
          <w:rFonts w:ascii="宋体" w:hAnsi="宋体"/>
          <w:szCs w:val="21"/>
        </w:rPr>
      </w:pPr>
      <w:r>
        <w:rPr>
          <w:rFonts w:hint="eastAsia" w:ascii="宋体" w:hAnsi="宋体"/>
          <w:szCs w:val="21"/>
        </w:rPr>
        <w:t>5.3.1　以下有关联合体投标的条款仅适用于允许投标人组成联合体投标的项目。</w:t>
      </w:r>
    </w:p>
    <w:p>
      <w:pPr>
        <w:spacing w:line="240" w:lineRule="auto"/>
        <w:ind w:firstLine="411" w:firstLineChars="196"/>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spacing w:line="240" w:lineRule="auto"/>
        <w:ind w:firstLine="411" w:firstLineChars="196"/>
        <w:rPr>
          <w:rFonts w:ascii="宋体" w:hAnsi="宋体"/>
        </w:rPr>
      </w:pPr>
      <w:r>
        <w:rPr>
          <w:rFonts w:hint="eastAsia" w:ascii="宋体" w:hAnsi="宋体"/>
        </w:rPr>
        <w:t>（1）投标联合体各方参加政府采购活动应当具备下列条件：</w:t>
      </w:r>
      <w:r>
        <w:rPr>
          <w:rFonts w:ascii="宋体" w:hAnsi="宋体"/>
        </w:rPr>
        <w:t xml:space="preserve"> </w:t>
      </w:r>
    </w:p>
    <w:p>
      <w:pPr>
        <w:spacing w:line="240" w:lineRule="auto"/>
        <w:ind w:left="420" w:leftChars="200" w:firstLine="411" w:firstLineChars="196"/>
        <w:rPr>
          <w:rFonts w:ascii="宋体" w:hAnsi="宋体"/>
        </w:rPr>
      </w:pPr>
      <w:r>
        <w:rPr>
          <w:rFonts w:hint="eastAsia" w:ascii="宋体" w:hAnsi="宋体"/>
        </w:rPr>
        <w:t>1、具有独立承担民事责任的能力；</w:t>
      </w:r>
      <w:r>
        <w:rPr>
          <w:rFonts w:ascii="宋体" w:hAnsi="宋体"/>
        </w:rPr>
        <w:t xml:space="preserve"> </w:t>
      </w:r>
    </w:p>
    <w:p>
      <w:pPr>
        <w:spacing w:line="240" w:lineRule="auto"/>
        <w:ind w:left="420" w:firstLine="411" w:firstLineChars="196"/>
        <w:rPr>
          <w:rFonts w:ascii="宋体" w:hAnsi="宋体"/>
        </w:rPr>
      </w:pPr>
      <w:r>
        <w:rPr>
          <w:rFonts w:hint="eastAsia" w:ascii="宋体" w:hAnsi="宋体"/>
        </w:rPr>
        <w:t>2、有良好的商业信誉和健全的财务会计制度；</w:t>
      </w:r>
      <w:r>
        <w:rPr>
          <w:rFonts w:ascii="宋体" w:hAnsi="宋体"/>
        </w:rPr>
        <w:t xml:space="preserve"> </w:t>
      </w:r>
    </w:p>
    <w:p>
      <w:pPr>
        <w:spacing w:line="240" w:lineRule="auto"/>
        <w:ind w:left="420" w:leftChars="200" w:firstLine="411" w:firstLineChars="196"/>
        <w:rPr>
          <w:rFonts w:ascii="宋体" w:hAnsi="宋体"/>
        </w:rPr>
      </w:pPr>
      <w:r>
        <w:rPr>
          <w:rFonts w:hint="eastAsia" w:ascii="宋体" w:hAnsi="宋体"/>
        </w:rPr>
        <w:t>3、具有履行合同所必需的设备和专业技术能力；</w:t>
      </w:r>
      <w:r>
        <w:rPr>
          <w:rFonts w:ascii="宋体" w:hAnsi="宋体"/>
        </w:rPr>
        <w:t xml:space="preserve"> </w:t>
      </w:r>
    </w:p>
    <w:p>
      <w:pPr>
        <w:spacing w:line="240" w:lineRule="auto"/>
        <w:ind w:left="420" w:leftChars="200" w:firstLine="411" w:firstLineChars="196"/>
        <w:rPr>
          <w:rFonts w:ascii="宋体" w:hAnsi="宋体"/>
        </w:rPr>
      </w:pPr>
      <w:r>
        <w:rPr>
          <w:rFonts w:hint="eastAsia" w:ascii="宋体" w:hAnsi="宋体"/>
        </w:rPr>
        <w:t>4、有依法缴纳税收和社会保障资金的良好记录；</w:t>
      </w:r>
      <w:r>
        <w:rPr>
          <w:rFonts w:ascii="宋体" w:hAnsi="宋体"/>
        </w:rPr>
        <w:t xml:space="preserve"> </w:t>
      </w:r>
    </w:p>
    <w:p>
      <w:pPr>
        <w:spacing w:line="240" w:lineRule="auto"/>
        <w:ind w:left="420" w:leftChars="200" w:firstLine="411" w:firstLineChars="196"/>
        <w:rPr>
          <w:rFonts w:ascii="宋体" w:hAnsi="宋体"/>
        </w:rPr>
      </w:pPr>
      <w:r>
        <w:rPr>
          <w:rFonts w:hint="eastAsia" w:ascii="宋体" w:hAnsi="宋体"/>
        </w:rPr>
        <w:t>5、参加政府采购活动前三年内，在经营活动中没有重大违法记录；</w:t>
      </w:r>
      <w:r>
        <w:rPr>
          <w:rFonts w:ascii="宋体" w:hAnsi="宋体"/>
        </w:rPr>
        <w:t xml:space="preserve"> </w:t>
      </w:r>
    </w:p>
    <w:p>
      <w:pPr>
        <w:spacing w:line="240" w:lineRule="auto"/>
        <w:ind w:left="420" w:leftChars="200" w:firstLine="411" w:firstLineChars="196"/>
        <w:rPr>
          <w:rFonts w:ascii="宋体" w:hAnsi="宋体"/>
        </w:rPr>
      </w:pPr>
      <w:r>
        <w:rPr>
          <w:rFonts w:hint="eastAsia" w:ascii="宋体" w:hAnsi="宋体"/>
        </w:rPr>
        <w:t>6、法律、行政法规规定的其他条件。</w:t>
      </w:r>
      <w:r>
        <w:rPr>
          <w:rFonts w:ascii="宋体" w:hAnsi="宋体"/>
        </w:rPr>
        <w:t xml:space="preserve"> </w:t>
      </w:r>
    </w:p>
    <w:p>
      <w:pPr>
        <w:spacing w:line="240" w:lineRule="auto"/>
        <w:ind w:firstLine="411" w:firstLineChars="196"/>
        <w:rPr>
          <w:rFonts w:ascii="宋体" w:hAnsi="宋体"/>
        </w:rPr>
      </w:pPr>
      <w:r>
        <w:rPr>
          <w:rFonts w:hint="eastAsia" w:ascii="宋体" w:hAnsi="宋体"/>
        </w:rPr>
        <w:t>（2）在投标截止前，投标联合体各方均应注册成政府采购供应商；</w:t>
      </w:r>
    </w:p>
    <w:p>
      <w:pPr>
        <w:spacing w:line="240" w:lineRule="auto"/>
        <w:ind w:firstLine="411" w:firstLineChars="196"/>
        <w:rPr>
          <w:rFonts w:ascii="宋体" w:hAnsi="宋体"/>
        </w:rPr>
      </w:pPr>
      <w:r>
        <w:rPr>
          <w:rFonts w:hint="eastAsia" w:ascii="宋体" w:hAnsi="宋体"/>
        </w:rPr>
        <w:t>（3）联合体中有同类资质的供应商按照联合体分工承担相同工作的，应当按照资质等级较低的供应商确定资质等级；</w:t>
      </w:r>
    </w:p>
    <w:p>
      <w:pPr>
        <w:spacing w:line="240" w:lineRule="auto"/>
        <w:ind w:firstLine="411" w:firstLineChars="196"/>
      </w:pPr>
      <w:r>
        <w:rPr>
          <w:rFonts w:hint="eastAsia"/>
        </w:rPr>
        <w:t>（4）是否允许联合体参加投标，应当由采购人和采购代理机构根据项目的实际情况和潜在供应商的数量自主决定，如果决定接受联合体投标则应当在招标公告中明示；</w:t>
      </w:r>
    </w:p>
    <w:p>
      <w:pPr>
        <w:spacing w:line="240" w:lineRule="auto"/>
        <w:ind w:firstLine="411" w:firstLineChars="196"/>
        <w:rPr>
          <w:rFonts w:ascii="宋体" w:hAnsi="宋体"/>
        </w:rPr>
      </w:pPr>
      <w:r>
        <w:rPr>
          <w:rFonts w:hint="eastAsia" w:ascii="宋体" w:hAnsi="宋体"/>
        </w:rPr>
        <w:t>（5）投标人的投标文件及中标后签署的合同协议对联合体各方均具法律约束力；</w:t>
      </w:r>
    </w:p>
    <w:p>
      <w:pPr>
        <w:spacing w:line="240" w:lineRule="auto"/>
        <w:ind w:firstLine="411" w:firstLineChars="196"/>
        <w:rPr>
          <w:rFonts w:ascii="宋体" w:hAnsi="宋体"/>
        </w:rPr>
      </w:pPr>
      <w:r>
        <w:rPr>
          <w:rFonts w:hint="eastAsia" w:ascii="宋体" w:hAnsi="宋体"/>
        </w:rPr>
        <w:t>（6）联合体各方应当签订联合体投标协议，明确约定各方拟承担的工作和责任，并将该协议随投标文件一并递交给政府集中采购机构；</w:t>
      </w:r>
    </w:p>
    <w:p>
      <w:pPr>
        <w:spacing w:line="240" w:lineRule="auto"/>
        <w:ind w:firstLine="411" w:firstLineChars="196"/>
        <w:rPr>
          <w:rFonts w:ascii="宋体" w:hAnsi="宋体"/>
        </w:rPr>
      </w:pPr>
      <w:r>
        <w:rPr>
          <w:rFonts w:hint="eastAsia" w:ascii="宋体" w:hAnsi="宋体"/>
        </w:rPr>
        <w:t>（7）联合体中标后，联合体各方应当共同与采购人签订合同，就中标项目向采购人承担连带责任；</w:t>
      </w:r>
    </w:p>
    <w:p>
      <w:pPr>
        <w:spacing w:line="240" w:lineRule="auto"/>
        <w:ind w:firstLine="411" w:firstLineChars="196"/>
        <w:rPr>
          <w:rFonts w:ascii="宋体" w:hAnsi="宋体"/>
        </w:rPr>
      </w:pPr>
      <w:r>
        <w:rPr>
          <w:rFonts w:hint="eastAsia" w:ascii="宋体" w:hAnsi="宋体"/>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pPr>
        <w:spacing w:line="240" w:lineRule="auto"/>
        <w:ind w:firstLine="411" w:firstLineChars="196"/>
        <w:rPr>
          <w:rFonts w:ascii="宋体" w:hAnsi="宋体"/>
          <w:szCs w:val="21"/>
        </w:rPr>
      </w:pPr>
      <w:r>
        <w:rPr>
          <w:rFonts w:hint="eastAsia" w:ascii="宋体" w:hAnsi="宋体"/>
        </w:rPr>
        <w:t>（9）本通用条款中“投标人”一词亦指联合体各方，专用条款另有规定或说明的除外。</w:t>
      </w:r>
    </w:p>
    <w:p>
      <w:pPr>
        <w:spacing w:line="240" w:lineRule="auto"/>
        <w:rPr>
          <w:rFonts w:ascii="黑体" w:hAnsi="宋体" w:eastAsia="黑体"/>
          <w:sz w:val="24"/>
        </w:rPr>
      </w:pPr>
      <w:r>
        <w:rPr>
          <w:rFonts w:hint="eastAsia" w:ascii="黑体" w:hAnsi="宋体" w:eastAsia="黑体"/>
          <w:sz w:val="24"/>
        </w:rPr>
        <w:t>6．政策导向</w:t>
      </w:r>
    </w:p>
    <w:p>
      <w:pPr>
        <w:spacing w:line="240" w:lineRule="auto"/>
        <w:ind w:firstLine="411" w:firstLineChars="196"/>
        <w:rPr>
          <w:rFonts w:ascii="宋体" w:hAnsi="宋体"/>
        </w:rPr>
      </w:pPr>
      <w:r>
        <w:rPr>
          <w:rFonts w:hint="eastAsia" w:ascii="宋体" w:hAnsi="宋体"/>
        </w:rPr>
        <w:t>6.1</w:t>
      </w:r>
      <w:r>
        <w:rPr>
          <w:rFonts w:ascii="宋体" w:hAnsi="宋体"/>
        </w:rPr>
        <w:t xml:space="preserve">  </w:t>
      </w:r>
      <w:r>
        <w:rPr>
          <w:rFonts w:hint="eastAsia" w:ascii="宋体" w:hAnsi="宋体"/>
        </w:rPr>
        <w:t>政府采购支持本国产品、支持中小企业、监狱企业和残疾人福利性单位发展，支持乡村产业振兴，支持创新、节能减排、绿色环保等。</w:t>
      </w:r>
    </w:p>
    <w:p>
      <w:pPr>
        <w:spacing w:line="240" w:lineRule="auto"/>
        <w:ind w:firstLine="405"/>
        <w:rPr>
          <w:rFonts w:ascii="宋体" w:hAnsi="宋体"/>
        </w:rPr>
      </w:pPr>
      <w:r>
        <w:rPr>
          <w:rFonts w:hint="eastAsia" w:ascii="宋体" w:hAnsi="宋体"/>
        </w:rPr>
        <w:t>6.2</w:t>
      </w:r>
      <w:r>
        <w:rPr>
          <w:rFonts w:ascii="宋体" w:hAnsi="宋体"/>
        </w:rPr>
        <w:t xml:space="preserve">  </w:t>
      </w:r>
      <w:r>
        <w:rPr>
          <w:rFonts w:hint="eastAsia" w:ascii="宋体" w:hAnsi="宋体"/>
        </w:rPr>
        <w:t>本项目落实深圳市政府采购供应商诚信管理政策要求。</w:t>
      </w:r>
    </w:p>
    <w:p>
      <w:pPr>
        <w:spacing w:line="240" w:lineRule="auto"/>
        <w:ind w:firstLine="405"/>
        <w:rPr>
          <w:rFonts w:eastAsia="宋体"/>
        </w:rPr>
      </w:pPr>
      <w:r>
        <w:rPr>
          <w:rFonts w:hint="eastAsia" w:ascii="宋体" w:hAnsi="宋体"/>
        </w:rPr>
        <w:t>6.3  本项目支持投标人性别平等的相关政策。</w:t>
      </w:r>
    </w:p>
    <w:p>
      <w:pPr>
        <w:spacing w:line="240" w:lineRule="auto"/>
        <w:rPr>
          <w:rFonts w:ascii="黑体" w:hAnsi="宋体" w:eastAsia="黑体"/>
          <w:sz w:val="24"/>
        </w:rPr>
      </w:pPr>
      <w:r>
        <w:rPr>
          <w:rFonts w:hint="eastAsia" w:ascii="黑体" w:hAnsi="宋体" w:eastAsia="黑体"/>
          <w:sz w:val="24"/>
        </w:rPr>
        <w:t>7. 本项目若涉及采购货物，则合格的货物及相应服务应满足以下要求：</w:t>
      </w:r>
    </w:p>
    <w:p>
      <w:pPr>
        <w:spacing w:line="240" w:lineRule="auto"/>
        <w:ind w:firstLine="411" w:firstLineChars="196"/>
        <w:rPr>
          <w:rFonts w:ascii="宋体" w:hAnsi="宋体"/>
        </w:rPr>
      </w:pPr>
      <w:r>
        <w:rPr>
          <w:rFonts w:hint="eastAsia" w:ascii="宋体" w:hAnsi="宋体"/>
        </w:rPr>
        <w:t>7</w:t>
      </w:r>
      <w:r>
        <w:rPr>
          <w:rFonts w:ascii="宋体" w:hAnsi="宋体"/>
        </w:rPr>
        <w:t xml:space="preserve">.1  </w:t>
      </w:r>
      <w:r>
        <w:rPr>
          <w:rFonts w:hint="eastAsia" w:ascii="宋体" w:hAnsi="宋体"/>
        </w:rPr>
        <w:t>必须是全新、未使用过的原装合格正品（包括零部件），如安装或配置了软件的，须为正版软件。</w:t>
      </w:r>
    </w:p>
    <w:p>
      <w:pPr>
        <w:spacing w:line="240" w:lineRule="auto"/>
        <w:ind w:firstLine="411" w:firstLineChars="196"/>
        <w:rPr>
          <w:rFonts w:ascii="宋体" w:hAnsi="宋体"/>
        </w:rPr>
      </w:pPr>
      <w:r>
        <w:rPr>
          <w:rFonts w:hint="eastAsia" w:ascii="宋体" w:hAnsi="宋体"/>
        </w:rPr>
        <w:t>7.2  国产的货物及其有关服务必须符合中华人民共和国的设计、制造生产标准及行业标准。招标公告有其他要求的，亦应符合其要求。</w:t>
      </w:r>
    </w:p>
    <w:p>
      <w:pPr>
        <w:spacing w:line="240" w:lineRule="auto"/>
        <w:ind w:firstLine="411" w:firstLineChars="196"/>
        <w:rPr>
          <w:rFonts w:ascii="宋体" w:hAnsi="宋体"/>
        </w:rPr>
      </w:pPr>
      <w:r>
        <w:rPr>
          <w:rFonts w:hint="eastAsia" w:ascii="宋体" w:hAnsi="宋体"/>
        </w:rPr>
        <w:t>7</w:t>
      </w:r>
      <w:r>
        <w:rPr>
          <w:rFonts w:ascii="宋体" w:hAnsi="宋体"/>
        </w:rPr>
        <w:t>.</w:t>
      </w:r>
      <w:r>
        <w:rPr>
          <w:rFonts w:hint="eastAsia" w:ascii="宋体" w:hAnsi="宋体"/>
        </w:rPr>
        <w:t>3</w:t>
      </w:r>
      <w:r>
        <w:rPr>
          <w:rFonts w:ascii="宋体" w:hAnsi="宋体"/>
        </w:rPr>
        <w:t xml:space="preserve">  </w:t>
      </w:r>
      <w:r>
        <w:rPr>
          <w:rFonts w:hint="eastAsia" w:ascii="宋体" w:hAnsi="宋体"/>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spacing w:line="240" w:lineRule="auto"/>
        <w:ind w:firstLine="411" w:firstLineChars="196"/>
        <w:rPr>
          <w:rFonts w:ascii="宋体" w:hAnsi="宋体"/>
        </w:rPr>
      </w:pPr>
      <w:r>
        <w:rPr>
          <w:rFonts w:hint="eastAsia" w:ascii="宋体" w:hAnsi="宋体"/>
        </w:rPr>
        <w:t>7</w:t>
      </w:r>
      <w:r>
        <w:rPr>
          <w:rFonts w:ascii="宋体" w:hAnsi="宋体"/>
        </w:rPr>
        <w:t>.</w:t>
      </w:r>
      <w:r>
        <w:rPr>
          <w:rFonts w:hint="eastAsia" w:ascii="宋体" w:hAnsi="宋体"/>
        </w:rPr>
        <w:t>4</w:t>
      </w:r>
      <w:r>
        <w:rPr>
          <w:rFonts w:ascii="宋体" w:hAnsi="宋体"/>
        </w:rPr>
        <w:t xml:space="preserve">  </w:t>
      </w:r>
      <w:r>
        <w:rPr>
          <w:rFonts w:hint="eastAsia" w:ascii="宋体" w:hAnsi="宋体"/>
        </w:rPr>
        <w:t>投标人</w:t>
      </w:r>
      <w:bookmarkStart w:id="63" w:name="_Hlk72152753"/>
      <w:r>
        <w:rPr>
          <w:rFonts w:hint="eastAsia" w:ascii="宋体" w:hAnsi="宋体"/>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63"/>
    </w:p>
    <w:p>
      <w:pPr>
        <w:spacing w:line="240" w:lineRule="auto"/>
        <w:ind w:firstLine="411" w:firstLineChars="196"/>
        <w:rPr>
          <w:rFonts w:ascii="宋体" w:hAnsi="宋体"/>
        </w:rPr>
      </w:pPr>
      <w:r>
        <w:rPr>
          <w:rFonts w:hint="eastAsia" w:ascii="宋体" w:hAnsi="宋体"/>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spacing w:line="240" w:lineRule="auto"/>
        <w:ind w:firstLine="411" w:firstLineChars="196"/>
        <w:rPr>
          <w:rFonts w:ascii="宋体" w:hAnsi="宋体"/>
        </w:rPr>
      </w:pPr>
      <w:r>
        <w:rPr>
          <w:rFonts w:hint="eastAsia" w:ascii="宋体" w:hAnsi="宋体"/>
        </w:rPr>
        <w:t>7.6  工期要求：投标人在投标时对其所投项目应提交交货进度、交货计划等，在合同规定的时间内完成项目实施工作。</w:t>
      </w:r>
    </w:p>
    <w:p>
      <w:pPr>
        <w:spacing w:line="240" w:lineRule="auto"/>
        <w:ind w:firstLine="411" w:firstLineChars="196"/>
        <w:rPr>
          <w:rFonts w:ascii="宋体" w:hAnsi="宋体"/>
        </w:rPr>
      </w:pPr>
      <w:r>
        <w:rPr>
          <w:rFonts w:hint="eastAsia" w:ascii="宋体" w:hAnsi="宋体"/>
        </w:rPr>
        <w:t>7.7  投标人必须承担的设备运输、安装调试、验收检测和提供设备操作说明书、图纸等其他相关及类似的义务。</w:t>
      </w:r>
    </w:p>
    <w:p>
      <w:pPr>
        <w:spacing w:line="240" w:lineRule="auto"/>
        <w:rPr>
          <w:rFonts w:ascii="黑体" w:hAnsi="宋体" w:eastAsia="黑体"/>
          <w:sz w:val="24"/>
        </w:rPr>
      </w:pPr>
      <w:r>
        <w:rPr>
          <w:rFonts w:hint="eastAsia" w:ascii="黑体" w:hAnsi="宋体" w:eastAsia="黑体"/>
          <w:sz w:val="24"/>
        </w:rPr>
        <w:t>8．投标费用</w:t>
      </w:r>
    </w:p>
    <w:p>
      <w:pPr>
        <w:spacing w:line="240" w:lineRule="auto"/>
        <w:ind w:firstLine="411" w:firstLineChars="196"/>
        <w:rPr>
          <w:rFonts w:ascii="宋体" w:hAnsi="宋体"/>
          <w:szCs w:val="21"/>
        </w:rPr>
      </w:pPr>
      <w:r>
        <w:rPr>
          <w:rFonts w:hint="eastAsia" w:ascii="宋体" w:hAnsi="宋体"/>
          <w:szCs w:val="21"/>
        </w:rPr>
        <w:t>不论投标结果如何，投标人应承担其编制投标文件与递交投标文件所涉及的一切费用。</w:t>
      </w:r>
    </w:p>
    <w:p>
      <w:pPr>
        <w:spacing w:line="240" w:lineRule="auto"/>
        <w:rPr>
          <w:rFonts w:ascii="黑体" w:hAnsi="宋体" w:eastAsia="黑体"/>
          <w:sz w:val="24"/>
        </w:rPr>
      </w:pPr>
      <w:r>
        <w:rPr>
          <w:rFonts w:hint="eastAsia" w:ascii="黑体" w:hAnsi="宋体" w:eastAsia="黑体"/>
          <w:sz w:val="24"/>
        </w:rPr>
        <w:t>9．踏勘现场</w:t>
      </w:r>
    </w:p>
    <w:p>
      <w:pPr>
        <w:spacing w:line="240" w:lineRule="auto"/>
        <w:ind w:firstLine="411" w:firstLineChars="196"/>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spacing w:line="240" w:lineRule="auto"/>
        <w:ind w:firstLine="411" w:firstLineChars="196"/>
        <w:rPr>
          <w:rFonts w:ascii="宋体" w:hAnsi="宋体"/>
        </w:rPr>
      </w:pPr>
      <w:r>
        <w:rPr>
          <w:rFonts w:hint="eastAsia" w:ascii="宋体" w:hAnsi="宋体"/>
        </w:rPr>
        <w:t>9.2投标人及其人员经过采购人的允许，可以进入采购人的项目现场踏勘。若招标文件要求投标人于统一时间地点踏勘现场的，投标人应当按时前往。</w:t>
      </w:r>
    </w:p>
    <w:p>
      <w:pPr>
        <w:spacing w:line="240" w:lineRule="auto"/>
        <w:ind w:firstLine="411" w:firstLineChars="196"/>
        <w:rPr>
          <w:rFonts w:ascii="宋体" w:hAnsi="宋体"/>
        </w:rPr>
      </w:pPr>
      <w:r>
        <w:rPr>
          <w:rFonts w:hint="eastAsia" w:ascii="宋体" w:hAnsi="宋体"/>
        </w:rPr>
        <w:t>9.3采购人应当通过政府集中采购机构向投标人提供有关现场的书面资料和数据。</w:t>
      </w:r>
    </w:p>
    <w:p>
      <w:pPr>
        <w:spacing w:line="240" w:lineRule="auto"/>
        <w:ind w:firstLine="411" w:firstLineChars="196"/>
        <w:rPr>
          <w:rFonts w:ascii="宋体" w:hAnsi="宋体"/>
        </w:rPr>
      </w:pPr>
      <w:r>
        <w:rPr>
          <w:rFonts w:hint="eastAsia" w:ascii="宋体" w:hAnsi="宋体"/>
        </w:rPr>
        <w:t>9.4任何人或任何组织在踏勘现场时向投标人提供的任何书面资料或口头承诺，未经政府集中采购机构在网上发布或书面通知，均作无效处理。</w:t>
      </w:r>
    </w:p>
    <w:p>
      <w:pPr>
        <w:spacing w:line="240" w:lineRule="auto"/>
        <w:ind w:firstLine="411" w:firstLineChars="196"/>
        <w:rPr>
          <w:rFonts w:ascii="宋体" w:hAnsi="宋体"/>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spacing w:line="240" w:lineRule="auto"/>
        <w:rPr>
          <w:rFonts w:ascii="宋体" w:hAnsi="宋体"/>
          <w:szCs w:val="21"/>
        </w:rPr>
      </w:pPr>
      <w:r>
        <w:rPr>
          <w:rFonts w:hint="eastAsia" w:ascii="黑体" w:hAnsi="宋体" w:eastAsia="黑体"/>
          <w:sz w:val="24"/>
        </w:rPr>
        <w:t>1</w:t>
      </w:r>
      <w:r>
        <w:rPr>
          <w:rFonts w:ascii="黑体" w:hAnsi="宋体" w:eastAsia="黑体"/>
          <w:sz w:val="24"/>
        </w:rPr>
        <w:t>0</w:t>
      </w:r>
      <w:r>
        <w:rPr>
          <w:rFonts w:hint="eastAsia" w:ascii="黑体" w:hAnsi="宋体" w:eastAsia="黑体"/>
          <w:sz w:val="24"/>
        </w:rPr>
        <w:t>．标前会议</w:t>
      </w:r>
    </w:p>
    <w:p>
      <w:pPr>
        <w:spacing w:line="240" w:lineRule="auto"/>
        <w:ind w:firstLine="411" w:firstLineChars="196"/>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spacing w:line="240" w:lineRule="auto"/>
        <w:ind w:firstLine="411" w:firstLineChars="196"/>
        <w:rPr>
          <w:rFonts w:ascii="宋体" w:hAnsi="宋体"/>
          <w:szCs w:val="21"/>
        </w:rPr>
      </w:pPr>
      <w:r>
        <w:rPr>
          <w:rFonts w:ascii="宋体" w:hAnsi="宋体"/>
        </w:rPr>
        <w:t>10</w:t>
      </w:r>
      <w:r>
        <w:rPr>
          <w:rFonts w:hint="eastAsia" w:ascii="宋体" w:hAnsi="宋体"/>
        </w:rPr>
        <w:t>.</w:t>
      </w:r>
      <w:r>
        <w:rPr>
          <w:rFonts w:ascii="宋体" w:hAnsi="宋体"/>
        </w:rPr>
        <w:t>2</w:t>
      </w:r>
      <w:r>
        <w:rPr>
          <w:rFonts w:hint="eastAsia" w:ascii="宋体" w:hAnsi="宋体"/>
        </w:rPr>
        <w:t>任何人或任何组织在标前会议时向投标人提供的任何书面资料或口头承诺，未经政府集中采购机构在网上发布或书面通知，均作无效处理。</w:t>
      </w:r>
    </w:p>
    <w:p>
      <w:pPr>
        <w:spacing w:line="240" w:lineRule="auto"/>
        <w:ind w:firstLine="411" w:firstLineChars="196"/>
        <w:rPr>
          <w:rFonts w:ascii="宋体" w:hAnsi="宋体"/>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bookmarkEnd w:id="62"/>
    </w:p>
    <w:p>
      <w:pPr>
        <w:pStyle w:val="4"/>
        <w:numPr>
          <w:ilvl w:val="0"/>
          <w:numId w:val="107"/>
        </w:numPr>
        <w:tabs>
          <w:tab w:val="left" w:pos="720"/>
        </w:tabs>
        <w:spacing w:before="156" w:beforeLines="50" w:after="156" w:afterLines="50" w:line="240" w:lineRule="auto"/>
        <w:ind w:left="562" w:hanging="562"/>
        <w:rPr>
          <w:b/>
          <w:bCs/>
          <w:sz w:val="28"/>
          <w:szCs w:val="28"/>
        </w:rPr>
      </w:pPr>
      <w:r>
        <w:rPr>
          <w:rFonts w:hint="eastAsia"/>
          <w:b/>
          <w:bCs/>
          <w:sz w:val="28"/>
          <w:szCs w:val="28"/>
        </w:rPr>
        <w:t>招标文件</w:t>
      </w:r>
    </w:p>
    <w:p>
      <w:pPr>
        <w:spacing w:line="240" w:lineRule="auto"/>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64" w:name="_Hlk72399819"/>
      <w:r>
        <w:rPr>
          <w:rFonts w:hint="eastAsia" w:ascii="黑体" w:hAnsi="宋体" w:eastAsia="黑体"/>
          <w:sz w:val="24"/>
        </w:rPr>
        <w:t>招标文件的编制与组成</w:t>
      </w:r>
    </w:p>
    <w:p>
      <w:pPr>
        <w:snapToGrid w:val="0"/>
        <w:spacing w:line="240" w:lineRule="auto"/>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spacing w:line="240" w:lineRule="auto"/>
        <w:ind w:firstLine="411" w:firstLineChars="196"/>
        <w:rPr>
          <w:rFonts w:ascii="宋体" w:hAnsi="宋体"/>
          <w:szCs w:val="21"/>
        </w:rPr>
      </w:pPr>
      <w:r>
        <w:rPr>
          <w:rFonts w:hint="eastAsia" w:ascii="宋体" w:hAnsi="宋体"/>
          <w:szCs w:val="21"/>
        </w:rPr>
        <w:t>招标文件包括下列内容：</w:t>
      </w:r>
    </w:p>
    <w:p>
      <w:pPr>
        <w:spacing w:line="240" w:lineRule="auto"/>
        <w:ind w:left="420" w:leftChars="200" w:firstLine="413" w:firstLineChars="196"/>
        <w:rPr>
          <w:rFonts w:ascii="宋体" w:hAnsi="宋体"/>
          <w:b/>
          <w:szCs w:val="21"/>
        </w:rPr>
      </w:pPr>
      <w:r>
        <w:rPr>
          <w:rFonts w:hint="eastAsia" w:ascii="宋体" w:hAnsi="宋体"/>
          <w:b/>
          <w:szCs w:val="21"/>
        </w:rPr>
        <w:t>第一册  专用条款</w:t>
      </w:r>
    </w:p>
    <w:p>
      <w:pPr>
        <w:spacing w:line="240" w:lineRule="auto"/>
        <w:ind w:left="1079" w:leftChars="514"/>
        <w:rPr>
          <w:rFonts w:ascii="宋体" w:hAnsi="宋体"/>
          <w:b/>
          <w:szCs w:val="21"/>
        </w:rPr>
      </w:pPr>
      <w:r>
        <w:rPr>
          <w:rFonts w:hint="eastAsia" w:ascii="宋体" w:hAnsi="宋体"/>
          <w:b/>
          <w:szCs w:val="21"/>
        </w:rPr>
        <w:t>关键信息</w:t>
      </w:r>
    </w:p>
    <w:p>
      <w:pPr>
        <w:spacing w:line="240" w:lineRule="auto"/>
        <w:ind w:left="630" w:leftChars="300" w:firstLine="411" w:firstLineChars="196"/>
        <w:rPr>
          <w:rFonts w:ascii="宋体" w:hAnsi="宋体"/>
          <w:szCs w:val="21"/>
        </w:rPr>
      </w:pPr>
      <w:r>
        <w:rPr>
          <w:rFonts w:hint="eastAsia" w:ascii="宋体" w:hAnsi="宋体"/>
          <w:szCs w:val="21"/>
        </w:rPr>
        <w:t>第一章  招标公告</w:t>
      </w:r>
    </w:p>
    <w:p>
      <w:pPr>
        <w:spacing w:line="240" w:lineRule="auto"/>
        <w:ind w:left="630" w:leftChars="300" w:firstLine="411" w:firstLineChars="196"/>
        <w:rPr>
          <w:rFonts w:ascii="宋体" w:hAnsi="宋体"/>
          <w:szCs w:val="21"/>
        </w:rPr>
      </w:pPr>
      <w:r>
        <w:rPr>
          <w:rFonts w:hint="eastAsia" w:ascii="宋体" w:hAnsi="宋体"/>
          <w:szCs w:val="21"/>
        </w:rPr>
        <w:t>第二章  对通用条款的补充内容及其他关键信息</w:t>
      </w:r>
    </w:p>
    <w:p>
      <w:pPr>
        <w:spacing w:line="240" w:lineRule="auto"/>
        <w:ind w:left="630" w:leftChars="300" w:firstLine="411" w:firstLineChars="196"/>
        <w:rPr>
          <w:rFonts w:ascii="宋体" w:hAnsi="宋体"/>
          <w:szCs w:val="21"/>
        </w:rPr>
      </w:pPr>
      <w:r>
        <w:rPr>
          <w:rFonts w:hint="eastAsia" w:ascii="宋体" w:hAnsi="宋体"/>
          <w:szCs w:val="21"/>
        </w:rPr>
        <w:t>第三章  用户需求书</w:t>
      </w:r>
    </w:p>
    <w:p>
      <w:pPr>
        <w:spacing w:line="240" w:lineRule="auto"/>
        <w:ind w:left="630" w:leftChars="300" w:firstLine="411" w:firstLineChars="196"/>
        <w:rPr>
          <w:rFonts w:ascii="宋体" w:hAnsi="宋体"/>
          <w:szCs w:val="21"/>
        </w:rPr>
      </w:pPr>
      <w:r>
        <w:rPr>
          <w:rFonts w:hint="eastAsia"/>
        </w:rPr>
        <w:t xml:space="preserve">第四章 </w:t>
      </w:r>
      <w:r>
        <w:t xml:space="preserve"> </w:t>
      </w:r>
      <w:r>
        <w:rPr>
          <w:rFonts w:hint="eastAsia"/>
        </w:rPr>
        <w:t>投标文件格式及附件</w:t>
      </w:r>
    </w:p>
    <w:p>
      <w:pPr>
        <w:spacing w:line="240" w:lineRule="auto"/>
        <w:ind w:left="630" w:leftChars="300" w:firstLine="411" w:firstLineChars="196"/>
        <w:rPr>
          <w:rFonts w:ascii="宋体" w:hAnsi="宋体"/>
          <w:szCs w:val="21"/>
        </w:rPr>
      </w:pPr>
      <w:r>
        <w:rPr>
          <w:rFonts w:hint="eastAsia" w:ascii="宋体" w:hAnsi="宋体"/>
          <w:szCs w:val="21"/>
        </w:rPr>
        <w:t>第五章  合同条款及格式</w:t>
      </w:r>
    </w:p>
    <w:p>
      <w:pPr>
        <w:spacing w:line="240" w:lineRule="auto"/>
        <w:ind w:left="420" w:leftChars="200" w:firstLine="413" w:firstLineChars="196"/>
        <w:rPr>
          <w:rFonts w:ascii="宋体" w:hAnsi="宋体"/>
          <w:b/>
          <w:szCs w:val="21"/>
        </w:rPr>
      </w:pPr>
      <w:r>
        <w:rPr>
          <w:rFonts w:hint="eastAsia" w:ascii="宋体" w:hAnsi="宋体"/>
          <w:b/>
          <w:szCs w:val="21"/>
        </w:rPr>
        <w:t>第二册  通用条款</w:t>
      </w:r>
    </w:p>
    <w:p>
      <w:pPr>
        <w:spacing w:line="240" w:lineRule="auto"/>
        <w:ind w:left="630" w:leftChars="300" w:firstLine="411" w:firstLineChars="196"/>
        <w:rPr>
          <w:rFonts w:ascii="宋体" w:hAnsi="宋体"/>
          <w:szCs w:val="21"/>
        </w:rPr>
      </w:pPr>
      <w:r>
        <w:rPr>
          <w:rFonts w:hint="eastAsia" w:ascii="宋体" w:hAnsi="宋体"/>
          <w:szCs w:val="21"/>
        </w:rPr>
        <w:t>第一章  总则</w:t>
      </w:r>
    </w:p>
    <w:p>
      <w:pPr>
        <w:spacing w:line="240" w:lineRule="auto"/>
        <w:ind w:left="630" w:leftChars="300" w:firstLine="411" w:firstLineChars="196"/>
        <w:rPr>
          <w:rFonts w:ascii="宋体" w:hAnsi="宋体"/>
          <w:szCs w:val="21"/>
        </w:rPr>
      </w:pPr>
      <w:r>
        <w:rPr>
          <w:rFonts w:hint="eastAsia" w:ascii="宋体" w:hAnsi="宋体"/>
          <w:szCs w:val="21"/>
        </w:rPr>
        <w:t>第二章  招标文件</w:t>
      </w:r>
    </w:p>
    <w:p>
      <w:pPr>
        <w:spacing w:line="240" w:lineRule="auto"/>
        <w:ind w:left="630" w:leftChars="300" w:firstLine="411" w:firstLineChars="196"/>
        <w:rPr>
          <w:rFonts w:ascii="宋体" w:hAnsi="宋体"/>
          <w:szCs w:val="21"/>
        </w:rPr>
      </w:pPr>
      <w:r>
        <w:rPr>
          <w:rFonts w:hint="eastAsia" w:ascii="宋体" w:hAnsi="宋体"/>
          <w:szCs w:val="21"/>
        </w:rPr>
        <w:t>第三章  投标文件的编制</w:t>
      </w:r>
    </w:p>
    <w:p>
      <w:pPr>
        <w:spacing w:line="240" w:lineRule="auto"/>
        <w:ind w:left="630" w:leftChars="300" w:firstLine="411" w:firstLineChars="196"/>
        <w:rPr>
          <w:rFonts w:ascii="宋体" w:hAnsi="宋体"/>
          <w:szCs w:val="21"/>
        </w:rPr>
      </w:pPr>
      <w:r>
        <w:rPr>
          <w:rFonts w:hint="eastAsia" w:ascii="宋体" w:hAnsi="宋体"/>
          <w:szCs w:val="21"/>
        </w:rPr>
        <w:t>第四章  投标文件的递交</w:t>
      </w:r>
    </w:p>
    <w:p>
      <w:pPr>
        <w:spacing w:line="240" w:lineRule="auto"/>
        <w:ind w:left="630" w:leftChars="300" w:firstLine="411" w:firstLineChars="196"/>
        <w:rPr>
          <w:rFonts w:ascii="宋体" w:hAnsi="宋体"/>
          <w:szCs w:val="21"/>
        </w:rPr>
      </w:pPr>
      <w:r>
        <w:rPr>
          <w:rFonts w:hint="eastAsia" w:ascii="宋体" w:hAnsi="宋体"/>
          <w:szCs w:val="21"/>
        </w:rPr>
        <w:t>第五章  开标</w:t>
      </w:r>
    </w:p>
    <w:p>
      <w:pPr>
        <w:spacing w:line="240" w:lineRule="auto"/>
        <w:ind w:left="630" w:leftChars="300" w:firstLine="411" w:firstLineChars="196"/>
        <w:rPr>
          <w:rFonts w:ascii="宋体" w:hAnsi="宋体"/>
          <w:szCs w:val="21"/>
        </w:rPr>
      </w:pPr>
      <w:r>
        <w:rPr>
          <w:rFonts w:hint="eastAsia" w:ascii="宋体" w:hAnsi="宋体"/>
          <w:szCs w:val="21"/>
        </w:rPr>
        <w:t>第六章  评审要求</w:t>
      </w:r>
    </w:p>
    <w:p>
      <w:pPr>
        <w:spacing w:line="240" w:lineRule="auto"/>
        <w:ind w:left="630" w:leftChars="300" w:firstLine="411" w:firstLineChars="196"/>
        <w:rPr>
          <w:rFonts w:ascii="宋体" w:hAnsi="宋体"/>
          <w:szCs w:val="21"/>
        </w:rPr>
      </w:pPr>
      <w:r>
        <w:rPr>
          <w:rFonts w:hint="eastAsia" w:ascii="宋体" w:hAnsi="宋体"/>
          <w:szCs w:val="21"/>
        </w:rPr>
        <w:t>第七章  评审程序及评审方法</w:t>
      </w:r>
    </w:p>
    <w:p>
      <w:pPr>
        <w:spacing w:line="240" w:lineRule="auto"/>
        <w:ind w:left="630" w:leftChars="300" w:firstLine="411" w:firstLineChars="196"/>
        <w:rPr>
          <w:rFonts w:ascii="宋体" w:hAnsi="宋体"/>
          <w:szCs w:val="21"/>
        </w:rPr>
      </w:pPr>
      <w:r>
        <w:rPr>
          <w:rFonts w:hint="eastAsia" w:ascii="宋体" w:hAnsi="宋体"/>
          <w:szCs w:val="21"/>
        </w:rPr>
        <w:t>第八章  定标及公示</w:t>
      </w:r>
    </w:p>
    <w:p>
      <w:pPr>
        <w:spacing w:line="240" w:lineRule="auto"/>
        <w:ind w:left="630" w:leftChars="300" w:firstLine="411" w:firstLineChars="196"/>
        <w:rPr>
          <w:rFonts w:ascii="宋体" w:hAnsi="宋体"/>
          <w:szCs w:val="21"/>
        </w:rPr>
      </w:pPr>
      <w:r>
        <w:rPr>
          <w:rFonts w:hint="eastAsia" w:ascii="宋体" w:hAnsi="宋体"/>
          <w:szCs w:val="21"/>
        </w:rPr>
        <w:t>第九章  公开招标失败的后续处理</w:t>
      </w:r>
    </w:p>
    <w:p>
      <w:pPr>
        <w:spacing w:line="240" w:lineRule="auto"/>
        <w:ind w:left="630" w:leftChars="300" w:firstLine="411" w:firstLineChars="196"/>
        <w:rPr>
          <w:rFonts w:ascii="宋体" w:hAnsi="宋体"/>
          <w:szCs w:val="21"/>
        </w:rPr>
      </w:pPr>
      <w:r>
        <w:rPr>
          <w:rFonts w:hint="eastAsia" w:ascii="宋体" w:hAnsi="宋体"/>
          <w:szCs w:val="21"/>
        </w:rPr>
        <w:t>第十章  合同的授予与备案</w:t>
      </w:r>
    </w:p>
    <w:p>
      <w:pPr>
        <w:spacing w:line="240" w:lineRule="auto"/>
        <w:ind w:left="630" w:leftChars="300" w:firstLine="411" w:firstLineChars="196"/>
        <w:rPr>
          <w:rFonts w:ascii="宋体" w:hAnsi="宋体"/>
          <w:szCs w:val="21"/>
        </w:rPr>
      </w:pPr>
      <w:r>
        <w:rPr>
          <w:rFonts w:hint="eastAsia" w:ascii="宋体" w:hAnsi="宋体"/>
          <w:szCs w:val="21"/>
        </w:rPr>
        <w:t>第十一章  质疑处理</w:t>
      </w:r>
    </w:p>
    <w:p>
      <w:pPr>
        <w:spacing w:line="240" w:lineRule="auto"/>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spacing w:line="240" w:lineRule="auto"/>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spacing w:line="240" w:lineRule="auto"/>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pPr>
        <w:spacing w:line="240" w:lineRule="auto"/>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spacing w:line="240" w:lineRule="auto"/>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pPr>
        <w:spacing w:line="240" w:lineRule="auto"/>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spacing w:line="240" w:lineRule="auto"/>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pPr>
        <w:spacing w:line="240" w:lineRule="auto"/>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spacing w:line="240" w:lineRule="auto"/>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spacing w:line="240" w:lineRule="auto"/>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spacing w:line="240" w:lineRule="auto"/>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64"/>
    </w:p>
    <w:p>
      <w:pPr>
        <w:pStyle w:val="4"/>
        <w:numPr>
          <w:ilvl w:val="0"/>
          <w:numId w:val="107"/>
        </w:numPr>
        <w:tabs>
          <w:tab w:val="left" w:pos="720"/>
        </w:tabs>
        <w:spacing w:before="156" w:beforeLines="50" w:after="156" w:afterLines="50" w:line="240" w:lineRule="auto"/>
        <w:ind w:left="562" w:hanging="562"/>
        <w:rPr>
          <w:b/>
          <w:bCs/>
          <w:sz w:val="28"/>
          <w:szCs w:val="28"/>
        </w:rPr>
      </w:pPr>
      <w:r>
        <w:rPr>
          <w:rFonts w:hint="eastAsia"/>
          <w:b/>
          <w:bCs/>
          <w:sz w:val="28"/>
          <w:szCs w:val="28"/>
        </w:rPr>
        <w:t>投标文件的编制</w:t>
      </w:r>
    </w:p>
    <w:p>
      <w:pPr>
        <w:spacing w:line="240" w:lineRule="auto"/>
        <w:rPr>
          <w:rFonts w:ascii="黑体" w:hAnsi="宋体" w:eastAsia="黑体"/>
          <w:sz w:val="24"/>
        </w:rPr>
      </w:pPr>
      <w:r>
        <w:rPr>
          <w:rFonts w:hint="eastAsia" w:ascii="黑体" w:hAnsi="宋体" w:eastAsia="黑体"/>
          <w:sz w:val="24"/>
        </w:rPr>
        <w:t>14．</w:t>
      </w:r>
      <w:bookmarkStart w:id="65" w:name="_Hlk72400236"/>
      <w:r>
        <w:rPr>
          <w:rFonts w:hint="eastAsia" w:ascii="黑体" w:hAnsi="宋体" w:eastAsia="黑体"/>
          <w:sz w:val="24"/>
        </w:rPr>
        <w:t>投标文件的语言及度量单位</w:t>
      </w:r>
    </w:p>
    <w:p>
      <w:pPr>
        <w:spacing w:line="240" w:lineRule="auto"/>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pPr>
        <w:spacing w:line="240" w:lineRule="auto"/>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65"/>
    <w:p>
      <w:pPr>
        <w:spacing w:line="240" w:lineRule="auto"/>
        <w:rPr>
          <w:rFonts w:ascii="黑体" w:hAnsi="宋体" w:eastAsia="黑体"/>
          <w:sz w:val="24"/>
        </w:rPr>
      </w:pPr>
      <w:r>
        <w:rPr>
          <w:rFonts w:hint="eastAsia" w:ascii="黑体" w:hAnsi="宋体" w:eastAsia="黑体"/>
          <w:sz w:val="24"/>
        </w:rPr>
        <w:t>15．</w:t>
      </w:r>
      <w:bookmarkStart w:id="66" w:name="_Hlk72401567"/>
      <w:r>
        <w:rPr>
          <w:rFonts w:hint="eastAsia" w:ascii="黑体" w:hAnsi="宋体" w:eastAsia="黑体"/>
          <w:sz w:val="24"/>
        </w:rPr>
        <w:t>投标文件的组成</w:t>
      </w:r>
    </w:p>
    <w:p>
      <w:pPr>
        <w:spacing w:line="240" w:lineRule="auto"/>
        <w:ind w:firstLine="411" w:firstLineChars="196"/>
        <w:rPr>
          <w:rFonts w:ascii="宋体" w:hAnsi="宋体"/>
          <w:szCs w:val="21"/>
        </w:rPr>
      </w:pPr>
      <w:r>
        <w:rPr>
          <w:rFonts w:hint="eastAsia" w:ascii="宋体" w:hAnsi="宋体"/>
          <w:szCs w:val="21"/>
        </w:rPr>
        <w:t>具体内容在招标文件专用条款中进行规定。</w:t>
      </w:r>
    </w:p>
    <w:p>
      <w:pPr>
        <w:spacing w:line="240" w:lineRule="auto"/>
        <w:rPr>
          <w:rFonts w:ascii="黑体" w:hAnsi="宋体" w:eastAsia="黑体"/>
          <w:sz w:val="24"/>
        </w:rPr>
      </w:pPr>
      <w:r>
        <w:rPr>
          <w:rFonts w:ascii="黑体" w:hAnsi="宋体" w:eastAsia="黑体"/>
          <w:sz w:val="24"/>
        </w:rPr>
        <w:t>16．投标文件格式</w:t>
      </w:r>
    </w:p>
    <w:p>
      <w:pPr>
        <w:spacing w:line="240" w:lineRule="auto"/>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spacing w:line="240" w:lineRule="auto"/>
        <w:rPr>
          <w:rFonts w:ascii="黑体" w:hAnsi="宋体" w:eastAsia="黑体"/>
          <w:sz w:val="24"/>
        </w:rPr>
      </w:pPr>
      <w:r>
        <w:rPr>
          <w:rFonts w:hint="eastAsia" w:ascii="黑体" w:hAnsi="宋体" w:eastAsia="黑体"/>
          <w:sz w:val="24"/>
        </w:rPr>
        <w:t>17．投标货币</w:t>
      </w:r>
    </w:p>
    <w:p>
      <w:pPr>
        <w:spacing w:line="240" w:lineRule="auto"/>
        <w:ind w:firstLine="411" w:firstLineChars="196"/>
        <w:rPr>
          <w:rFonts w:ascii="宋体" w:hAnsi="宋体"/>
          <w:szCs w:val="21"/>
        </w:rPr>
      </w:pPr>
      <w:r>
        <w:rPr>
          <w:rFonts w:hint="eastAsia" w:ascii="宋体" w:hAnsi="宋体"/>
          <w:szCs w:val="21"/>
        </w:rPr>
        <w:t>本项目的投标报价应以人民币计。</w:t>
      </w:r>
    </w:p>
    <w:bookmarkEnd w:id="66"/>
    <w:p>
      <w:pPr>
        <w:spacing w:line="240" w:lineRule="auto"/>
        <w:rPr>
          <w:rFonts w:ascii="黑体" w:hAnsi="宋体" w:eastAsia="黑体"/>
          <w:sz w:val="24"/>
        </w:rPr>
      </w:pPr>
      <w:r>
        <w:rPr>
          <w:rFonts w:hint="eastAsia" w:ascii="黑体" w:hAnsi="宋体" w:eastAsia="黑体"/>
          <w:sz w:val="24"/>
        </w:rPr>
        <w:t>18．</w:t>
      </w:r>
      <w:bookmarkStart w:id="67" w:name="_Hlk72401735"/>
      <w:r>
        <w:rPr>
          <w:rFonts w:hint="eastAsia" w:ascii="黑体" w:hAnsi="宋体" w:eastAsia="黑体"/>
          <w:sz w:val="24"/>
        </w:rPr>
        <w:t>证明投标文件投标技术方案的合格性和符合招标文件规定的文件要求</w:t>
      </w:r>
    </w:p>
    <w:p>
      <w:pPr>
        <w:spacing w:line="240" w:lineRule="auto"/>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spacing w:line="240" w:lineRule="auto"/>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spacing w:line="240" w:lineRule="auto"/>
        <w:ind w:firstLine="411" w:firstLineChars="196"/>
        <w:rPr>
          <w:rFonts w:ascii="宋体" w:hAnsi="宋体"/>
          <w:szCs w:val="21"/>
        </w:rPr>
      </w:pPr>
      <w:r>
        <w:rPr>
          <w:rFonts w:hint="eastAsia" w:ascii="宋体" w:hAnsi="宋体"/>
          <w:szCs w:val="21"/>
        </w:rPr>
        <w:t>18.2.1主要技术指标和性能的详细说明。</w:t>
      </w:r>
    </w:p>
    <w:p>
      <w:pPr>
        <w:spacing w:line="240" w:lineRule="auto"/>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spacing w:line="240" w:lineRule="auto"/>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spacing w:line="240" w:lineRule="auto"/>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pPr>
        <w:spacing w:line="240" w:lineRule="auto"/>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spacing w:line="240" w:lineRule="auto"/>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spacing w:line="240" w:lineRule="auto"/>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pPr>
        <w:spacing w:line="240" w:lineRule="auto"/>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67"/>
    <w:p>
      <w:pPr>
        <w:spacing w:line="240" w:lineRule="auto"/>
        <w:rPr>
          <w:rFonts w:ascii="黑体" w:hAnsi="宋体" w:eastAsia="黑体"/>
          <w:sz w:val="24"/>
        </w:rPr>
      </w:pPr>
      <w:r>
        <w:rPr>
          <w:rFonts w:hint="eastAsia" w:ascii="黑体" w:hAnsi="宋体" w:eastAsia="黑体"/>
          <w:sz w:val="24"/>
        </w:rPr>
        <w:t>19．</w:t>
      </w:r>
      <w:bookmarkStart w:id="68" w:name="_Hlk72402034"/>
      <w:r>
        <w:rPr>
          <w:rFonts w:hint="eastAsia" w:ascii="黑体" w:hAnsi="宋体" w:eastAsia="黑体"/>
          <w:sz w:val="24"/>
        </w:rPr>
        <w:t>投标文件其他证明文件的要求</w:t>
      </w:r>
    </w:p>
    <w:p>
      <w:pPr>
        <w:spacing w:line="240" w:lineRule="auto"/>
        <w:rPr>
          <w:rFonts w:ascii="宋体" w:hAnsi="宋体"/>
          <w:color w:val="FF0000"/>
          <w:szCs w:val="21"/>
        </w:rPr>
      </w:pPr>
      <w:r>
        <w:rPr>
          <w:rFonts w:hint="eastAsia" w:ascii="黑体" w:hAnsi="宋体" w:eastAsia="黑体"/>
          <w:sz w:val="24"/>
        </w:rPr>
        <w:t xml:space="preserve">    </w:t>
      </w:r>
      <w:r>
        <w:rPr>
          <w:rFonts w:hint="eastAsia" w:ascii="宋体" w:hAnsi="宋体"/>
          <w:szCs w:val="21"/>
        </w:rPr>
        <w:t>19.1</w:t>
      </w:r>
      <w:bookmarkStart w:id="69" w:name="_Hlk71407299"/>
      <w:r>
        <w:rPr>
          <w:rFonts w:hint="eastAsia" w:ascii="宋体" w:hAnsi="宋体"/>
          <w:szCs w:val="21"/>
        </w:rPr>
        <w:t>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69"/>
    <w:p>
      <w:pPr>
        <w:spacing w:line="240" w:lineRule="auto"/>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spacing w:line="240" w:lineRule="auto"/>
        <w:rPr>
          <w:rFonts w:ascii="黑体" w:hAnsi="宋体" w:eastAsia="黑体"/>
          <w:sz w:val="24"/>
        </w:rPr>
      </w:pPr>
      <w:r>
        <w:rPr>
          <w:rFonts w:hint="eastAsia" w:ascii="黑体" w:hAnsi="宋体" w:eastAsia="黑体"/>
          <w:sz w:val="24"/>
        </w:rPr>
        <w:t>20．投标有效期</w:t>
      </w:r>
    </w:p>
    <w:bookmarkEnd w:id="68"/>
    <w:p>
      <w:pPr>
        <w:spacing w:line="240" w:lineRule="auto"/>
        <w:ind w:firstLine="411" w:firstLineChars="196"/>
        <w:rPr>
          <w:rFonts w:ascii="宋体" w:hAnsi="宋体"/>
          <w:szCs w:val="21"/>
        </w:rPr>
      </w:pPr>
      <w:bookmarkStart w:id="70"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spacing w:line="240" w:lineRule="auto"/>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spacing w:line="240" w:lineRule="auto"/>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70"/>
    <w:p>
      <w:pPr>
        <w:spacing w:line="240" w:lineRule="auto"/>
        <w:rPr>
          <w:rFonts w:ascii="黑体" w:hAnsi="宋体" w:eastAsia="黑体"/>
          <w:sz w:val="24"/>
        </w:rPr>
      </w:pPr>
      <w:r>
        <w:rPr>
          <w:rFonts w:hint="eastAsia" w:ascii="黑体" w:hAnsi="宋体" w:eastAsia="黑体"/>
          <w:sz w:val="24"/>
        </w:rPr>
        <w:t>21．</w:t>
      </w:r>
      <w:bookmarkStart w:id="71" w:name="_Hlk72402325"/>
      <w:r>
        <w:rPr>
          <w:rFonts w:hint="eastAsia" w:ascii="黑体" w:hAnsi="宋体" w:eastAsia="黑体"/>
          <w:sz w:val="24"/>
        </w:rPr>
        <w:t xml:space="preserve">关于投标保证金 </w:t>
      </w:r>
    </w:p>
    <w:p>
      <w:pPr>
        <w:spacing w:line="240" w:lineRule="auto"/>
        <w:rPr>
          <w:rFonts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pPr>
        <w:spacing w:line="240" w:lineRule="auto"/>
        <w:rPr>
          <w:rFonts w:ascii="黑体" w:hAnsi="宋体" w:eastAsia="黑体"/>
          <w:sz w:val="24"/>
        </w:rPr>
      </w:pPr>
      <w:r>
        <w:rPr>
          <w:rFonts w:hint="eastAsia" w:ascii="黑体" w:hAnsi="宋体" w:eastAsia="黑体"/>
          <w:sz w:val="24"/>
        </w:rPr>
        <w:t>22．投标人的替代方案</w:t>
      </w:r>
    </w:p>
    <w:p>
      <w:pPr>
        <w:spacing w:line="240" w:lineRule="auto"/>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spacing w:line="240" w:lineRule="auto"/>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71"/>
    <w:p>
      <w:pPr>
        <w:spacing w:line="240" w:lineRule="auto"/>
        <w:rPr>
          <w:rFonts w:ascii="黑体" w:hAnsi="宋体" w:eastAsia="黑体"/>
          <w:sz w:val="24"/>
        </w:rPr>
      </w:pPr>
      <w:r>
        <w:rPr>
          <w:rFonts w:hint="eastAsia" w:ascii="黑体" w:hAnsi="宋体" w:eastAsia="黑体"/>
          <w:sz w:val="24"/>
        </w:rPr>
        <w:t>23．</w:t>
      </w:r>
      <w:bookmarkStart w:id="72"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pPr>
        <w:spacing w:line="240" w:lineRule="auto"/>
        <w:ind w:firstLine="411" w:firstLineChars="196"/>
        <w:rPr>
          <w:rFonts w:ascii="宋体" w:hAnsi="宋体"/>
        </w:rPr>
      </w:pPr>
      <w:r>
        <w:rPr>
          <w:rFonts w:hint="eastAsia" w:ascii="宋体" w:hAnsi="宋体"/>
        </w:rPr>
        <w:t>23.1投标人应准备所投项目的电子投标文件一份。</w:t>
      </w:r>
    </w:p>
    <w:p>
      <w:pPr>
        <w:spacing w:line="240" w:lineRule="auto"/>
        <w:ind w:firstLine="411" w:firstLineChars="196"/>
        <w:rPr>
          <w:rFonts w:ascii="宋体" w:hAnsi="宋体"/>
        </w:rPr>
      </w:pPr>
      <w:r>
        <w:rPr>
          <w:rFonts w:hint="eastAsia" w:ascii="宋体" w:hAnsi="宋体"/>
        </w:rPr>
        <w:t>23.2投标人在使用《投标书编制软件》编制投标书时须注意：</w:t>
      </w:r>
    </w:p>
    <w:p>
      <w:pPr>
        <w:spacing w:line="240" w:lineRule="auto"/>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pPr>
        <w:spacing w:line="240" w:lineRule="auto"/>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pPr>
        <w:spacing w:line="240" w:lineRule="auto"/>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pPr>
        <w:spacing w:line="240" w:lineRule="auto"/>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pPr>
        <w:spacing w:line="240" w:lineRule="auto"/>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pPr>
        <w:spacing w:line="240" w:lineRule="auto"/>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必须用属于投标人的电子密钥或电子营业执照进行加密，否则视同未盖公章，将导致投标文件无效。</w:t>
      </w:r>
    </w:p>
    <w:p>
      <w:pPr>
        <w:spacing w:line="240" w:lineRule="auto"/>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pPr>
        <w:spacing w:line="240" w:lineRule="auto"/>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pPr>
        <w:spacing w:line="240" w:lineRule="auto"/>
        <w:ind w:firstLine="411" w:firstLineChars="196"/>
        <w:rPr>
          <w:rFonts w:ascii="宋体" w:hAnsi="宋体"/>
        </w:rPr>
      </w:pPr>
      <w:r>
        <w:rPr>
          <w:rFonts w:hint="eastAsia" w:ascii="宋体" w:hAnsi="宋体"/>
        </w:rPr>
        <w:t>23.3电报、电话、传真形式的投标概不接受。</w:t>
      </w:r>
    </w:p>
    <w:p>
      <w:pPr>
        <w:spacing w:line="240" w:lineRule="auto"/>
        <w:ind w:firstLine="413" w:firstLineChars="196"/>
        <w:rPr>
          <w:rFonts w:ascii="宋体" w:hAnsi="宋体"/>
          <w:b/>
        </w:rPr>
      </w:pPr>
      <w:r>
        <w:rPr>
          <w:rFonts w:hint="eastAsia" w:ascii="宋体" w:hAnsi="宋体"/>
          <w:b/>
        </w:rPr>
        <w:t>23.4经投标人电子密钥或电子营业执照加密的投标文件无须盖章或签字，</w:t>
      </w:r>
      <w:r>
        <w:rPr>
          <w:rFonts w:hint="eastAsia" w:ascii="宋体" w:hAnsi="宋体"/>
        </w:rPr>
        <w:t>专用条款另有要求的除外。</w:t>
      </w:r>
    </w:p>
    <w:p>
      <w:pPr>
        <w:spacing w:line="240" w:lineRule="auto"/>
        <w:ind w:firstLine="413" w:firstLineChars="196"/>
        <w:rPr>
          <w:rFonts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72"/>
    </w:p>
    <w:p>
      <w:pPr>
        <w:pStyle w:val="4"/>
        <w:numPr>
          <w:ilvl w:val="0"/>
          <w:numId w:val="107"/>
        </w:numPr>
        <w:tabs>
          <w:tab w:val="left" w:pos="720"/>
        </w:tabs>
        <w:spacing w:before="156" w:beforeLines="50" w:after="156" w:afterLines="50" w:line="240" w:lineRule="auto"/>
        <w:ind w:left="562" w:hanging="562"/>
        <w:rPr>
          <w:b/>
          <w:bCs/>
          <w:sz w:val="28"/>
          <w:szCs w:val="28"/>
        </w:rPr>
      </w:pPr>
      <w:r>
        <w:rPr>
          <w:rFonts w:hint="eastAsia"/>
          <w:b/>
          <w:bCs/>
          <w:sz w:val="28"/>
          <w:szCs w:val="28"/>
        </w:rPr>
        <w:t>投标文件的递交</w:t>
      </w:r>
    </w:p>
    <w:p>
      <w:pPr>
        <w:spacing w:line="240" w:lineRule="auto"/>
        <w:rPr>
          <w:rFonts w:ascii="黑体" w:hAnsi="宋体" w:eastAsia="黑体"/>
          <w:sz w:val="24"/>
        </w:rPr>
      </w:pPr>
      <w:bookmarkStart w:id="73" w:name="_Hlk72405459"/>
      <w:r>
        <w:rPr>
          <w:rFonts w:hint="eastAsia" w:ascii="黑体" w:hAnsi="宋体" w:eastAsia="黑体"/>
          <w:sz w:val="24"/>
        </w:rPr>
        <w:t>24．投标文件的保密</w:t>
      </w:r>
    </w:p>
    <w:p>
      <w:pPr>
        <w:spacing w:line="240" w:lineRule="auto"/>
        <w:ind w:firstLine="411" w:firstLineChars="196"/>
        <w:rPr>
          <w:rFonts w:ascii="宋体" w:hAnsi="宋体"/>
        </w:rPr>
      </w:pPr>
      <w:r>
        <w:rPr>
          <w:rFonts w:hint="eastAsia" w:ascii="宋体" w:hAnsi="宋体"/>
        </w:rPr>
        <w:t>24.1在投标文件制作完成后，生成后会选择是否加密投标文件，如不加密则直接点击生成文件即可，如需加密请插入CA锁，点击加密后生成文件，需输入CA锁密码即可加密成功。加密后会提示文件生成成功！</w:t>
      </w:r>
      <w:r>
        <w:rPr>
          <w:rFonts w:hint="eastAsia" w:ascii="宋体" w:hAnsi="宋体"/>
          <w:lang w:eastAsia="zh-CN"/>
        </w:rPr>
        <w:t>（</w:t>
      </w:r>
      <w:r>
        <w:rPr>
          <w:rFonts w:hint="eastAsia" w:ascii="宋体" w:hAnsi="宋体"/>
          <w:highlight w:val="yellow"/>
        </w:rPr>
        <w:t>注意：加密的投标文件开标时须使用加密文件时使用的锁在项目规定时间内解密！</w:t>
      </w:r>
      <w:r>
        <w:rPr>
          <w:rFonts w:hint="eastAsia" w:ascii="宋体" w:hAnsi="宋体"/>
          <w:highlight w:val="yellow"/>
          <w:lang w:eastAsia="zh-CN"/>
        </w:rPr>
        <w:t>）</w:t>
      </w:r>
    </w:p>
    <w:p>
      <w:pPr>
        <w:spacing w:line="240" w:lineRule="auto"/>
        <w:rPr>
          <w:rFonts w:ascii="宋体" w:hAnsi="宋体"/>
          <w:b/>
        </w:rPr>
      </w:pPr>
      <w:r>
        <w:rPr>
          <w:rFonts w:hint="eastAsia" w:ascii="宋体" w:hAnsi="宋体"/>
          <w:b/>
        </w:rPr>
        <w:t>24.2若采购项目出现延期情况：</w:t>
      </w:r>
    </w:p>
    <w:p>
      <w:pPr>
        <w:spacing w:line="240" w:lineRule="auto"/>
        <w:ind w:firstLine="422" w:firstLineChars="200"/>
        <w:rPr>
          <w:rFonts w:ascii="黑体" w:hAnsi="宋体" w:eastAsia="黑体"/>
          <w:b/>
          <w:sz w:val="24"/>
        </w:rPr>
      </w:pPr>
      <w:r>
        <w:rPr>
          <w:rFonts w:hint="eastAsia" w:ascii="宋体" w:hAnsi="宋体"/>
          <w:b/>
        </w:rPr>
        <w:t>如果供下载的招标文件有更新，投标人必须重新下载招标文件、重新制作投标文件、重新加密投标文件、重新上传投标文件。</w:t>
      </w:r>
    </w:p>
    <w:p>
      <w:pPr>
        <w:spacing w:line="240" w:lineRule="auto"/>
        <w:rPr>
          <w:rFonts w:ascii="黑体" w:hAnsi="宋体" w:eastAsia="黑体"/>
          <w:sz w:val="24"/>
        </w:rPr>
      </w:pPr>
      <w:r>
        <w:rPr>
          <w:rFonts w:hint="eastAsia" w:ascii="黑体" w:hAnsi="宋体" w:eastAsia="黑体"/>
          <w:sz w:val="24"/>
        </w:rPr>
        <w:t>25．上传投标文件及投标截止日期</w:t>
      </w:r>
    </w:p>
    <w:p>
      <w:pPr>
        <w:spacing w:line="240" w:lineRule="auto"/>
        <w:ind w:firstLine="411" w:firstLineChars="196"/>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自行采购系统（https://trade.szggzy.com/ggzy/center/#/login）”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深圳交易集团有限公司龙华分公司）（地址：深圳市龙华区观湖街道大和社区大和路288号宝观城锦鲤大厦办公楼22楼）协助上传，但上传过程中投标截止时间到达仍无法上传成功的，由投标人自行负责</w:t>
      </w:r>
      <w:r>
        <w:rPr>
          <w:rFonts w:hint="eastAsia" w:ascii="宋体" w:hAnsi="宋体"/>
        </w:rPr>
        <w:t>。</w:t>
      </w:r>
    </w:p>
    <w:p>
      <w:pPr>
        <w:spacing w:line="240" w:lineRule="auto"/>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spacing w:line="240" w:lineRule="auto"/>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bookmarkEnd w:id="73"/>
    <w:p>
      <w:pPr>
        <w:spacing w:line="240" w:lineRule="auto"/>
        <w:rPr>
          <w:rFonts w:ascii="黑体" w:hAnsi="宋体" w:eastAsia="黑体"/>
          <w:sz w:val="24"/>
        </w:rPr>
      </w:pPr>
      <w:r>
        <w:rPr>
          <w:rFonts w:hint="eastAsia" w:ascii="黑体" w:hAnsi="宋体" w:eastAsia="黑体"/>
          <w:sz w:val="24"/>
        </w:rPr>
        <w:t>26. 样品、现场演示、方案讲解</w:t>
      </w:r>
    </w:p>
    <w:p>
      <w:pPr>
        <w:spacing w:line="240" w:lineRule="auto"/>
        <w:ind w:firstLine="411" w:firstLineChars="196"/>
        <w:rPr>
          <w:rFonts w:ascii="宋体" w:hAnsi="宋体"/>
          <w:szCs w:val="21"/>
        </w:rPr>
      </w:pPr>
      <w:r>
        <w:rPr>
          <w:rFonts w:hint="eastAsia" w:ascii="宋体" w:hAnsi="宋体"/>
          <w:szCs w:val="21"/>
        </w:rPr>
        <w:t>26.1 样品、现场演示、方案讲解等事项在招标文件专用条款中进行规定。</w:t>
      </w:r>
    </w:p>
    <w:p>
      <w:pPr>
        <w:spacing w:line="240" w:lineRule="auto"/>
        <w:rPr>
          <w:rFonts w:ascii="黑体" w:hAnsi="宋体" w:eastAsia="黑体"/>
          <w:sz w:val="24"/>
        </w:rPr>
      </w:pPr>
      <w:bookmarkStart w:id="74"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pPr>
        <w:spacing w:line="240" w:lineRule="auto"/>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pPr>
        <w:spacing w:line="240" w:lineRule="auto"/>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pPr>
        <w:spacing w:line="240" w:lineRule="auto"/>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pPr>
        <w:spacing w:line="240" w:lineRule="auto"/>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74"/>
    <w:p>
      <w:pPr>
        <w:pStyle w:val="4"/>
        <w:numPr>
          <w:ilvl w:val="0"/>
          <w:numId w:val="107"/>
        </w:numPr>
        <w:tabs>
          <w:tab w:val="left" w:pos="720"/>
        </w:tabs>
        <w:spacing w:before="156" w:beforeLines="50" w:after="156" w:afterLines="50" w:line="240" w:lineRule="auto"/>
        <w:ind w:left="562" w:hanging="562"/>
        <w:rPr>
          <w:b/>
          <w:bCs/>
          <w:sz w:val="28"/>
          <w:szCs w:val="28"/>
        </w:rPr>
      </w:pPr>
      <w:r>
        <w:rPr>
          <w:rFonts w:hint="eastAsia"/>
          <w:b/>
          <w:bCs/>
          <w:sz w:val="28"/>
          <w:szCs w:val="28"/>
        </w:rPr>
        <w:t>开标</w:t>
      </w:r>
    </w:p>
    <w:p>
      <w:pPr>
        <w:spacing w:line="240" w:lineRule="auto"/>
        <w:rPr>
          <w:rFonts w:ascii="黑体" w:hAnsi="宋体" w:eastAsia="黑体"/>
          <w:sz w:val="24"/>
        </w:rPr>
      </w:pPr>
      <w:r>
        <w:rPr>
          <w:rFonts w:hint="eastAsia" w:ascii="黑体" w:hAnsi="宋体" w:eastAsia="黑体"/>
          <w:sz w:val="24"/>
        </w:rPr>
        <w:t>28．开标</w:t>
      </w:r>
    </w:p>
    <w:p>
      <w:pPr>
        <w:spacing w:line="240" w:lineRule="auto"/>
        <w:ind w:firstLine="359" w:firstLineChars="171"/>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w:t>
      </w:r>
      <w:r>
        <w:rPr>
          <w:rFonts w:hint="eastAsia" w:ascii="宋体" w:hAnsi="宋体"/>
        </w:rPr>
        <w:t>深圳政府采购自行采购系统（https://trade.szggzy.com/ggzy/center/#/login）</w:t>
      </w:r>
      <w:r>
        <w:rPr>
          <w:rFonts w:hint="eastAsia" w:ascii="宋体" w:hAnsi="宋体"/>
          <w:szCs w:val="21"/>
        </w:rPr>
        <w:t>”，使用本单位制作电子投标文件同一个电子密钥进行在线解密、查询开标情况。</w:t>
      </w:r>
    </w:p>
    <w:p>
      <w:pPr>
        <w:spacing w:line="240" w:lineRule="auto"/>
        <w:ind w:firstLine="315" w:firstLineChars="15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pStyle w:val="4"/>
        <w:numPr>
          <w:ilvl w:val="0"/>
          <w:numId w:val="107"/>
        </w:numPr>
        <w:tabs>
          <w:tab w:val="left" w:pos="720"/>
        </w:tabs>
        <w:spacing w:before="156" w:beforeLines="50" w:after="156" w:afterLines="50" w:line="240" w:lineRule="auto"/>
        <w:ind w:left="562" w:hanging="562"/>
        <w:rPr>
          <w:b/>
          <w:bCs/>
          <w:sz w:val="28"/>
          <w:szCs w:val="28"/>
        </w:rPr>
      </w:pPr>
      <w:r>
        <w:rPr>
          <w:rFonts w:hint="eastAsia"/>
          <w:b/>
          <w:bCs/>
          <w:sz w:val="28"/>
          <w:szCs w:val="28"/>
        </w:rPr>
        <w:t>评审要求</w:t>
      </w:r>
    </w:p>
    <w:p>
      <w:pPr>
        <w:spacing w:line="240" w:lineRule="auto"/>
        <w:rPr>
          <w:rFonts w:ascii="黑体" w:hAnsi="宋体" w:eastAsia="黑体"/>
          <w:sz w:val="24"/>
        </w:rPr>
      </w:pPr>
      <w:r>
        <w:rPr>
          <w:rFonts w:hint="eastAsia" w:ascii="黑体" w:hAnsi="宋体" w:eastAsia="黑体"/>
          <w:sz w:val="24"/>
        </w:rPr>
        <w:t>29．评审委员会组成</w:t>
      </w:r>
    </w:p>
    <w:p>
      <w:pPr>
        <w:spacing w:line="240" w:lineRule="auto"/>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pPr>
        <w:spacing w:line="240" w:lineRule="auto"/>
        <w:ind w:firstLine="411" w:firstLineChars="196"/>
        <w:rPr>
          <w:rFonts w:ascii="宋体" w:hAnsi="宋体"/>
        </w:rPr>
      </w:pPr>
      <w:bookmarkStart w:id="75"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75"/>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pPr>
        <w:spacing w:line="240" w:lineRule="auto"/>
        <w:ind w:firstLine="411" w:firstLineChars="196"/>
        <w:rPr>
          <w:rFonts w:ascii="宋体" w:hAnsi="宋体"/>
        </w:rPr>
      </w:pPr>
      <w:r>
        <w:rPr>
          <w:rFonts w:hint="eastAsia" w:ascii="宋体" w:hAnsi="宋体"/>
        </w:rPr>
        <w:t>29.2评审定标应当遵循公平、公正、科学、择优的原则。</w:t>
      </w:r>
    </w:p>
    <w:p>
      <w:pPr>
        <w:spacing w:line="240" w:lineRule="auto"/>
        <w:ind w:firstLine="411" w:firstLineChars="196"/>
        <w:rPr>
          <w:rFonts w:ascii="宋体" w:hAnsi="宋体"/>
        </w:rPr>
      </w:pPr>
      <w:r>
        <w:rPr>
          <w:rFonts w:hint="eastAsia" w:ascii="宋体" w:hAnsi="宋体"/>
        </w:rPr>
        <w:t>29.3评审活动依法进行，任何单位和个人不得非法干预评标过程和结果。</w:t>
      </w:r>
    </w:p>
    <w:p>
      <w:pPr>
        <w:spacing w:line="240" w:lineRule="auto"/>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pPr>
        <w:spacing w:line="240" w:lineRule="auto"/>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pPr>
        <w:spacing w:line="240" w:lineRule="auto"/>
        <w:rPr>
          <w:rFonts w:ascii="黑体" w:hAnsi="宋体" w:eastAsia="黑体"/>
          <w:sz w:val="24"/>
        </w:rPr>
      </w:pPr>
      <w:r>
        <w:rPr>
          <w:rFonts w:hint="eastAsia" w:ascii="黑体" w:hAnsi="宋体" w:eastAsia="黑体"/>
          <w:sz w:val="24"/>
        </w:rPr>
        <w:t>30．向评审委员会提供的资料</w:t>
      </w:r>
    </w:p>
    <w:p>
      <w:pPr>
        <w:spacing w:line="240" w:lineRule="auto"/>
        <w:ind w:firstLine="411" w:firstLineChars="196"/>
        <w:rPr>
          <w:rFonts w:ascii="宋体" w:hAnsi="宋体"/>
        </w:rPr>
      </w:pPr>
      <w:r>
        <w:rPr>
          <w:rFonts w:hint="eastAsia" w:ascii="宋体" w:hAnsi="宋体"/>
        </w:rPr>
        <w:t>30.1公开发布的招标文件，包括图纸、服务清单、答疑文件等；</w:t>
      </w:r>
    </w:p>
    <w:p>
      <w:pPr>
        <w:spacing w:line="240" w:lineRule="auto"/>
        <w:ind w:firstLine="411" w:firstLineChars="196"/>
        <w:rPr>
          <w:rFonts w:ascii="宋体" w:hAnsi="宋体"/>
        </w:rPr>
      </w:pPr>
      <w:r>
        <w:rPr>
          <w:rFonts w:hint="eastAsia" w:ascii="宋体" w:hAnsi="宋体"/>
        </w:rPr>
        <w:t>30.2其他评标必须的资料。</w:t>
      </w:r>
    </w:p>
    <w:p>
      <w:pPr>
        <w:spacing w:line="240" w:lineRule="auto"/>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pPr>
        <w:spacing w:line="240" w:lineRule="auto"/>
        <w:ind w:firstLine="411" w:firstLineChars="196"/>
        <w:rPr>
          <w:rFonts w:ascii="宋体" w:hAnsi="宋体"/>
        </w:rPr>
      </w:pPr>
      <w:r>
        <w:rPr>
          <w:rFonts w:hint="eastAsia" w:ascii="宋体" w:hAnsi="宋体"/>
        </w:rPr>
        <w:t>（1）招标的目的；</w:t>
      </w:r>
    </w:p>
    <w:p>
      <w:pPr>
        <w:spacing w:line="240" w:lineRule="auto"/>
        <w:ind w:firstLine="411" w:firstLineChars="196"/>
        <w:rPr>
          <w:rFonts w:ascii="宋体" w:hAnsi="宋体"/>
        </w:rPr>
      </w:pPr>
      <w:r>
        <w:rPr>
          <w:rFonts w:hint="eastAsia" w:ascii="宋体" w:hAnsi="宋体"/>
        </w:rPr>
        <w:t>（2）招标项目需求的范围和性质；</w:t>
      </w:r>
    </w:p>
    <w:p>
      <w:pPr>
        <w:spacing w:line="240" w:lineRule="auto"/>
        <w:ind w:firstLine="411" w:firstLineChars="196"/>
        <w:rPr>
          <w:rFonts w:ascii="宋体" w:hAnsi="宋体"/>
        </w:rPr>
      </w:pPr>
      <w:r>
        <w:rPr>
          <w:rFonts w:hint="eastAsia" w:ascii="宋体" w:hAnsi="宋体"/>
        </w:rPr>
        <w:t>（3）招标文件规定的投标人的资格、财政预算限额、商务条款；</w:t>
      </w:r>
    </w:p>
    <w:p>
      <w:pPr>
        <w:spacing w:line="240" w:lineRule="auto"/>
        <w:ind w:firstLine="411" w:firstLineChars="196"/>
        <w:rPr>
          <w:rFonts w:ascii="宋体" w:hAnsi="宋体"/>
        </w:rPr>
      </w:pPr>
      <w:r>
        <w:rPr>
          <w:rFonts w:hint="eastAsia" w:ascii="宋体" w:hAnsi="宋体"/>
        </w:rPr>
        <w:t>（4）招标文件规定的评标程序、评标方法和评标因素；</w:t>
      </w:r>
    </w:p>
    <w:p>
      <w:pPr>
        <w:spacing w:line="240" w:lineRule="auto"/>
        <w:ind w:firstLine="411" w:firstLineChars="196"/>
        <w:rPr>
          <w:rFonts w:ascii="宋体" w:hAnsi="宋体"/>
        </w:rPr>
      </w:pPr>
      <w:r>
        <w:rPr>
          <w:rFonts w:hint="eastAsia" w:ascii="宋体" w:hAnsi="宋体"/>
        </w:rPr>
        <w:t>（5）招标文件所列示的资格性审查表及符合性审查表。</w:t>
      </w:r>
    </w:p>
    <w:p>
      <w:pPr>
        <w:spacing w:line="240" w:lineRule="auto"/>
        <w:rPr>
          <w:rFonts w:ascii="黑体" w:hAnsi="宋体" w:eastAsia="黑体"/>
          <w:sz w:val="24"/>
        </w:rPr>
      </w:pPr>
      <w:r>
        <w:rPr>
          <w:rFonts w:hint="eastAsia" w:ascii="黑体" w:hAnsi="宋体" w:eastAsia="黑体"/>
          <w:sz w:val="24"/>
        </w:rPr>
        <w:t>31．独立评审</w:t>
      </w:r>
    </w:p>
    <w:p>
      <w:pPr>
        <w:spacing w:line="240" w:lineRule="auto"/>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pPr>
        <w:pStyle w:val="4"/>
        <w:numPr>
          <w:ilvl w:val="0"/>
          <w:numId w:val="107"/>
        </w:numPr>
        <w:tabs>
          <w:tab w:val="left" w:pos="720"/>
        </w:tabs>
        <w:spacing w:before="156" w:beforeLines="50" w:after="156" w:afterLines="50" w:line="240" w:lineRule="auto"/>
        <w:ind w:left="562" w:hanging="562"/>
        <w:rPr>
          <w:b/>
          <w:bCs/>
          <w:sz w:val="28"/>
          <w:szCs w:val="28"/>
        </w:rPr>
      </w:pPr>
      <w:r>
        <w:rPr>
          <w:rFonts w:hint="eastAsia"/>
          <w:b/>
          <w:bCs/>
          <w:sz w:val="28"/>
          <w:szCs w:val="28"/>
        </w:rPr>
        <w:t>评审程序及评审方法</w:t>
      </w:r>
    </w:p>
    <w:p>
      <w:pPr>
        <w:spacing w:line="240" w:lineRule="auto"/>
        <w:rPr>
          <w:rFonts w:ascii="黑体" w:hAnsi="宋体" w:eastAsia="黑体"/>
          <w:sz w:val="24"/>
        </w:rPr>
      </w:pPr>
      <w:r>
        <w:rPr>
          <w:rFonts w:hint="eastAsia" w:ascii="黑体" w:hAnsi="宋体" w:eastAsia="黑体"/>
          <w:sz w:val="24"/>
        </w:rPr>
        <w:t>32．投标文件初审</w:t>
      </w:r>
    </w:p>
    <w:p>
      <w:pPr>
        <w:spacing w:line="240" w:lineRule="auto"/>
        <w:ind w:firstLine="411" w:firstLineChars="196"/>
        <w:rPr>
          <w:rFonts w:ascii="宋体" w:hAnsi="宋体"/>
        </w:rPr>
      </w:pPr>
      <w:r>
        <w:rPr>
          <w:rFonts w:hint="eastAsia" w:ascii="宋体" w:hAnsi="宋体"/>
        </w:rPr>
        <w:t>32.1投标文件初审包括资格性审查和符合性审查。</w:t>
      </w:r>
    </w:p>
    <w:p>
      <w:pPr>
        <w:spacing w:line="240" w:lineRule="auto"/>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pPr>
        <w:spacing w:line="240" w:lineRule="auto"/>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pPr>
        <w:spacing w:line="240" w:lineRule="auto"/>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pPr>
        <w:spacing w:line="240" w:lineRule="auto"/>
        <w:ind w:firstLine="411" w:firstLineChars="196"/>
        <w:rPr>
          <w:rFonts w:ascii="宋体" w:hAnsi="宋体"/>
          <w:bCs/>
        </w:rPr>
      </w:pPr>
      <w:r>
        <w:rPr>
          <w:rFonts w:hint="eastAsia" w:ascii="宋体" w:hAnsi="宋体"/>
          <w:bCs/>
        </w:rPr>
        <w:t>32.3 投标文件初审中关于供应商家数的计算</w:t>
      </w:r>
      <w:r>
        <w:rPr>
          <w:rFonts w:hint="eastAsia" w:ascii="宋体" w:hAnsi="宋体"/>
          <w:bCs/>
          <w:lang w:eastAsia="zh-CN"/>
        </w:rPr>
        <w:t>：</w:t>
      </w:r>
    </w:p>
    <w:p>
      <w:pPr>
        <w:spacing w:line="240" w:lineRule="auto"/>
        <w:ind w:firstLine="411" w:firstLineChars="196"/>
        <w:rPr>
          <w:rFonts w:ascii="宋体" w:hAnsi="宋体"/>
          <w:bCs/>
        </w:rPr>
      </w:pPr>
      <w:r>
        <w:rPr>
          <w:rFonts w:hint="eastAsia" w:ascii="宋体" w:hAnsi="宋体"/>
          <w:bCs/>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spacing w:line="240" w:lineRule="auto"/>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pPr>
        <w:spacing w:line="240" w:lineRule="auto"/>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pPr>
        <w:spacing w:line="240" w:lineRule="auto"/>
        <w:ind w:firstLine="411" w:firstLineChars="196"/>
        <w:rPr>
          <w:rFonts w:ascii="宋体" w:hAnsi="宋体"/>
        </w:rPr>
      </w:pPr>
      <w:r>
        <w:rPr>
          <w:rFonts w:hint="eastAsia" w:ascii="宋体" w:hAnsi="宋体"/>
        </w:rPr>
        <w:t>32.4投标人投标文件作无效处理的情形，具体包括但不限于以下：</w:t>
      </w:r>
    </w:p>
    <w:p>
      <w:pPr>
        <w:spacing w:line="240" w:lineRule="auto"/>
        <w:ind w:firstLine="411" w:firstLineChars="196"/>
      </w:pPr>
      <w:r>
        <w:rPr>
          <w:rFonts w:hint="eastAsia" w:ascii="宋体" w:hAnsi="宋体"/>
        </w:rPr>
        <w:t>32.4.1</w:t>
      </w:r>
      <w:r>
        <w:rPr>
          <w:rFonts w:hint="eastAsia"/>
        </w:rPr>
        <w:t>不同投标人的投标文件由同一单位或者同一个人编制，或者由同一个人分阶段参与编制；</w:t>
      </w:r>
    </w:p>
    <w:p>
      <w:pPr>
        <w:spacing w:line="240" w:lineRule="auto"/>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pPr>
        <w:spacing w:line="240" w:lineRule="auto"/>
        <w:ind w:firstLine="411" w:firstLineChars="196"/>
        <w:rPr>
          <w:rFonts w:ascii="宋体" w:hAnsi="宋体"/>
        </w:rPr>
      </w:pPr>
      <w:r>
        <w:rPr>
          <w:rFonts w:hint="eastAsia" w:ascii="宋体" w:hAnsi="宋体"/>
        </w:rPr>
        <w:t>32.4.3不同投标人的投标文件载明的项目管理成员或者联系人员为同一人；</w:t>
      </w:r>
    </w:p>
    <w:p>
      <w:pPr>
        <w:spacing w:line="240" w:lineRule="auto"/>
        <w:ind w:firstLine="411" w:firstLineChars="196"/>
        <w:rPr>
          <w:rFonts w:ascii="宋体" w:hAnsi="宋体"/>
        </w:rPr>
      </w:pPr>
      <w:r>
        <w:rPr>
          <w:rFonts w:hint="eastAsia" w:ascii="宋体" w:hAnsi="宋体"/>
        </w:rPr>
        <w:t>32.4.4不同投标人的投标文件异常一致或者投标报价呈规律性差异；</w:t>
      </w:r>
    </w:p>
    <w:p>
      <w:pPr>
        <w:spacing w:line="240" w:lineRule="auto"/>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pPr>
        <w:spacing w:line="240" w:lineRule="auto"/>
        <w:ind w:firstLine="411" w:firstLineChars="196"/>
        <w:rPr>
          <w:rFonts w:ascii="宋体" w:hAnsi="宋体"/>
        </w:rPr>
      </w:pPr>
      <w:r>
        <w:rPr>
          <w:rFonts w:hint="eastAsia" w:ascii="宋体" w:hAnsi="宋体"/>
        </w:rPr>
        <w:t>32.4.6投标供应商之间相互约定给予未中标的供应商利益补偿；</w:t>
      </w:r>
    </w:p>
    <w:p>
      <w:pPr>
        <w:spacing w:line="240" w:lineRule="auto"/>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pPr>
        <w:spacing w:line="240" w:lineRule="auto"/>
        <w:ind w:firstLine="411" w:firstLineChars="196"/>
        <w:rPr>
          <w:rFonts w:ascii="宋体" w:hAnsi="宋体"/>
        </w:rPr>
      </w:pPr>
      <w:r>
        <w:rPr>
          <w:rFonts w:hint="eastAsia" w:ascii="宋体" w:hAnsi="宋体"/>
        </w:rPr>
        <w:t>32.4.8不同投标供应商的投标文件内容存在非正常一致；</w:t>
      </w:r>
    </w:p>
    <w:p>
      <w:pPr>
        <w:spacing w:line="240" w:lineRule="auto"/>
        <w:ind w:firstLine="411" w:firstLineChars="196"/>
        <w:rPr>
          <w:rFonts w:ascii="宋体" w:hAnsi="宋体"/>
        </w:rPr>
      </w:pPr>
      <w:r>
        <w:rPr>
          <w:rFonts w:hint="eastAsia" w:ascii="宋体" w:hAnsi="宋体"/>
        </w:rPr>
        <w:t>32.4.9在同一单位工作人员为两家以上（含两家）供应商进行同一项投标活动；</w:t>
      </w:r>
    </w:p>
    <w:p>
      <w:pPr>
        <w:spacing w:line="240" w:lineRule="auto"/>
        <w:ind w:firstLine="411" w:firstLineChars="196"/>
        <w:rPr>
          <w:rFonts w:ascii="宋体" w:hAnsi="宋体"/>
        </w:rPr>
      </w:pPr>
      <w:r>
        <w:rPr>
          <w:rFonts w:hint="eastAsia" w:ascii="宋体" w:hAnsi="宋体"/>
        </w:rPr>
        <w:t>32.4.10主管部门依照法律、法规认定的其他情形。</w:t>
      </w:r>
    </w:p>
    <w:p>
      <w:pPr>
        <w:spacing w:line="240" w:lineRule="auto"/>
        <w:rPr>
          <w:rFonts w:ascii="宋体" w:hAnsi="宋体"/>
        </w:rPr>
      </w:pPr>
      <w:r>
        <w:rPr>
          <w:rFonts w:hint="eastAsia" w:ascii="宋体" w:hAnsi="宋体"/>
        </w:rPr>
        <w:t>32.5对不属于《资格性审查表》和《符合性审查表》所列的其他情形，除专用条款另有规定和32.4条款所列情形外，不得作为投标无效的理由。</w:t>
      </w:r>
    </w:p>
    <w:p>
      <w:pPr>
        <w:spacing w:line="240" w:lineRule="auto"/>
        <w:rPr>
          <w:rFonts w:ascii="黑体" w:hAnsi="宋体" w:eastAsia="黑体"/>
          <w:sz w:val="24"/>
        </w:rPr>
      </w:pPr>
      <w:r>
        <w:rPr>
          <w:rFonts w:hint="eastAsia" w:ascii="黑体" w:hAnsi="宋体" w:eastAsia="黑体"/>
          <w:sz w:val="24"/>
        </w:rPr>
        <w:t>33．澄清有关问题</w:t>
      </w:r>
    </w:p>
    <w:p>
      <w:pPr>
        <w:spacing w:line="240" w:lineRule="auto"/>
        <w:ind w:firstLine="411" w:firstLineChars="196"/>
        <w:rPr>
          <w:rFonts w:ascii="宋体" w:hAnsi="宋体"/>
        </w:rPr>
      </w:pPr>
      <w:bookmarkStart w:id="76"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76"/>
    </w:p>
    <w:p>
      <w:pPr>
        <w:spacing w:line="240" w:lineRule="auto"/>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pPr>
        <w:spacing w:line="240" w:lineRule="auto"/>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pPr>
        <w:spacing w:line="240" w:lineRule="auto"/>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spacing w:line="240" w:lineRule="auto"/>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pPr>
        <w:spacing w:line="240" w:lineRule="auto"/>
        <w:rPr>
          <w:rFonts w:ascii="黑体" w:hAnsi="宋体" w:eastAsia="黑体"/>
          <w:sz w:val="24"/>
        </w:rPr>
      </w:pPr>
      <w:bookmarkStart w:id="77" w:name="_Toc73518151"/>
      <w:bookmarkStart w:id="78" w:name="_Toc73517673"/>
      <w:bookmarkStart w:id="79" w:name="_Toc73521581"/>
      <w:bookmarkStart w:id="80" w:name="_Toc100052400"/>
      <w:bookmarkStart w:id="81" w:name="_Toc73521669"/>
      <w:r>
        <w:rPr>
          <w:rFonts w:hint="eastAsia" w:ascii="黑体" w:hAnsi="宋体" w:eastAsia="黑体"/>
          <w:sz w:val="24"/>
        </w:rPr>
        <w:t>34．错误的修正</w:t>
      </w:r>
      <w:bookmarkEnd w:id="77"/>
      <w:bookmarkEnd w:id="78"/>
      <w:bookmarkEnd w:id="79"/>
      <w:bookmarkEnd w:id="80"/>
      <w:bookmarkEnd w:id="81"/>
    </w:p>
    <w:p>
      <w:pPr>
        <w:spacing w:line="240" w:lineRule="auto"/>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pPr>
        <w:spacing w:line="240" w:lineRule="auto"/>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spacing w:line="240" w:lineRule="auto"/>
        <w:ind w:firstLine="411" w:firstLineChars="196"/>
        <w:rPr>
          <w:rFonts w:ascii="宋体" w:hAnsi="宋体"/>
          <w:szCs w:val="21"/>
        </w:rPr>
      </w:pPr>
      <w:r>
        <w:rPr>
          <w:rFonts w:hint="eastAsia" w:ascii="宋体" w:hAnsi="宋体"/>
          <w:szCs w:val="21"/>
        </w:rPr>
        <w:t>34.2大写金额和小写金额不一致的，以大写金额为准；</w:t>
      </w:r>
    </w:p>
    <w:p>
      <w:pPr>
        <w:spacing w:line="240" w:lineRule="auto"/>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pPr>
        <w:spacing w:line="240" w:lineRule="auto"/>
        <w:ind w:firstLine="411" w:firstLineChars="196"/>
        <w:rPr>
          <w:rFonts w:ascii="宋体" w:hAnsi="宋体"/>
          <w:szCs w:val="21"/>
        </w:rPr>
      </w:pPr>
      <w:r>
        <w:rPr>
          <w:rFonts w:hint="eastAsia" w:ascii="宋体" w:hAnsi="宋体"/>
          <w:szCs w:val="21"/>
        </w:rPr>
        <w:t>34.4总价金额与按单价汇总金额不一致的，以单价金额计算结果为准。</w:t>
      </w:r>
    </w:p>
    <w:p>
      <w:pPr>
        <w:spacing w:line="240" w:lineRule="auto"/>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spacing w:line="240" w:lineRule="auto"/>
        <w:rPr>
          <w:rFonts w:ascii="黑体" w:hAnsi="宋体" w:eastAsia="黑体"/>
          <w:sz w:val="24"/>
        </w:rPr>
      </w:pPr>
      <w:r>
        <w:rPr>
          <w:rFonts w:hint="eastAsia" w:ascii="黑体" w:hAnsi="宋体" w:eastAsia="黑体"/>
          <w:sz w:val="24"/>
        </w:rPr>
        <w:t>35．投标文件的比较与评价</w:t>
      </w:r>
    </w:p>
    <w:p>
      <w:pPr>
        <w:spacing w:line="240" w:lineRule="auto"/>
        <w:ind w:firstLine="411" w:firstLineChars="196"/>
        <w:rPr>
          <w:rFonts w:ascii="宋体" w:hAnsi="宋体"/>
          <w:szCs w:val="21"/>
        </w:rPr>
      </w:pPr>
      <w:r>
        <w:rPr>
          <w:rFonts w:hint="eastAsia" w:ascii="宋体" w:hAnsi="宋体"/>
          <w:szCs w:val="21"/>
        </w:rPr>
        <w:t>评审委员会将按照《深圳经济特区政府采购条例</w:t>
      </w:r>
      <w:r>
        <w:rPr>
          <w:rFonts w:hint="eastAsia" w:ascii="宋体" w:hAnsi="宋体"/>
          <w:szCs w:val="21"/>
          <w:lang w:eastAsia="zh-CN"/>
        </w:rPr>
        <w:t>》《</w:t>
      </w:r>
      <w:r>
        <w:rPr>
          <w:rFonts w:hint="eastAsia" w:ascii="宋体" w:hAnsi="宋体"/>
          <w:szCs w:val="21"/>
        </w:rPr>
        <w:t>深圳经济特区政府采购条例实施细则</w:t>
      </w:r>
      <w:r>
        <w:rPr>
          <w:rFonts w:hint="eastAsia" w:ascii="宋体" w:hAnsi="宋体"/>
          <w:szCs w:val="21"/>
          <w:lang w:eastAsia="zh-CN"/>
        </w:rPr>
        <w:t>》《</w:t>
      </w:r>
      <w:r>
        <w:rPr>
          <w:rFonts w:hint="eastAsia" w:ascii="宋体" w:hAnsi="宋体"/>
          <w:szCs w:val="21"/>
        </w:rPr>
        <w:t>深圳市政府采购评标定标分离管理办法》及政府采购其他法律法规，仅对通过资格性审查和符合性审查的投标文件进行综合比较与评价。</w:t>
      </w:r>
    </w:p>
    <w:p>
      <w:pPr>
        <w:spacing w:line="240" w:lineRule="auto"/>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spacing w:line="240" w:lineRule="auto"/>
        <w:rPr>
          <w:rFonts w:ascii="黑体" w:hAnsi="宋体" w:eastAsia="黑体"/>
          <w:sz w:val="24"/>
        </w:rPr>
      </w:pPr>
      <w:r>
        <w:rPr>
          <w:rFonts w:hint="eastAsia" w:ascii="黑体" w:hAnsi="宋体" w:eastAsia="黑体"/>
          <w:sz w:val="24"/>
        </w:rPr>
        <w:t>36. 实地考察或资料查验</w:t>
      </w:r>
    </w:p>
    <w:p>
      <w:pPr>
        <w:spacing w:line="240" w:lineRule="auto"/>
        <w:ind w:firstLine="411" w:firstLineChars="196"/>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spacing w:line="240" w:lineRule="auto"/>
        <w:rPr>
          <w:rFonts w:ascii="黑体" w:hAnsi="宋体" w:eastAsia="黑体"/>
          <w:sz w:val="24"/>
        </w:rPr>
      </w:pPr>
      <w:r>
        <w:rPr>
          <w:rFonts w:hint="eastAsia" w:ascii="黑体" w:hAnsi="宋体" w:eastAsia="黑体"/>
          <w:sz w:val="24"/>
        </w:rPr>
        <w:t>37．评审方法</w:t>
      </w:r>
    </w:p>
    <w:p>
      <w:pPr>
        <w:spacing w:line="240" w:lineRule="auto"/>
        <w:ind w:firstLine="413" w:firstLineChars="196"/>
        <w:rPr>
          <w:rFonts w:ascii="宋体" w:hAnsi="宋体"/>
          <w:b/>
          <w:bCs/>
          <w:szCs w:val="21"/>
        </w:rPr>
      </w:pPr>
      <w:bookmarkStart w:id="82" w:name="_Hlk72438142"/>
      <w:r>
        <w:rPr>
          <w:rFonts w:hint="eastAsia" w:ascii="宋体" w:hAnsi="宋体"/>
          <w:b/>
          <w:bCs/>
          <w:szCs w:val="21"/>
        </w:rPr>
        <w:t>37.1.1最低价法</w:t>
      </w:r>
    </w:p>
    <w:p>
      <w:pPr>
        <w:spacing w:line="240" w:lineRule="auto"/>
        <w:ind w:firstLine="411" w:firstLineChars="196"/>
        <w:rPr>
          <w:rFonts w:ascii="ˎ̥" w:hAnsi="ˎ̥"/>
        </w:rPr>
      </w:pPr>
      <w:r>
        <w:rPr>
          <w:rFonts w:ascii="ˎ̥" w:hAnsi="ˎ̥"/>
        </w:rPr>
        <w:t>最低价法，</w:t>
      </w:r>
      <w:r>
        <w:rPr>
          <w:rFonts w:hint="eastAsia" w:ascii="ˎ̥" w:hAnsi="ˎ̥"/>
        </w:rPr>
        <w:t>是指投标文件满足招标文件全部实质性要求，且投标报价最低的投标人为中标候选人的评标方法。</w:t>
      </w:r>
    </w:p>
    <w:p>
      <w:pPr>
        <w:spacing w:line="240" w:lineRule="auto"/>
        <w:ind w:firstLine="411" w:firstLineChars="196"/>
        <w:rPr>
          <w:rFonts w:ascii="ˎ̥" w:hAnsi="ˎ̥" w:eastAsia="宋体"/>
        </w:rPr>
      </w:pPr>
      <w:r>
        <w:rPr>
          <w:rFonts w:hint="eastAsia" w:ascii="ˎ̥" w:hAnsi="ˎ̥"/>
        </w:rPr>
        <w:t>采用最低价法的，评标结果按投标报价由低到高顺序排列。投标报价相同的并列。投标文件满足招标文件全部实质性要求且投标报价最低的投标人为排名第一的中标候选人。出现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t>
      </w:r>
    </w:p>
    <w:p>
      <w:pPr>
        <w:spacing w:line="240" w:lineRule="auto"/>
        <w:ind w:firstLine="413" w:firstLineChars="196"/>
        <w:rPr>
          <w:rFonts w:ascii="宋体" w:hAnsi="宋体"/>
          <w:b/>
          <w:bCs/>
          <w:szCs w:val="21"/>
        </w:rPr>
      </w:pPr>
      <w:r>
        <w:rPr>
          <w:rFonts w:hint="eastAsia" w:ascii="宋体" w:hAnsi="宋体"/>
          <w:b/>
          <w:bCs/>
          <w:szCs w:val="21"/>
        </w:rPr>
        <w:t>37.1.2综合评分法</w:t>
      </w:r>
    </w:p>
    <w:p>
      <w:pPr>
        <w:spacing w:line="240" w:lineRule="auto"/>
        <w:ind w:firstLine="411" w:firstLineChars="196"/>
        <w:rPr>
          <w:rFonts w:ascii="ˎ̥" w:hAnsi="ˎ̥"/>
        </w:rPr>
      </w:pPr>
      <w:r>
        <w:rPr>
          <w:rFonts w:ascii="ˎ̥" w:hAnsi="ˎ̥"/>
        </w:rPr>
        <w:t>综合评分法，是指</w:t>
      </w:r>
      <w:r>
        <w:rPr>
          <w:rFonts w:hint="eastAsia" w:ascii="ˎ̥" w:hAnsi="ˎ̥"/>
        </w:rPr>
        <w:t>在</w:t>
      </w:r>
      <w:r>
        <w:rPr>
          <w:rFonts w:ascii="ˎ̥" w:hAnsi="ˎ̥"/>
        </w:rPr>
        <w:t>满足招标文件全部实质性要求</w:t>
      </w:r>
      <w:r>
        <w:rPr>
          <w:rFonts w:hint="eastAsia" w:ascii="ˎ̥" w:hAnsi="ˎ̥"/>
        </w:rPr>
        <w:t>的前提下</w:t>
      </w:r>
      <w:r>
        <w:rPr>
          <w:rFonts w:ascii="ˎ̥" w:hAnsi="ˎ̥"/>
        </w:rPr>
        <w:t>，</w:t>
      </w:r>
      <w:r>
        <w:rPr>
          <w:rFonts w:hint="eastAsia" w:ascii="ˎ̥" w:hAnsi="ˎ̥"/>
        </w:rPr>
        <w:t>按照招标文件中规定的各项因素进行综合评审，评审总得分排名前列的投标人，作为推荐的候选中标供应商。</w:t>
      </w:r>
    </w:p>
    <w:p>
      <w:pPr>
        <w:spacing w:line="240" w:lineRule="auto"/>
        <w:ind w:firstLine="411" w:firstLineChars="196"/>
        <w:rPr>
          <w:rFonts w:ascii="ˎ̥" w:hAnsi="ˎ̥"/>
        </w:rPr>
      </w:pPr>
      <w:r>
        <w:rPr>
          <w:rFonts w:hint="eastAsia" w:ascii="ˎ̥" w:hAnsi="ˎ̥"/>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出现得分且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t>
      </w:r>
      <w:bookmarkEnd w:id="82"/>
    </w:p>
    <w:p>
      <w:pPr>
        <w:spacing w:line="240" w:lineRule="auto"/>
        <w:ind w:firstLine="413" w:firstLineChars="196"/>
        <w:rPr>
          <w:rFonts w:ascii="宋体" w:hAnsi="宋体"/>
          <w:b/>
          <w:bCs/>
          <w:szCs w:val="21"/>
        </w:rPr>
      </w:pPr>
      <w:r>
        <w:rPr>
          <w:rFonts w:hint="eastAsia" w:ascii="宋体" w:hAnsi="宋体"/>
          <w:b/>
          <w:bCs/>
          <w:szCs w:val="21"/>
        </w:rPr>
        <w:t>37.2 本项目采用的评审方法见本项目招标文件第一册“专用条款”的相关内容。</w:t>
      </w:r>
    </w:p>
    <w:p>
      <w:pPr>
        <w:spacing w:line="240" w:lineRule="auto"/>
        <w:ind w:firstLine="413" w:firstLineChars="196"/>
        <w:rPr>
          <w:rFonts w:ascii="宋体" w:hAnsi="宋体"/>
          <w:b/>
          <w:bCs/>
          <w:szCs w:val="21"/>
        </w:rPr>
      </w:pPr>
      <w:r>
        <w:rPr>
          <w:rFonts w:hint="eastAsia" w:ascii="宋体" w:hAnsi="宋体"/>
          <w:b/>
          <w:bCs/>
          <w:szCs w:val="21"/>
        </w:rPr>
        <w:t>37.3重新评审的情形</w:t>
      </w:r>
    </w:p>
    <w:p>
      <w:pPr>
        <w:spacing w:line="240" w:lineRule="auto"/>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pPr>
        <w:spacing w:line="240" w:lineRule="auto"/>
        <w:ind w:firstLine="411" w:firstLineChars="196"/>
        <w:rPr>
          <w:rFonts w:ascii="宋体" w:hAnsi="宋体" w:cs="宋体"/>
          <w:kern w:val="0"/>
          <w:szCs w:val="21"/>
        </w:rPr>
      </w:pPr>
      <w:r>
        <w:rPr>
          <w:rFonts w:hint="eastAsia" w:ascii="宋体" w:hAnsi="宋体" w:cs="宋体"/>
          <w:kern w:val="0"/>
          <w:szCs w:val="21"/>
        </w:rPr>
        <w:t>37.3.1分值汇总计算错误的；</w:t>
      </w:r>
    </w:p>
    <w:p>
      <w:pPr>
        <w:spacing w:line="240" w:lineRule="auto"/>
        <w:ind w:firstLine="411" w:firstLineChars="196"/>
        <w:rPr>
          <w:rFonts w:ascii="宋体" w:hAnsi="宋体" w:cs="宋体"/>
          <w:kern w:val="0"/>
          <w:szCs w:val="21"/>
        </w:rPr>
      </w:pPr>
      <w:r>
        <w:rPr>
          <w:rFonts w:hint="eastAsia" w:ascii="宋体" w:hAnsi="宋体" w:cs="宋体"/>
          <w:kern w:val="0"/>
          <w:szCs w:val="21"/>
        </w:rPr>
        <w:t>37.3.2分项评分超出评分标准范围的；</w:t>
      </w:r>
    </w:p>
    <w:p>
      <w:pPr>
        <w:spacing w:line="240" w:lineRule="auto"/>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pPr>
        <w:spacing w:line="240" w:lineRule="auto"/>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pPr>
        <w:spacing w:line="240" w:lineRule="auto"/>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spacing w:line="240" w:lineRule="auto"/>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spacing w:line="240" w:lineRule="auto"/>
        <w:ind w:firstLine="413" w:firstLineChars="196"/>
        <w:rPr>
          <w:rFonts w:ascii="宋体" w:hAnsi="宋体"/>
          <w:b/>
          <w:bCs/>
          <w:szCs w:val="21"/>
        </w:rPr>
      </w:pPr>
      <w:r>
        <w:rPr>
          <w:rFonts w:hint="eastAsia" w:ascii="宋体" w:hAnsi="宋体"/>
          <w:b/>
          <w:bCs/>
          <w:szCs w:val="21"/>
        </w:rPr>
        <w:t xml:space="preserve"> 37.4重新组建评审委员会的情形</w:t>
      </w:r>
    </w:p>
    <w:p>
      <w:pPr>
        <w:spacing w:line="240" w:lineRule="auto"/>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spacing w:line="240" w:lineRule="auto"/>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spacing w:line="240" w:lineRule="auto"/>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spacing w:line="240" w:lineRule="auto"/>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pPr>
        <w:spacing w:line="240" w:lineRule="auto"/>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pPr>
        <w:spacing w:line="240" w:lineRule="auto"/>
        <w:ind w:firstLine="411" w:firstLineChars="196"/>
        <w:rPr>
          <w:rFonts w:ascii="宋体" w:hAnsi="宋体"/>
          <w:szCs w:val="21"/>
        </w:rPr>
      </w:pPr>
      <w:r>
        <w:rPr>
          <w:rFonts w:hint="eastAsia" w:ascii="宋体" w:hAnsi="宋体" w:cs="宋体"/>
          <w:kern w:val="0"/>
          <w:szCs w:val="21"/>
        </w:rPr>
        <w:t>有违法违规行为的原评审委员会成员不得参加重新组建的评审委员会。</w:t>
      </w:r>
    </w:p>
    <w:p>
      <w:pPr>
        <w:pStyle w:val="4"/>
        <w:numPr>
          <w:ilvl w:val="0"/>
          <w:numId w:val="107"/>
        </w:numPr>
        <w:tabs>
          <w:tab w:val="left" w:pos="720"/>
        </w:tabs>
        <w:spacing w:before="156" w:beforeLines="50" w:after="156" w:afterLines="50" w:line="240" w:lineRule="auto"/>
        <w:ind w:left="562" w:hanging="562"/>
        <w:rPr>
          <w:b/>
          <w:bCs/>
          <w:sz w:val="28"/>
          <w:szCs w:val="28"/>
        </w:rPr>
      </w:pPr>
      <w:r>
        <w:rPr>
          <w:rFonts w:hint="eastAsia"/>
          <w:b/>
          <w:bCs/>
          <w:sz w:val="28"/>
          <w:szCs w:val="28"/>
        </w:rPr>
        <w:t>定标及公示</w:t>
      </w:r>
    </w:p>
    <w:p>
      <w:pPr>
        <w:spacing w:line="240" w:lineRule="auto"/>
        <w:rPr>
          <w:rFonts w:ascii="黑体" w:hAnsi="宋体" w:eastAsia="黑体"/>
          <w:sz w:val="24"/>
        </w:rPr>
      </w:pPr>
      <w:r>
        <w:rPr>
          <w:rFonts w:hint="eastAsia" w:ascii="黑体" w:hAnsi="宋体" w:eastAsia="黑体"/>
          <w:sz w:val="24"/>
        </w:rPr>
        <w:t>38．定标方法</w:t>
      </w:r>
    </w:p>
    <w:p>
      <w:pPr>
        <w:spacing w:line="240" w:lineRule="auto"/>
        <w:ind w:firstLine="411" w:firstLineChars="196"/>
        <w:rPr>
          <w:rFonts w:ascii="宋体" w:hAnsi="宋体"/>
          <w:szCs w:val="21"/>
        </w:rPr>
      </w:pPr>
      <w:bookmarkStart w:id="83" w:name="_Hlk73782795"/>
      <w:r>
        <w:rPr>
          <w:rFonts w:hint="eastAsia" w:ascii="宋体" w:hAnsi="宋体"/>
          <w:szCs w:val="21"/>
        </w:rPr>
        <w:t>38.1非评定分离项目定标方法</w:t>
      </w:r>
    </w:p>
    <w:p>
      <w:pPr>
        <w:spacing w:line="240" w:lineRule="auto"/>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spacing w:line="240" w:lineRule="auto"/>
        <w:ind w:firstLine="411" w:firstLineChars="196"/>
        <w:rPr>
          <w:rFonts w:ascii="ˎ̥" w:hAnsi="ˎ̥"/>
        </w:rPr>
      </w:pPr>
      <w:r>
        <w:rPr>
          <w:rFonts w:hint="eastAsia" w:ascii="ˎ̥" w:hAnsi="ˎ̥"/>
        </w:rPr>
        <w:t>38.1.2采用最低价法的，评审结果按投标报价由低到高顺序排列。投标报价相同的并列。投标文件满足招标文件全部实质性要求且投标报价最低的投标人为中标供应商（排名第二的投标人为第一替补中标候选人、排名第三的投标人为第二替补中标候选人）。出现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t>
      </w:r>
    </w:p>
    <w:p>
      <w:pPr>
        <w:spacing w:line="240" w:lineRule="auto"/>
        <w:ind w:firstLine="411" w:firstLineChars="196"/>
        <w:rPr>
          <w:rFonts w:ascii="ˎ̥" w:hAnsi="ˎ̥"/>
        </w:rPr>
      </w:pPr>
      <w:r>
        <w:rPr>
          <w:rFonts w:hint="eastAsia" w:ascii="ˎ̥" w:hAnsi="ˎ̥"/>
        </w:rPr>
        <w:t>38.1.3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供应商（排名第二的投标人为第一替补中标候选人、排名第三的投标人为第二替补中标候选人）。出现得分且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t>
      </w:r>
    </w:p>
    <w:p>
      <w:pPr>
        <w:spacing w:line="240" w:lineRule="auto"/>
        <w:ind w:firstLine="411" w:firstLineChars="196"/>
        <w:rPr>
          <w:rFonts w:ascii="宋体" w:hAnsi="宋体"/>
          <w:szCs w:val="21"/>
        </w:rPr>
      </w:pPr>
      <w:r>
        <w:rPr>
          <w:rFonts w:hint="eastAsia" w:ascii="宋体" w:hAnsi="宋体"/>
          <w:szCs w:val="21"/>
        </w:rPr>
        <w:t>38.2评定分离项目定标方法</w:t>
      </w:r>
    </w:p>
    <w:p>
      <w:pPr>
        <w:spacing w:line="240" w:lineRule="auto"/>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spacing w:line="240" w:lineRule="auto"/>
        <w:ind w:firstLine="411" w:firstLineChars="196"/>
      </w:pPr>
      <w:r>
        <w:rPr>
          <w:rFonts w:ascii="宋体" w:hAnsi="宋体"/>
          <w:szCs w:val="21"/>
        </w:rPr>
        <w:t xml:space="preserve">38.2.2 </w:t>
      </w:r>
      <w:bookmarkStart w:id="84"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pPr>
        <w:spacing w:line="240" w:lineRule="auto"/>
        <w:ind w:firstLine="411" w:firstLineChars="196"/>
        <w:rPr>
          <w:rFonts w:ascii="宋体" w:hAnsi="宋体"/>
          <w:szCs w:val="21"/>
        </w:rPr>
      </w:pPr>
      <w:r>
        <w:rPr>
          <w:rFonts w:hint="eastAsia" w:ascii="宋体" w:hAnsi="宋体"/>
          <w:szCs w:val="21"/>
        </w:rPr>
        <w:t>38.2.3</w:t>
      </w:r>
      <w:bookmarkStart w:id="85"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84"/>
      <w:bookmarkEnd w:id="85"/>
    </w:p>
    <w:p>
      <w:pPr>
        <w:spacing w:line="240" w:lineRule="auto"/>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w:t>
      </w:r>
      <w:r>
        <w:t>深圳市财政局关于印发</w:t>
      </w:r>
      <w:r>
        <w:rPr>
          <w:rFonts w:hint="eastAsia" w:ascii="宋体" w:hAnsi="宋体"/>
        </w:rPr>
        <w:t>〈</w:t>
      </w:r>
      <w:r>
        <w:t>深圳市政府采购评标定标分离管理办法</w:t>
      </w:r>
      <w:r>
        <w:rPr>
          <w:rFonts w:hint="eastAsia" w:ascii="宋体" w:hAnsi="宋体"/>
        </w:rPr>
        <w:t>〉</w:t>
      </w:r>
      <w:r>
        <w:t>的通知</w:t>
      </w:r>
      <w:r>
        <w:rPr>
          <w:rFonts w:hint="eastAsia"/>
        </w:rPr>
        <w:t>》执行。</w:t>
      </w:r>
    </w:p>
    <w:p>
      <w:pPr>
        <w:spacing w:line="240" w:lineRule="auto"/>
        <w:ind w:firstLine="411" w:firstLineChars="196"/>
        <w:rPr>
          <w:rFonts w:ascii="宋体" w:hAnsi="宋体"/>
          <w:szCs w:val="21"/>
        </w:rPr>
      </w:pPr>
      <w:r>
        <w:rPr>
          <w:rFonts w:hint="eastAsia" w:ascii="宋体" w:hAnsi="宋体"/>
          <w:szCs w:val="21"/>
        </w:rPr>
        <w:t>说明：采购人及投标供应商应按照上述方法提前做好相关准备。</w:t>
      </w:r>
    </w:p>
    <w:p>
      <w:pPr>
        <w:spacing w:line="240" w:lineRule="auto"/>
        <w:ind w:firstLine="411" w:firstLineChars="196"/>
        <w:rPr>
          <w:rFonts w:ascii="宋体" w:hAnsi="宋体"/>
          <w:szCs w:val="21"/>
        </w:rPr>
      </w:pPr>
      <w:r>
        <w:rPr>
          <w:rFonts w:hint="eastAsia" w:ascii="宋体" w:hAnsi="宋体"/>
          <w:szCs w:val="21"/>
        </w:rPr>
        <w:t>38.3专用条款另有规定的，按专用条款相关要求定标。</w:t>
      </w:r>
      <w:bookmarkEnd w:id="83"/>
    </w:p>
    <w:p>
      <w:pPr>
        <w:spacing w:line="240" w:lineRule="auto"/>
        <w:rPr>
          <w:rFonts w:ascii="黑体" w:hAnsi="宋体" w:eastAsia="黑体"/>
          <w:sz w:val="24"/>
        </w:rPr>
      </w:pPr>
      <w:r>
        <w:rPr>
          <w:rFonts w:hint="eastAsia" w:ascii="黑体" w:hAnsi="宋体" w:eastAsia="黑体"/>
          <w:sz w:val="24"/>
        </w:rPr>
        <w:t>39．编写评审报告</w:t>
      </w:r>
    </w:p>
    <w:p>
      <w:pPr>
        <w:spacing w:line="240" w:lineRule="auto"/>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spacing w:line="240" w:lineRule="auto"/>
        <w:rPr>
          <w:rFonts w:ascii="黑体" w:hAnsi="宋体" w:eastAsia="黑体"/>
          <w:sz w:val="24"/>
        </w:rPr>
      </w:pPr>
      <w:r>
        <w:rPr>
          <w:rFonts w:hint="eastAsia" w:ascii="黑体" w:hAnsi="宋体" w:eastAsia="黑体"/>
          <w:sz w:val="24"/>
        </w:rPr>
        <w:t>40．中标公告</w:t>
      </w:r>
    </w:p>
    <w:p>
      <w:pPr>
        <w:spacing w:line="240" w:lineRule="auto"/>
        <w:ind w:firstLine="411" w:firstLineChars="196"/>
        <w:rPr>
          <w:rFonts w:ascii="宋体" w:hAnsi="宋体"/>
          <w:szCs w:val="21"/>
        </w:rPr>
      </w:pPr>
      <w:r>
        <w:rPr>
          <w:rFonts w:hint="eastAsia" w:ascii="宋体" w:hAnsi="宋体"/>
          <w:szCs w:val="21"/>
        </w:rPr>
        <w:t>40.1</w:t>
      </w:r>
      <w:bookmarkStart w:id="86"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rPr>
        <w:t>深圳政府采购自行采购系统</w:t>
      </w:r>
      <w:r>
        <w:rPr>
          <w:rFonts w:hint="eastAsia" w:ascii="宋体" w:hAnsi="宋体"/>
          <w:b/>
          <w:bCs/>
          <w:szCs w:val="21"/>
        </w:rPr>
        <w:t>（https://zxcg.szggzy.com/home/index.html）</w:t>
      </w:r>
      <w:r>
        <w:rPr>
          <w:rFonts w:hint="eastAsia" w:ascii="宋体" w:hAnsi="宋体"/>
          <w:szCs w:val="21"/>
        </w:rPr>
        <w:t>上发布中标结果公告。</w:t>
      </w:r>
      <w:bookmarkEnd w:id="86"/>
      <w:bookmarkStart w:id="87"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监督电话：0755-83948143。</w:t>
      </w:r>
      <w:r>
        <w:rPr>
          <w:rFonts w:hint="eastAsia" w:ascii="宋体" w:hAnsi="宋体"/>
          <w:szCs w:val="21"/>
        </w:rPr>
        <w:t>若在公示期内未提出质疑，则视为认同该评审结果。</w:t>
      </w:r>
    </w:p>
    <w:bookmarkEnd w:id="87"/>
    <w:p>
      <w:pPr>
        <w:spacing w:line="240" w:lineRule="auto"/>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pPr>
        <w:spacing w:line="240" w:lineRule="auto"/>
        <w:rPr>
          <w:rFonts w:ascii="黑体" w:hAnsi="宋体" w:eastAsia="黑体"/>
          <w:sz w:val="24"/>
        </w:rPr>
      </w:pPr>
      <w:r>
        <w:rPr>
          <w:rFonts w:hint="eastAsia" w:ascii="黑体" w:hAnsi="宋体" w:eastAsia="黑体"/>
          <w:sz w:val="24"/>
        </w:rPr>
        <w:t>41．中标通知书</w:t>
      </w:r>
    </w:p>
    <w:p>
      <w:pPr>
        <w:spacing w:line="240" w:lineRule="auto"/>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88" w:name="_Hlk72438863"/>
      <w:r>
        <w:rPr>
          <w:rFonts w:hint="eastAsia" w:ascii="宋体" w:hAnsi="宋体"/>
          <w:szCs w:val="21"/>
        </w:rPr>
        <w:t>中标公告公布以后无异常的情况下</w:t>
      </w:r>
      <w:r>
        <w:rPr>
          <w:rFonts w:hint="eastAsia" w:ascii="宋体" w:hAnsi="宋体"/>
          <w:szCs w:val="21"/>
          <w:lang w:eastAsia="zh-CN"/>
        </w:rPr>
        <w:t>，</w:t>
      </w:r>
      <w:r>
        <w:rPr>
          <w:rFonts w:hint="eastAsia" w:ascii="宋体" w:hAnsi="宋体"/>
          <w:szCs w:val="21"/>
        </w:rPr>
        <w:t>中标供应商和采购人可自行登录</w:t>
      </w:r>
      <w:r>
        <w:rPr>
          <w:rFonts w:hint="eastAsia" w:ascii="宋体" w:hAnsi="宋体"/>
          <w:b/>
          <w:bCs/>
          <w:szCs w:val="21"/>
        </w:rPr>
        <w:t>“</w:t>
      </w:r>
      <w:r>
        <w:rPr>
          <w:rFonts w:hint="eastAsia" w:ascii="宋体" w:hAnsi="宋体"/>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88"/>
    </w:p>
    <w:p>
      <w:pPr>
        <w:spacing w:line="240" w:lineRule="auto"/>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spacing w:line="240" w:lineRule="auto"/>
        <w:ind w:firstLine="411" w:firstLineChars="196"/>
        <w:rPr>
          <w:rFonts w:ascii="宋体" w:hAnsi="宋体"/>
          <w:szCs w:val="21"/>
        </w:rPr>
      </w:pPr>
      <w:bookmarkStart w:id="89" w:name="_Hlk71407340"/>
      <w:r>
        <w:rPr>
          <w:rFonts w:hint="eastAsia" w:ascii="宋体" w:hAnsi="宋体"/>
          <w:szCs w:val="21"/>
        </w:rPr>
        <w:t>41.3因质疑投诉或其它原因导致项目结果变更或采购终止的，政府集中采购机构有权吊销中标通知书。</w:t>
      </w:r>
      <w:bookmarkEnd w:id="89"/>
    </w:p>
    <w:p>
      <w:pPr>
        <w:pStyle w:val="4"/>
        <w:numPr>
          <w:ilvl w:val="0"/>
          <w:numId w:val="107"/>
        </w:numPr>
        <w:tabs>
          <w:tab w:val="left" w:pos="720"/>
        </w:tabs>
        <w:spacing w:before="156" w:beforeLines="50" w:after="156" w:afterLines="50" w:line="240" w:lineRule="auto"/>
        <w:ind w:left="562" w:hanging="562"/>
        <w:rPr>
          <w:b/>
          <w:bCs/>
          <w:sz w:val="28"/>
          <w:szCs w:val="28"/>
        </w:rPr>
      </w:pPr>
      <w:r>
        <w:rPr>
          <w:rFonts w:hint="eastAsia"/>
          <w:b/>
          <w:bCs/>
          <w:sz w:val="28"/>
          <w:szCs w:val="28"/>
        </w:rPr>
        <w:t>公开招标失败的后续处理</w:t>
      </w:r>
    </w:p>
    <w:p>
      <w:pPr>
        <w:spacing w:line="240" w:lineRule="auto"/>
        <w:rPr>
          <w:rFonts w:ascii="黑体" w:hAnsi="宋体" w:eastAsia="黑体"/>
          <w:sz w:val="24"/>
        </w:rPr>
      </w:pPr>
      <w:r>
        <w:rPr>
          <w:rFonts w:hint="eastAsia" w:ascii="黑体" w:hAnsi="宋体" w:eastAsia="黑体"/>
          <w:sz w:val="24"/>
        </w:rPr>
        <w:t>42．公开招标失败的处理</w:t>
      </w:r>
    </w:p>
    <w:p>
      <w:pPr>
        <w:spacing w:line="240" w:lineRule="auto"/>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spacing w:line="240" w:lineRule="auto"/>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spacing w:line="240" w:lineRule="auto"/>
        <w:ind w:firstLine="411" w:firstLineChars="196"/>
        <w:rPr>
          <w:rFonts w:ascii="宋体" w:hAnsi="宋体"/>
          <w:szCs w:val="21"/>
        </w:rPr>
      </w:pPr>
      <w:r>
        <w:rPr>
          <w:rFonts w:hint="eastAsia" w:ascii="宋体" w:hAnsi="宋体"/>
          <w:szCs w:val="21"/>
        </w:rPr>
        <w:t>42.3重新组织采购有以下两种组织形式：</w:t>
      </w:r>
    </w:p>
    <w:p>
      <w:pPr>
        <w:spacing w:line="240" w:lineRule="auto"/>
        <w:ind w:firstLine="411" w:firstLineChars="196"/>
        <w:rPr>
          <w:rFonts w:ascii="宋体" w:hAnsi="宋体"/>
        </w:rPr>
      </w:pPr>
      <w:r>
        <w:rPr>
          <w:rFonts w:hint="eastAsia" w:ascii="宋体" w:hAnsi="宋体"/>
        </w:rPr>
        <w:t>（1）由政府集中采购机构重新组织公开招标；</w:t>
      </w:r>
    </w:p>
    <w:p>
      <w:pPr>
        <w:spacing w:line="240" w:lineRule="auto"/>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pPr>
        <w:spacing w:line="240" w:lineRule="auto"/>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spacing w:line="240" w:lineRule="auto"/>
        <w:rPr>
          <w:rFonts w:ascii="黑体" w:hAnsi="宋体" w:eastAsia="黑体"/>
          <w:sz w:val="24"/>
        </w:rPr>
      </w:pPr>
      <w:r>
        <w:rPr>
          <w:rFonts w:hint="eastAsia" w:ascii="黑体" w:hAnsi="宋体" w:eastAsia="黑体"/>
          <w:sz w:val="24"/>
        </w:rPr>
        <w:t xml:space="preserve">    </w:t>
      </w:r>
      <w:r>
        <w:rPr>
          <w:rFonts w:hint="eastAsia" w:ascii="宋体" w:hAnsi="宋体"/>
        </w:rPr>
        <w:t>42.5公开招标失败的采购项目经同级财政部门批准转为竞争性谈判或单一来源谈判方式采购的，按规定要求组织政府采购工作。</w:t>
      </w:r>
    </w:p>
    <w:p>
      <w:pPr>
        <w:pStyle w:val="4"/>
        <w:numPr>
          <w:ilvl w:val="0"/>
          <w:numId w:val="107"/>
        </w:numPr>
        <w:tabs>
          <w:tab w:val="left" w:pos="720"/>
        </w:tabs>
        <w:spacing w:before="156" w:beforeLines="50" w:after="156" w:afterLines="50" w:line="240" w:lineRule="auto"/>
        <w:ind w:left="562" w:hanging="562"/>
        <w:rPr>
          <w:b/>
          <w:bCs/>
          <w:sz w:val="28"/>
          <w:szCs w:val="28"/>
        </w:rPr>
      </w:pPr>
      <w:bookmarkStart w:id="90" w:name="_Hlk72439043"/>
      <w:r>
        <w:rPr>
          <w:rFonts w:hint="eastAsia"/>
          <w:b/>
          <w:bCs/>
          <w:sz w:val="28"/>
          <w:szCs w:val="28"/>
        </w:rPr>
        <w:t>合同的授予与备案</w:t>
      </w:r>
      <w:bookmarkEnd w:id="90"/>
    </w:p>
    <w:p>
      <w:pPr>
        <w:spacing w:line="240" w:lineRule="auto"/>
        <w:rPr>
          <w:rFonts w:ascii="黑体" w:hAnsi="宋体" w:eastAsia="黑体"/>
          <w:sz w:val="24"/>
        </w:rPr>
      </w:pPr>
      <w:bookmarkStart w:id="91" w:name="_Toc73517679"/>
      <w:bookmarkStart w:id="92" w:name="_Toc73521586"/>
      <w:bookmarkStart w:id="93" w:name="_Toc100052408"/>
      <w:bookmarkStart w:id="94" w:name="_Toc73521674"/>
      <w:bookmarkStart w:id="95" w:name="_Toc73518157"/>
      <w:bookmarkStart w:id="96" w:name="_Hlk72439088"/>
      <w:r>
        <w:rPr>
          <w:rFonts w:hint="eastAsia" w:ascii="黑体" w:hAnsi="宋体" w:eastAsia="黑体"/>
          <w:sz w:val="24"/>
        </w:rPr>
        <w:t>43．合同授予标准</w:t>
      </w:r>
      <w:bookmarkEnd w:id="91"/>
      <w:bookmarkEnd w:id="92"/>
      <w:bookmarkEnd w:id="93"/>
      <w:bookmarkEnd w:id="94"/>
      <w:bookmarkEnd w:id="95"/>
    </w:p>
    <w:p>
      <w:pPr>
        <w:spacing w:line="240" w:lineRule="auto"/>
        <w:ind w:firstLine="411" w:firstLineChars="196"/>
        <w:rPr>
          <w:rFonts w:ascii="宋体" w:hAnsi="宋体"/>
          <w:szCs w:val="21"/>
        </w:rPr>
      </w:pPr>
      <w:r>
        <w:rPr>
          <w:rFonts w:hint="eastAsia" w:ascii="宋体" w:hAnsi="宋体"/>
          <w:szCs w:val="21"/>
        </w:rPr>
        <w:t>本项目的合同将授予经本招标文件规定评审确定的中标供应商。</w:t>
      </w:r>
    </w:p>
    <w:p>
      <w:pPr>
        <w:spacing w:line="240" w:lineRule="auto"/>
        <w:rPr>
          <w:rFonts w:ascii="黑体" w:hAnsi="宋体" w:eastAsia="黑体"/>
          <w:sz w:val="24"/>
        </w:rPr>
      </w:pPr>
      <w:bookmarkStart w:id="97" w:name="_Toc100052409"/>
      <w:bookmarkStart w:id="98" w:name="_Toc73521587"/>
      <w:bookmarkStart w:id="99" w:name="_Toc73517680"/>
      <w:bookmarkStart w:id="100" w:name="_Toc73521675"/>
      <w:bookmarkStart w:id="101" w:name="_Toc73518158"/>
      <w:r>
        <w:rPr>
          <w:rFonts w:hint="eastAsia" w:ascii="黑体" w:hAnsi="宋体" w:eastAsia="黑体"/>
          <w:sz w:val="24"/>
        </w:rPr>
        <w:t>44．</w:t>
      </w:r>
      <w:bookmarkEnd w:id="97"/>
      <w:bookmarkEnd w:id="98"/>
      <w:bookmarkEnd w:id="99"/>
      <w:bookmarkEnd w:id="100"/>
      <w:bookmarkEnd w:id="101"/>
      <w:r>
        <w:rPr>
          <w:rFonts w:hint="eastAsia" w:ascii="黑体" w:hAnsi="宋体" w:eastAsia="黑体"/>
          <w:sz w:val="24"/>
        </w:rPr>
        <w:t>接受和拒绝任何或所有投标的权力</w:t>
      </w:r>
    </w:p>
    <w:p>
      <w:pPr>
        <w:spacing w:line="240" w:lineRule="auto"/>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spacing w:line="240" w:lineRule="auto"/>
        <w:rPr>
          <w:rFonts w:ascii="黑体" w:hAnsi="宋体" w:eastAsia="黑体"/>
          <w:sz w:val="24"/>
        </w:rPr>
      </w:pPr>
      <w:bookmarkStart w:id="102" w:name="_Toc73517682"/>
      <w:bookmarkStart w:id="103" w:name="_Toc73521677"/>
      <w:bookmarkStart w:id="104" w:name="_Toc73521589"/>
      <w:bookmarkStart w:id="105" w:name="_Toc73518160"/>
      <w:bookmarkStart w:id="106" w:name="_Toc100052410"/>
      <w:r>
        <w:rPr>
          <w:rFonts w:hint="eastAsia" w:ascii="黑体" w:hAnsi="宋体" w:eastAsia="黑体"/>
          <w:sz w:val="24"/>
        </w:rPr>
        <w:t>45．合同的签订</w:t>
      </w:r>
      <w:bookmarkEnd w:id="102"/>
      <w:bookmarkEnd w:id="103"/>
      <w:bookmarkEnd w:id="104"/>
      <w:bookmarkEnd w:id="105"/>
      <w:bookmarkEnd w:id="106"/>
    </w:p>
    <w:p>
      <w:pPr>
        <w:spacing w:line="240" w:lineRule="auto"/>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pPr>
        <w:spacing w:line="240" w:lineRule="auto"/>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pPr>
        <w:spacing w:line="240" w:lineRule="auto"/>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pPr>
        <w:spacing w:line="240" w:lineRule="auto"/>
        <w:rPr>
          <w:rFonts w:ascii="黑体" w:hAnsi="宋体" w:eastAsia="黑体"/>
          <w:sz w:val="24"/>
        </w:rPr>
      </w:pPr>
      <w:bookmarkStart w:id="107" w:name="_Toc73518161"/>
      <w:bookmarkStart w:id="108" w:name="_Toc100052411"/>
      <w:bookmarkStart w:id="109" w:name="_Toc73517683"/>
      <w:bookmarkStart w:id="110" w:name="_Toc73521590"/>
      <w:bookmarkStart w:id="111" w:name="_Toc73521678"/>
      <w:r>
        <w:rPr>
          <w:rFonts w:hint="eastAsia" w:ascii="黑体" w:hAnsi="宋体" w:eastAsia="黑体"/>
          <w:sz w:val="24"/>
        </w:rPr>
        <w:t>46．履约担保</w:t>
      </w:r>
      <w:bookmarkEnd w:id="107"/>
      <w:bookmarkEnd w:id="108"/>
      <w:bookmarkEnd w:id="109"/>
      <w:bookmarkEnd w:id="110"/>
      <w:bookmarkEnd w:id="111"/>
    </w:p>
    <w:p>
      <w:pPr>
        <w:spacing w:line="240" w:lineRule="auto"/>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spacing w:line="240" w:lineRule="auto"/>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pPr>
        <w:spacing w:line="240" w:lineRule="auto"/>
        <w:rPr>
          <w:rFonts w:ascii="黑体" w:hAnsi="宋体" w:eastAsia="黑体"/>
          <w:sz w:val="24"/>
        </w:rPr>
      </w:pPr>
      <w:r>
        <w:rPr>
          <w:rFonts w:hint="eastAsia" w:ascii="黑体" w:hAnsi="宋体" w:eastAsia="黑体"/>
          <w:sz w:val="24"/>
        </w:rPr>
        <w:t>47. 合同备案</w:t>
      </w:r>
    </w:p>
    <w:p>
      <w:pPr>
        <w:spacing w:line="240" w:lineRule="auto"/>
        <w:rPr>
          <w:rFonts w:ascii="黑体" w:hAnsi="宋体" w:eastAsia="黑体"/>
          <w:sz w:val="24"/>
        </w:rPr>
      </w:pPr>
      <w:r>
        <w:rPr>
          <w:rFonts w:hint="eastAsia" w:ascii="宋体" w:hAnsi="宋体" w:eastAsia="宋体" w:cs="Times New Roman"/>
          <w:szCs w:val="21"/>
          <w:lang w:eastAsia="zh-Hans"/>
        </w:rPr>
        <w:t>采购人与中标供应商自中标通知书发出之日起10个工作日内签订政府采购合同，</w:t>
      </w:r>
      <w:r>
        <w:rPr>
          <w:rFonts w:hint="eastAsia" w:ascii="宋体" w:hAnsi="宋体" w:eastAsia="宋体" w:cs="Times New Roman"/>
          <w:szCs w:val="21"/>
        </w:rPr>
        <w:t>并按财政部门规定提交备案。</w:t>
      </w:r>
      <w:r>
        <w:rPr>
          <w:rFonts w:hint="eastAsia" w:ascii="黑体" w:hAnsi="宋体" w:eastAsia="黑体"/>
          <w:sz w:val="24"/>
        </w:rPr>
        <w:t>48. 合同变更</w:t>
      </w:r>
    </w:p>
    <w:p>
      <w:pPr>
        <w:spacing w:line="240" w:lineRule="auto"/>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pPr>
        <w:spacing w:line="240" w:lineRule="auto"/>
        <w:rPr>
          <w:rFonts w:ascii="黑体" w:hAnsi="宋体" w:eastAsia="黑体"/>
          <w:sz w:val="24"/>
        </w:rPr>
      </w:pPr>
      <w:r>
        <w:rPr>
          <w:rFonts w:hint="eastAsia" w:ascii="黑体" w:hAnsi="宋体" w:eastAsia="黑体"/>
          <w:sz w:val="24"/>
        </w:rPr>
        <w:t>49. 项目验收</w:t>
      </w:r>
    </w:p>
    <w:p>
      <w:pPr>
        <w:widowControl/>
        <w:spacing w:line="240" w:lineRule="auto"/>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pPr>
        <w:spacing w:line="240" w:lineRule="auto"/>
        <w:rPr>
          <w:rFonts w:ascii="黑体" w:hAnsi="宋体" w:eastAsia="黑体"/>
          <w:sz w:val="24"/>
        </w:rPr>
      </w:pPr>
      <w:r>
        <w:rPr>
          <w:rFonts w:hint="eastAsia" w:ascii="黑体" w:hAnsi="宋体" w:eastAsia="黑体"/>
          <w:sz w:val="24"/>
        </w:rPr>
        <w:t>50. 宣传</w:t>
      </w:r>
    </w:p>
    <w:p>
      <w:pPr>
        <w:spacing w:line="240" w:lineRule="auto"/>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pPr>
        <w:spacing w:line="240" w:lineRule="auto"/>
        <w:ind w:left="210" w:leftChars="100" w:firstLine="411" w:firstLineChars="196"/>
        <w:rPr>
          <w:rFonts w:ascii="宋体" w:hAnsi="宋体"/>
        </w:rPr>
      </w:pPr>
      <w:r>
        <w:rPr>
          <w:rFonts w:ascii="宋体" w:hAnsi="宋体"/>
        </w:rPr>
        <w:t>a.名片、宣传册、广告标语等；</w:t>
      </w:r>
    </w:p>
    <w:p>
      <w:pPr>
        <w:spacing w:line="240" w:lineRule="auto"/>
        <w:ind w:left="210" w:leftChars="100" w:firstLine="411" w:firstLineChars="196"/>
        <w:rPr>
          <w:rFonts w:ascii="宋体" w:hAnsi="宋体"/>
        </w:rPr>
      </w:pPr>
      <w:r>
        <w:rPr>
          <w:rFonts w:ascii="宋体" w:hAnsi="宋体"/>
        </w:rPr>
        <w:t>b.案例介绍、推广等；</w:t>
      </w:r>
    </w:p>
    <w:p>
      <w:pPr>
        <w:spacing w:line="240" w:lineRule="auto"/>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pPr>
        <w:spacing w:line="240" w:lineRule="auto"/>
        <w:rPr>
          <w:rFonts w:ascii="黑体" w:hAnsi="宋体" w:eastAsia="黑体"/>
          <w:sz w:val="24"/>
        </w:rPr>
      </w:pPr>
      <w:r>
        <w:rPr>
          <w:rFonts w:hint="eastAsia" w:ascii="黑体" w:hAnsi="宋体" w:eastAsia="黑体"/>
          <w:sz w:val="24"/>
        </w:rPr>
        <w:t>51. 供应商违法责任</w:t>
      </w:r>
    </w:p>
    <w:p>
      <w:pPr>
        <w:spacing w:line="240" w:lineRule="auto"/>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spacing w:line="240" w:lineRule="auto"/>
        <w:ind w:firstLine="411" w:firstLineChars="196"/>
        <w:rPr>
          <w:rFonts w:ascii="宋体" w:hAnsi="宋体"/>
          <w:szCs w:val="21"/>
        </w:rPr>
      </w:pPr>
      <w:r>
        <w:rPr>
          <w:rFonts w:hint="eastAsia" w:ascii="宋体" w:hAnsi="宋体"/>
          <w:szCs w:val="21"/>
        </w:rPr>
        <w:t>（1）在采购活动中应当回避而未回避的；</w:t>
      </w:r>
    </w:p>
    <w:p>
      <w:pPr>
        <w:spacing w:line="240" w:lineRule="auto"/>
        <w:ind w:firstLine="411" w:firstLineChars="196"/>
        <w:rPr>
          <w:rFonts w:ascii="宋体" w:hAnsi="宋体"/>
          <w:szCs w:val="21"/>
        </w:rPr>
      </w:pPr>
      <w:r>
        <w:rPr>
          <w:rFonts w:hint="eastAsia" w:ascii="宋体" w:hAnsi="宋体"/>
          <w:szCs w:val="21"/>
        </w:rPr>
        <w:t>（2）未按本条例规定签订、履行采购合同，造成严重后果的；</w:t>
      </w:r>
    </w:p>
    <w:p>
      <w:pPr>
        <w:spacing w:line="240" w:lineRule="auto"/>
        <w:ind w:firstLine="411" w:firstLineChars="196"/>
        <w:rPr>
          <w:rFonts w:ascii="宋体" w:hAnsi="宋体"/>
          <w:szCs w:val="21"/>
        </w:rPr>
      </w:pPr>
      <w:r>
        <w:rPr>
          <w:rFonts w:hint="eastAsia" w:ascii="宋体" w:hAnsi="宋体"/>
          <w:szCs w:val="21"/>
        </w:rPr>
        <w:t>（3）隐瞒真实情况，提供虚假资料的；</w:t>
      </w:r>
    </w:p>
    <w:p>
      <w:pPr>
        <w:spacing w:line="240" w:lineRule="auto"/>
        <w:ind w:firstLine="411" w:firstLineChars="196"/>
        <w:rPr>
          <w:rFonts w:ascii="宋体" w:hAnsi="宋体"/>
          <w:szCs w:val="21"/>
        </w:rPr>
      </w:pPr>
      <w:r>
        <w:rPr>
          <w:rFonts w:hint="eastAsia" w:ascii="宋体" w:hAnsi="宋体"/>
          <w:szCs w:val="21"/>
        </w:rPr>
        <w:t>（4）以非法手段排斥其他供应商参与竞争的；</w:t>
      </w:r>
    </w:p>
    <w:p>
      <w:pPr>
        <w:spacing w:line="240" w:lineRule="auto"/>
        <w:ind w:firstLine="411" w:firstLineChars="196"/>
        <w:rPr>
          <w:rFonts w:ascii="宋体" w:hAnsi="宋体"/>
          <w:szCs w:val="21"/>
        </w:rPr>
      </w:pPr>
      <w:r>
        <w:rPr>
          <w:rFonts w:hint="eastAsia" w:ascii="宋体" w:hAnsi="宋体"/>
          <w:szCs w:val="21"/>
        </w:rPr>
        <w:t>（5）与其他采购参加人串通投标的；</w:t>
      </w:r>
    </w:p>
    <w:p>
      <w:pPr>
        <w:spacing w:line="240" w:lineRule="auto"/>
        <w:ind w:firstLine="411" w:firstLineChars="196"/>
        <w:rPr>
          <w:rFonts w:ascii="宋体" w:hAnsi="宋体"/>
          <w:szCs w:val="21"/>
        </w:rPr>
      </w:pPr>
      <w:r>
        <w:rPr>
          <w:rFonts w:hint="eastAsia" w:ascii="宋体" w:hAnsi="宋体"/>
          <w:szCs w:val="21"/>
        </w:rPr>
        <w:t>（6）恶意投诉的；</w:t>
      </w:r>
    </w:p>
    <w:p>
      <w:pPr>
        <w:spacing w:line="240" w:lineRule="auto"/>
        <w:ind w:firstLine="411" w:firstLineChars="196"/>
        <w:rPr>
          <w:rFonts w:ascii="宋体" w:hAnsi="宋体"/>
          <w:szCs w:val="21"/>
        </w:rPr>
      </w:pPr>
      <w:r>
        <w:rPr>
          <w:rFonts w:hint="eastAsia" w:ascii="宋体" w:hAnsi="宋体"/>
          <w:szCs w:val="21"/>
        </w:rPr>
        <w:t>（7）向采购项目相关人行贿或者提供其他不当利益的；</w:t>
      </w:r>
    </w:p>
    <w:p>
      <w:pPr>
        <w:spacing w:line="240" w:lineRule="auto"/>
        <w:ind w:firstLine="411" w:firstLineChars="196"/>
        <w:rPr>
          <w:rFonts w:ascii="宋体" w:hAnsi="宋体"/>
          <w:szCs w:val="21"/>
        </w:rPr>
      </w:pPr>
      <w:r>
        <w:rPr>
          <w:rFonts w:hint="eastAsia" w:ascii="宋体" w:hAnsi="宋体"/>
          <w:szCs w:val="21"/>
        </w:rPr>
        <w:t>（8）阻碍、抗拒主管部门监督检查的；</w:t>
      </w:r>
    </w:p>
    <w:p>
      <w:pPr>
        <w:spacing w:line="240" w:lineRule="auto"/>
        <w:ind w:firstLine="411" w:firstLineChars="196"/>
        <w:rPr>
          <w:rFonts w:ascii="宋体" w:hAnsi="宋体"/>
          <w:szCs w:val="21"/>
        </w:rPr>
      </w:pPr>
      <w:r>
        <w:rPr>
          <w:rFonts w:hint="eastAsia" w:ascii="宋体" w:hAnsi="宋体"/>
          <w:szCs w:val="21"/>
        </w:rPr>
        <w:t>（9）其他违反本条例规定的行为。</w:t>
      </w:r>
    </w:p>
    <w:p>
      <w:pPr>
        <w:spacing w:line="240" w:lineRule="auto"/>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12" w:name="_Hlk72440769"/>
      <w:r>
        <w:rPr>
          <w:rFonts w:hint="eastAsia" w:ascii="宋体" w:hAnsi="宋体"/>
          <w:szCs w:val="21"/>
        </w:rPr>
        <w:t>政府集中采购机构或采购人不予退还其交纳的谈判保证金，情节严重的，并由主管部门</w:t>
      </w:r>
      <w:bookmarkEnd w:id="112"/>
      <w:r>
        <w:rPr>
          <w:rFonts w:hint="eastAsia" w:ascii="宋体" w:hAnsi="宋体"/>
          <w:szCs w:val="21"/>
        </w:rPr>
        <w:t>记入供应商诚信档案，予以通报：</w:t>
      </w:r>
    </w:p>
    <w:p>
      <w:pPr>
        <w:spacing w:line="240" w:lineRule="auto"/>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pPr>
        <w:spacing w:line="240" w:lineRule="auto"/>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spacing w:line="240" w:lineRule="auto"/>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pPr>
        <w:spacing w:line="240" w:lineRule="auto"/>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96"/>
    <w:p>
      <w:pPr>
        <w:pStyle w:val="4"/>
        <w:numPr>
          <w:ilvl w:val="0"/>
          <w:numId w:val="107"/>
        </w:numPr>
        <w:tabs>
          <w:tab w:val="left" w:pos="720"/>
        </w:tabs>
        <w:spacing w:before="156" w:beforeLines="50" w:after="156" w:afterLines="50" w:line="240" w:lineRule="auto"/>
        <w:ind w:left="562" w:hanging="562"/>
        <w:rPr>
          <w:b/>
          <w:bCs/>
          <w:sz w:val="28"/>
          <w:szCs w:val="28"/>
        </w:rPr>
      </w:pPr>
      <w:r>
        <w:rPr>
          <w:rFonts w:hint="eastAsia"/>
          <w:b/>
          <w:bCs/>
          <w:sz w:val="28"/>
          <w:szCs w:val="28"/>
        </w:rPr>
        <w:t>质疑处理</w:t>
      </w:r>
    </w:p>
    <w:p>
      <w:pPr>
        <w:spacing w:line="240" w:lineRule="auto"/>
        <w:rPr>
          <w:rFonts w:ascii="黑体" w:hAnsi="宋体" w:eastAsia="黑体"/>
          <w:sz w:val="24"/>
        </w:rPr>
      </w:pPr>
      <w:r>
        <w:rPr>
          <w:rFonts w:hint="eastAsia" w:ascii="黑体" w:hAnsi="宋体" w:eastAsia="黑体"/>
          <w:sz w:val="24"/>
        </w:rPr>
        <w:t>52.质疑提出与答复</w:t>
      </w:r>
    </w:p>
    <w:p>
      <w:pPr>
        <w:spacing w:line="240" w:lineRule="auto"/>
        <w:rPr>
          <w:rFonts w:ascii="宋体" w:hAnsi="宋体"/>
          <w:szCs w:val="21"/>
        </w:rPr>
      </w:pPr>
      <w:r>
        <w:rPr>
          <w:rFonts w:hint="eastAsia" w:ascii="宋体" w:hAnsi="宋体"/>
          <w:szCs w:val="21"/>
        </w:rPr>
        <w:t xml:space="preserve">    52.1提出质疑</w:t>
      </w:r>
    </w:p>
    <w:p>
      <w:pPr>
        <w:spacing w:line="240" w:lineRule="auto"/>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pPr>
        <w:spacing w:line="240" w:lineRule="auto"/>
        <w:rPr>
          <w:rFonts w:ascii="宋体" w:hAnsi="宋体"/>
          <w:szCs w:val="21"/>
        </w:rPr>
      </w:pPr>
      <w:r>
        <w:rPr>
          <w:rFonts w:hint="eastAsia" w:ascii="宋体" w:hAnsi="宋体"/>
          <w:szCs w:val="21"/>
        </w:rPr>
        <w:t xml:space="preserve">    52.2</w:t>
      </w:r>
      <w:r>
        <w:rPr>
          <w:rFonts w:ascii="宋体" w:hAnsi="宋体"/>
          <w:szCs w:val="21"/>
        </w:rPr>
        <w:t>法律依据</w:t>
      </w:r>
    </w:p>
    <w:p>
      <w:pPr>
        <w:spacing w:line="240" w:lineRule="auto"/>
        <w:rPr>
          <w:rFonts w:ascii="宋体" w:hAnsi="宋体"/>
          <w:szCs w:val="21"/>
        </w:rPr>
      </w:pPr>
      <w:r>
        <w:rPr>
          <w:rFonts w:hint="eastAsia" w:ascii="宋体" w:hAnsi="宋体"/>
          <w:szCs w:val="21"/>
        </w:rPr>
        <w:t xml:space="preserve">    《中华人民共和国政府采购法</w:t>
      </w:r>
      <w:r>
        <w:rPr>
          <w:rFonts w:hint="eastAsia" w:ascii="宋体" w:hAnsi="宋体"/>
          <w:szCs w:val="21"/>
          <w:lang w:eastAsia="zh-CN"/>
        </w:rPr>
        <w:t>》《</w:t>
      </w:r>
      <w:r>
        <w:rPr>
          <w:rFonts w:hint="eastAsia" w:ascii="宋体" w:hAnsi="宋体"/>
          <w:szCs w:val="21"/>
        </w:rPr>
        <w:t>中华人民共和国政府采购法实施条例</w:t>
      </w:r>
      <w:r>
        <w:rPr>
          <w:rFonts w:hint="eastAsia" w:ascii="宋体" w:hAnsi="宋体"/>
          <w:szCs w:val="21"/>
          <w:lang w:eastAsia="zh-CN"/>
        </w:rPr>
        <w:t>》《</w:t>
      </w:r>
      <w:r>
        <w:rPr>
          <w:rFonts w:hint="eastAsia" w:ascii="宋体" w:hAnsi="宋体"/>
          <w:szCs w:val="21"/>
        </w:rPr>
        <w:t>深圳经济特区政府采购</w:t>
      </w:r>
      <w:r>
        <w:rPr>
          <w:rFonts w:ascii="宋体" w:hAnsi="宋体"/>
          <w:szCs w:val="21"/>
        </w:rPr>
        <w:t>条例</w:t>
      </w:r>
      <w:r>
        <w:rPr>
          <w:rFonts w:hint="eastAsia" w:ascii="宋体" w:hAnsi="宋体"/>
          <w:szCs w:val="21"/>
          <w:lang w:eastAsia="zh-CN"/>
        </w:rPr>
        <w:t>》《</w:t>
      </w:r>
      <w:r>
        <w:rPr>
          <w:rFonts w:hint="eastAsia" w:ascii="宋体" w:hAnsi="宋体"/>
          <w:szCs w:val="21"/>
        </w:rPr>
        <w:t>深圳经济特区政府采购条例实施细则</w:t>
      </w:r>
      <w:r>
        <w:rPr>
          <w:rFonts w:hint="eastAsia" w:ascii="宋体" w:hAnsi="宋体"/>
          <w:szCs w:val="21"/>
          <w:lang w:eastAsia="zh-CN"/>
        </w:rPr>
        <w:t>》《</w:t>
      </w:r>
      <w:r>
        <w:rPr>
          <w:rFonts w:hint="eastAsia" w:ascii="宋体" w:hAnsi="宋体"/>
          <w:szCs w:val="21"/>
        </w:rPr>
        <w:t>政府采购质疑和投诉办法》（财政部令第94号）和其他有关法律法规规定。</w:t>
      </w:r>
    </w:p>
    <w:p>
      <w:pPr>
        <w:spacing w:line="240" w:lineRule="auto"/>
        <w:rPr>
          <w:rFonts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pPr>
        <w:spacing w:line="240" w:lineRule="auto"/>
        <w:rPr>
          <w:rFonts w:ascii="宋体" w:hAnsi="宋体"/>
          <w:szCs w:val="21"/>
        </w:rPr>
      </w:pPr>
      <w:r>
        <w:rPr>
          <w:rFonts w:hint="eastAsia" w:ascii="宋体" w:hAnsi="宋体"/>
          <w:szCs w:val="21"/>
        </w:rPr>
        <w:t xml:space="preserve">    52.3.1提出质疑的供应商应当是参与所质疑项目采购活动的供应商；</w:t>
      </w:r>
      <w:bookmarkStart w:id="113" w:name="_Hlk75374941"/>
      <w:r>
        <w:rPr>
          <w:rFonts w:hint="eastAsia" w:ascii="宋体" w:hAnsi="宋体"/>
          <w:szCs w:val="21"/>
        </w:rPr>
        <w:t>以联合体形式参与的，质疑应当由组成联合体的所有成员共同提出</w:t>
      </w:r>
      <w:bookmarkEnd w:id="113"/>
      <w:r>
        <w:rPr>
          <w:rFonts w:hint="eastAsia" w:ascii="宋体" w:hAnsi="宋体"/>
          <w:szCs w:val="21"/>
        </w:rPr>
        <w:t>；</w:t>
      </w:r>
    </w:p>
    <w:p>
      <w:pPr>
        <w:spacing w:line="240" w:lineRule="auto"/>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spacing w:line="240" w:lineRule="auto"/>
        <w:ind w:firstLine="42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spacing w:line="240" w:lineRule="auto"/>
        <w:ind w:firstLine="420"/>
        <w:rPr>
          <w:rFonts w:ascii="宋体" w:hAnsi="宋体"/>
          <w:szCs w:val="21"/>
        </w:rPr>
      </w:pPr>
      <w:r>
        <w:rPr>
          <w:rFonts w:hint="eastAsia" w:ascii="宋体" w:hAnsi="宋体"/>
          <w:szCs w:val="21"/>
        </w:rPr>
        <w:t>（1）供应商的名称（或者姓名）、地址、邮编、邮箱、联系人及联系电话；</w:t>
      </w:r>
    </w:p>
    <w:p>
      <w:pPr>
        <w:spacing w:line="240" w:lineRule="auto"/>
        <w:ind w:firstLine="420" w:firstLineChars="200"/>
        <w:rPr>
          <w:rFonts w:ascii="宋体" w:hAnsi="宋体"/>
          <w:szCs w:val="21"/>
        </w:rPr>
      </w:pPr>
      <w:r>
        <w:rPr>
          <w:rFonts w:hint="eastAsia" w:ascii="宋体" w:hAnsi="宋体"/>
          <w:szCs w:val="21"/>
        </w:rPr>
        <w:t>（2）质疑项目的名称、编号；</w:t>
      </w:r>
    </w:p>
    <w:p>
      <w:pPr>
        <w:spacing w:line="240" w:lineRule="auto"/>
        <w:ind w:firstLine="420" w:firstLineChars="200"/>
        <w:rPr>
          <w:rFonts w:ascii="宋体" w:hAnsi="宋体"/>
          <w:szCs w:val="21"/>
        </w:rPr>
      </w:pPr>
      <w:r>
        <w:rPr>
          <w:rFonts w:hint="eastAsia" w:ascii="宋体" w:hAnsi="宋体"/>
          <w:szCs w:val="21"/>
        </w:rPr>
        <w:t>（3）具体、明确的质疑对象、质疑事项和质疑请求；</w:t>
      </w:r>
    </w:p>
    <w:p>
      <w:pPr>
        <w:spacing w:line="240" w:lineRule="auto"/>
        <w:ind w:firstLine="420" w:firstLineChars="200"/>
        <w:rPr>
          <w:rFonts w:ascii="宋体" w:hAnsi="宋体"/>
          <w:szCs w:val="21"/>
        </w:rPr>
      </w:pPr>
      <w:r>
        <w:rPr>
          <w:rFonts w:hint="eastAsia" w:ascii="宋体" w:hAnsi="宋体"/>
          <w:szCs w:val="21"/>
        </w:rPr>
        <w:t>（4）因质疑事项而受损害的权益；</w:t>
      </w:r>
    </w:p>
    <w:p>
      <w:pPr>
        <w:spacing w:line="240" w:lineRule="auto"/>
        <w:ind w:firstLine="420" w:firstLineChars="200"/>
        <w:rPr>
          <w:rFonts w:ascii="宋体" w:hAnsi="宋体"/>
          <w:szCs w:val="21"/>
        </w:rPr>
      </w:pPr>
      <w:r>
        <w:rPr>
          <w:rFonts w:hint="eastAsia" w:ascii="宋体" w:hAnsi="宋体"/>
          <w:szCs w:val="21"/>
        </w:rPr>
        <w:t>（5）事实依据；</w:t>
      </w:r>
    </w:p>
    <w:p>
      <w:pPr>
        <w:spacing w:line="240" w:lineRule="auto"/>
        <w:ind w:firstLine="420" w:firstLineChars="200"/>
        <w:rPr>
          <w:rFonts w:ascii="宋体" w:hAnsi="宋体"/>
          <w:szCs w:val="21"/>
        </w:rPr>
      </w:pPr>
      <w:r>
        <w:rPr>
          <w:rFonts w:hint="eastAsia" w:ascii="宋体" w:hAnsi="宋体"/>
          <w:szCs w:val="21"/>
        </w:rPr>
        <w:t>（6）必要的法律依据；</w:t>
      </w:r>
    </w:p>
    <w:p>
      <w:pPr>
        <w:spacing w:line="240" w:lineRule="auto"/>
        <w:ind w:firstLine="420" w:firstLineChars="200"/>
        <w:rPr>
          <w:rFonts w:ascii="宋体" w:hAnsi="宋体"/>
          <w:szCs w:val="21"/>
        </w:rPr>
      </w:pPr>
      <w:r>
        <w:rPr>
          <w:rFonts w:hint="eastAsia" w:ascii="宋体" w:hAnsi="宋体"/>
          <w:szCs w:val="21"/>
        </w:rPr>
        <w:t>（7）提出质疑的日期。</w:t>
      </w:r>
    </w:p>
    <w:p>
      <w:pPr>
        <w:spacing w:line="240" w:lineRule="auto"/>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spacing w:line="240" w:lineRule="auto"/>
        <w:ind w:firstLine="420" w:firstLineChars="200"/>
        <w:rPr>
          <w:rFonts w:ascii="宋体" w:hAnsi="宋体"/>
          <w:szCs w:val="21"/>
        </w:rPr>
      </w:pPr>
      <w:r>
        <w:rPr>
          <w:rFonts w:hint="eastAsia" w:ascii="宋体" w:hAnsi="宋体"/>
          <w:szCs w:val="21"/>
        </w:rPr>
        <w:t>52.4提交</w:t>
      </w:r>
      <w:r>
        <w:rPr>
          <w:rFonts w:ascii="宋体" w:hAnsi="宋体"/>
          <w:szCs w:val="21"/>
        </w:rPr>
        <w:t>材料</w:t>
      </w:r>
    </w:p>
    <w:p>
      <w:pPr>
        <w:spacing w:line="240" w:lineRule="auto"/>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spacing w:line="240" w:lineRule="auto"/>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240" w:lineRule="auto"/>
        <w:ind w:firstLine="420" w:firstLineChars="200"/>
        <w:rPr>
          <w:rFonts w:ascii="宋体" w:hAnsi="宋体"/>
          <w:szCs w:val="21"/>
        </w:rPr>
      </w:pPr>
      <w:r>
        <w:rPr>
          <w:rFonts w:hint="eastAsia" w:ascii="宋体" w:hAnsi="宋体"/>
          <w:szCs w:val="21"/>
        </w:rPr>
        <w:t>52.5收文地点</w:t>
      </w:r>
    </w:p>
    <w:p>
      <w:pPr>
        <w:spacing w:line="240" w:lineRule="auto"/>
        <w:ind w:firstLine="422" w:firstLineChars="200"/>
        <w:rPr>
          <w:rFonts w:ascii="宋体" w:hAnsi="宋体"/>
          <w:b/>
          <w:bCs/>
          <w:szCs w:val="21"/>
        </w:rPr>
      </w:pPr>
      <w:r>
        <w:rPr>
          <w:rFonts w:hint="eastAsia" w:ascii="宋体" w:hAnsi="宋体"/>
          <w:b/>
          <w:bCs/>
          <w:szCs w:val="21"/>
        </w:rPr>
        <w:t>地址：深圳公共资源交易中心（深圳交易集团有限公司龙华分公司）（地址：深圳市龙华区观湖街道大和社区大和路288号宝观城锦鲤大厦办公楼22楼）。</w:t>
      </w:r>
    </w:p>
    <w:p>
      <w:pPr>
        <w:spacing w:line="240" w:lineRule="auto"/>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spacing w:line="240" w:lineRule="auto"/>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spacing w:line="240" w:lineRule="auto"/>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pPr>
        <w:spacing w:line="240" w:lineRule="auto"/>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spacing w:line="240" w:lineRule="auto"/>
        <w:ind w:firstLine="420" w:firstLineChars="200"/>
        <w:rPr>
          <w:rFonts w:ascii="宋体" w:hAnsi="宋体"/>
          <w:szCs w:val="21"/>
        </w:rPr>
      </w:pPr>
      <w:r>
        <w:rPr>
          <w:rFonts w:hint="eastAsia" w:ascii="宋体" w:hAnsi="宋体"/>
          <w:szCs w:val="21"/>
        </w:rPr>
        <w:t>供应商提交的质疑存在下列情形之一的，不予受理：</w:t>
      </w:r>
    </w:p>
    <w:p>
      <w:pPr>
        <w:spacing w:line="240" w:lineRule="auto"/>
        <w:ind w:firstLine="420" w:firstLineChars="200"/>
        <w:rPr>
          <w:rFonts w:ascii="宋体" w:hAnsi="宋体"/>
          <w:szCs w:val="21"/>
        </w:rPr>
      </w:pPr>
      <w:r>
        <w:rPr>
          <w:rFonts w:hint="eastAsia" w:ascii="宋体" w:hAnsi="宋体"/>
          <w:szCs w:val="21"/>
        </w:rPr>
        <w:t>（1）质疑主体不满足要求的；</w:t>
      </w:r>
    </w:p>
    <w:p>
      <w:pPr>
        <w:spacing w:line="240" w:lineRule="auto"/>
        <w:ind w:firstLine="420" w:firstLineChars="200"/>
        <w:rPr>
          <w:rFonts w:ascii="宋体" w:hAnsi="宋体"/>
          <w:szCs w:val="21"/>
        </w:rPr>
      </w:pPr>
      <w:r>
        <w:rPr>
          <w:rFonts w:hint="eastAsia" w:ascii="宋体" w:hAnsi="宋体"/>
          <w:szCs w:val="21"/>
        </w:rPr>
        <w:t>（2）供应商自身权益未受到损害的；</w:t>
      </w:r>
    </w:p>
    <w:p>
      <w:pPr>
        <w:spacing w:line="240" w:lineRule="auto"/>
        <w:ind w:firstLine="420" w:firstLineChars="200"/>
        <w:rPr>
          <w:rFonts w:ascii="宋体" w:hAnsi="宋体"/>
          <w:szCs w:val="21"/>
        </w:rPr>
      </w:pPr>
      <w:r>
        <w:rPr>
          <w:rFonts w:hint="eastAsia" w:ascii="宋体" w:hAnsi="宋体"/>
          <w:szCs w:val="21"/>
        </w:rPr>
        <w:t>（3）供应商未在法定质疑期限内提出质疑的；</w:t>
      </w:r>
    </w:p>
    <w:p>
      <w:pPr>
        <w:spacing w:line="240" w:lineRule="auto"/>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spacing w:line="240" w:lineRule="auto"/>
        <w:ind w:firstLine="420" w:firstLineChars="200"/>
        <w:rPr>
          <w:rFonts w:ascii="宋体" w:hAnsi="宋体"/>
          <w:szCs w:val="21"/>
        </w:rPr>
      </w:pPr>
      <w:r>
        <w:rPr>
          <w:rFonts w:hint="eastAsia" w:ascii="宋体" w:hAnsi="宋体"/>
          <w:szCs w:val="21"/>
        </w:rPr>
        <w:t>（5）其他不符合受理条件情形的。</w:t>
      </w:r>
    </w:p>
    <w:p>
      <w:pPr>
        <w:spacing w:line="240" w:lineRule="auto"/>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spacing w:line="240" w:lineRule="auto"/>
        <w:rPr>
          <w:rFonts w:ascii="宋体" w:hAnsi="宋体"/>
          <w:szCs w:val="21"/>
        </w:rPr>
      </w:pPr>
      <w:r>
        <w:rPr>
          <w:rFonts w:hint="eastAsia" w:ascii="宋体" w:hAnsi="宋体"/>
          <w:color w:val="FF0000"/>
          <w:szCs w:val="21"/>
        </w:rPr>
        <w:t xml:space="preserve">  </w:t>
      </w:r>
      <w:r>
        <w:rPr>
          <w:rFonts w:hint="eastAsia" w:ascii="宋体" w:hAnsi="宋体"/>
          <w:szCs w:val="21"/>
        </w:rPr>
        <w:t xml:space="preserve">  52.7质疑答复时限</w:t>
      </w:r>
    </w:p>
    <w:p>
      <w:pPr>
        <w:spacing w:line="240" w:lineRule="auto"/>
        <w:rPr>
          <w:rFonts w:ascii="宋体" w:hAnsi="宋体"/>
          <w:szCs w:val="21"/>
        </w:rPr>
      </w:pPr>
      <w:r>
        <w:rPr>
          <w:rFonts w:hint="eastAsia" w:ascii="宋体" w:hAnsi="宋体"/>
          <w:szCs w:val="21"/>
        </w:rPr>
        <w:t xml:space="preserve">    自收文之日起七个工作日内。</w:t>
      </w:r>
    </w:p>
    <w:p>
      <w:pPr>
        <w:spacing w:line="240" w:lineRule="auto"/>
        <w:rPr>
          <w:rFonts w:ascii="宋体" w:hAnsi="宋体"/>
          <w:szCs w:val="21"/>
        </w:rPr>
      </w:pPr>
      <w:r>
        <w:rPr>
          <w:rFonts w:hint="eastAsia" w:ascii="宋体" w:hAnsi="宋体"/>
          <w:szCs w:val="21"/>
        </w:rPr>
        <w:t xml:space="preserve">    52.8投诉</w:t>
      </w:r>
    </w:p>
    <w:p>
      <w:pPr>
        <w:spacing w:line="240" w:lineRule="auto"/>
        <w:rPr>
          <w:rFonts w:ascii="宋体" w:hAnsi="宋体"/>
          <w:szCs w:val="21"/>
        </w:rPr>
      </w:pPr>
      <w:r>
        <w:rPr>
          <w:rFonts w:hint="eastAsia" w:ascii="宋体" w:hAnsi="宋体"/>
          <w:szCs w:val="21"/>
        </w:rPr>
        <w:t xml:space="preserve">    对质疑答复不满意或者未在规定时间内答复的，提出质疑的供应商可以在答复期满后15个工作日内向本项目预算主管单位投诉。</w:t>
      </w:r>
    </w:p>
    <w:p>
      <w:pPr>
        <w:spacing w:line="240" w:lineRule="auto"/>
        <w:rPr>
          <w:rFonts w:ascii="黑体" w:hAnsi="宋体" w:eastAsia="黑体"/>
          <w:sz w:val="24"/>
        </w:rPr>
      </w:pPr>
      <w:r>
        <w:rPr>
          <w:rFonts w:hint="eastAsia" w:ascii="黑体" w:hAnsi="宋体" w:eastAsia="黑体"/>
          <w:sz w:val="24"/>
        </w:rPr>
        <w:t>53. 质疑后续处理</w:t>
      </w:r>
    </w:p>
    <w:p>
      <w:pPr>
        <w:spacing w:line="240" w:lineRule="auto"/>
        <w:rPr>
          <w:rFonts w:ascii="宋体" w:hAnsi="宋体"/>
          <w:szCs w:val="21"/>
        </w:rPr>
      </w:pPr>
      <w:r>
        <w:rPr>
          <w:rFonts w:hint="eastAsia" w:ascii="宋体" w:hAnsi="宋体"/>
          <w:szCs w:val="21"/>
        </w:rPr>
        <w:t xml:space="preserve">    53.1供应商质疑不成立，或者成立但未对中标、成交结果构成影响的，继续开展采购活动。</w:t>
      </w:r>
    </w:p>
    <w:p>
      <w:pPr>
        <w:spacing w:line="240" w:lineRule="auto"/>
        <w:ind w:firstLine="420"/>
        <w:jc w:val="center"/>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w:t>
      </w:r>
    </w:p>
    <w:p>
      <w:pPr>
        <w:spacing w:line="240" w:lineRule="auto"/>
        <w:ind w:left="0" w:leftChars="0" w:firstLine="0" w:firstLineChars="0"/>
        <w:jc w:val="center"/>
        <w:rPr>
          <w:rFonts w:ascii="宋体" w:hAnsi="宋体"/>
          <w:szCs w:val="21"/>
        </w:rPr>
      </w:pPr>
      <w:r>
        <w:rPr>
          <w:rFonts w:hint="eastAsia" w:ascii="宋体" w:hAnsi="宋体"/>
          <w:szCs w:val="21"/>
        </w:rPr>
        <w:t>成交供应商的，应当依法另行确定中标、成交供应商；否则应当重新开展采购活动。</w:t>
      </w:r>
    </w:p>
    <w:p>
      <w:pPr>
        <w:ind w:firstLine="420"/>
        <w:jc w:val="center"/>
        <w:rPr>
          <w:rFonts w:ascii="宋体" w:hAnsi="宋体" w:eastAsia="黑体" w:cs="Times New Roman"/>
          <w:b/>
          <w:bCs/>
          <w:color w:val="0000FF"/>
          <w:kern w:val="44"/>
          <w:sz w:val="36"/>
          <w:szCs w:val="44"/>
        </w:rPr>
      </w:pPr>
      <w:r>
        <w:rPr>
          <w:rFonts w:ascii="Times New Roman" w:hAnsi="Times New Roman" w:eastAsia="宋体" w:cs="Times New Roman"/>
          <w:szCs w:val="24"/>
        </w:rPr>
        <w:t>---- END ----</w:t>
      </w:r>
      <w:bookmarkEnd w:id="60"/>
    </w:p>
    <w:sectPr>
      <w:pgSz w:w="11906" w:h="16838"/>
      <w:pgMar w:top="1440" w:right="1417" w:bottom="1440" w:left="1417" w:header="851" w:footer="992" w:gutter="0"/>
      <w:pgNumType w:fmt="decimal" w:start="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C1D9FC2-8C1F-40A1-9057-5B3142DA8E1E}"/>
  </w:font>
  <w:font w:name="Arial">
    <w:panose1 w:val="020B0604020202020204"/>
    <w:charset w:val="01"/>
    <w:family w:val="swiss"/>
    <w:pitch w:val="default"/>
    <w:sig w:usb0="E0002AFF" w:usb1="C0007843" w:usb2="00000009" w:usb3="00000000" w:csb0="400001FF" w:csb1="FFFF0000"/>
    <w:embedRegular r:id="rId2" w:fontKey="{1A51B8EA-A981-4908-B013-D8583D0229AB}"/>
  </w:font>
  <w:font w:name="黑体">
    <w:panose1 w:val="02010609060101010101"/>
    <w:charset w:val="86"/>
    <w:family w:val="auto"/>
    <w:pitch w:val="default"/>
    <w:sig w:usb0="800002BF" w:usb1="38CF7CFA" w:usb2="00000016" w:usb3="00000000" w:csb0="00040001" w:csb1="00000000"/>
    <w:embedRegular r:id="rId3" w:fontKey="{BC9E0BAC-F5D8-410A-8404-83C6DD0EC41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2D6AB5BB-5C6E-4B33-9F67-EA78C781541F}"/>
  </w:font>
  <w:font w:name="Cambria">
    <w:panose1 w:val="02040503050406030204"/>
    <w:charset w:val="00"/>
    <w:family w:val="roman"/>
    <w:pitch w:val="default"/>
    <w:sig w:usb0="E00002FF" w:usb1="400004FF" w:usb2="00000000" w:usb3="00000000" w:csb0="2000019F" w:csb1="00000000"/>
    <w:embedRegular r:id="rId5" w:fontKey="{C08544DA-F169-469E-9730-8FBC0133B0F4}"/>
  </w:font>
  <w:font w:name="Segoe UI">
    <w:panose1 w:val="020B0502040204020203"/>
    <w:charset w:val="00"/>
    <w:family w:val="swiss"/>
    <w:pitch w:val="default"/>
    <w:sig w:usb0="E10022FF" w:usb1="C000E47F" w:usb2="00000029" w:usb3="00000000" w:csb0="200001DF" w:csb1="20000000"/>
  </w:font>
  <w:font w:name="等线">
    <w:panose1 w:val="02010600030101010101"/>
    <w:charset w:val="86"/>
    <w:family w:val="auto"/>
    <w:pitch w:val="default"/>
    <w:sig w:usb0="A00002BF" w:usb1="38CF7CFA" w:usb2="00000016" w:usb3="00000000" w:csb0="0004000F" w:csb1="00000000"/>
    <w:embedRegular r:id="rId6" w:fontKey="{C444CAA9-76BC-42C1-A0B1-22540DBA5657}"/>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embedRegular r:id="rId7" w:fontKey="{336E1601-E308-4F4C-8723-975937BB3A36}"/>
  </w:font>
  <w:font w:name="仿宋_GB2312">
    <w:panose1 w:val="02010609030101010101"/>
    <w:charset w:val="86"/>
    <w:family w:val="auto"/>
    <w:pitch w:val="default"/>
    <w:sig w:usb0="00000001" w:usb1="080E0000" w:usb2="00000000" w:usb3="00000000" w:csb0="00040000" w:csb1="00000000"/>
    <w:embedRegular r:id="rId8" w:fontKey="{3665CA70-AE49-4C49-9429-4E3C6C8796BB}"/>
  </w:font>
  <w:font w:name="华文中宋">
    <w:panose1 w:val="02010600040101010101"/>
    <w:charset w:val="86"/>
    <w:family w:val="auto"/>
    <w:pitch w:val="default"/>
    <w:sig w:usb0="00000287" w:usb1="080F0000" w:usb2="00000000" w:usb3="00000000" w:csb0="0004009F" w:csb1="DFD70000"/>
    <w:embedRegular r:id="rId9" w:fontKey="{8B61DFBA-900E-4209-8097-0017942B7175}"/>
  </w:font>
  <w:font w:name="ˎ̥">
    <w:altName w:val="方正全福体"/>
    <w:panose1 w:val="00000000000000000000"/>
    <w:charset w:val="00"/>
    <w:family w:val="auto"/>
    <w:pitch w:val="default"/>
    <w:sig w:usb0="00000000" w:usb1="00000000" w:usb2="00000000" w:usb3="00000000" w:csb0="00040001" w:csb1="00000000"/>
    <w:embedRegular r:id="rId10" w:fontKey="{63E32207-ACBC-461C-BB14-3CE79EB182E8}"/>
  </w:font>
  <w:font w:name="仿宋">
    <w:panose1 w:val="02010609060101010101"/>
    <w:charset w:val="86"/>
    <w:family w:val="modern"/>
    <w:pitch w:val="default"/>
    <w:sig w:usb0="800002BF" w:usb1="38CF7CFA" w:usb2="00000016" w:usb3="00000000" w:csb0="00040001" w:csb1="00000000"/>
    <w:embedRegular r:id="rId11" w:fontKey="{DE7FB9FA-72C4-46D7-B7E7-8516BCB91E3B}"/>
  </w:font>
  <w:font w:name="方正全福体">
    <w:panose1 w:val="020005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Style w:val="27"/>
                            </w:rPr>
                          </w:pPr>
                          <w:r>
                            <w:t xml:space="preserve">- </w:t>
                          </w:r>
                          <w:r>
                            <w:fldChar w:fldCharType="begin"/>
                          </w:r>
                          <w:r>
                            <w:instrText xml:space="preserve"> PAGE </w:instrText>
                          </w:r>
                          <w:r>
                            <w:fldChar w:fldCharType="separate"/>
                          </w:r>
                          <w:r>
                            <w:t>29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6"/>
                      <w:rPr>
                        <w:rStyle w:val="27"/>
                      </w:rPr>
                    </w:pPr>
                    <w:r>
                      <w:t xml:space="preserve">- </w:t>
                    </w:r>
                    <w:r>
                      <w:fldChar w:fldCharType="begin"/>
                    </w:r>
                    <w:r>
                      <w:instrText xml:space="preserve"> PAGE </w:instrText>
                    </w:r>
                    <w:r>
                      <w:fldChar w:fldCharType="separate"/>
                    </w:r>
                    <w:r>
                      <w:t>29</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7"/>
      </w:rPr>
    </w:pPr>
    <w:r>
      <w:rPr>
        <w:rStyle w:val="27"/>
      </w:rPr>
      <w:fldChar w:fldCharType="begin"/>
    </w:r>
    <w:r>
      <w:rPr>
        <w:rStyle w:val="27"/>
      </w:rPr>
      <w:instrText xml:space="preserve">PAGE  </w:instrText>
    </w:r>
    <w:r>
      <w:rPr>
        <w:rStyle w:val="27"/>
      </w:rP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922060"/>
                          </w:sdtPr>
                          <w:sdtContent>
                            <w:p>
                              <w:pPr>
                                <w:pStyle w:val="16"/>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922060"/>
                    </w:sdtPr>
                    <w:sdtContent>
                      <w:p>
                        <w:pPr>
                          <w:pStyle w:val="16"/>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2"/>
                    </w:pPr>
                  </w:p>
                </w:txbxContent>
              </v:textbox>
            </v:shape>
          </w:pict>
        </mc:Fallback>
      </mc:AlternateContent>
    </w:r>
  </w:p>
  <w:p>
    <w:pPr>
      <w:pStyle w:val="16"/>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1C2960"/>
    <w:multiLevelType w:val="singleLevel"/>
    <w:tmpl w:val="871C2960"/>
    <w:lvl w:ilvl="0" w:tentative="0">
      <w:start w:val="1"/>
      <w:numFmt w:val="chineseCounting"/>
      <w:suff w:val="nothing"/>
      <w:lvlText w:val="%1、"/>
      <w:lvlJc w:val="left"/>
      <w:pPr>
        <w:ind w:left="0" w:firstLine="420"/>
      </w:pPr>
      <w:rPr>
        <w:rFonts w:hint="eastAsia"/>
      </w:rPr>
    </w:lvl>
  </w:abstractNum>
  <w:abstractNum w:abstractNumId="1">
    <w:nsid w:val="87A21DE7"/>
    <w:multiLevelType w:val="singleLevel"/>
    <w:tmpl w:val="87A21DE7"/>
    <w:lvl w:ilvl="0" w:tentative="0">
      <w:start w:val="5"/>
      <w:numFmt w:val="chineseCounting"/>
      <w:suff w:val="nothing"/>
      <w:lvlText w:val="%1、"/>
      <w:lvlJc w:val="left"/>
      <w:rPr>
        <w:rFonts w:hint="eastAsia"/>
      </w:rPr>
    </w:lvl>
  </w:abstractNum>
  <w:abstractNum w:abstractNumId="2">
    <w:nsid w:val="A702A6DD"/>
    <w:multiLevelType w:val="singleLevel"/>
    <w:tmpl w:val="A702A6DD"/>
    <w:lvl w:ilvl="0" w:tentative="0">
      <w:start w:val="1"/>
      <w:numFmt w:val="decimal"/>
      <w:suff w:val="nothing"/>
      <w:lvlText w:val="%1、"/>
      <w:lvlJc w:val="left"/>
    </w:lvl>
  </w:abstractNum>
  <w:abstractNum w:abstractNumId="3">
    <w:nsid w:val="AF37AB0C"/>
    <w:multiLevelType w:val="singleLevel"/>
    <w:tmpl w:val="AF37AB0C"/>
    <w:lvl w:ilvl="0" w:tentative="0">
      <w:start w:val="1"/>
      <w:numFmt w:val="decimal"/>
      <w:suff w:val="nothing"/>
      <w:lvlText w:val="%1、"/>
      <w:lvlJc w:val="left"/>
    </w:lvl>
  </w:abstractNum>
  <w:abstractNum w:abstractNumId="4">
    <w:nsid w:val="B6EB8C17"/>
    <w:multiLevelType w:val="singleLevel"/>
    <w:tmpl w:val="B6EB8C17"/>
    <w:lvl w:ilvl="0" w:tentative="0">
      <w:start w:val="2"/>
      <w:numFmt w:val="decimal"/>
      <w:suff w:val="nothing"/>
      <w:lvlText w:val="（%1）"/>
      <w:lvlJc w:val="left"/>
    </w:lvl>
  </w:abstractNum>
  <w:abstractNum w:abstractNumId="5">
    <w:nsid w:val="B9358C2E"/>
    <w:multiLevelType w:val="singleLevel"/>
    <w:tmpl w:val="B9358C2E"/>
    <w:lvl w:ilvl="0" w:tentative="0">
      <w:start w:val="2"/>
      <w:numFmt w:val="decimal"/>
      <w:suff w:val="nothing"/>
      <w:lvlText w:val="%1、"/>
      <w:lvlJc w:val="left"/>
    </w:lvl>
  </w:abstractNum>
  <w:abstractNum w:abstractNumId="6">
    <w:nsid w:val="FFFA211F"/>
    <w:multiLevelType w:val="singleLevel"/>
    <w:tmpl w:val="FFFA211F"/>
    <w:lvl w:ilvl="0" w:tentative="0">
      <w:start w:val="2"/>
      <w:numFmt w:val="decimal"/>
      <w:suff w:val="nothing"/>
      <w:lvlText w:val="%1、"/>
      <w:lvlJc w:val="left"/>
    </w:lvl>
  </w:abstractNum>
  <w:abstractNum w:abstractNumId="7">
    <w:nsid w:val="01294202"/>
    <w:multiLevelType w:val="multilevel"/>
    <w:tmpl w:val="01294202"/>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13A4095"/>
    <w:multiLevelType w:val="multilevel"/>
    <w:tmpl w:val="013A4095"/>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EF335D"/>
    <w:multiLevelType w:val="multilevel"/>
    <w:tmpl w:val="02EF335D"/>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5E5443B"/>
    <w:multiLevelType w:val="multilevel"/>
    <w:tmpl w:val="05E5443B"/>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64C4E40"/>
    <w:multiLevelType w:val="multilevel"/>
    <w:tmpl w:val="064C4E40"/>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7847FE5"/>
    <w:multiLevelType w:val="multilevel"/>
    <w:tmpl w:val="07847FE5"/>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7F59542"/>
    <w:multiLevelType w:val="singleLevel"/>
    <w:tmpl w:val="07F59542"/>
    <w:lvl w:ilvl="0" w:tentative="0">
      <w:start w:val="2"/>
      <w:numFmt w:val="decimal"/>
      <w:suff w:val="nothing"/>
      <w:lvlText w:val="%1、"/>
      <w:lvlJc w:val="left"/>
    </w:lvl>
  </w:abstractNum>
  <w:abstractNum w:abstractNumId="14">
    <w:nsid w:val="08072EA8"/>
    <w:multiLevelType w:val="multilevel"/>
    <w:tmpl w:val="08072EA8"/>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8A54B47"/>
    <w:multiLevelType w:val="multilevel"/>
    <w:tmpl w:val="08A54B47"/>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C815303"/>
    <w:multiLevelType w:val="multilevel"/>
    <w:tmpl w:val="0C815303"/>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D3C63A1"/>
    <w:multiLevelType w:val="multilevel"/>
    <w:tmpl w:val="0D3C63A1"/>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0F7C425D"/>
    <w:multiLevelType w:val="multilevel"/>
    <w:tmpl w:val="0F7C425D"/>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2D941F0"/>
    <w:multiLevelType w:val="multilevel"/>
    <w:tmpl w:val="12D941F0"/>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33338BF"/>
    <w:multiLevelType w:val="multilevel"/>
    <w:tmpl w:val="133338BF"/>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4C4528C"/>
    <w:multiLevelType w:val="multilevel"/>
    <w:tmpl w:val="14C4528C"/>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4C74D8B"/>
    <w:multiLevelType w:val="multilevel"/>
    <w:tmpl w:val="14C74D8B"/>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58F42E3"/>
    <w:multiLevelType w:val="multilevel"/>
    <w:tmpl w:val="158F42E3"/>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5AC1AC5"/>
    <w:multiLevelType w:val="multilevel"/>
    <w:tmpl w:val="15AC1AC5"/>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6894C64"/>
    <w:multiLevelType w:val="multilevel"/>
    <w:tmpl w:val="16894C64"/>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6F7342B"/>
    <w:multiLevelType w:val="multilevel"/>
    <w:tmpl w:val="16F7342B"/>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7EF62DA"/>
    <w:multiLevelType w:val="multilevel"/>
    <w:tmpl w:val="17EF62DA"/>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85E0FEC"/>
    <w:multiLevelType w:val="multilevel"/>
    <w:tmpl w:val="185E0FEC"/>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90872CD"/>
    <w:multiLevelType w:val="multilevel"/>
    <w:tmpl w:val="190872CD"/>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197D789E"/>
    <w:multiLevelType w:val="multilevel"/>
    <w:tmpl w:val="197D789E"/>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19963A6D"/>
    <w:multiLevelType w:val="multilevel"/>
    <w:tmpl w:val="19963A6D"/>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1A5977DB"/>
    <w:multiLevelType w:val="multilevel"/>
    <w:tmpl w:val="1A5977DB"/>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1BB4766A"/>
    <w:multiLevelType w:val="multilevel"/>
    <w:tmpl w:val="1BB4766A"/>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1D0863CF"/>
    <w:multiLevelType w:val="multilevel"/>
    <w:tmpl w:val="1D0863CF"/>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1F79159D"/>
    <w:multiLevelType w:val="multilevel"/>
    <w:tmpl w:val="1F79159D"/>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16E39D3"/>
    <w:multiLevelType w:val="multilevel"/>
    <w:tmpl w:val="216E39D3"/>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25C23E3A"/>
    <w:multiLevelType w:val="multilevel"/>
    <w:tmpl w:val="25C23E3A"/>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6A965F5"/>
    <w:multiLevelType w:val="multilevel"/>
    <w:tmpl w:val="26A965F5"/>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27F47D3C"/>
    <w:multiLevelType w:val="multilevel"/>
    <w:tmpl w:val="27F47D3C"/>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28520987"/>
    <w:multiLevelType w:val="multilevel"/>
    <w:tmpl w:val="28520987"/>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28E63D41"/>
    <w:multiLevelType w:val="multilevel"/>
    <w:tmpl w:val="28E63D41"/>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2A3909AA"/>
    <w:multiLevelType w:val="multilevel"/>
    <w:tmpl w:val="2A3909AA"/>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D3EC742"/>
    <w:multiLevelType w:val="singleLevel"/>
    <w:tmpl w:val="2D3EC742"/>
    <w:lvl w:ilvl="0" w:tentative="0">
      <w:start w:val="1"/>
      <w:numFmt w:val="chineseCounting"/>
      <w:suff w:val="nothing"/>
      <w:lvlText w:val="%1、"/>
      <w:lvlJc w:val="left"/>
      <w:pPr>
        <w:ind w:left="0" w:firstLine="420"/>
      </w:pPr>
      <w:rPr>
        <w:rFonts w:hint="eastAsia"/>
      </w:rPr>
    </w:lvl>
  </w:abstractNum>
  <w:abstractNum w:abstractNumId="44">
    <w:nsid w:val="2F3B25D1"/>
    <w:multiLevelType w:val="multilevel"/>
    <w:tmpl w:val="2F3B25D1"/>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305853E1"/>
    <w:multiLevelType w:val="multilevel"/>
    <w:tmpl w:val="305853E1"/>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0822E34"/>
    <w:multiLevelType w:val="multilevel"/>
    <w:tmpl w:val="30822E34"/>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0C128E4"/>
    <w:multiLevelType w:val="multilevel"/>
    <w:tmpl w:val="30C128E4"/>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1485D11"/>
    <w:multiLevelType w:val="multilevel"/>
    <w:tmpl w:val="31485D11"/>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320F16C8"/>
    <w:multiLevelType w:val="multilevel"/>
    <w:tmpl w:val="320F16C8"/>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3921C0C"/>
    <w:multiLevelType w:val="multilevel"/>
    <w:tmpl w:val="33921C0C"/>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37711F26"/>
    <w:multiLevelType w:val="multilevel"/>
    <w:tmpl w:val="37711F26"/>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37810BB3"/>
    <w:multiLevelType w:val="multilevel"/>
    <w:tmpl w:val="37810BB3"/>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38A00784"/>
    <w:multiLevelType w:val="multilevel"/>
    <w:tmpl w:val="38A00784"/>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3A5C0D7C"/>
    <w:multiLevelType w:val="multilevel"/>
    <w:tmpl w:val="3A5C0D7C"/>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3C525E39"/>
    <w:multiLevelType w:val="multilevel"/>
    <w:tmpl w:val="3C525E39"/>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3C8909A9"/>
    <w:multiLevelType w:val="multilevel"/>
    <w:tmpl w:val="3C8909A9"/>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3E92384E"/>
    <w:multiLevelType w:val="multilevel"/>
    <w:tmpl w:val="3E92384E"/>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3F6B398C"/>
    <w:multiLevelType w:val="multilevel"/>
    <w:tmpl w:val="3F6B398C"/>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3FB8428E"/>
    <w:multiLevelType w:val="multilevel"/>
    <w:tmpl w:val="3FB8428E"/>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16B5496"/>
    <w:multiLevelType w:val="multilevel"/>
    <w:tmpl w:val="416B5496"/>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44831853"/>
    <w:multiLevelType w:val="multilevel"/>
    <w:tmpl w:val="44831853"/>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45E77219"/>
    <w:multiLevelType w:val="multilevel"/>
    <w:tmpl w:val="45E77219"/>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46543971"/>
    <w:multiLevelType w:val="multilevel"/>
    <w:tmpl w:val="46543971"/>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469B7B60"/>
    <w:multiLevelType w:val="multilevel"/>
    <w:tmpl w:val="469B7B60"/>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49FD24EC"/>
    <w:multiLevelType w:val="multilevel"/>
    <w:tmpl w:val="49FD24EC"/>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4B177BB6"/>
    <w:multiLevelType w:val="multilevel"/>
    <w:tmpl w:val="4B177BB6"/>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4C470661"/>
    <w:multiLevelType w:val="multilevel"/>
    <w:tmpl w:val="4C470661"/>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4E67066F"/>
    <w:multiLevelType w:val="multilevel"/>
    <w:tmpl w:val="4E67066F"/>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4FED5879"/>
    <w:multiLevelType w:val="singleLevel"/>
    <w:tmpl w:val="4FED5879"/>
    <w:lvl w:ilvl="0" w:tentative="0">
      <w:start w:val="1"/>
      <w:numFmt w:val="decimal"/>
      <w:lvlText w:val="(%1)"/>
      <w:lvlJc w:val="left"/>
      <w:pPr>
        <w:ind w:left="425" w:hanging="425"/>
      </w:pPr>
      <w:rPr>
        <w:rFonts w:hint="default" w:ascii="宋体" w:hAnsi="宋体" w:eastAsia="宋体" w:cstheme="minorEastAsia"/>
        <w:sz w:val="21"/>
        <w:szCs w:val="21"/>
      </w:rPr>
    </w:lvl>
  </w:abstractNum>
  <w:abstractNum w:abstractNumId="71">
    <w:nsid w:val="50115562"/>
    <w:multiLevelType w:val="multilevel"/>
    <w:tmpl w:val="50115562"/>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502B4B1F"/>
    <w:multiLevelType w:val="multilevel"/>
    <w:tmpl w:val="502B4B1F"/>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53AB0012"/>
    <w:multiLevelType w:val="multilevel"/>
    <w:tmpl w:val="53AB0012"/>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56E71D9E"/>
    <w:multiLevelType w:val="multilevel"/>
    <w:tmpl w:val="56E71D9E"/>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579B1594"/>
    <w:multiLevelType w:val="multilevel"/>
    <w:tmpl w:val="579B1594"/>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57CD0E1E"/>
    <w:multiLevelType w:val="multilevel"/>
    <w:tmpl w:val="57CD0E1E"/>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58EF1316"/>
    <w:multiLevelType w:val="multilevel"/>
    <w:tmpl w:val="58EF1316"/>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597C2243"/>
    <w:multiLevelType w:val="multilevel"/>
    <w:tmpl w:val="597C2243"/>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5A15154F"/>
    <w:multiLevelType w:val="multilevel"/>
    <w:tmpl w:val="5A15154F"/>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5A7D4206"/>
    <w:multiLevelType w:val="multilevel"/>
    <w:tmpl w:val="5A7D4206"/>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5B23282E"/>
    <w:multiLevelType w:val="multilevel"/>
    <w:tmpl w:val="5B23282E"/>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5B517936"/>
    <w:multiLevelType w:val="multilevel"/>
    <w:tmpl w:val="5B517936"/>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5CA85F63"/>
    <w:multiLevelType w:val="multilevel"/>
    <w:tmpl w:val="5CA85F63"/>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5FF809A3"/>
    <w:multiLevelType w:val="multilevel"/>
    <w:tmpl w:val="5FF809A3"/>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63700871"/>
    <w:multiLevelType w:val="multilevel"/>
    <w:tmpl w:val="63700871"/>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657E4EF6"/>
    <w:multiLevelType w:val="multilevel"/>
    <w:tmpl w:val="657E4EF6"/>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66662567"/>
    <w:multiLevelType w:val="multilevel"/>
    <w:tmpl w:val="66662567"/>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67A14E63"/>
    <w:multiLevelType w:val="multilevel"/>
    <w:tmpl w:val="67A14E63"/>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687D5D5E"/>
    <w:multiLevelType w:val="multilevel"/>
    <w:tmpl w:val="687D5D5E"/>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69470410"/>
    <w:multiLevelType w:val="multilevel"/>
    <w:tmpl w:val="69470410"/>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6967720B"/>
    <w:multiLevelType w:val="multilevel"/>
    <w:tmpl w:val="6967720B"/>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69912512"/>
    <w:multiLevelType w:val="multilevel"/>
    <w:tmpl w:val="69912512"/>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6A5E57FC"/>
    <w:multiLevelType w:val="multilevel"/>
    <w:tmpl w:val="6A5E57FC"/>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6A82560F"/>
    <w:multiLevelType w:val="multilevel"/>
    <w:tmpl w:val="6A82560F"/>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6BEB5CB9"/>
    <w:multiLevelType w:val="multilevel"/>
    <w:tmpl w:val="6BEB5CB9"/>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6">
    <w:nsid w:val="6E2A100B"/>
    <w:multiLevelType w:val="multilevel"/>
    <w:tmpl w:val="6E2A100B"/>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708E54D8"/>
    <w:multiLevelType w:val="multilevel"/>
    <w:tmpl w:val="708E54D8"/>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73512D26"/>
    <w:multiLevelType w:val="multilevel"/>
    <w:tmpl w:val="73512D26"/>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9">
    <w:nsid w:val="73D9121B"/>
    <w:multiLevelType w:val="multilevel"/>
    <w:tmpl w:val="73D9121B"/>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74547CCF"/>
    <w:multiLevelType w:val="multilevel"/>
    <w:tmpl w:val="74547CCF"/>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1">
    <w:nsid w:val="74F77EB7"/>
    <w:multiLevelType w:val="multilevel"/>
    <w:tmpl w:val="74F77EB7"/>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75D81F02"/>
    <w:multiLevelType w:val="multilevel"/>
    <w:tmpl w:val="75D81F02"/>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3">
    <w:nsid w:val="77A71972"/>
    <w:multiLevelType w:val="multilevel"/>
    <w:tmpl w:val="77A71972"/>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4">
    <w:nsid w:val="784C5C06"/>
    <w:multiLevelType w:val="multilevel"/>
    <w:tmpl w:val="784C5C06"/>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5">
    <w:nsid w:val="7CBA4F7B"/>
    <w:multiLevelType w:val="multilevel"/>
    <w:tmpl w:val="7CBA4F7B"/>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6">
    <w:nsid w:val="7EEA2DB0"/>
    <w:multiLevelType w:val="multilevel"/>
    <w:tmpl w:val="7EEA2DB0"/>
    <w:lvl w:ilvl="0" w:tentative="0">
      <w:start w:val="1"/>
      <w:numFmt w:val="decimal"/>
      <w:lvlText w:val="%1)"/>
      <w:lvlJc w:val="left"/>
      <w:pPr>
        <w:ind w:left="420" w:hanging="420"/>
      </w:pPr>
      <w:rPr>
        <w:rFonts w:hint="default" w:ascii="Tahoma" w:hAnsi="Tahoma" w:cs="Tahom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0"/>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
  </w:num>
  <w:num w:numId="101">
    <w:abstractNumId w:val="3"/>
  </w:num>
  <w:num w:numId="102">
    <w:abstractNumId w:val="70"/>
  </w:num>
  <w:num w:numId="103">
    <w:abstractNumId w:val="43"/>
  </w:num>
  <w:num w:numId="104">
    <w:abstractNumId w:val="2"/>
  </w:num>
  <w:num w:numId="105">
    <w:abstractNumId w:val="5"/>
  </w:num>
  <w:num w:numId="106">
    <w:abstractNumId w:val="13"/>
  </w:num>
  <w:num w:numId="107">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2ZjczNGRkMzM5MTI2MDg0ZDczNWVlMmZmZjNkNWMifQ=="/>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21E6"/>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1DC8"/>
    <w:rsid w:val="000722BF"/>
    <w:rsid w:val="00073BE1"/>
    <w:rsid w:val="000762AC"/>
    <w:rsid w:val="00076F24"/>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45EE"/>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386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5538"/>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338A"/>
    <w:rsid w:val="001E7D92"/>
    <w:rsid w:val="001F2FF4"/>
    <w:rsid w:val="001F4DAC"/>
    <w:rsid w:val="0020017A"/>
    <w:rsid w:val="0020780A"/>
    <w:rsid w:val="00210364"/>
    <w:rsid w:val="0021479B"/>
    <w:rsid w:val="00215571"/>
    <w:rsid w:val="00225BA9"/>
    <w:rsid w:val="00226AF4"/>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2E49"/>
    <w:rsid w:val="00293B10"/>
    <w:rsid w:val="002961D1"/>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1A6F"/>
    <w:rsid w:val="0032311B"/>
    <w:rsid w:val="00323813"/>
    <w:rsid w:val="00324CB2"/>
    <w:rsid w:val="00326B43"/>
    <w:rsid w:val="003277CD"/>
    <w:rsid w:val="0033310F"/>
    <w:rsid w:val="0033356C"/>
    <w:rsid w:val="00335A76"/>
    <w:rsid w:val="003402FF"/>
    <w:rsid w:val="00341AAD"/>
    <w:rsid w:val="00345849"/>
    <w:rsid w:val="00350F69"/>
    <w:rsid w:val="00353939"/>
    <w:rsid w:val="003553CD"/>
    <w:rsid w:val="00356228"/>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418F"/>
    <w:rsid w:val="003A5619"/>
    <w:rsid w:val="003B4BF9"/>
    <w:rsid w:val="003B627E"/>
    <w:rsid w:val="003C55EB"/>
    <w:rsid w:val="003D016D"/>
    <w:rsid w:val="003D1101"/>
    <w:rsid w:val="003D2AD2"/>
    <w:rsid w:val="003E259E"/>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4EAC"/>
    <w:rsid w:val="00435930"/>
    <w:rsid w:val="004370D7"/>
    <w:rsid w:val="004432FE"/>
    <w:rsid w:val="004437AE"/>
    <w:rsid w:val="00443BE1"/>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956E4"/>
    <w:rsid w:val="004A0C96"/>
    <w:rsid w:val="004A19DD"/>
    <w:rsid w:val="004A20E5"/>
    <w:rsid w:val="004A27E3"/>
    <w:rsid w:val="004A5261"/>
    <w:rsid w:val="004A7791"/>
    <w:rsid w:val="004B04D0"/>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430"/>
    <w:rsid w:val="005436FB"/>
    <w:rsid w:val="0055085C"/>
    <w:rsid w:val="0055090F"/>
    <w:rsid w:val="005543A6"/>
    <w:rsid w:val="005554AD"/>
    <w:rsid w:val="005568B0"/>
    <w:rsid w:val="00557C1B"/>
    <w:rsid w:val="00562694"/>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1A99"/>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0418"/>
    <w:rsid w:val="00662FCE"/>
    <w:rsid w:val="00666B5D"/>
    <w:rsid w:val="00666D92"/>
    <w:rsid w:val="006706B4"/>
    <w:rsid w:val="0067242A"/>
    <w:rsid w:val="00673CED"/>
    <w:rsid w:val="00674722"/>
    <w:rsid w:val="006749FE"/>
    <w:rsid w:val="006762D5"/>
    <w:rsid w:val="006801A9"/>
    <w:rsid w:val="0068296E"/>
    <w:rsid w:val="006900CE"/>
    <w:rsid w:val="00690C3A"/>
    <w:rsid w:val="00693203"/>
    <w:rsid w:val="00693B11"/>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1E34"/>
    <w:rsid w:val="00763D77"/>
    <w:rsid w:val="00764256"/>
    <w:rsid w:val="0076454F"/>
    <w:rsid w:val="00771537"/>
    <w:rsid w:val="007725E4"/>
    <w:rsid w:val="007746E5"/>
    <w:rsid w:val="007764F5"/>
    <w:rsid w:val="0078066F"/>
    <w:rsid w:val="00783694"/>
    <w:rsid w:val="0079077C"/>
    <w:rsid w:val="0079172F"/>
    <w:rsid w:val="00791F91"/>
    <w:rsid w:val="00792E1B"/>
    <w:rsid w:val="007934C3"/>
    <w:rsid w:val="00793C07"/>
    <w:rsid w:val="00794DAC"/>
    <w:rsid w:val="007958AE"/>
    <w:rsid w:val="0079703B"/>
    <w:rsid w:val="0079727B"/>
    <w:rsid w:val="007A2280"/>
    <w:rsid w:val="007A4F12"/>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6917"/>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3CB7"/>
    <w:rsid w:val="008D5DDF"/>
    <w:rsid w:val="008E2B32"/>
    <w:rsid w:val="008E6B4B"/>
    <w:rsid w:val="008E78C3"/>
    <w:rsid w:val="008F0E1B"/>
    <w:rsid w:val="008F59CA"/>
    <w:rsid w:val="008F615A"/>
    <w:rsid w:val="008F7FE5"/>
    <w:rsid w:val="00900B57"/>
    <w:rsid w:val="00904713"/>
    <w:rsid w:val="009059F6"/>
    <w:rsid w:val="00905D0E"/>
    <w:rsid w:val="00912406"/>
    <w:rsid w:val="009136FB"/>
    <w:rsid w:val="00914845"/>
    <w:rsid w:val="00921A8A"/>
    <w:rsid w:val="009220BF"/>
    <w:rsid w:val="00922256"/>
    <w:rsid w:val="0092669F"/>
    <w:rsid w:val="00933427"/>
    <w:rsid w:val="009356F2"/>
    <w:rsid w:val="00937148"/>
    <w:rsid w:val="00940369"/>
    <w:rsid w:val="009454F4"/>
    <w:rsid w:val="00946EFC"/>
    <w:rsid w:val="00946F59"/>
    <w:rsid w:val="00950E98"/>
    <w:rsid w:val="0095203B"/>
    <w:rsid w:val="009537E3"/>
    <w:rsid w:val="00954226"/>
    <w:rsid w:val="00957952"/>
    <w:rsid w:val="009612CA"/>
    <w:rsid w:val="00963D52"/>
    <w:rsid w:val="009640E8"/>
    <w:rsid w:val="00965A51"/>
    <w:rsid w:val="00970EA5"/>
    <w:rsid w:val="00973CA7"/>
    <w:rsid w:val="009757C4"/>
    <w:rsid w:val="0097679F"/>
    <w:rsid w:val="00977AF2"/>
    <w:rsid w:val="00980E92"/>
    <w:rsid w:val="0098334F"/>
    <w:rsid w:val="00987D22"/>
    <w:rsid w:val="009929A4"/>
    <w:rsid w:val="00993BB4"/>
    <w:rsid w:val="009974A8"/>
    <w:rsid w:val="00997C78"/>
    <w:rsid w:val="009A0EA8"/>
    <w:rsid w:val="009A1BDE"/>
    <w:rsid w:val="009A6E5F"/>
    <w:rsid w:val="009B170E"/>
    <w:rsid w:val="009B1762"/>
    <w:rsid w:val="009B4107"/>
    <w:rsid w:val="009B6F40"/>
    <w:rsid w:val="009C1E9F"/>
    <w:rsid w:val="009C4AF0"/>
    <w:rsid w:val="009C5128"/>
    <w:rsid w:val="009C75DB"/>
    <w:rsid w:val="009D062B"/>
    <w:rsid w:val="009D39E4"/>
    <w:rsid w:val="009D4278"/>
    <w:rsid w:val="009E444A"/>
    <w:rsid w:val="009E50FB"/>
    <w:rsid w:val="009E5DEE"/>
    <w:rsid w:val="009E66C2"/>
    <w:rsid w:val="009E6EF2"/>
    <w:rsid w:val="009F76F8"/>
    <w:rsid w:val="00A027FE"/>
    <w:rsid w:val="00A049ED"/>
    <w:rsid w:val="00A06F79"/>
    <w:rsid w:val="00A13404"/>
    <w:rsid w:val="00A13C69"/>
    <w:rsid w:val="00A13FD3"/>
    <w:rsid w:val="00A15662"/>
    <w:rsid w:val="00A15B4D"/>
    <w:rsid w:val="00A17A05"/>
    <w:rsid w:val="00A2032B"/>
    <w:rsid w:val="00A20B5D"/>
    <w:rsid w:val="00A21678"/>
    <w:rsid w:val="00A21934"/>
    <w:rsid w:val="00A249CD"/>
    <w:rsid w:val="00A26BE9"/>
    <w:rsid w:val="00A3093B"/>
    <w:rsid w:val="00A30D3A"/>
    <w:rsid w:val="00A32364"/>
    <w:rsid w:val="00A33CFD"/>
    <w:rsid w:val="00A40BCE"/>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2D3"/>
    <w:rsid w:val="00AA470C"/>
    <w:rsid w:val="00AA5E0D"/>
    <w:rsid w:val="00AA6718"/>
    <w:rsid w:val="00AB0EAD"/>
    <w:rsid w:val="00AB2F6A"/>
    <w:rsid w:val="00AB6537"/>
    <w:rsid w:val="00AC01BC"/>
    <w:rsid w:val="00AC0A44"/>
    <w:rsid w:val="00AC108C"/>
    <w:rsid w:val="00AC6148"/>
    <w:rsid w:val="00AD25EB"/>
    <w:rsid w:val="00AD273D"/>
    <w:rsid w:val="00AD2FE8"/>
    <w:rsid w:val="00AD3773"/>
    <w:rsid w:val="00AD6720"/>
    <w:rsid w:val="00AD732E"/>
    <w:rsid w:val="00AE1C0F"/>
    <w:rsid w:val="00AE2AFA"/>
    <w:rsid w:val="00AE5420"/>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0309"/>
    <w:rsid w:val="00B51FC7"/>
    <w:rsid w:val="00B532E2"/>
    <w:rsid w:val="00B55775"/>
    <w:rsid w:val="00B55FFB"/>
    <w:rsid w:val="00B600C1"/>
    <w:rsid w:val="00B61F3D"/>
    <w:rsid w:val="00B63142"/>
    <w:rsid w:val="00B63FE9"/>
    <w:rsid w:val="00B66E98"/>
    <w:rsid w:val="00B70889"/>
    <w:rsid w:val="00B70FD7"/>
    <w:rsid w:val="00B75E35"/>
    <w:rsid w:val="00B762CF"/>
    <w:rsid w:val="00B7694F"/>
    <w:rsid w:val="00B810FB"/>
    <w:rsid w:val="00B85510"/>
    <w:rsid w:val="00B86F8C"/>
    <w:rsid w:val="00B87097"/>
    <w:rsid w:val="00B935F7"/>
    <w:rsid w:val="00B9375D"/>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B4C"/>
    <w:rsid w:val="00BC2E32"/>
    <w:rsid w:val="00BC3702"/>
    <w:rsid w:val="00BC3723"/>
    <w:rsid w:val="00BC3A0B"/>
    <w:rsid w:val="00BC4367"/>
    <w:rsid w:val="00BC79A5"/>
    <w:rsid w:val="00BD1749"/>
    <w:rsid w:val="00BD19A7"/>
    <w:rsid w:val="00BD4173"/>
    <w:rsid w:val="00BD7D8C"/>
    <w:rsid w:val="00BE0D34"/>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1B79"/>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0B8"/>
    <w:rsid w:val="00C72488"/>
    <w:rsid w:val="00C741BF"/>
    <w:rsid w:val="00C746A8"/>
    <w:rsid w:val="00C77F0C"/>
    <w:rsid w:val="00C835AC"/>
    <w:rsid w:val="00C85BA9"/>
    <w:rsid w:val="00C867A5"/>
    <w:rsid w:val="00C86A3C"/>
    <w:rsid w:val="00C87A3B"/>
    <w:rsid w:val="00C87D50"/>
    <w:rsid w:val="00C901A7"/>
    <w:rsid w:val="00C9117D"/>
    <w:rsid w:val="00C91D5D"/>
    <w:rsid w:val="00CA1F6D"/>
    <w:rsid w:val="00CA5ACE"/>
    <w:rsid w:val="00CB2684"/>
    <w:rsid w:val="00CB471F"/>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29E"/>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96557"/>
    <w:rsid w:val="00DA03A3"/>
    <w:rsid w:val="00DA044F"/>
    <w:rsid w:val="00DA0F19"/>
    <w:rsid w:val="00DA1172"/>
    <w:rsid w:val="00DA15A0"/>
    <w:rsid w:val="00DA4D0F"/>
    <w:rsid w:val="00DA69E8"/>
    <w:rsid w:val="00DA72AF"/>
    <w:rsid w:val="00DB05CE"/>
    <w:rsid w:val="00DB09FD"/>
    <w:rsid w:val="00DB214F"/>
    <w:rsid w:val="00DC0B27"/>
    <w:rsid w:val="00DC0DC3"/>
    <w:rsid w:val="00DC5979"/>
    <w:rsid w:val="00DC683E"/>
    <w:rsid w:val="00DD7ACC"/>
    <w:rsid w:val="00DD7C86"/>
    <w:rsid w:val="00DE210F"/>
    <w:rsid w:val="00DE541B"/>
    <w:rsid w:val="00DE6729"/>
    <w:rsid w:val="00DE780F"/>
    <w:rsid w:val="00DF005C"/>
    <w:rsid w:val="00DF193F"/>
    <w:rsid w:val="00DF25E1"/>
    <w:rsid w:val="00DF45C1"/>
    <w:rsid w:val="00DF63D3"/>
    <w:rsid w:val="00E01277"/>
    <w:rsid w:val="00E0373F"/>
    <w:rsid w:val="00E07FC2"/>
    <w:rsid w:val="00E10C3F"/>
    <w:rsid w:val="00E1277C"/>
    <w:rsid w:val="00E16381"/>
    <w:rsid w:val="00E16BE0"/>
    <w:rsid w:val="00E20FDC"/>
    <w:rsid w:val="00E21413"/>
    <w:rsid w:val="00E22D57"/>
    <w:rsid w:val="00E278B7"/>
    <w:rsid w:val="00E30D44"/>
    <w:rsid w:val="00E329CC"/>
    <w:rsid w:val="00E35F37"/>
    <w:rsid w:val="00E426CB"/>
    <w:rsid w:val="00E4477C"/>
    <w:rsid w:val="00E53672"/>
    <w:rsid w:val="00E5578E"/>
    <w:rsid w:val="00E6048B"/>
    <w:rsid w:val="00E604F1"/>
    <w:rsid w:val="00E61DE2"/>
    <w:rsid w:val="00E628B1"/>
    <w:rsid w:val="00E71B7C"/>
    <w:rsid w:val="00E72E33"/>
    <w:rsid w:val="00E7592D"/>
    <w:rsid w:val="00E826CD"/>
    <w:rsid w:val="00E8442D"/>
    <w:rsid w:val="00E854A1"/>
    <w:rsid w:val="00E93D2E"/>
    <w:rsid w:val="00E9738B"/>
    <w:rsid w:val="00E97895"/>
    <w:rsid w:val="00E97ED5"/>
    <w:rsid w:val="00EA2918"/>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4EA5"/>
    <w:rsid w:val="00EC69E5"/>
    <w:rsid w:val="00ED47C4"/>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6ADF"/>
    <w:rsid w:val="00F16C77"/>
    <w:rsid w:val="00F17533"/>
    <w:rsid w:val="00F21003"/>
    <w:rsid w:val="00F211FE"/>
    <w:rsid w:val="00F238BB"/>
    <w:rsid w:val="00F23BD1"/>
    <w:rsid w:val="00F246C6"/>
    <w:rsid w:val="00F43EFC"/>
    <w:rsid w:val="00F446EB"/>
    <w:rsid w:val="00F4506A"/>
    <w:rsid w:val="00F508E5"/>
    <w:rsid w:val="00F571BE"/>
    <w:rsid w:val="00F5795E"/>
    <w:rsid w:val="00F57B77"/>
    <w:rsid w:val="00F6136F"/>
    <w:rsid w:val="00F626D8"/>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C6F7E"/>
    <w:rsid w:val="00FD2FD3"/>
    <w:rsid w:val="00FD5E8F"/>
    <w:rsid w:val="00FE26CC"/>
    <w:rsid w:val="00FE48A3"/>
    <w:rsid w:val="00FE692E"/>
    <w:rsid w:val="00FE78A2"/>
    <w:rsid w:val="00FF3E28"/>
    <w:rsid w:val="01031527"/>
    <w:rsid w:val="012C1C02"/>
    <w:rsid w:val="014063FE"/>
    <w:rsid w:val="01721FEB"/>
    <w:rsid w:val="01722330"/>
    <w:rsid w:val="01954DE7"/>
    <w:rsid w:val="01B96DFD"/>
    <w:rsid w:val="01CA5CC8"/>
    <w:rsid w:val="01CE3A0A"/>
    <w:rsid w:val="01CF7782"/>
    <w:rsid w:val="01FA7E36"/>
    <w:rsid w:val="02226211"/>
    <w:rsid w:val="02330841"/>
    <w:rsid w:val="027F3CC8"/>
    <w:rsid w:val="02922A98"/>
    <w:rsid w:val="0293255D"/>
    <w:rsid w:val="02A429BD"/>
    <w:rsid w:val="02E25F12"/>
    <w:rsid w:val="030516AD"/>
    <w:rsid w:val="031F2043"/>
    <w:rsid w:val="032F5AAC"/>
    <w:rsid w:val="03300C0C"/>
    <w:rsid w:val="038A3F97"/>
    <w:rsid w:val="038C4DE3"/>
    <w:rsid w:val="03993BA4"/>
    <w:rsid w:val="03A66B69"/>
    <w:rsid w:val="03D74EAC"/>
    <w:rsid w:val="03E017D2"/>
    <w:rsid w:val="04126F01"/>
    <w:rsid w:val="042C4F6C"/>
    <w:rsid w:val="04340506"/>
    <w:rsid w:val="04392177"/>
    <w:rsid w:val="044034BE"/>
    <w:rsid w:val="04446205"/>
    <w:rsid w:val="045F4DED"/>
    <w:rsid w:val="047255F5"/>
    <w:rsid w:val="047D34C5"/>
    <w:rsid w:val="048C54B6"/>
    <w:rsid w:val="04903B99"/>
    <w:rsid w:val="04983E5B"/>
    <w:rsid w:val="049A4077"/>
    <w:rsid w:val="04D127F5"/>
    <w:rsid w:val="04F80880"/>
    <w:rsid w:val="04F85637"/>
    <w:rsid w:val="05130EC4"/>
    <w:rsid w:val="05253B7D"/>
    <w:rsid w:val="05452235"/>
    <w:rsid w:val="054E05C4"/>
    <w:rsid w:val="05550B86"/>
    <w:rsid w:val="055A54B2"/>
    <w:rsid w:val="057503C1"/>
    <w:rsid w:val="05A21435"/>
    <w:rsid w:val="05EB631A"/>
    <w:rsid w:val="06127C3D"/>
    <w:rsid w:val="06215480"/>
    <w:rsid w:val="062E1176"/>
    <w:rsid w:val="063E255E"/>
    <w:rsid w:val="065D710A"/>
    <w:rsid w:val="06695664"/>
    <w:rsid w:val="068B37EA"/>
    <w:rsid w:val="069468A4"/>
    <w:rsid w:val="069A06D8"/>
    <w:rsid w:val="06B14A33"/>
    <w:rsid w:val="06CC6C7E"/>
    <w:rsid w:val="06D86E6E"/>
    <w:rsid w:val="06E710CA"/>
    <w:rsid w:val="06E94E42"/>
    <w:rsid w:val="06FF6413"/>
    <w:rsid w:val="07101435"/>
    <w:rsid w:val="07131CDD"/>
    <w:rsid w:val="072B0FB7"/>
    <w:rsid w:val="07724E37"/>
    <w:rsid w:val="07B37245"/>
    <w:rsid w:val="07B400E8"/>
    <w:rsid w:val="07EC1177"/>
    <w:rsid w:val="07EF6488"/>
    <w:rsid w:val="07F556AE"/>
    <w:rsid w:val="08176B48"/>
    <w:rsid w:val="08322F2E"/>
    <w:rsid w:val="084D1CF0"/>
    <w:rsid w:val="0864481A"/>
    <w:rsid w:val="087B43C8"/>
    <w:rsid w:val="08A54D99"/>
    <w:rsid w:val="08A851CD"/>
    <w:rsid w:val="08B235B1"/>
    <w:rsid w:val="08C6374F"/>
    <w:rsid w:val="08DC1B03"/>
    <w:rsid w:val="08E33B14"/>
    <w:rsid w:val="08F00483"/>
    <w:rsid w:val="08F85810"/>
    <w:rsid w:val="094E5251"/>
    <w:rsid w:val="095A071C"/>
    <w:rsid w:val="096D1193"/>
    <w:rsid w:val="09B4074E"/>
    <w:rsid w:val="09B47989"/>
    <w:rsid w:val="09B67743"/>
    <w:rsid w:val="09CB6A81"/>
    <w:rsid w:val="09E54A69"/>
    <w:rsid w:val="0A0106F5"/>
    <w:rsid w:val="0A0607F6"/>
    <w:rsid w:val="0A0B218A"/>
    <w:rsid w:val="0A2F5262"/>
    <w:rsid w:val="0A333B9A"/>
    <w:rsid w:val="0A4A2EC2"/>
    <w:rsid w:val="0A522CFE"/>
    <w:rsid w:val="0A537E82"/>
    <w:rsid w:val="0A670558"/>
    <w:rsid w:val="0A685D0F"/>
    <w:rsid w:val="0A7D7D7B"/>
    <w:rsid w:val="0ABD643A"/>
    <w:rsid w:val="0AD856A5"/>
    <w:rsid w:val="0AEB4956"/>
    <w:rsid w:val="0B035CC3"/>
    <w:rsid w:val="0B0C10FF"/>
    <w:rsid w:val="0B2E1267"/>
    <w:rsid w:val="0B53243F"/>
    <w:rsid w:val="0B5C3158"/>
    <w:rsid w:val="0B845139"/>
    <w:rsid w:val="0B866A2E"/>
    <w:rsid w:val="0B911F88"/>
    <w:rsid w:val="0B913B41"/>
    <w:rsid w:val="0BB023D2"/>
    <w:rsid w:val="0BC027C4"/>
    <w:rsid w:val="0BC750CE"/>
    <w:rsid w:val="0BDE35D8"/>
    <w:rsid w:val="0BE16F32"/>
    <w:rsid w:val="0C204376"/>
    <w:rsid w:val="0C254A1B"/>
    <w:rsid w:val="0C526FE5"/>
    <w:rsid w:val="0C537AC8"/>
    <w:rsid w:val="0C6875C2"/>
    <w:rsid w:val="0C85560D"/>
    <w:rsid w:val="0C944F90"/>
    <w:rsid w:val="0C9E75FF"/>
    <w:rsid w:val="0CA77331"/>
    <w:rsid w:val="0CB16402"/>
    <w:rsid w:val="0CEC0DE7"/>
    <w:rsid w:val="0D0227BA"/>
    <w:rsid w:val="0D0C4CF8"/>
    <w:rsid w:val="0D0F4807"/>
    <w:rsid w:val="0D1F7146"/>
    <w:rsid w:val="0D23245A"/>
    <w:rsid w:val="0D554FDF"/>
    <w:rsid w:val="0D605732"/>
    <w:rsid w:val="0D7542AB"/>
    <w:rsid w:val="0D844388"/>
    <w:rsid w:val="0D854860"/>
    <w:rsid w:val="0D9848DC"/>
    <w:rsid w:val="0DA76821"/>
    <w:rsid w:val="0DEE34CD"/>
    <w:rsid w:val="0E0B7D94"/>
    <w:rsid w:val="0E230C39"/>
    <w:rsid w:val="0E301FC6"/>
    <w:rsid w:val="0E607F86"/>
    <w:rsid w:val="0E664FCA"/>
    <w:rsid w:val="0E8A0CB9"/>
    <w:rsid w:val="0E9C279A"/>
    <w:rsid w:val="0EB23067"/>
    <w:rsid w:val="0EB421D9"/>
    <w:rsid w:val="0F0D5446"/>
    <w:rsid w:val="0F142273"/>
    <w:rsid w:val="0F355BE9"/>
    <w:rsid w:val="0F5B4403"/>
    <w:rsid w:val="0F5D008C"/>
    <w:rsid w:val="0F664326"/>
    <w:rsid w:val="0FA918C7"/>
    <w:rsid w:val="0FA9329A"/>
    <w:rsid w:val="0FD3114F"/>
    <w:rsid w:val="0FE63AC6"/>
    <w:rsid w:val="0FEB6A17"/>
    <w:rsid w:val="0FEE5EBF"/>
    <w:rsid w:val="1012756E"/>
    <w:rsid w:val="108300B5"/>
    <w:rsid w:val="108654B0"/>
    <w:rsid w:val="108C64EF"/>
    <w:rsid w:val="10AA5642"/>
    <w:rsid w:val="10BE733F"/>
    <w:rsid w:val="10CA1840"/>
    <w:rsid w:val="10D60D02"/>
    <w:rsid w:val="10D658FE"/>
    <w:rsid w:val="10D97CD5"/>
    <w:rsid w:val="10E94AC2"/>
    <w:rsid w:val="10EC7A09"/>
    <w:rsid w:val="10FC5772"/>
    <w:rsid w:val="11015B72"/>
    <w:rsid w:val="1107092F"/>
    <w:rsid w:val="11093651"/>
    <w:rsid w:val="1147387D"/>
    <w:rsid w:val="114B5472"/>
    <w:rsid w:val="11662604"/>
    <w:rsid w:val="11683B30"/>
    <w:rsid w:val="11700416"/>
    <w:rsid w:val="11796EDC"/>
    <w:rsid w:val="118006F3"/>
    <w:rsid w:val="118B0DEE"/>
    <w:rsid w:val="119D5A3B"/>
    <w:rsid w:val="11AF4BBA"/>
    <w:rsid w:val="11FF11DA"/>
    <w:rsid w:val="121D5C5B"/>
    <w:rsid w:val="125248D7"/>
    <w:rsid w:val="12635AA8"/>
    <w:rsid w:val="126C254B"/>
    <w:rsid w:val="127840D2"/>
    <w:rsid w:val="12900790"/>
    <w:rsid w:val="12900868"/>
    <w:rsid w:val="12A63010"/>
    <w:rsid w:val="12B839F5"/>
    <w:rsid w:val="12E642C5"/>
    <w:rsid w:val="130A23C8"/>
    <w:rsid w:val="13203999"/>
    <w:rsid w:val="13280779"/>
    <w:rsid w:val="13421AE3"/>
    <w:rsid w:val="13425272"/>
    <w:rsid w:val="134F24D1"/>
    <w:rsid w:val="1399464B"/>
    <w:rsid w:val="13AA7707"/>
    <w:rsid w:val="13C733E6"/>
    <w:rsid w:val="13E45340"/>
    <w:rsid w:val="13FF3EF7"/>
    <w:rsid w:val="143C0B97"/>
    <w:rsid w:val="14496182"/>
    <w:rsid w:val="144E2788"/>
    <w:rsid w:val="14616F66"/>
    <w:rsid w:val="14806439"/>
    <w:rsid w:val="149C1746"/>
    <w:rsid w:val="14D21743"/>
    <w:rsid w:val="14D26E56"/>
    <w:rsid w:val="14E4477F"/>
    <w:rsid w:val="14EA0703"/>
    <w:rsid w:val="15035669"/>
    <w:rsid w:val="15086E33"/>
    <w:rsid w:val="152F7F4B"/>
    <w:rsid w:val="158A77F0"/>
    <w:rsid w:val="15A541C4"/>
    <w:rsid w:val="15BB0C10"/>
    <w:rsid w:val="15BD1BCA"/>
    <w:rsid w:val="15CD7D54"/>
    <w:rsid w:val="15F630D7"/>
    <w:rsid w:val="15FB113C"/>
    <w:rsid w:val="16105DC5"/>
    <w:rsid w:val="16730284"/>
    <w:rsid w:val="16753FFC"/>
    <w:rsid w:val="16774FC1"/>
    <w:rsid w:val="167C2CA0"/>
    <w:rsid w:val="16862FFB"/>
    <w:rsid w:val="16B22972"/>
    <w:rsid w:val="16B965DF"/>
    <w:rsid w:val="16BC74EB"/>
    <w:rsid w:val="16FD63B7"/>
    <w:rsid w:val="17075810"/>
    <w:rsid w:val="170F516B"/>
    <w:rsid w:val="17402DEB"/>
    <w:rsid w:val="1741793A"/>
    <w:rsid w:val="1743234C"/>
    <w:rsid w:val="17933E49"/>
    <w:rsid w:val="17966F3F"/>
    <w:rsid w:val="179901BE"/>
    <w:rsid w:val="179D2ACB"/>
    <w:rsid w:val="17AC2D6B"/>
    <w:rsid w:val="17B42A76"/>
    <w:rsid w:val="17C24EE1"/>
    <w:rsid w:val="17C27715"/>
    <w:rsid w:val="17C57205"/>
    <w:rsid w:val="17CA60F9"/>
    <w:rsid w:val="17E4768B"/>
    <w:rsid w:val="17EE4F0B"/>
    <w:rsid w:val="17FC3BA5"/>
    <w:rsid w:val="182513C0"/>
    <w:rsid w:val="182B51D2"/>
    <w:rsid w:val="18397E11"/>
    <w:rsid w:val="18426135"/>
    <w:rsid w:val="18523C01"/>
    <w:rsid w:val="18915CCD"/>
    <w:rsid w:val="18A8371E"/>
    <w:rsid w:val="18E407F4"/>
    <w:rsid w:val="190139FE"/>
    <w:rsid w:val="191C263F"/>
    <w:rsid w:val="194505FE"/>
    <w:rsid w:val="19570331"/>
    <w:rsid w:val="196562EC"/>
    <w:rsid w:val="196675BB"/>
    <w:rsid w:val="19687E48"/>
    <w:rsid w:val="196B1CEA"/>
    <w:rsid w:val="198E1EAE"/>
    <w:rsid w:val="19A777D9"/>
    <w:rsid w:val="19AB0116"/>
    <w:rsid w:val="19C30599"/>
    <w:rsid w:val="19CF7EC7"/>
    <w:rsid w:val="19FB3499"/>
    <w:rsid w:val="1A24288D"/>
    <w:rsid w:val="1A3A7593"/>
    <w:rsid w:val="1A405F82"/>
    <w:rsid w:val="1A74298E"/>
    <w:rsid w:val="1AD5211E"/>
    <w:rsid w:val="1B1B5294"/>
    <w:rsid w:val="1B283330"/>
    <w:rsid w:val="1B356450"/>
    <w:rsid w:val="1B434F04"/>
    <w:rsid w:val="1B9C14FB"/>
    <w:rsid w:val="1BBF6165"/>
    <w:rsid w:val="1BDB35E3"/>
    <w:rsid w:val="1BE453D0"/>
    <w:rsid w:val="1BEB4F4B"/>
    <w:rsid w:val="1BEF4851"/>
    <w:rsid w:val="1BFE3C79"/>
    <w:rsid w:val="1C0954E1"/>
    <w:rsid w:val="1C2C01A7"/>
    <w:rsid w:val="1C4F3541"/>
    <w:rsid w:val="1C584649"/>
    <w:rsid w:val="1C7134B8"/>
    <w:rsid w:val="1C792E22"/>
    <w:rsid w:val="1C93646E"/>
    <w:rsid w:val="1CB57848"/>
    <w:rsid w:val="1CBF2475"/>
    <w:rsid w:val="1D2D5631"/>
    <w:rsid w:val="1D345E0F"/>
    <w:rsid w:val="1D3E783E"/>
    <w:rsid w:val="1D522DF9"/>
    <w:rsid w:val="1D880AB9"/>
    <w:rsid w:val="1DB9452C"/>
    <w:rsid w:val="1DE33F41"/>
    <w:rsid w:val="1DE71C83"/>
    <w:rsid w:val="1E0431F6"/>
    <w:rsid w:val="1E1265D5"/>
    <w:rsid w:val="1E206809"/>
    <w:rsid w:val="1E5A0F1E"/>
    <w:rsid w:val="1E5A29B0"/>
    <w:rsid w:val="1E71779F"/>
    <w:rsid w:val="1E8A6AB3"/>
    <w:rsid w:val="1EA63FAE"/>
    <w:rsid w:val="1EB27A1A"/>
    <w:rsid w:val="1EBC700B"/>
    <w:rsid w:val="1EE45188"/>
    <w:rsid w:val="1EEC7023"/>
    <w:rsid w:val="1EFB3211"/>
    <w:rsid w:val="1F103EA9"/>
    <w:rsid w:val="1F1A7A1E"/>
    <w:rsid w:val="1F1D7927"/>
    <w:rsid w:val="1F332CA6"/>
    <w:rsid w:val="1F44705C"/>
    <w:rsid w:val="1F45125A"/>
    <w:rsid w:val="1F784B5D"/>
    <w:rsid w:val="1FA63478"/>
    <w:rsid w:val="1FAA1431"/>
    <w:rsid w:val="1FB14636"/>
    <w:rsid w:val="1FC475AA"/>
    <w:rsid w:val="1FCA3C17"/>
    <w:rsid w:val="1FD1437A"/>
    <w:rsid w:val="1FDB296A"/>
    <w:rsid w:val="1FE909DC"/>
    <w:rsid w:val="1FEA5A5B"/>
    <w:rsid w:val="1FF42436"/>
    <w:rsid w:val="1FFA0BD8"/>
    <w:rsid w:val="20056C59"/>
    <w:rsid w:val="20213A44"/>
    <w:rsid w:val="202730EF"/>
    <w:rsid w:val="204333BD"/>
    <w:rsid w:val="20457135"/>
    <w:rsid w:val="20631369"/>
    <w:rsid w:val="207227D1"/>
    <w:rsid w:val="20726449"/>
    <w:rsid w:val="20755F4B"/>
    <w:rsid w:val="20AF152F"/>
    <w:rsid w:val="20D70CDB"/>
    <w:rsid w:val="20D970F2"/>
    <w:rsid w:val="20DB2206"/>
    <w:rsid w:val="20E019DC"/>
    <w:rsid w:val="20E83906"/>
    <w:rsid w:val="211865F8"/>
    <w:rsid w:val="212C6238"/>
    <w:rsid w:val="21431371"/>
    <w:rsid w:val="2149055F"/>
    <w:rsid w:val="21513626"/>
    <w:rsid w:val="215C64E4"/>
    <w:rsid w:val="215D225D"/>
    <w:rsid w:val="21667363"/>
    <w:rsid w:val="219001F8"/>
    <w:rsid w:val="219537A4"/>
    <w:rsid w:val="21BD6DBB"/>
    <w:rsid w:val="21C02D6D"/>
    <w:rsid w:val="21C36564"/>
    <w:rsid w:val="21C85928"/>
    <w:rsid w:val="21DF0EC4"/>
    <w:rsid w:val="21E23A88"/>
    <w:rsid w:val="220F3557"/>
    <w:rsid w:val="221C055F"/>
    <w:rsid w:val="222A213F"/>
    <w:rsid w:val="22673089"/>
    <w:rsid w:val="22711F1D"/>
    <w:rsid w:val="228D0920"/>
    <w:rsid w:val="22E104A7"/>
    <w:rsid w:val="22FE3737"/>
    <w:rsid w:val="23290736"/>
    <w:rsid w:val="23362D65"/>
    <w:rsid w:val="23480D0D"/>
    <w:rsid w:val="23603619"/>
    <w:rsid w:val="236E5E5F"/>
    <w:rsid w:val="237072A3"/>
    <w:rsid w:val="2378337E"/>
    <w:rsid w:val="2395126F"/>
    <w:rsid w:val="239A32F4"/>
    <w:rsid w:val="23A61C99"/>
    <w:rsid w:val="23B93089"/>
    <w:rsid w:val="23C5440E"/>
    <w:rsid w:val="23F30C56"/>
    <w:rsid w:val="240D1E7C"/>
    <w:rsid w:val="2411343C"/>
    <w:rsid w:val="241F1A4B"/>
    <w:rsid w:val="24266C7C"/>
    <w:rsid w:val="243B4281"/>
    <w:rsid w:val="244A2F6C"/>
    <w:rsid w:val="246A64EC"/>
    <w:rsid w:val="248E0882"/>
    <w:rsid w:val="24AB04CD"/>
    <w:rsid w:val="24B47998"/>
    <w:rsid w:val="24B85FE4"/>
    <w:rsid w:val="24D67678"/>
    <w:rsid w:val="252E63EA"/>
    <w:rsid w:val="25335818"/>
    <w:rsid w:val="25493224"/>
    <w:rsid w:val="256533FF"/>
    <w:rsid w:val="25714E00"/>
    <w:rsid w:val="258204E4"/>
    <w:rsid w:val="258E278B"/>
    <w:rsid w:val="25950845"/>
    <w:rsid w:val="25A53D6F"/>
    <w:rsid w:val="25E847EB"/>
    <w:rsid w:val="25F56F08"/>
    <w:rsid w:val="267047E0"/>
    <w:rsid w:val="268C4A4A"/>
    <w:rsid w:val="270F7B55"/>
    <w:rsid w:val="273B6B9C"/>
    <w:rsid w:val="27427F2B"/>
    <w:rsid w:val="27454BF7"/>
    <w:rsid w:val="27457765"/>
    <w:rsid w:val="27513007"/>
    <w:rsid w:val="276C3345"/>
    <w:rsid w:val="27857F9B"/>
    <w:rsid w:val="2795721C"/>
    <w:rsid w:val="27A641C3"/>
    <w:rsid w:val="27A6670B"/>
    <w:rsid w:val="27C546B8"/>
    <w:rsid w:val="28035E09"/>
    <w:rsid w:val="281D567C"/>
    <w:rsid w:val="282633A8"/>
    <w:rsid w:val="28331903"/>
    <w:rsid w:val="283755B5"/>
    <w:rsid w:val="284461F5"/>
    <w:rsid w:val="284F29AA"/>
    <w:rsid w:val="286B5783"/>
    <w:rsid w:val="286F1880"/>
    <w:rsid w:val="28802127"/>
    <w:rsid w:val="288D313B"/>
    <w:rsid w:val="28961B99"/>
    <w:rsid w:val="28A10C81"/>
    <w:rsid w:val="28B44E58"/>
    <w:rsid w:val="28C05EAE"/>
    <w:rsid w:val="28C25B84"/>
    <w:rsid w:val="28EC2844"/>
    <w:rsid w:val="28F9286B"/>
    <w:rsid w:val="29114058"/>
    <w:rsid w:val="292E2632"/>
    <w:rsid w:val="29422319"/>
    <w:rsid w:val="29497C1B"/>
    <w:rsid w:val="29594B17"/>
    <w:rsid w:val="29745A9F"/>
    <w:rsid w:val="29895F6F"/>
    <w:rsid w:val="29992827"/>
    <w:rsid w:val="29995DFC"/>
    <w:rsid w:val="29AC6F9B"/>
    <w:rsid w:val="29B91807"/>
    <w:rsid w:val="29E821D3"/>
    <w:rsid w:val="29F75268"/>
    <w:rsid w:val="2A0843FB"/>
    <w:rsid w:val="2A0D3565"/>
    <w:rsid w:val="2A671A93"/>
    <w:rsid w:val="2A725E24"/>
    <w:rsid w:val="2A76709F"/>
    <w:rsid w:val="2A813D65"/>
    <w:rsid w:val="2A930A9D"/>
    <w:rsid w:val="2A967EB2"/>
    <w:rsid w:val="2ABB7160"/>
    <w:rsid w:val="2ABD555D"/>
    <w:rsid w:val="2AC670C5"/>
    <w:rsid w:val="2AD417E1"/>
    <w:rsid w:val="2B065713"/>
    <w:rsid w:val="2B2871E7"/>
    <w:rsid w:val="2B4147A5"/>
    <w:rsid w:val="2B764373"/>
    <w:rsid w:val="2B7E5B63"/>
    <w:rsid w:val="2B8474C1"/>
    <w:rsid w:val="2BA75CE6"/>
    <w:rsid w:val="2BA9299F"/>
    <w:rsid w:val="2BCE0DAB"/>
    <w:rsid w:val="2BEC78AC"/>
    <w:rsid w:val="2BF832AE"/>
    <w:rsid w:val="2BF93690"/>
    <w:rsid w:val="2BFE65C2"/>
    <w:rsid w:val="2C02412C"/>
    <w:rsid w:val="2C0525C8"/>
    <w:rsid w:val="2C1665B8"/>
    <w:rsid w:val="2C1B6EA3"/>
    <w:rsid w:val="2C295297"/>
    <w:rsid w:val="2C6E17C2"/>
    <w:rsid w:val="2CAA4A50"/>
    <w:rsid w:val="2CB90168"/>
    <w:rsid w:val="2CC5686F"/>
    <w:rsid w:val="2CD5501C"/>
    <w:rsid w:val="2D7F69DE"/>
    <w:rsid w:val="2DB16F26"/>
    <w:rsid w:val="2DB3388B"/>
    <w:rsid w:val="2DC518B5"/>
    <w:rsid w:val="2DC93154"/>
    <w:rsid w:val="2DCA6ECC"/>
    <w:rsid w:val="2DDC57AF"/>
    <w:rsid w:val="2E284896"/>
    <w:rsid w:val="2E2C723F"/>
    <w:rsid w:val="2E815E80"/>
    <w:rsid w:val="2E8E096D"/>
    <w:rsid w:val="2E954277"/>
    <w:rsid w:val="2EBE59C2"/>
    <w:rsid w:val="2EDF69A7"/>
    <w:rsid w:val="2F1A79DF"/>
    <w:rsid w:val="2F2A413F"/>
    <w:rsid w:val="2F363171"/>
    <w:rsid w:val="2F7E7F6E"/>
    <w:rsid w:val="2F8B34FD"/>
    <w:rsid w:val="2F9959A7"/>
    <w:rsid w:val="300D323B"/>
    <w:rsid w:val="302169BE"/>
    <w:rsid w:val="302D0419"/>
    <w:rsid w:val="30311375"/>
    <w:rsid w:val="30404D55"/>
    <w:rsid w:val="30473F91"/>
    <w:rsid w:val="305E4E97"/>
    <w:rsid w:val="306058C5"/>
    <w:rsid w:val="306D6703"/>
    <w:rsid w:val="307C3F0E"/>
    <w:rsid w:val="30A54B08"/>
    <w:rsid w:val="30B023A9"/>
    <w:rsid w:val="30B5421D"/>
    <w:rsid w:val="30C714A1"/>
    <w:rsid w:val="310E2A55"/>
    <w:rsid w:val="311772A4"/>
    <w:rsid w:val="31186537"/>
    <w:rsid w:val="312133D5"/>
    <w:rsid w:val="31283321"/>
    <w:rsid w:val="315F792B"/>
    <w:rsid w:val="319E1D2A"/>
    <w:rsid w:val="31A66532"/>
    <w:rsid w:val="31B92B8B"/>
    <w:rsid w:val="31BB1552"/>
    <w:rsid w:val="31E52343"/>
    <w:rsid w:val="324D032D"/>
    <w:rsid w:val="3257574A"/>
    <w:rsid w:val="325A11C5"/>
    <w:rsid w:val="325B4596"/>
    <w:rsid w:val="32702FC0"/>
    <w:rsid w:val="329E4DFA"/>
    <w:rsid w:val="32B313E6"/>
    <w:rsid w:val="32D069D1"/>
    <w:rsid w:val="32FB3683"/>
    <w:rsid w:val="32FD564D"/>
    <w:rsid w:val="3328091C"/>
    <w:rsid w:val="33620F19"/>
    <w:rsid w:val="338F3097"/>
    <w:rsid w:val="33A214E0"/>
    <w:rsid w:val="33A51F6D"/>
    <w:rsid w:val="33BD4631"/>
    <w:rsid w:val="33C06DA7"/>
    <w:rsid w:val="33F307A5"/>
    <w:rsid w:val="33FA0154"/>
    <w:rsid w:val="342509B8"/>
    <w:rsid w:val="34297F29"/>
    <w:rsid w:val="34476B80"/>
    <w:rsid w:val="345014C3"/>
    <w:rsid w:val="349D0BDD"/>
    <w:rsid w:val="34AE6BFF"/>
    <w:rsid w:val="34CA3E45"/>
    <w:rsid w:val="34D34153"/>
    <w:rsid w:val="350B5E00"/>
    <w:rsid w:val="35721391"/>
    <w:rsid w:val="357D41D5"/>
    <w:rsid w:val="359758E5"/>
    <w:rsid w:val="359D5EEA"/>
    <w:rsid w:val="35BA1D81"/>
    <w:rsid w:val="35BE7DBB"/>
    <w:rsid w:val="35D02BA5"/>
    <w:rsid w:val="35E8637E"/>
    <w:rsid w:val="35EF3CD1"/>
    <w:rsid w:val="35F248F5"/>
    <w:rsid w:val="35FC1BEC"/>
    <w:rsid w:val="35FC7E3E"/>
    <w:rsid w:val="36356EAC"/>
    <w:rsid w:val="363C3B17"/>
    <w:rsid w:val="36474247"/>
    <w:rsid w:val="3652282D"/>
    <w:rsid w:val="365612FD"/>
    <w:rsid w:val="3677309A"/>
    <w:rsid w:val="36F40B16"/>
    <w:rsid w:val="36F86858"/>
    <w:rsid w:val="370C52DF"/>
    <w:rsid w:val="370C5E5F"/>
    <w:rsid w:val="372140C5"/>
    <w:rsid w:val="374B6987"/>
    <w:rsid w:val="374D6BA3"/>
    <w:rsid w:val="375A306E"/>
    <w:rsid w:val="3783241F"/>
    <w:rsid w:val="379320DC"/>
    <w:rsid w:val="37973E31"/>
    <w:rsid w:val="37A61D6A"/>
    <w:rsid w:val="37A91C9F"/>
    <w:rsid w:val="37B02C8E"/>
    <w:rsid w:val="37BD5302"/>
    <w:rsid w:val="37C4351F"/>
    <w:rsid w:val="37CE1367"/>
    <w:rsid w:val="37D746BF"/>
    <w:rsid w:val="37DF3574"/>
    <w:rsid w:val="37E528A4"/>
    <w:rsid w:val="37FE3B6D"/>
    <w:rsid w:val="3801393F"/>
    <w:rsid w:val="385B5040"/>
    <w:rsid w:val="387B7D7C"/>
    <w:rsid w:val="3885236D"/>
    <w:rsid w:val="388F565A"/>
    <w:rsid w:val="38A76B41"/>
    <w:rsid w:val="38BE762D"/>
    <w:rsid w:val="38C84008"/>
    <w:rsid w:val="38CA5FD2"/>
    <w:rsid w:val="38EB0F04"/>
    <w:rsid w:val="3908412D"/>
    <w:rsid w:val="39224187"/>
    <w:rsid w:val="39411452"/>
    <w:rsid w:val="39725E0D"/>
    <w:rsid w:val="397B72CC"/>
    <w:rsid w:val="397C49C3"/>
    <w:rsid w:val="39B22FFA"/>
    <w:rsid w:val="39C15930"/>
    <w:rsid w:val="39DC0787"/>
    <w:rsid w:val="3A173499"/>
    <w:rsid w:val="3A30022F"/>
    <w:rsid w:val="3A371445"/>
    <w:rsid w:val="3A886145"/>
    <w:rsid w:val="3A8D72B7"/>
    <w:rsid w:val="3AA009A1"/>
    <w:rsid w:val="3AB900AC"/>
    <w:rsid w:val="3AC52EF5"/>
    <w:rsid w:val="3B007A89"/>
    <w:rsid w:val="3B027CA5"/>
    <w:rsid w:val="3B1E3236"/>
    <w:rsid w:val="3B2E2848"/>
    <w:rsid w:val="3B5D4EDB"/>
    <w:rsid w:val="3B81506E"/>
    <w:rsid w:val="3BA526EA"/>
    <w:rsid w:val="3BA60D07"/>
    <w:rsid w:val="3BA6272A"/>
    <w:rsid w:val="3BAD4A61"/>
    <w:rsid w:val="3BB22833"/>
    <w:rsid w:val="3BCB672A"/>
    <w:rsid w:val="3BDC53B4"/>
    <w:rsid w:val="3BE27C97"/>
    <w:rsid w:val="3BE473AB"/>
    <w:rsid w:val="3C030505"/>
    <w:rsid w:val="3C1C0729"/>
    <w:rsid w:val="3C9A513B"/>
    <w:rsid w:val="3CB94393"/>
    <w:rsid w:val="3CCD2793"/>
    <w:rsid w:val="3CE242F0"/>
    <w:rsid w:val="3CFA57E4"/>
    <w:rsid w:val="3D0221DE"/>
    <w:rsid w:val="3D023F8C"/>
    <w:rsid w:val="3D0673EF"/>
    <w:rsid w:val="3D1B3AA0"/>
    <w:rsid w:val="3D1E60DF"/>
    <w:rsid w:val="3D3C39D6"/>
    <w:rsid w:val="3D4E2ED8"/>
    <w:rsid w:val="3D5D3C39"/>
    <w:rsid w:val="3D92443C"/>
    <w:rsid w:val="3D95035C"/>
    <w:rsid w:val="3DE2791A"/>
    <w:rsid w:val="3E053B4B"/>
    <w:rsid w:val="3E151A9D"/>
    <w:rsid w:val="3E375EB7"/>
    <w:rsid w:val="3E38205E"/>
    <w:rsid w:val="3E7C6729"/>
    <w:rsid w:val="3E8266FE"/>
    <w:rsid w:val="3E863F04"/>
    <w:rsid w:val="3E933410"/>
    <w:rsid w:val="3EA47C68"/>
    <w:rsid w:val="3ED03C16"/>
    <w:rsid w:val="3ED6009E"/>
    <w:rsid w:val="3EEB27FE"/>
    <w:rsid w:val="3F0F6E83"/>
    <w:rsid w:val="3F23526A"/>
    <w:rsid w:val="3F3423F7"/>
    <w:rsid w:val="3F490308"/>
    <w:rsid w:val="3F595FFD"/>
    <w:rsid w:val="3F8E1B07"/>
    <w:rsid w:val="3FF82684"/>
    <w:rsid w:val="3FFE5390"/>
    <w:rsid w:val="40161AFD"/>
    <w:rsid w:val="403326AF"/>
    <w:rsid w:val="40402F34"/>
    <w:rsid w:val="408B6047"/>
    <w:rsid w:val="40AF442B"/>
    <w:rsid w:val="40E165AE"/>
    <w:rsid w:val="40F07398"/>
    <w:rsid w:val="40F26AC0"/>
    <w:rsid w:val="40F925E3"/>
    <w:rsid w:val="411C75E7"/>
    <w:rsid w:val="412248A1"/>
    <w:rsid w:val="41540B2E"/>
    <w:rsid w:val="415E333C"/>
    <w:rsid w:val="41715E5E"/>
    <w:rsid w:val="417F7EBB"/>
    <w:rsid w:val="418F600A"/>
    <w:rsid w:val="419B5FD1"/>
    <w:rsid w:val="419E1DAA"/>
    <w:rsid w:val="41C95125"/>
    <w:rsid w:val="41FB203E"/>
    <w:rsid w:val="420D5851"/>
    <w:rsid w:val="420D5A35"/>
    <w:rsid w:val="422E137F"/>
    <w:rsid w:val="424B3CDF"/>
    <w:rsid w:val="425F401B"/>
    <w:rsid w:val="426D19F0"/>
    <w:rsid w:val="428B0580"/>
    <w:rsid w:val="428C7571"/>
    <w:rsid w:val="42997C24"/>
    <w:rsid w:val="42A165C0"/>
    <w:rsid w:val="42D31F27"/>
    <w:rsid w:val="42D33CD5"/>
    <w:rsid w:val="42D4097A"/>
    <w:rsid w:val="42E80B4B"/>
    <w:rsid w:val="42FC5208"/>
    <w:rsid w:val="43227F2B"/>
    <w:rsid w:val="43255A95"/>
    <w:rsid w:val="43341596"/>
    <w:rsid w:val="436F7EA2"/>
    <w:rsid w:val="437B0FFD"/>
    <w:rsid w:val="43860D47"/>
    <w:rsid w:val="43B41D58"/>
    <w:rsid w:val="43E725CC"/>
    <w:rsid w:val="43ED0DC6"/>
    <w:rsid w:val="43FB4652"/>
    <w:rsid w:val="43FF1225"/>
    <w:rsid w:val="445F4788"/>
    <w:rsid w:val="447306A2"/>
    <w:rsid w:val="447D5C51"/>
    <w:rsid w:val="44890DFE"/>
    <w:rsid w:val="44B32884"/>
    <w:rsid w:val="44E36EBE"/>
    <w:rsid w:val="44E73A68"/>
    <w:rsid w:val="44FA6BE7"/>
    <w:rsid w:val="4508235C"/>
    <w:rsid w:val="45223845"/>
    <w:rsid w:val="45290298"/>
    <w:rsid w:val="455978C8"/>
    <w:rsid w:val="45B51211"/>
    <w:rsid w:val="45BA27F4"/>
    <w:rsid w:val="45BD6D52"/>
    <w:rsid w:val="45BF5F80"/>
    <w:rsid w:val="45DC10F2"/>
    <w:rsid w:val="45EF52CA"/>
    <w:rsid w:val="45F16636"/>
    <w:rsid w:val="46276812"/>
    <w:rsid w:val="462A4554"/>
    <w:rsid w:val="46517D32"/>
    <w:rsid w:val="46753001"/>
    <w:rsid w:val="46821C9A"/>
    <w:rsid w:val="46B51ADC"/>
    <w:rsid w:val="46D0419D"/>
    <w:rsid w:val="46E51A75"/>
    <w:rsid w:val="46F84891"/>
    <w:rsid w:val="46FD6304"/>
    <w:rsid w:val="47002CD8"/>
    <w:rsid w:val="472F5BD9"/>
    <w:rsid w:val="47762C36"/>
    <w:rsid w:val="47795A8B"/>
    <w:rsid w:val="477C0DDF"/>
    <w:rsid w:val="47AC0BA9"/>
    <w:rsid w:val="47EB7DBD"/>
    <w:rsid w:val="480212E4"/>
    <w:rsid w:val="4805295C"/>
    <w:rsid w:val="482B73A4"/>
    <w:rsid w:val="4871351D"/>
    <w:rsid w:val="48900C98"/>
    <w:rsid w:val="48C04CFB"/>
    <w:rsid w:val="48FF5824"/>
    <w:rsid w:val="49266FC3"/>
    <w:rsid w:val="492B03C7"/>
    <w:rsid w:val="49307F9C"/>
    <w:rsid w:val="493C6A78"/>
    <w:rsid w:val="49425710"/>
    <w:rsid w:val="498E5824"/>
    <w:rsid w:val="49AA19C3"/>
    <w:rsid w:val="49C11920"/>
    <w:rsid w:val="49C9349E"/>
    <w:rsid w:val="49DA528B"/>
    <w:rsid w:val="49DE053E"/>
    <w:rsid w:val="4A0179C1"/>
    <w:rsid w:val="4A201EF6"/>
    <w:rsid w:val="4A352B3D"/>
    <w:rsid w:val="4A362F02"/>
    <w:rsid w:val="4A625D30"/>
    <w:rsid w:val="4A767D68"/>
    <w:rsid w:val="4A8C2008"/>
    <w:rsid w:val="4ADA0157"/>
    <w:rsid w:val="4B141FD2"/>
    <w:rsid w:val="4B3317B5"/>
    <w:rsid w:val="4B475260"/>
    <w:rsid w:val="4B4C2876"/>
    <w:rsid w:val="4B8A0C8E"/>
    <w:rsid w:val="4B9E1324"/>
    <w:rsid w:val="4BAB24DC"/>
    <w:rsid w:val="4BBF201F"/>
    <w:rsid w:val="4BE17463"/>
    <w:rsid w:val="4BFB4538"/>
    <w:rsid w:val="4C4F1E34"/>
    <w:rsid w:val="4C59349D"/>
    <w:rsid w:val="4CA26BF2"/>
    <w:rsid w:val="4CEE1E37"/>
    <w:rsid w:val="4D043409"/>
    <w:rsid w:val="4D145F92"/>
    <w:rsid w:val="4D330192"/>
    <w:rsid w:val="4D400CC0"/>
    <w:rsid w:val="4D4205AF"/>
    <w:rsid w:val="4D461C73"/>
    <w:rsid w:val="4DB52C4D"/>
    <w:rsid w:val="4DC50BE1"/>
    <w:rsid w:val="4E092CA1"/>
    <w:rsid w:val="4E111A5A"/>
    <w:rsid w:val="4E327823"/>
    <w:rsid w:val="4E4156DB"/>
    <w:rsid w:val="4E93713A"/>
    <w:rsid w:val="4E9702AC"/>
    <w:rsid w:val="4EC314C8"/>
    <w:rsid w:val="4EC42815"/>
    <w:rsid w:val="4EE7316A"/>
    <w:rsid w:val="4F0F5267"/>
    <w:rsid w:val="4F135B85"/>
    <w:rsid w:val="4F1456D4"/>
    <w:rsid w:val="4F691C49"/>
    <w:rsid w:val="4F9905AE"/>
    <w:rsid w:val="4FC33F25"/>
    <w:rsid w:val="4FD001C7"/>
    <w:rsid w:val="4FFF6109"/>
    <w:rsid w:val="500B71A4"/>
    <w:rsid w:val="50180925"/>
    <w:rsid w:val="502E3F19"/>
    <w:rsid w:val="502E60F8"/>
    <w:rsid w:val="50334005"/>
    <w:rsid w:val="50410D12"/>
    <w:rsid w:val="504E780B"/>
    <w:rsid w:val="505D3EB9"/>
    <w:rsid w:val="505E4B9C"/>
    <w:rsid w:val="508036EE"/>
    <w:rsid w:val="50A30487"/>
    <w:rsid w:val="50DD1804"/>
    <w:rsid w:val="50E172E3"/>
    <w:rsid w:val="513918A9"/>
    <w:rsid w:val="51581F75"/>
    <w:rsid w:val="51653D4B"/>
    <w:rsid w:val="518D60D8"/>
    <w:rsid w:val="51A52CE0"/>
    <w:rsid w:val="51DA3C1E"/>
    <w:rsid w:val="51F84859"/>
    <w:rsid w:val="52195EFA"/>
    <w:rsid w:val="52893764"/>
    <w:rsid w:val="52953EDE"/>
    <w:rsid w:val="529674E9"/>
    <w:rsid w:val="52A03C76"/>
    <w:rsid w:val="52AF2069"/>
    <w:rsid w:val="52B1378F"/>
    <w:rsid w:val="52B43B7C"/>
    <w:rsid w:val="52B94916"/>
    <w:rsid w:val="52C41B2D"/>
    <w:rsid w:val="53100CAE"/>
    <w:rsid w:val="533745E5"/>
    <w:rsid w:val="534B029F"/>
    <w:rsid w:val="535D3873"/>
    <w:rsid w:val="53876B42"/>
    <w:rsid w:val="53B16FE2"/>
    <w:rsid w:val="53EE716F"/>
    <w:rsid w:val="54153BAB"/>
    <w:rsid w:val="54323C64"/>
    <w:rsid w:val="543E18F6"/>
    <w:rsid w:val="546B1FBF"/>
    <w:rsid w:val="548F2D18"/>
    <w:rsid w:val="54930E84"/>
    <w:rsid w:val="54996B2C"/>
    <w:rsid w:val="54A506C8"/>
    <w:rsid w:val="54B44F10"/>
    <w:rsid w:val="550A7A2A"/>
    <w:rsid w:val="550F143F"/>
    <w:rsid w:val="5512383F"/>
    <w:rsid w:val="551B53B0"/>
    <w:rsid w:val="554A5B42"/>
    <w:rsid w:val="554A7E27"/>
    <w:rsid w:val="555E1B24"/>
    <w:rsid w:val="556A04C9"/>
    <w:rsid w:val="556A52A1"/>
    <w:rsid w:val="55913CA7"/>
    <w:rsid w:val="559E5653"/>
    <w:rsid w:val="55A049A2"/>
    <w:rsid w:val="55AB3C2F"/>
    <w:rsid w:val="55DE1543"/>
    <w:rsid w:val="55EC35D4"/>
    <w:rsid w:val="56383CF3"/>
    <w:rsid w:val="56455CD4"/>
    <w:rsid w:val="565C42B5"/>
    <w:rsid w:val="568315AE"/>
    <w:rsid w:val="569F41A2"/>
    <w:rsid w:val="56AE76A6"/>
    <w:rsid w:val="56B714EC"/>
    <w:rsid w:val="56BA62DE"/>
    <w:rsid w:val="56D4209E"/>
    <w:rsid w:val="56DB2C2D"/>
    <w:rsid w:val="56E4418B"/>
    <w:rsid w:val="57064221"/>
    <w:rsid w:val="57065B51"/>
    <w:rsid w:val="57172250"/>
    <w:rsid w:val="572E082D"/>
    <w:rsid w:val="575823DC"/>
    <w:rsid w:val="575E5E0B"/>
    <w:rsid w:val="5773022F"/>
    <w:rsid w:val="57770C7B"/>
    <w:rsid w:val="577861BC"/>
    <w:rsid w:val="57A104F9"/>
    <w:rsid w:val="57E50495"/>
    <w:rsid w:val="57E72F44"/>
    <w:rsid w:val="57EF2F07"/>
    <w:rsid w:val="580A1AEF"/>
    <w:rsid w:val="580D02D9"/>
    <w:rsid w:val="58392BC8"/>
    <w:rsid w:val="58410767"/>
    <w:rsid w:val="5866141B"/>
    <w:rsid w:val="58776655"/>
    <w:rsid w:val="587B3CEC"/>
    <w:rsid w:val="58AD6409"/>
    <w:rsid w:val="58B469F6"/>
    <w:rsid w:val="58B74216"/>
    <w:rsid w:val="58C16652"/>
    <w:rsid w:val="58C43146"/>
    <w:rsid w:val="58EB568E"/>
    <w:rsid w:val="590752B6"/>
    <w:rsid w:val="591744C4"/>
    <w:rsid w:val="591F15CA"/>
    <w:rsid w:val="59231A6A"/>
    <w:rsid w:val="592C2E0C"/>
    <w:rsid w:val="596D67DA"/>
    <w:rsid w:val="59760D08"/>
    <w:rsid w:val="599E6993"/>
    <w:rsid w:val="59AC5554"/>
    <w:rsid w:val="59C04B5B"/>
    <w:rsid w:val="59C92914"/>
    <w:rsid w:val="59CF5559"/>
    <w:rsid w:val="59E87171"/>
    <w:rsid w:val="5A3B264B"/>
    <w:rsid w:val="5A564466"/>
    <w:rsid w:val="5A56726E"/>
    <w:rsid w:val="5A5C77EA"/>
    <w:rsid w:val="5A902780"/>
    <w:rsid w:val="5A9F4737"/>
    <w:rsid w:val="5AAE2C06"/>
    <w:rsid w:val="5AC10B8B"/>
    <w:rsid w:val="5ACB4792"/>
    <w:rsid w:val="5AD36B10"/>
    <w:rsid w:val="5AE8436A"/>
    <w:rsid w:val="5AF80325"/>
    <w:rsid w:val="5B5714EF"/>
    <w:rsid w:val="5B6339F0"/>
    <w:rsid w:val="5BAD7361"/>
    <w:rsid w:val="5BF6561B"/>
    <w:rsid w:val="5BFA4C14"/>
    <w:rsid w:val="5BFB631F"/>
    <w:rsid w:val="5BFF0A62"/>
    <w:rsid w:val="5C0F6B4C"/>
    <w:rsid w:val="5C131894"/>
    <w:rsid w:val="5C2A6C04"/>
    <w:rsid w:val="5C3543D2"/>
    <w:rsid w:val="5C406532"/>
    <w:rsid w:val="5C4177F7"/>
    <w:rsid w:val="5CAC6809"/>
    <w:rsid w:val="5CC033F7"/>
    <w:rsid w:val="5CC2508E"/>
    <w:rsid w:val="5CE36031"/>
    <w:rsid w:val="5D26561D"/>
    <w:rsid w:val="5D487342"/>
    <w:rsid w:val="5D656145"/>
    <w:rsid w:val="5D7E1743"/>
    <w:rsid w:val="5DB26EB1"/>
    <w:rsid w:val="5DB46785"/>
    <w:rsid w:val="5DBA559D"/>
    <w:rsid w:val="5DF31958"/>
    <w:rsid w:val="5DFE3EA4"/>
    <w:rsid w:val="5E316028"/>
    <w:rsid w:val="5E465887"/>
    <w:rsid w:val="5E473A9D"/>
    <w:rsid w:val="5E4A06EC"/>
    <w:rsid w:val="5E8425FB"/>
    <w:rsid w:val="5EE50BC0"/>
    <w:rsid w:val="5F181B76"/>
    <w:rsid w:val="5F1D188E"/>
    <w:rsid w:val="5F463D55"/>
    <w:rsid w:val="5F7C71D6"/>
    <w:rsid w:val="5F9156AE"/>
    <w:rsid w:val="5FA42829"/>
    <w:rsid w:val="5FCA1FBF"/>
    <w:rsid w:val="5FD4389C"/>
    <w:rsid w:val="5FEC48FC"/>
    <w:rsid w:val="6013374F"/>
    <w:rsid w:val="6031186D"/>
    <w:rsid w:val="60506145"/>
    <w:rsid w:val="6082700E"/>
    <w:rsid w:val="6083350B"/>
    <w:rsid w:val="608E53F7"/>
    <w:rsid w:val="60B116A2"/>
    <w:rsid w:val="60B42F40"/>
    <w:rsid w:val="60B7767B"/>
    <w:rsid w:val="610750C1"/>
    <w:rsid w:val="61221DAA"/>
    <w:rsid w:val="61694C19"/>
    <w:rsid w:val="61696F59"/>
    <w:rsid w:val="617B3D7A"/>
    <w:rsid w:val="61D672CA"/>
    <w:rsid w:val="61E63AF5"/>
    <w:rsid w:val="626A2DAC"/>
    <w:rsid w:val="626F0843"/>
    <w:rsid w:val="62784498"/>
    <w:rsid w:val="62A86D6B"/>
    <w:rsid w:val="62D173D4"/>
    <w:rsid w:val="62EC69C1"/>
    <w:rsid w:val="62F60D1D"/>
    <w:rsid w:val="62F6127D"/>
    <w:rsid w:val="631F3061"/>
    <w:rsid w:val="63293771"/>
    <w:rsid w:val="634542D8"/>
    <w:rsid w:val="63647FB2"/>
    <w:rsid w:val="63754E3A"/>
    <w:rsid w:val="637C7D45"/>
    <w:rsid w:val="639808F7"/>
    <w:rsid w:val="63CE2A65"/>
    <w:rsid w:val="642346C3"/>
    <w:rsid w:val="64565496"/>
    <w:rsid w:val="645F2960"/>
    <w:rsid w:val="64654C7D"/>
    <w:rsid w:val="646C7950"/>
    <w:rsid w:val="648842B9"/>
    <w:rsid w:val="64BD496D"/>
    <w:rsid w:val="64BE25DF"/>
    <w:rsid w:val="64BF164C"/>
    <w:rsid w:val="64C44758"/>
    <w:rsid w:val="64D41894"/>
    <w:rsid w:val="64E21BBE"/>
    <w:rsid w:val="64F07C16"/>
    <w:rsid w:val="64F93617"/>
    <w:rsid w:val="6511628B"/>
    <w:rsid w:val="655D3BA6"/>
    <w:rsid w:val="65623AA3"/>
    <w:rsid w:val="65655387"/>
    <w:rsid w:val="659A6BA8"/>
    <w:rsid w:val="65A50F20"/>
    <w:rsid w:val="65FE7BFD"/>
    <w:rsid w:val="660E006B"/>
    <w:rsid w:val="660F5A59"/>
    <w:rsid w:val="661F2C0A"/>
    <w:rsid w:val="662C378C"/>
    <w:rsid w:val="664D7A57"/>
    <w:rsid w:val="66566AD5"/>
    <w:rsid w:val="66EC6F90"/>
    <w:rsid w:val="66F2031E"/>
    <w:rsid w:val="672E29D7"/>
    <w:rsid w:val="677A6041"/>
    <w:rsid w:val="67874F0A"/>
    <w:rsid w:val="67AA7E58"/>
    <w:rsid w:val="67AB0BF9"/>
    <w:rsid w:val="67C73559"/>
    <w:rsid w:val="67F55E37"/>
    <w:rsid w:val="68077DF9"/>
    <w:rsid w:val="68192B09"/>
    <w:rsid w:val="683517E3"/>
    <w:rsid w:val="68382663"/>
    <w:rsid w:val="686314D3"/>
    <w:rsid w:val="6888718C"/>
    <w:rsid w:val="68AD09A1"/>
    <w:rsid w:val="68E5527F"/>
    <w:rsid w:val="69611E61"/>
    <w:rsid w:val="69655E7A"/>
    <w:rsid w:val="69823BDB"/>
    <w:rsid w:val="69A578CA"/>
    <w:rsid w:val="69BC3663"/>
    <w:rsid w:val="69E304D0"/>
    <w:rsid w:val="6A071E00"/>
    <w:rsid w:val="6A3A536F"/>
    <w:rsid w:val="6A59225A"/>
    <w:rsid w:val="6A7343B6"/>
    <w:rsid w:val="6A8219B9"/>
    <w:rsid w:val="6A8D28E3"/>
    <w:rsid w:val="6A9039F1"/>
    <w:rsid w:val="6AB029CA"/>
    <w:rsid w:val="6AB40090"/>
    <w:rsid w:val="6ADE7537"/>
    <w:rsid w:val="6AE34B4E"/>
    <w:rsid w:val="6AFD3EBF"/>
    <w:rsid w:val="6B12521B"/>
    <w:rsid w:val="6B1F6200"/>
    <w:rsid w:val="6B4A3375"/>
    <w:rsid w:val="6B6A52CA"/>
    <w:rsid w:val="6B825FC3"/>
    <w:rsid w:val="6B8359E9"/>
    <w:rsid w:val="6BB92906"/>
    <w:rsid w:val="6BCE4EB6"/>
    <w:rsid w:val="6BCF0383"/>
    <w:rsid w:val="6C1E2A3C"/>
    <w:rsid w:val="6C4E1F5B"/>
    <w:rsid w:val="6C5F6F46"/>
    <w:rsid w:val="6C613F7C"/>
    <w:rsid w:val="6C631880"/>
    <w:rsid w:val="6C71135B"/>
    <w:rsid w:val="6C806253"/>
    <w:rsid w:val="6C9D621C"/>
    <w:rsid w:val="6CBF5146"/>
    <w:rsid w:val="6CF748E0"/>
    <w:rsid w:val="6CFB656C"/>
    <w:rsid w:val="6D0446EE"/>
    <w:rsid w:val="6D15191A"/>
    <w:rsid w:val="6D372470"/>
    <w:rsid w:val="6D3B6BF1"/>
    <w:rsid w:val="6D4833B1"/>
    <w:rsid w:val="6D4C7FD8"/>
    <w:rsid w:val="6D702199"/>
    <w:rsid w:val="6D717C1E"/>
    <w:rsid w:val="6D7D3037"/>
    <w:rsid w:val="6D934609"/>
    <w:rsid w:val="6DAE50AD"/>
    <w:rsid w:val="6DC74E22"/>
    <w:rsid w:val="6DDA2238"/>
    <w:rsid w:val="6DE01CB0"/>
    <w:rsid w:val="6E0E1EE1"/>
    <w:rsid w:val="6E154E6D"/>
    <w:rsid w:val="6E246B33"/>
    <w:rsid w:val="6E5A21EA"/>
    <w:rsid w:val="6EB8009F"/>
    <w:rsid w:val="6EC72090"/>
    <w:rsid w:val="6F1C418A"/>
    <w:rsid w:val="6F812443"/>
    <w:rsid w:val="6F834B73"/>
    <w:rsid w:val="6F857F81"/>
    <w:rsid w:val="6F913E59"/>
    <w:rsid w:val="6FC62348"/>
    <w:rsid w:val="6FE10E18"/>
    <w:rsid w:val="6FEB7EFB"/>
    <w:rsid w:val="6FEC14A9"/>
    <w:rsid w:val="6FEC6252"/>
    <w:rsid w:val="6FFE0085"/>
    <w:rsid w:val="6FFE241D"/>
    <w:rsid w:val="702E23C7"/>
    <w:rsid w:val="7033254A"/>
    <w:rsid w:val="708A48C4"/>
    <w:rsid w:val="70A15EF2"/>
    <w:rsid w:val="70C96037"/>
    <w:rsid w:val="70CB230C"/>
    <w:rsid w:val="71096141"/>
    <w:rsid w:val="710E21F8"/>
    <w:rsid w:val="719D39CC"/>
    <w:rsid w:val="71C42137"/>
    <w:rsid w:val="71DD0E59"/>
    <w:rsid w:val="721E46BD"/>
    <w:rsid w:val="72271FEC"/>
    <w:rsid w:val="72380DF1"/>
    <w:rsid w:val="72655E48"/>
    <w:rsid w:val="72824C4C"/>
    <w:rsid w:val="72844AE1"/>
    <w:rsid w:val="728A3B01"/>
    <w:rsid w:val="72D93738"/>
    <w:rsid w:val="73434202"/>
    <w:rsid w:val="734819F2"/>
    <w:rsid w:val="734867D2"/>
    <w:rsid w:val="73592668"/>
    <w:rsid w:val="735B7378"/>
    <w:rsid w:val="736507F6"/>
    <w:rsid w:val="737A608E"/>
    <w:rsid w:val="739430D8"/>
    <w:rsid w:val="73A806E2"/>
    <w:rsid w:val="73AD5CF9"/>
    <w:rsid w:val="73BC418E"/>
    <w:rsid w:val="73BD750D"/>
    <w:rsid w:val="73C65A80"/>
    <w:rsid w:val="740558F6"/>
    <w:rsid w:val="741D2E7E"/>
    <w:rsid w:val="7424106B"/>
    <w:rsid w:val="7428231F"/>
    <w:rsid w:val="74294EDD"/>
    <w:rsid w:val="7441134A"/>
    <w:rsid w:val="74606480"/>
    <w:rsid w:val="74840C37"/>
    <w:rsid w:val="74A16CBA"/>
    <w:rsid w:val="74CB28DA"/>
    <w:rsid w:val="74D53759"/>
    <w:rsid w:val="74F33BDF"/>
    <w:rsid w:val="752B5D11"/>
    <w:rsid w:val="752C4F4C"/>
    <w:rsid w:val="752C70F1"/>
    <w:rsid w:val="75387844"/>
    <w:rsid w:val="753903C8"/>
    <w:rsid w:val="75730F03"/>
    <w:rsid w:val="75895CE5"/>
    <w:rsid w:val="75AF136D"/>
    <w:rsid w:val="75BC19B7"/>
    <w:rsid w:val="75CC2E8E"/>
    <w:rsid w:val="75DC4AB5"/>
    <w:rsid w:val="75EC49A0"/>
    <w:rsid w:val="75EF406B"/>
    <w:rsid w:val="76272094"/>
    <w:rsid w:val="763731B7"/>
    <w:rsid w:val="76391AC6"/>
    <w:rsid w:val="7650222A"/>
    <w:rsid w:val="765B7C8E"/>
    <w:rsid w:val="76707B96"/>
    <w:rsid w:val="76726D86"/>
    <w:rsid w:val="767A147A"/>
    <w:rsid w:val="768D36C7"/>
    <w:rsid w:val="76956B17"/>
    <w:rsid w:val="7699558D"/>
    <w:rsid w:val="76C3504D"/>
    <w:rsid w:val="76D04B5F"/>
    <w:rsid w:val="76D121C8"/>
    <w:rsid w:val="76D6152E"/>
    <w:rsid w:val="76ED2C45"/>
    <w:rsid w:val="76F1414E"/>
    <w:rsid w:val="770422FE"/>
    <w:rsid w:val="773029DE"/>
    <w:rsid w:val="77430E54"/>
    <w:rsid w:val="7746449A"/>
    <w:rsid w:val="775546DD"/>
    <w:rsid w:val="77643352"/>
    <w:rsid w:val="7772528F"/>
    <w:rsid w:val="777B6950"/>
    <w:rsid w:val="778C3E77"/>
    <w:rsid w:val="778D0189"/>
    <w:rsid w:val="77B43556"/>
    <w:rsid w:val="77C35AEB"/>
    <w:rsid w:val="77D71E10"/>
    <w:rsid w:val="77E31CE9"/>
    <w:rsid w:val="781F391F"/>
    <w:rsid w:val="78376C25"/>
    <w:rsid w:val="785C5EBB"/>
    <w:rsid w:val="785F1FBE"/>
    <w:rsid w:val="786B044B"/>
    <w:rsid w:val="78746DE5"/>
    <w:rsid w:val="7899684C"/>
    <w:rsid w:val="78A72AF0"/>
    <w:rsid w:val="78A82F32"/>
    <w:rsid w:val="790F6B0E"/>
    <w:rsid w:val="79134850"/>
    <w:rsid w:val="79200163"/>
    <w:rsid w:val="79261AEA"/>
    <w:rsid w:val="79264208"/>
    <w:rsid w:val="792F089A"/>
    <w:rsid w:val="7956473D"/>
    <w:rsid w:val="79627366"/>
    <w:rsid w:val="79667BBC"/>
    <w:rsid w:val="798661F3"/>
    <w:rsid w:val="799314ED"/>
    <w:rsid w:val="79A3738C"/>
    <w:rsid w:val="79A951B4"/>
    <w:rsid w:val="79CC3315"/>
    <w:rsid w:val="79EE2C15"/>
    <w:rsid w:val="7A0128FA"/>
    <w:rsid w:val="7A171012"/>
    <w:rsid w:val="7A1F06C4"/>
    <w:rsid w:val="7A401D4D"/>
    <w:rsid w:val="7A7D67F0"/>
    <w:rsid w:val="7AA46F38"/>
    <w:rsid w:val="7ACB4CB6"/>
    <w:rsid w:val="7ADB75EF"/>
    <w:rsid w:val="7AF161EE"/>
    <w:rsid w:val="7B020D14"/>
    <w:rsid w:val="7B19480F"/>
    <w:rsid w:val="7B1E128A"/>
    <w:rsid w:val="7B467F1D"/>
    <w:rsid w:val="7B5B1C70"/>
    <w:rsid w:val="7B5F1FCE"/>
    <w:rsid w:val="7B6637B3"/>
    <w:rsid w:val="7B98103C"/>
    <w:rsid w:val="7BA7772C"/>
    <w:rsid w:val="7BE15E8E"/>
    <w:rsid w:val="7C0924C9"/>
    <w:rsid w:val="7C1F1F1D"/>
    <w:rsid w:val="7C507B69"/>
    <w:rsid w:val="7C5F566E"/>
    <w:rsid w:val="7C711A95"/>
    <w:rsid w:val="7C8233E8"/>
    <w:rsid w:val="7C8D4919"/>
    <w:rsid w:val="7CBA4FE2"/>
    <w:rsid w:val="7CD24A22"/>
    <w:rsid w:val="7CFD1A9F"/>
    <w:rsid w:val="7D2F777E"/>
    <w:rsid w:val="7D407BDD"/>
    <w:rsid w:val="7D443A12"/>
    <w:rsid w:val="7D4A1E4C"/>
    <w:rsid w:val="7D5947DF"/>
    <w:rsid w:val="7D5F0561"/>
    <w:rsid w:val="7D60202E"/>
    <w:rsid w:val="7D6458CE"/>
    <w:rsid w:val="7D667DD5"/>
    <w:rsid w:val="7D7E4225"/>
    <w:rsid w:val="7D8555F0"/>
    <w:rsid w:val="7D916095"/>
    <w:rsid w:val="7DB14637"/>
    <w:rsid w:val="7DC51E91"/>
    <w:rsid w:val="7DDD7D4A"/>
    <w:rsid w:val="7DE84806"/>
    <w:rsid w:val="7E114DDB"/>
    <w:rsid w:val="7E141A72"/>
    <w:rsid w:val="7E1C7D03"/>
    <w:rsid w:val="7E25528C"/>
    <w:rsid w:val="7E2748F9"/>
    <w:rsid w:val="7E430BF7"/>
    <w:rsid w:val="7E703977"/>
    <w:rsid w:val="7E963DC6"/>
    <w:rsid w:val="7EA111FA"/>
    <w:rsid w:val="7EB268B9"/>
    <w:rsid w:val="7EF02F3D"/>
    <w:rsid w:val="7F166E48"/>
    <w:rsid w:val="7F1B1599"/>
    <w:rsid w:val="7F260A4E"/>
    <w:rsid w:val="7F392DBD"/>
    <w:rsid w:val="7F53536E"/>
    <w:rsid w:val="7F5F65D1"/>
    <w:rsid w:val="7F606315"/>
    <w:rsid w:val="7F6210EB"/>
    <w:rsid w:val="7F7A1B59"/>
    <w:rsid w:val="7F8B73C1"/>
    <w:rsid w:val="7F961D37"/>
    <w:rsid w:val="7F9F1077"/>
    <w:rsid w:val="7FA44454"/>
    <w:rsid w:val="7FAC3308"/>
    <w:rsid w:val="7FBA7A5F"/>
    <w:rsid w:val="7FD46D4F"/>
    <w:rsid w:val="CFFEFA81"/>
    <w:rsid w:val="FDAFEF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6"/>
    <w:qFormat/>
    <w:uiPriority w:val="0"/>
    <w:pPr>
      <w:keepNext/>
      <w:keepLines/>
      <w:spacing w:before="340" w:afterLines="25" w:line="578" w:lineRule="auto"/>
      <w:outlineLvl w:val="0"/>
    </w:pPr>
    <w:rPr>
      <w:rFonts w:ascii="Arial" w:hAnsi="Arial" w:eastAsia="宋体" w:cs="Times New Roman"/>
      <w:b/>
      <w:bCs/>
      <w:kern w:val="44"/>
      <w:sz w:val="44"/>
      <w:szCs w:val="44"/>
    </w:rPr>
  </w:style>
  <w:style w:type="paragraph" w:styleId="4">
    <w:name w:val="heading 2"/>
    <w:basedOn w:val="1"/>
    <w:next w:val="1"/>
    <w:link w:val="39"/>
    <w:semiHidden/>
    <w:unhideWhenUsed/>
    <w:qFormat/>
    <w:uiPriority w:val="9"/>
    <w:pPr>
      <w:spacing w:line="416" w:lineRule="auto"/>
      <w:outlineLvl w:val="1"/>
    </w:pPr>
    <w:rPr>
      <w:rFonts w:asciiTheme="majorHAnsi" w:hAnsiTheme="majorHAnsi" w:eastAsiaTheme="majorEastAsia" w:cstheme="majorBidi"/>
      <w:sz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360" w:lineRule="auto"/>
    </w:pPr>
    <w:rPr>
      <w:b/>
      <w:bCs/>
      <w:sz w:val="24"/>
    </w:rPr>
  </w:style>
  <w:style w:type="paragraph" w:styleId="7">
    <w:name w:val="table of authorities"/>
    <w:basedOn w:val="1"/>
    <w:next w:val="1"/>
    <w:qFormat/>
    <w:uiPriority w:val="0"/>
    <w:pPr>
      <w:ind w:left="420" w:leftChars="200"/>
    </w:pPr>
  </w:style>
  <w:style w:type="paragraph" w:styleId="8">
    <w:name w:val="Normal Indent"/>
    <w:basedOn w:val="1"/>
    <w:qFormat/>
    <w:uiPriority w:val="0"/>
    <w:pPr>
      <w:ind w:firstLine="420"/>
    </w:pPr>
    <w:rPr>
      <w:szCs w:val="20"/>
    </w:rPr>
  </w:style>
  <w:style w:type="paragraph" w:styleId="9">
    <w:name w:val="Document Map"/>
    <w:basedOn w:val="1"/>
    <w:link w:val="38"/>
    <w:semiHidden/>
    <w:unhideWhenUsed/>
    <w:qFormat/>
    <w:uiPriority w:val="99"/>
    <w:rPr>
      <w:rFonts w:ascii="宋体" w:eastAsia="宋体"/>
      <w:sz w:val="18"/>
      <w:szCs w:val="18"/>
    </w:rPr>
  </w:style>
  <w:style w:type="paragraph" w:styleId="10">
    <w:name w:val="annotation text"/>
    <w:basedOn w:val="1"/>
    <w:link w:val="40"/>
    <w:unhideWhenUsed/>
    <w:qFormat/>
    <w:uiPriority w:val="99"/>
    <w:pPr>
      <w:jc w:val="left"/>
    </w:pPr>
  </w:style>
  <w:style w:type="paragraph" w:styleId="11">
    <w:name w:val="Body Text Indent"/>
    <w:basedOn w:val="1"/>
    <w:next w:val="12"/>
    <w:qFormat/>
    <w:uiPriority w:val="0"/>
    <w:pPr>
      <w:spacing w:line="360" w:lineRule="auto"/>
      <w:ind w:firstLine="420" w:firstLineChars="200"/>
    </w:pPr>
  </w:style>
  <w:style w:type="paragraph" w:styleId="12">
    <w:name w:val="envelope return"/>
    <w:basedOn w:val="1"/>
    <w:qFormat/>
    <w:uiPriority w:val="0"/>
    <w:pPr>
      <w:snapToGrid w:val="0"/>
    </w:pPr>
    <w:rPr>
      <w:rFonts w:ascii="Arial" w:hAnsi="Arial"/>
    </w:rPr>
  </w:style>
  <w:style w:type="paragraph" w:styleId="13">
    <w:name w:val="toc 5"/>
    <w:basedOn w:val="1"/>
    <w:next w:val="1"/>
    <w:qFormat/>
    <w:uiPriority w:val="0"/>
    <w:pPr>
      <w:ind w:left="840"/>
      <w:jc w:val="left"/>
    </w:pPr>
    <w:rPr>
      <w:rFonts w:ascii="Calibri" w:hAnsi="Calibri" w:cs="Calibri"/>
      <w:sz w:val="18"/>
      <w:szCs w:val="18"/>
    </w:rPr>
  </w:style>
  <w:style w:type="paragraph" w:styleId="14">
    <w:name w:val="Plain Text"/>
    <w:basedOn w:val="1"/>
    <w:link w:val="58"/>
    <w:qFormat/>
    <w:uiPriority w:val="0"/>
    <w:rPr>
      <w:rFonts w:ascii="宋体" w:hAnsi="Courier New"/>
      <w:sz w:val="24"/>
      <w:szCs w:val="20"/>
    </w:rPr>
  </w:style>
  <w:style w:type="paragraph" w:styleId="15">
    <w:name w:val="Balloon Text"/>
    <w:basedOn w:val="1"/>
    <w:link w:val="34"/>
    <w:semiHidden/>
    <w:unhideWhenUsed/>
    <w:qFormat/>
    <w:uiPriority w:val="99"/>
    <w:rPr>
      <w:sz w:val="18"/>
      <w:szCs w:val="18"/>
    </w:rPr>
  </w:style>
  <w:style w:type="paragraph" w:styleId="16">
    <w:name w:val="footer"/>
    <w:basedOn w:val="1"/>
    <w:link w:val="33"/>
    <w:unhideWhenUsed/>
    <w:qFormat/>
    <w:uiPriority w:val="99"/>
    <w:pPr>
      <w:tabs>
        <w:tab w:val="center" w:pos="4153"/>
        <w:tab w:val="right" w:pos="8306"/>
      </w:tabs>
      <w:snapToGrid w:val="0"/>
      <w:jc w:val="left"/>
    </w:pPr>
    <w:rPr>
      <w:sz w:val="18"/>
      <w:szCs w:val="18"/>
    </w:rPr>
  </w:style>
  <w:style w:type="paragraph" w:styleId="17">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List"/>
    <w:basedOn w:val="1"/>
    <w:qFormat/>
    <w:uiPriority w:val="0"/>
    <w:pPr>
      <w:ind w:left="200" w:hanging="200" w:hangingChars="200"/>
      <w:contextualSpacing/>
    </w:pPr>
  </w:style>
  <w:style w:type="paragraph" w:styleId="19">
    <w:name w:val="Body Text 2"/>
    <w:basedOn w:val="1"/>
    <w:qFormat/>
    <w:uiPriority w:val="0"/>
    <w:pPr>
      <w:spacing w:line="360" w:lineRule="auto"/>
    </w:pPr>
    <w:rPr>
      <w:sz w:val="24"/>
    </w:rPr>
  </w:style>
  <w:style w:type="paragraph" w:styleId="20">
    <w:name w:val="Normal (Web)"/>
    <w:basedOn w:val="1"/>
    <w:link w:val="35"/>
    <w:qFormat/>
    <w:uiPriority w:val="99"/>
    <w:pPr>
      <w:widowControl/>
      <w:spacing w:before="100" w:beforeAutospacing="1" w:afterAutospacing="1"/>
      <w:jc w:val="left"/>
    </w:pPr>
    <w:rPr>
      <w:rFonts w:ascii="宋体" w:hAnsi="宋体"/>
      <w:sz w:val="24"/>
      <w:szCs w:val="24"/>
    </w:rPr>
  </w:style>
  <w:style w:type="paragraph" w:styleId="21">
    <w:name w:val="annotation subject"/>
    <w:basedOn w:val="10"/>
    <w:next w:val="10"/>
    <w:link w:val="42"/>
    <w:semiHidden/>
    <w:unhideWhenUsed/>
    <w:qFormat/>
    <w:uiPriority w:val="99"/>
    <w:rPr>
      <w:b/>
      <w:bCs/>
    </w:rPr>
  </w:style>
  <w:style w:type="paragraph" w:styleId="22">
    <w:name w:val="Body Text First Indent 2"/>
    <w:basedOn w:val="11"/>
    <w:next w:val="18"/>
    <w:qFormat/>
    <w:uiPriority w:val="0"/>
    <w:pPr>
      <w:spacing w:after="120" w:line="240" w:lineRule="auto"/>
      <w:ind w:left="420" w:left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0"/>
    <w:rPr>
      <w:b/>
      <w:bCs/>
    </w:rPr>
  </w:style>
  <w:style w:type="character" w:styleId="27">
    <w:name w:val="page number"/>
    <w:basedOn w:val="25"/>
    <w:qFormat/>
    <w:uiPriority w:val="0"/>
  </w:style>
  <w:style w:type="character" w:styleId="28">
    <w:name w:val="FollowedHyperlink"/>
    <w:basedOn w:val="25"/>
    <w:semiHidden/>
    <w:unhideWhenUsed/>
    <w:qFormat/>
    <w:uiPriority w:val="99"/>
    <w:rPr>
      <w:color w:val="800080" w:themeColor="followedHyperlink"/>
      <w:u w:val="single"/>
      <w14:textFill>
        <w14:solidFill>
          <w14:schemeClr w14:val="folHlink"/>
        </w14:solidFill>
      </w14:textFill>
    </w:rPr>
  </w:style>
  <w:style w:type="character" w:styleId="29">
    <w:name w:val="Hyperlink"/>
    <w:basedOn w:val="25"/>
    <w:unhideWhenUsed/>
    <w:qFormat/>
    <w:uiPriority w:val="99"/>
    <w:rPr>
      <w:color w:val="0000FF" w:themeColor="hyperlink"/>
      <w:u w:val="single"/>
      <w14:textFill>
        <w14:solidFill>
          <w14:schemeClr w14:val="hlink"/>
        </w14:solidFill>
      </w14:textFill>
    </w:rPr>
  </w:style>
  <w:style w:type="character" w:styleId="30">
    <w:name w:val="annotation reference"/>
    <w:basedOn w:val="25"/>
    <w:semiHidden/>
    <w:unhideWhenUsed/>
    <w:qFormat/>
    <w:uiPriority w:val="99"/>
    <w:rPr>
      <w:sz w:val="21"/>
      <w:szCs w:val="21"/>
    </w:rPr>
  </w:style>
  <w:style w:type="paragraph" w:customStyle="1" w:styleId="31">
    <w:name w:val="表格文字"/>
    <w:basedOn w:val="1"/>
    <w:qFormat/>
    <w:uiPriority w:val="0"/>
    <w:pPr>
      <w:spacing w:before="25" w:after="25"/>
      <w:jc w:val="left"/>
    </w:pPr>
    <w:rPr>
      <w:bCs/>
      <w:spacing w:val="10"/>
      <w:kern w:val="0"/>
      <w:sz w:val="24"/>
    </w:rPr>
  </w:style>
  <w:style w:type="character" w:customStyle="1" w:styleId="32">
    <w:name w:val="页眉 字符"/>
    <w:basedOn w:val="25"/>
    <w:link w:val="17"/>
    <w:qFormat/>
    <w:uiPriority w:val="99"/>
    <w:rPr>
      <w:sz w:val="18"/>
      <w:szCs w:val="18"/>
    </w:rPr>
  </w:style>
  <w:style w:type="character" w:customStyle="1" w:styleId="33">
    <w:name w:val="页脚 字符"/>
    <w:basedOn w:val="25"/>
    <w:link w:val="16"/>
    <w:qFormat/>
    <w:uiPriority w:val="99"/>
    <w:rPr>
      <w:sz w:val="18"/>
      <w:szCs w:val="18"/>
    </w:rPr>
  </w:style>
  <w:style w:type="character" w:customStyle="1" w:styleId="34">
    <w:name w:val="批注框文本 字符"/>
    <w:basedOn w:val="25"/>
    <w:link w:val="15"/>
    <w:semiHidden/>
    <w:qFormat/>
    <w:uiPriority w:val="99"/>
    <w:rPr>
      <w:sz w:val="18"/>
      <w:szCs w:val="18"/>
    </w:rPr>
  </w:style>
  <w:style w:type="character" w:customStyle="1" w:styleId="35">
    <w:name w:val="普通(网站) 字符"/>
    <w:link w:val="20"/>
    <w:qFormat/>
    <w:uiPriority w:val="99"/>
    <w:rPr>
      <w:rFonts w:ascii="宋体" w:hAnsi="宋体"/>
      <w:sz w:val="24"/>
      <w:szCs w:val="24"/>
    </w:rPr>
  </w:style>
  <w:style w:type="character" w:customStyle="1" w:styleId="36">
    <w:name w:val="标题 1 字符"/>
    <w:basedOn w:val="25"/>
    <w:link w:val="3"/>
    <w:qFormat/>
    <w:uiPriority w:val="0"/>
    <w:rPr>
      <w:rFonts w:ascii="Arial" w:hAnsi="Arial" w:eastAsia="宋体" w:cs="Times New Roman"/>
      <w:b/>
      <w:bCs/>
      <w:kern w:val="44"/>
      <w:sz w:val="44"/>
      <w:szCs w:val="44"/>
    </w:rPr>
  </w:style>
  <w:style w:type="paragraph" w:styleId="37">
    <w:name w:val="List Paragraph"/>
    <w:basedOn w:val="1"/>
    <w:qFormat/>
    <w:uiPriority w:val="34"/>
    <w:pPr>
      <w:ind w:firstLine="420" w:firstLineChars="200"/>
    </w:pPr>
  </w:style>
  <w:style w:type="character" w:customStyle="1" w:styleId="38">
    <w:name w:val="文档结构图 字符"/>
    <w:basedOn w:val="25"/>
    <w:link w:val="9"/>
    <w:semiHidden/>
    <w:qFormat/>
    <w:uiPriority w:val="99"/>
    <w:rPr>
      <w:rFonts w:ascii="宋体" w:eastAsia="宋体"/>
      <w:sz w:val="18"/>
      <w:szCs w:val="18"/>
    </w:rPr>
  </w:style>
  <w:style w:type="character" w:customStyle="1" w:styleId="39">
    <w:name w:val="标题 2 字符"/>
    <w:basedOn w:val="25"/>
    <w:link w:val="4"/>
    <w:semiHidden/>
    <w:qFormat/>
    <w:uiPriority w:val="9"/>
    <w:rPr>
      <w:rFonts w:asciiTheme="majorHAnsi" w:hAnsiTheme="majorHAnsi" w:eastAsiaTheme="majorEastAsia" w:cstheme="majorBidi"/>
      <w:b/>
      <w:bCs/>
      <w:sz w:val="32"/>
      <w:szCs w:val="32"/>
    </w:rPr>
  </w:style>
  <w:style w:type="character" w:customStyle="1" w:styleId="40">
    <w:name w:val="批注文字 字符"/>
    <w:basedOn w:val="25"/>
    <w:link w:val="10"/>
    <w:qFormat/>
    <w:uiPriority w:val="99"/>
  </w:style>
  <w:style w:type="character" w:customStyle="1" w:styleId="41">
    <w:name w:val="标题 3 Char"/>
    <w:qFormat/>
    <w:uiPriority w:val="0"/>
    <w:rPr>
      <w:rFonts w:ascii="黑体" w:eastAsia="黑体"/>
      <w:bCs/>
      <w:sz w:val="30"/>
    </w:rPr>
  </w:style>
  <w:style w:type="character" w:customStyle="1" w:styleId="42">
    <w:name w:val="批注主题 字符"/>
    <w:basedOn w:val="40"/>
    <w:link w:val="21"/>
    <w:semiHidden/>
    <w:qFormat/>
    <w:uiPriority w:val="99"/>
    <w:rPr>
      <w:b/>
      <w:bCs/>
    </w:rPr>
  </w:style>
  <w:style w:type="table" w:customStyle="1" w:styleId="43">
    <w:name w:val="网格型1"/>
    <w:basedOn w:val="23"/>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4">
    <w:name w:val="Table Paragraph"/>
    <w:qFormat/>
    <w:uiPriority w:val="1"/>
    <w:pPr>
      <w:widowControl w:val="0"/>
      <w:jc w:val="both"/>
    </w:pPr>
    <w:rPr>
      <w:rFonts w:ascii="宋体" w:hAnsi="宋体" w:eastAsia="宋体" w:cs="宋体"/>
      <w:kern w:val="2"/>
      <w:sz w:val="21"/>
      <w:szCs w:val="24"/>
      <w:lang w:val="zh-CN" w:eastAsia="zh-CN" w:bidi="zh-CN"/>
    </w:rPr>
  </w:style>
  <w:style w:type="paragraph" w:customStyle="1" w:styleId="45">
    <w:name w:val="Normal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7">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48">
    <w:name w:val="font41"/>
    <w:basedOn w:val="25"/>
    <w:qFormat/>
    <w:uiPriority w:val="0"/>
    <w:rPr>
      <w:rFonts w:hint="default" w:ascii="Calibri" w:hAnsi="Calibri" w:cs="Calibri"/>
      <w:color w:val="000000"/>
      <w:sz w:val="21"/>
      <w:szCs w:val="21"/>
      <w:u w:val="none"/>
    </w:rPr>
  </w:style>
  <w:style w:type="character" w:customStyle="1" w:styleId="49">
    <w:name w:val="font31"/>
    <w:basedOn w:val="25"/>
    <w:qFormat/>
    <w:uiPriority w:val="0"/>
    <w:rPr>
      <w:rFonts w:hint="eastAsia" w:ascii="宋体" w:hAnsi="宋体" w:eastAsia="宋体" w:cs="宋体"/>
      <w:color w:val="000000"/>
      <w:sz w:val="21"/>
      <w:szCs w:val="21"/>
      <w:u w:val="none"/>
    </w:rPr>
  </w:style>
  <w:style w:type="character" w:customStyle="1" w:styleId="50">
    <w:name w:val="font51"/>
    <w:basedOn w:val="25"/>
    <w:qFormat/>
    <w:uiPriority w:val="0"/>
    <w:rPr>
      <w:rFonts w:hint="eastAsia" w:ascii="宋体" w:hAnsi="宋体" w:eastAsia="宋体" w:cs="宋体"/>
      <w:b/>
      <w:bCs/>
      <w:color w:val="000000"/>
      <w:sz w:val="22"/>
      <w:szCs w:val="22"/>
      <w:u w:val="none"/>
    </w:rPr>
  </w:style>
  <w:style w:type="character" w:customStyle="1" w:styleId="51">
    <w:name w:val="font01"/>
    <w:basedOn w:val="25"/>
    <w:qFormat/>
    <w:uiPriority w:val="0"/>
    <w:rPr>
      <w:rFonts w:hint="eastAsia" w:ascii="宋体" w:hAnsi="宋体" w:eastAsia="宋体" w:cs="宋体"/>
      <w:b/>
      <w:bCs/>
      <w:color w:val="000000"/>
      <w:sz w:val="24"/>
      <w:szCs w:val="24"/>
      <w:u w:val="none"/>
    </w:rPr>
  </w:style>
  <w:style w:type="character" w:customStyle="1" w:styleId="52">
    <w:name w:val="font21"/>
    <w:basedOn w:val="25"/>
    <w:qFormat/>
    <w:uiPriority w:val="0"/>
    <w:rPr>
      <w:rFonts w:hint="eastAsia" w:ascii="宋体" w:hAnsi="宋体" w:eastAsia="宋体" w:cs="宋体"/>
      <w:b/>
      <w:bCs/>
      <w:color w:val="FF0000"/>
      <w:sz w:val="21"/>
      <w:szCs w:val="21"/>
      <w:u w:val="none"/>
    </w:rPr>
  </w:style>
  <w:style w:type="character" w:customStyle="1" w:styleId="53">
    <w:name w:val="font61"/>
    <w:basedOn w:val="25"/>
    <w:qFormat/>
    <w:uiPriority w:val="0"/>
    <w:rPr>
      <w:rFonts w:hint="default" w:ascii="Calibri" w:hAnsi="Calibri" w:cs="Calibri"/>
      <w:b/>
      <w:bCs/>
      <w:color w:val="FF0000"/>
      <w:sz w:val="21"/>
      <w:szCs w:val="21"/>
      <w:u w:val="none"/>
    </w:rPr>
  </w:style>
  <w:style w:type="paragraph" w:customStyle="1" w:styleId="54">
    <w:name w:val="修订3"/>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5">
    <w:name w:val="font71"/>
    <w:basedOn w:val="25"/>
    <w:qFormat/>
    <w:uiPriority w:val="0"/>
    <w:rPr>
      <w:rFonts w:ascii="Segoe UI" w:hAnsi="Segoe UI" w:eastAsia="Segoe UI" w:cs="Segoe UI"/>
      <w:color w:val="000000"/>
      <w:sz w:val="24"/>
      <w:szCs w:val="24"/>
      <w:u w:val="none"/>
    </w:rPr>
  </w:style>
  <w:style w:type="character" w:customStyle="1" w:styleId="56">
    <w:name w:val="font11"/>
    <w:basedOn w:val="25"/>
    <w:qFormat/>
    <w:uiPriority w:val="0"/>
    <w:rPr>
      <w:rFonts w:hint="eastAsia" w:ascii="宋体" w:hAnsi="宋体" w:eastAsia="宋体" w:cs="宋体"/>
      <w:color w:val="000000"/>
      <w:sz w:val="21"/>
      <w:szCs w:val="21"/>
      <w:u w:val="none"/>
    </w:rPr>
  </w:style>
  <w:style w:type="character" w:customStyle="1" w:styleId="57">
    <w:name w:val="fontstyle01"/>
    <w:basedOn w:val="25"/>
    <w:qFormat/>
    <w:uiPriority w:val="0"/>
    <w:rPr>
      <w:rFonts w:hint="eastAsia" w:ascii="宋体" w:hAnsi="宋体" w:eastAsia="宋体"/>
      <w:color w:val="000000"/>
      <w:sz w:val="22"/>
      <w:szCs w:val="22"/>
    </w:rPr>
  </w:style>
  <w:style w:type="character" w:customStyle="1" w:styleId="58">
    <w:name w:val="纯文本 字符"/>
    <w:link w:val="14"/>
    <w:qFormat/>
    <w:uiPriority w:val="0"/>
    <w:rPr>
      <w:rFonts w:ascii="宋体" w:hAnsi="Courier New" w:eastAsiaTheme="minorEastAsia" w:cstheme="minorBidi"/>
      <w:kern w:val="2"/>
      <w:sz w:val="24"/>
    </w:rPr>
  </w:style>
  <w:style w:type="paragraph" w:styleId="59">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0">
    <w:name w:val="正文+缩进"/>
    <w:basedOn w:val="1"/>
    <w:qFormat/>
    <w:uiPriority w:val="0"/>
    <w:pPr>
      <w:wordWrap w:val="0"/>
      <w:spacing w:line="360" w:lineRule="auto"/>
      <w:ind w:firstLine="482"/>
    </w:pPr>
    <w:rPr>
      <w:rFonts w:ascii="宋体" w:hAnsi="宋体" w:eastAsia="宋体"/>
      <w:color w:val="000000" w:themeColor="text1"/>
      <w:sz w:val="24"/>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59</Pages>
  <Words>12911</Words>
  <Characters>13769</Characters>
  <Lines>379</Lines>
  <Paragraphs>106</Paragraphs>
  <TotalTime>0</TotalTime>
  <ScaleCrop>false</ScaleCrop>
  <LinksUpToDate>false</LinksUpToDate>
  <CharactersWithSpaces>13865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2025-04-01T07:41:00Z</dcterms:created>
  <dc:creator>win7-1</dc:creator>
  <cp:lastModifiedBy>DCM</cp:lastModifiedBy>
  <cp:lastPrinted>2021-01-16T17:17:00Z</cp:lastPrinted>
  <dcterms:modified xsi:type="dcterms:W3CDTF">2025-08-01T07:56:49Z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97060228640942C28B596490995A5098_13</vt:lpwstr>
  </property>
  <property fmtid="{D5CDD505-2E9C-101B-9397-08002B2CF9AE}" pid="4" name="KSOTemplateDocerSaveRecord">
    <vt:lpwstr>eyJoZGlkIjoiYmE1MzBiMTIwNjc4MGI2MGRmODM3MWRkNmRmYTMwYmUiLCJ1c2VySWQiOiI3MjI3MTQ5MTYifQ==</vt:lpwstr>
  </property>
</Properties>
</file>