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1E5C">
      <w:pPr>
        <w:widowControl w:val="0"/>
        <w:wordWrap w:val="0"/>
        <w:autoSpaceDE w:val="0"/>
        <w:autoSpaceDN w:val="0"/>
        <w:adjustRightInd w:val="0"/>
        <w:snapToGrid w:val="0"/>
        <w:ind w:firstLine="0" w:firstLineChars="0"/>
        <w:jc w:val="right"/>
        <w:rPr>
          <w:rFonts w:ascii="宋体" w:hAnsi="宋体"/>
          <w:sz w:val="36"/>
          <w:szCs w:val="36"/>
          <w:highlight w:val="none"/>
        </w:rPr>
      </w:pPr>
      <w:r>
        <w:rPr>
          <w:rFonts w:hint="eastAsia" w:ascii="宋体" w:hAnsi="宋体"/>
          <w:sz w:val="36"/>
          <w:szCs w:val="36"/>
          <w:highlight w:val="none"/>
        </w:rPr>
        <w:t xml:space="preserve"> 项目编号：YG26ZG0044424         </w:t>
      </w:r>
    </w:p>
    <w:p w14:paraId="05A260E5">
      <w:pPr>
        <w:widowControl w:val="0"/>
        <w:autoSpaceDE w:val="0"/>
        <w:autoSpaceDN w:val="0"/>
        <w:adjustRightInd w:val="0"/>
        <w:snapToGrid w:val="0"/>
        <w:ind w:firstLine="0" w:firstLineChars="0"/>
        <w:rPr>
          <w:rFonts w:ascii="宋体" w:hAnsi="宋体"/>
          <w:sz w:val="48"/>
          <w:szCs w:val="48"/>
          <w:highlight w:val="none"/>
        </w:rPr>
      </w:pPr>
    </w:p>
    <w:p w14:paraId="6BD1A37C">
      <w:pPr>
        <w:widowControl w:val="0"/>
        <w:autoSpaceDE w:val="0"/>
        <w:autoSpaceDN w:val="0"/>
        <w:adjustRightInd w:val="0"/>
        <w:snapToGrid w:val="0"/>
        <w:ind w:firstLine="0" w:firstLineChars="0"/>
        <w:rPr>
          <w:rFonts w:ascii="宋体" w:hAnsi="宋体"/>
          <w:sz w:val="48"/>
          <w:szCs w:val="48"/>
          <w:highlight w:val="none"/>
        </w:rPr>
      </w:pPr>
    </w:p>
    <w:p w14:paraId="589BB417">
      <w:pPr>
        <w:ind w:firstLine="0" w:firstLineChars="0"/>
        <w:jc w:val="center"/>
        <w:rPr>
          <w:rFonts w:ascii="方正小标宋简体" w:hAnsi="方正小标宋简体" w:eastAsia="方正小标宋简体" w:cs="方正小标宋简体"/>
          <w:b/>
          <w:bCs/>
          <w:sz w:val="52"/>
          <w:szCs w:val="52"/>
          <w:highlight w:val="none"/>
        </w:rPr>
      </w:pPr>
      <w:bookmarkStart w:id="0" w:name="_Toc25572"/>
      <w:bookmarkStart w:id="1" w:name="_Toc23698"/>
      <w:bookmarkStart w:id="2" w:name="_Toc7503"/>
    </w:p>
    <w:p w14:paraId="69CD5B5B">
      <w:pPr>
        <w:ind w:firstLine="0" w:firstLineChars="0"/>
        <w:jc w:val="center"/>
        <w:rPr>
          <w:rFonts w:ascii="方正小标宋简体" w:hAnsi="方正小标宋简体" w:eastAsia="方正小标宋简体" w:cs="方正小标宋简体"/>
          <w:b/>
          <w:bCs/>
          <w:sz w:val="52"/>
          <w:szCs w:val="52"/>
          <w:highlight w:val="none"/>
        </w:rPr>
      </w:pPr>
    </w:p>
    <w:bookmarkEnd w:id="0"/>
    <w:bookmarkEnd w:id="1"/>
    <w:bookmarkEnd w:id="2"/>
    <w:p w14:paraId="21E62D37">
      <w:pPr>
        <w:ind w:firstLine="0" w:firstLineChars="0"/>
        <w:jc w:val="center"/>
        <w:rPr>
          <w:rFonts w:ascii="方正小标宋简体" w:hAnsi="方正小标宋简体" w:eastAsia="方正小标宋简体" w:cs="方正小标宋简体"/>
          <w:b/>
          <w:sz w:val="52"/>
          <w:szCs w:val="52"/>
          <w:highlight w:val="none"/>
          <w14:shadow w14:blurRad="50800" w14:dist="38100" w14:dir="2700000" w14:sx="100000" w14:sy="100000" w14:algn="tl">
            <w14:srgbClr w14:val="000000">
              <w14:alpha w14:val="60000"/>
            </w14:srgbClr>
          </w14:shadow>
        </w:rPr>
      </w:pPr>
      <w:bookmarkStart w:id="3" w:name="_Toc2672"/>
      <w:bookmarkStart w:id="4" w:name="_Toc24371"/>
      <w:bookmarkStart w:id="5" w:name="_Toc26996"/>
      <w:r>
        <w:rPr>
          <w:rFonts w:hint="eastAsia" w:ascii="方正小标宋_GBK" w:hAnsi="方正小标宋_GBK" w:eastAsia="方正小标宋_GBK" w:cs="方正小标宋_GBK"/>
          <w:b/>
          <w:bCs/>
          <w:sz w:val="48"/>
          <w:szCs w:val="48"/>
          <w:highlight w:val="none"/>
          <w:lang w:val="en-US" w:eastAsia="zh-CN"/>
        </w:rPr>
        <w:t>深圳市深投控体育赛事发展</w:t>
      </w:r>
      <w:r>
        <w:rPr>
          <w:rFonts w:hint="eastAsia" w:ascii="方正小标宋_GBK" w:hAnsi="方正小标宋_GBK" w:eastAsia="方正小标宋_GBK" w:cs="方正小标宋_GBK"/>
          <w:b/>
          <w:bCs/>
          <w:sz w:val="48"/>
          <w:szCs w:val="48"/>
          <w:highlight w:val="none"/>
        </w:rPr>
        <w:t>有限公司</w:t>
      </w:r>
      <w:r>
        <w:rPr>
          <w:rFonts w:hint="eastAsia" w:ascii="方正小标宋_GBK" w:hAnsi="方正小标宋_GBK" w:eastAsia="方正小标宋_GBK" w:cs="方正小标宋_GBK"/>
          <w:b/>
          <w:bCs/>
          <w:sz w:val="48"/>
          <w:szCs w:val="48"/>
          <w:highlight w:val="none"/>
          <w:lang w:val="en-US" w:eastAsia="zh-CN"/>
        </w:rPr>
        <w:t xml:space="preserve"> </w:t>
      </w:r>
      <w:r>
        <w:rPr>
          <w:rFonts w:hint="eastAsia" w:ascii="方正小标宋_GBK" w:hAnsi="方正小标宋_GBK" w:eastAsia="方正小标宋_GBK" w:cs="方正小标宋_GBK"/>
          <w:b/>
          <w:bCs/>
          <w:sz w:val="48"/>
          <w:szCs w:val="48"/>
          <w:highlight w:val="none"/>
        </w:rPr>
        <w:t>服务类招标文件</w:t>
      </w:r>
      <w:bookmarkEnd w:id="3"/>
      <w:bookmarkEnd w:id="4"/>
      <w:bookmarkEnd w:id="5"/>
    </w:p>
    <w:p w14:paraId="7A5A8960">
      <w:pPr>
        <w:widowControl w:val="0"/>
        <w:autoSpaceDE w:val="0"/>
        <w:autoSpaceDN w:val="0"/>
        <w:adjustRightInd w:val="0"/>
        <w:snapToGrid w:val="0"/>
        <w:ind w:firstLine="0" w:firstLineChars="0"/>
        <w:rPr>
          <w:rFonts w:ascii="宋体" w:hAnsi="宋体"/>
          <w:sz w:val="48"/>
          <w:szCs w:val="48"/>
          <w:highlight w:val="none"/>
        </w:rPr>
      </w:pPr>
    </w:p>
    <w:p w14:paraId="21B6116C">
      <w:pPr>
        <w:widowControl w:val="0"/>
        <w:autoSpaceDE w:val="0"/>
        <w:autoSpaceDN w:val="0"/>
        <w:adjustRightInd w:val="0"/>
        <w:snapToGrid w:val="0"/>
        <w:ind w:firstLine="0" w:firstLineChars="0"/>
        <w:rPr>
          <w:rFonts w:ascii="宋体" w:hAnsi="宋体"/>
          <w:sz w:val="48"/>
          <w:szCs w:val="48"/>
          <w:highlight w:val="none"/>
        </w:rPr>
      </w:pPr>
    </w:p>
    <w:tbl>
      <w:tblPr>
        <w:tblStyle w:val="52"/>
        <w:tblW w:w="88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3"/>
        <w:gridCol w:w="6683"/>
      </w:tblGrid>
      <w:tr w14:paraId="3F68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36BDECB8">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项目名称：</w:t>
            </w:r>
          </w:p>
        </w:tc>
        <w:tc>
          <w:tcPr>
            <w:tcW w:w="6683" w:type="dxa"/>
            <w:vAlign w:val="center"/>
          </w:tcPr>
          <w:p w14:paraId="1CD8617D">
            <w:pPr>
              <w:widowControl w:val="0"/>
              <w:autoSpaceDE w:val="0"/>
              <w:autoSpaceDN w:val="0"/>
              <w:adjustRightInd w:val="0"/>
              <w:snapToGrid w:val="0"/>
              <w:ind w:firstLine="0" w:firstLineChars="0"/>
              <w:rPr>
                <w:rFonts w:ascii="宋体" w:hAnsi="宋体" w:eastAsia="宋体" w:cs="宋体"/>
                <w:bCs/>
                <w:sz w:val="36"/>
                <w:szCs w:val="36"/>
                <w:highlight w:val="none"/>
                <w:u w:val="single"/>
                <w:lang w:val="en-US" w:eastAsia="zh-CN"/>
              </w:rPr>
            </w:pPr>
            <w:r>
              <w:rPr>
                <w:rFonts w:hint="eastAsia" w:ascii="宋体" w:hAnsi="宋体" w:cs="宋体"/>
                <w:bCs/>
                <w:sz w:val="36"/>
                <w:szCs w:val="36"/>
                <w:highlight w:val="none"/>
                <w:u w:val="single"/>
              </w:rPr>
              <w:t>2026中国羽毛球大师赛赛事城市宣推服务</w:t>
            </w:r>
          </w:p>
        </w:tc>
      </w:tr>
      <w:tr w14:paraId="3E7D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6DDC55AD">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项目地点：</w:t>
            </w:r>
          </w:p>
        </w:tc>
        <w:tc>
          <w:tcPr>
            <w:tcW w:w="6683" w:type="dxa"/>
            <w:vAlign w:val="center"/>
          </w:tcPr>
          <w:p w14:paraId="12AB66A2">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rPr>
              <w:t>深圳市</w:t>
            </w:r>
          </w:p>
        </w:tc>
      </w:tr>
      <w:tr w14:paraId="37C6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73" w:type="dxa"/>
            <w:vAlign w:val="center"/>
          </w:tcPr>
          <w:p w14:paraId="42EC85BD">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招标人：</w:t>
            </w:r>
          </w:p>
        </w:tc>
        <w:tc>
          <w:tcPr>
            <w:tcW w:w="6683" w:type="dxa"/>
            <w:vAlign w:val="center"/>
          </w:tcPr>
          <w:p w14:paraId="43451B5D">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lang w:val="en-US" w:eastAsia="zh-CN"/>
              </w:rPr>
              <w:t>深圳市深投控体育赛事发展</w:t>
            </w:r>
            <w:r>
              <w:rPr>
                <w:rFonts w:hint="eastAsia" w:ascii="宋体" w:hAnsi="宋体" w:cs="宋体"/>
                <w:bCs/>
                <w:sz w:val="36"/>
                <w:szCs w:val="36"/>
                <w:highlight w:val="none"/>
                <w:u w:val="single"/>
              </w:rPr>
              <w:t>有限公司</w:t>
            </w:r>
          </w:p>
        </w:tc>
      </w:tr>
    </w:tbl>
    <w:p w14:paraId="696810A9">
      <w:pPr>
        <w:widowControl w:val="0"/>
        <w:autoSpaceDE w:val="0"/>
        <w:autoSpaceDN w:val="0"/>
        <w:adjustRightInd w:val="0"/>
        <w:snapToGrid w:val="0"/>
        <w:ind w:firstLine="0" w:firstLineChars="0"/>
        <w:rPr>
          <w:rFonts w:ascii="宋体" w:hAnsi="宋体" w:cs="Courier New"/>
          <w:b/>
          <w:bCs/>
          <w:sz w:val="32"/>
          <w:szCs w:val="32"/>
          <w:highlight w:val="none"/>
        </w:rPr>
      </w:pPr>
    </w:p>
    <w:p w14:paraId="4D5CCBD2">
      <w:pPr>
        <w:rPr>
          <w:highlight w:val="none"/>
        </w:rPr>
      </w:pPr>
      <w:bookmarkStart w:id="6" w:name="_Toc144974478"/>
      <w:bookmarkStart w:id="7" w:name="_Toc152042286"/>
      <w:bookmarkStart w:id="8" w:name="_Hlk532133368"/>
    </w:p>
    <w:p w14:paraId="2B860DB0">
      <w:pPr>
        <w:ind w:firstLine="0" w:firstLineChars="0"/>
        <w:jc w:val="center"/>
        <w:rPr>
          <w:b/>
          <w:bCs/>
          <w:sz w:val="28"/>
          <w:szCs w:val="36"/>
          <w:highlight w:val="none"/>
        </w:rPr>
      </w:pPr>
      <w:r>
        <w:rPr>
          <w:rFonts w:ascii="宋体" w:hAnsi="宋体" w:cs="Courier New"/>
          <w:b/>
          <w:bCs/>
          <w:sz w:val="28"/>
          <w:szCs w:val="21"/>
          <w:highlight w:val="none"/>
        </w:rPr>
        <w:br w:type="page"/>
      </w:r>
      <w:bookmarkEnd w:id="6"/>
      <w:bookmarkEnd w:id="7"/>
      <w:r>
        <w:rPr>
          <w:rFonts w:hint="eastAsia" w:ascii="宋体" w:hAnsi="宋体" w:cs="Courier New"/>
          <w:b/>
          <w:bCs/>
          <w:sz w:val="28"/>
          <w:szCs w:val="21"/>
          <w:highlight w:val="none"/>
        </w:rPr>
        <w:t xml:space="preserve"> </w:t>
      </w:r>
      <w:r>
        <w:rPr>
          <w:rFonts w:ascii="宋体" w:hAnsi="宋体"/>
          <w:b/>
          <w:bCs/>
          <w:sz w:val="28"/>
          <w:szCs w:val="36"/>
          <w:highlight w:val="none"/>
        </w:rPr>
        <w:t>目</w:t>
      </w:r>
      <w:r>
        <w:rPr>
          <w:rFonts w:hint="eastAsia" w:ascii="宋体" w:hAnsi="宋体"/>
          <w:b/>
          <w:bCs/>
          <w:sz w:val="28"/>
          <w:szCs w:val="36"/>
          <w:highlight w:val="none"/>
        </w:rPr>
        <w:t xml:space="preserve">  </w:t>
      </w:r>
      <w:r>
        <w:rPr>
          <w:rFonts w:ascii="宋体" w:hAnsi="宋体"/>
          <w:b/>
          <w:bCs/>
          <w:sz w:val="28"/>
          <w:szCs w:val="36"/>
          <w:highlight w:val="none"/>
        </w:rPr>
        <w:t>录</w:t>
      </w:r>
    </w:p>
    <w:p w14:paraId="7CDA6091">
      <w:pPr>
        <w:pStyle w:val="36"/>
        <w:tabs>
          <w:tab w:val="right" w:leader="dot" w:pos="8307"/>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"_Toc5568" </w:instrText>
      </w:r>
      <w:r>
        <w:rPr>
          <w:highlight w:val="none"/>
        </w:rPr>
        <w:fldChar w:fldCharType="separate"/>
      </w:r>
      <w:r>
        <w:rPr>
          <w:rFonts w:hint="eastAsia"/>
          <w:bCs/>
          <w:szCs w:val="52"/>
          <w:highlight w:val="none"/>
        </w:rPr>
        <w:t>第一章 投标人须知</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3</w:t>
      </w:r>
      <w:r>
        <w:rPr>
          <w:highlight w:val="none"/>
        </w:rPr>
        <w:fldChar w:fldCharType="end"/>
      </w:r>
      <w:r>
        <w:rPr>
          <w:highlight w:val="none"/>
        </w:rPr>
        <w:fldChar w:fldCharType="end"/>
      </w:r>
    </w:p>
    <w:p w14:paraId="78B985F9">
      <w:pPr>
        <w:pStyle w:val="45"/>
        <w:tabs>
          <w:tab w:val="right" w:leader="dot" w:pos="8307"/>
        </w:tabs>
        <w:rPr>
          <w:highlight w:val="none"/>
        </w:rPr>
      </w:pPr>
      <w:r>
        <w:rPr>
          <w:highlight w:val="none"/>
        </w:rPr>
        <w:fldChar w:fldCharType="begin"/>
      </w:r>
      <w:r>
        <w:rPr>
          <w:highlight w:val="none"/>
        </w:rPr>
        <w:instrText xml:space="preserve"> HYPERLINK \l "_Toc28933" </w:instrText>
      </w:r>
      <w:r>
        <w:rPr>
          <w:highlight w:val="none"/>
        </w:rPr>
        <w:fldChar w:fldCharType="separate"/>
      </w:r>
      <w:r>
        <w:rPr>
          <w:rFonts w:hint="eastAsia"/>
          <w:szCs w:val="32"/>
          <w:highlight w:val="none"/>
        </w:rPr>
        <w:t>第一节 投标人须知前附表</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4</w:t>
      </w:r>
      <w:r>
        <w:rPr>
          <w:highlight w:val="none"/>
        </w:rPr>
        <w:fldChar w:fldCharType="end"/>
      </w:r>
      <w:r>
        <w:rPr>
          <w:highlight w:val="none"/>
        </w:rPr>
        <w:fldChar w:fldCharType="end"/>
      </w:r>
    </w:p>
    <w:p w14:paraId="09DA898C">
      <w:pPr>
        <w:pStyle w:val="45"/>
        <w:tabs>
          <w:tab w:val="right" w:leader="dot" w:pos="8307"/>
        </w:tabs>
        <w:rPr>
          <w:highlight w:val="none"/>
        </w:rPr>
      </w:pPr>
      <w:r>
        <w:rPr>
          <w:highlight w:val="none"/>
        </w:rPr>
        <w:fldChar w:fldCharType="begin"/>
      </w:r>
      <w:r>
        <w:rPr>
          <w:highlight w:val="none"/>
        </w:rPr>
        <w:instrText xml:space="preserve"> HYPERLINK \l "_Toc23669" </w:instrText>
      </w:r>
      <w:r>
        <w:rPr>
          <w:highlight w:val="none"/>
        </w:rPr>
        <w:fldChar w:fldCharType="separate"/>
      </w:r>
      <w:r>
        <w:rPr>
          <w:rFonts w:hint="eastAsia"/>
          <w:szCs w:val="32"/>
          <w:highlight w:val="none"/>
        </w:rPr>
        <w:t>第二节 否决性条款摘要</w:t>
      </w:r>
      <w:r>
        <w:rPr>
          <w:highlight w:val="none"/>
        </w:rPr>
        <w:tab/>
      </w:r>
      <w:r>
        <w:rPr>
          <w:highlight w:val="none"/>
        </w:rPr>
        <w:fldChar w:fldCharType="begin"/>
      </w:r>
      <w:r>
        <w:rPr>
          <w:highlight w:val="none"/>
        </w:rPr>
        <w:instrText xml:space="preserve"> PAGEREF _Toc23669 \h </w:instrText>
      </w:r>
      <w:r>
        <w:rPr>
          <w:highlight w:val="none"/>
        </w:rPr>
        <w:fldChar w:fldCharType="separate"/>
      </w:r>
      <w:r>
        <w:rPr>
          <w:highlight w:val="none"/>
        </w:rPr>
        <w:t>13</w:t>
      </w:r>
      <w:r>
        <w:rPr>
          <w:highlight w:val="none"/>
        </w:rPr>
        <w:fldChar w:fldCharType="end"/>
      </w:r>
      <w:r>
        <w:rPr>
          <w:highlight w:val="none"/>
        </w:rPr>
        <w:fldChar w:fldCharType="end"/>
      </w:r>
    </w:p>
    <w:p w14:paraId="66A50F5F">
      <w:pPr>
        <w:pStyle w:val="45"/>
        <w:tabs>
          <w:tab w:val="right" w:leader="dot" w:pos="8307"/>
        </w:tabs>
        <w:rPr>
          <w:highlight w:val="none"/>
        </w:rPr>
      </w:pPr>
      <w:r>
        <w:rPr>
          <w:highlight w:val="none"/>
        </w:rPr>
        <w:fldChar w:fldCharType="begin"/>
      </w:r>
      <w:r>
        <w:rPr>
          <w:highlight w:val="none"/>
        </w:rPr>
        <w:instrText xml:space="preserve"> HYPERLINK \l "_Toc12122" </w:instrText>
      </w:r>
      <w:r>
        <w:rPr>
          <w:highlight w:val="none"/>
        </w:rPr>
        <w:fldChar w:fldCharType="separate"/>
      </w:r>
      <w:r>
        <w:rPr>
          <w:rFonts w:hint="eastAsia"/>
          <w:szCs w:val="32"/>
          <w:highlight w:val="none"/>
        </w:rPr>
        <w:t>第三节 总则</w:t>
      </w:r>
      <w:r>
        <w:rPr>
          <w:highlight w:val="none"/>
        </w:rPr>
        <w:tab/>
      </w:r>
      <w:r>
        <w:rPr>
          <w:highlight w:val="none"/>
        </w:rPr>
        <w:fldChar w:fldCharType="begin"/>
      </w:r>
      <w:r>
        <w:rPr>
          <w:highlight w:val="none"/>
        </w:rPr>
        <w:instrText xml:space="preserve"> PAGEREF _Toc12122 \h </w:instrText>
      </w:r>
      <w:r>
        <w:rPr>
          <w:highlight w:val="none"/>
        </w:rPr>
        <w:fldChar w:fldCharType="separate"/>
      </w:r>
      <w:r>
        <w:rPr>
          <w:highlight w:val="none"/>
        </w:rPr>
        <w:t>15</w:t>
      </w:r>
      <w:r>
        <w:rPr>
          <w:highlight w:val="none"/>
        </w:rPr>
        <w:fldChar w:fldCharType="end"/>
      </w:r>
      <w:r>
        <w:rPr>
          <w:highlight w:val="none"/>
        </w:rPr>
        <w:fldChar w:fldCharType="end"/>
      </w:r>
    </w:p>
    <w:p w14:paraId="64C4D6E6">
      <w:pPr>
        <w:pStyle w:val="36"/>
        <w:tabs>
          <w:tab w:val="right" w:leader="dot" w:pos="8307"/>
        </w:tabs>
        <w:rPr>
          <w:highlight w:val="none"/>
        </w:rPr>
      </w:pPr>
      <w:r>
        <w:rPr>
          <w:highlight w:val="none"/>
        </w:rPr>
        <w:fldChar w:fldCharType="begin"/>
      </w:r>
      <w:r>
        <w:rPr>
          <w:highlight w:val="none"/>
        </w:rPr>
        <w:instrText xml:space="preserve"> HYPERLINK \l "_Toc4157" </w:instrText>
      </w:r>
      <w:r>
        <w:rPr>
          <w:highlight w:val="none"/>
        </w:rPr>
        <w:fldChar w:fldCharType="separate"/>
      </w:r>
      <w:r>
        <w:rPr>
          <w:rFonts w:hint="eastAsia"/>
          <w:bCs/>
          <w:szCs w:val="48"/>
          <w:highlight w:val="none"/>
        </w:rPr>
        <w:t>第二章 评定标办法</w:t>
      </w:r>
      <w:r>
        <w:rPr>
          <w:highlight w:val="none"/>
        </w:rPr>
        <w:tab/>
      </w:r>
      <w:r>
        <w:rPr>
          <w:highlight w:val="none"/>
        </w:rPr>
        <w:fldChar w:fldCharType="begin"/>
      </w:r>
      <w:r>
        <w:rPr>
          <w:highlight w:val="none"/>
        </w:rPr>
        <w:instrText xml:space="preserve"> PAGEREF _Toc4157 \h </w:instrText>
      </w:r>
      <w:r>
        <w:rPr>
          <w:highlight w:val="none"/>
        </w:rPr>
        <w:fldChar w:fldCharType="separate"/>
      </w:r>
      <w:r>
        <w:rPr>
          <w:highlight w:val="none"/>
        </w:rPr>
        <w:t>24</w:t>
      </w:r>
      <w:r>
        <w:rPr>
          <w:highlight w:val="none"/>
        </w:rPr>
        <w:fldChar w:fldCharType="end"/>
      </w:r>
      <w:r>
        <w:rPr>
          <w:highlight w:val="none"/>
        </w:rPr>
        <w:fldChar w:fldCharType="end"/>
      </w:r>
    </w:p>
    <w:p w14:paraId="2ED254B2">
      <w:pPr>
        <w:pStyle w:val="45"/>
        <w:tabs>
          <w:tab w:val="right" w:leader="dot" w:pos="8307"/>
        </w:tabs>
        <w:rPr>
          <w:highlight w:val="none"/>
        </w:rPr>
      </w:pPr>
      <w:r>
        <w:rPr>
          <w:highlight w:val="none"/>
        </w:rPr>
        <w:fldChar w:fldCharType="begin"/>
      </w:r>
      <w:r>
        <w:rPr>
          <w:highlight w:val="none"/>
        </w:rPr>
        <w:instrText xml:space="preserve"> HYPERLINK \l "_Toc21837" </w:instrText>
      </w:r>
      <w:r>
        <w:rPr>
          <w:highlight w:val="none"/>
        </w:rPr>
        <w:fldChar w:fldCharType="separate"/>
      </w:r>
      <w:r>
        <w:rPr>
          <w:rFonts w:hint="eastAsia"/>
          <w:szCs w:val="32"/>
          <w:highlight w:val="none"/>
        </w:rPr>
        <w:t>一、评标须知</w:t>
      </w:r>
      <w:r>
        <w:rPr>
          <w:highlight w:val="none"/>
        </w:rPr>
        <w:tab/>
      </w:r>
      <w:r>
        <w:rPr>
          <w:highlight w:val="none"/>
        </w:rPr>
        <w:fldChar w:fldCharType="begin"/>
      </w:r>
      <w:r>
        <w:rPr>
          <w:highlight w:val="none"/>
        </w:rPr>
        <w:instrText xml:space="preserve"> PAGEREF _Toc21837 \h </w:instrText>
      </w:r>
      <w:r>
        <w:rPr>
          <w:highlight w:val="none"/>
        </w:rPr>
        <w:fldChar w:fldCharType="separate"/>
      </w:r>
      <w:r>
        <w:rPr>
          <w:highlight w:val="none"/>
        </w:rPr>
        <w:t>25</w:t>
      </w:r>
      <w:r>
        <w:rPr>
          <w:highlight w:val="none"/>
        </w:rPr>
        <w:fldChar w:fldCharType="end"/>
      </w:r>
      <w:r>
        <w:rPr>
          <w:highlight w:val="none"/>
        </w:rPr>
        <w:fldChar w:fldCharType="end"/>
      </w:r>
    </w:p>
    <w:p w14:paraId="2EDB7589">
      <w:pPr>
        <w:pStyle w:val="45"/>
        <w:tabs>
          <w:tab w:val="right" w:leader="dot" w:pos="8307"/>
        </w:tabs>
        <w:rPr>
          <w:highlight w:val="none"/>
        </w:rPr>
      </w:pPr>
      <w:r>
        <w:rPr>
          <w:highlight w:val="none"/>
        </w:rPr>
        <w:fldChar w:fldCharType="begin"/>
      </w:r>
      <w:r>
        <w:rPr>
          <w:highlight w:val="none"/>
        </w:rPr>
        <w:instrText xml:space="preserve"> HYPERLINK \l "_Toc12706" </w:instrText>
      </w:r>
      <w:r>
        <w:rPr>
          <w:highlight w:val="none"/>
        </w:rPr>
        <w:fldChar w:fldCharType="separate"/>
      </w:r>
      <w:r>
        <w:rPr>
          <w:rFonts w:hint="eastAsia"/>
          <w:szCs w:val="32"/>
          <w:highlight w:val="none"/>
        </w:rPr>
        <w:t>二、评标方法</w:t>
      </w:r>
      <w:r>
        <w:rPr>
          <w:rFonts w:hint="eastAsia"/>
          <w:highlight w:val="none"/>
        </w:rPr>
        <w:t>（综合评估法）</w:t>
      </w:r>
      <w:r>
        <w:rPr>
          <w:highlight w:val="none"/>
        </w:rPr>
        <w:tab/>
      </w:r>
      <w:r>
        <w:rPr>
          <w:highlight w:val="none"/>
        </w:rPr>
        <w:fldChar w:fldCharType="begin"/>
      </w:r>
      <w:r>
        <w:rPr>
          <w:highlight w:val="none"/>
        </w:rPr>
        <w:instrText xml:space="preserve"> PAGEREF _Toc12706 \h </w:instrText>
      </w:r>
      <w:r>
        <w:rPr>
          <w:highlight w:val="none"/>
        </w:rPr>
        <w:fldChar w:fldCharType="separate"/>
      </w:r>
      <w:r>
        <w:rPr>
          <w:highlight w:val="none"/>
        </w:rPr>
        <w:t>27</w:t>
      </w:r>
      <w:r>
        <w:rPr>
          <w:highlight w:val="none"/>
        </w:rPr>
        <w:fldChar w:fldCharType="end"/>
      </w:r>
      <w:r>
        <w:rPr>
          <w:highlight w:val="none"/>
        </w:rPr>
        <w:fldChar w:fldCharType="end"/>
      </w:r>
    </w:p>
    <w:p w14:paraId="3D380411">
      <w:pPr>
        <w:pStyle w:val="36"/>
        <w:tabs>
          <w:tab w:val="right" w:leader="dot" w:pos="8307"/>
        </w:tabs>
        <w:rPr>
          <w:highlight w:val="none"/>
        </w:rPr>
      </w:pPr>
      <w:r>
        <w:rPr>
          <w:highlight w:val="none"/>
        </w:rPr>
        <w:fldChar w:fldCharType="begin"/>
      </w:r>
      <w:r>
        <w:rPr>
          <w:highlight w:val="none"/>
        </w:rPr>
        <w:instrText xml:space="preserve"> HYPERLINK \l "_Toc26859" </w:instrText>
      </w:r>
      <w:r>
        <w:rPr>
          <w:highlight w:val="none"/>
        </w:rPr>
        <w:fldChar w:fldCharType="separate"/>
      </w:r>
      <w:r>
        <w:rPr>
          <w:rFonts w:hint="eastAsia"/>
          <w:bCs/>
          <w:szCs w:val="52"/>
          <w:highlight w:val="none"/>
        </w:rPr>
        <w:t>第三章 合同条款及格式</w:t>
      </w:r>
      <w:r>
        <w:rPr>
          <w:highlight w:val="none"/>
        </w:rPr>
        <w:tab/>
      </w:r>
      <w:r>
        <w:rPr>
          <w:highlight w:val="none"/>
        </w:rPr>
        <w:fldChar w:fldCharType="begin"/>
      </w:r>
      <w:r>
        <w:rPr>
          <w:highlight w:val="none"/>
        </w:rPr>
        <w:instrText xml:space="preserve"> PAGEREF _Toc26859 \h </w:instrText>
      </w:r>
      <w:r>
        <w:rPr>
          <w:highlight w:val="none"/>
        </w:rPr>
        <w:fldChar w:fldCharType="separate"/>
      </w:r>
      <w:r>
        <w:rPr>
          <w:highlight w:val="none"/>
        </w:rPr>
        <w:t>34</w:t>
      </w:r>
      <w:r>
        <w:rPr>
          <w:highlight w:val="none"/>
        </w:rPr>
        <w:fldChar w:fldCharType="end"/>
      </w:r>
      <w:r>
        <w:rPr>
          <w:highlight w:val="none"/>
        </w:rPr>
        <w:fldChar w:fldCharType="end"/>
      </w:r>
    </w:p>
    <w:p w14:paraId="7382A638">
      <w:pPr>
        <w:pStyle w:val="36"/>
        <w:tabs>
          <w:tab w:val="right" w:leader="dot" w:pos="8307"/>
        </w:tabs>
        <w:rPr>
          <w:highlight w:val="none"/>
        </w:rPr>
      </w:pPr>
      <w:r>
        <w:rPr>
          <w:highlight w:val="none"/>
        </w:rPr>
        <w:fldChar w:fldCharType="begin"/>
      </w:r>
      <w:r>
        <w:rPr>
          <w:highlight w:val="none"/>
        </w:rPr>
        <w:instrText xml:space="preserve"> HYPERLINK \l "_Toc29564" </w:instrText>
      </w:r>
      <w:r>
        <w:rPr>
          <w:highlight w:val="none"/>
        </w:rPr>
        <w:fldChar w:fldCharType="separate"/>
      </w:r>
      <w:r>
        <w:rPr>
          <w:rFonts w:hint="eastAsia"/>
          <w:szCs w:val="52"/>
          <w:highlight w:val="none"/>
        </w:rPr>
        <w:t>第四章 项目需求</w:t>
      </w:r>
      <w:r>
        <w:rPr>
          <w:highlight w:val="none"/>
        </w:rPr>
        <w:tab/>
      </w:r>
      <w:r>
        <w:rPr>
          <w:highlight w:val="none"/>
        </w:rPr>
        <w:fldChar w:fldCharType="begin"/>
      </w:r>
      <w:r>
        <w:rPr>
          <w:highlight w:val="none"/>
        </w:rPr>
        <w:instrText xml:space="preserve"> PAGEREF _Toc29564 \h </w:instrText>
      </w:r>
      <w:r>
        <w:rPr>
          <w:highlight w:val="none"/>
        </w:rPr>
        <w:fldChar w:fldCharType="separate"/>
      </w:r>
      <w:r>
        <w:rPr>
          <w:highlight w:val="none"/>
        </w:rPr>
        <w:t>43</w:t>
      </w:r>
      <w:r>
        <w:rPr>
          <w:highlight w:val="none"/>
        </w:rPr>
        <w:fldChar w:fldCharType="end"/>
      </w:r>
      <w:r>
        <w:rPr>
          <w:highlight w:val="none"/>
        </w:rPr>
        <w:fldChar w:fldCharType="end"/>
      </w:r>
    </w:p>
    <w:p w14:paraId="3086BEC2">
      <w:pPr>
        <w:pStyle w:val="36"/>
        <w:tabs>
          <w:tab w:val="right" w:leader="dot" w:pos="8307"/>
        </w:tabs>
        <w:rPr>
          <w:rFonts w:eastAsia="宋体"/>
          <w:highlight w:val="none"/>
          <w:lang w:val="en-US" w:eastAsia="zh-CN"/>
        </w:rPr>
      </w:pPr>
      <w:r>
        <w:rPr>
          <w:highlight w:val="none"/>
        </w:rPr>
        <w:fldChar w:fldCharType="begin"/>
      </w:r>
      <w:r>
        <w:rPr>
          <w:highlight w:val="none"/>
        </w:rPr>
        <w:instrText xml:space="preserve"> HYPERLINK \l "_Toc18285" </w:instrText>
      </w:r>
      <w:r>
        <w:rPr>
          <w:highlight w:val="none"/>
        </w:rPr>
        <w:fldChar w:fldCharType="separate"/>
      </w:r>
      <w:r>
        <w:rPr>
          <w:rFonts w:hint="eastAsia"/>
          <w:bCs/>
          <w:szCs w:val="52"/>
          <w:highlight w:val="none"/>
        </w:rPr>
        <w:t>第五章 投标文件格式</w:t>
      </w:r>
      <w:r>
        <w:rPr>
          <w:highlight w:val="none"/>
        </w:rPr>
        <w:tab/>
      </w:r>
      <w:r>
        <w:rPr>
          <w:highlight w:val="none"/>
        </w:rPr>
        <w:fldChar w:fldCharType="end"/>
      </w:r>
      <w:r>
        <w:rPr>
          <w:rFonts w:hint="eastAsia"/>
          <w:highlight w:val="none"/>
          <w:lang w:val="en-US" w:eastAsia="zh-CN"/>
        </w:rPr>
        <w:t>50</w:t>
      </w:r>
    </w:p>
    <w:p w14:paraId="3DA08CC8">
      <w:pPr>
        <w:pStyle w:val="45"/>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"_Toc19088" </w:instrText>
      </w:r>
      <w:r>
        <w:rPr>
          <w:highlight w:val="none"/>
        </w:rPr>
        <w:fldChar w:fldCharType="separate"/>
      </w:r>
      <w:r>
        <w:rPr>
          <w:rFonts w:hint="eastAsia"/>
          <w:szCs w:val="44"/>
          <w:highlight w:val="none"/>
        </w:rPr>
        <w:t>一</w:t>
      </w:r>
      <w:r>
        <w:rPr>
          <w:szCs w:val="44"/>
          <w:highlight w:val="none"/>
        </w:rPr>
        <w:t>、</w:t>
      </w:r>
      <w:r>
        <w:rPr>
          <w:rFonts w:hint="eastAsia"/>
          <w:szCs w:val="44"/>
          <w:highlight w:val="none"/>
        </w:rPr>
        <w:t>资格审查文件部分</w:t>
      </w:r>
      <w:r>
        <w:rPr>
          <w:highlight w:val="none"/>
        </w:rPr>
        <w:tab/>
      </w:r>
      <w:r>
        <w:rPr>
          <w:highlight w:val="none"/>
        </w:rPr>
        <w:fldChar w:fldCharType="begin"/>
      </w:r>
      <w:r>
        <w:rPr>
          <w:highlight w:val="none"/>
        </w:rPr>
        <w:instrText xml:space="preserve"> PAGEREF _Toc19088 \h </w:instrText>
      </w:r>
      <w:r>
        <w:rPr>
          <w:highlight w:val="none"/>
        </w:rPr>
        <w:fldChar w:fldCharType="separate"/>
      </w:r>
      <w:r>
        <w:rPr>
          <w:highlight w:val="none"/>
        </w:rPr>
        <w:t>52</w:t>
      </w:r>
      <w:r>
        <w:rPr>
          <w:highlight w:val="none"/>
        </w:rPr>
        <w:fldChar w:fldCharType="end"/>
      </w:r>
      <w:r>
        <w:rPr>
          <w:highlight w:val="none"/>
        </w:rPr>
        <w:fldChar w:fldCharType="end"/>
      </w:r>
      <w:r>
        <w:rPr>
          <w:rFonts w:hint="eastAsia"/>
          <w:highlight w:val="none"/>
          <w:lang w:val="en-US" w:eastAsia="zh-CN"/>
        </w:rPr>
        <w:t>2</w:t>
      </w:r>
    </w:p>
    <w:p w14:paraId="6D89DB73">
      <w:pPr>
        <w:pStyle w:val="45"/>
        <w:tabs>
          <w:tab w:val="right" w:leader="dot" w:pos="8307"/>
        </w:tabs>
        <w:rPr>
          <w:rFonts w:eastAsia="宋体"/>
          <w:highlight w:val="none"/>
          <w:lang w:val="en-US" w:eastAsia="zh-CN"/>
        </w:rPr>
      </w:pPr>
      <w:r>
        <w:rPr>
          <w:highlight w:val="none"/>
        </w:rPr>
        <w:fldChar w:fldCharType="begin"/>
      </w:r>
      <w:r>
        <w:rPr>
          <w:highlight w:val="none"/>
        </w:rPr>
        <w:instrText xml:space="preserve"> HYPERLINK \l "_Toc25175" </w:instrText>
      </w:r>
      <w:r>
        <w:rPr>
          <w:highlight w:val="none"/>
        </w:rPr>
        <w:fldChar w:fldCharType="separate"/>
      </w:r>
      <w:r>
        <w:rPr>
          <w:rFonts w:hint="eastAsia"/>
          <w:szCs w:val="44"/>
          <w:highlight w:val="none"/>
        </w:rPr>
        <w:t>二</w:t>
      </w:r>
      <w:r>
        <w:rPr>
          <w:szCs w:val="44"/>
          <w:highlight w:val="none"/>
        </w:rPr>
        <w:t>、</w:t>
      </w:r>
      <w:r>
        <w:rPr>
          <w:rFonts w:hint="eastAsia"/>
          <w:szCs w:val="44"/>
          <w:highlight w:val="none"/>
        </w:rPr>
        <w:t>商务标部分</w:t>
      </w:r>
      <w:r>
        <w:rPr>
          <w:highlight w:val="none"/>
        </w:rPr>
        <w:tab/>
      </w:r>
      <w:r>
        <w:rPr>
          <w:highlight w:val="none"/>
        </w:rPr>
        <w:fldChar w:fldCharType="end"/>
      </w:r>
      <w:r>
        <w:rPr>
          <w:rFonts w:hint="eastAsia"/>
          <w:highlight w:val="none"/>
          <w:lang w:val="en-US" w:eastAsia="zh-CN"/>
        </w:rPr>
        <w:t>59</w:t>
      </w:r>
    </w:p>
    <w:p w14:paraId="320C07C6">
      <w:pPr>
        <w:pStyle w:val="45"/>
        <w:tabs>
          <w:tab w:val="right" w:leader="dot" w:pos="8307"/>
        </w:tabs>
        <w:rPr>
          <w:rFonts w:eastAsia="宋体"/>
          <w:highlight w:val="none"/>
          <w:lang w:val="en-US" w:eastAsia="zh-CN"/>
        </w:rPr>
      </w:pPr>
      <w:r>
        <w:rPr>
          <w:highlight w:val="none"/>
        </w:rPr>
        <w:fldChar w:fldCharType="begin"/>
      </w:r>
      <w:r>
        <w:rPr>
          <w:highlight w:val="none"/>
        </w:rPr>
        <w:instrText xml:space="preserve"> HYPERLINK \l "_Toc16964" </w:instrText>
      </w:r>
      <w:r>
        <w:rPr>
          <w:highlight w:val="none"/>
        </w:rPr>
        <w:fldChar w:fldCharType="separate"/>
      </w:r>
      <w:r>
        <w:rPr>
          <w:rFonts w:hint="eastAsia" w:cs="Courier New"/>
          <w:bCs/>
          <w:szCs w:val="44"/>
          <w:highlight w:val="none"/>
        </w:rPr>
        <w:t>三、技术标部分</w:t>
      </w:r>
      <w:r>
        <w:rPr>
          <w:highlight w:val="none"/>
        </w:rPr>
        <w:tab/>
      </w:r>
      <w:r>
        <w:rPr>
          <w:highlight w:val="none"/>
        </w:rPr>
        <w:fldChar w:fldCharType="end"/>
      </w:r>
      <w:r>
        <w:rPr>
          <w:rFonts w:hint="eastAsia"/>
          <w:highlight w:val="none"/>
          <w:lang w:val="en-US" w:eastAsia="zh-CN"/>
        </w:rPr>
        <w:t>68</w:t>
      </w:r>
    </w:p>
    <w:p w14:paraId="4BD7AF27">
      <w:pPr>
        <w:pStyle w:val="45"/>
        <w:tabs>
          <w:tab w:val="right" w:leader="dot" w:pos="8307"/>
        </w:tabs>
        <w:rPr>
          <w:rFonts w:hint="eastAsia" w:eastAsia="宋体"/>
          <w:highlight w:val="none"/>
          <w:lang w:eastAsia="zh-CN"/>
        </w:rPr>
      </w:pPr>
      <w:r>
        <w:rPr>
          <w:highlight w:val="none"/>
        </w:rPr>
        <w:fldChar w:fldCharType="begin"/>
      </w:r>
      <w:r>
        <w:rPr>
          <w:highlight w:val="none"/>
        </w:rPr>
        <w:instrText xml:space="preserve"> HYPERLINK \l "_Toc17944" </w:instrText>
      </w:r>
      <w:r>
        <w:rPr>
          <w:highlight w:val="none"/>
        </w:rPr>
        <w:fldChar w:fldCharType="separate"/>
      </w:r>
      <w:r>
        <w:rPr>
          <w:rFonts w:hint="eastAsia" w:cs="Courier New"/>
          <w:bCs/>
          <w:szCs w:val="44"/>
          <w:highlight w:val="none"/>
        </w:rPr>
        <w:t>四</w:t>
      </w:r>
      <w:r>
        <w:rPr>
          <w:rFonts w:cs="Courier New"/>
          <w:bCs/>
          <w:szCs w:val="44"/>
          <w:highlight w:val="none"/>
        </w:rPr>
        <w:t>、</w:t>
      </w:r>
      <w:r>
        <w:rPr>
          <w:rFonts w:hint="eastAsia" w:cs="Courier New"/>
          <w:bCs/>
          <w:szCs w:val="44"/>
          <w:highlight w:val="none"/>
        </w:rPr>
        <w:t>价格标部分</w:t>
      </w:r>
      <w:r>
        <w:rPr>
          <w:highlight w:val="none"/>
        </w:rPr>
        <w:tab/>
      </w:r>
      <w:r>
        <w:rPr>
          <w:highlight w:val="none"/>
        </w:rPr>
        <w:fldChar w:fldCharType="begin"/>
      </w:r>
      <w:r>
        <w:rPr>
          <w:highlight w:val="none"/>
        </w:rPr>
        <w:instrText xml:space="preserve"> PAGEREF _Toc17944 \h </w:instrText>
      </w:r>
      <w:r>
        <w:rPr>
          <w:highlight w:val="none"/>
        </w:rPr>
        <w:fldChar w:fldCharType="separate"/>
      </w:r>
      <w:r>
        <w:rPr>
          <w:highlight w:val="none"/>
        </w:rPr>
        <w:t>76</w:t>
      </w:r>
      <w:r>
        <w:rPr>
          <w:highlight w:val="none"/>
        </w:rPr>
        <w:fldChar w:fldCharType="end"/>
      </w:r>
      <w:r>
        <w:rPr>
          <w:highlight w:val="none"/>
        </w:rPr>
        <w:fldChar w:fldCharType="end"/>
      </w:r>
    </w:p>
    <w:p w14:paraId="79554581">
      <w:pPr>
        <w:pStyle w:val="22"/>
        <w:rPr>
          <w:highlight w:val="none"/>
        </w:rPr>
      </w:pPr>
      <w:r>
        <w:rPr>
          <w:highlight w:val="none"/>
        </w:rPr>
        <w:fldChar w:fldCharType="end"/>
      </w:r>
    </w:p>
    <w:p w14:paraId="5302AF43">
      <w:pPr>
        <w:spacing w:line="480" w:lineRule="auto"/>
        <w:rPr>
          <w:highlight w:val="none"/>
        </w:rPr>
      </w:pPr>
    </w:p>
    <w:p w14:paraId="46AFA233">
      <w:pPr>
        <w:ind w:firstLine="0" w:firstLineChars="0"/>
        <w:jc w:val="left"/>
        <w:rPr>
          <w:rFonts w:ascii="宋体" w:hAnsi="宋体"/>
          <w:kern w:val="0"/>
          <w:szCs w:val="21"/>
          <w:highlight w:val="none"/>
        </w:rPr>
      </w:pPr>
      <w:r>
        <w:rPr>
          <w:highlight w:val="none"/>
        </w:rPr>
        <w:fldChar w:fldCharType="begin"/>
      </w:r>
      <w:r>
        <w:rPr>
          <w:highlight w:val="none"/>
        </w:rPr>
        <w:instrText xml:space="preserve"> TOC \o "1-2" \h \z \u </w:instrText>
      </w:r>
      <w:r>
        <w:rPr>
          <w:highlight w:val="none"/>
        </w:rPr>
        <w:fldChar w:fldCharType="separate"/>
      </w:r>
    </w:p>
    <w:p w14:paraId="13AAEA27">
      <w:pPr>
        <w:pStyle w:val="36"/>
        <w:tabs>
          <w:tab w:val="right" w:leader="dot" w:pos="8640"/>
        </w:tabs>
        <w:rPr>
          <w:rFonts w:cs="宋体"/>
          <w:b/>
          <w:bCs/>
          <w:highlight w:val="none"/>
        </w:rPr>
      </w:pPr>
      <w:r>
        <w:rPr>
          <w:rFonts w:cs="宋体"/>
          <w:b/>
          <w:bCs/>
          <w:highlight w:val="none"/>
        </w:rPr>
        <w:fldChar w:fldCharType="begin"/>
      </w:r>
      <w:r>
        <w:rPr>
          <w:rFonts w:cs="宋体"/>
          <w:b/>
          <w:bCs/>
          <w:highlight w:val="none"/>
        </w:rPr>
        <w:instrText xml:space="preserve">TOC \o "1-2" \h \u </w:instrText>
      </w:r>
      <w:r>
        <w:rPr>
          <w:rFonts w:cs="宋体"/>
          <w:b/>
          <w:bCs/>
          <w:highlight w:val="none"/>
        </w:rPr>
        <w:fldChar w:fldCharType="separate"/>
      </w:r>
    </w:p>
    <w:p w14:paraId="267AE7C2">
      <w:pPr>
        <w:pStyle w:val="36"/>
        <w:tabs>
          <w:tab w:val="right" w:leader="dot" w:pos="8640"/>
        </w:tabs>
        <w:rPr>
          <w:snapToGrid w:val="0"/>
          <w:highlight w:val="none"/>
          <w:lang w:eastAsia="zh-CN"/>
        </w:rPr>
      </w:pPr>
      <w:r>
        <w:rPr>
          <w:rFonts w:cs="宋体"/>
          <w:b/>
          <w:bCs/>
          <w:highlight w:val="none"/>
        </w:rPr>
        <w:fldChar w:fldCharType="end"/>
      </w:r>
      <w:r>
        <w:rPr>
          <w:highlight w:val="none"/>
        </w:rPr>
        <w:fldChar w:fldCharType="end"/>
      </w:r>
      <w:r>
        <w:rPr>
          <w:rFonts w:hint="eastAsia"/>
          <w:b/>
          <w:snapToGrid w:val="0"/>
          <w:sz w:val="52"/>
          <w:szCs w:val="52"/>
          <w:highlight w:val="none"/>
          <w:lang w:eastAsia="zh-CN"/>
        </w:rPr>
        <w:t xml:space="preserve"> </w:t>
      </w:r>
    </w:p>
    <w:p w14:paraId="049D7003">
      <w:pPr>
        <w:widowControl w:val="0"/>
        <w:autoSpaceDE w:val="0"/>
        <w:autoSpaceDN w:val="0"/>
        <w:adjustRightInd w:val="0"/>
        <w:snapToGrid w:val="0"/>
        <w:ind w:firstLine="0" w:firstLineChars="0"/>
        <w:jc w:val="center"/>
        <w:rPr>
          <w:rFonts w:ascii="宋体" w:hAnsi="宋体"/>
          <w:snapToGrid w:val="0"/>
          <w:kern w:val="0"/>
          <w:szCs w:val="21"/>
          <w:highlight w:val="none"/>
        </w:rPr>
        <w:sectPr>
          <w:headerReference r:id="rId5" w:type="default"/>
          <w:footerReference r:id="rId6" w:type="default"/>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p>
    <w:bookmarkEnd w:id="8"/>
    <w:p w14:paraId="5465ED92">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bookmarkStart w:id="9" w:name="OLE_LINK1"/>
      <w:bookmarkEnd w:id="9"/>
      <w:bookmarkStart w:id="10" w:name="OLE_LINK2"/>
      <w:bookmarkEnd w:id="10"/>
      <w:bookmarkStart w:id="11" w:name="_Toc152042303"/>
      <w:bookmarkStart w:id="12" w:name="_Toc144974495"/>
      <w:bookmarkStart w:id="13" w:name="_Toc152045527"/>
      <w:bookmarkStart w:id="14" w:name="_Hlk532135443"/>
    </w:p>
    <w:p w14:paraId="4C3FCEDB">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65C6E66D">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2D07654D">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078DA87B">
      <w:pPr>
        <w:widowControl w:val="0"/>
        <w:tabs>
          <w:tab w:val="left" w:pos="709"/>
        </w:tabs>
        <w:autoSpaceDE w:val="0"/>
        <w:autoSpaceDN w:val="0"/>
        <w:adjustRightInd w:val="0"/>
        <w:snapToGrid w:val="0"/>
        <w:ind w:firstLine="0" w:firstLineChars="0"/>
        <w:jc w:val="center"/>
        <w:outlineLvl w:val="0"/>
        <w:rPr>
          <w:rFonts w:ascii="宋体" w:hAnsi="宋体"/>
          <w:b/>
          <w:bCs/>
          <w:sz w:val="52"/>
          <w:szCs w:val="52"/>
          <w:highlight w:val="none"/>
        </w:rPr>
      </w:pPr>
      <w:bookmarkStart w:id="15" w:name="_Toc30237"/>
      <w:bookmarkStart w:id="16" w:name="_Toc5568"/>
      <w:bookmarkStart w:id="17" w:name="_Toc13906"/>
      <w:bookmarkStart w:id="18" w:name="_Toc21050"/>
      <w:bookmarkStart w:id="19" w:name="_Toc2599"/>
      <w:bookmarkStart w:id="20" w:name="_Toc28143"/>
      <w:r>
        <w:rPr>
          <w:rFonts w:hint="eastAsia" w:ascii="宋体" w:hAnsi="宋体"/>
          <w:b/>
          <w:bCs/>
          <w:sz w:val="52"/>
          <w:szCs w:val="52"/>
          <w:highlight w:val="none"/>
        </w:rPr>
        <w:t>第一章 投标人须知</w:t>
      </w:r>
      <w:bookmarkEnd w:id="11"/>
      <w:bookmarkEnd w:id="12"/>
      <w:bookmarkEnd w:id="13"/>
      <w:bookmarkEnd w:id="14"/>
      <w:bookmarkEnd w:id="15"/>
      <w:bookmarkEnd w:id="16"/>
      <w:bookmarkEnd w:id="17"/>
      <w:bookmarkEnd w:id="18"/>
      <w:bookmarkEnd w:id="19"/>
      <w:bookmarkEnd w:id="20"/>
      <w:bookmarkStart w:id="21" w:name="_Toc152045528"/>
      <w:bookmarkStart w:id="22" w:name="_Toc379581309"/>
      <w:bookmarkStart w:id="23" w:name="_Toc152042304"/>
      <w:bookmarkStart w:id="24" w:name="_Toc144974496"/>
    </w:p>
    <w:p w14:paraId="17EE8F61">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sz w:val="28"/>
          <w:highlight w:val="none"/>
        </w:rPr>
        <w:br w:type="page"/>
      </w:r>
      <w:bookmarkStart w:id="25" w:name="_Toc28933"/>
      <w:bookmarkStart w:id="26" w:name="_Toc11509"/>
      <w:bookmarkStart w:id="27" w:name="_Toc3665"/>
      <w:bookmarkStart w:id="28" w:name="_Toc21572"/>
      <w:r>
        <w:rPr>
          <w:rFonts w:hint="eastAsia" w:ascii="宋体" w:hAnsi="宋体"/>
          <w:b/>
          <w:sz w:val="32"/>
          <w:szCs w:val="32"/>
          <w:highlight w:val="none"/>
        </w:rPr>
        <w:t>第一节 投标人须知前附表</w:t>
      </w:r>
      <w:bookmarkEnd w:id="21"/>
      <w:bookmarkEnd w:id="22"/>
      <w:bookmarkEnd w:id="23"/>
      <w:bookmarkEnd w:id="24"/>
      <w:bookmarkEnd w:id="25"/>
      <w:bookmarkEnd w:id="26"/>
      <w:bookmarkEnd w:id="27"/>
      <w:bookmarkEnd w:id="28"/>
    </w:p>
    <w:p w14:paraId="166A2F71">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46643D0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 本表对项目情况、招标程序的主要时限、投标文件编制要求的有关信息，是对投标须知的具体补充。如出现前后不一致的表述以投标人须知前附表为准。</w:t>
      </w:r>
    </w:p>
    <w:p w14:paraId="6A57263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 本文所示时间均为北京时间。</w:t>
      </w:r>
    </w:p>
    <w:p w14:paraId="4E3F12C3">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标识时表明该选项被招标人选用，用“□”标识时表明该选项未被招标人选用。本文件中对应模板性条款未被招标人选用的内容，自动不适用。</w:t>
      </w:r>
    </w:p>
    <w:p w14:paraId="0AC6C628">
      <w:pPr>
        <w:widowControl w:val="0"/>
        <w:tabs>
          <w:tab w:val="left" w:pos="709"/>
        </w:tabs>
        <w:wordWrap w:val="0"/>
        <w:autoSpaceDE w:val="0"/>
        <w:autoSpaceDN w:val="0"/>
        <w:adjustRightInd w:val="0"/>
        <w:snapToGrid w:val="0"/>
        <w:ind w:left="0"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t>4、招标人在编制招标文件时，示范文本中的空格部分应根据招标项目实际需求填写，无内容或不采用者应用</w:t>
      </w:r>
      <w:r>
        <w:rPr>
          <w:rFonts w:hint="eastAsia" w:ascii="宋体" w:hAnsi="宋体"/>
          <w:b/>
          <w:snapToGrid w:val="0"/>
          <w:kern w:val="0"/>
          <w:szCs w:val="21"/>
          <w:highlight w:val="none"/>
        </w:rPr>
        <w:t>斜画线</w:t>
      </w:r>
      <w:r>
        <w:rPr>
          <w:rFonts w:hint="eastAsia" w:ascii="宋体" w:hAnsi="宋体"/>
          <w:snapToGrid w:val="0"/>
          <w:kern w:val="0"/>
          <w:szCs w:val="21"/>
          <w:highlight w:val="none"/>
        </w:rPr>
        <w:t>表示或者注明“本项目不适用”。</w:t>
      </w:r>
    </w:p>
    <w:p w14:paraId="5A8A1989">
      <w:pPr>
        <w:widowControl w:val="0"/>
        <w:tabs>
          <w:tab w:val="left" w:pos="709"/>
        </w:tabs>
        <w:wordWrap w:val="0"/>
        <w:autoSpaceDE w:val="0"/>
        <w:autoSpaceDN w:val="0"/>
        <w:adjustRightInd w:val="0"/>
        <w:snapToGrid w:val="0"/>
        <w:ind w:left="0" w:firstLine="0" w:firstLineChars="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 xml:space="preserve">5. </w:t>
      </w:r>
      <w:r>
        <w:rPr>
          <w:rFonts w:hint="eastAsia" w:ascii="宋体" w:hAnsi="宋体" w:eastAsia="宋体" w:cs="宋体"/>
          <w:b/>
          <w:color w:val="auto"/>
          <w:szCs w:val="21"/>
          <w:highlight w:val="none"/>
        </w:rPr>
        <w:t>关于加强对投标人社保信息、关联关系查验温馨提示</w:t>
      </w:r>
      <w:r>
        <w:rPr>
          <w:rFonts w:hint="eastAsia" w:ascii="宋体" w:hAnsi="宋体" w:cs="宋体"/>
          <w:b/>
          <w:color w:val="auto"/>
          <w:szCs w:val="21"/>
          <w:highlight w:val="none"/>
          <w:lang w:eastAsia="zh-CN"/>
        </w:rPr>
        <w:t>：</w:t>
      </w:r>
    </w:p>
    <w:p w14:paraId="0D162C40">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5.1 </w:t>
      </w:r>
      <w:r>
        <w:rPr>
          <w:rFonts w:hint="eastAsia" w:ascii="宋体" w:hAnsi="宋体" w:eastAsia="宋体" w:cs="Times New Roman"/>
          <w:color w:val="auto"/>
          <w:szCs w:val="21"/>
          <w:highlight w:val="none"/>
        </w:rPr>
        <w:t>为营造良好的招标投标营商环境，维护招投标市场秩序，遏制招投标活动中围串标、“挂证”行为，企业在组织招投标活动时，可加强对投标人社保信息、企业关联关系的查验工作。</w:t>
      </w:r>
    </w:p>
    <w:p w14:paraId="43A6C7DC">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5.2 </w:t>
      </w:r>
      <w:r>
        <w:rPr>
          <w:rFonts w:hint="eastAsia" w:ascii="宋体" w:hAnsi="宋体" w:eastAsia="宋体" w:cs="Times New Roman"/>
          <w:color w:val="auto"/>
          <w:szCs w:val="21"/>
          <w:highlight w:val="none"/>
        </w:rPr>
        <w:t>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050E20B4">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5.3 </w:t>
      </w:r>
      <w:r>
        <w:rPr>
          <w:rFonts w:hint="eastAsia" w:ascii="宋体" w:hAnsi="宋体" w:eastAsia="宋体" w:cs="Times New Roman"/>
          <w:color w:val="auto"/>
          <w:szCs w:val="21"/>
          <w:highlight w:val="none"/>
        </w:rPr>
        <w:t>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77FDD90B">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cs="宋体"/>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5.4 </w:t>
      </w:r>
      <w:r>
        <w:rPr>
          <w:rFonts w:hint="eastAsia" w:ascii="宋体" w:hAnsi="宋体" w:eastAsia="宋体" w:cs="Times New Roman"/>
          <w:color w:val="auto"/>
          <w:szCs w:val="21"/>
          <w:highlight w:val="none"/>
        </w:rPr>
        <w:t>企业关联关系查验工具</w:t>
      </w:r>
    </w:p>
    <w:p w14:paraId="70FC85F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企业关联关系查验工具包括但不限于：</w:t>
      </w:r>
    </w:p>
    <w:p w14:paraId="68D7EFB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（1）企查查（https://www.qcc.com/）</w:t>
      </w:r>
    </w:p>
    <w:p w14:paraId="17660358">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（2）天眼查（https://www.tianyancha.com/）</w:t>
      </w:r>
    </w:p>
    <w:p w14:paraId="3646FAC6">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（3）启信宝（https://www.qixin.com/）</w:t>
      </w:r>
    </w:p>
    <w:p w14:paraId="15F94B5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（4）企业万象（https://wx.bidata.com.cn/#/）</w:t>
      </w:r>
    </w:p>
    <w:p w14:paraId="1BB7BC9E">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以上查验结果仅供参考，具体以评审专家意见为准。</w:t>
      </w:r>
    </w:p>
    <w:p w14:paraId="5F5A53A5">
      <w:pPr>
        <w:widowControl w:val="0"/>
        <w:tabs>
          <w:tab w:val="left" w:pos="709"/>
          <w:tab w:val="left" w:pos="993"/>
        </w:tabs>
        <w:wordWrap w:val="0"/>
        <w:autoSpaceDE w:val="0"/>
        <w:autoSpaceDN w:val="0"/>
        <w:adjustRightInd w:val="0"/>
        <w:snapToGrid w:val="0"/>
        <w:ind w:left="0"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5.5 </w:t>
      </w:r>
      <w:r>
        <w:rPr>
          <w:rFonts w:hint="eastAsia" w:ascii="宋体" w:hAnsi="宋体" w:eastAsia="宋体" w:cs="Times New Roman"/>
          <w:color w:val="auto"/>
          <w:szCs w:val="21"/>
          <w:highlight w:val="none"/>
        </w:rPr>
        <w:t>企业社保信息查验网站</w:t>
      </w:r>
    </w:p>
    <w:p w14:paraId="263081A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社保信息查验网站包括但不限于：</w:t>
      </w:r>
    </w:p>
    <w:p w14:paraId="4B1CD6FD">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1.国家社会保险公共服务平台http://si.12333.gov.cn/188491.jhtml</w:t>
      </w:r>
    </w:p>
    <w:p w14:paraId="392D331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2.广东省https://ggfw.hrss.gd.gov.cn/gdggfw-service/service/bbdy/validate.shtml</w:t>
      </w:r>
    </w:p>
    <w:p w14:paraId="4BC31D7B">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3.深圳市https://sipub.sz.gov.cn/vp/</w:t>
      </w:r>
    </w:p>
    <w:p w14:paraId="6FA458B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4.珠海市https://wsfw.zhrsj.zhuhai.gov.cn/zhrsClient/external.do</w:t>
      </w:r>
    </w:p>
    <w:p w14:paraId="15626C7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5.东莞市https://dghrss.dg.gov.cn/bbyz/comm/web/bbyzcx.do?_fresh_t=1686278782543</w:t>
      </w:r>
    </w:p>
    <w:p w14:paraId="26111085">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6.四川省http://www.sc.hrss.gov.cn/gjbcms/zmyz/index.jhtml</w:t>
      </w:r>
    </w:p>
    <w:p w14:paraId="61A89AC3">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7.安徽省http://61.190.31.166:10001/ggfwwt/home/loadpzyz</w:t>
      </w:r>
    </w:p>
    <w:p w14:paraId="1855A7C0">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8.辽宁省沈阳http://new.sbzx.shenyang.gov.cn/pages/ewm/ewm.html</w:t>
      </w:r>
    </w:p>
    <w:p w14:paraId="1483AF1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9.河北省https://he.12333.gov.cn/proof/checkoutJPG.html</w:t>
      </w:r>
    </w:p>
    <w:p w14:paraId="673BA3B2">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10.湖北省http://59.175.218.201:8005/template/dzsbzmyz.html</w:t>
      </w:r>
    </w:p>
    <w:p w14:paraId="34D4B2AC">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11.福建省http://220.160.52.229:12333/ggfw/#/portal-module/portalCredentialVerification</w:t>
      </w:r>
    </w:p>
    <w:p w14:paraId="66664F44">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12.北京市http://fuwu.rsj.beijing.gov.cn/bjdkhy/sbqycx/sbRights/verificationSocial?loginType=bjt</w:t>
      </w:r>
    </w:p>
    <w:p w14:paraId="45FA2161">
      <w:pPr>
        <w:widowControl w:val="0"/>
        <w:tabs>
          <w:tab w:val="left" w:pos="709"/>
          <w:tab w:val="left" w:pos="993"/>
        </w:tabs>
        <w:wordWrap w:val="0"/>
        <w:autoSpaceDE w:val="0"/>
        <w:autoSpaceDN w:val="0"/>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13.广西</w:t>
      </w:r>
      <w:r>
        <w:rPr>
          <w:rFonts w:hint="eastAsia" w:ascii="宋体" w:hAnsi="宋体" w:cs="宋体"/>
          <w:color w:val="auto"/>
          <w:szCs w:val="21"/>
          <w:highlight w:val="none"/>
          <w:lang w:val="en-US" w:eastAsia="zh-CN"/>
        </w:rPr>
        <w:t>壮族自治区</w:t>
      </w:r>
      <w:r>
        <w:rPr>
          <w:rFonts w:hint="eastAsia" w:ascii="宋体" w:hAnsi="宋体" w:cs="宋体"/>
          <w:color w:val="auto"/>
          <w:szCs w:val="21"/>
          <w:highlight w:val="none"/>
        </w:rPr>
        <w:t xml:space="preserve"> https://www.gx12333.net/form/</w:t>
      </w:r>
    </w:p>
    <w:p w14:paraId="7F65F148">
      <w:pPr>
        <w:widowControl w:val="0"/>
        <w:tabs>
          <w:tab w:val="left" w:pos="709"/>
          <w:tab w:val="left" w:pos="993"/>
        </w:tabs>
        <w:wordWrap w:val="0"/>
        <w:autoSpaceDE w:val="0"/>
        <w:autoSpaceDN w:val="0"/>
        <w:adjustRightInd w:val="0"/>
        <w:snapToGrid w:val="0"/>
        <w:ind w:left="0" w:firstLine="0" w:firstLineChars="0"/>
        <w:jc w:val="left"/>
        <w:rPr>
          <w:rFonts w:ascii="宋体" w:hAnsi="宋体"/>
          <w:snapToGrid w:val="0"/>
          <w:kern w:val="0"/>
          <w:szCs w:val="21"/>
          <w:highlight w:val="none"/>
        </w:rPr>
      </w:pPr>
      <w:r>
        <w:rPr>
          <w:rFonts w:hint="eastAsia" w:ascii="宋体" w:hAnsi="宋体" w:cs="宋体"/>
          <w:color w:val="auto"/>
          <w:szCs w:val="21"/>
          <w:highlight w:val="none"/>
        </w:rPr>
        <w:t>14.天津市http://public.hrss.tj.gov.cn/perpaymentstamper/</w:t>
      </w:r>
    </w:p>
    <w:p w14:paraId="5505AEF4">
      <w:pPr>
        <w:widowControl w:val="0"/>
        <w:autoSpaceDE w:val="0"/>
        <w:autoSpaceDN w:val="0"/>
        <w:adjustRightInd w:val="0"/>
        <w:snapToGrid w:val="0"/>
        <w:ind w:firstLine="0" w:firstLineChars="0"/>
        <w:rPr>
          <w:rFonts w:ascii="宋体" w:hAnsi="宋体"/>
          <w:snapToGrid w:val="0"/>
          <w:kern w:val="0"/>
          <w:szCs w:val="21"/>
          <w:highlight w:val="none"/>
        </w:rPr>
      </w:pPr>
    </w:p>
    <w:p w14:paraId="5255B90A">
      <w:pPr>
        <w:widowControl w:val="0"/>
        <w:autoSpaceDE w:val="0"/>
        <w:autoSpaceDN w:val="0"/>
        <w:adjustRightInd w:val="0"/>
        <w:snapToGrid w:val="0"/>
        <w:ind w:firstLine="0" w:firstLineChars="0"/>
        <w:jc w:val="center"/>
        <w:rPr>
          <w:rFonts w:hint="eastAsia" w:ascii="宋体" w:hAnsi="宋体"/>
          <w:b/>
          <w:sz w:val="32"/>
          <w:szCs w:val="32"/>
          <w:highlight w:val="none"/>
        </w:rPr>
      </w:pPr>
      <w:bookmarkStart w:id="29" w:name="_Hlk532140181"/>
      <w:r>
        <w:rPr>
          <w:rFonts w:hint="eastAsia" w:ascii="宋体" w:hAnsi="宋体"/>
          <w:b/>
          <w:sz w:val="32"/>
          <w:szCs w:val="32"/>
          <w:highlight w:val="none"/>
        </w:rPr>
        <w:br w:type="page"/>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092"/>
        <w:gridCol w:w="5443"/>
      </w:tblGrid>
      <w:tr w14:paraId="1B29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vAlign w:val="center"/>
          </w:tcPr>
          <w:p w14:paraId="77C03A4E">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投标人须知前附表（一）</w:t>
            </w:r>
          </w:p>
        </w:tc>
      </w:tr>
      <w:tr w14:paraId="112A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40075D1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227" w:type="pct"/>
            <w:vAlign w:val="center"/>
          </w:tcPr>
          <w:p w14:paraId="4B1E98A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191" w:type="pct"/>
            <w:vAlign w:val="center"/>
          </w:tcPr>
          <w:p w14:paraId="4E135500">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0738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79BBE8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190B68DD">
            <w:pPr>
              <w:widowControl w:val="0"/>
              <w:autoSpaceDE w:val="0"/>
              <w:autoSpaceDN w:val="0"/>
              <w:adjustRightInd w:val="0"/>
              <w:snapToGrid w:val="0"/>
              <w:ind w:firstLine="0" w:firstLineChars="0"/>
              <w:jc w:val="center"/>
              <w:rPr>
                <w:rFonts w:ascii="宋体" w:hAnsi="宋体"/>
                <w:bCs/>
                <w:szCs w:val="21"/>
                <w:highlight w:val="none"/>
              </w:rPr>
            </w:pPr>
            <w:r>
              <w:rPr>
                <w:rFonts w:hint="eastAsia" w:ascii="宋体" w:hAnsi="宋体"/>
                <w:bCs/>
                <w:szCs w:val="21"/>
                <w:highlight w:val="none"/>
              </w:rPr>
              <w:t>招标人</w:t>
            </w:r>
          </w:p>
        </w:tc>
        <w:tc>
          <w:tcPr>
            <w:tcW w:w="3191" w:type="pct"/>
            <w:vAlign w:val="center"/>
          </w:tcPr>
          <w:p w14:paraId="3235EFD6">
            <w:pPr>
              <w:widowControl w:val="0"/>
              <w:autoSpaceDE w:val="0"/>
              <w:autoSpaceDN w:val="0"/>
              <w:adjustRightInd w:val="0"/>
              <w:snapToGrid w:val="0"/>
              <w:ind w:firstLine="0" w:firstLineChars="0"/>
              <w:rPr>
                <w:rFonts w:ascii="宋体" w:hAnsi="宋体" w:eastAsia="宋体"/>
                <w:szCs w:val="21"/>
                <w:highlight w:val="none"/>
                <w:u w:val="single"/>
                <w:lang w:val="en-US" w:eastAsia="zh-CN"/>
              </w:rPr>
            </w:pPr>
            <w:r>
              <w:rPr>
                <w:rFonts w:ascii="宋体" w:hAnsi="宋体"/>
                <w:szCs w:val="21"/>
                <w:highlight w:val="none"/>
              </w:rPr>
              <w:t>名称：</w:t>
            </w:r>
            <w:r>
              <w:rPr>
                <w:rFonts w:hint="eastAsia" w:ascii="宋体" w:hAnsi="宋体"/>
                <w:szCs w:val="21"/>
                <w:highlight w:val="none"/>
                <w:lang w:val="en-US" w:eastAsia="zh-CN"/>
              </w:rPr>
              <w:t>深圳市深投控体育赛事发展有限公司</w:t>
            </w:r>
          </w:p>
          <w:p w14:paraId="52262315">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rPr>
              <w:t>深圳市深圳体育中心体育场S12对面赛事公司</w:t>
            </w:r>
          </w:p>
          <w:p w14:paraId="1657A711">
            <w:pPr>
              <w:widowControl w:val="0"/>
              <w:autoSpaceDE w:val="0"/>
              <w:autoSpaceDN w:val="0"/>
              <w:adjustRightInd w:val="0"/>
              <w:snapToGrid w:val="0"/>
              <w:ind w:firstLine="0" w:firstLineChars="0"/>
              <w:rPr>
                <w:rFonts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 xml:space="preserve">杨先生、杨先生   </w:t>
            </w:r>
          </w:p>
          <w:p w14:paraId="294C24DE">
            <w:pPr>
              <w:widowControl w:val="0"/>
              <w:autoSpaceDE w:val="0"/>
              <w:autoSpaceDN w:val="0"/>
              <w:adjustRightInd w:val="0"/>
              <w:snapToGrid w:val="0"/>
              <w:ind w:firstLine="0" w:firstLineChars="0"/>
              <w:rPr>
                <w:rFonts w:ascii="宋体" w:hAnsi="宋体"/>
                <w:kern w:val="0"/>
                <w:szCs w:val="21"/>
                <w:highlight w:val="none"/>
                <w:u w:val="single"/>
                <w:lang w:val="en-US"/>
              </w:rPr>
            </w:pPr>
            <w:r>
              <w:rPr>
                <w:rFonts w:hint="eastAsia" w:ascii="宋体" w:hAnsi="宋体"/>
                <w:szCs w:val="21"/>
                <w:highlight w:val="none"/>
              </w:rPr>
              <w:t>联系电话：</w:t>
            </w:r>
            <w:r>
              <w:rPr>
                <w:rFonts w:hint="eastAsia" w:ascii="宋体" w:hAnsi="宋体"/>
                <w:szCs w:val="21"/>
                <w:highlight w:val="none"/>
                <w:lang w:val="en-US" w:eastAsia="zh-CN"/>
              </w:rPr>
              <w:t xml:space="preserve">13424228989、18474623338  </w:t>
            </w:r>
          </w:p>
        </w:tc>
      </w:tr>
      <w:tr w14:paraId="5396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19F0FB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292B3E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3191" w:type="pct"/>
            <w:vAlign w:val="center"/>
          </w:tcPr>
          <w:p w14:paraId="1B409E63">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YG26ZG0044424</w:t>
            </w:r>
            <w:bookmarkStart w:id="493" w:name="_GoBack"/>
            <w:bookmarkEnd w:id="493"/>
          </w:p>
        </w:tc>
      </w:tr>
      <w:tr w14:paraId="67B7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52CCB86D"/>
        </w:tc>
        <w:tc>
          <w:tcPr>
            <w:tcW w:w="1227" w:type="pct"/>
            <w:vAlign w:val="center"/>
          </w:tcPr>
          <w:p w14:paraId="792B417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名称</w:t>
            </w:r>
          </w:p>
        </w:tc>
        <w:tc>
          <w:tcPr>
            <w:tcW w:w="3191" w:type="pct"/>
            <w:vAlign w:val="center"/>
          </w:tcPr>
          <w:p w14:paraId="23F69C47">
            <w:pPr>
              <w:widowControl w:val="0"/>
              <w:autoSpaceDE w:val="0"/>
              <w:autoSpaceDN w:val="0"/>
              <w:adjustRightInd w:val="0"/>
              <w:snapToGrid w:val="0"/>
              <w:ind w:firstLine="0" w:firstLineChars="0"/>
              <w:rPr>
                <w:rFonts w:hint="eastAsia" w:ascii="宋体" w:hAnsi="宋体" w:eastAsia="宋体"/>
                <w:bCs/>
                <w:szCs w:val="21"/>
                <w:highlight w:val="none"/>
                <w:lang w:val="en-US" w:eastAsia="zh-CN"/>
              </w:rPr>
            </w:pPr>
            <w:r>
              <w:rPr>
                <w:rFonts w:hint="eastAsia" w:ascii="宋体" w:hAnsi="宋体"/>
                <w:bCs/>
                <w:szCs w:val="21"/>
                <w:highlight w:val="none"/>
              </w:rPr>
              <w:t>2026中国羽毛球大师赛赛事城市宣推服务</w:t>
            </w:r>
          </w:p>
        </w:tc>
      </w:tr>
      <w:tr w14:paraId="3142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CF7210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A839181">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公告</w:t>
            </w:r>
            <w:r>
              <w:rPr>
                <w:rFonts w:hint="eastAsia" w:ascii="宋体" w:hAnsi="宋体"/>
                <w:szCs w:val="21"/>
                <w:highlight w:val="none"/>
              </w:rPr>
              <w:t>日期</w:t>
            </w:r>
          </w:p>
        </w:tc>
        <w:tc>
          <w:tcPr>
            <w:tcW w:w="3191" w:type="pct"/>
            <w:vAlign w:val="center"/>
          </w:tcPr>
          <w:p w14:paraId="0C09D82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详见招标公告</w:t>
            </w:r>
          </w:p>
        </w:tc>
      </w:tr>
      <w:tr w14:paraId="511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A089C2C"/>
        </w:tc>
        <w:tc>
          <w:tcPr>
            <w:tcW w:w="1227" w:type="pct"/>
            <w:vAlign w:val="center"/>
          </w:tcPr>
          <w:p w14:paraId="4A1729A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3191" w:type="pct"/>
            <w:vAlign w:val="center"/>
          </w:tcPr>
          <w:p w14:paraId="0DD1849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服务类</w:t>
            </w:r>
          </w:p>
        </w:tc>
      </w:tr>
      <w:tr w14:paraId="65C6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2C134BD"/>
        </w:tc>
        <w:tc>
          <w:tcPr>
            <w:tcW w:w="1227" w:type="pct"/>
          </w:tcPr>
          <w:p w14:paraId="7C3589A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3191" w:type="pct"/>
            <w:vAlign w:val="center"/>
          </w:tcPr>
          <w:p w14:paraId="0D863794">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sym w:font="Wingdings 2" w:char="0052"/>
            </w: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034C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808D8C2"/>
        </w:tc>
        <w:tc>
          <w:tcPr>
            <w:tcW w:w="1227" w:type="pct"/>
          </w:tcPr>
          <w:p w14:paraId="05E86B9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3191" w:type="pct"/>
            <w:vAlign w:val="center"/>
          </w:tcPr>
          <w:p w14:paraId="7872F2EE">
            <w:pPr>
              <w:widowControl w:val="0"/>
              <w:autoSpaceDE w:val="0"/>
              <w:autoSpaceDN w:val="0"/>
              <w:adjustRightInd w:val="0"/>
              <w:snapToGrid w:val="0"/>
              <w:ind w:firstLine="0" w:firstLineChars="0"/>
              <w:rPr>
                <w:rFonts w:ascii="宋体" w:hAnsi="宋体" w:cs="Segoe UI Symbol"/>
                <w:szCs w:val="21"/>
                <w:highlight w:val="none"/>
              </w:rPr>
            </w:pPr>
            <w:r>
              <w:rPr>
                <w:rFonts w:hint="eastAsia" w:ascii="宋体" w:hAnsi="宋体"/>
                <w:szCs w:val="21"/>
                <w:highlight w:val="none"/>
              </w:rPr>
              <w:t xml:space="preserve">资格后审 </w:t>
            </w:r>
          </w:p>
        </w:tc>
      </w:tr>
      <w:tr w14:paraId="25E4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10637029">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614898E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招标文件</w:t>
            </w:r>
          </w:p>
          <w:p w14:paraId="4444D83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获取方式</w:t>
            </w:r>
          </w:p>
        </w:tc>
        <w:tc>
          <w:tcPr>
            <w:tcW w:w="3191" w:type="pct"/>
            <w:vAlign w:val="center"/>
          </w:tcPr>
          <w:p w14:paraId="3C43E397">
            <w:pPr>
              <w:widowControl w:val="0"/>
              <w:autoSpaceDE w:val="0"/>
              <w:autoSpaceDN w:val="0"/>
              <w:adjustRightInd w:val="0"/>
              <w:snapToGrid w:val="0"/>
              <w:ind w:firstLine="0" w:firstLineChars="0"/>
              <w:rPr>
                <w:rFonts w:ascii="Segoe UI Symbol" w:hAnsi="Segoe UI Symbol" w:cs="Segoe UI Symbol"/>
                <w:szCs w:val="21"/>
                <w:highlight w:val="none"/>
              </w:rPr>
            </w:pPr>
            <w:r>
              <w:rPr>
                <w:rFonts w:ascii="宋体" w:hAnsi="宋体"/>
                <w:szCs w:val="21"/>
                <w:highlight w:val="none"/>
              </w:rPr>
              <w:t>通过深圳阳光采购平台获取</w:t>
            </w:r>
          </w:p>
        </w:tc>
      </w:tr>
      <w:tr w14:paraId="2DA7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0" w:type="pct"/>
            <w:vMerge w:val="continue"/>
            <w:vAlign w:val="center"/>
          </w:tcPr>
          <w:p w14:paraId="4745C3F8"/>
        </w:tc>
        <w:tc>
          <w:tcPr>
            <w:tcW w:w="1227" w:type="pct"/>
            <w:vAlign w:val="center"/>
          </w:tcPr>
          <w:p w14:paraId="59E3F51C">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656078BD">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ascii="宋体" w:hAnsi="宋体"/>
                <w:kern w:val="0"/>
                <w:szCs w:val="21"/>
                <w:highlight w:val="none"/>
              </w:rPr>
              <w:t>获取时间</w:t>
            </w:r>
          </w:p>
        </w:tc>
        <w:tc>
          <w:tcPr>
            <w:tcW w:w="3191" w:type="pct"/>
            <w:vAlign w:val="center"/>
          </w:tcPr>
          <w:p w14:paraId="7721CB3E">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77DF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C0EE986"/>
        </w:tc>
        <w:tc>
          <w:tcPr>
            <w:tcW w:w="1227" w:type="pct"/>
            <w:vAlign w:val="center"/>
          </w:tcPr>
          <w:p w14:paraId="5D6C0554">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是否需要提交</w:t>
            </w:r>
          </w:p>
          <w:p w14:paraId="0CFB8696">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报名资料</w:t>
            </w:r>
          </w:p>
        </w:tc>
        <w:tc>
          <w:tcPr>
            <w:tcW w:w="3191" w:type="pct"/>
            <w:vAlign w:val="center"/>
          </w:tcPr>
          <w:p w14:paraId="5F85EEE5">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b/>
                <w:bCs/>
                <w:szCs w:val="21"/>
                <w:highlight w:val="none"/>
                <w:lang w:eastAsia="zh-CN"/>
              </w:rPr>
              <w:t>☑</w:t>
            </w:r>
            <w:r>
              <w:rPr>
                <w:rFonts w:hint="eastAsia" w:ascii="宋体" w:hAnsi="宋体"/>
                <w:b/>
                <w:bCs/>
                <w:szCs w:val="21"/>
                <w:highlight w:val="none"/>
                <w:lang w:val="en-US" w:eastAsia="zh-CN"/>
              </w:rPr>
              <w:t>是</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ascii="宋体" w:hAnsi="宋体"/>
                <w:szCs w:val="21"/>
                <w:highlight w:val="none"/>
              </w:rPr>
              <w:t>否</w:t>
            </w:r>
          </w:p>
          <w:p w14:paraId="31A7A44B">
            <w:pPr>
              <w:widowControl w:val="0"/>
              <w:autoSpaceDE w:val="0"/>
              <w:autoSpaceDN w:val="0"/>
              <w:adjustRightInd w:val="0"/>
              <w:snapToGrid w:val="0"/>
              <w:spacing w:line="240" w:lineRule="auto"/>
              <w:ind w:firstLine="0" w:firstLineChars="0"/>
              <w:jc w:val="left"/>
              <w:rPr>
                <w:rFonts w:hint="eastAsia" w:ascii="宋体" w:hAnsi="宋体" w:eastAsia="宋体"/>
                <w:szCs w:val="21"/>
                <w:highlight w:val="none"/>
                <w:lang w:eastAsia="zh-CN"/>
              </w:rPr>
            </w:pPr>
            <w:r>
              <w:rPr>
                <w:rFonts w:hint="eastAsia" w:ascii="宋体" w:hAnsi="宋体"/>
                <w:szCs w:val="21"/>
                <w:highlight w:val="none"/>
                <w:lang w:val="en-US" w:eastAsia="zh-CN"/>
              </w:rPr>
              <w:t>请投标人于</w:t>
            </w:r>
            <w:r>
              <w:rPr>
                <w:rFonts w:hint="eastAsia" w:ascii="宋体" w:hAnsi="宋体"/>
                <w:b/>
                <w:bCs/>
                <w:szCs w:val="21"/>
                <w:highlight w:val="yellow"/>
                <w:lang w:val="en-US" w:eastAsia="zh-CN"/>
              </w:rPr>
              <w:t>2026年7月19日（星期 ）18：00前</w:t>
            </w:r>
            <w:r>
              <w:rPr>
                <w:rFonts w:hint="eastAsia" w:ascii="宋体" w:hAnsi="宋体"/>
                <w:szCs w:val="21"/>
                <w:highlight w:val="none"/>
                <w:lang w:val="en-US" w:eastAsia="zh-CN"/>
              </w:rPr>
              <w:t>发送报名资料至招标人邮箱，邮箱地址为</w:t>
            </w:r>
            <w:r>
              <w:rPr>
                <w:rStyle w:val="57"/>
                <w:rFonts w:hint="eastAsia" w:ascii="宋体" w:hAnsi="宋体"/>
                <w:szCs w:val="21"/>
                <w:highlight w:val="none"/>
              </w:rPr>
              <w:t>yangxiaojun@ssi.sihc.com.cn</w:t>
            </w:r>
            <w:r>
              <w:rPr>
                <w:rFonts w:hint="eastAsia" w:ascii="宋体" w:hAnsi="宋体"/>
                <w:szCs w:val="21"/>
                <w:highlight w:val="none"/>
                <w:lang w:eastAsia="zh-CN"/>
              </w:rPr>
              <w:t>，</w:t>
            </w:r>
            <w:r>
              <w:rPr>
                <w:rFonts w:hint="eastAsia" w:ascii="宋体" w:hAnsi="宋体"/>
                <w:b/>
                <w:bCs/>
                <w:szCs w:val="21"/>
                <w:highlight w:val="none"/>
                <w:lang w:val="en-US" w:eastAsia="zh-CN"/>
              </w:rPr>
              <w:t>邮件名称格式：投标项目全称+项目编号+公司全称</w:t>
            </w:r>
            <w:r>
              <w:rPr>
                <w:rFonts w:hint="eastAsia" w:ascii="宋体" w:hAnsi="宋体"/>
                <w:szCs w:val="21"/>
                <w:highlight w:val="none"/>
                <w:lang w:eastAsia="zh-CN"/>
              </w:rPr>
              <w:t>。</w:t>
            </w:r>
          </w:p>
          <w:p w14:paraId="6E5A51D7">
            <w:pPr>
              <w:widowControl w:val="0"/>
              <w:autoSpaceDE w:val="0"/>
              <w:autoSpaceDN w:val="0"/>
              <w:adjustRightInd w:val="0"/>
              <w:snapToGrid w:val="0"/>
              <w:spacing w:line="240" w:lineRule="auto"/>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报名资料包括以下文件：</w:t>
            </w:r>
          </w:p>
          <w:p w14:paraId="0E5C2D55">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hint="eastAsia" w:ascii="宋体" w:hAnsi="宋体" w:eastAsia="宋体" w:cs="Times New Roman"/>
                <w:kern w:val="2"/>
                <w:sz w:val="21"/>
                <w:szCs w:val="21"/>
                <w:lang w:val="en-US" w:eastAsia="zh-CN" w:bidi="ar-SA"/>
              </w:rPr>
              <w:t>1.</w:t>
            </w:r>
            <w:r>
              <w:rPr>
                <w:rFonts w:hint="eastAsia" w:ascii="宋体" w:hAnsi="宋体"/>
                <w:szCs w:val="21"/>
                <w:highlight w:val="none"/>
                <w:lang w:val="en-US" w:eastAsia="zh-CN"/>
              </w:rPr>
              <w:t>营业执照扫描件；</w:t>
            </w:r>
          </w:p>
          <w:p w14:paraId="35892453">
            <w:pPr>
              <w:widowControl w:val="0"/>
              <w:autoSpaceDE w:val="0"/>
              <w:autoSpaceDN w:val="0"/>
              <w:adjustRightInd w:val="0"/>
              <w:snapToGrid w:val="0"/>
              <w:spacing w:line="240" w:lineRule="auto"/>
              <w:ind w:left="0" w:firstLine="0" w:firstLineChars="0"/>
              <w:jc w:val="left"/>
              <w:rPr>
                <w:rFonts w:ascii="宋体" w:hAnsi="宋体"/>
                <w:szCs w:val="21"/>
                <w:highlight w:val="none"/>
                <w:lang w:val="en-US" w:eastAsia="zh-CN"/>
              </w:rPr>
            </w:pPr>
            <w:r>
              <w:rPr>
                <w:rFonts w:ascii="宋体" w:hAnsi="宋体" w:eastAsia="宋体" w:cs="Times New Roman"/>
                <w:kern w:val="2"/>
                <w:sz w:val="21"/>
                <w:szCs w:val="21"/>
                <w:lang w:val="en-US" w:eastAsia="zh-CN" w:bidi="ar-SA"/>
              </w:rPr>
              <w:t>2.</w:t>
            </w:r>
            <w:r>
              <w:rPr>
                <w:rFonts w:hint="eastAsia" w:ascii="宋体" w:hAnsi="宋体"/>
                <w:szCs w:val="21"/>
                <w:highlight w:val="none"/>
                <w:lang w:val="en-US" w:eastAsia="zh-CN"/>
              </w:rPr>
              <w:t>法定代表人资格证明书；</w:t>
            </w:r>
          </w:p>
          <w:p w14:paraId="1B4F4403">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ascii="宋体" w:hAnsi="宋体" w:eastAsia="宋体" w:cs="Times New Roman"/>
                <w:kern w:val="2"/>
                <w:sz w:val="21"/>
                <w:szCs w:val="21"/>
                <w:lang w:val="en-US" w:eastAsia="zh-CN" w:bidi="ar-SA"/>
              </w:rPr>
              <w:t>3.</w:t>
            </w:r>
            <w:r>
              <w:rPr>
                <w:rFonts w:hint="eastAsia" w:ascii="宋体" w:hAnsi="宋体"/>
                <w:szCs w:val="21"/>
                <w:highlight w:val="none"/>
                <w:lang w:val="en-US" w:eastAsia="zh-CN"/>
              </w:rPr>
              <w:t>法定代表人授权委托书；</w:t>
            </w:r>
          </w:p>
          <w:p w14:paraId="5D1FA8D2">
            <w:pPr>
              <w:widowControl w:val="0"/>
              <w:autoSpaceDE w:val="0"/>
              <w:autoSpaceDN w:val="0"/>
              <w:adjustRightInd w:val="0"/>
              <w:snapToGrid w:val="0"/>
              <w:spacing w:line="240" w:lineRule="auto"/>
              <w:ind w:left="0"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4.项目联系人及联系方式（含联系电话及邮箱）。</w:t>
            </w:r>
          </w:p>
          <w:p w14:paraId="42F71BDC">
            <w:pPr>
              <w:pStyle w:val="2"/>
              <w:ind w:left="0" w:leftChars="0" w:firstLine="0" w:firstLineChars="0"/>
              <w:rPr>
                <w:rFonts w:hint="eastAsia"/>
                <w:lang w:val="en-US" w:eastAsia="zh-CN"/>
              </w:rPr>
            </w:pPr>
            <w:r>
              <w:rPr>
                <w:rFonts w:hint="eastAsia" w:ascii="宋体" w:hAnsi="宋体"/>
                <w:b/>
                <w:bCs/>
                <w:szCs w:val="21"/>
                <w:highlight w:val="none"/>
                <w:lang w:val="en-US" w:eastAsia="zh-CN"/>
              </w:rPr>
              <w:t>（以上文件均需要加盖企业公章。）</w:t>
            </w:r>
          </w:p>
          <w:p w14:paraId="4E5DA9D8">
            <w:pPr>
              <w:widowControl w:val="0"/>
              <w:autoSpaceDE w:val="0"/>
              <w:autoSpaceDN w:val="0"/>
              <w:adjustRightInd w:val="0"/>
              <w:snapToGrid w:val="0"/>
              <w:spacing w:line="240" w:lineRule="auto"/>
              <w:ind w:firstLine="0" w:firstLineChars="0"/>
              <w:rPr>
                <w:rFonts w:ascii="宋体" w:hAnsi="宋体"/>
                <w:kern w:val="0"/>
                <w:szCs w:val="21"/>
                <w:highlight w:val="none"/>
                <w:u w:val="single"/>
                <w:shd w:val="clear" w:color="auto" w:fill="FFFFFF"/>
              </w:rPr>
            </w:pPr>
            <w:r>
              <w:rPr>
                <w:rFonts w:hint="eastAsia" w:ascii="宋体" w:hAnsi="宋体"/>
                <w:b/>
                <w:bCs/>
                <w:kern w:val="0"/>
                <w:szCs w:val="21"/>
                <w:highlight w:val="none"/>
                <w:u w:val="single"/>
                <w:shd w:val="clear" w:color="auto" w:fill="FFFFFF"/>
                <w:lang w:val="en-US" w:eastAsia="zh-CN"/>
              </w:rPr>
              <w:t>意向投标人未在规定时间内发送邮件报名，投标文件将不予以受理。邮件发送成功视为报名成功。</w:t>
            </w:r>
          </w:p>
        </w:tc>
      </w:tr>
      <w:tr w14:paraId="0F48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53C3E4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A3A18D1">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2F61BD2C">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3191" w:type="pct"/>
            <w:vAlign w:val="center"/>
          </w:tcPr>
          <w:p w14:paraId="776FAD7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4B29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80" w:type="pct"/>
            <w:vAlign w:val="center"/>
          </w:tcPr>
          <w:p w14:paraId="011EE0F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FF4D786">
            <w:pPr>
              <w:widowControl w:val="0"/>
              <w:autoSpaceDE w:val="0"/>
              <w:autoSpaceDN w:val="0"/>
              <w:adjustRightInd w:val="0"/>
              <w:snapToGrid w:val="0"/>
              <w:spacing w:line="240" w:lineRule="auto"/>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3191" w:type="pct"/>
            <w:vAlign w:val="center"/>
          </w:tcPr>
          <w:p w14:paraId="1EF97EE8">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22A1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1AFEFC1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4BD1400">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3191" w:type="pct"/>
            <w:vAlign w:val="center"/>
          </w:tcPr>
          <w:p w14:paraId="181FB9B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6AD9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4654857C"/>
        </w:tc>
        <w:tc>
          <w:tcPr>
            <w:tcW w:w="1227" w:type="pct"/>
            <w:vAlign w:val="center"/>
          </w:tcPr>
          <w:p w14:paraId="57BC713F">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开标时间</w:t>
            </w:r>
          </w:p>
        </w:tc>
        <w:tc>
          <w:tcPr>
            <w:tcW w:w="3191" w:type="pct"/>
            <w:vAlign w:val="center"/>
          </w:tcPr>
          <w:p w14:paraId="4F705E6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3F04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34D1AFB1"/>
        </w:tc>
        <w:tc>
          <w:tcPr>
            <w:tcW w:w="1227" w:type="pct"/>
            <w:vAlign w:val="center"/>
          </w:tcPr>
          <w:p w14:paraId="4E9A2B1C">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投标文件</w:t>
            </w:r>
          </w:p>
          <w:p w14:paraId="4E859EAD">
            <w:pPr>
              <w:widowControl w:val="0"/>
              <w:autoSpaceDE w:val="0"/>
              <w:autoSpaceDN w:val="0"/>
              <w:adjustRightInd w:val="0"/>
              <w:snapToGrid w:val="0"/>
              <w:ind w:firstLine="0" w:firstLineChars="0"/>
              <w:jc w:val="center"/>
              <w:rPr>
                <w:rFonts w:ascii="宋体" w:hAnsi="宋体"/>
                <w:highlight w:val="none"/>
                <w:shd w:val="clear" w:color="auto" w:fill="FFFFFF"/>
              </w:rPr>
            </w:pPr>
            <w:r>
              <w:rPr>
                <w:rFonts w:hint="eastAsia" w:ascii="宋体" w:hAnsi="宋体"/>
                <w:highlight w:val="none"/>
              </w:rPr>
              <w:t>递交地点</w:t>
            </w:r>
          </w:p>
        </w:tc>
        <w:tc>
          <w:tcPr>
            <w:tcW w:w="3191" w:type="pct"/>
            <w:vAlign w:val="center"/>
          </w:tcPr>
          <w:p w14:paraId="2C2D62BB">
            <w:pPr>
              <w:widowControl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szCs w:val="21"/>
                <w:highlight w:val="none"/>
              </w:rPr>
              <w:t>☑纸质投标文件递交地点：</w:t>
            </w:r>
            <w:r>
              <w:rPr>
                <w:rFonts w:hint="eastAsia" w:ascii="宋体" w:hAnsi="宋体"/>
                <w:szCs w:val="21"/>
                <w:highlight w:val="none"/>
                <w:lang w:val="en-US" w:eastAsia="zh-CN"/>
              </w:rPr>
              <w:t>深圳市深圳体育中心体育场S12对面赛事公司</w:t>
            </w:r>
            <w:r>
              <w:rPr>
                <w:rFonts w:hint="eastAsia" w:ascii="宋体" w:hAnsi="宋体"/>
                <w:kern w:val="0"/>
                <w:szCs w:val="21"/>
                <w:u w:val="single"/>
                <w:lang w:val="en-US" w:eastAsia="zh-CN"/>
              </w:rPr>
              <w:t>（收）</w:t>
            </w:r>
          </w:p>
        </w:tc>
      </w:tr>
      <w:tr w14:paraId="1E6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04E7FFD4"/>
        </w:tc>
        <w:tc>
          <w:tcPr>
            <w:tcW w:w="1227" w:type="pct"/>
            <w:vAlign w:val="center"/>
          </w:tcPr>
          <w:p w14:paraId="53AB4B7A">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开标地点</w:t>
            </w:r>
          </w:p>
        </w:tc>
        <w:tc>
          <w:tcPr>
            <w:tcW w:w="3191" w:type="pct"/>
            <w:vAlign w:val="center"/>
          </w:tcPr>
          <w:p w14:paraId="240BC400">
            <w:pPr>
              <w:widowControl w:val="0"/>
              <w:autoSpaceDE w:val="0"/>
              <w:autoSpaceDN w:val="0"/>
              <w:adjustRightInd w:val="0"/>
              <w:snapToGrid w:val="0"/>
              <w:ind w:firstLine="0" w:firstLineChars="0"/>
              <w:rPr>
                <w:rFonts w:ascii="Segoe UI Symbol" w:hAnsi="Segoe UI Symbol" w:eastAsia="宋体" w:cs="Segoe UI Symbol"/>
                <w:kern w:val="0"/>
                <w:szCs w:val="21"/>
                <w:highlight w:val="none"/>
                <w:lang w:val="en-US" w:eastAsia="zh-CN"/>
              </w:rPr>
            </w:pPr>
            <w:r>
              <w:rPr>
                <w:rFonts w:hint="eastAsia" w:ascii="宋体" w:hAnsi="宋体"/>
                <w:szCs w:val="21"/>
                <w:highlight w:val="none"/>
              </w:rPr>
              <w:t>☑</w:t>
            </w:r>
            <w:r>
              <w:rPr>
                <w:rFonts w:hint="eastAsia" w:ascii="宋体" w:hAnsi="宋体"/>
                <w:kern w:val="0"/>
                <w:szCs w:val="21"/>
                <w:highlight w:val="none"/>
              </w:rPr>
              <w:t>进行现场开标，地址：</w:t>
            </w:r>
            <w:r>
              <w:rPr>
                <w:rFonts w:hint="eastAsia" w:ascii="宋体" w:hAnsi="宋体"/>
                <w:kern w:val="0"/>
                <w:szCs w:val="21"/>
                <w:highlight w:val="none"/>
                <w:u w:val="single"/>
                <w:lang w:val="en-US" w:eastAsia="zh-CN"/>
              </w:rPr>
              <w:t>招标人指定地点</w:t>
            </w:r>
          </w:p>
        </w:tc>
      </w:tr>
      <w:tr w14:paraId="1204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1D8F4A3A"/>
        </w:tc>
        <w:tc>
          <w:tcPr>
            <w:tcW w:w="1227" w:type="pct"/>
            <w:vAlign w:val="center"/>
          </w:tcPr>
          <w:p w14:paraId="5D3E4FEE">
            <w:pPr>
              <w:widowControl w:val="0"/>
              <w:autoSpaceDE w:val="0"/>
              <w:autoSpaceDN w:val="0"/>
              <w:adjustRightInd w:val="0"/>
              <w:snapToGrid w:val="0"/>
              <w:ind w:firstLine="0" w:firstLineChars="0"/>
              <w:jc w:val="center"/>
              <w:rPr>
                <w:rFonts w:ascii="宋体" w:hAnsi="宋体"/>
                <w:highlight w:val="none"/>
              </w:rPr>
            </w:pPr>
            <w:r>
              <w:rPr>
                <w:rFonts w:hint="eastAsia" w:ascii="宋体" w:hAnsi="宋体"/>
                <w:szCs w:val="21"/>
                <w:highlight w:val="none"/>
              </w:rPr>
              <w:t>投标人是否需要参加开标</w:t>
            </w:r>
          </w:p>
        </w:tc>
        <w:tc>
          <w:tcPr>
            <w:tcW w:w="3191" w:type="pct"/>
            <w:vAlign w:val="center"/>
          </w:tcPr>
          <w:p w14:paraId="53657B61">
            <w:pPr>
              <w:ind w:firstLine="0" w:firstLineChars="0"/>
              <w:rPr>
                <w:rFonts w:ascii="宋体" w:hAnsi="宋体"/>
                <w:color w:val="000000"/>
                <w:kern w:val="0"/>
                <w:szCs w:val="21"/>
                <w:highlight w:val="none"/>
              </w:rPr>
            </w:pPr>
            <w:r>
              <w:rPr>
                <w:rFonts w:hint="eastAsia" w:ascii="宋体" w:hAnsi="宋体"/>
                <w:color w:val="000000"/>
                <w:szCs w:val="21"/>
                <w:highlight w:val="none"/>
              </w:rPr>
              <w:sym w:font="Wingdings 2" w:char="00A3"/>
            </w:r>
            <w:r>
              <w:rPr>
                <w:rFonts w:hint="eastAsia" w:ascii="宋体" w:hAnsi="宋体"/>
                <w:color w:val="000000"/>
                <w:kern w:val="0"/>
                <w:szCs w:val="21"/>
                <w:highlight w:val="none"/>
              </w:rPr>
              <w:t>是，投标人需派授权代表参加开标会议简要</w:t>
            </w:r>
            <w:r>
              <w:rPr>
                <w:rFonts w:ascii="宋体" w:hAnsi="宋体"/>
                <w:color w:val="000000"/>
                <w:kern w:val="0"/>
                <w:szCs w:val="21"/>
                <w:highlight w:val="none"/>
              </w:rPr>
              <w:t>述标</w:t>
            </w:r>
            <w:r>
              <w:rPr>
                <w:rFonts w:hint="eastAsia" w:ascii="宋体" w:hAnsi="宋体"/>
                <w:color w:val="000000"/>
                <w:kern w:val="0"/>
                <w:szCs w:val="21"/>
                <w:highlight w:val="none"/>
              </w:rPr>
              <w:t>，并签字确认。</w:t>
            </w:r>
          </w:p>
          <w:p w14:paraId="63756ED1">
            <w:pPr>
              <w:widowControl w:val="0"/>
              <w:autoSpaceDE w:val="0"/>
              <w:autoSpaceDN w:val="0"/>
              <w:adjustRightInd w:val="0"/>
              <w:snapToGrid w:val="0"/>
              <w:ind w:firstLine="0" w:firstLineChars="0"/>
              <w:rPr>
                <w:rFonts w:ascii="宋体" w:hAnsi="宋体"/>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投标人自愿参加开标会议；未参加开标会议的，视为其认可招标程序。</w:t>
            </w:r>
          </w:p>
        </w:tc>
      </w:tr>
      <w:tr w14:paraId="0A46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5E71486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Merge w:val="restart"/>
            <w:vAlign w:val="center"/>
          </w:tcPr>
          <w:p w14:paraId="009BEE0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b/>
                <w:bCs/>
                <w:szCs w:val="21"/>
                <w:highlight w:val="none"/>
              </w:rPr>
              <w:t>★</w:t>
            </w:r>
            <w:r>
              <w:rPr>
                <w:rFonts w:hint="eastAsia" w:ascii="宋体" w:hAnsi="宋体"/>
                <w:kern w:val="0"/>
                <w:szCs w:val="21"/>
                <w:highlight w:val="none"/>
              </w:rPr>
              <w:t>最高限价</w:t>
            </w:r>
          </w:p>
          <w:p w14:paraId="3434160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3191" w:type="pct"/>
            <w:tcBorders>
              <w:bottom w:val="single" w:color="auto" w:sz="2" w:space="0"/>
            </w:tcBorders>
            <w:vAlign w:val="center"/>
          </w:tcPr>
          <w:p w14:paraId="533FB6BA">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设置最高限价：</w:t>
            </w:r>
          </w:p>
          <w:p w14:paraId="2BD99C23">
            <w:pPr>
              <w:widowControl w:val="0"/>
              <w:autoSpaceDE w:val="0"/>
              <w:autoSpaceDN w:val="0"/>
              <w:adjustRightInd w:val="0"/>
              <w:snapToGrid w:val="0"/>
              <w:ind w:firstLine="0" w:firstLineChars="0"/>
              <w:rPr>
                <w:rFonts w:ascii="宋体" w:hAnsi="宋体" w:eastAsia="宋体" w:cs="Segoe UI Symbol"/>
                <w:color w:val="FF0000"/>
                <w:kern w:val="0"/>
                <w:szCs w:val="21"/>
                <w:highlight w:val="none"/>
                <w:lang w:val="en-US" w:eastAsia="zh-CN"/>
              </w:rPr>
            </w:pPr>
            <w:r>
              <w:rPr>
                <w:rFonts w:hint="eastAsia" w:ascii="宋体" w:hAnsi="宋体"/>
                <w:szCs w:val="21"/>
                <w:highlight w:val="none"/>
              </w:rPr>
              <w:t>☑</w:t>
            </w:r>
            <w:r>
              <w:rPr>
                <w:rFonts w:hint="eastAsia" w:ascii="宋体" w:hAnsi="宋体" w:cs="Segoe UI Symbol"/>
                <w:kern w:val="0"/>
                <w:szCs w:val="21"/>
                <w:highlight w:val="none"/>
              </w:rPr>
              <w:t>最高限价（总价）：</w:t>
            </w:r>
            <w:r>
              <w:rPr>
                <w:rFonts w:hint="eastAsia" w:ascii="宋体" w:hAnsi="宋体" w:cs="Segoe UI Symbol"/>
                <w:color w:val="000000"/>
                <w:kern w:val="0"/>
                <w:szCs w:val="21"/>
                <w:highlight w:val="none"/>
              </w:rPr>
              <w:t>人民币</w:t>
            </w:r>
            <w:r>
              <w:rPr>
                <w:rFonts w:hint="eastAsia" w:ascii="宋体" w:hAnsi="宋体" w:cs="Segoe UI Symbol"/>
                <w:color w:val="000000"/>
                <w:kern w:val="0"/>
                <w:szCs w:val="21"/>
                <w:highlight w:val="none"/>
                <w:lang w:val="en-US" w:eastAsia="zh-CN"/>
              </w:rPr>
              <w:t>595,000.00</w:t>
            </w:r>
            <w:r>
              <w:rPr>
                <w:rFonts w:hint="eastAsia" w:ascii="宋体" w:hAnsi="宋体" w:cs="Segoe UI Symbol"/>
                <w:color w:val="000000"/>
                <w:kern w:val="0"/>
                <w:szCs w:val="21"/>
                <w:highlight w:val="none"/>
              </w:rPr>
              <w:t>元</w:t>
            </w:r>
          </w:p>
          <w:p w14:paraId="6B7D1DEE">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□最高限价说明或其计算方法：</w:t>
            </w:r>
            <w:r>
              <w:rPr>
                <w:rFonts w:ascii="宋体" w:hAnsi="宋体" w:cs="Segoe UI Symbol"/>
                <w:kern w:val="0"/>
                <w:szCs w:val="21"/>
                <w:highlight w:val="none"/>
                <w:u w:val="single"/>
              </w:rPr>
              <w:t xml:space="preserve">                     </w:t>
            </w:r>
          </w:p>
        </w:tc>
      </w:tr>
      <w:tr w14:paraId="4474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0" w:type="pct"/>
            <w:vMerge w:val="continue"/>
            <w:vAlign w:val="center"/>
          </w:tcPr>
          <w:p w14:paraId="3D257729"/>
        </w:tc>
        <w:tc>
          <w:tcPr>
            <w:tcW w:w="1227" w:type="pct"/>
            <w:vMerge w:val="continue"/>
            <w:vAlign w:val="center"/>
          </w:tcPr>
          <w:p w14:paraId="0AED80FE"/>
        </w:tc>
        <w:tc>
          <w:tcPr>
            <w:tcW w:w="3191" w:type="pct"/>
            <w:tcBorders>
              <w:top w:val="single" w:color="auto" w:sz="2" w:space="0"/>
            </w:tcBorders>
            <w:vAlign w:val="center"/>
          </w:tcPr>
          <w:p w14:paraId="253CC92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1C7B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79290B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73CD2FD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3191" w:type="pct"/>
            <w:vAlign w:val="center"/>
          </w:tcPr>
          <w:p w14:paraId="42A3D8D9">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120   </w:t>
            </w:r>
            <w:r>
              <w:rPr>
                <w:rFonts w:hint="eastAsia" w:ascii="宋体" w:hAnsi="宋体"/>
                <w:szCs w:val="21"/>
                <w:highlight w:val="none"/>
                <w:shd w:val="clear" w:color="auto" w:fill="FFFFFF"/>
              </w:rPr>
              <w:t>个日历日（自投标截止之日起算）</w:t>
            </w:r>
          </w:p>
        </w:tc>
      </w:tr>
      <w:tr w14:paraId="309D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0E89EC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3737E4A1">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3191" w:type="pct"/>
            <w:vAlign w:val="center"/>
          </w:tcPr>
          <w:p w14:paraId="3B22123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rPr>
              <w:sym w:font="Wingdings 2" w:char="0052"/>
            </w:r>
            <w:r>
              <w:rPr>
                <w:rFonts w:hint="eastAsia" w:ascii="宋体" w:hAnsi="宋体" w:cs="Segoe UI Symbol"/>
                <w:kern w:val="0"/>
                <w:szCs w:val="21"/>
                <w:highlight w:val="none"/>
              </w:rPr>
              <w:t>综合评估法</w:t>
            </w:r>
          </w:p>
          <w:p w14:paraId="6B128DBD">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szCs w:val="21"/>
                <w:highlight w:val="none"/>
              </w:rPr>
              <w:t>经评审的最低投标价法</w:t>
            </w:r>
          </w:p>
          <w:p w14:paraId="5EA9F408">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□定性评审法</w:t>
            </w:r>
          </w:p>
          <w:p w14:paraId="22A7BF5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u w:val="single"/>
              </w:rPr>
              <w:t xml:space="preserve">                     </w:t>
            </w:r>
          </w:p>
        </w:tc>
      </w:tr>
      <w:tr w14:paraId="21BE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restart"/>
            <w:vAlign w:val="center"/>
          </w:tcPr>
          <w:p w14:paraId="7D55B18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2B6376B9">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推荐中标</w:t>
            </w:r>
          </w:p>
          <w:p w14:paraId="132D0DD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highlight w:val="none"/>
              </w:rPr>
              <w:t>候选人数量</w:t>
            </w:r>
          </w:p>
        </w:tc>
        <w:tc>
          <w:tcPr>
            <w:tcW w:w="3191" w:type="pct"/>
            <w:tcBorders>
              <w:bottom w:val="single" w:color="auto" w:sz="2" w:space="0"/>
            </w:tcBorders>
            <w:vAlign w:val="center"/>
          </w:tcPr>
          <w:p w14:paraId="500EA58C">
            <w:pPr>
              <w:widowControl w:val="0"/>
              <w:autoSpaceDE w:val="0"/>
              <w:autoSpaceDN w:val="0"/>
              <w:adjustRightInd w:val="0"/>
              <w:snapToGrid w:val="0"/>
              <w:ind w:firstLine="0" w:firstLineChars="0"/>
              <w:rPr>
                <w:rFonts w:ascii="宋体" w:hAnsi="宋体" w:cs="宋体"/>
                <w:szCs w:val="21"/>
                <w:highlight w:val="none"/>
              </w:rPr>
            </w:pPr>
            <w:r>
              <w:rPr>
                <w:rFonts w:hint="eastAsia" w:ascii="宋体" w:hAnsi="宋体"/>
                <w:szCs w:val="21"/>
                <w:highlight w:val="none"/>
              </w:rPr>
              <w:t>☑</w:t>
            </w:r>
            <w:r>
              <w:rPr>
                <w:rFonts w:hint="eastAsia" w:ascii="宋体" w:hAnsi="宋体" w:cs="Segoe UI Symbol"/>
                <w:kern w:val="0"/>
                <w:szCs w:val="21"/>
                <w:highlight w:val="none"/>
              </w:rPr>
              <w:t>评标委员会</w:t>
            </w:r>
            <w:r>
              <w:rPr>
                <w:rFonts w:ascii="宋体" w:hAnsi="宋体" w:cs="Segoe UI Symbol"/>
                <w:kern w:val="0"/>
                <w:szCs w:val="21"/>
                <w:highlight w:val="none"/>
              </w:rPr>
              <w:t>推荐的中标候选人数</w:t>
            </w:r>
            <w:r>
              <w:rPr>
                <w:rFonts w:hint="eastAsia" w:ascii="宋体" w:hAnsi="宋体" w:cs="Segoe UI Symbol"/>
                <w:kern w:val="0"/>
                <w:szCs w:val="21"/>
                <w:highlight w:val="none"/>
              </w:rPr>
              <w:t>：</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3</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个。</w:t>
            </w:r>
          </w:p>
          <w:p w14:paraId="3C0A6C5D">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cs="宋体"/>
                <w:szCs w:val="21"/>
                <w:highlight w:val="none"/>
              </w:rPr>
              <w:t>适用于采用</w:t>
            </w:r>
            <w:r>
              <w:rPr>
                <w:rFonts w:hint="eastAsia" w:ascii="宋体" w:hAnsi="宋体" w:cs="宋体"/>
                <w:b/>
                <w:bCs/>
                <w:szCs w:val="21"/>
                <w:highlight w:val="none"/>
              </w:rPr>
              <w:t>综合评估法</w:t>
            </w:r>
            <w:r>
              <w:rPr>
                <w:rFonts w:hint="eastAsia" w:ascii="宋体" w:hAnsi="宋体" w:cs="宋体"/>
                <w:szCs w:val="21"/>
                <w:highlight w:val="none"/>
              </w:rPr>
              <w:t>、</w:t>
            </w:r>
            <w:r>
              <w:rPr>
                <w:rFonts w:hint="eastAsia" w:ascii="宋体" w:hAnsi="宋体" w:cs="宋体"/>
                <w:b/>
                <w:bCs/>
                <w:szCs w:val="21"/>
                <w:highlight w:val="none"/>
              </w:rPr>
              <w:t>经评审的最低投标价法）</w:t>
            </w:r>
          </w:p>
        </w:tc>
      </w:tr>
      <w:tr w14:paraId="5628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Merge w:val="continue"/>
            <w:vAlign w:val="center"/>
          </w:tcPr>
          <w:p w14:paraId="2AAB937A"/>
        </w:tc>
        <w:tc>
          <w:tcPr>
            <w:tcW w:w="1227" w:type="pct"/>
            <w:vAlign w:val="center"/>
          </w:tcPr>
          <w:p w14:paraId="4E923AE4">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中标人数量</w:t>
            </w:r>
          </w:p>
        </w:tc>
        <w:tc>
          <w:tcPr>
            <w:tcW w:w="3191" w:type="pct"/>
            <w:tcBorders>
              <w:top w:val="single" w:color="auto" w:sz="2" w:space="0"/>
            </w:tcBorders>
            <w:vAlign w:val="center"/>
          </w:tcPr>
          <w:p w14:paraId="2FE01B90">
            <w:pPr>
              <w:widowControl w:val="0"/>
              <w:autoSpaceDE w:val="0"/>
              <w:autoSpaceDN w:val="0"/>
              <w:adjustRightInd w:val="0"/>
              <w:snapToGrid w:val="0"/>
              <w:ind w:firstLine="0" w:firstLineChars="0"/>
              <w:rPr>
                <w:rFonts w:ascii="宋体" w:hAnsi="宋体"/>
                <w:szCs w:val="21"/>
                <w:highlight w:val="none"/>
              </w:rPr>
            </w:pPr>
            <w:r>
              <w:rPr>
                <w:rFonts w:hint="eastAsia" w:ascii="宋体" w:hAnsi="宋体" w:cs="Segoe UI Symbol"/>
                <w:kern w:val="0"/>
                <w:szCs w:val="21"/>
                <w:highlight w:val="none"/>
                <w:u w:val="single"/>
              </w:rPr>
              <w:t xml:space="preserve">1 </w:t>
            </w:r>
            <w:r>
              <w:rPr>
                <w:rFonts w:hint="eastAsia" w:ascii="宋体" w:hAnsi="宋体" w:cs="Segoe UI Symbol"/>
                <w:kern w:val="0"/>
                <w:szCs w:val="21"/>
                <w:highlight w:val="none"/>
              </w:rPr>
              <w:t>个</w:t>
            </w:r>
          </w:p>
        </w:tc>
      </w:tr>
      <w:tr w14:paraId="108A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906E156">
            <w:pPr>
              <w:widowControl w:val="0"/>
              <w:numPr>
                <w:ilvl w:val="0"/>
                <w:numId w:val="1"/>
              </w:numPr>
              <w:autoSpaceDE w:val="0"/>
              <w:autoSpaceDN w:val="0"/>
              <w:adjustRightInd w:val="0"/>
              <w:snapToGrid w:val="0"/>
              <w:ind w:firstLineChars="0"/>
              <w:jc w:val="center"/>
              <w:rPr>
                <w:rFonts w:ascii="宋体" w:hAnsi="宋体"/>
                <w:szCs w:val="21"/>
                <w:highlight w:val="none"/>
              </w:rPr>
            </w:pPr>
          </w:p>
        </w:tc>
        <w:tc>
          <w:tcPr>
            <w:tcW w:w="1227" w:type="pct"/>
            <w:vAlign w:val="center"/>
          </w:tcPr>
          <w:p w14:paraId="32646E2B">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定标</w:t>
            </w:r>
            <w:r>
              <w:rPr>
                <w:rFonts w:hint="eastAsia" w:ascii="宋体" w:hAnsi="宋体" w:cs="宋体"/>
                <w:szCs w:val="21"/>
                <w:highlight w:val="none"/>
              </w:rPr>
              <w:t>方式</w:t>
            </w:r>
          </w:p>
        </w:tc>
        <w:tc>
          <w:tcPr>
            <w:tcW w:w="3191" w:type="pct"/>
            <w:tcBorders>
              <w:top w:val="single" w:color="auto" w:sz="2" w:space="0"/>
            </w:tcBorders>
            <w:vAlign w:val="center"/>
          </w:tcPr>
          <w:p w14:paraId="659D7116">
            <w:pPr>
              <w:widowControl w:val="0"/>
              <w:autoSpaceDE w:val="0"/>
              <w:autoSpaceDN w:val="0"/>
              <w:adjustRightInd w:val="0"/>
              <w:snapToGrid w:val="0"/>
              <w:ind w:firstLine="0" w:firstLineChars="0"/>
              <w:rPr>
                <w:rFonts w:ascii="宋体" w:hAnsi="宋体"/>
                <w:kern w:val="0"/>
                <w:highlight w:val="none"/>
              </w:rPr>
            </w:pPr>
            <w:r>
              <w:rPr>
                <w:rFonts w:hint="eastAsia" w:ascii="宋体" w:hAnsi="宋体"/>
                <w:szCs w:val="21"/>
                <w:highlight w:val="none"/>
              </w:rPr>
              <w:t>☑</w:t>
            </w:r>
            <w:r>
              <w:rPr>
                <w:rFonts w:hint="eastAsia" w:ascii="宋体" w:hAnsi="宋体" w:cs="Courier New"/>
                <w:kern w:val="0"/>
                <w:szCs w:val="21"/>
                <w:highlight w:val="none"/>
              </w:rPr>
              <w:t>由评标委员会直接确定第一中标候选人为</w:t>
            </w:r>
            <w:r>
              <w:rPr>
                <w:rFonts w:hint="eastAsia" w:ascii="宋体" w:hAnsi="宋体"/>
                <w:kern w:val="0"/>
                <w:highlight w:val="none"/>
              </w:rPr>
              <w:t>中标人</w:t>
            </w:r>
          </w:p>
        </w:tc>
      </w:tr>
      <w:tr w14:paraId="781F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1999509">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227" w:type="pct"/>
            <w:vAlign w:val="center"/>
          </w:tcPr>
          <w:p w14:paraId="25B1F5D1">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3191" w:type="pct"/>
            <w:vAlign w:val="center"/>
          </w:tcPr>
          <w:p w14:paraId="4922392E">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47DF2424">
      <w:pPr>
        <w:widowControl w:val="0"/>
        <w:autoSpaceDE w:val="0"/>
        <w:autoSpaceDN w:val="0"/>
        <w:adjustRightInd w:val="0"/>
        <w:snapToGrid w:val="0"/>
        <w:ind w:firstLine="0" w:firstLineChars="0"/>
        <w:jc w:val="left"/>
        <w:rPr>
          <w:rFonts w:ascii="宋体" w:hAnsi="宋体"/>
          <w:highlight w:val="none"/>
        </w:rPr>
      </w:pPr>
    </w:p>
    <w:p w14:paraId="7BE67725">
      <w:pPr>
        <w:rPr>
          <w:highlight w:val="none"/>
        </w:rPr>
      </w:pPr>
      <w:r>
        <w:rPr>
          <w:highlight w:val="none"/>
        </w:rPr>
        <w:br w:type="page"/>
      </w:r>
    </w:p>
    <w:tbl>
      <w:tblPr>
        <w:tblStyle w:val="52"/>
        <w:tblW w:w="4707" w:type="pct"/>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813"/>
        <w:gridCol w:w="1743"/>
        <w:gridCol w:w="5468"/>
      </w:tblGrid>
      <w:tr w14:paraId="3826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000" w:type="pct"/>
            <w:gridSpan w:val="3"/>
            <w:shd w:val="clear" w:color="auto" w:fill="D9E2F3"/>
            <w:vAlign w:val="center"/>
          </w:tcPr>
          <w:p w14:paraId="703F608C">
            <w:pPr>
              <w:widowControl w:val="0"/>
              <w:autoSpaceDE w:val="0"/>
              <w:autoSpaceDN w:val="0"/>
              <w:adjustRightInd w:val="0"/>
              <w:snapToGrid w:val="0"/>
              <w:spacing w:line="240" w:lineRule="auto"/>
              <w:ind w:firstLine="0" w:firstLineChars="0"/>
              <w:jc w:val="center"/>
              <w:rPr>
                <w:rFonts w:ascii="宋体" w:hAnsi="宋体"/>
                <w:sz w:val="32"/>
                <w:szCs w:val="32"/>
                <w:highlight w:val="none"/>
                <w:shd w:val="clear" w:color="auto" w:fill="FFFFFF"/>
              </w:rPr>
            </w:pPr>
            <w:r>
              <w:rPr>
                <w:highlight w:val="none"/>
              </w:rPr>
              <w:br w:type="page"/>
            </w:r>
            <w:r>
              <w:rPr>
                <w:rFonts w:ascii="宋体" w:hAnsi="宋体"/>
                <w:highlight w:val="none"/>
              </w:rPr>
              <w:br w:type="page"/>
            </w:r>
            <w:r>
              <w:rPr>
                <w:rFonts w:hint="eastAsia" w:ascii="宋体" w:hAnsi="宋体"/>
                <w:b/>
                <w:sz w:val="32"/>
                <w:szCs w:val="32"/>
                <w:highlight w:val="none"/>
              </w:rPr>
              <w:t>投标人须知前附表（二）</w:t>
            </w:r>
          </w:p>
        </w:tc>
      </w:tr>
      <w:tr w14:paraId="1DC0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07" w:type="pct"/>
            <w:shd w:val="clear" w:color="auto" w:fill="FFFFFF"/>
            <w:vAlign w:val="center"/>
          </w:tcPr>
          <w:p w14:paraId="5B10A8D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086" w:type="pct"/>
            <w:shd w:val="clear" w:color="auto" w:fill="FFFFFF"/>
            <w:vAlign w:val="center"/>
          </w:tcPr>
          <w:p w14:paraId="45C4A81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406" w:type="pct"/>
            <w:shd w:val="clear" w:color="auto" w:fill="FFFFFF"/>
            <w:vAlign w:val="center"/>
          </w:tcPr>
          <w:p w14:paraId="0410E7B5">
            <w:pPr>
              <w:widowControl w:val="0"/>
              <w:autoSpaceDE w:val="0"/>
              <w:autoSpaceDN w:val="0"/>
              <w:adjustRightInd w:val="0"/>
              <w:snapToGrid w:val="0"/>
              <w:ind w:firstLine="0" w:firstLineChars="0"/>
              <w:jc w:val="center"/>
              <w:rPr>
                <w:rFonts w:ascii="宋体" w:hAnsi="宋体"/>
                <w:b/>
                <w:szCs w:val="21"/>
                <w:highlight w:val="none"/>
                <w:shd w:val="clear" w:color="auto" w:fill="FFFFFF"/>
              </w:rPr>
            </w:pPr>
            <w:r>
              <w:rPr>
                <w:rFonts w:ascii="宋体" w:hAnsi="宋体"/>
                <w:b/>
                <w:szCs w:val="21"/>
                <w:highlight w:val="none"/>
              </w:rPr>
              <w:t>编列内容</w:t>
            </w:r>
          </w:p>
        </w:tc>
      </w:tr>
      <w:tr w14:paraId="7FE6A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507" w:type="pct"/>
            <w:shd w:val="clear" w:color="auto" w:fill="FFFFFF"/>
            <w:vAlign w:val="center"/>
          </w:tcPr>
          <w:p w14:paraId="2C7A650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FC1825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资金来源</w:t>
            </w:r>
          </w:p>
          <w:p w14:paraId="597B56B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和落实情况</w:t>
            </w:r>
          </w:p>
        </w:tc>
        <w:tc>
          <w:tcPr>
            <w:tcW w:w="3406" w:type="pct"/>
            <w:shd w:val="clear" w:color="auto" w:fill="FFFFFF"/>
            <w:vAlign w:val="center"/>
          </w:tcPr>
          <w:p w14:paraId="442D22A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资金来源：</w:t>
            </w:r>
            <w:r>
              <w:rPr>
                <w:rFonts w:hint="eastAsia" w:ascii="宋体" w:hAnsi="宋体" w:cs="宋体"/>
                <w:szCs w:val="21"/>
                <w:highlight w:val="none"/>
              </w:rPr>
              <w:t>企业自筹</w:t>
            </w:r>
          </w:p>
          <w:p w14:paraId="371755A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出资比例：100%</w:t>
            </w:r>
          </w:p>
          <w:p w14:paraId="34804094">
            <w:pPr>
              <w:widowControl w:val="0"/>
              <w:autoSpaceDE w:val="0"/>
              <w:autoSpaceDN w:val="0"/>
              <w:adjustRightInd w:val="0"/>
              <w:snapToGrid w:val="0"/>
              <w:ind w:firstLine="0" w:firstLineChars="0"/>
              <w:rPr>
                <w:rFonts w:ascii="宋体" w:hAnsi="宋体"/>
                <w:szCs w:val="21"/>
                <w:highlight w:val="none"/>
                <w:u w:val="single"/>
              </w:rPr>
            </w:pPr>
            <w:r>
              <w:rPr>
                <w:rFonts w:hint="eastAsia" w:ascii="宋体" w:hAnsi="宋体"/>
                <w:szCs w:val="21"/>
                <w:highlight w:val="none"/>
              </w:rPr>
              <w:t>资金落实情况：☑已落实 □未落实 □其他：</w:t>
            </w:r>
            <w:r>
              <w:rPr>
                <w:rFonts w:hint="eastAsia" w:ascii="宋体" w:hAnsi="宋体"/>
                <w:szCs w:val="21"/>
                <w:highlight w:val="none"/>
                <w:u w:val="single"/>
              </w:rPr>
              <w:t xml:space="preserve">          </w:t>
            </w:r>
          </w:p>
        </w:tc>
      </w:tr>
      <w:tr w14:paraId="20C8E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trPr>
        <w:tc>
          <w:tcPr>
            <w:tcW w:w="507" w:type="pct"/>
            <w:shd w:val="clear" w:color="auto" w:fill="FFFFFF"/>
            <w:vAlign w:val="center"/>
          </w:tcPr>
          <w:p w14:paraId="5B77F29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D8D4C9E">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项目概况</w:t>
            </w:r>
          </w:p>
          <w:p w14:paraId="06E7E4C3">
            <w:pPr>
              <w:widowControl w:val="0"/>
              <w:autoSpaceDE w:val="0"/>
              <w:autoSpaceDN w:val="0"/>
              <w:adjustRightInd w:val="0"/>
              <w:snapToGrid w:val="0"/>
              <w:ind w:firstLine="0" w:firstLineChars="0"/>
              <w:jc w:val="center"/>
              <w:rPr>
                <w:rFonts w:ascii="宋体" w:hAnsi="宋体" w:eastAsia="宋体"/>
                <w:szCs w:val="21"/>
                <w:highlight w:val="none"/>
                <w:lang w:val="en-US" w:eastAsia="zh-CN"/>
              </w:rPr>
            </w:pPr>
            <w:r>
              <w:rPr>
                <w:rFonts w:hint="eastAsia" w:ascii="宋体" w:hAnsi="宋体"/>
                <w:szCs w:val="21"/>
                <w:highlight w:val="none"/>
                <w:lang w:val="en-US" w:eastAsia="zh-CN"/>
              </w:rPr>
              <w:t>及招标范围</w:t>
            </w:r>
          </w:p>
        </w:tc>
        <w:tc>
          <w:tcPr>
            <w:tcW w:w="3406" w:type="pct"/>
            <w:shd w:val="clear" w:color="auto" w:fill="FFFFFF"/>
            <w:vAlign w:val="center"/>
          </w:tcPr>
          <w:p w14:paraId="4A76C188">
            <w:pPr>
              <w:widowControl w:val="0"/>
              <w:autoSpaceDE w:val="0"/>
              <w:autoSpaceDN w:val="0"/>
              <w:adjustRightInd w:val="0"/>
              <w:snapToGrid w:val="0"/>
              <w:ind w:firstLine="0" w:firstLineChars="0"/>
              <w:rPr>
                <w:rFonts w:ascii="宋体" w:hAnsi="宋体"/>
                <w:szCs w:val="21"/>
                <w:highlight w:val="none"/>
              </w:rPr>
            </w:pPr>
            <w:r>
              <w:rPr>
                <w:rFonts w:hint="eastAsia" w:ascii="宋体"/>
                <w:color w:val="auto"/>
                <w:szCs w:val="21"/>
                <w:highlight w:val="none"/>
                <w:lang w:val="en-US" w:eastAsia="zh-CN"/>
              </w:rPr>
              <w:t xml:space="preserve">  </w:t>
            </w:r>
            <w:r>
              <w:rPr>
                <w:rFonts w:hint="eastAsia" w:ascii="宋体" w:hAnsi="Times New Roman" w:eastAsia="宋体" w:cs="Times New Roman"/>
                <w:color w:val="auto"/>
                <w:sz w:val="21"/>
                <w:szCs w:val="21"/>
                <w:highlight w:val="none"/>
                <w:shd w:val="clear" w:color="auto" w:fill="auto"/>
                <w:lang w:val="en-US" w:eastAsia="zh-CN"/>
              </w:rPr>
              <w:t>本次招标项目为2026中国羽毛球大师赛赛事城市宣推服务（详细范围详见第四章项目需求）</w:t>
            </w:r>
            <w:r>
              <w:rPr>
                <w:rFonts w:hint="eastAsia" w:ascii="宋体"/>
                <w:color w:val="auto"/>
                <w:szCs w:val="21"/>
                <w:highlight w:val="none"/>
                <w:shd w:val="clear" w:color="auto" w:fill="auto"/>
              </w:rPr>
              <w:t>。</w:t>
            </w:r>
          </w:p>
        </w:tc>
      </w:tr>
      <w:tr w14:paraId="1B48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507" w:type="pct"/>
            <w:vMerge w:val="restart"/>
            <w:shd w:val="clear" w:color="auto" w:fill="FFFFFF"/>
            <w:vAlign w:val="center"/>
          </w:tcPr>
          <w:p w14:paraId="4577D34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0E8DAEA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b/>
                <w:bCs/>
                <w:szCs w:val="21"/>
                <w:highlight w:val="none"/>
              </w:rPr>
              <w:t>★</w:t>
            </w:r>
            <w:r>
              <w:rPr>
                <w:rFonts w:hint="eastAsia" w:ascii="宋体" w:hAnsi="宋体"/>
                <w:szCs w:val="21"/>
                <w:highlight w:val="none"/>
              </w:rPr>
              <w:t>服务期</w:t>
            </w:r>
          </w:p>
        </w:tc>
        <w:tc>
          <w:tcPr>
            <w:tcW w:w="3406" w:type="pct"/>
            <w:shd w:val="clear" w:color="auto" w:fill="FFFFFF"/>
            <w:vAlign w:val="center"/>
          </w:tcPr>
          <w:p w14:paraId="57C2B036">
            <w:pPr>
              <w:widowControl/>
              <w:autoSpaceDE/>
              <w:autoSpaceDN/>
              <w:adjustRightInd/>
              <w:snapToGrid/>
              <w:ind w:firstLine="0" w:firstLineChars="0"/>
              <w:rPr>
                <w:rFonts w:ascii="宋体" w:hAnsi="宋体" w:eastAsia="宋体"/>
                <w:szCs w:val="21"/>
                <w:highlight w:val="none"/>
                <w:lang w:val="en-US" w:eastAsia="zh-CN"/>
              </w:rPr>
            </w:pPr>
            <w:r>
              <w:rPr>
                <w:rFonts w:hint="eastAsia" w:ascii="宋体" w:hAnsi="宋体" w:cs="Times New Roman"/>
                <w:b w:val="0"/>
                <w:bCs w:val="0"/>
                <w:szCs w:val="21"/>
                <w:highlight w:val="none"/>
              </w:rPr>
              <w:t>自合同签署生效之日起至乙方完成约定的全部服务内容为止，合同期限最长不超过12个月。</w:t>
            </w:r>
          </w:p>
        </w:tc>
      </w:tr>
      <w:tr w14:paraId="6CA3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 w:type="pct"/>
            <w:vMerge w:val="continue"/>
            <w:shd w:val="clear" w:color="auto" w:fill="FFFFFF"/>
            <w:vAlign w:val="center"/>
          </w:tcPr>
          <w:p w14:paraId="39516893"/>
        </w:tc>
        <w:tc>
          <w:tcPr>
            <w:tcW w:w="1086" w:type="pct"/>
            <w:vMerge w:val="continue"/>
            <w:shd w:val="clear" w:color="auto" w:fill="FFFFFF"/>
            <w:vAlign w:val="center"/>
          </w:tcPr>
          <w:p w14:paraId="0DB49D8E"/>
        </w:tc>
        <w:tc>
          <w:tcPr>
            <w:tcW w:w="3406" w:type="pct"/>
            <w:shd w:val="clear" w:color="auto" w:fill="FFFFFF"/>
            <w:vAlign w:val="center"/>
          </w:tcPr>
          <w:p w14:paraId="4F7524D2">
            <w:pPr>
              <w:widowControl/>
              <w:autoSpaceDE/>
              <w:autoSpaceDN/>
              <w:adjustRightInd/>
              <w:snapToGrid/>
              <w:ind w:firstLine="0" w:firstLineChars="0"/>
              <w:rPr>
                <w:rFonts w:hint="eastAsia" w:ascii="宋体" w:hAnsi="宋体" w:cs="Times New Roman"/>
                <w:b w:val="0"/>
                <w:bCs w:val="0"/>
                <w:sz w:val="21"/>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lang w:val="en-US" w:eastAsia="zh-CN"/>
              </w:rPr>
              <w:t>续签：</w:t>
            </w:r>
            <w:r>
              <w:rPr>
                <w:rFonts w:hint="eastAsia" w:ascii="宋体" w:hAnsi="宋体" w:cs="Times New Roman"/>
                <w:b w:val="0"/>
                <w:bCs w:val="0"/>
                <w:sz w:val="21"/>
                <w:szCs w:val="21"/>
                <w:highlight w:val="none"/>
                <w:lang w:val="en-US" w:eastAsia="zh-CN"/>
              </w:rPr>
              <w:t>服务</w:t>
            </w:r>
            <w:r>
              <w:rPr>
                <w:rFonts w:hint="eastAsia" w:ascii="宋体" w:hAnsi="宋体" w:cs="Times New Roman"/>
                <w:b w:val="0"/>
                <w:bCs w:val="0"/>
                <w:sz w:val="21"/>
                <w:szCs w:val="21"/>
                <w:highlight w:val="none"/>
              </w:rPr>
              <w:t>履行完毕后，甲方可根据今后年度同个赛事活动的需要并结合本合同乙方履约考核评价结果，决定是否与乙方就今后年度同个赛事活动签署《服务合同》</w:t>
            </w:r>
            <w:r>
              <w:rPr>
                <w:rFonts w:hint="eastAsia" w:ascii="宋体" w:hAnsi="宋体" w:cs="Times New Roman"/>
                <w:b w:val="0"/>
                <w:bCs w:val="0"/>
                <w:sz w:val="21"/>
                <w:szCs w:val="21"/>
                <w:highlight w:val="none"/>
                <w:lang w:val="en-US"/>
              </w:rPr>
              <w:t>并有权结合预算等情况适当调整合同内容和合同金额</w:t>
            </w:r>
            <w:r>
              <w:rPr>
                <w:rFonts w:hint="eastAsia" w:ascii="宋体" w:hAnsi="宋体" w:cs="Times New Roman"/>
                <w:b w:val="0"/>
                <w:bCs w:val="0"/>
                <w:sz w:val="21"/>
                <w:szCs w:val="21"/>
                <w:highlight w:val="none"/>
              </w:rPr>
              <w:t>，续签次数不超过2次。</w:t>
            </w:r>
          </w:p>
          <w:p w14:paraId="02BB0FCC">
            <w:pPr>
              <w:widowControl/>
              <w:autoSpaceDE/>
              <w:autoSpaceDN/>
              <w:adjustRightInd/>
              <w:snapToGrid/>
              <w:ind w:firstLine="0" w:firstLineChars="0"/>
              <w:rPr>
                <w:rFonts w:ascii="宋体" w:hAnsi="宋体" w:cs="Times New Roman"/>
                <w:b w:val="0"/>
                <w:bCs w:val="0"/>
                <w:szCs w:val="21"/>
                <w:highlight w:val="none"/>
                <w:lang w:eastAsia="zh-CN"/>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w:t>
            </w:r>
            <w:r>
              <w:rPr>
                <w:rFonts w:hint="eastAsia" w:ascii="宋体" w:hAnsi="宋体" w:cs="Segoe UI Symbol"/>
                <w:kern w:val="0"/>
                <w:szCs w:val="21"/>
                <w:highlight w:val="none"/>
                <w:lang w:val="en-US" w:eastAsia="zh-CN"/>
              </w:rPr>
              <w:t>续签</w:t>
            </w:r>
          </w:p>
        </w:tc>
      </w:tr>
      <w:tr w14:paraId="39B32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07" w:type="pct"/>
            <w:shd w:val="clear" w:color="auto" w:fill="FFFFFF"/>
            <w:vAlign w:val="center"/>
          </w:tcPr>
          <w:p w14:paraId="752B9F5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C4A8AB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地点</w:t>
            </w:r>
          </w:p>
        </w:tc>
        <w:tc>
          <w:tcPr>
            <w:tcW w:w="3406" w:type="pct"/>
            <w:shd w:val="clear" w:color="auto" w:fill="FFFFFF"/>
            <w:vAlign w:val="center"/>
          </w:tcPr>
          <w:p w14:paraId="51DE7D6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深圳市</w:t>
            </w:r>
          </w:p>
        </w:tc>
      </w:tr>
      <w:tr w14:paraId="5A30F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trPr>
        <w:tc>
          <w:tcPr>
            <w:tcW w:w="507" w:type="pct"/>
            <w:shd w:val="clear" w:color="auto" w:fill="FFFFFF"/>
            <w:vAlign w:val="center"/>
          </w:tcPr>
          <w:p w14:paraId="510BBDC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14F5297A">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投标人资格要求</w:t>
            </w:r>
          </w:p>
        </w:tc>
        <w:tc>
          <w:tcPr>
            <w:tcW w:w="3406" w:type="pct"/>
            <w:shd w:val="clear" w:color="auto" w:fill="FFFFFF"/>
            <w:vAlign w:val="center"/>
          </w:tcPr>
          <w:p w14:paraId="47657914">
            <w:pPr>
              <w:widowControl w:val="0"/>
              <w:autoSpaceDE w:val="0"/>
              <w:autoSpaceDN w:val="0"/>
              <w:adjustRightInd w:val="0"/>
              <w:snapToGrid w:val="0"/>
              <w:ind w:firstLine="0" w:firstLineChars="0"/>
              <w:rPr>
                <w:rFonts w:ascii="宋体"/>
                <w:szCs w:val="21"/>
                <w:highlight w:val="none"/>
              </w:rPr>
            </w:pPr>
            <w:r>
              <w:rPr>
                <w:rFonts w:hint="eastAsia" w:ascii="宋体"/>
                <w:szCs w:val="21"/>
                <w:highlight w:val="none"/>
              </w:rPr>
              <w:t>（1）投标人须是在中华人民共和国境内注册，具有独立法人资格或独立承担民事责任的能力（提供营业执照扫描件或事业单位法人证等证明扫描件）；总公司或分公司只允许其中一家参与本项目投标，不允许同时参与本项目投标；以分公司名义投标的，须提供总公司或具有独立法人的上一级公司出具的愿为其参与本项目投标及履约等行为承担民事责任并加盖公章的授权函，同时须提供总公司或具有独立法人的上一级公司的营业执照扫描件。</w:t>
            </w:r>
          </w:p>
          <w:p w14:paraId="75DF281B">
            <w:pPr>
              <w:ind w:firstLine="0" w:firstLineChars="0"/>
              <w:rPr>
                <w:rFonts w:hint="eastAsia" w:ascii="宋体" w:hAnsi="宋体" w:eastAsia="宋体" w:cs="宋体"/>
                <w:szCs w:val="21"/>
                <w:highlight w:val="none"/>
              </w:rPr>
            </w:pPr>
            <w:r>
              <w:rPr>
                <w:rFonts w:hint="eastAsia" w:ascii="宋体" w:hAnsi="宋体" w:eastAsia="宋体" w:cs="宋体"/>
                <w:color w:val="000000"/>
                <w:kern w:val="0"/>
                <w:sz w:val="21"/>
                <w:szCs w:val="21"/>
                <w:highlight w:val="none"/>
                <w:lang w:val="en-US" w:eastAsia="zh-CN"/>
              </w:rPr>
              <w:t>（2）具有良好的商业信誉和健全的财务会计制度（提供</w:t>
            </w:r>
            <w:r>
              <w:rPr>
                <w:rFonts w:hint="eastAsia" w:ascii="宋体" w:hAnsi="宋体" w:cs="宋体"/>
                <w:color w:val="000000"/>
                <w:kern w:val="0"/>
                <w:sz w:val="21"/>
                <w:szCs w:val="21"/>
                <w:highlight w:val="none"/>
                <w:lang w:val="en-US" w:eastAsia="zh-CN"/>
              </w:rPr>
              <w:t>近三年内任意一年</w:t>
            </w:r>
            <w:r>
              <w:rPr>
                <w:rFonts w:hint="eastAsia" w:ascii="宋体" w:hAnsi="宋体" w:eastAsia="宋体" w:cs="宋体"/>
                <w:color w:val="000000"/>
                <w:kern w:val="0"/>
                <w:sz w:val="21"/>
                <w:szCs w:val="21"/>
                <w:highlight w:val="none"/>
                <w:lang w:val="en-US" w:eastAsia="zh-CN"/>
              </w:rPr>
              <w:t>经会计师事务所或审计机构审计的财务会计报告</w:t>
            </w:r>
            <w:r>
              <w:rPr>
                <w:rFonts w:hint="eastAsia" w:ascii="宋体" w:hAnsi="宋体" w:cs="宋体"/>
                <w:color w:val="000000"/>
                <w:kern w:val="0"/>
                <w:sz w:val="21"/>
                <w:szCs w:val="21"/>
                <w:highlight w:val="none"/>
                <w:lang w:val="en-US" w:eastAsia="zh-CN"/>
              </w:rPr>
              <w:t>或承诺书，</w:t>
            </w:r>
            <w:r>
              <w:rPr>
                <w:rFonts w:hint="eastAsia" w:ascii="宋体" w:hAnsi="宋体" w:eastAsia="宋体" w:cs="宋体"/>
                <w:color w:val="000000"/>
                <w:kern w:val="0"/>
                <w:sz w:val="21"/>
                <w:szCs w:val="21"/>
                <w:highlight w:val="none"/>
                <w:lang w:val="en-US" w:eastAsia="zh-CN"/>
              </w:rPr>
              <w:t>如投标人为新成立企业，提供自注册年度后的财务报表或承诺书</w:t>
            </w:r>
            <w:r>
              <w:rPr>
                <w:rFonts w:hint="eastAsia" w:ascii="宋体" w:hAnsi="宋体" w:cs="宋体"/>
                <w:color w:val="000000"/>
                <w:kern w:val="0"/>
                <w:sz w:val="21"/>
                <w:szCs w:val="21"/>
                <w:highlight w:val="none"/>
                <w:lang w:val="en-US" w:eastAsia="zh-CN"/>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rPr>
              <w:t xml:space="preserve">）。 </w:t>
            </w:r>
          </w:p>
          <w:p w14:paraId="4C40B0F8">
            <w:pPr>
              <w:ind w:firstLine="0" w:firstLineChars="0"/>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val="en-US" w:eastAsia="zh-CN"/>
              </w:rPr>
              <w:t>具</w:t>
            </w:r>
            <w:r>
              <w:rPr>
                <w:rFonts w:hint="eastAsia" w:ascii="宋体" w:hAnsi="宋体" w:eastAsia="宋体" w:cs="宋体"/>
                <w:color w:val="000000"/>
                <w:kern w:val="0"/>
                <w:sz w:val="21"/>
                <w:szCs w:val="21"/>
                <w:highlight w:val="none"/>
                <w:lang w:val="en-US" w:eastAsia="zh-CN"/>
              </w:rPr>
              <w:t>有依法缴纳税收和社会保障资金的良好记录（提供202</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年1月以来任意一个月单位依法缴纳税收和养老保险的证明材料或承诺书</w:t>
            </w:r>
            <w:r>
              <w:rPr>
                <w:rFonts w:hint="eastAsia" w:ascii="宋体" w:hAnsi="宋体" w:cs="宋体"/>
                <w:color w:val="000000"/>
                <w:kern w:val="0"/>
                <w:sz w:val="21"/>
                <w:szCs w:val="21"/>
                <w:highlight w:val="none"/>
                <w:lang w:val="en-US" w:eastAsia="zh-CN"/>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rPr>
              <w:t xml:space="preserve">）。 </w:t>
            </w:r>
          </w:p>
          <w:p w14:paraId="7A250E26">
            <w:pPr>
              <w:ind w:firstLine="0" w:firstLineChars="0"/>
              <w:rPr>
                <w:rFonts w:hint="eastAsia" w:ascii="宋体" w:hAnsi="宋体" w:eastAsia="宋体" w:cs="宋体"/>
                <w:szCs w:val="21"/>
                <w:highlight w:val="none"/>
              </w:rPr>
            </w:pPr>
            <w:r>
              <w:rPr>
                <w:rFonts w:hint="eastAsia" w:ascii="宋体" w:hAnsi="宋体" w:cs="宋体"/>
                <w:color w:val="000000"/>
                <w:kern w:val="0"/>
                <w:szCs w:val="21"/>
                <w:highlight w:val="none"/>
                <w:lang w:val="en-US" w:eastAsia="zh-CN"/>
              </w:rPr>
              <w:t>（4）具有履行合同所必须的设备和专业技术能力</w:t>
            </w:r>
            <w:r>
              <w:rPr>
                <w:rFonts w:hint="eastAsia" w:ascii="宋体"/>
                <w:szCs w:val="21"/>
                <w:highlight w:val="none"/>
              </w:rPr>
              <w:t>（承诺书格式自拟，加盖投标人公章）</w:t>
            </w:r>
            <w:r>
              <w:rPr>
                <w:rFonts w:hint="eastAsia" w:ascii="宋体" w:hAnsi="宋体" w:cs="宋体"/>
                <w:color w:val="000000"/>
                <w:kern w:val="0"/>
                <w:szCs w:val="21"/>
                <w:highlight w:val="none"/>
                <w:lang w:val="en-US" w:eastAsia="zh-CN"/>
              </w:rPr>
              <w:t>。</w:t>
            </w:r>
          </w:p>
          <w:p w14:paraId="7994FC79">
            <w:pPr>
              <w:widowControl w:val="0"/>
              <w:autoSpaceDE w:val="0"/>
              <w:autoSpaceDN w:val="0"/>
              <w:adjustRightInd w:val="0"/>
              <w:snapToGrid w:val="0"/>
              <w:ind w:firstLine="0" w:firstLineChars="0"/>
              <w:rPr>
                <w:highlight w:val="none"/>
              </w:rPr>
            </w:pPr>
            <w:r>
              <w:rPr>
                <w:rFonts w:hint="eastAsia" w:ascii="宋体" w:hAnsi="宋体" w:eastAsia="宋体" w:cs="宋体"/>
                <w:color w:val="000000"/>
                <w:kern w:val="0"/>
                <w:sz w:val="21"/>
                <w:szCs w:val="21"/>
                <w:highlight w:val="none"/>
                <w:lang w:val="en-US" w:eastAsia="zh-CN"/>
              </w:rPr>
              <w:t>（</w:t>
            </w:r>
            <w:r>
              <w:rPr>
                <w:rFonts w:hint="eastAsia" w:ascii="宋体" w:hAnsi="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lang w:val="en-US" w:eastAsia="zh-CN"/>
              </w:rPr>
              <w:t>）</w:t>
            </w:r>
            <w:r>
              <w:rPr>
                <w:rFonts w:hint="eastAsia" w:ascii="宋体"/>
                <w:szCs w:val="21"/>
                <w:highlight w:val="none"/>
              </w:rPr>
              <w:t>投标人须提供</w:t>
            </w:r>
            <w:r>
              <w:rPr>
                <w:rFonts w:hint="eastAsia" w:ascii="宋体"/>
                <w:szCs w:val="21"/>
                <w:highlight w:val="none"/>
                <w:lang w:val="en-US" w:eastAsia="zh-CN"/>
              </w:rPr>
              <w:t>近</w:t>
            </w:r>
            <w:r>
              <w:rPr>
                <w:rFonts w:hint="eastAsia" w:ascii="宋体"/>
                <w:szCs w:val="21"/>
                <w:highlight w:val="none"/>
              </w:rPr>
              <w:t>三年内无作假无违反招投标规定的行为、无严重违约、无发生重大安全事故的承诺书原件。如有违反承诺书的内容，则取消投标资格；已中标的，取消中标资格（承诺书格式自拟，加盖投标人公章）。</w:t>
            </w:r>
          </w:p>
        </w:tc>
      </w:tr>
      <w:tr w14:paraId="74180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7" w:type="pct"/>
            <w:shd w:val="clear" w:color="auto" w:fill="FFFFFF"/>
            <w:vAlign w:val="center"/>
          </w:tcPr>
          <w:p w14:paraId="3B96755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68C54B4">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是否接受</w:t>
            </w:r>
          </w:p>
          <w:p w14:paraId="0654BFA6">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联合体投标</w:t>
            </w:r>
          </w:p>
        </w:tc>
        <w:tc>
          <w:tcPr>
            <w:tcW w:w="3406" w:type="pct"/>
            <w:shd w:val="clear" w:color="auto" w:fill="FFFFFF"/>
            <w:vAlign w:val="center"/>
          </w:tcPr>
          <w:p w14:paraId="0AFCDB55">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szCs w:val="21"/>
                <w:highlight w:val="none"/>
              </w:rPr>
              <w:t>☑</w:t>
            </w:r>
            <w:r>
              <w:rPr>
                <w:rFonts w:hint="eastAsia" w:ascii="宋体" w:hAnsi="宋体"/>
                <w:kern w:val="0"/>
                <w:szCs w:val="21"/>
                <w:highlight w:val="none"/>
              </w:rPr>
              <w:t>不接受</w:t>
            </w:r>
          </w:p>
          <w:p w14:paraId="54BAB570">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□接受，应满足下列要求：</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p>
        </w:tc>
      </w:tr>
      <w:tr w14:paraId="3BAA0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shd w:val="clear" w:color="auto" w:fill="FFFFFF"/>
            <w:vAlign w:val="center"/>
          </w:tcPr>
          <w:p w14:paraId="5146A78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7F29C243">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踏勘</w:t>
            </w:r>
            <w:r>
              <w:rPr>
                <w:rFonts w:hint="eastAsia" w:ascii="宋体" w:hAnsi="宋体"/>
                <w:szCs w:val="21"/>
                <w:highlight w:val="none"/>
                <w:shd w:val="clear" w:color="auto" w:fill="FFFFFF"/>
              </w:rPr>
              <w:t>现场</w:t>
            </w:r>
          </w:p>
        </w:tc>
        <w:tc>
          <w:tcPr>
            <w:tcW w:w="3406" w:type="pct"/>
            <w:shd w:val="clear" w:color="auto" w:fill="FFFFFF"/>
            <w:vAlign w:val="center"/>
          </w:tcPr>
          <w:p w14:paraId="3A728DEB">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不组织。</w:t>
            </w:r>
          </w:p>
          <w:p w14:paraId="54F7E8AE">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组织：</w:t>
            </w:r>
          </w:p>
          <w:p w14:paraId="5F7F87D4">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踏勘时间：</w:t>
            </w:r>
            <w:r>
              <w:rPr>
                <w:rFonts w:hint="eastAsia" w:ascii="宋体" w:hAnsi="宋体"/>
                <w:kern w:val="0"/>
                <w:szCs w:val="21"/>
                <w:highlight w:val="none"/>
                <w:u w:val="single"/>
              </w:rPr>
              <w:t xml:space="preserve">          </w:t>
            </w:r>
          </w:p>
          <w:p w14:paraId="635E1589">
            <w:pPr>
              <w:widowControl w:val="0"/>
              <w:wordWrap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kern w:val="0"/>
                <w:szCs w:val="21"/>
                <w:highlight w:val="none"/>
              </w:rPr>
              <w:t>集合地点：</w:t>
            </w:r>
            <w:r>
              <w:rPr>
                <w:rFonts w:hint="eastAsia" w:ascii="宋体" w:hAnsi="宋体"/>
                <w:kern w:val="0"/>
                <w:szCs w:val="21"/>
                <w:highlight w:val="none"/>
                <w:u w:val="single"/>
              </w:rPr>
              <w:t xml:space="preserve">          </w:t>
            </w:r>
          </w:p>
        </w:tc>
      </w:tr>
      <w:tr w14:paraId="7E07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shd w:val="clear" w:color="auto" w:fill="FFFFFF"/>
            <w:vAlign w:val="center"/>
          </w:tcPr>
          <w:p w14:paraId="6BD3B74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5A264F67">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响应和偏离</w:t>
            </w:r>
          </w:p>
        </w:tc>
        <w:tc>
          <w:tcPr>
            <w:tcW w:w="3406" w:type="pct"/>
            <w:shd w:val="clear" w:color="auto" w:fill="FFFFFF"/>
            <w:vAlign w:val="center"/>
          </w:tcPr>
          <w:p w14:paraId="6282A3B1">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654C1BC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54C5BD8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p>
        </w:tc>
      </w:tr>
      <w:tr w14:paraId="0119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3167394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0F13A71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投标货币</w:t>
            </w:r>
          </w:p>
        </w:tc>
        <w:tc>
          <w:tcPr>
            <w:tcW w:w="3406" w:type="pct"/>
            <w:shd w:val="clear" w:color="auto" w:fill="FFFFFF"/>
            <w:vAlign w:val="center"/>
          </w:tcPr>
          <w:p w14:paraId="7534E465">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hint="eastAsia" w:ascii="宋体" w:hAnsi="宋体"/>
                <w:szCs w:val="21"/>
                <w:highlight w:val="none"/>
              </w:rPr>
              <w:t>☑</w:t>
            </w:r>
            <w:r>
              <w:rPr>
                <w:rFonts w:hint="eastAsia" w:ascii="宋体" w:hAnsi="宋体" w:cs="Segoe UI Symbol"/>
                <w:kern w:val="0"/>
                <w:szCs w:val="21"/>
                <w:highlight w:val="none"/>
              </w:rPr>
              <w:t>人民币  □其他：</w:t>
            </w:r>
            <w:r>
              <w:rPr>
                <w:rFonts w:hint="eastAsia" w:ascii="宋体" w:hAnsi="宋体" w:cs="Segoe UI Symbol"/>
                <w:kern w:val="0"/>
                <w:szCs w:val="21"/>
                <w:highlight w:val="none"/>
                <w:u w:val="single"/>
              </w:rPr>
              <w:t xml:space="preserve">                 </w:t>
            </w:r>
          </w:p>
        </w:tc>
      </w:tr>
      <w:tr w14:paraId="159F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12745870"/>
        </w:tc>
        <w:tc>
          <w:tcPr>
            <w:tcW w:w="1086" w:type="pct"/>
            <w:shd w:val="clear" w:color="auto" w:fill="FFFFFF"/>
            <w:vAlign w:val="center"/>
          </w:tcPr>
          <w:p w14:paraId="575ABD84">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rPr>
              <w:t>报价方式和内容</w:t>
            </w:r>
          </w:p>
        </w:tc>
        <w:tc>
          <w:tcPr>
            <w:tcW w:w="3406" w:type="pct"/>
            <w:shd w:val="clear" w:color="auto" w:fill="FFFFFF"/>
            <w:vAlign w:val="center"/>
          </w:tcPr>
          <w:p w14:paraId="10B238A7">
            <w:pPr>
              <w:widowControl w:val="0"/>
              <w:autoSpaceDE w:val="0"/>
              <w:autoSpaceDN w:val="0"/>
              <w:adjustRightInd w:val="0"/>
              <w:snapToGrid w:val="0"/>
              <w:ind w:firstLine="0" w:firstLineChars="0"/>
              <w:rPr>
                <w:ins w:id="0" w:author="盈科律师" w:date="2026-07-14T09:13:20Z"/>
                <w:rFonts w:hint="eastAsia" w:ascii="宋体" w:hAnsi="宋体" w:cs="Segoe UI Symbol"/>
                <w:kern w:val="0"/>
                <w:szCs w:val="21"/>
                <w:highlight w:val="none"/>
                <w:rPrChange w:id="1" w:author="盈科律师" w:date="2026-07-14T09:13:20Z">
                  <w:rPr>
                    <w:ins w:id="2" w:author="盈科律师" w:date="2026-07-14T09:13:20Z"/>
                    <w:rFonts w:hint="eastAsia"/>
                  </w:rPr>
                </w:rPrChange>
              </w:rPr>
            </w:pPr>
            <w:ins w:id="3" w:author="盈科律师" w:date="2026-07-14T09:13:20Z">
              <w:r>
                <w:rPr>
                  <w:rFonts w:hint="eastAsia" w:ascii="宋体" w:hAnsi="宋体" w:cs="Segoe UI Symbol"/>
                  <w:kern w:val="0"/>
                  <w:szCs w:val="21"/>
                  <w:highlight w:val="none"/>
                  <w:rPrChange w:id="4" w:author="盈科律师" w:date="2026-07-14T09:13:20Z">
                    <w:rPr>
                      <w:rFonts w:hint="eastAsia"/>
                    </w:rPr>
                  </w:rPrChange>
                </w:rPr>
                <w:t>1）投标报价：本项目采用固定总价包干方式。投标人的报价应是为完成招标文件及项目需求中所述全部服务内容所需的所有费用。</w:t>
              </w:r>
            </w:ins>
          </w:p>
          <w:p w14:paraId="1C16C6E3">
            <w:pPr>
              <w:widowControl w:val="0"/>
              <w:autoSpaceDE w:val="0"/>
              <w:autoSpaceDN w:val="0"/>
              <w:adjustRightInd w:val="0"/>
              <w:snapToGrid w:val="0"/>
              <w:ind w:firstLine="0" w:firstLineChars="0"/>
              <w:rPr>
                <w:del w:id="5" w:author="盈科律师" w:date="2026-07-14T09:13:20Z"/>
                <w:rFonts w:ascii="宋体" w:hAnsi="宋体" w:cs="Segoe UI Symbol"/>
                <w:kern w:val="0"/>
                <w:szCs w:val="21"/>
                <w:highlight w:val="none"/>
              </w:rPr>
            </w:pPr>
            <w:ins w:id="6" w:author="盈科律师" w:date="2026-07-14T09:13:20Z">
              <w:r>
                <w:rPr>
                  <w:rFonts w:hint="eastAsia" w:ascii="宋体" w:hAnsi="宋体" w:cs="Segoe UI Symbol"/>
                  <w:kern w:val="0"/>
                  <w:szCs w:val="21"/>
                  <w:highlight w:val="none"/>
                  <w:rPrChange w:id="7" w:author="盈科律师" w:date="2026-07-14T09:13:20Z">
                    <w:rPr>
                      <w:rFonts w:hint="eastAsia"/>
                    </w:rPr>
                  </w:rPrChange>
                </w:rPr>
                <w:t>2）投标报价为最终报价，应包含但不限于：服务期内所有服务的费用、人工费、物料制作费、媒体合作费、税费（包括但不限于增值税等）、管理费、利润、保险、售后服务以及合同明示或暗示的所有责任、义务和风险等一切费用。投标人不得在签约后要求追加任何费用。</w:t>
              </w:r>
            </w:ins>
            <w:del w:id="8" w:author="盈科律师" w:date="2026-07-14T09:13:20Z">
              <w:r>
                <w:rPr>
                  <w:rFonts w:hint="eastAsia" w:ascii="宋体" w:hAnsi="宋体" w:cs="Segoe UI Symbol"/>
                  <w:kern w:val="0"/>
                  <w:szCs w:val="21"/>
                  <w:highlight w:val="none"/>
                </w:rPr>
                <w:delText>1）投标报价：招标人指定服务的报价。</w:delText>
              </w:r>
            </w:del>
          </w:p>
          <w:p w14:paraId="6AC03508">
            <w:pPr>
              <w:widowControl w:val="0"/>
              <w:autoSpaceDE w:val="0"/>
              <w:autoSpaceDN w:val="0"/>
              <w:adjustRightInd w:val="0"/>
              <w:snapToGrid w:val="0"/>
              <w:ind w:firstLine="0" w:firstLineChars="0"/>
              <w:rPr>
                <w:rFonts w:ascii="宋体" w:hAnsi="宋体"/>
                <w:szCs w:val="21"/>
                <w:highlight w:val="none"/>
                <w:shd w:val="clear" w:color="auto" w:fill="FFFFFF"/>
              </w:rPr>
            </w:pPr>
            <w:del w:id="9" w:author="盈科律师" w:date="2026-07-14T09:13:20Z">
              <w:r>
                <w:rPr>
                  <w:rFonts w:ascii="宋体" w:hAnsi="宋体" w:cs="Segoe UI Symbol"/>
                  <w:kern w:val="0"/>
                  <w:szCs w:val="21"/>
                  <w:highlight w:val="none"/>
                </w:rPr>
                <w:delText>2</w:delText>
              </w:r>
            </w:del>
            <w:del w:id="10" w:author="盈科律师" w:date="2026-07-14T09:13:20Z">
              <w:r>
                <w:rPr>
                  <w:rFonts w:hint="eastAsia" w:ascii="宋体" w:hAnsi="宋体" w:cs="Segoe UI Symbol"/>
                  <w:kern w:val="0"/>
                  <w:szCs w:val="21"/>
                  <w:highlight w:val="none"/>
                </w:rPr>
                <w:delText>）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delText>
              </w:r>
            </w:del>
          </w:p>
        </w:tc>
      </w:tr>
      <w:tr w14:paraId="5C0F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07" w:type="pct"/>
            <w:shd w:val="clear" w:color="auto" w:fill="FFFFFF"/>
            <w:vAlign w:val="center"/>
          </w:tcPr>
          <w:p w14:paraId="06BF010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66F346B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招标公告</w:t>
            </w:r>
          </w:p>
        </w:tc>
        <w:tc>
          <w:tcPr>
            <w:tcW w:w="3406" w:type="pct"/>
            <w:vMerge w:val="restart"/>
            <w:shd w:val="clear" w:color="auto" w:fill="FFFFFF"/>
            <w:vAlign w:val="center"/>
          </w:tcPr>
          <w:p w14:paraId="282281E1">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公告/公示媒介：</w:t>
            </w:r>
          </w:p>
          <w:p w14:paraId="65A65AD0">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1.深圳阳光采购平台（www.szygcgpt.com）</w:t>
            </w:r>
          </w:p>
          <w:p w14:paraId="2087D201">
            <w:pPr>
              <w:pStyle w:val="22"/>
              <w:spacing w:line="240" w:lineRule="auto"/>
              <w:ind w:firstLine="0" w:firstLineChars="0"/>
              <w:rPr>
                <w:highlight w:val="none"/>
              </w:rPr>
            </w:pPr>
            <w:r>
              <w:rPr>
                <w:rFonts w:hint="eastAsia" w:ascii="宋体" w:hAnsi="宋体" w:cs="宋体"/>
                <w:szCs w:val="21"/>
                <w:highlight w:val="none"/>
              </w:rPr>
              <w:t>2.中标候选人公示期：3天</w:t>
            </w:r>
          </w:p>
        </w:tc>
      </w:tr>
      <w:tr w14:paraId="1531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07" w:type="pct"/>
            <w:shd w:val="clear" w:color="auto" w:fill="FFFFFF"/>
            <w:vAlign w:val="center"/>
          </w:tcPr>
          <w:p w14:paraId="62A9FA4C">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D5522E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中标候选人公示</w:t>
            </w:r>
          </w:p>
        </w:tc>
        <w:tc>
          <w:tcPr>
            <w:tcW w:w="3406" w:type="pct"/>
            <w:vMerge w:val="continue"/>
            <w:shd w:val="clear" w:color="auto" w:fill="FFFFFF"/>
            <w:vAlign w:val="center"/>
          </w:tcPr>
          <w:p w14:paraId="23639FE1"/>
        </w:tc>
      </w:tr>
      <w:tr w14:paraId="4B71D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507" w:type="pct"/>
            <w:shd w:val="clear" w:color="auto" w:fill="FFFFFF"/>
            <w:vAlign w:val="center"/>
          </w:tcPr>
          <w:p w14:paraId="24E1365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4A9DF7D4">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中标结果公示</w:t>
            </w:r>
          </w:p>
        </w:tc>
        <w:tc>
          <w:tcPr>
            <w:tcW w:w="3406" w:type="pct"/>
            <w:vMerge w:val="continue"/>
            <w:shd w:val="clear" w:color="auto" w:fill="FFFFFF"/>
            <w:vAlign w:val="center"/>
          </w:tcPr>
          <w:p w14:paraId="21D0950C"/>
        </w:tc>
      </w:tr>
      <w:tr w14:paraId="06DC9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restart"/>
            <w:shd w:val="clear" w:color="auto" w:fill="FFFFFF"/>
            <w:vAlign w:val="center"/>
          </w:tcPr>
          <w:p w14:paraId="5AF84CA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vMerge w:val="restart"/>
            <w:shd w:val="clear" w:color="auto" w:fill="FFFFFF"/>
            <w:vAlign w:val="center"/>
          </w:tcPr>
          <w:p w14:paraId="09117573">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履约担保</w:t>
            </w:r>
          </w:p>
        </w:tc>
        <w:tc>
          <w:tcPr>
            <w:tcW w:w="3406" w:type="pct"/>
            <w:shd w:val="clear" w:color="auto" w:fill="FFFFFF"/>
            <w:vAlign w:val="center"/>
          </w:tcPr>
          <w:p w14:paraId="78B10202">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szCs w:val="21"/>
                <w:highlight w:val="none"/>
              </w:rPr>
              <w:sym w:font="Wingdings 2" w:char="0052"/>
            </w:r>
            <w:r>
              <w:rPr>
                <w:rFonts w:hint="eastAsia" w:ascii="宋体" w:hAnsi="宋体" w:cs="Segoe UI Symbol"/>
                <w:kern w:val="0"/>
                <w:szCs w:val="21"/>
                <w:highlight w:val="none"/>
              </w:rPr>
              <w:t>不要求</w:t>
            </w:r>
          </w:p>
        </w:tc>
      </w:tr>
      <w:tr w14:paraId="148F5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7" w:type="pct"/>
            <w:vMerge w:val="continue"/>
            <w:shd w:val="clear" w:color="auto" w:fill="FFFFFF"/>
            <w:vAlign w:val="center"/>
          </w:tcPr>
          <w:p w14:paraId="69216D1E"/>
        </w:tc>
        <w:tc>
          <w:tcPr>
            <w:tcW w:w="1086" w:type="pct"/>
            <w:vMerge w:val="continue"/>
            <w:shd w:val="clear" w:color="auto" w:fill="FFFFFF"/>
            <w:vAlign w:val="center"/>
          </w:tcPr>
          <w:p w14:paraId="5595EBDF"/>
        </w:tc>
        <w:tc>
          <w:tcPr>
            <w:tcW w:w="3406" w:type="pct"/>
            <w:shd w:val="clear" w:color="auto" w:fill="FFFFFF"/>
            <w:vAlign w:val="center"/>
          </w:tcPr>
          <w:p w14:paraId="31C66D78">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szCs w:val="21"/>
                <w:highlight w:val="none"/>
              </w:rPr>
              <w:t>□</w:t>
            </w:r>
            <w:r>
              <w:rPr>
                <w:rFonts w:hint="eastAsia" w:ascii="宋体" w:hAnsi="宋体" w:cs="Segoe UI Symbol"/>
                <w:kern w:val="0"/>
                <w:szCs w:val="21"/>
                <w:highlight w:val="none"/>
              </w:rPr>
              <w:t>银行保函</w:t>
            </w:r>
          </w:p>
          <w:p w14:paraId="4CA3DDC3">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rPr>
              <w:t xml:space="preserve">           </w:t>
            </w:r>
          </w:p>
        </w:tc>
      </w:tr>
      <w:tr w14:paraId="7C98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507" w:type="pct"/>
            <w:shd w:val="clear" w:color="auto" w:fill="FFFFFF"/>
            <w:vAlign w:val="center"/>
          </w:tcPr>
          <w:p w14:paraId="203D4DC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086" w:type="pct"/>
            <w:shd w:val="clear" w:color="auto" w:fill="FFFFFF"/>
            <w:vAlign w:val="center"/>
          </w:tcPr>
          <w:p w14:paraId="5894EA9F">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招标失败的</w:t>
            </w:r>
          </w:p>
          <w:p w14:paraId="6000A66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其他情形</w:t>
            </w:r>
          </w:p>
        </w:tc>
        <w:tc>
          <w:tcPr>
            <w:tcW w:w="3406" w:type="pct"/>
            <w:shd w:val="clear" w:color="auto" w:fill="FFFFFF"/>
            <w:vAlign w:val="center"/>
          </w:tcPr>
          <w:p w14:paraId="74522474">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（一）当出现以下情形之一时，若招标文件公布期间无异议或者异议不成立（进入评审环节时，有效投标人不足三家，招标文件须经评审委员会判定是否无歧视性条款），招标人</w:t>
            </w:r>
            <w:r>
              <w:rPr>
                <w:rFonts w:hint="eastAsia" w:ascii="宋体" w:cs="Segoe UI Symbol"/>
                <w:kern w:val="0"/>
                <w:szCs w:val="21"/>
                <w:highlight w:val="none"/>
                <w:lang w:val="en-US" w:eastAsia="zh-CN"/>
              </w:rPr>
              <w:t>应重新组织第二次招标，二次招标公告后有效投标人仍不足三家，</w:t>
            </w:r>
            <w:r>
              <w:rPr>
                <w:rFonts w:hint="eastAsia" w:ascii="宋体" w:cs="Segoe UI Symbol"/>
                <w:kern w:val="0"/>
                <w:szCs w:val="21"/>
                <w:highlight w:val="none"/>
              </w:rPr>
              <w:t>可</w:t>
            </w:r>
            <w:r>
              <w:rPr>
                <w:rFonts w:hint="eastAsia" w:ascii="宋体" w:cs="Segoe UI Symbol"/>
                <w:kern w:val="0"/>
                <w:szCs w:val="21"/>
                <w:highlight w:val="none"/>
                <w:lang w:val="en-US" w:eastAsia="zh-CN"/>
              </w:rPr>
              <w:t>按以下约定</w:t>
            </w:r>
            <w:r>
              <w:rPr>
                <w:rFonts w:hint="eastAsia" w:ascii="宋体" w:cs="Segoe UI Symbol"/>
                <w:kern w:val="0"/>
                <w:szCs w:val="21"/>
                <w:highlight w:val="none"/>
              </w:rPr>
              <w:t>直接转为非公开的采购方式：</w:t>
            </w:r>
          </w:p>
          <w:p w14:paraId="6A594A3F">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1.递交投标文件家数不足三家；</w:t>
            </w:r>
          </w:p>
          <w:p w14:paraId="78974483">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2.通过初步评审的投标人数量不足三家。</w:t>
            </w:r>
          </w:p>
          <w:p w14:paraId="28AAAF60">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（二）具体处理方式：</w:t>
            </w:r>
          </w:p>
          <w:p w14:paraId="1150829C">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①当递交投标文件的投标人数量不足三家时，本项目继续根据招标公告中的开标时间举行开标仪式；开标期间无异议或异议不成立，进入评审环节，评标委员会根据招标文件要求及投标人的数量按以下②或③项进行评审；</w:t>
            </w:r>
          </w:p>
          <w:p w14:paraId="54B004C3">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②当有效投标人为两家投标人时，本项目转为竞争性谈判继续完成采购；</w:t>
            </w:r>
          </w:p>
          <w:p w14:paraId="0546B3A9">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继续完成采购的具体操作程序：继续进行并沿用招标文件规定的评审方式进行评审，但在价格评审过程中，投标人应根据要求进行最终报价，并以该最终报价进行价格评审。评标委员会根据综合评分推荐得分最高的为候选成交供应商，并后续由采购人确认。</w:t>
            </w:r>
          </w:p>
          <w:p w14:paraId="11438C9C">
            <w:pPr>
              <w:widowControl w:val="0"/>
              <w:autoSpaceDE w:val="0"/>
              <w:autoSpaceDN w:val="0"/>
              <w:adjustRightInd w:val="0"/>
              <w:snapToGrid w:val="0"/>
              <w:ind w:firstLine="0" w:firstLineChars="0"/>
              <w:rPr>
                <w:rFonts w:ascii="宋体" w:cs="Segoe UI Symbol"/>
                <w:kern w:val="0"/>
                <w:szCs w:val="21"/>
                <w:highlight w:val="none"/>
              </w:rPr>
            </w:pPr>
            <w:r>
              <w:rPr>
                <w:rFonts w:hint="eastAsia" w:ascii="宋体" w:cs="Segoe UI Symbol"/>
                <w:kern w:val="0"/>
                <w:szCs w:val="21"/>
                <w:highlight w:val="none"/>
              </w:rPr>
              <w:t>③当有效投标人为一家投标人时，本项目转为单一来源采购；</w:t>
            </w:r>
          </w:p>
          <w:p w14:paraId="320926C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cs="Segoe UI Symbol"/>
                <w:kern w:val="0"/>
                <w:szCs w:val="21"/>
                <w:highlight w:val="none"/>
              </w:rPr>
              <w:t>继续完成采购的具体操作程序：继续进行并沿用招标文件规定的评审方式进行评审（转为单一来源采购的情形不进行商务技术和价格标的评分），但在价格评审过程中，投标人应根据要求进行最终报价，并以该最终报价进行价格评审。评标委员会推荐该名供应商为候选成交供应商，并后续由采购人确认。</w:t>
            </w:r>
          </w:p>
        </w:tc>
      </w:tr>
    </w:tbl>
    <w:p w14:paraId="191DE2B2">
      <w:pPr>
        <w:pStyle w:val="16"/>
        <w:ind w:firstLine="0" w:firstLineChars="0"/>
        <w:rPr>
          <w:highlight w:val="none"/>
        </w:rPr>
      </w:pPr>
      <w:r>
        <w:rPr>
          <w:highlight w:val="none"/>
        </w:rPr>
        <w:br w:type="page"/>
      </w:r>
    </w:p>
    <w:tbl>
      <w:tblPr>
        <w:tblStyle w:val="52"/>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953"/>
        <w:gridCol w:w="1892"/>
        <w:gridCol w:w="5678"/>
      </w:tblGrid>
      <w:tr w14:paraId="56A66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5000" w:type="pct"/>
            <w:gridSpan w:val="3"/>
            <w:shd w:val="clear" w:color="auto" w:fill="D9E2F3"/>
            <w:vAlign w:val="center"/>
          </w:tcPr>
          <w:p w14:paraId="2B1872FF">
            <w:pPr>
              <w:widowControl w:val="0"/>
              <w:autoSpaceDE w:val="0"/>
              <w:autoSpaceDN w:val="0"/>
              <w:adjustRightInd w:val="0"/>
              <w:snapToGrid w:val="0"/>
              <w:spacing w:line="240" w:lineRule="auto"/>
              <w:ind w:firstLine="0" w:firstLineChars="0"/>
              <w:jc w:val="center"/>
              <w:rPr>
                <w:rFonts w:ascii="宋体" w:hAnsi="宋体"/>
                <w:sz w:val="32"/>
                <w:szCs w:val="32"/>
                <w:highlight w:val="none"/>
              </w:rPr>
            </w:pPr>
            <w:r>
              <w:rPr>
                <w:rFonts w:hint="eastAsia" w:ascii="宋体" w:hAnsi="宋体"/>
                <w:b/>
                <w:sz w:val="32"/>
                <w:szCs w:val="32"/>
                <w:highlight w:val="none"/>
              </w:rPr>
              <w:t>投标人须知前附表（三）</w:t>
            </w:r>
          </w:p>
        </w:tc>
      </w:tr>
      <w:tr w14:paraId="517F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38DF3B1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110" w:type="pct"/>
            <w:shd w:val="clear" w:color="auto" w:fill="FFFFFF"/>
            <w:vAlign w:val="center"/>
          </w:tcPr>
          <w:p w14:paraId="4BD4D1DC">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名称</w:t>
            </w:r>
          </w:p>
        </w:tc>
        <w:tc>
          <w:tcPr>
            <w:tcW w:w="3331" w:type="pct"/>
            <w:shd w:val="clear" w:color="auto" w:fill="FFFFFF"/>
            <w:vAlign w:val="center"/>
          </w:tcPr>
          <w:p w14:paraId="0B0DC0BD">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337FB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48" w:hRule="atLeast"/>
        </w:trPr>
        <w:tc>
          <w:tcPr>
            <w:tcW w:w="559" w:type="pct"/>
            <w:shd w:val="clear" w:color="auto" w:fill="FFFFFF"/>
            <w:vAlign w:val="center"/>
          </w:tcPr>
          <w:p w14:paraId="68801954">
            <w:pPr>
              <w:widowControl w:val="0"/>
              <w:autoSpaceDE w:val="0"/>
              <w:autoSpaceDN w:val="0"/>
              <w:adjustRightInd w:val="0"/>
              <w:snapToGrid w:val="0"/>
              <w:ind w:firstLine="0" w:firstLineChars="0"/>
              <w:jc w:val="center"/>
              <w:rPr>
                <w:rFonts w:hint="eastAsia" w:ascii="宋体" w:hAnsi="宋体" w:eastAsia="宋体"/>
                <w:szCs w:val="21"/>
                <w:highlight w:val="none"/>
                <w:lang w:eastAsia="zh-CN"/>
              </w:rPr>
            </w:pPr>
            <w:r>
              <w:rPr>
                <w:rFonts w:hint="eastAsia" w:ascii="宋体" w:hAnsi="宋体"/>
                <w:szCs w:val="21"/>
                <w:highlight w:val="none"/>
                <w:lang w:val="en-US" w:eastAsia="zh-CN"/>
              </w:rPr>
              <w:t>28</w:t>
            </w:r>
            <w:r>
              <w:rPr>
                <w:rFonts w:hint="eastAsia" w:ascii="宋体" w:hAnsi="宋体"/>
                <w:szCs w:val="21"/>
                <w:highlight w:val="none"/>
              </w:rPr>
              <w:t>.</w:t>
            </w:r>
          </w:p>
        </w:tc>
        <w:tc>
          <w:tcPr>
            <w:tcW w:w="1110" w:type="pct"/>
            <w:shd w:val="clear" w:color="auto" w:fill="FFFFFF"/>
            <w:vAlign w:val="center"/>
          </w:tcPr>
          <w:p w14:paraId="7BA5414A">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投标样品</w:t>
            </w:r>
          </w:p>
        </w:tc>
        <w:tc>
          <w:tcPr>
            <w:tcW w:w="3331" w:type="pct"/>
            <w:shd w:val="clear" w:color="auto" w:fill="FFFFFF"/>
            <w:vAlign w:val="center"/>
          </w:tcPr>
          <w:p w14:paraId="2C105D60">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kern w:val="0"/>
                <w:szCs w:val="21"/>
                <w:highlight w:val="none"/>
              </w:rPr>
              <w:sym w:font="Wingdings 2" w:char="0052"/>
            </w:r>
            <w:r>
              <w:rPr>
                <w:rFonts w:hint="eastAsia" w:ascii="宋体" w:hAnsi="宋体"/>
                <w:szCs w:val="21"/>
                <w:highlight w:val="none"/>
              </w:rPr>
              <w:t>不要求递交投标样品</w:t>
            </w:r>
          </w:p>
          <w:p w14:paraId="6B7DD323">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□递交投标样品，具体要求：</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4606C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1EBCF5F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w:t>
            </w:r>
          </w:p>
        </w:tc>
        <w:tc>
          <w:tcPr>
            <w:tcW w:w="1110" w:type="pct"/>
            <w:shd w:val="clear" w:color="auto" w:fill="FFFFFF"/>
            <w:vAlign w:val="center"/>
          </w:tcPr>
          <w:p w14:paraId="7F2A035B">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投标文件递交要求</w:t>
            </w:r>
          </w:p>
          <w:p w14:paraId="28A83888">
            <w:pPr>
              <w:pStyle w:val="28"/>
              <w:ind w:firstLine="0" w:firstLineChars="0"/>
              <w:rPr>
                <w:highlight w:val="none"/>
              </w:rPr>
            </w:pPr>
            <w:r>
              <w:rPr>
                <w:rFonts w:hint="eastAsia"/>
                <w:highlight w:val="none"/>
              </w:rPr>
              <w:t>（递交</w:t>
            </w:r>
            <w:r>
              <w:rPr>
                <w:rFonts w:hint="eastAsia"/>
                <w:highlight w:val="none"/>
                <w:lang w:val="en-US" w:eastAsia="zh-CN"/>
              </w:rPr>
              <w:t>纸质</w:t>
            </w:r>
            <w:r>
              <w:rPr>
                <w:rFonts w:hint="eastAsia"/>
                <w:highlight w:val="none"/>
              </w:rPr>
              <w:t>文件）</w:t>
            </w:r>
          </w:p>
        </w:tc>
        <w:tc>
          <w:tcPr>
            <w:tcW w:w="3331" w:type="pct"/>
            <w:shd w:val="clear" w:color="auto" w:fill="FFFFFF"/>
            <w:vAlign w:val="center"/>
          </w:tcPr>
          <w:p w14:paraId="5DA1F421">
            <w:pPr>
              <w:pStyle w:val="48"/>
              <w:spacing w:before="120" w:beforeLines="50" w:beforeAutospacing="0" w:after="120" w:afterLines="50" w:afterAutospacing="0" w:line="360" w:lineRule="auto"/>
              <w:ind w:firstLine="0" w:firstLineChars="0"/>
              <w:rPr>
                <w:rFonts w:ascii="Times New Roman" w:hAnsi="Times New Roman"/>
                <w:b/>
                <w:bCs/>
                <w:color w:val="auto"/>
                <w:kern w:val="2"/>
                <w:sz w:val="21"/>
                <w:szCs w:val="21"/>
              </w:rPr>
            </w:pPr>
            <w:r>
              <w:rPr>
                <w:rFonts w:ascii="Times New Roman" w:hAnsi="Times New Roman"/>
                <w:color w:val="auto"/>
                <w:kern w:val="2"/>
                <w:sz w:val="21"/>
                <w:szCs w:val="21"/>
              </w:rPr>
              <w:t>1</w:t>
            </w:r>
            <w:r>
              <w:rPr>
                <w:rFonts w:hint="eastAsia" w:ascii="Times New Roman" w:hAnsi="Times New Roman"/>
                <w:color w:val="auto"/>
                <w:kern w:val="2"/>
                <w:sz w:val="21"/>
                <w:szCs w:val="21"/>
                <w:lang w:eastAsia="zh-CN"/>
              </w:rPr>
              <w:t>.</w:t>
            </w:r>
            <w:r>
              <w:rPr>
                <w:rFonts w:hint="eastAsia" w:cs="宋体"/>
                <w:b/>
                <w:bCs/>
                <w:color w:val="auto"/>
                <w:kern w:val="2"/>
                <w:sz w:val="21"/>
                <w:szCs w:val="21"/>
              </w:rPr>
              <w:t>本项目采用线下开标，纸质评标</w:t>
            </w:r>
            <w:r>
              <w:rPr>
                <w:rFonts w:hint="eastAsia" w:cs="宋体"/>
                <w:b/>
                <w:bCs/>
                <w:color w:val="auto"/>
                <w:kern w:val="2"/>
                <w:sz w:val="21"/>
                <w:szCs w:val="21"/>
                <w:lang w:eastAsia="zh-CN"/>
              </w:rPr>
              <w:t>、</w:t>
            </w:r>
            <w:r>
              <w:rPr>
                <w:rFonts w:hint="eastAsia" w:cs="宋体"/>
                <w:b/>
                <w:bCs/>
                <w:color w:val="auto"/>
                <w:kern w:val="2"/>
                <w:sz w:val="21"/>
                <w:szCs w:val="21"/>
                <w:lang w:val="en-US" w:eastAsia="zh-CN"/>
              </w:rPr>
              <w:t>电子档案留存</w:t>
            </w:r>
            <w:r>
              <w:rPr>
                <w:rFonts w:hint="eastAsia" w:cs="宋体"/>
                <w:b/>
                <w:bCs/>
                <w:color w:val="auto"/>
                <w:kern w:val="2"/>
                <w:sz w:val="21"/>
                <w:szCs w:val="21"/>
              </w:rPr>
              <w:t>。需提供纸质投标文件，其中正本（1份）、副本（</w:t>
            </w:r>
            <w:r>
              <w:rPr>
                <w:rFonts w:hint="eastAsia" w:cs="宋体"/>
                <w:b/>
                <w:bCs/>
                <w:color w:val="auto"/>
                <w:kern w:val="2"/>
                <w:sz w:val="21"/>
                <w:szCs w:val="21"/>
                <w:lang w:val="en-US" w:eastAsia="zh-CN"/>
              </w:rPr>
              <w:t>3</w:t>
            </w:r>
            <w:r>
              <w:rPr>
                <w:rFonts w:hint="eastAsia" w:cs="宋体"/>
                <w:b/>
                <w:bCs/>
                <w:color w:val="auto"/>
                <w:kern w:val="2"/>
                <w:sz w:val="21"/>
                <w:szCs w:val="21"/>
              </w:rPr>
              <w:t>份），</w:t>
            </w:r>
            <w:r>
              <w:rPr>
                <w:rFonts w:ascii="Times New Roman" w:hAnsi="Times New Roman"/>
                <w:b/>
                <w:bCs/>
                <w:color w:val="auto"/>
                <w:kern w:val="2"/>
                <w:sz w:val="21"/>
                <w:szCs w:val="21"/>
              </w:rPr>
              <w:t>“</w:t>
            </w:r>
            <w:r>
              <w:rPr>
                <w:rFonts w:hint="eastAsia" w:cs="宋体"/>
                <w:b/>
                <w:bCs/>
                <w:color w:val="auto"/>
                <w:kern w:val="2"/>
                <w:sz w:val="21"/>
                <w:szCs w:val="21"/>
              </w:rPr>
              <w:t>投标报价一览表</w:t>
            </w:r>
            <w:r>
              <w:rPr>
                <w:rFonts w:ascii="Times New Roman" w:hAnsi="Times New Roman"/>
                <w:b/>
                <w:bCs/>
                <w:color w:val="auto"/>
                <w:kern w:val="2"/>
                <w:sz w:val="21"/>
                <w:szCs w:val="21"/>
              </w:rPr>
              <w:t>”</w:t>
            </w:r>
            <w:r>
              <w:rPr>
                <w:rFonts w:hint="eastAsia" w:cs="宋体"/>
                <w:b/>
                <w:bCs/>
                <w:color w:val="auto"/>
                <w:kern w:val="2"/>
                <w:sz w:val="21"/>
                <w:szCs w:val="21"/>
              </w:rPr>
              <w:t>信封1份；</w:t>
            </w:r>
            <w:r>
              <w:rPr>
                <w:rFonts w:hint="eastAsia" w:cs="宋体"/>
                <w:b/>
                <w:bCs/>
                <w:color w:val="auto"/>
                <w:kern w:val="2"/>
                <w:sz w:val="21"/>
                <w:szCs w:val="21"/>
                <w:lang w:val="en-US" w:eastAsia="zh-CN"/>
              </w:rPr>
              <w:t>投标文件正本盖章扫描件（彩色pdf格式）存储U盘1个（招标流程结束可自行领取返还）。</w:t>
            </w:r>
          </w:p>
          <w:p w14:paraId="232AA909">
            <w:pPr>
              <w:spacing w:before="120" w:beforeLines="50" w:after="120" w:afterLines="50"/>
              <w:ind w:firstLine="0" w:firstLineChars="0"/>
              <w:jc w:val="left"/>
              <w:rPr>
                <w:szCs w:val="21"/>
                <w:highlight w:val="none"/>
              </w:rPr>
            </w:pPr>
            <w:r>
              <w:rPr>
                <w:szCs w:val="21"/>
                <w:highlight w:val="none"/>
              </w:rPr>
              <w:t>2</w:t>
            </w:r>
            <w:r>
              <w:rPr>
                <w:rFonts w:hint="eastAsia"/>
                <w:szCs w:val="21"/>
                <w:highlight w:val="none"/>
                <w:lang w:eastAsia="zh-CN"/>
              </w:rPr>
              <w:t>.</w:t>
            </w:r>
            <w:r>
              <w:rPr>
                <w:rFonts w:hint="eastAsia" w:ascii="宋体" w:hAnsi="宋体" w:cs="宋体"/>
                <w:szCs w:val="21"/>
                <w:highlight w:val="none"/>
              </w:rPr>
              <w:t>投标文件封面应标明</w:t>
            </w:r>
            <w:r>
              <w:rPr>
                <w:szCs w:val="21"/>
                <w:highlight w:val="none"/>
              </w:rPr>
              <w:t>“</w:t>
            </w:r>
            <w:r>
              <w:rPr>
                <w:rFonts w:hint="eastAsia" w:ascii="宋体" w:hAnsi="宋体" w:cs="宋体"/>
                <w:szCs w:val="21"/>
                <w:highlight w:val="none"/>
              </w:rPr>
              <w:t>正本</w:t>
            </w:r>
            <w:r>
              <w:rPr>
                <w:szCs w:val="21"/>
                <w:highlight w:val="none"/>
              </w:rPr>
              <w:t>”“</w:t>
            </w:r>
            <w:r>
              <w:rPr>
                <w:rFonts w:hint="eastAsia" w:ascii="宋体" w:hAnsi="宋体" w:cs="宋体"/>
                <w:szCs w:val="21"/>
                <w:highlight w:val="none"/>
              </w:rPr>
              <w:t>副本</w:t>
            </w:r>
            <w:r>
              <w:rPr>
                <w:szCs w:val="21"/>
                <w:highlight w:val="none"/>
              </w:rPr>
              <w:t>”</w:t>
            </w:r>
            <w:r>
              <w:rPr>
                <w:rFonts w:hint="eastAsia" w:ascii="宋体" w:hAnsi="宋体" w:cs="宋体"/>
                <w:szCs w:val="21"/>
                <w:highlight w:val="none"/>
              </w:rPr>
              <w:t>字样，副本可为正本复印件</w:t>
            </w:r>
            <w:r>
              <w:rPr>
                <w:rFonts w:hint="eastAsia" w:ascii="宋体" w:hAnsi="宋体" w:cs="宋体"/>
                <w:szCs w:val="21"/>
                <w:highlight w:val="none"/>
                <w:lang w:eastAsia="zh-CN"/>
              </w:rPr>
              <w:t>，</w:t>
            </w:r>
            <w:r>
              <w:rPr>
                <w:rFonts w:hint="eastAsia" w:ascii="宋体" w:hAnsi="宋体" w:cs="宋体"/>
                <w:szCs w:val="21"/>
                <w:highlight w:val="none"/>
              </w:rPr>
              <w:t>并将投标文件正本、副本，密封装在同一信封中。投标文件密封封口处须加盖投标单位公章或有效签字。</w:t>
            </w:r>
          </w:p>
          <w:p w14:paraId="69C55683">
            <w:pPr>
              <w:pStyle w:val="48"/>
              <w:spacing w:before="120" w:beforeLines="50" w:beforeAutospacing="0" w:after="120" w:afterLines="50" w:afterAutospacing="0" w:line="360" w:lineRule="auto"/>
              <w:ind w:firstLine="0" w:firstLineChars="0"/>
              <w:rPr>
                <w:rFonts w:ascii="Times New Roman" w:hAnsi="Times New Roman"/>
                <w:color w:val="auto"/>
                <w:kern w:val="2"/>
                <w:sz w:val="21"/>
                <w:szCs w:val="21"/>
              </w:rPr>
            </w:pPr>
            <w:r>
              <w:rPr>
                <w:rFonts w:ascii="Times New Roman" w:hAnsi="Times New Roman"/>
                <w:color w:val="auto"/>
                <w:kern w:val="2"/>
                <w:sz w:val="21"/>
                <w:szCs w:val="21"/>
              </w:rPr>
              <w:t>3</w:t>
            </w:r>
            <w:r>
              <w:rPr>
                <w:rFonts w:hint="eastAsia" w:ascii="Times New Roman" w:hAnsi="Times New Roman"/>
                <w:color w:val="auto"/>
                <w:kern w:val="2"/>
                <w:sz w:val="21"/>
                <w:szCs w:val="21"/>
                <w:lang w:eastAsia="zh-CN"/>
              </w:rPr>
              <w:t>.</w:t>
            </w:r>
            <w:r>
              <w:rPr>
                <w:rFonts w:hint="eastAsia" w:cs="宋体"/>
                <w:b w:val="0"/>
                <w:bCs w:val="0"/>
                <w:color w:val="auto"/>
                <w:kern w:val="2"/>
                <w:sz w:val="21"/>
                <w:szCs w:val="21"/>
              </w:rPr>
              <w:t>为方便开标唱标，投标人应将</w:t>
            </w:r>
            <w:r>
              <w:rPr>
                <w:rFonts w:ascii="Times New Roman" w:hAnsi="Times New Roman"/>
                <w:b w:val="0"/>
                <w:bCs w:val="0"/>
                <w:color w:val="auto"/>
                <w:kern w:val="2"/>
                <w:sz w:val="21"/>
                <w:szCs w:val="21"/>
              </w:rPr>
              <w:t>“D</w:t>
            </w:r>
            <w:r>
              <w:rPr>
                <w:rFonts w:hint="eastAsia" w:ascii="Times New Roman" w:hAnsi="Times New Roman"/>
                <w:b w:val="0"/>
                <w:bCs w:val="0"/>
                <w:color w:val="auto"/>
                <w:kern w:val="2"/>
                <w:sz w:val="21"/>
                <w:szCs w:val="21"/>
              </w:rPr>
              <w:t>1</w:t>
            </w:r>
            <w:r>
              <w:rPr>
                <w:rFonts w:hint="eastAsia" w:cs="宋体"/>
                <w:b w:val="0"/>
                <w:bCs w:val="0"/>
                <w:color w:val="auto"/>
                <w:kern w:val="2"/>
                <w:sz w:val="21"/>
                <w:szCs w:val="21"/>
              </w:rPr>
              <w:t>、投标报价一览表（加盖公章）</w:t>
            </w:r>
            <w:r>
              <w:rPr>
                <w:rFonts w:ascii="Times New Roman" w:hAnsi="Times New Roman"/>
                <w:b w:val="0"/>
                <w:bCs w:val="0"/>
                <w:color w:val="auto"/>
                <w:kern w:val="2"/>
                <w:sz w:val="21"/>
                <w:szCs w:val="21"/>
              </w:rPr>
              <w:t>”1</w:t>
            </w:r>
            <w:r>
              <w:rPr>
                <w:rFonts w:hint="eastAsia" w:cs="宋体"/>
                <w:b w:val="0"/>
                <w:bCs w:val="0"/>
                <w:color w:val="auto"/>
                <w:kern w:val="2"/>
                <w:sz w:val="21"/>
                <w:szCs w:val="21"/>
              </w:rPr>
              <w:t>份，</w:t>
            </w:r>
            <w:r>
              <w:rPr>
                <w:rFonts w:hint="eastAsia" w:cs="宋体"/>
                <w:b w:val="0"/>
                <w:bCs w:val="0"/>
                <w:color w:val="auto"/>
                <w:kern w:val="2"/>
                <w:sz w:val="21"/>
                <w:szCs w:val="21"/>
                <w:lang w:val="en-US" w:eastAsia="zh-CN"/>
              </w:rPr>
              <w:t>投标文件正本盖章扫描件（pdf格式）存储U盘1个，共同</w:t>
            </w:r>
            <w:r>
              <w:rPr>
                <w:rFonts w:hint="eastAsia" w:cs="宋体"/>
                <w:color w:val="auto"/>
                <w:kern w:val="2"/>
                <w:sz w:val="21"/>
                <w:szCs w:val="21"/>
              </w:rPr>
              <w:t>装入一个密封信封内，信封上标明</w:t>
            </w:r>
            <w:r>
              <w:rPr>
                <w:rFonts w:ascii="Times New Roman" w:hAnsi="Times New Roman"/>
                <w:color w:val="auto"/>
                <w:kern w:val="2"/>
                <w:sz w:val="21"/>
                <w:szCs w:val="21"/>
              </w:rPr>
              <w:t>“</w:t>
            </w:r>
            <w:r>
              <w:rPr>
                <w:rFonts w:hint="eastAsia" w:cs="宋体"/>
                <w:color w:val="auto"/>
                <w:kern w:val="2"/>
                <w:sz w:val="21"/>
                <w:szCs w:val="21"/>
              </w:rPr>
              <w:t>投标报价一览表</w:t>
            </w:r>
            <w:r>
              <w:rPr>
                <w:rFonts w:ascii="Times New Roman" w:hAnsi="Times New Roman"/>
                <w:color w:val="auto"/>
                <w:kern w:val="2"/>
                <w:sz w:val="21"/>
                <w:szCs w:val="21"/>
              </w:rPr>
              <w:t>”</w:t>
            </w:r>
            <w:r>
              <w:rPr>
                <w:rFonts w:hint="eastAsia" w:cs="宋体"/>
                <w:color w:val="auto"/>
                <w:kern w:val="2"/>
                <w:sz w:val="21"/>
                <w:szCs w:val="21"/>
              </w:rPr>
              <w:t>字样，在投标时单独提交。</w:t>
            </w:r>
          </w:p>
          <w:p w14:paraId="6EA4F5F8">
            <w:pPr>
              <w:pStyle w:val="48"/>
              <w:spacing w:before="120" w:beforeLines="50" w:beforeAutospacing="0" w:after="120"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递交投标文件时将核查法定代表人资格证明书及法定代表人授权委托书，请将此文件另行不密封准备，递交文件时交由工作人员进行身份核查。</w:t>
            </w:r>
          </w:p>
          <w:p w14:paraId="139220AD">
            <w:pPr>
              <w:widowControl w:val="0"/>
              <w:kinsoku w:val="0"/>
              <w:wordWrap w:val="0"/>
              <w:overflowPunct w:val="0"/>
              <w:autoSpaceDE w:val="0"/>
              <w:autoSpaceDN w:val="0"/>
              <w:adjustRightInd w:val="0"/>
              <w:snapToGrid w:val="0"/>
              <w:spacing w:before="120" w:beforeLines="50" w:after="120" w:afterLines="50"/>
              <w:ind w:firstLine="0" w:firstLineChars="0"/>
              <w:jc w:val="left"/>
              <w:rPr>
                <w:szCs w:val="21"/>
                <w:highlight w:val="none"/>
              </w:rPr>
            </w:pPr>
            <w:r>
              <w:rPr>
                <w:rFonts w:hint="eastAsia" w:ascii="宋体" w:hAnsi="宋体" w:cs="宋体"/>
                <w:szCs w:val="21"/>
                <w:highlight w:val="none"/>
              </w:rPr>
              <w:t>注意：</w:t>
            </w:r>
          </w:p>
          <w:p w14:paraId="0B06823B">
            <w:pPr>
              <w:spacing w:before="120" w:beforeLines="50" w:after="120" w:afterLines="50"/>
              <w:ind w:firstLine="0" w:firstLineChars="0"/>
              <w:jc w:val="left"/>
              <w:rPr>
                <w:szCs w:val="21"/>
                <w:highlight w:val="none"/>
              </w:rPr>
            </w:pPr>
            <w:r>
              <w:rPr>
                <w:rFonts w:hint="eastAsia" w:ascii="宋体" w:hAnsi="宋体" w:cs="宋体"/>
                <w:szCs w:val="21"/>
                <w:highlight w:val="none"/>
              </w:rPr>
              <w:t>投标文件</w:t>
            </w:r>
            <w:r>
              <w:rPr>
                <w:szCs w:val="21"/>
                <w:highlight w:val="none"/>
              </w:rPr>
              <w:t>“</w:t>
            </w:r>
            <w:r>
              <w:rPr>
                <w:rFonts w:hint="eastAsia" w:ascii="宋体" w:hAnsi="宋体" w:cs="宋体"/>
                <w:szCs w:val="21"/>
                <w:highlight w:val="none"/>
              </w:rPr>
              <w:t>正本、副本</w:t>
            </w:r>
            <w:r>
              <w:rPr>
                <w:szCs w:val="21"/>
                <w:highlight w:val="none"/>
              </w:rPr>
              <w:t>”“</w:t>
            </w:r>
            <w:r>
              <w:rPr>
                <w:rFonts w:hint="eastAsia" w:ascii="宋体" w:hAnsi="宋体" w:cs="宋体"/>
                <w:szCs w:val="21"/>
                <w:highlight w:val="none"/>
              </w:rPr>
              <w:t>投标报价一览表</w:t>
            </w:r>
            <w:r>
              <w:rPr>
                <w:szCs w:val="21"/>
                <w:highlight w:val="none"/>
              </w:rPr>
              <w:t>”</w:t>
            </w:r>
            <w:r>
              <w:rPr>
                <w:rFonts w:hint="eastAsia" w:ascii="宋体" w:hAnsi="宋体" w:cs="宋体"/>
                <w:szCs w:val="21"/>
                <w:highlight w:val="none"/>
              </w:rPr>
              <w:t>信封均应注明：</w:t>
            </w:r>
          </w:p>
          <w:p w14:paraId="15D6D8D5">
            <w:pPr>
              <w:spacing w:before="120" w:beforeLines="50" w:after="120" w:afterLines="50"/>
              <w:ind w:firstLine="0" w:firstLineChars="0"/>
              <w:jc w:val="left"/>
              <w:rPr>
                <w:szCs w:val="21"/>
                <w:highlight w:val="none"/>
              </w:rPr>
            </w:pPr>
            <w:r>
              <w:rPr>
                <w:rFonts w:hint="eastAsia" w:ascii="宋体" w:hAnsi="宋体" w:cs="宋体"/>
                <w:szCs w:val="21"/>
                <w:highlight w:val="none"/>
              </w:rPr>
              <w:t>递</w:t>
            </w:r>
            <w:r>
              <w:rPr>
                <w:szCs w:val="21"/>
                <w:highlight w:val="none"/>
              </w:rPr>
              <w:t xml:space="preserve"> </w:t>
            </w:r>
            <w:r>
              <w:rPr>
                <w:rFonts w:hint="eastAsia" w:ascii="宋体" w:hAnsi="宋体" w:cs="宋体"/>
                <w:szCs w:val="21"/>
                <w:highlight w:val="none"/>
              </w:rPr>
              <w:t>交</w:t>
            </w:r>
            <w:r>
              <w:rPr>
                <w:szCs w:val="21"/>
                <w:highlight w:val="none"/>
              </w:rPr>
              <w:t xml:space="preserve"> 至：</w:t>
            </w:r>
            <w:r>
              <w:rPr>
                <w:rFonts w:hint="eastAsia" w:ascii="宋体" w:hAnsi="宋体"/>
                <w:kern w:val="0"/>
                <w:szCs w:val="21"/>
                <w:u w:val="single"/>
              </w:rPr>
              <w:t>深圳市深圳体育中心体育场S12对面赛事公司</w:t>
            </w:r>
            <w:r>
              <w:rPr>
                <w:rFonts w:hint="eastAsia" w:ascii="宋体" w:hAnsi="宋体"/>
                <w:kern w:val="0"/>
                <w:szCs w:val="21"/>
                <w:u w:val="single"/>
                <w:lang w:val="en-US" w:eastAsia="zh-CN"/>
              </w:rPr>
              <w:t>（收）</w:t>
            </w:r>
          </w:p>
          <w:p w14:paraId="138BC9BE">
            <w:pPr>
              <w:spacing w:before="120" w:beforeLines="50" w:after="120" w:afterLines="50"/>
              <w:ind w:firstLine="0" w:firstLineChars="0"/>
              <w:jc w:val="left"/>
              <w:rPr>
                <w:szCs w:val="21"/>
                <w:highlight w:val="none"/>
                <w:u w:val="single"/>
              </w:rPr>
            </w:pPr>
            <w:r>
              <w:rPr>
                <w:rFonts w:hint="eastAsia" w:ascii="宋体" w:hAnsi="宋体" w:cs="宋体"/>
                <w:szCs w:val="21"/>
                <w:highlight w:val="none"/>
              </w:rPr>
              <w:t>项目编号：</w:t>
            </w:r>
            <w:r>
              <w:rPr>
                <w:szCs w:val="21"/>
                <w:highlight w:val="none"/>
                <w:u w:val="single"/>
              </w:rPr>
              <w:t xml:space="preserve"> </w:t>
            </w:r>
            <w:r>
              <w:rPr>
                <w:rFonts w:hint="eastAsia"/>
                <w:szCs w:val="21"/>
                <w:highlight w:val="none"/>
                <w:u w:val="single"/>
              </w:rPr>
              <w:t>YG26ZG0044424</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p>
          <w:p w14:paraId="07542236">
            <w:pPr>
              <w:spacing w:before="120" w:beforeLines="50" w:after="120" w:afterLines="50"/>
              <w:ind w:firstLine="0" w:firstLineChars="0"/>
              <w:jc w:val="left"/>
              <w:rPr>
                <w:rFonts w:hint="eastAsia" w:ascii="宋体" w:hAnsi="宋体" w:eastAsia="宋体"/>
                <w:bCs/>
                <w:sz w:val="20"/>
                <w:szCs w:val="21"/>
                <w:highlight w:val="none"/>
                <w:u w:val="single"/>
                <w:lang w:val="en-US" w:eastAsia="zh-CN"/>
              </w:rPr>
            </w:pPr>
            <w:r>
              <w:rPr>
                <w:rFonts w:hint="eastAsia" w:ascii="宋体" w:hAnsi="宋体" w:cs="宋体"/>
                <w:szCs w:val="21"/>
                <w:highlight w:val="none"/>
              </w:rPr>
              <w:t>项目名称：</w:t>
            </w:r>
            <w:r>
              <w:rPr>
                <w:rFonts w:hint="eastAsia" w:ascii="宋体" w:hAnsi="宋体"/>
                <w:bCs/>
                <w:szCs w:val="21"/>
                <w:highlight w:val="none"/>
              </w:rPr>
              <w:t>2026中国羽毛球大师赛赛事城市宣推服务</w:t>
            </w:r>
          </w:p>
          <w:p w14:paraId="40166536">
            <w:pPr>
              <w:pStyle w:val="48"/>
              <w:spacing w:before="0" w:beforeAutospacing="0" w:after="0" w:afterAutospacing="0" w:line="360" w:lineRule="auto"/>
              <w:ind w:firstLine="0" w:firstLineChars="0"/>
              <w:rPr>
                <w:rFonts w:cs="Segoe UI Symbol"/>
                <w:color w:val="auto"/>
                <w:szCs w:val="21"/>
                <w:highlight w:val="none"/>
              </w:rPr>
            </w:pPr>
            <w:r>
              <w:rPr>
                <w:rFonts w:hint="eastAsia" w:cs="宋体"/>
                <w:color w:val="auto"/>
                <w:kern w:val="2"/>
                <w:sz w:val="21"/>
                <w:szCs w:val="21"/>
                <w:highlight w:val="none"/>
              </w:rPr>
              <w:t>并备注：</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lang w:val="en-US" w:eastAsia="zh-CN"/>
              </w:rPr>
              <w:t>本项目</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lang w:val="en-US" w:eastAsia="zh-CN"/>
              </w:rPr>
              <w:t>6</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66823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shd w:val="clear" w:color="auto" w:fill="FFFFFF"/>
            <w:vAlign w:val="center"/>
          </w:tcPr>
          <w:p w14:paraId="6A66F39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szCs w:val="21"/>
                <w:highlight w:val="none"/>
              </w:rPr>
              <w:t>.</w:t>
            </w:r>
          </w:p>
        </w:tc>
        <w:tc>
          <w:tcPr>
            <w:tcW w:w="1110" w:type="pct"/>
            <w:shd w:val="clear" w:color="auto" w:fill="FFFFFF"/>
            <w:vAlign w:val="center"/>
          </w:tcPr>
          <w:p w14:paraId="6C65121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投标文件签字或盖章要求</w:t>
            </w:r>
          </w:p>
        </w:tc>
        <w:tc>
          <w:tcPr>
            <w:tcW w:w="3331" w:type="pct"/>
            <w:shd w:val="clear" w:color="auto" w:fill="FFFFFF"/>
            <w:vAlign w:val="center"/>
          </w:tcPr>
          <w:p w14:paraId="63C66CEC">
            <w:pPr>
              <w:pStyle w:val="48"/>
              <w:spacing w:before="0" w:beforeAutospacing="0" w:after="0" w:afterAutospacing="0" w:line="360" w:lineRule="auto"/>
              <w:rPr>
                <w:rFonts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none"/>
              </w:rPr>
              <w:t>（投标文件每页加盖公章，骑缝章，特殊规定位置加盖法人章（签字）或授权代理人签字）</w:t>
            </w:r>
            <w:r>
              <w:rPr>
                <w:rFonts w:hint="eastAsia" w:cs="宋体"/>
                <w:color w:val="auto"/>
                <w:kern w:val="2"/>
                <w:sz w:val="21"/>
                <w:szCs w:val="21"/>
                <w:highlight w:val="none"/>
              </w:rPr>
              <w:t>方为合法的投标文件。对文件未盖章的资料，相应资料无效；相应资料无效致使投标文件无效的，由投标人自行负责。</w:t>
            </w:r>
          </w:p>
        </w:tc>
      </w:tr>
      <w:tr w14:paraId="1F5C3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rPr>
        <w:tc>
          <w:tcPr>
            <w:tcW w:w="5000" w:type="pct"/>
            <w:gridSpan w:val="3"/>
            <w:shd w:val="clear" w:color="auto" w:fill="D9E2F3"/>
            <w:vAlign w:val="center"/>
          </w:tcPr>
          <w:p w14:paraId="1DB73FE1">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投标文件的编制内容</w:t>
            </w:r>
          </w:p>
        </w:tc>
      </w:tr>
      <w:tr w14:paraId="61DAC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rPr>
        <w:tc>
          <w:tcPr>
            <w:tcW w:w="559" w:type="pct"/>
            <w:shd w:val="clear" w:color="auto" w:fill="FFFFFF"/>
            <w:vAlign w:val="center"/>
          </w:tcPr>
          <w:p w14:paraId="1454494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w:t>
            </w:r>
            <w:r>
              <w:rPr>
                <w:rFonts w:ascii="宋体" w:hAnsi="宋体"/>
                <w:b/>
                <w:szCs w:val="21"/>
                <w:highlight w:val="none"/>
              </w:rPr>
              <w:t>号</w:t>
            </w:r>
          </w:p>
        </w:tc>
        <w:tc>
          <w:tcPr>
            <w:tcW w:w="1110" w:type="pct"/>
            <w:shd w:val="clear" w:color="auto" w:fill="FFFFFF"/>
            <w:vAlign w:val="center"/>
          </w:tcPr>
          <w:p w14:paraId="3256992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内容</w:t>
            </w:r>
          </w:p>
        </w:tc>
        <w:tc>
          <w:tcPr>
            <w:tcW w:w="3331" w:type="pct"/>
            <w:shd w:val="clear" w:color="auto" w:fill="FFFFFF"/>
            <w:vAlign w:val="center"/>
          </w:tcPr>
          <w:p w14:paraId="0E056C3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规定</w:t>
            </w:r>
          </w:p>
        </w:tc>
      </w:tr>
      <w:tr w14:paraId="5882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792" w:hRule="atLeast"/>
        </w:trPr>
        <w:tc>
          <w:tcPr>
            <w:tcW w:w="559" w:type="pct"/>
            <w:vMerge w:val="restart"/>
            <w:shd w:val="clear" w:color="auto" w:fill="FFFFFF"/>
            <w:vAlign w:val="center"/>
          </w:tcPr>
          <w:p w14:paraId="2D8086A5">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3.1.1</w:t>
            </w:r>
          </w:p>
        </w:tc>
        <w:tc>
          <w:tcPr>
            <w:tcW w:w="1110" w:type="pct"/>
            <w:tcBorders>
              <w:bottom w:val="single" w:color="auto" w:sz="4" w:space="0"/>
            </w:tcBorders>
            <w:shd w:val="clear" w:color="auto" w:fill="FFFFFF"/>
            <w:vAlign w:val="center"/>
          </w:tcPr>
          <w:p w14:paraId="0C33230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Courier New"/>
                <w:kern w:val="0"/>
                <w:szCs w:val="21"/>
                <w:highlight w:val="none"/>
              </w:rPr>
              <w:t>投标文件组成</w:t>
            </w:r>
          </w:p>
        </w:tc>
        <w:tc>
          <w:tcPr>
            <w:tcW w:w="3331" w:type="pct"/>
            <w:shd w:val="clear" w:color="auto" w:fill="FFFFFF"/>
            <w:vAlign w:val="center"/>
          </w:tcPr>
          <w:p w14:paraId="56C52ABD">
            <w:pPr>
              <w:widowControl w:val="0"/>
              <w:autoSpaceDE w:val="0"/>
              <w:autoSpaceDN w:val="0"/>
              <w:adjustRightInd w:val="0"/>
              <w:snapToGrid w:val="0"/>
              <w:ind w:firstLine="0" w:firstLineChars="0"/>
              <w:jc w:val="left"/>
              <w:rPr>
                <w:rFonts w:ascii="宋体" w:hAnsi="宋体" w:cs="Courier New"/>
                <w:b/>
                <w:kern w:val="0"/>
                <w:szCs w:val="21"/>
                <w:highlight w:val="none"/>
              </w:rPr>
            </w:pPr>
            <w:r>
              <w:rPr>
                <w:rFonts w:hint="eastAsia" w:ascii="宋体" w:hAnsi="宋体" w:cs="Courier New"/>
                <w:kern w:val="0"/>
                <w:szCs w:val="21"/>
                <w:highlight w:val="none"/>
              </w:rPr>
              <w:t>投标文件包含以下组成部分</w:t>
            </w:r>
            <w:r>
              <w:rPr>
                <w:rFonts w:hint="eastAsia" w:ascii="宋体" w:hAnsi="宋体" w:cs="Courier New"/>
                <w:b/>
                <w:kern w:val="0"/>
                <w:szCs w:val="21"/>
                <w:highlight w:val="none"/>
              </w:rPr>
              <w:t>：</w:t>
            </w:r>
          </w:p>
          <w:p w14:paraId="2498B3A5">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资格审查文件</w:t>
            </w:r>
          </w:p>
          <w:p w14:paraId="4EBB7596">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商务标部分</w:t>
            </w:r>
          </w:p>
          <w:p w14:paraId="52D722B7">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技术标部分</w:t>
            </w:r>
          </w:p>
          <w:p w14:paraId="7893E590">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价格标部分</w:t>
            </w:r>
          </w:p>
        </w:tc>
      </w:tr>
      <w:tr w14:paraId="1212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001C7B99"/>
        </w:tc>
        <w:tc>
          <w:tcPr>
            <w:tcW w:w="1110" w:type="pct"/>
            <w:tcBorders>
              <w:bottom w:val="single" w:color="auto" w:sz="4" w:space="0"/>
            </w:tcBorders>
            <w:shd w:val="clear" w:color="auto" w:fill="FFFFFF"/>
            <w:vAlign w:val="center"/>
          </w:tcPr>
          <w:p w14:paraId="03EB6DCC">
            <w:pPr>
              <w:widowControl w:val="0"/>
              <w:autoSpaceDE w:val="0"/>
              <w:autoSpaceDN w:val="0"/>
              <w:adjustRightInd w:val="0"/>
              <w:snapToGrid w:val="0"/>
              <w:ind w:firstLine="0" w:firstLineChars="0"/>
              <w:jc w:val="center"/>
              <w:rPr>
                <w:rFonts w:ascii="宋体" w:hAnsi="宋体" w:cs="Courier New"/>
                <w:kern w:val="0"/>
                <w:szCs w:val="21"/>
                <w:highlight w:val="none"/>
              </w:rPr>
            </w:pPr>
            <w:r>
              <w:rPr>
                <w:rFonts w:hint="eastAsia" w:ascii="宋体" w:hAnsi="宋体" w:cs="Courier New"/>
                <w:kern w:val="0"/>
                <w:szCs w:val="21"/>
                <w:highlight w:val="none"/>
              </w:rPr>
              <w:t>资格审查文件</w:t>
            </w:r>
          </w:p>
        </w:tc>
        <w:tc>
          <w:tcPr>
            <w:tcW w:w="3331" w:type="pct"/>
            <w:shd w:val="clear" w:color="auto" w:fill="FFFFFF"/>
            <w:vAlign w:val="center"/>
          </w:tcPr>
          <w:p w14:paraId="1570000C">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2CDD98F8">
            <w:pPr>
              <w:widowControl w:val="0"/>
              <w:wordWrap w:val="0"/>
              <w:autoSpaceDE w:val="0"/>
              <w:autoSpaceDN w:val="0"/>
              <w:adjustRightInd w:val="0"/>
              <w:snapToGrid w:val="0"/>
              <w:ind w:firstLine="0" w:firstLineChars="0"/>
              <w:rPr>
                <w:rFonts w:ascii="宋体" w:hAnsi="宋体" w:cs="Courier New"/>
                <w:kern w:val="0"/>
                <w:szCs w:val="21"/>
                <w:highlight w:val="none"/>
                <w:u w:val="single"/>
              </w:rPr>
            </w:pPr>
            <w:r>
              <w:rPr>
                <w:rFonts w:hint="eastAsia" w:ascii="宋体" w:hAnsi="宋体" w:cs="Courier New"/>
                <w:kern w:val="0"/>
                <w:szCs w:val="21"/>
                <w:highlight w:val="none"/>
              </w:rPr>
              <w:t>详见第五章</w:t>
            </w:r>
          </w:p>
        </w:tc>
      </w:tr>
      <w:tr w14:paraId="3AD4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60706F2D"/>
        </w:tc>
        <w:tc>
          <w:tcPr>
            <w:tcW w:w="1110" w:type="pct"/>
            <w:tcBorders>
              <w:top w:val="single" w:color="auto" w:sz="4" w:space="0"/>
            </w:tcBorders>
            <w:shd w:val="clear" w:color="auto" w:fill="FFFFFF"/>
            <w:vAlign w:val="center"/>
          </w:tcPr>
          <w:p w14:paraId="5130747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商务标部分</w:t>
            </w:r>
          </w:p>
        </w:tc>
        <w:tc>
          <w:tcPr>
            <w:tcW w:w="3331" w:type="pct"/>
            <w:shd w:val="clear" w:color="auto" w:fill="FFFFFF"/>
            <w:vAlign w:val="center"/>
          </w:tcPr>
          <w:p w14:paraId="13BB6C2C">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31F2A08">
            <w:pPr>
              <w:widowControl w:val="0"/>
              <w:wordWrap w:val="0"/>
              <w:autoSpaceDE w:val="0"/>
              <w:autoSpaceDN w:val="0"/>
              <w:adjustRightInd w:val="0"/>
              <w:snapToGrid w:val="0"/>
              <w:ind w:firstLine="0" w:firstLineChars="0"/>
              <w:rPr>
                <w:rFonts w:ascii="宋体" w:hAnsi="宋体" w:cs="Courier New"/>
                <w:kern w:val="0"/>
                <w:szCs w:val="21"/>
                <w:highlight w:val="none"/>
              </w:rPr>
            </w:pPr>
            <w:r>
              <w:rPr>
                <w:rFonts w:hint="eastAsia" w:ascii="宋体" w:hAnsi="宋体" w:cs="Courier New"/>
                <w:kern w:val="0"/>
                <w:szCs w:val="21"/>
                <w:highlight w:val="none"/>
              </w:rPr>
              <w:t>详见第五章</w:t>
            </w:r>
          </w:p>
        </w:tc>
      </w:tr>
      <w:tr w14:paraId="58F80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32CCC257"/>
        </w:tc>
        <w:tc>
          <w:tcPr>
            <w:tcW w:w="1110" w:type="pct"/>
            <w:shd w:val="clear" w:color="auto" w:fill="FFFFFF"/>
            <w:vAlign w:val="center"/>
          </w:tcPr>
          <w:p w14:paraId="0288913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技术标部分</w:t>
            </w:r>
          </w:p>
        </w:tc>
        <w:tc>
          <w:tcPr>
            <w:tcW w:w="3331" w:type="pct"/>
            <w:shd w:val="clear" w:color="auto" w:fill="FFFFFF"/>
            <w:vAlign w:val="center"/>
          </w:tcPr>
          <w:p w14:paraId="4BE3E56F">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E9E9DE1">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Courier New"/>
                <w:kern w:val="0"/>
                <w:szCs w:val="21"/>
                <w:highlight w:val="none"/>
              </w:rPr>
              <w:t>详见第五章</w:t>
            </w:r>
          </w:p>
        </w:tc>
      </w:tr>
      <w:tr w14:paraId="2D7B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59" w:type="pct"/>
            <w:vMerge w:val="continue"/>
            <w:shd w:val="clear" w:color="auto" w:fill="FFFFFF"/>
            <w:vAlign w:val="center"/>
          </w:tcPr>
          <w:p w14:paraId="2492CBC7"/>
        </w:tc>
        <w:tc>
          <w:tcPr>
            <w:tcW w:w="1110" w:type="pct"/>
            <w:shd w:val="clear" w:color="auto" w:fill="FFFFFF"/>
            <w:vAlign w:val="center"/>
          </w:tcPr>
          <w:p w14:paraId="567E313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价格标部分</w:t>
            </w:r>
          </w:p>
        </w:tc>
        <w:tc>
          <w:tcPr>
            <w:tcW w:w="3331" w:type="pct"/>
            <w:shd w:val="clear" w:color="auto" w:fill="FFFFFF"/>
            <w:vAlign w:val="center"/>
          </w:tcPr>
          <w:p w14:paraId="53EFFAEE">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010FBE77">
            <w:pPr>
              <w:widowControl w:val="0"/>
              <w:wordWrap w:val="0"/>
              <w:autoSpaceDE w:val="0"/>
              <w:autoSpaceDN w:val="0"/>
              <w:adjustRightInd w:val="0"/>
              <w:snapToGrid w:val="0"/>
              <w:ind w:firstLine="0" w:firstLineChars="0"/>
              <w:rPr>
                <w:rFonts w:ascii="宋体" w:hAnsi="宋体"/>
                <w:snapToGrid w:val="0"/>
                <w:kern w:val="0"/>
                <w:szCs w:val="21"/>
                <w:highlight w:val="none"/>
              </w:rPr>
            </w:pPr>
            <w:r>
              <w:rPr>
                <w:rFonts w:hint="eastAsia" w:ascii="宋体" w:hAnsi="宋体" w:cs="Courier New"/>
                <w:kern w:val="0"/>
                <w:szCs w:val="21"/>
                <w:highlight w:val="none"/>
              </w:rPr>
              <w:t>详见第五章</w:t>
            </w:r>
          </w:p>
        </w:tc>
      </w:tr>
      <w:tr w14:paraId="3BEAA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trPr>
        <w:tc>
          <w:tcPr>
            <w:tcW w:w="5000" w:type="pct"/>
            <w:gridSpan w:val="3"/>
            <w:shd w:val="clear" w:color="auto" w:fill="FFFFFF"/>
            <w:vAlign w:val="center"/>
          </w:tcPr>
          <w:p w14:paraId="2197EAF5">
            <w:pPr>
              <w:widowControl w:val="0"/>
              <w:autoSpaceDE w:val="0"/>
              <w:autoSpaceDN w:val="0"/>
              <w:adjustRightInd w:val="0"/>
              <w:snapToGrid w:val="0"/>
              <w:ind w:firstLine="0" w:firstLineChars="0"/>
              <w:jc w:val="left"/>
              <w:rPr>
                <w:rFonts w:ascii="宋体" w:hAnsi="宋体"/>
                <w:b/>
                <w:bCs/>
                <w:snapToGrid w:val="0"/>
                <w:kern w:val="0"/>
                <w:szCs w:val="21"/>
                <w:highlight w:val="none"/>
              </w:rPr>
            </w:pPr>
            <w:r>
              <w:rPr>
                <w:rFonts w:hint="eastAsia" w:ascii="宋体" w:hAnsi="宋体"/>
                <w:b/>
                <w:bCs/>
                <w:snapToGrid w:val="0"/>
                <w:kern w:val="0"/>
                <w:szCs w:val="21"/>
                <w:highlight w:val="none"/>
              </w:rPr>
              <w:t>备注：</w:t>
            </w:r>
          </w:p>
          <w:p w14:paraId="3C58F94D">
            <w:pPr>
              <w:widowControl w:val="0"/>
              <w:autoSpaceDE w:val="0"/>
              <w:autoSpaceDN w:val="0"/>
              <w:adjustRightInd w:val="0"/>
              <w:snapToGrid w:val="0"/>
              <w:ind w:firstLine="0" w:firstLineChars="0"/>
              <w:jc w:val="left"/>
              <w:rPr>
                <w:rFonts w:ascii="宋体" w:hAnsi="宋体"/>
                <w:bCs/>
                <w:snapToGrid w:val="0"/>
                <w:kern w:val="0"/>
                <w:szCs w:val="21"/>
                <w:highlight w:val="none"/>
              </w:rPr>
            </w:pPr>
            <w:r>
              <w:rPr>
                <w:rFonts w:hint="eastAsia" w:ascii="宋体" w:hAnsi="宋体"/>
                <w:bCs/>
                <w:snapToGrid w:val="0"/>
                <w:kern w:val="0"/>
                <w:szCs w:val="21"/>
                <w:highlight w:val="none"/>
              </w:rPr>
              <w:t>本表如出现前后不一的缺漏情况，以招标文件中列明较多的为准，如出现名称不一致的情况以投标文件格式的名称为准。</w:t>
            </w:r>
          </w:p>
        </w:tc>
      </w:tr>
      <w:bookmarkEnd w:id="29"/>
    </w:tbl>
    <w:p w14:paraId="76768384">
      <w:pPr>
        <w:pStyle w:val="22"/>
        <w:ind w:firstLine="0" w:firstLineChars="0"/>
        <w:rPr>
          <w:rFonts w:ascii="宋体" w:hAnsi="宋体"/>
          <w:highlight w:val="none"/>
          <w:shd w:val="clear" w:color="auto" w:fill="FFFFFF"/>
        </w:rPr>
      </w:pPr>
      <w:bookmarkStart w:id="30" w:name="_Hlk532140390"/>
      <w:bookmarkStart w:id="31" w:name="_Toc144974497"/>
      <w:bookmarkStart w:id="32" w:name="_Toc152042305"/>
      <w:bookmarkStart w:id="33" w:name="_Toc152045529"/>
    </w:p>
    <w:p w14:paraId="2DC1937D">
      <w:pPr>
        <w:pStyle w:val="16"/>
        <w:rPr>
          <w:highlight w:val="none"/>
        </w:rPr>
      </w:pPr>
      <w:r>
        <w:rPr>
          <w:highlight w:val="none"/>
          <w:shd w:val="clear" w:color="auto" w:fill="FFFFFF"/>
        </w:rPr>
        <w:br w:type="page"/>
      </w:r>
    </w:p>
    <w:p w14:paraId="0482A01B">
      <w:pPr>
        <w:widowControl w:val="0"/>
        <w:autoSpaceDE w:val="0"/>
        <w:autoSpaceDN w:val="0"/>
        <w:adjustRightInd w:val="0"/>
        <w:snapToGrid w:val="0"/>
        <w:ind w:firstLine="0" w:firstLineChars="0"/>
        <w:jc w:val="center"/>
        <w:outlineLvl w:val="1"/>
        <w:rPr>
          <w:rFonts w:ascii="宋体" w:hAnsi="宋体"/>
          <w:sz w:val="28"/>
          <w:highlight w:val="none"/>
        </w:rPr>
      </w:pPr>
      <w:bookmarkStart w:id="34" w:name="_Toc23669"/>
      <w:bookmarkStart w:id="35" w:name="_Toc22623"/>
      <w:bookmarkStart w:id="36" w:name="_Toc21763"/>
      <w:bookmarkStart w:id="37" w:name="_Toc11206"/>
      <w:r>
        <w:rPr>
          <w:rFonts w:hint="eastAsia" w:ascii="宋体" w:hAnsi="宋体"/>
          <w:b/>
          <w:sz w:val="32"/>
          <w:szCs w:val="32"/>
          <w:highlight w:val="none"/>
        </w:rPr>
        <w:t>第二节 否决性条款摘要</w:t>
      </w:r>
      <w:bookmarkEnd w:id="34"/>
      <w:bookmarkEnd w:id="35"/>
      <w:bookmarkEnd w:id="36"/>
      <w:bookmarkEnd w:id="37"/>
    </w:p>
    <w:p w14:paraId="48B98657">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
          <w:bCs/>
          <w:szCs w:val="21"/>
          <w:highlight w:val="none"/>
        </w:rPr>
        <w:t>提示投标人和评标委员会</w:t>
      </w:r>
      <w:r>
        <w:rPr>
          <w:rFonts w:hint="eastAsia" w:ascii="宋体" w:hAnsi="宋体"/>
          <w:bCs/>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5CC56160">
      <w:pPr>
        <w:widowControl w:val="0"/>
        <w:autoSpaceDE w:val="0"/>
        <w:autoSpaceDN w:val="0"/>
        <w:adjustRightInd w:val="0"/>
        <w:snapToGrid w:val="0"/>
        <w:ind w:firstLine="0" w:firstLineChars="0"/>
        <w:jc w:val="left"/>
        <w:rPr>
          <w:rFonts w:ascii="宋体" w:hAnsi="宋体"/>
          <w:bCs/>
          <w:szCs w:val="21"/>
          <w:highlight w:val="none"/>
        </w:rPr>
      </w:pPr>
    </w:p>
    <w:p w14:paraId="13B6A8C5">
      <w:pPr>
        <w:pStyle w:val="311"/>
        <w:widowControl w:val="0"/>
        <w:numPr>
          <w:ilvl w:val="0"/>
          <w:numId w:val="2"/>
        </w:numPr>
        <w:autoSpaceDE w:val="0"/>
        <w:autoSpaceDN w:val="0"/>
        <w:adjustRightInd w:val="0"/>
        <w:snapToGrid w:val="0"/>
        <w:ind w:left="0" w:firstLine="0" w:firstLineChars="0"/>
        <w:jc w:val="left"/>
        <w:rPr>
          <w:rFonts w:ascii="宋体" w:hAnsi="宋体"/>
          <w:b/>
          <w:bCs/>
          <w:szCs w:val="21"/>
          <w:highlight w:val="none"/>
        </w:rPr>
      </w:pPr>
      <w:r>
        <w:rPr>
          <w:rFonts w:hint="eastAsia" w:ascii="宋体" w:hAnsi="宋体"/>
          <w:b/>
          <w:szCs w:val="21"/>
          <w:highlight w:val="none"/>
        </w:rPr>
        <w:t>投标文件有下列情形之一的，其投标将不予受理的情形（由招标人负责判定）：</w:t>
      </w:r>
    </w:p>
    <w:p w14:paraId="74C1AAC4">
      <w:pPr>
        <w:pStyle w:val="311"/>
        <w:widowControl w:val="0"/>
        <w:numPr>
          <w:ilvl w:val="1"/>
          <w:numId w:val="2"/>
        </w:numPr>
        <w:autoSpaceDE w:val="0"/>
        <w:autoSpaceDN w:val="0"/>
        <w:adjustRightInd w:val="0"/>
        <w:snapToGrid w:val="0"/>
        <w:ind w:left="0" w:firstLine="0" w:firstLineChars="0"/>
        <w:jc w:val="left"/>
        <w:rPr>
          <w:rFonts w:ascii="宋体" w:hAnsi="宋体"/>
          <w:highlight w:val="none"/>
        </w:rPr>
      </w:pPr>
      <w:bookmarkStart w:id="38" w:name="_Toc246221337"/>
      <w:bookmarkStart w:id="39" w:name="_Toc246144208"/>
      <w:bookmarkStart w:id="40" w:name="_Toc246133765"/>
      <w:r>
        <w:rPr>
          <w:rFonts w:hint="eastAsia" w:ascii="宋体" w:hAnsi="宋体"/>
          <w:highlight w:val="none"/>
        </w:rPr>
        <w:t>在投标人须知前附表规定的投标截止时间以后逾期送达的或者未送达指定地点的投标文件；</w:t>
      </w:r>
    </w:p>
    <w:p w14:paraId="4FC3166F">
      <w:pPr>
        <w:pStyle w:val="311"/>
        <w:widowControl w:val="0"/>
        <w:numPr>
          <w:ilvl w:val="1"/>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投标人名称和购买（获取）文件时登记不一致的。</w:t>
      </w:r>
    </w:p>
    <w:p w14:paraId="3B43CFDE">
      <w:pPr>
        <w:widowControl w:val="0"/>
        <w:autoSpaceDE w:val="0"/>
        <w:autoSpaceDN w:val="0"/>
        <w:adjustRightInd w:val="0"/>
        <w:snapToGrid w:val="0"/>
        <w:ind w:firstLine="0" w:firstLineChars="0"/>
        <w:jc w:val="left"/>
        <w:rPr>
          <w:rFonts w:ascii="宋体" w:hAnsi="宋体"/>
          <w:highlight w:val="none"/>
        </w:rPr>
      </w:pPr>
    </w:p>
    <w:p w14:paraId="02ED2F09">
      <w:pPr>
        <w:pStyle w:val="311"/>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围标、串标与废标的判定与处理</w:t>
      </w:r>
      <w:bookmarkEnd w:id="38"/>
      <w:bookmarkEnd w:id="39"/>
      <w:bookmarkEnd w:id="40"/>
      <w:r>
        <w:rPr>
          <w:rFonts w:hint="eastAsia" w:ascii="宋体" w:hAnsi="宋体"/>
          <w:b/>
          <w:szCs w:val="21"/>
          <w:highlight w:val="none"/>
        </w:rPr>
        <w:t>（初步评审由评标委员会负责判定）</w:t>
      </w:r>
    </w:p>
    <w:p w14:paraId="6FA39256">
      <w:pPr>
        <w:pStyle w:val="311"/>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围标、串标的判定与处理</w:t>
      </w:r>
    </w:p>
    <w:p w14:paraId="39E4DFE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2D121388">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不同投标人的投标文件由同一单位或者个人编制；</w:t>
      </w:r>
    </w:p>
    <w:p w14:paraId="47EF5E1B">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不同投标人委托同一单位或者个人办理投标事宜；</w:t>
      </w:r>
    </w:p>
    <w:p w14:paraId="6EAA8D15">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不同投标人的投标文件载明的项目管理成员为同一人；</w:t>
      </w:r>
    </w:p>
    <w:p w14:paraId="10B2150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不同投标人的投标文件异常一致或者投标报价呈规律性差异；</w:t>
      </w:r>
    </w:p>
    <w:p w14:paraId="681E6BD7">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不同投标人的投标文件相互混装；</w:t>
      </w:r>
    </w:p>
    <w:p w14:paraId="4A2959CD">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不同投标人的投标保证金从同一单位或者个人的账户转出；</w:t>
      </w:r>
    </w:p>
    <w:p w14:paraId="7223472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投标人以他人名义投标，串通投标，以行贿手段谋取中标或者以其他弄虚作假方式投标</w:t>
      </w:r>
      <w:r>
        <w:rPr>
          <w:rFonts w:hint="eastAsia" w:ascii="宋体" w:hAnsi="宋体"/>
          <w:highlight w:val="none"/>
        </w:rPr>
        <w:t>。</w:t>
      </w:r>
    </w:p>
    <w:p w14:paraId="7890782A">
      <w:pPr>
        <w:pStyle w:val="311"/>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废标的判定与处理</w:t>
      </w:r>
    </w:p>
    <w:p w14:paraId="5AD64A8A">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有下列情形之一的，经评标委员会遵循少数服从多数的原则集体表决认定后，按废标处理让该投标文件退出评标程序。</w:t>
      </w:r>
    </w:p>
    <w:p w14:paraId="261A74DC">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投标报价超出招标控制价或最高限价的或按第一章第三节3.2条规定的调整方法确定的调整后价格超出最高限价的；</w:t>
      </w:r>
    </w:p>
    <w:p w14:paraId="37F62829">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ascii="宋体" w:hAnsi="宋体"/>
          <w:snapToGrid w:val="0"/>
          <w:kern w:val="0"/>
          <w:highlight w:val="none"/>
        </w:rPr>
        <w:t>投标人资格条件不符合国家</w:t>
      </w:r>
      <w:r>
        <w:rPr>
          <w:rFonts w:hint="eastAsia" w:ascii="宋体" w:hAnsi="宋体"/>
          <w:snapToGrid w:val="0"/>
          <w:kern w:val="0"/>
          <w:highlight w:val="none"/>
        </w:rPr>
        <w:t>有关</w:t>
      </w:r>
      <w:r>
        <w:rPr>
          <w:rFonts w:ascii="宋体" w:hAnsi="宋体"/>
          <w:snapToGrid w:val="0"/>
          <w:kern w:val="0"/>
          <w:highlight w:val="none"/>
        </w:rPr>
        <w:t>规定和招标文件要求的</w:t>
      </w:r>
      <w:r>
        <w:rPr>
          <w:rFonts w:hint="eastAsia" w:ascii="宋体" w:hAnsi="宋体"/>
          <w:snapToGrid w:val="0"/>
          <w:kern w:val="0"/>
          <w:highlight w:val="none"/>
        </w:rPr>
        <w:t>；</w:t>
      </w:r>
    </w:p>
    <w:p w14:paraId="7CCBA076">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未按招标文件的规定提交投标保证金的，或投标保函的内容不符合招标文件要求的；</w:t>
      </w:r>
    </w:p>
    <w:p w14:paraId="6B05EFE3">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未按招标文件规定提交《投标函》的，或《投标函》未按招标文件规定填写、漏填或内容填写错误，可能</w:t>
      </w:r>
      <w:r>
        <w:rPr>
          <w:rFonts w:ascii="宋体" w:hAnsi="宋体"/>
          <w:snapToGrid w:val="0"/>
          <w:kern w:val="0"/>
          <w:highlight w:val="none"/>
        </w:rPr>
        <w:t>导致</w:t>
      </w:r>
      <w:r>
        <w:rPr>
          <w:rFonts w:hint="eastAsia" w:ascii="宋体" w:hAnsi="宋体"/>
          <w:snapToGrid w:val="0"/>
          <w:kern w:val="0"/>
          <w:highlight w:val="none"/>
        </w:rPr>
        <w:t>影响</w:t>
      </w:r>
      <w:r>
        <w:rPr>
          <w:rFonts w:ascii="宋体" w:hAnsi="宋体"/>
          <w:snapToGrid w:val="0"/>
          <w:kern w:val="0"/>
          <w:highlight w:val="none"/>
        </w:rPr>
        <w:t>项目实施，损害招标人利益的</w:t>
      </w:r>
      <w:r>
        <w:rPr>
          <w:rFonts w:hint="eastAsia" w:ascii="宋体" w:hAnsi="宋体"/>
          <w:snapToGrid w:val="0"/>
          <w:kern w:val="0"/>
          <w:highlight w:val="none"/>
        </w:rPr>
        <w:t>；</w:t>
      </w:r>
    </w:p>
    <w:p w14:paraId="15C8C49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组成联合体投标的，投标文件中未按规定提交联合体所有成员共同投标协议的；</w:t>
      </w:r>
    </w:p>
    <w:p w14:paraId="163894F2">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投标人递交两份或多份内容不同的投标文件，或在一份投标文件中，有两个或多个报价且</w:t>
      </w:r>
      <w:r>
        <w:rPr>
          <w:rFonts w:hint="eastAsia" w:ascii="宋体" w:hAnsi="宋体"/>
          <w:highlight w:val="none"/>
        </w:rPr>
        <w:t>根据招标文件评定标办法规定的修正原则无法确定</w:t>
      </w:r>
      <w:r>
        <w:rPr>
          <w:rFonts w:ascii="宋体" w:hAnsi="宋体"/>
          <w:highlight w:val="none"/>
        </w:rPr>
        <w:t>哪一个有效的</w:t>
      </w:r>
      <w:r>
        <w:rPr>
          <w:rFonts w:hint="eastAsia" w:ascii="宋体" w:hAnsi="宋体"/>
          <w:highlight w:val="none"/>
        </w:rPr>
        <w:t>。</w:t>
      </w:r>
      <w:r>
        <w:rPr>
          <w:rFonts w:ascii="宋体" w:hAnsi="宋体"/>
          <w:highlight w:val="none"/>
        </w:rPr>
        <w:t>按招标文件规定提供可选择性方案报价的除外；</w:t>
      </w:r>
    </w:p>
    <w:p w14:paraId="00D85486">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参加联合体的各成员再以自己的名义单独投标的，或同时参加两个（含两个）以上的联合体投标的；</w:t>
      </w:r>
    </w:p>
    <w:p w14:paraId="7AC78208">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对招标文件提出的实质性要求和条件未作出响应的</w:t>
      </w:r>
      <w:r>
        <w:rPr>
          <w:rFonts w:hint="eastAsia" w:ascii="宋体" w:hAnsi="宋体"/>
          <w:highlight w:val="none"/>
        </w:rPr>
        <w:t>或不满足的，对招标文件实质性条款为招标文件中所有标注“★”号的条款以及初步评审表要求的内容未作出响应的或不满足的</w:t>
      </w:r>
      <w:r>
        <w:rPr>
          <w:rFonts w:ascii="宋体" w:hAnsi="宋体"/>
          <w:highlight w:val="none"/>
        </w:rPr>
        <w:t xml:space="preserve">； </w:t>
      </w:r>
    </w:p>
    <w:p w14:paraId="7C2A75CB">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投标人未能按照评标委员会要求，对其投标文件进行澄清、说明和补正的</w:t>
      </w:r>
      <w:r>
        <w:rPr>
          <w:rFonts w:hint="eastAsia" w:ascii="宋体" w:hAnsi="宋体"/>
          <w:highlight w:val="none"/>
        </w:rPr>
        <w:t>，或投标人不接受根据招标文件规定对投标报价进行算术修正的；</w:t>
      </w:r>
    </w:p>
    <w:p w14:paraId="38AB6975">
      <w:pPr>
        <w:pStyle w:val="311"/>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单位负责人为同一人或者存在控股、管理关系的不同单位，参加同一标段投标或者未划分标段的同一招标项目投标；</w:t>
      </w:r>
    </w:p>
    <w:p w14:paraId="4351C98D">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6D755E09">
      <w:pPr>
        <w:pStyle w:val="311"/>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highlight w:val="none"/>
        </w:rPr>
        <w:t>符合法律法规或主管部门规范性文件规定废标情形的。</w:t>
      </w:r>
    </w:p>
    <w:p w14:paraId="7086E633">
      <w:pPr>
        <w:widowControl w:val="0"/>
        <w:autoSpaceDE w:val="0"/>
        <w:autoSpaceDN w:val="0"/>
        <w:adjustRightInd w:val="0"/>
        <w:snapToGrid w:val="0"/>
        <w:ind w:firstLine="0" w:firstLineChars="0"/>
        <w:jc w:val="left"/>
        <w:rPr>
          <w:rFonts w:ascii="宋体" w:hAnsi="宋体"/>
          <w:highlight w:val="none"/>
        </w:rPr>
      </w:pPr>
      <w:r>
        <w:rPr>
          <w:rFonts w:hint="eastAsia" w:ascii="宋体" w:hAnsi="宋体"/>
          <w:b/>
          <w:highlight w:val="none"/>
        </w:rPr>
        <w:t>注：</w:t>
      </w:r>
      <w:r>
        <w:rPr>
          <w:rFonts w:hint="eastAsia" w:ascii="宋体" w:hAnsi="宋体"/>
          <w:highlight w:val="none"/>
        </w:rPr>
        <w:t>招标人对上述内容有修改或补充的，以下述条款为准。</w:t>
      </w:r>
    </w:p>
    <w:p w14:paraId="1C339F64">
      <w:pPr>
        <w:widowControl w:val="0"/>
        <w:autoSpaceDE w:val="0"/>
        <w:autoSpaceDN w:val="0"/>
        <w:adjustRightInd w:val="0"/>
        <w:snapToGrid w:val="0"/>
        <w:ind w:firstLine="0" w:firstLineChars="0"/>
        <w:jc w:val="left"/>
        <w:rPr>
          <w:rFonts w:ascii="宋体" w:hAnsi="宋体"/>
          <w:highlight w:val="none"/>
        </w:rPr>
      </w:pPr>
    </w:p>
    <w:p w14:paraId="20CBB1D5">
      <w:pPr>
        <w:pStyle w:val="311"/>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招标人修改或补充的投标文件不予受理的情形：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p w14:paraId="7FAD4DDF">
      <w:pPr>
        <w:widowControl w:val="0"/>
        <w:autoSpaceDE w:val="0"/>
        <w:autoSpaceDN w:val="0"/>
        <w:adjustRightInd w:val="0"/>
        <w:snapToGrid w:val="0"/>
        <w:ind w:firstLine="0" w:firstLineChars="0"/>
        <w:jc w:val="left"/>
        <w:rPr>
          <w:rFonts w:ascii="宋体" w:hAnsi="宋体"/>
          <w:b/>
          <w:szCs w:val="21"/>
          <w:highlight w:val="none"/>
        </w:rPr>
      </w:pPr>
    </w:p>
    <w:p w14:paraId="3C1FB64B">
      <w:pPr>
        <w:pStyle w:val="311"/>
        <w:widowControl w:val="0"/>
        <w:numPr>
          <w:ilvl w:val="0"/>
          <w:numId w:val="2"/>
        </w:numPr>
        <w:autoSpaceDE w:val="0"/>
        <w:autoSpaceDN w:val="0"/>
        <w:adjustRightInd w:val="0"/>
        <w:snapToGrid w:val="0"/>
        <w:ind w:left="0" w:firstLine="0" w:firstLineChars="0"/>
        <w:jc w:val="left"/>
        <w:rPr>
          <w:rFonts w:ascii="宋体" w:hAnsi="宋体"/>
          <w:b/>
          <w:snapToGrid w:val="0"/>
          <w:kern w:val="0"/>
          <w:szCs w:val="21"/>
          <w:highlight w:val="none"/>
        </w:rPr>
      </w:pPr>
      <w:r>
        <w:rPr>
          <w:rFonts w:hint="eastAsia" w:ascii="宋体" w:hAnsi="宋体"/>
          <w:b/>
          <w:szCs w:val="21"/>
          <w:highlight w:val="none"/>
        </w:rPr>
        <w:t>招标人修改或补充的废标情形：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bookmarkEnd w:id="30"/>
    <w:p w14:paraId="471EC663">
      <w:pPr>
        <w:widowControl w:val="0"/>
        <w:autoSpaceDE w:val="0"/>
        <w:autoSpaceDN w:val="0"/>
        <w:adjustRightInd w:val="0"/>
        <w:snapToGrid w:val="0"/>
        <w:ind w:firstLine="0" w:firstLineChars="0"/>
        <w:jc w:val="center"/>
        <w:outlineLvl w:val="1"/>
        <w:rPr>
          <w:rFonts w:ascii="宋体" w:hAnsi="宋体"/>
          <w:b/>
          <w:bCs/>
          <w:sz w:val="28"/>
          <w:szCs w:val="32"/>
          <w:highlight w:val="none"/>
        </w:rPr>
      </w:pPr>
      <w:r>
        <w:rPr>
          <w:rFonts w:ascii="宋体" w:hAnsi="宋体"/>
          <w:sz w:val="28"/>
          <w:highlight w:val="none"/>
        </w:rPr>
        <w:br w:type="page"/>
      </w:r>
      <w:bookmarkStart w:id="41" w:name="_Toc31350"/>
      <w:bookmarkStart w:id="42" w:name="_Toc1625"/>
      <w:bookmarkStart w:id="43" w:name="_Toc27945"/>
      <w:bookmarkStart w:id="44" w:name="_Toc12122"/>
      <w:r>
        <w:rPr>
          <w:rFonts w:hint="eastAsia" w:ascii="宋体" w:hAnsi="宋体"/>
          <w:b/>
          <w:sz w:val="32"/>
          <w:szCs w:val="32"/>
          <w:highlight w:val="none"/>
        </w:rPr>
        <w:t>第三节 总则</w:t>
      </w:r>
      <w:bookmarkEnd w:id="31"/>
      <w:bookmarkEnd w:id="32"/>
      <w:bookmarkEnd w:id="33"/>
      <w:bookmarkEnd w:id="41"/>
      <w:bookmarkEnd w:id="42"/>
      <w:bookmarkEnd w:id="43"/>
      <w:bookmarkEnd w:id="44"/>
    </w:p>
    <w:p w14:paraId="129C08BE">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45" w:name="_Hlk532141677"/>
      <w:r>
        <w:rPr>
          <w:rFonts w:hint="eastAsia" w:ascii="宋体" w:hAnsi="宋体"/>
          <w:b/>
          <w:szCs w:val="21"/>
          <w:highlight w:val="none"/>
        </w:rPr>
        <w:t>说明</w:t>
      </w:r>
    </w:p>
    <w:p w14:paraId="1EB74A3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46" w:name="_Toc152042306"/>
      <w:bookmarkStart w:id="47" w:name="_Toc403513495"/>
      <w:bookmarkStart w:id="48" w:name="_Toc330213947"/>
      <w:bookmarkStart w:id="49" w:name="_Toc144974498"/>
      <w:bookmarkStart w:id="50" w:name="_Toc332121715"/>
      <w:bookmarkStart w:id="51" w:name="_Toc152045530"/>
      <w:r>
        <w:rPr>
          <w:rFonts w:hint="eastAsia" w:ascii="宋体" w:hAnsi="宋体"/>
          <w:b/>
          <w:szCs w:val="21"/>
          <w:highlight w:val="none"/>
        </w:rPr>
        <w:t>项目概况</w:t>
      </w:r>
      <w:bookmarkEnd w:id="46"/>
      <w:bookmarkEnd w:id="47"/>
      <w:bookmarkEnd w:id="48"/>
      <w:bookmarkEnd w:id="49"/>
      <w:bookmarkEnd w:id="50"/>
      <w:bookmarkEnd w:id="51"/>
    </w:p>
    <w:p w14:paraId="2C93532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根据《中华人民共和国招标投标法》、《中华人民共和国招标投标法实施条例》等有关法律、法规和规章的规定，本招标项目已具备招标条件，现对本项目进行招标。</w:t>
      </w:r>
    </w:p>
    <w:p w14:paraId="0595CD0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2" w:name="_Toc403513498"/>
      <w:bookmarkStart w:id="53" w:name="_Toc144974502"/>
      <w:bookmarkStart w:id="54" w:name="_Toc330213950"/>
      <w:bookmarkStart w:id="55" w:name="_Toc332121718"/>
      <w:bookmarkStart w:id="56" w:name="_Toc152045534"/>
      <w:bookmarkStart w:id="57" w:name="_Toc152042310"/>
      <w:r>
        <w:rPr>
          <w:rFonts w:hint="eastAsia" w:ascii="宋体" w:hAnsi="宋体"/>
          <w:b/>
          <w:szCs w:val="21"/>
          <w:highlight w:val="none"/>
        </w:rPr>
        <w:t>投标人资格要求</w:t>
      </w:r>
      <w:bookmarkEnd w:id="52"/>
      <w:bookmarkEnd w:id="53"/>
      <w:bookmarkEnd w:id="54"/>
      <w:bookmarkEnd w:id="55"/>
      <w:bookmarkEnd w:id="56"/>
      <w:bookmarkEnd w:id="57"/>
    </w:p>
    <w:p w14:paraId="27D4E03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投标人应具备承担本次招标项目的资质条件、能力和信誉。</w:t>
      </w:r>
    </w:p>
    <w:p w14:paraId="5F38E86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1"/>
          <w:szCs w:val="21"/>
          <w:highlight w:val="none"/>
        </w:rPr>
        <w:t>联合体各方应按招标文件提供的格式签订联合体协议书，明确联合体牵头人和各方权</w:t>
      </w:r>
      <w:r>
        <w:rPr>
          <w:rFonts w:ascii="宋体" w:hAnsi="宋体"/>
          <w:szCs w:val="21"/>
          <w:highlight w:val="none"/>
        </w:rPr>
        <w:t>利义务，并承诺就中标项目向招标人承担连带责任；</w:t>
      </w:r>
    </w:p>
    <w:p w14:paraId="05A355EC">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由同一专业的单位组成的联合体，按照资质等级较低的单位确定资质等级；</w:t>
      </w:r>
    </w:p>
    <w:p w14:paraId="6575FA9F">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联合体各方不得再以自己名义单独或参加其他联合体在本次招标项目中投标，否则各相关投标均无效。</w:t>
      </w:r>
    </w:p>
    <w:p w14:paraId="024741B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投标人不得存在下列情形之一：</w:t>
      </w:r>
    </w:p>
    <w:p w14:paraId="7E277A4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与招标人存在利害关系且可能影响招标公正性；</w:t>
      </w:r>
    </w:p>
    <w:p w14:paraId="0CB39C13">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与本次招标项目的其他投标人为同一个单位负责人；</w:t>
      </w:r>
    </w:p>
    <w:p w14:paraId="5A317DAC">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与本次招标项目的其他投标人存在控股、管理关系；</w:t>
      </w:r>
    </w:p>
    <w:p w14:paraId="7F6CD7E7">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4EF505A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58" w:name="_Toc332121719"/>
      <w:bookmarkStart w:id="59" w:name="_Toc152042311"/>
      <w:bookmarkStart w:id="60" w:name="_Toc152045535"/>
      <w:bookmarkStart w:id="61" w:name="_Toc403513499"/>
      <w:bookmarkStart w:id="62" w:name="_Toc144974503"/>
      <w:bookmarkStart w:id="63" w:name="_Toc330213951"/>
      <w:r>
        <w:rPr>
          <w:rFonts w:hint="eastAsia" w:ascii="宋体" w:hAnsi="宋体"/>
          <w:b/>
          <w:szCs w:val="21"/>
          <w:highlight w:val="none"/>
        </w:rPr>
        <w:t>费用承担</w:t>
      </w:r>
      <w:bookmarkEnd w:id="58"/>
      <w:bookmarkEnd w:id="59"/>
      <w:bookmarkEnd w:id="60"/>
      <w:bookmarkEnd w:id="61"/>
      <w:bookmarkEnd w:id="62"/>
      <w:bookmarkEnd w:id="63"/>
    </w:p>
    <w:p w14:paraId="64919E0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投标人准备和参加投标活动发生的费用由投标人自理。</w:t>
      </w:r>
    </w:p>
    <w:p w14:paraId="3A3FDEE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64" w:name="_Toc144974504"/>
      <w:bookmarkStart w:id="65" w:name="_Toc332121720"/>
      <w:bookmarkStart w:id="66" w:name="_Toc330213952"/>
      <w:bookmarkStart w:id="67" w:name="_Toc152042312"/>
      <w:bookmarkStart w:id="68" w:name="_Toc152045536"/>
      <w:bookmarkStart w:id="69" w:name="_Toc403513500"/>
      <w:r>
        <w:rPr>
          <w:rFonts w:hint="eastAsia" w:ascii="宋体" w:hAnsi="宋体"/>
          <w:b/>
          <w:szCs w:val="21"/>
          <w:highlight w:val="none"/>
        </w:rPr>
        <w:t>保密</w:t>
      </w:r>
      <w:bookmarkEnd w:id="64"/>
      <w:bookmarkEnd w:id="65"/>
      <w:bookmarkEnd w:id="66"/>
      <w:bookmarkEnd w:id="67"/>
      <w:bookmarkEnd w:id="68"/>
      <w:bookmarkEnd w:id="69"/>
    </w:p>
    <w:p w14:paraId="6DD31B0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14:paraId="39C039B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0" w:name="_Toc144974505"/>
      <w:bookmarkStart w:id="71" w:name="_Toc332121721"/>
      <w:bookmarkStart w:id="72" w:name="_Toc152045537"/>
      <w:bookmarkStart w:id="73" w:name="_Toc403513501"/>
      <w:bookmarkStart w:id="74" w:name="_Toc330213953"/>
      <w:bookmarkStart w:id="75" w:name="_Toc152042313"/>
      <w:r>
        <w:rPr>
          <w:rFonts w:hint="eastAsia" w:ascii="宋体" w:hAnsi="宋体"/>
          <w:b/>
          <w:szCs w:val="21"/>
          <w:highlight w:val="none"/>
        </w:rPr>
        <w:t>语言</w:t>
      </w:r>
      <w:bookmarkEnd w:id="70"/>
      <w:r>
        <w:rPr>
          <w:rFonts w:hint="eastAsia" w:ascii="宋体" w:hAnsi="宋体"/>
          <w:b/>
          <w:szCs w:val="21"/>
          <w:highlight w:val="none"/>
        </w:rPr>
        <w:t>文字</w:t>
      </w:r>
      <w:bookmarkEnd w:id="71"/>
      <w:bookmarkEnd w:id="72"/>
      <w:bookmarkEnd w:id="73"/>
      <w:bookmarkEnd w:id="74"/>
      <w:bookmarkEnd w:id="75"/>
    </w:p>
    <w:p w14:paraId="3329D3F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除专用术语外，与招标投标有关的语言均使用中文。必要时专用术语应附有中文注释。</w:t>
      </w:r>
    </w:p>
    <w:p w14:paraId="30DCF5A4">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76" w:name="_Toc332121722"/>
      <w:bookmarkStart w:id="77" w:name="_Toc330213954"/>
      <w:bookmarkStart w:id="78" w:name="_Toc152042314"/>
      <w:bookmarkStart w:id="79" w:name="_Toc152045538"/>
      <w:bookmarkStart w:id="80" w:name="_Toc144974506"/>
      <w:bookmarkStart w:id="81" w:name="_Toc403513502"/>
      <w:r>
        <w:rPr>
          <w:rFonts w:hint="eastAsia" w:ascii="宋体" w:hAnsi="宋体"/>
          <w:b/>
          <w:szCs w:val="21"/>
          <w:highlight w:val="none"/>
        </w:rPr>
        <w:t>计量单位</w:t>
      </w:r>
      <w:bookmarkEnd w:id="76"/>
      <w:bookmarkEnd w:id="77"/>
      <w:bookmarkEnd w:id="78"/>
      <w:bookmarkEnd w:id="79"/>
      <w:bookmarkEnd w:id="80"/>
      <w:bookmarkEnd w:id="81"/>
    </w:p>
    <w:p w14:paraId="36B52AF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所有计量均采用中华人民共和国法定计量单位。</w:t>
      </w:r>
    </w:p>
    <w:p w14:paraId="365DEAF4">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82" w:name="_Toc144974507"/>
      <w:bookmarkStart w:id="83" w:name="_Toc152045539"/>
      <w:bookmarkStart w:id="84" w:name="_Toc330213955"/>
      <w:bookmarkStart w:id="85" w:name="_Toc152042315"/>
      <w:bookmarkStart w:id="86" w:name="_Toc332121723"/>
      <w:bookmarkStart w:id="87" w:name="_Toc403513503"/>
      <w:r>
        <w:rPr>
          <w:rFonts w:hint="eastAsia" w:ascii="宋体" w:hAnsi="宋体"/>
          <w:b/>
          <w:szCs w:val="21"/>
          <w:highlight w:val="none"/>
        </w:rPr>
        <w:t>踏勘现场</w:t>
      </w:r>
      <w:bookmarkEnd w:id="82"/>
      <w:bookmarkEnd w:id="83"/>
      <w:bookmarkEnd w:id="84"/>
      <w:bookmarkEnd w:id="85"/>
      <w:bookmarkEnd w:id="86"/>
      <w:bookmarkEnd w:id="87"/>
    </w:p>
    <w:p w14:paraId="0189490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投标人须知前附表规定组织踏勘现场的，招标人按投标人须知前附表规定的时间、地点组织投标人踏勘项目现场。</w:t>
      </w:r>
    </w:p>
    <w:p w14:paraId="1F0EDD1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投标人踏勘现场发生的费用由投标人自理。</w:t>
      </w:r>
    </w:p>
    <w:p w14:paraId="0A7000C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除招标人的原因外，投标人自行负责在踏勘现场中所发生的人员伤亡和财产损失。</w:t>
      </w:r>
    </w:p>
    <w:p w14:paraId="6C98C12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招标人在踏勘现场中介绍的使用场地和相关的周边环境情况，供投标人在编制投标文件时参考，招标人不对投标人据此作出的判断和决策负责。</w:t>
      </w:r>
    </w:p>
    <w:p w14:paraId="7BF0302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分包</w:t>
      </w:r>
    </w:p>
    <w:p w14:paraId="095A024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中标人应当按照合同约定履行义务，完成中标项目。中标人不得向他人转让中标项目，也不得将中标项目肢解后分别向他人转让。</w:t>
      </w:r>
    </w:p>
    <w:p w14:paraId="3B3E89D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3B61AA22">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响应和偏离</w:t>
      </w:r>
    </w:p>
    <w:p w14:paraId="3023DB6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投标文件应当对招标文件的实质性要求和条件作出满足性或更有利于招标人的响应，否则，投标人的投标将被否决。</w:t>
      </w:r>
      <w:r>
        <w:rPr>
          <w:rFonts w:hint="eastAsia" w:ascii="宋体" w:hAnsi="宋体"/>
          <w:szCs w:val="21"/>
          <w:highlight w:val="none"/>
        </w:rPr>
        <w:t>响应和</w:t>
      </w:r>
      <w:r>
        <w:rPr>
          <w:rFonts w:ascii="宋体" w:hAnsi="宋体"/>
          <w:szCs w:val="21"/>
          <w:highlight w:val="none"/>
        </w:rPr>
        <w:t>偏离的</w:t>
      </w:r>
      <w:r>
        <w:rPr>
          <w:rFonts w:hint="eastAsia" w:ascii="宋体" w:hAnsi="宋体"/>
          <w:szCs w:val="21"/>
          <w:highlight w:val="none"/>
        </w:rPr>
        <w:t>说明</w:t>
      </w:r>
      <w:r>
        <w:rPr>
          <w:rFonts w:ascii="宋体" w:hAnsi="宋体"/>
          <w:szCs w:val="21"/>
          <w:highlight w:val="none"/>
        </w:rPr>
        <w:t>详见投标人须知前附表。</w:t>
      </w:r>
    </w:p>
    <w:p w14:paraId="7163F5B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投标人应根据招标文件的要求提供投标设备技术性能指标的详细描述、技术支持资料及技术服务和质保期服务计划等内容</w:t>
      </w:r>
      <w:r>
        <w:rPr>
          <w:rFonts w:hint="eastAsia" w:ascii="宋体" w:hAnsi="宋体"/>
          <w:szCs w:val="21"/>
          <w:highlight w:val="none"/>
        </w:rPr>
        <w:t>，</w:t>
      </w:r>
      <w:r>
        <w:rPr>
          <w:rFonts w:ascii="宋体" w:hAnsi="宋体"/>
          <w:szCs w:val="21"/>
          <w:highlight w:val="none"/>
        </w:rPr>
        <w:t>以对招标文件作出响应。</w:t>
      </w:r>
    </w:p>
    <w:p w14:paraId="0C50BE3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投标文件中应针对实质性要求和条件中列明的技术要求提供技术支持资料。技术支</w:t>
      </w:r>
      <w:r>
        <w:rPr>
          <w:rFonts w:ascii="宋体" w:hAnsi="宋体"/>
          <w:spacing w:val="-1"/>
          <w:szCs w:val="21"/>
          <w:highlight w:val="none"/>
        </w:rPr>
        <w:t>持资料以制造商公开发布的印刷资料，或检测机构出具的检测报告或投标人须知前附表允许的</w:t>
      </w:r>
      <w:r>
        <w:rPr>
          <w:rFonts w:ascii="宋体" w:hAnsi="宋体"/>
          <w:szCs w:val="21"/>
          <w:highlight w:val="none"/>
        </w:rPr>
        <w:t>其他形式为准，不符合前述要求的，视为无技术支持资料。</w:t>
      </w:r>
    </w:p>
    <w:p w14:paraId="00CF2D3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投标文件对招标文件的全部偏离，均应在投标文件中列明，除列明的内容外，视为投标人响应招标文件的全部要求</w:t>
      </w:r>
      <w:r>
        <w:rPr>
          <w:rFonts w:hint="eastAsia" w:ascii="宋体" w:hAnsi="宋体"/>
          <w:szCs w:val="21"/>
          <w:highlight w:val="none"/>
        </w:rPr>
        <w:t>。</w:t>
      </w:r>
    </w:p>
    <w:p w14:paraId="3AD0C152">
      <w:pPr>
        <w:pStyle w:val="311"/>
        <w:widowControl w:val="0"/>
        <w:autoSpaceDE w:val="0"/>
        <w:autoSpaceDN w:val="0"/>
        <w:adjustRightInd w:val="0"/>
        <w:snapToGrid w:val="0"/>
        <w:ind w:firstLine="0" w:firstLineChars="0"/>
        <w:jc w:val="both"/>
        <w:rPr>
          <w:rFonts w:ascii="宋体" w:hAnsi="宋体"/>
          <w:szCs w:val="21"/>
          <w:highlight w:val="none"/>
        </w:rPr>
      </w:pPr>
    </w:p>
    <w:p w14:paraId="35A9CB5B">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88" w:name="_Toc144974510"/>
      <w:bookmarkStart w:id="89" w:name="_Toc152042318"/>
      <w:bookmarkStart w:id="90" w:name="_Toc152045542"/>
      <w:r>
        <w:rPr>
          <w:rFonts w:hint="eastAsia" w:ascii="宋体" w:hAnsi="宋体"/>
          <w:b/>
          <w:szCs w:val="21"/>
          <w:highlight w:val="none"/>
        </w:rPr>
        <w:t>招标文件</w:t>
      </w:r>
      <w:bookmarkEnd w:id="88"/>
      <w:bookmarkEnd w:id="89"/>
      <w:bookmarkEnd w:id="90"/>
    </w:p>
    <w:p w14:paraId="4E78DC29">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1" w:name="_Toc330213959"/>
      <w:bookmarkStart w:id="92" w:name="_Toc152042319"/>
      <w:bookmarkStart w:id="93" w:name="_Toc152045543"/>
      <w:bookmarkStart w:id="94" w:name="_Toc332121727"/>
      <w:bookmarkStart w:id="95" w:name="_Toc144974511"/>
      <w:bookmarkStart w:id="96" w:name="_Toc403513506"/>
      <w:r>
        <w:rPr>
          <w:rFonts w:hint="eastAsia" w:ascii="宋体" w:hAnsi="宋体"/>
          <w:b/>
          <w:szCs w:val="21"/>
          <w:highlight w:val="none"/>
        </w:rPr>
        <w:t>招标文件的组成</w:t>
      </w:r>
      <w:bookmarkEnd w:id="91"/>
      <w:bookmarkEnd w:id="92"/>
      <w:bookmarkEnd w:id="93"/>
      <w:bookmarkEnd w:id="94"/>
      <w:bookmarkEnd w:id="95"/>
      <w:bookmarkEnd w:id="96"/>
    </w:p>
    <w:p w14:paraId="20C68AFC">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本招标文件包括：</w:t>
      </w:r>
    </w:p>
    <w:p w14:paraId="38B2A3B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w:t>
      </w:r>
    </w:p>
    <w:p w14:paraId="1A0A272F">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评定标办法；</w:t>
      </w:r>
    </w:p>
    <w:p w14:paraId="2922B9EB">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合同条款及格式；</w:t>
      </w:r>
    </w:p>
    <w:p w14:paraId="107C4503">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项目需求；</w:t>
      </w:r>
    </w:p>
    <w:p w14:paraId="6CAEC39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投标文件格式。</w:t>
      </w:r>
    </w:p>
    <w:p w14:paraId="508DAAAB">
      <w:pPr>
        <w:pStyle w:val="311"/>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注：根据本章第1.10款、第2.2款和第2.3款对招标文件所作的澄清、修改，构成招标文件的组成部分。</w:t>
      </w:r>
    </w:p>
    <w:p w14:paraId="68D245E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招标文件获取时间及方式：见投标人须知前附表</w:t>
      </w:r>
    </w:p>
    <w:p w14:paraId="5FE8AFA4">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97" w:name="_Toc152045544"/>
      <w:bookmarkStart w:id="98" w:name="_Toc403513507"/>
      <w:bookmarkStart w:id="99" w:name="_Toc332121728"/>
      <w:bookmarkStart w:id="100" w:name="_Toc330213960"/>
      <w:bookmarkStart w:id="101" w:name="_Toc144974512"/>
      <w:bookmarkStart w:id="102" w:name="_Toc152042320"/>
      <w:r>
        <w:rPr>
          <w:rFonts w:hint="eastAsia" w:ascii="宋体" w:hAnsi="宋体"/>
          <w:b/>
          <w:szCs w:val="21"/>
          <w:highlight w:val="none"/>
        </w:rPr>
        <w:t>招标文件的澄清</w:t>
      </w:r>
      <w:bookmarkEnd w:id="97"/>
      <w:bookmarkEnd w:id="98"/>
      <w:bookmarkEnd w:id="99"/>
      <w:bookmarkEnd w:id="100"/>
      <w:bookmarkEnd w:id="101"/>
      <w:bookmarkEnd w:id="102"/>
    </w:p>
    <w:p w14:paraId="2AA604A6">
      <w:pPr>
        <w:pStyle w:val="311"/>
        <w:widowControl w:val="0"/>
        <w:numPr>
          <w:ilvl w:val="2"/>
          <w:numId w:val="3"/>
        </w:numPr>
        <w:autoSpaceDE w:val="0"/>
        <w:autoSpaceDN w:val="0"/>
        <w:adjustRightInd w:val="0"/>
        <w:snapToGrid w:val="0"/>
        <w:ind w:left="0" w:firstLine="0" w:firstLineChars="0"/>
        <w:jc w:val="both"/>
        <w:rPr>
          <w:rFonts w:ascii="宋体" w:hAnsi="宋体" w:cs="宋体"/>
          <w:kern w:val="0"/>
          <w:szCs w:val="21"/>
          <w:highlight w:val="none"/>
        </w:rPr>
      </w:pPr>
      <w:r>
        <w:rPr>
          <w:rFonts w:ascii="宋体" w:hAnsi="宋体"/>
          <w:szCs w:val="21"/>
          <w:highlight w:val="none"/>
        </w:rPr>
        <w:t>投标人应仔细阅读和检查招标文件的全部内容。如发现缺页或附件不全，应及时向招标人提出，以便补齐。</w:t>
      </w:r>
    </w:p>
    <w:p w14:paraId="52AB5FC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3EBD837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03" w:name="_Toc330213961"/>
      <w:bookmarkStart w:id="104" w:name="_Toc144974513"/>
      <w:bookmarkStart w:id="105" w:name="_Toc403513508"/>
      <w:bookmarkStart w:id="106" w:name="_Toc152042321"/>
      <w:bookmarkStart w:id="107" w:name="_Toc332121729"/>
      <w:bookmarkStart w:id="108" w:name="_Toc152045545"/>
      <w:r>
        <w:rPr>
          <w:rFonts w:hint="eastAsia" w:ascii="宋体" w:hAnsi="宋体"/>
          <w:b/>
          <w:szCs w:val="21"/>
          <w:highlight w:val="none"/>
        </w:rPr>
        <w:t>招标文件的修改</w:t>
      </w:r>
      <w:bookmarkEnd w:id="103"/>
      <w:bookmarkEnd w:id="104"/>
      <w:bookmarkEnd w:id="105"/>
      <w:bookmarkEnd w:id="106"/>
      <w:bookmarkEnd w:id="107"/>
      <w:bookmarkEnd w:id="108"/>
    </w:p>
    <w:p w14:paraId="1EA3CB44">
      <w:pPr>
        <w:pStyle w:val="311"/>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在投标截止时间前，招标人可以数据电文（或书面形式）修改招标文件，并通知所有已获取招标文件的投标人。</w:t>
      </w:r>
    </w:p>
    <w:p w14:paraId="549EA33B">
      <w:pPr>
        <w:pStyle w:val="311"/>
        <w:widowControl w:val="0"/>
        <w:autoSpaceDE w:val="0"/>
        <w:autoSpaceDN w:val="0"/>
        <w:adjustRightInd w:val="0"/>
        <w:snapToGrid w:val="0"/>
        <w:ind w:left="0" w:firstLine="0" w:firstLineChars="0"/>
        <w:jc w:val="both"/>
        <w:rPr>
          <w:rFonts w:hint="eastAsia" w:ascii="宋体" w:hAnsi="宋体"/>
          <w:szCs w:val="21"/>
          <w:highlight w:val="none"/>
        </w:rPr>
      </w:pPr>
    </w:p>
    <w:p w14:paraId="63BE58A4">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09" w:name="_Toc152042322"/>
      <w:bookmarkStart w:id="110" w:name="_Toc152045546"/>
      <w:bookmarkStart w:id="111" w:name="_Toc144974514"/>
      <w:r>
        <w:rPr>
          <w:rFonts w:hint="eastAsia" w:ascii="宋体" w:hAnsi="宋体"/>
          <w:b/>
          <w:szCs w:val="21"/>
          <w:highlight w:val="none"/>
        </w:rPr>
        <w:t>投标文件</w:t>
      </w:r>
      <w:bookmarkEnd w:id="109"/>
      <w:bookmarkEnd w:id="110"/>
      <w:bookmarkEnd w:id="111"/>
    </w:p>
    <w:p w14:paraId="4E8E1B3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2" w:name="_Toc330213963"/>
      <w:bookmarkStart w:id="113" w:name="_Toc144974515"/>
      <w:bookmarkStart w:id="114" w:name="_Toc152042323"/>
      <w:bookmarkStart w:id="115" w:name="_Toc403513510"/>
      <w:bookmarkStart w:id="116" w:name="_Toc152045547"/>
      <w:bookmarkStart w:id="117" w:name="_Toc332121731"/>
      <w:r>
        <w:rPr>
          <w:rFonts w:hint="eastAsia" w:ascii="宋体" w:hAnsi="宋体"/>
          <w:b/>
          <w:szCs w:val="21"/>
          <w:highlight w:val="none"/>
        </w:rPr>
        <w:t>投标文件的组成</w:t>
      </w:r>
      <w:bookmarkEnd w:id="112"/>
      <w:bookmarkEnd w:id="113"/>
      <w:bookmarkEnd w:id="114"/>
      <w:bookmarkEnd w:id="115"/>
      <w:bookmarkEnd w:id="116"/>
      <w:bookmarkEnd w:id="117"/>
    </w:p>
    <w:p w14:paraId="3D56E1D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投标文件组成及格式见本招标文件第五章。</w:t>
      </w:r>
      <w:r>
        <w:rPr>
          <w:rFonts w:ascii="宋体" w:hAnsi="宋体"/>
          <w:spacing w:val="-1"/>
          <w:szCs w:val="21"/>
          <w:highlight w:val="none"/>
        </w:rPr>
        <w:t>投标人在评标过程中作出的符合法律法规和招标文件规定的澄清确认，构成投标文件的组</w:t>
      </w:r>
      <w:r>
        <w:rPr>
          <w:rFonts w:ascii="宋体" w:hAnsi="宋体"/>
          <w:szCs w:val="21"/>
          <w:highlight w:val="none"/>
        </w:rPr>
        <w:t>成部分。</w:t>
      </w:r>
    </w:p>
    <w:p w14:paraId="69DAD13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投标人须知前附表规定不接受联合体投标的，或投标人没有组成联合体的，投标文件不包括</w:t>
      </w:r>
      <w:r>
        <w:rPr>
          <w:rFonts w:hint="eastAsia" w:ascii="宋体" w:hAnsi="宋体"/>
          <w:szCs w:val="21"/>
          <w:highlight w:val="none"/>
        </w:rPr>
        <w:t>投标人须知前附表</w:t>
      </w:r>
      <w:r>
        <w:rPr>
          <w:rFonts w:ascii="宋体" w:hAnsi="宋体"/>
          <w:szCs w:val="21"/>
          <w:highlight w:val="none"/>
        </w:rPr>
        <w:t>所指的联合体协议书。</w:t>
      </w:r>
    </w:p>
    <w:p w14:paraId="3108BE2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投标人须知前附表未要求提交投标保证金的，投标文件不包括</w:t>
      </w:r>
      <w:r>
        <w:rPr>
          <w:rFonts w:hint="eastAsia" w:ascii="宋体" w:hAnsi="宋体"/>
          <w:szCs w:val="21"/>
          <w:highlight w:val="none"/>
        </w:rPr>
        <w:t>投标人须知前附表</w:t>
      </w:r>
      <w:r>
        <w:rPr>
          <w:rFonts w:ascii="宋体" w:hAnsi="宋体"/>
          <w:szCs w:val="21"/>
          <w:highlight w:val="none"/>
        </w:rPr>
        <w:t>所指的投标保证金。</w:t>
      </w:r>
    </w:p>
    <w:p w14:paraId="2EFE588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18" w:name="_Toc403513511"/>
      <w:bookmarkStart w:id="119" w:name="_Toc152045548"/>
      <w:bookmarkStart w:id="120" w:name="_Toc144974516"/>
      <w:bookmarkStart w:id="121" w:name="_Toc332121732"/>
      <w:bookmarkStart w:id="122" w:name="_Toc330213964"/>
      <w:bookmarkStart w:id="123" w:name="_Toc152042324"/>
      <w:r>
        <w:rPr>
          <w:rFonts w:hint="eastAsia" w:ascii="宋体" w:hAnsi="宋体"/>
          <w:b/>
          <w:szCs w:val="21"/>
          <w:highlight w:val="none"/>
        </w:rPr>
        <w:t>投标报价</w:t>
      </w:r>
      <w:bookmarkEnd w:id="118"/>
      <w:bookmarkEnd w:id="119"/>
      <w:bookmarkEnd w:id="120"/>
      <w:bookmarkEnd w:id="121"/>
      <w:bookmarkEnd w:id="122"/>
      <w:bookmarkEnd w:id="123"/>
    </w:p>
    <w:p w14:paraId="55D5320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投标报价应包括国家规定的增值税税金，除投标人须知前附表另有规定外，增值税税</w:t>
      </w:r>
      <w:r>
        <w:rPr>
          <w:rFonts w:ascii="宋体" w:hAnsi="宋体"/>
          <w:szCs w:val="21"/>
          <w:highlight w:val="none"/>
        </w:rPr>
        <w:t>金按一般计税方法计算。</w:t>
      </w:r>
    </w:p>
    <w:p w14:paraId="2BCE58D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投标人应充分了解该项目的总体情况以及影响投标报价的其他要素。</w:t>
      </w:r>
    </w:p>
    <w:p w14:paraId="4AD7DA0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投标报价算术修正原则详见第二章评定标办法。</w:t>
      </w:r>
    </w:p>
    <w:p w14:paraId="0198F0D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招标人设有最高投标限价的，投标人的投标报价不得超过最高投标限价，最高投标限</w:t>
      </w:r>
      <w:r>
        <w:rPr>
          <w:rFonts w:ascii="宋体" w:hAnsi="宋体"/>
          <w:szCs w:val="21"/>
          <w:highlight w:val="none"/>
        </w:rPr>
        <w:t>价在投标人须知前附表中载明。</w:t>
      </w:r>
    </w:p>
    <w:p w14:paraId="184A924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投标报价的其他要求见投标人须知前附表。</w:t>
      </w:r>
      <w:r>
        <w:rPr>
          <w:rFonts w:hint="eastAsia" w:ascii="宋体" w:hAnsi="宋体"/>
          <w:szCs w:val="21"/>
          <w:highlight w:val="none"/>
        </w:rPr>
        <w:t>　</w:t>
      </w:r>
    </w:p>
    <w:p w14:paraId="4F93649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24" w:name="_Toc152045549"/>
      <w:bookmarkStart w:id="125" w:name="_Toc403513512"/>
      <w:bookmarkStart w:id="126" w:name="_Toc330213965"/>
      <w:bookmarkStart w:id="127" w:name="_Toc332121733"/>
      <w:bookmarkStart w:id="128" w:name="_Toc144974517"/>
      <w:bookmarkStart w:id="129" w:name="_Toc152042325"/>
      <w:r>
        <w:rPr>
          <w:rFonts w:hint="eastAsia" w:ascii="宋体" w:hAnsi="宋体"/>
          <w:b/>
          <w:szCs w:val="21"/>
          <w:highlight w:val="none"/>
        </w:rPr>
        <w:t>投标有效期</w:t>
      </w:r>
      <w:bookmarkEnd w:id="124"/>
      <w:bookmarkEnd w:id="125"/>
      <w:bookmarkEnd w:id="126"/>
      <w:bookmarkEnd w:id="127"/>
      <w:bookmarkEnd w:id="128"/>
      <w:bookmarkEnd w:id="129"/>
    </w:p>
    <w:p w14:paraId="1ED5236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详见</w:t>
      </w:r>
      <w:r>
        <w:rPr>
          <w:rFonts w:ascii="宋体" w:hAnsi="宋体"/>
          <w:szCs w:val="21"/>
          <w:highlight w:val="none"/>
        </w:rPr>
        <w:t>投标人须知前附表。</w:t>
      </w:r>
    </w:p>
    <w:p w14:paraId="7C487582">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在投标有效期内，投标人撤销</w:t>
      </w:r>
      <w:r>
        <w:rPr>
          <w:rFonts w:hint="eastAsia" w:ascii="宋体" w:hAnsi="宋体"/>
          <w:szCs w:val="21"/>
          <w:highlight w:val="none"/>
        </w:rPr>
        <w:t>或修改</w:t>
      </w:r>
      <w:r>
        <w:rPr>
          <w:rFonts w:ascii="宋体" w:hAnsi="宋体"/>
          <w:szCs w:val="21"/>
          <w:highlight w:val="none"/>
        </w:rPr>
        <w:t>投标文件的，应承担招标文件和法律规定的责任。</w:t>
      </w:r>
    </w:p>
    <w:p w14:paraId="40423FB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出现特殊情况需要延长投标有效期的，招标人以</w:t>
      </w:r>
      <w:r>
        <w:rPr>
          <w:rFonts w:hint="eastAsia" w:ascii="宋体" w:hAnsi="宋体"/>
          <w:spacing w:val="-4"/>
          <w:szCs w:val="21"/>
          <w:highlight w:val="none"/>
        </w:rPr>
        <w:t>数据</w:t>
      </w:r>
      <w:r>
        <w:rPr>
          <w:rFonts w:ascii="宋体" w:hAnsi="宋体"/>
          <w:spacing w:val="-4"/>
          <w:szCs w:val="21"/>
          <w:highlight w:val="none"/>
        </w:rPr>
        <w:t>电文形式</w:t>
      </w:r>
      <w:r>
        <w:rPr>
          <w:rFonts w:hint="eastAsia" w:ascii="宋体" w:hAnsi="宋体"/>
          <w:spacing w:val="-4"/>
          <w:szCs w:val="21"/>
          <w:highlight w:val="none"/>
        </w:rPr>
        <w:t>（或书面形式）</w:t>
      </w:r>
      <w:r>
        <w:rPr>
          <w:rFonts w:ascii="宋体" w:hAnsi="宋体"/>
          <w:spacing w:val="-4"/>
          <w:szCs w:val="21"/>
          <w:highlight w:val="none"/>
        </w:rPr>
        <w:t>通知所有投标人延长投标有</w:t>
      </w:r>
      <w:r>
        <w:rPr>
          <w:rFonts w:ascii="宋体" w:hAnsi="宋体"/>
          <w:spacing w:val="-1"/>
          <w:szCs w:val="21"/>
          <w:highlight w:val="none"/>
        </w:rPr>
        <w:t>效期。投标人应予以书面答复，同意延长的，应相应延长其投标保证金的有效期，但不得要求或被允许</w:t>
      </w:r>
      <w:r>
        <w:rPr>
          <w:rFonts w:hint="eastAsia" w:ascii="宋体" w:hAnsi="宋体"/>
          <w:spacing w:val="-1"/>
          <w:szCs w:val="21"/>
          <w:highlight w:val="none"/>
        </w:rPr>
        <w:t>撤销或</w:t>
      </w:r>
      <w:r>
        <w:rPr>
          <w:rFonts w:ascii="宋体" w:hAnsi="宋体"/>
          <w:spacing w:val="-1"/>
          <w:szCs w:val="21"/>
          <w:highlight w:val="none"/>
        </w:rPr>
        <w:t>修改其投标文件；投标人拒绝延长的，其投标失效，但投标人有权收回其投标保证金</w:t>
      </w:r>
      <w:r>
        <w:rPr>
          <w:rFonts w:ascii="宋体" w:hAnsi="宋体"/>
          <w:szCs w:val="21"/>
          <w:highlight w:val="none"/>
        </w:rPr>
        <w:t>。</w:t>
      </w:r>
    </w:p>
    <w:p w14:paraId="6F7FF98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30" w:name="_Toc152045550"/>
      <w:bookmarkStart w:id="131" w:name="_Toc403513513"/>
      <w:bookmarkStart w:id="132" w:name="_Toc332121734"/>
      <w:bookmarkStart w:id="133" w:name="_Toc152042326"/>
      <w:bookmarkStart w:id="134" w:name="_Toc330213966"/>
      <w:bookmarkStart w:id="135" w:name="_Toc144974518"/>
      <w:r>
        <w:rPr>
          <w:rFonts w:hint="eastAsia" w:ascii="宋体" w:hAnsi="宋体"/>
          <w:b/>
          <w:szCs w:val="21"/>
          <w:highlight w:val="none"/>
        </w:rPr>
        <w:t>投标保证金</w:t>
      </w:r>
      <w:bookmarkEnd w:id="130"/>
      <w:bookmarkEnd w:id="131"/>
      <w:bookmarkEnd w:id="132"/>
      <w:bookmarkEnd w:id="133"/>
      <w:bookmarkEnd w:id="134"/>
      <w:bookmarkEnd w:id="135"/>
    </w:p>
    <w:p w14:paraId="4FA5DC2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投标人在递交投标文件的同时，应按投标人须知前附表规定的金额、形式等提交投标保证金证明，并作为其投标文件的组成部分。</w:t>
      </w:r>
      <w:r>
        <w:rPr>
          <w:rFonts w:ascii="宋体" w:hAnsi="宋体"/>
          <w:spacing w:val="-3"/>
          <w:szCs w:val="21"/>
          <w:highlight w:val="none"/>
        </w:rPr>
        <w:t>境内投标</w:t>
      </w:r>
      <w:r>
        <w:rPr>
          <w:rFonts w:ascii="宋体" w:hAnsi="宋体"/>
          <w:spacing w:val="-1"/>
          <w:szCs w:val="21"/>
          <w:highlight w:val="none"/>
        </w:rPr>
        <w:t>人应当从其账户转出。</w:t>
      </w:r>
      <w:r>
        <w:rPr>
          <w:rFonts w:hint="eastAsia" w:ascii="宋体" w:hAnsi="宋体"/>
          <w:szCs w:val="21"/>
          <w:highlight w:val="none"/>
        </w:rPr>
        <w:t>联合体投标的，其投标保证金可以由牵头人递交，并应符合投标人须知前附表的规定。</w:t>
      </w:r>
    </w:p>
    <w:p w14:paraId="2BA4480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投标人不按本章第3.4.1项要求提交投标保证金的，其投标文件作废标处理。</w:t>
      </w:r>
    </w:p>
    <w:p w14:paraId="2C8AE6B7">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招标结束后向未中标的投标人退还投标保证金；招标人与中标人签订合同后向中标人退还投标保证金。</w:t>
      </w:r>
    </w:p>
    <w:p w14:paraId="43A5488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有下列情形之一的，投标保证金将不予退还：</w:t>
      </w:r>
    </w:p>
    <w:p w14:paraId="23A6C357">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w:t>
      </w:r>
      <w:r>
        <w:rPr>
          <w:rFonts w:ascii="宋体" w:hAnsi="宋体"/>
          <w:szCs w:val="21"/>
          <w:highlight w:val="none"/>
        </w:rPr>
        <w:t>截止时间后，</w:t>
      </w:r>
      <w:r>
        <w:rPr>
          <w:rFonts w:hint="eastAsia" w:ascii="宋体" w:hAnsi="宋体"/>
          <w:szCs w:val="21"/>
          <w:highlight w:val="none"/>
        </w:rPr>
        <w:t>投标人在规定的投标有效期内撤销或修改投标文件；</w:t>
      </w:r>
    </w:p>
    <w:p w14:paraId="5090605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bookmarkStart w:id="136" w:name="_Toc152042328"/>
      <w:bookmarkStart w:id="137" w:name="_Toc403513514"/>
      <w:bookmarkStart w:id="138" w:name="_Toc332121735"/>
      <w:bookmarkStart w:id="139" w:name="_Toc152045552"/>
      <w:bookmarkStart w:id="140" w:name="_Toc144974520"/>
      <w:bookmarkStart w:id="141" w:name="_Toc330213967"/>
      <w:r>
        <w:rPr>
          <w:rFonts w:ascii="宋体" w:hAnsi="宋体"/>
          <w:spacing w:val="-1"/>
          <w:szCs w:val="21"/>
          <w:highlight w:val="none"/>
        </w:rPr>
        <w:t>中标人在收到中标通知书后，无正当理由不与招标人订立合同，在签订合同时向招标</w:t>
      </w:r>
      <w:r>
        <w:rPr>
          <w:rFonts w:ascii="宋体" w:hAnsi="宋体"/>
          <w:szCs w:val="21"/>
          <w:highlight w:val="none"/>
        </w:rPr>
        <w:t>人提出附加条件，或者不按照招标文件要求提交履约</w:t>
      </w:r>
      <w:r>
        <w:rPr>
          <w:rFonts w:hint="eastAsia" w:ascii="宋体" w:hAnsi="宋体"/>
          <w:szCs w:val="21"/>
          <w:highlight w:val="none"/>
        </w:rPr>
        <w:t>担保</w:t>
      </w:r>
      <w:r>
        <w:rPr>
          <w:rFonts w:ascii="宋体" w:hAnsi="宋体"/>
          <w:szCs w:val="21"/>
          <w:highlight w:val="none"/>
        </w:rPr>
        <w:t>；</w:t>
      </w:r>
    </w:p>
    <w:p w14:paraId="2271696B">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发生投标人须知前附表规定的其他可以不予退还投标保证金的情形</w:t>
      </w:r>
      <w:r>
        <w:rPr>
          <w:rFonts w:hint="eastAsia" w:ascii="宋体" w:hAnsi="宋体"/>
          <w:szCs w:val="21"/>
          <w:highlight w:val="none"/>
        </w:rPr>
        <w:t>。</w:t>
      </w:r>
    </w:p>
    <w:p w14:paraId="73B0B6E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资格审查资料</w:t>
      </w:r>
      <w:bookmarkEnd w:id="136"/>
      <w:bookmarkEnd w:id="137"/>
      <w:bookmarkEnd w:id="138"/>
      <w:bookmarkEnd w:id="139"/>
      <w:bookmarkEnd w:id="140"/>
      <w:bookmarkEnd w:id="141"/>
      <w:r>
        <w:rPr>
          <w:rFonts w:hint="eastAsia" w:ascii="宋体" w:hAnsi="宋体"/>
          <w:b/>
          <w:szCs w:val="21"/>
          <w:highlight w:val="none"/>
        </w:rPr>
        <w:t>（适用于资格后审的）</w:t>
      </w:r>
    </w:p>
    <w:p w14:paraId="70530A9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142" w:name="_Toc332121736"/>
      <w:bookmarkStart w:id="143" w:name="_Toc152045553"/>
      <w:bookmarkStart w:id="144" w:name="_Toc152042329"/>
      <w:bookmarkStart w:id="145" w:name="_Toc403513515"/>
      <w:bookmarkStart w:id="146" w:name="_Toc144974521"/>
      <w:bookmarkStart w:id="147" w:name="_Toc330213968"/>
      <w:r>
        <w:rPr>
          <w:rFonts w:ascii="宋体" w:hAnsi="宋体"/>
          <w:szCs w:val="21"/>
          <w:highlight w:val="none"/>
        </w:rPr>
        <w:t>除投标人须知前附表另有规定外，投标人应按下列规定提供资格审查资料，以证明其满足本</w:t>
      </w:r>
      <w:r>
        <w:rPr>
          <w:rFonts w:hint="eastAsia" w:ascii="宋体" w:hAnsi="宋体"/>
          <w:szCs w:val="21"/>
          <w:highlight w:val="none"/>
        </w:rPr>
        <w:t>项目</w:t>
      </w:r>
      <w:r>
        <w:rPr>
          <w:rFonts w:ascii="宋体" w:hAnsi="宋体"/>
          <w:szCs w:val="21"/>
          <w:highlight w:val="none"/>
        </w:rPr>
        <w:t>规定的</w:t>
      </w:r>
      <w:r>
        <w:rPr>
          <w:rFonts w:hint="eastAsia" w:ascii="宋体" w:hAnsi="宋体"/>
          <w:szCs w:val="21"/>
          <w:highlight w:val="none"/>
        </w:rPr>
        <w:t>资格</w:t>
      </w:r>
      <w:r>
        <w:rPr>
          <w:rFonts w:ascii="宋体" w:hAnsi="宋体"/>
          <w:szCs w:val="21"/>
          <w:highlight w:val="none"/>
        </w:rPr>
        <w:t>要求。</w:t>
      </w:r>
    </w:p>
    <w:p w14:paraId="0E8AAF3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投标人基本情况表</w:t>
      </w:r>
      <w:r>
        <w:rPr>
          <w:rFonts w:hint="eastAsia" w:ascii="宋体" w:hAnsi="宋体"/>
          <w:szCs w:val="21"/>
          <w:highlight w:val="none"/>
        </w:rPr>
        <w:t>”</w:t>
      </w:r>
      <w:r>
        <w:rPr>
          <w:rFonts w:ascii="宋体" w:hAnsi="宋体"/>
          <w:szCs w:val="21"/>
          <w:highlight w:val="none"/>
        </w:rPr>
        <w:t>应附</w:t>
      </w:r>
      <w:r>
        <w:rPr>
          <w:rFonts w:hint="eastAsia" w:ascii="宋体" w:hAnsi="宋体"/>
          <w:szCs w:val="21"/>
          <w:highlight w:val="none"/>
        </w:rPr>
        <w:t>以下证明材料：</w:t>
      </w:r>
    </w:p>
    <w:p w14:paraId="7A5CDA7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投标人为企业的，应提交营业执照和组织机构代码证（按照“三证合一”或“五证合一”登记制度进行登记的，可仅提供营业执照）；</w:t>
      </w:r>
    </w:p>
    <w:p w14:paraId="7EDF7B7D">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投标人为依法允许经营的事业单位的，应提交事业单位法人证书和组织机构代码证的</w:t>
      </w:r>
      <w:r>
        <w:rPr>
          <w:rFonts w:hint="eastAsia" w:ascii="宋体" w:hAnsi="宋体"/>
          <w:szCs w:val="21"/>
          <w:highlight w:val="none"/>
        </w:rPr>
        <w:t>；</w:t>
      </w:r>
    </w:p>
    <w:p w14:paraId="157B7E7A">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投标人须知前附表要求的其他证明材料。</w:t>
      </w:r>
    </w:p>
    <w:p w14:paraId="1225775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投标人须知前附表规定接受联合体投标的，本章第</w:t>
      </w: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.1</w:t>
      </w:r>
      <w:r>
        <w:rPr>
          <w:rFonts w:ascii="宋体" w:hAnsi="宋体"/>
          <w:szCs w:val="21"/>
          <w:highlight w:val="none"/>
        </w:rPr>
        <w:t>规定的表格和资料应包括联合体各方相关情况。</w:t>
      </w:r>
    </w:p>
    <w:p w14:paraId="6115745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48" w:name="_Toc403513516"/>
      <w:bookmarkStart w:id="149" w:name="_Toc144974522"/>
      <w:bookmarkStart w:id="150" w:name="_Toc332121737"/>
      <w:bookmarkStart w:id="151" w:name="_Toc152045554"/>
      <w:bookmarkStart w:id="152" w:name="_Toc152042330"/>
      <w:bookmarkStart w:id="153" w:name="_Toc330213969"/>
      <w:r>
        <w:rPr>
          <w:rFonts w:hint="eastAsia" w:ascii="宋体" w:hAnsi="宋体"/>
          <w:b/>
          <w:szCs w:val="21"/>
          <w:highlight w:val="none"/>
        </w:rPr>
        <w:t>投标文件的编制</w:t>
      </w:r>
      <w:bookmarkEnd w:id="148"/>
      <w:bookmarkEnd w:id="149"/>
      <w:bookmarkEnd w:id="150"/>
      <w:bookmarkEnd w:id="151"/>
      <w:bookmarkEnd w:id="152"/>
      <w:bookmarkEnd w:id="153"/>
    </w:p>
    <w:p w14:paraId="250C108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投标文件应按第</w:t>
      </w:r>
      <w:r>
        <w:rPr>
          <w:rFonts w:hint="eastAsia" w:ascii="宋体" w:hAnsi="宋体"/>
          <w:szCs w:val="21"/>
          <w:highlight w:val="none"/>
        </w:rPr>
        <w:t>五</w:t>
      </w:r>
      <w:r>
        <w:rPr>
          <w:rFonts w:ascii="宋体" w:hAnsi="宋体"/>
          <w:szCs w:val="21"/>
          <w:highlight w:val="none"/>
        </w:rPr>
        <w:t>章“投标文件格式”进行编写，如有必要，可以增加附页，作为投标文件的组成部分。</w:t>
      </w:r>
      <w:r>
        <w:rPr>
          <w:rFonts w:hint="eastAsia" w:ascii="宋体" w:hAnsi="宋体"/>
          <w:szCs w:val="21"/>
          <w:highlight w:val="none"/>
        </w:rPr>
        <w:t>其中，投标函在满足招标文件实质性要求的基础上，可以提出比招标文件要求更有利于招标人的承诺。</w:t>
      </w:r>
    </w:p>
    <w:p w14:paraId="2C860BAB">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投标文件应当对招标文件</w:t>
      </w:r>
      <w:r>
        <w:rPr>
          <w:rFonts w:hint="eastAsia" w:ascii="宋体" w:hAnsi="宋体"/>
          <w:szCs w:val="21"/>
          <w:highlight w:val="none"/>
        </w:rPr>
        <w:t>中的</w:t>
      </w:r>
      <w:r>
        <w:rPr>
          <w:rFonts w:ascii="宋体" w:hAnsi="宋体"/>
          <w:szCs w:val="21"/>
          <w:highlight w:val="none"/>
        </w:rPr>
        <w:t>有关</w:t>
      </w:r>
      <w:r>
        <w:rPr>
          <w:rFonts w:hint="eastAsia" w:ascii="宋体" w:hAnsi="宋体"/>
          <w:szCs w:val="21"/>
          <w:highlight w:val="none"/>
        </w:rPr>
        <w:t>服务</w:t>
      </w:r>
      <w:r>
        <w:rPr>
          <w:rFonts w:ascii="宋体" w:hAnsi="宋体"/>
          <w:szCs w:val="21"/>
          <w:highlight w:val="none"/>
        </w:rPr>
        <w:t>期、投标有效期、</w:t>
      </w:r>
      <w:r>
        <w:rPr>
          <w:rFonts w:hint="eastAsia" w:ascii="宋体" w:hAnsi="宋体"/>
          <w:szCs w:val="21"/>
          <w:highlight w:val="none"/>
        </w:rPr>
        <w:t>服务</w:t>
      </w:r>
      <w:r>
        <w:rPr>
          <w:rFonts w:ascii="宋体" w:hAnsi="宋体"/>
          <w:szCs w:val="21"/>
          <w:highlight w:val="none"/>
        </w:rPr>
        <w:t>要求、招标范围</w:t>
      </w:r>
      <w:r>
        <w:rPr>
          <w:rFonts w:hint="eastAsia" w:ascii="宋体" w:hAnsi="宋体"/>
          <w:szCs w:val="21"/>
          <w:highlight w:val="none"/>
        </w:rPr>
        <w:t>等或带“</w:t>
      </w:r>
      <w:r>
        <w:rPr>
          <w:rFonts w:hint="eastAsia" w:ascii="宋体" w:hAnsi="宋体"/>
          <w:szCs w:val="21"/>
          <w:highlight w:val="none"/>
        </w:rPr>
        <w:sym w:font="Wingdings 2" w:char="F0EA"/>
      </w:r>
      <w:r>
        <w:rPr>
          <w:rFonts w:hint="eastAsia" w:ascii="宋体" w:hAnsi="宋体"/>
          <w:szCs w:val="21"/>
          <w:highlight w:val="none"/>
        </w:rPr>
        <w:t>”的相关商务、技术条款</w:t>
      </w:r>
      <w:r>
        <w:rPr>
          <w:rFonts w:ascii="宋体" w:hAnsi="宋体"/>
          <w:szCs w:val="21"/>
          <w:highlight w:val="none"/>
        </w:rPr>
        <w:t>等实质性内容作出响应。投标文件在满足招标文件实质性要求的基础上，可以提出比招标文件要求更有利于招标人的承诺。</w:t>
      </w:r>
    </w:p>
    <w:p w14:paraId="593DE2FF">
      <w:pPr>
        <w:pStyle w:val="311"/>
        <w:widowControl w:val="0"/>
        <w:autoSpaceDE w:val="0"/>
        <w:autoSpaceDN w:val="0"/>
        <w:adjustRightInd w:val="0"/>
        <w:snapToGrid w:val="0"/>
        <w:ind w:firstLine="0" w:firstLineChars="0"/>
        <w:jc w:val="both"/>
        <w:rPr>
          <w:rFonts w:ascii="宋体" w:hAnsi="宋体"/>
          <w:szCs w:val="21"/>
          <w:highlight w:val="none"/>
        </w:rPr>
      </w:pPr>
    </w:p>
    <w:p w14:paraId="227BECE4">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54" w:name="_Toc152042331"/>
      <w:bookmarkStart w:id="155" w:name="_Toc144974523"/>
      <w:bookmarkStart w:id="156" w:name="_Toc152045555"/>
      <w:r>
        <w:rPr>
          <w:rFonts w:hint="eastAsia" w:ascii="宋体" w:hAnsi="宋体"/>
          <w:b/>
          <w:szCs w:val="21"/>
          <w:highlight w:val="none"/>
        </w:rPr>
        <w:t>投标</w:t>
      </w:r>
      <w:bookmarkEnd w:id="154"/>
      <w:bookmarkEnd w:id="155"/>
      <w:bookmarkEnd w:id="156"/>
    </w:p>
    <w:p w14:paraId="7E4FD85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57" w:name="_Toc403513518"/>
      <w:bookmarkStart w:id="158" w:name="_Toc332121739"/>
      <w:bookmarkStart w:id="159" w:name="_Toc330213971"/>
      <w:bookmarkStart w:id="160" w:name="_Toc152042332"/>
      <w:bookmarkStart w:id="161" w:name="_Toc144974524"/>
      <w:bookmarkStart w:id="162" w:name="_Toc152045556"/>
      <w:r>
        <w:rPr>
          <w:rFonts w:hint="eastAsia" w:ascii="宋体" w:hAnsi="宋体"/>
          <w:b/>
          <w:szCs w:val="21"/>
          <w:highlight w:val="none"/>
        </w:rPr>
        <w:t>投标文件的</w:t>
      </w:r>
      <w:bookmarkEnd w:id="157"/>
      <w:bookmarkEnd w:id="158"/>
      <w:bookmarkEnd w:id="159"/>
      <w:bookmarkEnd w:id="160"/>
      <w:bookmarkEnd w:id="161"/>
      <w:bookmarkEnd w:id="162"/>
      <w:r>
        <w:rPr>
          <w:rFonts w:hint="eastAsia" w:ascii="宋体" w:hAnsi="宋体"/>
          <w:b/>
          <w:szCs w:val="21"/>
          <w:highlight w:val="none"/>
        </w:rPr>
        <w:t>密封</w:t>
      </w:r>
    </w:p>
    <w:p w14:paraId="3CFAB45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投标人应当按照招标文件</w:t>
      </w:r>
      <w:r>
        <w:rPr>
          <w:rFonts w:hint="eastAsia" w:ascii="宋体" w:hAnsi="宋体"/>
          <w:szCs w:val="21"/>
          <w:highlight w:val="none"/>
        </w:rPr>
        <w:t>的</w:t>
      </w:r>
      <w:r>
        <w:rPr>
          <w:rFonts w:ascii="宋体" w:hAnsi="宋体"/>
          <w:szCs w:val="21"/>
          <w:highlight w:val="none"/>
        </w:rPr>
        <w:t>要求</w:t>
      </w:r>
      <w:r>
        <w:rPr>
          <w:rFonts w:hint="eastAsia" w:ascii="宋体" w:hAnsi="宋体"/>
          <w:szCs w:val="21"/>
          <w:highlight w:val="none"/>
        </w:rPr>
        <w:t>密封</w:t>
      </w:r>
      <w:r>
        <w:rPr>
          <w:rFonts w:ascii="宋体" w:hAnsi="宋体"/>
          <w:szCs w:val="21"/>
          <w:highlight w:val="none"/>
        </w:rPr>
        <w:t>投标文件，具体要求见投标人须知前附表。</w:t>
      </w:r>
    </w:p>
    <w:p w14:paraId="2CDF9B7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63" w:name="_Toc332121740"/>
      <w:bookmarkStart w:id="164" w:name="_Toc403513519"/>
      <w:bookmarkStart w:id="165" w:name="_Toc152045557"/>
      <w:bookmarkStart w:id="166" w:name="_Toc144974525"/>
      <w:bookmarkStart w:id="167" w:name="_Toc152042333"/>
      <w:bookmarkStart w:id="168" w:name="_Toc330213972"/>
      <w:r>
        <w:rPr>
          <w:rFonts w:hint="eastAsia" w:ascii="宋体" w:hAnsi="宋体"/>
          <w:b/>
          <w:szCs w:val="21"/>
          <w:highlight w:val="none"/>
        </w:rPr>
        <w:t>投标文件的递交</w:t>
      </w:r>
      <w:bookmarkEnd w:id="163"/>
      <w:bookmarkEnd w:id="164"/>
      <w:bookmarkEnd w:id="165"/>
      <w:bookmarkEnd w:id="166"/>
      <w:bookmarkEnd w:id="167"/>
      <w:bookmarkEnd w:id="168"/>
    </w:p>
    <w:p w14:paraId="1C80A85E">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69" w:name="_Toc403513520"/>
      <w:bookmarkStart w:id="170" w:name="_Toc144974526"/>
      <w:bookmarkStart w:id="171" w:name="_Toc152045558"/>
      <w:bookmarkStart w:id="172" w:name="_Toc330213973"/>
      <w:bookmarkStart w:id="173" w:name="_Toc152042334"/>
      <w:bookmarkStart w:id="174" w:name="_Toc332121741"/>
      <w:r>
        <w:rPr>
          <w:rFonts w:ascii="宋体" w:hAnsi="宋体"/>
          <w:szCs w:val="21"/>
          <w:highlight w:val="none"/>
        </w:rPr>
        <w:t>投标人应在投标人须知前附表规定的投标截止时间前递交投标文件。</w:t>
      </w:r>
    </w:p>
    <w:p w14:paraId="2107C5B1">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除投标人须知前附表另有规定外，投标人所递交的投标文件不予退还。</w:t>
      </w:r>
    </w:p>
    <w:p w14:paraId="7E8910EF">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投标截标时间后，招标人不再接收任何投标文件。</w:t>
      </w:r>
    </w:p>
    <w:p w14:paraId="48A7413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投标文件的修改与撤回</w:t>
      </w:r>
      <w:bookmarkEnd w:id="169"/>
      <w:bookmarkEnd w:id="170"/>
      <w:bookmarkEnd w:id="171"/>
      <w:bookmarkEnd w:id="172"/>
      <w:bookmarkEnd w:id="173"/>
      <w:bookmarkEnd w:id="174"/>
    </w:p>
    <w:p w14:paraId="272D8EDA">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在本投标截止时间前，投标人可以先撤销投标文件</w:t>
      </w:r>
      <w:r>
        <w:rPr>
          <w:rFonts w:hint="eastAsia" w:ascii="宋体" w:hAnsi="宋体"/>
          <w:szCs w:val="21"/>
          <w:highlight w:val="none"/>
        </w:rPr>
        <w:t>，修改后，重新按招标文件要求递交投标文件</w:t>
      </w:r>
      <w:r>
        <w:rPr>
          <w:rFonts w:ascii="宋体" w:hAnsi="宋体"/>
          <w:szCs w:val="21"/>
          <w:highlight w:val="none"/>
        </w:rPr>
        <w:t>。</w:t>
      </w:r>
    </w:p>
    <w:p w14:paraId="354EDD42">
      <w:pPr>
        <w:pStyle w:val="311"/>
        <w:widowControl w:val="0"/>
        <w:numPr>
          <w:ilvl w:val="0"/>
          <w:numId w:val="3"/>
        </w:numPr>
        <w:wordWrap w:val="0"/>
        <w:autoSpaceDE w:val="0"/>
        <w:autoSpaceDN w:val="0"/>
        <w:adjustRightInd w:val="0"/>
        <w:snapToGrid w:val="0"/>
        <w:ind w:left="0" w:firstLine="0" w:firstLineChars="0"/>
        <w:jc w:val="both"/>
        <w:rPr>
          <w:rFonts w:ascii="宋体" w:hAnsi="宋体"/>
          <w:b/>
          <w:szCs w:val="21"/>
          <w:highlight w:val="none"/>
        </w:rPr>
      </w:pPr>
      <w:bookmarkStart w:id="175" w:name="_Toc152045559"/>
      <w:bookmarkStart w:id="176" w:name="_Toc144974527"/>
      <w:bookmarkStart w:id="177" w:name="_Toc152042335"/>
      <w:r>
        <w:rPr>
          <w:rFonts w:hint="eastAsia" w:ascii="宋体" w:hAnsi="宋体"/>
          <w:b/>
          <w:szCs w:val="21"/>
          <w:highlight w:val="none"/>
        </w:rPr>
        <w:t>开标</w:t>
      </w:r>
      <w:bookmarkEnd w:id="175"/>
      <w:bookmarkEnd w:id="176"/>
      <w:bookmarkEnd w:id="177"/>
    </w:p>
    <w:p w14:paraId="049309B1">
      <w:pPr>
        <w:pStyle w:val="2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78" w:name="_Toc144974528"/>
      <w:bookmarkStart w:id="179" w:name="_Toc332121743"/>
      <w:bookmarkStart w:id="180" w:name="_Toc152045560"/>
      <w:bookmarkStart w:id="181" w:name="_Toc330213975"/>
      <w:bookmarkStart w:id="182" w:name="_Toc152042336"/>
      <w:bookmarkStart w:id="183" w:name="_Toc403513522"/>
      <w:r>
        <w:rPr>
          <w:rFonts w:hint="eastAsia" w:ascii="宋体" w:hAnsi="宋体"/>
          <w:b/>
          <w:szCs w:val="21"/>
          <w:highlight w:val="none"/>
        </w:rPr>
        <w:t>开标时间和地点</w:t>
      </w:r>
      <w:bookmarkEnd w:id="178"/>
      <w:bookmarkEnd w:id="179"/>
      <w:bookmarkEnd w:id="180"/>
      <w:bookmarkEnd w:id="181"/>
      <w:bookmarkEnd w:id="182"/>
      <w:bookmarkEnd w:id="183"/>
    </w:p>
    <w:p w14:paraId="23A763C2">
      <w:pPr>
        <w:pStyle w:val="311"/>
        <w:widowControl w:val="0"/>
        <w:numPr>
          <w:ilvl w:val="2"/>
          <w:numId w:val="3"/>
        </w:numPr>
        <w:wordWrap w:val="0"/>
        <w:autoSpaceDE w:val="0"/>
        <w:autoSpaceDN w:val="0"/>
        <w:adjustRightInd w:val="0"/>
        <w:snapToGrid w:val="0"/>
        <w:ind w:left="0" w:firstLine="0" w:firstLineChars="0"/>
        <w:jc w:val="both"/>
        <w:rPr>
          <w:rFonts w:ascii="宋体" w:hAnsi="宋体"/>
          <w:szCs w:val="21"/>
          <w:highlight w:val="none"/>
        </w:rPr>
      </w:pPr>
      <w:bookmarkStart w:id="184" w:name="_Toc332121744"/>
      <w:bookmarkStart w:id="185" w:name="_Toc144974529"/>
      <w:bookmarkStart w:id="186" w:name="_Toc152042337"/>
      <w:bookmarkStart w:id="187" w:name="_Toc330213976"/>
      <w:bookmarkStart w:id="188" w:name="_Toc152045561"/>
      <w:bookmarkStart w:id="189" w:name="_Toc403513523"/>
      <w:r>
        <w:rPr>
          <w:rFonts w:ascii="宋体" w:hAnsi="宋体"/>
          <w:szCs w:val="21"/>
          <w:highlight w:val="none"/>
        </w:rPr>
        <w:t>招标人在规定的投标截止时间（开标时间）,按规定的时间和地点公开开标，</w:t>
      </w:r>
      <w:r>
        <w:rPr>
          <w:rFonts w:hint="eastAsia" w:ascii="宋体" w:hAnsi="宋体"/>
          <w:szCs w:val="21"/>
          <w:highlight w:val="none"/>
        </w:rPr>
        <w:t>投标人的法定代表人或其委托代理人自愿参加开标会议；未参加开标会议的，视为其认可招标程序。</w:t>
      </w:r>
    </w:p>
    <w:p w14:paraId="58785EAB">
      <w:pPr>
        <w:pStyle w:val="2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开标程序</w:t>
      </w:r>
      <w:bookmarkEnd w:id="184"/>
      <w:bookmarkEnd w:id="185"/>
      <w:bookmarkEnd w:id="186"/>
      <w:bookmarkEnd w:id="187"/>
      <w:bookmarkEnd w:id="188"/>
      <w:bookmarkEnd w:id="189"/>
    </w:p>
    <w:p w14:paraId="18C76FF2">
      <w:pPr>
        <w:rPr>
          <w:rFonts w:ascii="宋体" w:hAnsi="宋体"/>
          <w:szCs w:val="21"/>
          <w:highlight w:val="none"/>
        </w:rPr>
      </w:pPr>
      <w:r>
        <w:rPr>
          <w:rFonts w:ascii="宋体" w:hAnsi="宋体"/>
          <w:szCs w:val="21"/>
          <w:highlight w:val="none"/>
        </w:rPr>
        <w:t>招标人按投标人须知前附表规定的时间和地点公开开标，开标由招标人主持。</w:t>
      </w:r>
    </w:p>
    <w:p w14:paraId="5066F716">
      <w:pPr>
        <w:rPr>
          <w:rFonts w:ascii="宋体" w:hAnsi="宋体"/>
          <w:szCs w:val="21"/>
          <w:highlight w:val="none"/>
        </w:rPr>
      </w:pPr>
      <w:r>
        <w:rPr>
          <w:rFonts w:ascii="宋体" w:hAnsi="宋体"/>
          <w:szCs w:val="21"/>
          <w:highlight w:val="none"/>
        </w:rPr>
        <w:t>5.2.1主持人宣布开标纪律、开标程序；</w:t>
      </w:r>
    </w:p>
    <w:p w14:paraId="5D1C4109">
      <w:pPr>
        <w:rPr>
          <w:rFonts w:ascii="宋体" w:hAnsi="宋体"/>
          <w:szCs w:val="21"/>
          <w:highlight w:val="none"/>
        </w:rPr>
      </w:pPr>
      <w:r>
        <w:rPr>
          <w:rFonts w:ascii="宋体" w:hAnsi="宋体"/>
          <w:szCs w:val="21"/>
          <w:highlight w:val="none"/>
        </w:rPr>
        <w:t>5.2.2公布在投标截止时间前提交有效投标文件的投标人名称；</w:t>
      </w:r>
    </w:p>
    <w:p w14:paraId="0768D8E6">
      <w:pPr>
        <w:rPr>
          <w:rFonts w:ascii="宋体" w:hAnsi="宋体"/>
          <w:szCs w:val="21"/>
          <w:highlight w:val="none"/>
        </w:rPr>
      </w:pPr>
      <w:r>
        <w:rPr>
          <w:rFonts w:ascii="宋体" w:hAnsi="宋体"/>
          <w:szCs w:val="21"/>
          <w:highlight w:val="none"/>
        </w:rPr>
        <w:t>5.2.3宣布主持人、唱标人、记录人、监标人等有关人员姓名；</w:t>
      </w:r>
    </w:p>
    <w:p w14:paraId="71D09161">
      <w:pPr>
        <w:rPr>
          <w:rFonts w:ascii="宋体" w:hAnsi="宋体"/>
          <w:szCs w:val="21"/>
          <w:highlight w:val="none"/>
        </w:rPr>
      </w:pPr>
      <w:r>
        <w:rPr>
          <w:rFonts w:ascii="宋体" w:hAnsi="宋体"/>
          <w:szCs w:val="21"/>
          <w:highlight w:val="none"/>
        </w:rPr>
        <w:t>5.2.4宣布对投标文件的密封情况验查结果；</w:t>
      </w:r>
    </w:p>
    <w:p w14:paraId="31F3B6E9">
      <w:pPr>
        <w:rPr>
          <w:rFonts w:ascii="宋体" w:hAnsi="宋体"/>
          <w:szCs w:val="21"/>
          <w:highlight w:val="none"/>
        </w:rPr>
      </w:pPr>
      <w:r>
        <w:rPr>
          <w:rFonts w:ascii="宋体" w:hAnsi="宋体"/>
          <w:szCs w:val="21"/>
          <w:highlight w:val="none"/>
        </w:rPr>
        <w:t>5.2.5按照投标人须知前附表规定宣布投标文件的拆封顺序；</w:t>
      </w:r>
    </w:p>
    <w:p w14:paraId="5B9F738A">
      <w:pPr>
        <w:rPr>
          <w:rFonts w:ascii="宋体" w:hAnsi="宋体"/>
          <w:szCs w:val="21"/>
          <w:highlight w:val="none"/>
        </w:rPr>
      </w:pPr>
      <w:r>
        <w:rPr>
          <w:rFonts w:ascii="宋体" w:hAnsi="宋体"/>
          <w:szCs w:val="21"/>
          <w:highlight w:val="none"/>
        </w:rPr>
        <w:t>5.2.6按照宣布的开标顺序当众开标并记录在案；</w:t>
      </w:r>
    </w:p>
    <w:p w14:paraId="1B9862AC">
      <w:pPr>
        <w:rPr>
          <w:rFonts w:ascii="宋体" w:hAnsi="宋体"/>
          <w:szCs w:val="21"/>
          <w:highlight w:val="none"/>
        </w:rPr>
      </w:pPr>
      <w:r>
        <w:rPr>
          <w:rFonts w:ascii="宋体" w:hAnsi="宋体"/>
          <w:szCs w:val="21"/>
          <w:highlight w:val="none"/>
        </w:rPr>
        <w:t>5.2.7投标人代表、招标人代表、监标人、记录人等有关人员在开标记录上签字确认；</w:t>
      </w:r>
    </w:p>
    <w:p w14:paraId="2BA1657F">
      <w:pPr>
        <w:rPr>
          <w:rFonts w:ascii="宋体" w:hAnsi="宋体"/>
          <w:szCs w:val="21"/>
          <w:highlight w:val="none"/>
        </w:rPr>
      </w:pPr>
      <w:r>
        <w:rPr>
          <w:rFonts w:ascii="宋体" w:hAnsi="宋体"/>
          <w:szCs w:val="21"/>
          <w:highlight w:val="none"/>
        </w:rPr>
        <w:t>5.2.8开标结束。</w:t>
      </w:r>
    </w:p>
    <w:p w14:paraId="3ABDE88E">
      <w:pPr>
        <w:pStyle w:val="311"/>
        <w:widowControl w:val="0"/>
        <w:autoSpaceDE w:val="0"/>
        <w:autoSpaceDN w:val="0"/>
        <w:adjustRightInd w:val="0"/>
        <w:snapToGrid w:val="0"/>
        <w:ind w:firstLine="0" w:firstLineChars="0"/>
        <w:jc w:val="both"/>
        <w:rPr>
          <w:rFonts w:ascii="宋体" w:hAnsi="宋体"/>
          <w:szCs w:val="21"/>
          <w:highlight w:val="none"/>
        </w:rPr>
      </w:pPr>
    </w:p>
    <w:p w14:paraId="771A3012">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bookmarkStart w:id="190" w:name="_Toc144974530"/>
      <w:bookmarkStart w:id="191" w:name="_Toc152042338"/>
      <w:bookmarkStart w:id="192" w:name="_Toc152045562"/>
      <w:r>
        <w:rPr>
          <w:rFonts w:hint="eastAsia" w:ascii="宋体" w:hAnsi="宋体"/>
          <w:b/>
          <w:szCs w:val="21"/>
          <w:highlight w:val="none"/>
        </w:rPr>
        <w:t>评标</w:t>
      </w:r>
      <w:bookmarkEnd w:id="190"/>
      <w:bookmarkEnd w:id="191"/>
      <w:bookmarkEnd w:id="192"/>
    </w:p>
    <w:p w14:paraId="550AA231">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3" w:name="_Toc152042339"/>
      <w:bookmarkStart w:id="194" w:name="_Toc403513525"/>
      <w:bookmarkStart w:id="195" w:name="_Toc152045563"/>
      <w:bookmarkStart w:id="196" w:name="_Toc330213978"/>
      <w:bookmarkStart w:id="197" w:name="_Toc144974531"/>
      <w:bookmarkStart w:id="198" w:name="_Toc332121746"/>
      <w:r>
        <w:rPr>
          <w:rFonts w:hint="eastAsia" w:ascii="宋体" w:hAnsi="宋体"/>
          <w:b/>
          <w:szCs w:val="21"/>
          <w:highlight w:val="none"/>
        </w:rPr>
        <w:t>评标委员会</w:t>
      </w:r>
      <w:bookmarkEnd w:id="193"/>
      <w:bookmarkEnd w:id="194"/>
      <w:bookmarkEnd w:id="195"/>
      <w:bookmarkEnd w:id="196"/>
      <w:bookmarkEnd w:id="197"/>
      <w:bookmarkEnd w:id="198"/>
    </w:p>
    <w:p w14:paraId="7092981C">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w:t>
      </w:r>
      <w:r>
        <w:rPr>
          <w:rFonts w:hint="eastAsia" w:ascii="宋体" w:hAnsi="宋体"/>
          <w:szCs w:val="21"/>
          <w:highlight w:val="none"/>
        </w:rPr>
        <w:t>将</w:t>
      </w:r>
      <w:r>
        <w:rPr>
          <w:rFonts w:ascii="宋体" w:hAnsi="宋体"/>
          <w:szCs w:val="21"/>
          <w:highlight w:val="none"/>
        </w:rPr>
        <w:t>依法组</w:t>
      </w:r>
      <w:r>
        <w:rPr>
          <w:rFonts w:hint="eastAsia" w:ascii="宋体" w:hAnsi="宋体"/>
          <w:szCs w:val="21"/>
          <w:highlight w:val="none"/>
        </w:rPr>
        <w:t>建</w:t>
      </w:r>
      <w:r>
        <w:rPr>
          <w:rFonts w:ascii="宋体" w:hAnsi="宋体"/>
          <w:szCs w:val="21"/>
          <w:highlight w:val="none"/>
        </w:rPr>
        <w:t>评标委员会，</w:t>
      </w:r>
      <w:r>
        <w:rPr>
          <w:rFonts w:hint="eastAsia" w:ascii="宋体" w:hAnsi="宋体"/>
          <w:szCs w:val="21"/>
          <w:highlight w:val="none"/>
        </w:rPr>
        <w:t>通常情况下，</w:t>
      </w:r>
      <w:r>
        <w:rPr>
          <w:rFonts w:ascii="宋体" w:hAnsi="宋体"/>
          <w:szCs w:val="21"/>
          <w:highlight w:val="none"/>
        </w:rPr>
        <w:t>评标委员会为</w:t>
      </w:r>
      <w:r>
        <w:rPr>
          <w:rFonts w:hint="eastAsia" w:ascii="宋体" w:hAnsi="宋体"/>
          <w:szCs w:val="21"/>
          <w:highlight w:val="none"/>
        </w:rPr>
        <w:t>五</w:t>
      </w:r>
      <w:r>
        <w:rPr>
          <w:rFonts w:ascii="宋体" w:hAnsi="宋体"/>
          <w:szCs w:val="21"/>
          <w:highlight w:val="none"/>
        </w:rPr>
        <w:t>人</w:t>
      </w:r>
      <w:r>
        <w:rPr>
          <w:rFonts w:hint="eastAsia" w:ascii="宋体" w:hAnsi="宋体"/>
          <w:szCs w:val="21"/>
          <w:highlight w:val="none"/>
        </w:rPr>
        <w:t>（含）以上单数。</w:t>
      </w:r>
      <w:r>
        <w:rPr>
          <w:rFonts w:ascii="宋体" w:hAnsi="宋体"/>
          <w:szCs w:val="21"/>
          <w:highlight w:val="none"/>
        </w:rPr>
        <w:t>与投标人有利害关系的</w:t>
      </w:r>
      <w:r>
        <w:rPr>
          <w:rFonts w:hint="eastAsia" w:ascii="宋体" w:hAnsi="宋体"/>
          <w:szCs w:val="21"/>
          <w:highlight w:val="none"/>
        </w:rPr>
        <w:t>成员应当回避</w:t>
      </w:r>
      <w:r>
        <w:rPr>
          <w:rFonts w:ascii="宋体" w:hAnsi="宋体"/>
          <w:szCs w:val="21"/>
          <w:highlight w:val="none"/>
        </w:rPr>
        <w:t>。</w:t>
      </w:r>
    </w:p>
    <w:p w14:paraId="4F42345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评标委员会成员有下列情形之一的，应当回避：</w:t>
      </w:r>
    </w:p>
    <w:p w14:paraId="31C67794">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招标人或投标人的主要负责人的近亲属；</w:t>
      </w:r>
    </w:p>
    <w:p w14:paraId="2E7F3995">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项目主管部门或者行政监督部门的人员；</w:t>
      </w:r>
    </w:p>
    <w:p w14:paraId="5F0B59CB">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与投标人有经济利益关系，可能影响对投标公正评审的；</w:t>
      </w:r>
    </w:p>
    <w:p w14:paraId="2996A451">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曾因在招标、评标以及其他与招标投标有关活动中从事违法行为而受过行政处罚或刑事处罚的；</w:t>
      </w:r>
    </w:p>
    <w:p w14:paraId="4F4793B8">
      <w:pPr>
        <w:pStyle w:val="311"/>
        <w:widowControl w:val="0"/>
        <w:numPr>
          <w:ilvl w:val="3"/>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与投标人有其他利害关系。</w:t>
      </w:r>
    </w:p>
    <w:p w14:paraId="1D07CB54">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pacing w:val="-4"/>
          <w:szCs w:val="21"/>
          <w:highlight w:val="none"/>
        </w:rPr>
        <w:t>评标过程中，评标委员会成员有回避事由、擅离职守或者因健康等原因不能继续评标</w:t>
      </w:r>
      <w:r>
        <w:rPr>
          <w:rFonts w:ascii="宋体" w:hAnsi="宋体"/>
          <w:spacing w:val="-1"/>
          <w:szCs w:val="21"/>
          <w:highlight w:val="none"/>
        </w:rPr>
        <w:t>的，招标人有权更换。被更换的评标委员会成员作出的评审结论无效，由更换后的评标委员会</w:t>
      </w:r>
      <w:r>
        <w:rPr>
          <w:rFonts w:ascii="宋体" w:hAnsi="宋体"/>
          <w:szCs w:val="21"/>
          <w:highlight w:val="none"/>
        </w:rPr>
        <w:t>成员重新进行评审。</w:t>
      </w:r>
    </w:p>
    <w:p w14:paraId="49E11B9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199" w:name="_Toc330213979"/>
      <w:bookmarkStart w:id="200" w:name="_Toc144974532"/>
      <w:bookmarkStart w:id="201" w:name="_Toc332121747"/>
      <w:bookmarkStart w:id="202" w:name="_Toc403513526"/>
      <w:bookmarkStart w:id="203" w:name="_Toc152045564"/>
      <w:bookmarkStart w:id="204" w:name="_Toc152042340"/>
      <w:r>
        <w:rPr>
          <w:rFonts w:hint="eastAsia" w:ascii="宋体" w:hAnsi="宋体"/>
          <w:b/>
          <w:szCs w:val="21"/>
          <w:highlight w:val="none"/>
        </w:rPr>
        <w:t>评标原则</w:t>
      </w:r>
      <w:bookmarkEnd w:id="199"/>
      <w:bookmarkEnd w:id="200"/>
      <w:bookmarkEnd w:id="201"/>
      <w:bookmarkEnd w:id="202"/>
      <w:bookmarkEnd w:id="203"/>
      <w:bookmarkEnd w:id="204"/>
      <w:r>
        <w:rPr>
          <w:rFonts w:ascii="宋体" w:hAnsi="宋体"/>
          <w:b/>
          <w:szCs w:val="21"/>
          <w:highlight w:val="none"/>
        </w:rPr>
        <w:tab/>
      </w:r>
    </w:p>
    <w:p w14:paraId="5C144380">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评标活动遵循公平、公正、科学和择优的原则。</w:t>
      </w:r>
    </w:p>
    <w:p w14:paraId="4CFD413E">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05" w:name="_Toc152042341"/>
      <w:bookmarkStart w:id="206" w:name="_Toc152045565"/>
      <w:bookmarkStart w:id="207" w:name="_Toc403513527"/>
      <w:bookmarkStart w:id="208" w:name="_Toc144974533"/>
      <w:bookmarkStart w:id="209" w:name="_Toc332121748"/>
      <w:bookmarkStart w:id="210" w:name="_Toc330213980"/>
      <w:r>
        <w:rPr>
          <w:rFonts w:hint="eastAsia" w:ascii="宋体" w:hAnsi="宋体"/>
          <w:b/>
          <w:szCs w:val="21"/>
          <w:highlight w:val="none"/>
        </w:rPr>
        <w:t>评标</w:t>
      </w:r>
      <w:bookmarkEnd w:id="205"/>
      <w:bookmarkEnd w:id="206"/>
      <w:bookmarkEnd w:id="207"/>
      <w:bookmarkEnd w:id="208"/>
      <w:bookmarkEnd w:id="209"/>
      <w:bookmarkEnd w:id="210"/>
    </w:p>
    <w:p w14:paraId="5F786DC9">
      <w:pPr>
        <w:pStyle w:val="311"/>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bookmarkStart w:id="211" w:name="_Toc144974534"/>
      <w:bookmarkStart w:id="212" w:name="_Toc152045566"/>
      <w:bookmarkStart w:id="213" w:name="_Toc152042342"/>
      <w:r>
        <w:rPr>
          <w:rFonts w:ascii="宋体" w:hAnsi="宋体"/>
          <w:szCs w:val="21"/>
          <w:highlight w:val="none"/>
        </w:rPr>
        <w:t>评标委员会按照投标人须知前附表</w:t>
      </w:r>
      <w:r>
        <w:rPr>
          <w:rFonts w:hint="eastAsia" w:ascii="宋体" w:hAnsi="宋体"/>
          <w:szCs w:val="21"/>
          <w:highlight w:val="none"/>
        </w:rPr>
        <w:t>和</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章“评</w:t>
      </w:r>
      <w:r>
        <w:rPr>
          <w:rFonts w:hint="eastAsia" w:ascii="宋体" w:hAnsi="宋体"/>
          <w:szCs w:val="21"/>
          <w:highlight w:val="none"/>
        </w:rPr>
        <w:t>定</w:t>
      </w:r>
      <w:r>
        <w:rPr>
          <w:rFonts w:ascii="宋体" w:hAnsi="宋体"/>
          <w:szCs w:val="21"/>
          <w:highlight w:val="none"/>
        </w:rPr>
        <w:t>标办法”规定的方法、评审因素、标准和程序对投标文</w:t>
      </w:r>
      <w:r>
        <w:rPr>
          <w:rFonts w:ascii="宋体" w:hAnsi="宋体"/>
          <w:spacing w:val="-2"/>
          <w:szCs w:val="21"/>
          <w:highlight w:val="none"/>
        </w:rPr>
        <w:t>件进行评审。第</w:t>
      </w:r>
      <w:r>
        <w:rPr>
          <w:rFonts w:hint="eastAsia" w:ascii="宋体" w:hAnsi="宋体"/>
          <w:spacing w:val="-2"/>
          <w:szCs w:val="21"/>
          <w:highlight w:val="none"/>
        </w:rPr>
        <w:t>二</w:t>
      </w:r>
      <w:r>
        <w:rPr>
          <w:rFonts w:ascii="宋体" w:hAnsi="宋体"/>
          <w:spacing w:val="-2"/>
          <w:szCs w:val="21"/>
          <w:highlight w:val="none"/>
        </w:rPr>
        <w:t>章“评</w:t>
      </w:r>
      <w:r>
        <w:rPr>
          <w:rFonts w:hint="eastAsia" w:ascii="宋体" w:hAnsi="宋体"/>
          <w:spacing w:val="-2"/>
          <w:szCs w:val="21"/>
          <w:highlight w:val="none"/>
        </w:rPr>
        <w:t>定</w:t>
      </w:r>
      <w:r>
        <w:rPr>
          <w:rFonts w:ascii="宋体" w:hAnsi="宋体"/>
          <w:spacing w:val="-2"/>
          <w:szCs w:val="21"/>
          <w:highlight w:val="none"/>
        </w:rPr>
        <w:t>标办法”没有规定的方法、评审因素和标准，不作为评标依据。</w:t>
      </w:r>
    </w:p>
    <w:p w14:paraId="008A219A">
      <w:pPr>
        <w:pStyle w:val="311"/>
        <w:widowControl w:val="0"/>
        <w:numPr>
          <w:ilvl w:val="2"/>
          <w:numId w:val="3"/>
        </w:numPr>
        <w:autoSpaceDE w:val="0"/>
        <w:autoSpaceDN w:val="0"/>
        <w:adjustRightInd w:val="0"/>
        <w:snapToGrid w:val="0"/>
        <w:ind w:left="0" w:firstLine="0" w:firstLineChars="0"/>
        <w:jc w:val="both"/>
        <w:rPr>
          <w:rFonts w:ascii="宋体" w:hAnsi="宋体"/>
          <w:spacing w:val="-2"/>
          <w:szCs w:val="21"/>
          <w:highlight w:val="none"/>
        </w:rPr>
      </w:pPr>
      <w:r>
        <w:rPr>
          <w:rFonts w:ascii="宋体" w:hAnsi="宋体"/>
          <w:szCs w:val="21"/>
          <w:highlight w:val="none"/>
        </w:rPr>
        <w:t>评标完成后，评标委员会评标报告和中标候选人名单。评标</w:t>
      </w:r>
      <w:r>
        <w:rPr>
          <w:rFonts w:ascii="宋体" w:hAnsi="宋体"/>
          <w:spacing w:val="-2"/>
          <w:szCs w:val="21"/>
          <w:highlight w:val="none"/>
        </w:rPr>
        <w:t>委员会推荐中标候选人的人数见投标人须知前附表。</w:t>
      </w:r>
    </w:p>
    <w:p w14:paraId="3BAB7917">
      <w:pPr>
        <w:pStyle w:val="311"/>
        <w:widowControl w:val="0"/>
        <w:autoSpaceDE w:val="0"/>
        <w:autoSpaceDN w:val="0"/>
        <w:adjustRightInd w:val="0"/>
        <w:snapToGrid w:val="0"/>
        <w:ind w:firstLine="0" w:firstLineChars="0"/>
        <w:jc w:val="both"/>
        <w:rPr>
          <w:rFonts w:ascii="宋体" w:hAnsi="宋体"/>
          <w:spacing w:val="-2"/>
          <w:szCs w:val="21"/>
          <w:highlight w:val="none"/>
        </w:rPr>
      </w:pPr>
    </w:p>
    <w:bookmarkEnd w:id="211"/>
    <w:bookmarkEnd w:id="212"/>
    <w:bookmarkEnd w:id="213"/>
    <w:p w14:paraId="1F26BDDC">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定标</w:t>
      </w:r>
    </w:p>
    <w:p w14:paraId="3919F39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14" w:name="_Toc152045567"/>
      <w:bookmarkStart w:id="215" w:name="_Toc330213982"/>
      <w:bookmarkStart w:id="216" w:name="_Toc152042343"/>
      <w:bookmarkStart w:id="217" w:name="_Toc403513529"/>
      <w:bookmarkStart w:id="218" w:name="_Toc144974535"/>
      <w:bookmarkStart w:id="219" w:name="_Toc332121750"/>
      <w:r>
        <w:rPr>
          <w:rFonts w:hint="eastAsia" w:ascii="宋体" w:hAnsi="宋体"/>
          <w:b/>
          <w:szCs w:val="21"/>
          <w:highlight w:val="none"/>
        </w:rPr>
        <w:t>定标方式</w:t>
      </w:r>
      <w:bookmarkEnd w:id="214"/>
      <w:bookmarkEnd w:id="215"/>
      <w:bookmarkEnd w:id="216"/>
      <w:bookmarkEnd w:id="217"/>
      <w:bookmarkEnd w:id="218"/>
      <w:bookmarkEnd w:id="219"/>
    </w:p>
    <w:p w14:paraId="489F43BD">
      <w:pPr>
        <w:pStyle w:val="311"/>
        <w:widowControl w:val="0"/>
        <w:numPr>
          <w:ilvl w:val="2"/>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除投标人须知前附表规定评标委员会直接确定中标人外，招标人依据评标委员会推荐的中标候选人确定中标人。定标方法及定标程序详见投标人须知前附表。</w:t>
      </w:r>
    </w:p>
    <w:p w14:paraId="75AD6123">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中标公示</w:t>
      </w:r>
    </w:p>
    <w:p w14:paraId="3D66042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20" w:name="_Hlk46483503"/>
      <w:r>
        <w:rPr>
          <w:rFonts w:hint="eastAsia" w:ascii="宋体" w:hAnsi="宋体"/>
          <w:szCs w:val="21"/>
          <w:highlight w:val="none"/>
        </w:rPr>
        <w:t>招标人在确定中标结果后，按照投标人须知前附表规定的媒介公示中标候选人，公示期不得少于3天。</w:t>
      </w:r>
    </w:p>
    <w:p w14:paraId="37C4DE4D">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中标候选人公示期满且无异议，按照投标人须知前附表规定的媒介公告中标结果。</w:t>
      </w:r>
      <w:bookmarkEnd w:id="220"/>
    </w:p>
    <w:p w14:paraId="224403BA">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1" w:name="_Toc152042344"/>
      <w:bookmarkStart w:id="222" w:name="_Toc144974536"/>
      <w:bookmarkStart w:id="223" w:name="_Toc152045568"/>
      <w:r>
        <w:rPr>
          <w:rFonts w:ascii="宋体" w:hAnsi="宋体"/>
          <w:b/>
          <w:szCs w:val="21"/>
          <w:highlight w:val="none"/>
        </w:rPr>
        <w:t>评标结果异议</w:t>
      </w:r>
    </w:p>
    <w:p w14:paraId="10E1018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投标人或者其他利害关系人对</w:t>
      </w:r>
      <w:bookmarkStart w:id="224" w:name="_Hlk46483513"/>
      <w:r>
        <w:rPr>
          <w:rFonts w:ascii="宋体" w:hAnsi="宋体"/>
          <w:szCs w:val="21"/>
          <w:highlight w:val="none"/>
        </w:rPr>
        <w:t>评</w:t>
      </w:r>
      <w:r>
        <w:rPr>
          <w:rFonts w:hint="eastAsia" w:ascii="宋体" w:hAnsi="宋体"/>
          <w:szCs w:val="21"/>
          <w:highlight w:val="none"/>
        </w:rPr>
        <w:t>标或定</w:t>
      </w:r>
      <w:r>
        <w:rPr>
          <w:rFonts w:ascii="宋体" w:hAnsi="宋体"/>
          <w:szCs w:val="21"/>
          <w:highlight w:val="none"/>
        </w:rPr>
        <w:t>标</w:t>
      </w:r>
      <w:bookmarkEnd w:id="224"/>
      <w:r>
        <w:rPr>
          <w:rFonts w:ascii="宋体" w:hAnsi="宋体"/>
          <w:szCs w:val="21"/>
          <w:highlight w:val="none"/>
        </w:rPr>
        <w:t>结果有异议的，应当在中标候选人公示期间提出。</w:t>
      </w:r>
    </w:p>
    <w:p w14:paraId="3E93032C">
      <w:pPr>
        <w:pStyle w:val="311"/>
        <w:widowControl w:val="0"/>
        <w:autoSpaceDE w:val="0"/>
        <w:autoSpaceDN w:val="0"/>
        <w:adjustRightInd w:val="0"/>
        <w:snapToGrid w:val="0"/>
        <w:ind w:firstLine="0" w:firstLineChars="0"/>
        <w:jc w:val="both"/>
        <w:rPr>
          <w:rFonts w:ascii="宋体" w:hAnsi="宋体"/>
          <w:szCs w:val="21"/>
          <w:highlight w:val="none"/>
        </w:rPr>
      </w:pPr>
    </w:p>
    <w:p w14:paraId="4E771D7B">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合同授予</w:t>
      </w:r>
      <w:bookmarkStart w:id="225" w:name="_Toc330213983"/>
      <w:bookmarkStart w:id="226" w:name="_Toc403513530"/>
      <w:bookmarkStart w:id="227" w:name="_Toc332121751"/>
    </w:p>
    <w:p w14:paraId="08B95C5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履约能力的审查</w:t>
      </w:r>
      <w:bookmarkEnd w:id="225"/>
      <w:bookmarkEnd w:id="226"/>
      <w:bookmarkEnd w:id="227"/>
    </w:p>
    <w:p w14:paraId="7D1C417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3094ED1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28" w:name="_Toc332121752"/>
      <w:bookmarkStart w:id="229" w:name="_Toc330213984"/>
      <w:bookmarkStart w:id="230" w:name="_Toc403513531"/>
      <w:r>
        <w:rPr>
          <w:rFonts w:hint="eastAsia" w:ascii="宋体" w:hAnsi="宋体"/>
          <w:b/>
          <w:szCs w:val="21"/>
          <w:highlight w:val="none"/>
        </w:rPr>
        <w:t>中标通知</w:t>
      </w:r>
      <w:bookmarkEnd w:id="221"/>
      <w:bookmarkEnd w:id="222"/>
      <w:bookmarkEnd w:id="223"/>
      <w:bookmarkEnd w:id="228"/>
      <w:bookmarkEnd w:id="229"/>
      <w:bookmarkEnd w:id="230"/>
    </w:p>
    <w:p w14:paraId="76C4AE0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在投标有效期内，招标人向中标人发出中标通知书，同时将中标结果通知未中标的投标人。</w:t>
      </w:r>
    </w:p>
    <w:p w14:paraId="248D8C77">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1" w:name="_Toc152045569"/>
      <w:bookmarkStart w:id="232" w:name="_Toc152042345"/>
      <w:bookmarkStart w:id="233" w:name="_Toc332121753"/>
      <w:bookmarkStart w:id="234" w:name="_Toc144974537"/>
      <w:bookmarkStart w:id="235" w:name="_Toc403513532"/>
      <w:bookmarkStart w:id="236" w:name="_Toc330213985"/>
      <w:r>
        <w:rPr>
          <w:rFonts w:hint="eastAsia" w:ascii="宋体" w:hAnsi="宋体"/>
          <w:b/>
          <w:szCs w:val="21"/>
          <w:highlight w:val="none"/>
        </w:rPr>
        <w:t>履约担保</w:t>
      </w:r>
      <w:bookmarkEnd w:id="231"/>
      <w:bookmarkEnd w:id="232"/>
      <w:bookmarkEnd w:id="233"/>
      <w:bookmarkEnd w:id="234"/>
      <w:bookmarkEnd w:id="235"/>
      <w:bookmarkEnd w:id="236"/>
    </w:p>
    <w:p w14:paraId="5770D0F5">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325A919F">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中标人不能按本章第8.3.1项要求提交履约担保的，视为放弃中标，其投标保证金不予退还，给招标人造成的损失超过投标保证金数额的，中标人还应当对超过部分予以赔偿。</w:t>
      </w:r>
    </w:p>
    <w:p w14:paraId="22BB3E3C">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37" w:name="_Toc152045570"/>
      <w:bookmarkStart w:id="238" w:name="_Toc524169011"/>
      <w:bookmarkStart w:id="239" w:name="_Toc332121754"/>
      <w:bookmarkStart w:id="240" w:name="_Toc525476150"/>
      <w:bookmarkStart w:id="241" w:name="_Toc11464"/>
      <w:bookmarkStart w:id="242" w:name="_Toc144974538"/>
      <w:bookmarkStart w:id="243" w:name="_Toc330213986"/>
      <w:bookmarkStart w:id="244" w:name="_Toc403513533"/>
      <w:bookmarkStart w:id="245" w:name="_Toc152042346"/>
      <w:r>
        <w:rPr>
          <w:rFonts w:hint="eastAsia" w:ascii="宋体" w:hAnsi="宋体"/>
          <w:b/>
          <w:szCs w:val="21"/>
          <w:highlight w:val="none"/>
        </w:rPr>
        <w:t>签订合同</w:t>
      </w:r>
      <w:bookmarkEnd w:id="237"/>
      <w:bookmarkEnd w:id="238"/>
      <w:bookmarkEnd w:id="239"/>
      <w:bookmarkEnd w:id="240"/>
      <w:bookmarkEnd w:id="241"/>
      <w:bookmarkEnd w:id="242"/>
      <w:bookmarkEnd w:id="243"/>
      <w:bookmarkEnd w:id="244"/>
      <w:bookmarkEnd w:id="245"/>
    </w:p>
    <w:p w14:paraId="39310F73">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招标人和中标人应当在中标通知书发出之日起30日内，根据招标文件和中标人的投标文件订立书面合同。中标人无正当理由</w:t>
      </w:r>
      <w:r>
        <w:rPr>
          <w:rFonts w:hint="eastAsia" w:ascii="宋体" w:hAnsi="宋体"/>
          <w:szCs w:val="21"/>
          <w:highlight w:val="none"/>
        </w:rPr>
        <w:t>不与招标人订立</w:t>
      </w:r>
      <w:r>
        <w:rPr>
          <w:rFonts w:ascii="宋体" w:hAnsi="宋体"/>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B5CEC56">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联合体中标的，联合体各方应当共同与招标人签订合同，就中标项目向招标人承担连带责任。</w:t>
      </w:r>
    </w:p>
    <w:p w14:paraId="31AE6A22">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招标失败的情形</w:t>
      </w:r>
    </w:p>
    <w:p w14:paraId="7283B6A9">
      <w:pPr>
        <w:pStyle w:val="311"/>
        <w:widowControl w:val="0"/>
        <w:autoSpaceDE w:val="0"/>
        <w:autoSpaceDN w:val="0"/>
        <w:adjustRightInd w:val="0"/>
        <w:snapToGrid w:val="0"/>
        <w:ind w:firstLine="0" w:firstLineChars="0"/>
        <w:jc w:val="both"/>
        <w:rPr>
          <w:rFonts w:ascii="宋体" w:hAnsi="宋体"/>
          <w:szCs w:val="21"/>
          <w:highlight w:val="none"/>
        </w:rPr>
      </w:pPr>
      <w:bookmarkStart w:id="246" w:name="_Toc144974542"/>
      <w:bookmarkStart w:id="247" w:name="_Toc152042350"/>
      <w:bookmarkStart w:id="248" w:name="_Toc152045574"/>
      <w:r>
        <w:rPr>
          <w:rFonts w:hint="eastAsia" w:ascii="宋体" w:hAnsi="宋体"/>
          <w:szCs w:val="21"/>
          <w:highlight w:val="none"/>
          <w:lang w:val="en-US" w:eastAsia="zh-CN"/>
        </w:rPr>
        <w:t>除非本招标文件另有说明，</w:t>
      </w:r>
      <w:r>
        <w:rPr>
          <w:rFonts w:hint="eastAsia" w:ascii="宋体" w:hAnsi="宋体"/>
          <w:szCs w:val="21"/>
          <w:highlight w:val="none"/>
        </w:rPr>
        <w:t>发生以下情形的，招标人应当宣布本次招标失败：</w:t>
      </w:r>
    </w:p>
    <w:p w14:paraId="2864AE0B">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因投标人数量不足三家未能达到开标条件的；</w:t>
      </w:r>
    </w:p>
    <w:p w14:paraId="6968DACB">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评标委员会否决所有投标的；</w:t>
      </w:r>
    </w:p>
    <w:p w14:paraId="697F76C5">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评标委员会否决一部分投标后其他有效投标不足三个使得投标明显缺乏竞争而否决所有投标的；</w:t>
      </w:r>
    </w:p>
    <w:p w14:paraId="1360F972">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招标项目发生重大变化，招标人取消采购任务；</w:t>
      </w:r>
    </w:p>
    <w:p w14:paraId="28CE2168">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1BF19727">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纪律和监督</w:t>
      </w:r>
      <w:bookmarkEnd w:id="246"/>
      <w:bookmarkEnd w:id="247"/>
      <w:bookmarkEnd w:id="248"/>
    </w:p>
    <w:p w14:paraId="69FD4B0B">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49" w:name="_Toc144974543"/>
      <w:bookmarkStart w:id="250" w:name="_Toc152042351"/>
      <w:bookmarkStart w:id="251" w:name="_Toc403513538"/>
      <w:bookmarkStart w:id="252" w:name="_Toc332121759"/>
      <w:bookmarkStart w:id="253" w:name="_Toc152045575"/>
      <w:bookmarkStart w:id="254" w:name="_Toc330213991"/>
      <w:r>
        <w:rPr>
          <w:rFonts w:hint="eastAsia" w:ascii="宋体" w:hAnsi="宋体"/>
          <w:b/>
          <w:szCs w:val="21"/>
          <w:highlight w:val="none"/>
        </w:rPr>
        <w:t>对招标人的纪律要求</w:t>
      </w:r>
      <w:bookmarkEnd w:id="249"/>
      <w:bookmarkEnd w:id="250"/>
      <w:bookmarkEnd w:id="251"/>
      <w:bookmarkEnd w:id="252"/>
      <w:bookmarkEnd w:id="253"/>
      <w:bookmarkEnd w:id="254"/>
    </w:p>
    <w:p w14:paraId="3888C589">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招标人不得泄漏招标投标活动中应当保密的情况和资料，不得与投标人串通损害国家利益、社会公共利益或者他人合法权益。</w:t>
      </w:r>
    </w:p>
    <w:p w14:paraId="78232AFD">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55" w:name="_Toc152045576"/>
      <w:bookmarkStart w:id="256" w:name="_Toc332121760"/>
      <w:bookmarkStart w:id="257" w:name="_Toc330213992"/>
      <w:bookmarkStart w:id="258" w:name="_Toc144974544"/>
      <w:bookmarkStart w:id="259" w:name="_Toc403513539"/>
      <w:bookmarkStart w:id="260" w:name="_Toc152042352"/>
      <w:r>
        <w:rPr>
          <w:rFonts w:hint="eastAsia" w:ascii="宋体" w:hAnsi="宋体"/>
          <w:b/>
          <w:szCs w:val="21"/>
          <w:highlight w:val="none"/>
        </w:rPr>
        <w:t>对投标人的纪律要求</w:t>
      </w:r>
      <w:bookmarkEnd w:id="255"/>
      <w:bookmarkEnd w:id="256"/>
      <w:bookmarkEnd w:id="257"/>
      <w:bookmarkEnd w:id="258"/>
      <w:bookmarkEnd w:id="259"/>
      <w:bookmarkEnd w:id="260"/>
    </w:p>
    <w:p w14:paraId="0BE862BA">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0BF8CF">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1" w:name="_Toc403513540"/>
      <w:bookmarkStart w:id="262" w:name="_Toc144974545"/>
      <w:bookmarkStart w:id="263" w:name="_Toc330213993"/>
      <w:bookmarkStart w:id="264" w:name="_Toc332121761"/>
      <w:bookmarkStart w:id="265" w:name="_Toc152045577"/>
      <w:bookmarkStart w:id="266" w:name="_Toc152042353"/>
      <w:r>
        <w:rPr>
          <w:rFonts w:hint="eastAsia" w:ascii="宋体" w:hAnsi="宋体"/>
          <w:b/>
          <w:szCs w:val="21"/>
          <w:highlight w:val="none"/>
        </w:rPr>
        <w:t>对评标委员会成员的纪律要求</w:t>
      </w:r>
      <w:bookmarkEnd w:id="261"/>
      <w:bookmarkEnd w:id="262"/>
      <w:bookmarkEnd w:id="263"/>
      <w:bookmarkEnd w:id="264"/>
      <w:bookmarkEnd w:id="265"/>
      <w:bookmarkEnd w:id="266"/>
    </w:p>
    <w:p w14:paraId="5DE1CE91">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08626540">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bookmarkStart w:id="267" w:name="_Toc330213994"/>
      <w:bookmarkStart w:id="268" w:name="_Toc152042354"/>
      <w:bookmarkStart w:id="269" w:name="_Toc403513541"/>
      <w:bookmarkStart w:id="270" w:name="_Toc152045578"/>
      <w:bookmarkStart w:id="271" w:name="_Toc332121762"/>
      <w:bookmarkStart w:id="272" w:name="_Toc144974546"/>
      <w:r>
        <w:rPr>
          <w:rFonts w:hint="eastAsia" w:ascii="宋体" w:hAnsi="宋体"/>
          <w:b/>
          <w:szCs w:val="21"/>
          <w:highlight w:val="none"/>
        </w:rPr>
        <w:t>对与评标活动有关的工作人员的纪律要求</w:t>
      </w:r>
      <w:bookmarkEnd w:id="267"/>
      <w:bookmarkEnd w:id="268"/>
      <w:bookmarkEnd w:id="269"/>
      <w:bookmarkEnd w:id="270"/>
      <w:bookmarkEnd w:id="271"/>
    </w:p>
    <w:p w14:paraId="2EB899EE">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bookmarkStart w:id="273" w:name="_Toc152042355"/>
      <w:r>
        <w:rPr>
          <w:rFonts w:hint="eastAsia" w:ascii="宋体" w:hAnsi="宋体"/>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73"/>
    </w:p>
    <w:p w14:paraId="0E20D528">
      <w:pPr>
        <w:pStyle w:val="311"/>
        <w:widowControl w:val="0"/>
        <w:numPr>
          <w:ilvl w:val="1"/>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投诉</w:t>
      </w:r>
    </w:p>
    <w:p w14:paraId="4FF65FF8">
      <w:pPr>
        <w:pStyle w:val="311"/>
        <w:widowControl w:val="0"/>
        <w:numPr>
          <w:ilvl w:val="2"/>
          <w:numId w:val="3"/>
        </w:numPr>
        <w:autoSpaceDE w:val="0"/>
        <w:autoSpaceDN w:val="0"/>
        <w:adjustRightInd w:val="0"/>
        <w:snapToGrid w:val="0"/>
        <w:ind w:left="0" w:firstLine="0" w:firstLineChars="0"/>
        <w:jc w:val="both"/>
        <w:rPr>
          <w:rFonts w:ascii="宋体" w:hAnsi="宋体"/>
          <w:szCs w:val="21"/>
          <w:highlight w:val="none"/>
        </w:rPr>
      </w:pPr>
      <w:r>
        <w:rPr>
          <w:rFonts w:ascii="宋体" w:hAnsi="宋体"/>
          <w:szCs w:val="21"/>
          <w:highlight w:val="none"/>
        </w:rPr>
        <w:t>投标人或者其他利害关系人认为招标投标活动不符合法律、行政法规规定的，可以自知道或者应当知道</w:t>
      </w:r>
      <w:r>
        <w:rPr>
          <w:rFonts w:hint="eastAsia" w:ascii="宋体" w:hAnsi="宋体"/>
          <w:szCs w:val="21"/>
          <w:highlight w:val="none"/>
        </w:rPr>
        <w:t>之日起</w:t>
      </w:r>
      <w:r>
        <w:rPr>
          <w:rFonts w:ascii="宋体" w:hAnsi="宋体"/>
          <w:szCs w:val="21"/>
          <w:highlight w:val="none"/>
        </w:rPr>
        <w:t>10</w:t>
      </w:r>
      <w:r>
        <w:rPr>
          <w:rFonts w:hint="eastAsia" w:ascii="宋体" w:hAnsi="宋体"/>
          <w:szCs w:val="21"/>
          <w:highlight w:val="none"/>
        </w:rPr>
        <w:t>日内向</w:t>
      </w:r>
      <w:r>
        <w:rPr>
          <w:rFonts w:ascii="宋体" w:hAnsi="宋体"/>
          <w:szCs w:val="21"/>
          <w:highlight w:val="none"/>
        </w:rPr>
        <w:t>投诉</w:t>
      </w:r>
      <w:r>
        <w:rPr>
          <w:rFonts w:hint="eastAsia" w:ascii="宋体" w:hAnsi="宋体"/>
          <w:szCs w:val="21"/>
          <w:highlight w:val="none"/>
        </w:rPr>
        <w:t>受理部门提出</w:t>
      </w:r>
      <w:r>
        <w:rPr>
          <w:rFonts w:ascii="宋体" w:hAnsi="宋体"/>
          <w:szCs w:val="21"/>
          <w:highlight w:val="none"/>
        </w:rPr>
        <w:t>。投诉应当有明确的请求和必要的证明材料。</w:t>
      </w:r>
    </w:p>
    <w:p w14:paraId="62805635">
      <w:pPr>
        <w:pStyle w:val="311"/>
        <w:widowControl w:val="0"/>
        <w:numPr>
          <w:ilvl w:val="2"/>
          <w:numId w:val="3"/>
        </w:numPr>
        <w:autoSpaceDE w:val="0"/>
        <w:autoSpaceDN w:val="0"/>
        <w:adjustRightInd w:val="0"/>
        <w:snapToGrid w:val="0"/>
        <w:ind w:left="0" w:firstLine="0" w:firstLineChars="0"/>
        <w:jc w:val="both"/>
        <w:rPr>
          <w:rFonts w:hint="eastAsia" w:ascii="宋体" w:hAnsi="宋体"/>
          <w:szCs w:val="21"/>
          <w:highlight w:val="none"/>
        </w:rPr>
      </w:pPr>
      <w:r>
        <w:rPr>
          <w:rFonts w:ascii="宋体" w:hAnsi="宋体"/>
          <w:szCs w:val="21"/>
          <w:highlight w:val="none"/>
        </w:rPr>
        <w:t>投标人或者其他利害关系人对招标文件、开标和评标结果提出投诉的，应当按照投标人须</w:t>
      </w:r>
      <w:r>
        <w:rPr>
          <w:rFonts w:ascii="宋体" w:hAnsi="宋体"/>
          <w:spacing w:val="-3"/>
          <w:szCs w:val="21"/>
          <w:highlight w:val="none"/>
        </w:rPr>
        <w:t>知</w:t>
      </w:r>
      <w:r>
        <w:rPr>
          <w:rFonts w:ascii="宋体" w:hAnsi="宋体"/>
          <w:szCs w:val="21"/>
          <w:highlight w:val="none"/>
        </w:rPr>
        <w:t>的</w:t>
      </w:r>
      <w:r>
        <w:rPr>
          <w:rFonts w:ascii="宋体" w:hAnsi="宋体"/>
          <w:spacing w:val="-3"/>
          <w:szCs w:val="21"/>
          <w:highlight w:val="none"/>
        </w:rPr>
        <w:t>规</w:t>
      </w:r>
      <w:r>
        <w:rPr>
          <w:rFonts w:ascii="宋体" w:hAnsi="宋体"/>
          <w:szCs w:val="21"/>
          <w:highlight w:val="none"/>
        </w:rPr>
        <w:t>定</w:t>
      </w:r>
      <w:r>
        <w:rPr>
          <w:rFonts w:ascii="宋体" w:hAnsi="宋体"/>
          <w:spacing w:val="-3"/>
          <w:szCs w:val="21"/>
          <w:highlight w:val="none"/>
        </w:rPr>
        <w:t>先</w:t>
      </w:r>
      <w:r>
        <w:rPr>
          <w:rFonts w:ascii="宋体" w:hAnsi="宋体"/>
          <w:szCs w:val="21"/>
          <w:highlight w:val="none"/>
        </w:rPr>
        <w:t>向</w:t>
      </w:r>
      <w:r>
        <w:rPr>
          <w:rFonts w:ascii="宋体" w:hAnsi="宋体"/>
          <w:spacing w:val="-3"/>
          <w:szCs w:val="21"/>
          <w:highlight w:val="none"/>
        </w:rPr>
        <w:t>招标</w:t>
      </w:r>
      <w:r>
        <w:rPr>
          <w:rFonts w:ascii="宋体" w:hAnsi="宋体"/>
          <w:szCs w:val="21"/>
          <w:highlight w:val="none"/>
        </w:rPr>
        <w:t>人提</w:t>
      </w:r>
      <w:r>
        <w:rPr>
          <w:rFonts w:ascii="宋体" w:hAnsi="宋体"/>
          <w:spacing w:val="-3"/>
          <w:szCs w:val="21"/>
          <w:highlight w:val="none"/>
        </w:rPr>
        <w:t>出</w:t>
      </w:r>
      <w:r>
        <w:rPr>
          <w:rFonts w:ascii="宋体" w:hAnsi="宋体"/>
          <w:szCs w:val="21"/>
          <w:highlight w:val="none"/>
        </w:rPr>
        <w:t>异</w:t>
      </w:r>
      <w:r>
        <w:rPr>
          <w:rFonts w:ascii="宋体" w:hAnsi="宋体"/>
          <w:spacing w:val="-3"/>
          <w:szCs w:val="21"/>
          <w:highlight w:val="none"/>
        </w:rPr>
        <w:t>议</w:t>
      </w:r>
      <w:r>
        <w:rPr>
          <w:rFonts w:ascii="宋体" w:hAnsi="宋体"/>
          <w:spacing w:val="-106"/>
          <w:szCs w:val="21"/>
          <w:highlight w:val="none"/>
        </w:rPr>
        <w:t>。</w:t>
      </w:r>
      <w:r>
        <w:rPr>
          <w:rFonts w:hint="eastAsia" w:ascii="宋体" w:hAnsi="宋体"/>
          <w:spacing w:val="-3"/>
          <w:szCs w:val="21"/>
          <w:highlight w:val="none"/>
        </w:rPr>
        <w:t>。</w:t>
      </w:r>
      <w:bookmarkEnd w:id="272"/>
    </w:p>
    <w:p w14:paraId="40EAAA19">
      <w:pPr>
        <w:pStyle w:val="311"/>
        <w:widowControl w:val="0"/>
        <w:numPr>
          <w:ilvl w:val="0"/>
          <w:numId w:val="3"/>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需要补充的其他内容</w:t>
      </w:r>
    </w:p>
    <w:p w14:paraId="22010856">
      <w:pPr>
        <w:pStyle w:val="311"/>
        <w:widowControl w:val="0"/>
        <w:numPr>
          <w:ilvl w:val="1"/>
          <w:numId w:val="3"/>
        </w:numPr>
        <w:autoSpaceDE w:val="0"/>
        <w:autoSpaceDN w:val="0"/>
        <w:adjustRightInd w:val="0"/>
        <w:snapToGrid w:val="0"/>
        <w:ind w:left="0" w:firstLine="0" w:firstLineChars="0"/>
        <w:jc w:val="both"/>
        <w:rPr>
          <w:rFonts w:ascii="宋体" w:hAnsi="宋体"/>
          <w:szCs w:val="21"/>
          <w:highlight w:val="none"/>
          <w:shd w:val="clear" w:color="auto" w:fill="FFFF00"/>
        </w:rPr>
      </w:pPr>
      <w:r>
        <w:rPr>
          <w:rFonts w:hint="eastAsia" w:ascii="宋体" w:hAnsi="宋体"/>
          <w:szCs w:val="21"/>
          <w:highlight w:val="none"/>
        </w:rPr>
        <w:t>其他内容见投标人须知前附表。</w:t>
      </w:r>
    </w:p>
    <w:bookmarkEnd w:id="45"/>
    <w:bookmarkEnd w:id="142"/>
    <w:bookmarkEnd w:id="143"/>
    <w:bookmarkEnd w:id="144"/>
    <w:bookmarkEnd w:id="145"/>
    <w:bookmarkEnd w:id="146"/>
    <w:bookmarkEnd w:id="147"/>
    <w:p w14:paraId="75B10B7E">
      <w:pPr>
        <w:widowControl w:val="0"/>
        <w:autoSpaceDE w:val="0"/>
        <w:autoSpaceDN w:val="0"/>
        <w:adjustRightInd w:val="0"/>
        <w:snapToGrid w:val="0"/>
        <w:ind w:firstLine="0" w:firstLineChars="0"/>
        <w:jc w:val="center"/>
        <w:rPr>
          <w:rFonts w:ascii="宋体" w:hAnsi="宋体"/>
          <w:b/>
          <w:sz w:val="32"/>
          <w:szCs w:val="32"/>
          <w:highlight w:val="none"/>
        </w:rPr>
      </w:pPr>
      <w:bookmarkStart w:id="274" w:name="_Hlk532141743"/>
      <w:r>
        <w:rPr>
          <w:rFonts w:ascii="宋体" w:hAnsi="宋体"/>
          <w:szCs w:val="21"/>
          <w:highlight w:val="none"/>
        </w:rPr>
        <w:br w:type="page"/>
      </w:r>
      <w:r>
        <w:rPr>
          <w:rFonts w:hint="eastAsia" w:ascii="宋体" w:hAnsi="宋体"/>
          <w:b/>
          <w:sz w:val="32"/>
          <w:szCs w:val="32"/>
          <w:highlight w:val="none"/>
        </w:rPr>
        <w:t>附件一 特别说明</w:t>
      </w:r>
    </w:p>
    <w:p w14:paraId="059465B7">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招标投标分段限时异议的规定：</w:t>
      </w:r>
    </w:p>
    <w:p w14:paraId="4595EFBF">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344704AA">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（2）对招标公告内容的质疑时限：公告发布首日起五日内。</w:t>
      </w:r>
    </w:p>
    <w:p w14:paraId="1426464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（3）对招标文件内容的质疑时限：提交投标文件截止五日前提出；补遗或答疑文件发出后的下一个工作日内。</w:t>
      </w:r>
    </w:p>
    <w:p w14:paraId="282E6A7F">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（4）对开标过程的异议时限：开标结束前提出。</w:t>
      </w:r>
    </w:p>
    <w:p w14:paraId="1BD7399B">
      <w:pPr>
        <w:widowControl w:val="0"/>
        <w:autoSpaceDE w:val="0"/>
        <w:autoSpaceDN w:val="0"/>
        <w:adjustRightInd w:val="0"/>
        <w:snapToGrid w:val="0"/>
        <w:ind w:firstLine="0" w:firstLineChars="0"/>
        <w:jc w:val="left"/>
        <w:rPr>
          <w:rFonts w:ascii="宋体" w:hAnsi="宋体"/>
          <w:highlight w:val="none"/>
        </w:rPr>
      </w:pPr>
      <w:bookmarkStart w:id="275" w:name="_Hlk46484013"/>
      <w:r>
        <w:rPr>
          <w:rFonts w:hint="eastAsia" w:ascii="宋体" w:hAnsi="宋体"/>
          <w:highlight w:val="none"/>
        </w:rPr>
        <w:t>（5）对评标或定标结果异议时限：</w:t>
      </w:r>
      <w:r>
        <w:rPr>
          <w:rFonts w:hint="eastAsia" w:ascii="宋体" w:hAnsi="宋体"/>
          <w:szCs w:val="21"/>
          <w:highlight w:val="none"/>
        </w:rPr>
        <w:t>中标候选人公示</w:t>
      </w:r>
      <w:r>
        <w:rPr>
          <w:rFonts w:hint="eastAsia" w:ascii="宋体" w:hAnsi="宋体"/>
          <w:highlight w:val="none"/>
        </w:rPr>
        <w:t>期间。</w:t>
      </w:r>
      <w:bookmarkEnd w:id="275"/>
    </w:p>
    <w:bookmarkEnd w:id="274"/>
    <w:p w14:paraId="181FB162">
      <w:pPr>
        <w:widowControl w:val="0"/>
        <w:autoSpaceDE w:val="0"/>
        <w:autoSpaceDN w:val="0"/>
        <w:adjustRightInd w:val="0"/>
        <w:snapToGrid w:val="0"/>
        <w:ind w:firstLine="0" w:firstLineChars="0"/>
        <w:jc w:val="left"/>
        <w:rPr>
          <w:rFonts w:ascii="宋体" w:hAnsi="宋体"/>
          <w:sz w:val="84"/>
          <w:szCs w:val="84"/>
          <w:highlight w:val="none"/>
        </w:rPr>
      </w:pPr>
      <w:r>
        <w:rPr>
          <w:rFonts w:ascii="宋体" w:hAnsi="宋体"/>
          <w:highlight w:val="none"/>
        </w:rPr>
        <w:br w:type="page"/>
      </w:r>
      <w:bookmarkStart w:id="276" w:name="_Toc144974565"/>
      <w:bookmarkStart w:id="277" w:name="_Toc152042375"/>
      <w:bookmarkStart w:id="278" w:name="_Toc152045598"/>
      <w:bookmarkStart w:id="279" w:name="_Hlk532142035"/>
    </w:p>
    <w:p w14:paraId="17D199A3">
      <w:pPr>
        <w:widowControl w:val="0"/>
        <w:autoSpaceDE w:val="0"/>
        <w:autoSpaceDN w:val="0"/>
        <w:adjustRightInd w:val="0"/>
        <w:snapToGrid w:val="0"/>
        <w:ind w:firstLine="0" w:firstLineChars="0"/>
        <w:jc w:val="left"/>
        <w:rPr>
          <w:rFonts w:ascii="宋体" w:hAnsi="宋体"/>
          <w:sz w:val="84"/>
          <w:szCs w:val="84"/>
          <w:highlight w:val="none"/>
        </w:rPr>
      </w:pPr>
    </w:p>
    <w:p w14:paraId="61220F12">
      <w:pPr>
        <w:widowControl w:val="0"/>
        <w:autoSpaceDE w:val="0"/>
        <w:autoSpaceDN w:val="0"/>
        <w:adjustRightInd w:val="0"/>
        <w:snapToGrid w:val="0"/>
        <w:ind w:firstLine="0" w:firstLineChars="0"/>
        <w:jc w:val="left"/>
        <w:rPr>
          <w:rFonts w:ascii="宋体" w:hAnsi="宋体"/>
          <w:sz w:val="84"/>
          <w:szCs w:val="84"/>
          <w:highlight w:val="none"/>
        </w:rPr>
      </w:pPr>
    </w:p>
    <w:p w14:paraId="01281B23">
      <w:pPr>
        <w:widowControl w:val="0"/>
        <w:autoSpaceDE w:val="0"/>
        <w:autoSpaceDN w:val="0"/>
        <w:adjustRightInd w:val="0"/>
        <w:snapToGrid w:val="0"/>
        <w:ind w:firstLine="0" w:firstLineChars="0"/>
        <w:jc w:val="left"/>
        <w:rPr>
          <w:rFonts w:ascii="宋体" w:hAnsi="宋体"/>
          <w:sz w:val="84"/>
          <w:szCs w:val="84"/>
          <w:highlight w:val="none"/>
        </w:rPr>
      </w:pPr>
    </w:p>
    <w:p w14:paraId="33DE43DE">
      <w:pPr>
        <w:widowControl w:val="0"/>
        <w:autoSpaceDE w:val="0"/>
        <w:autoSpaceDN w:val="0"/>
        <w:adjustRightInd w:val="0"/>
        <w:snapToGrid w:val="0"/>
        <w:ind w:firstLine="0" w:firstLineChars="0"/>
        <w:jc w:val="center"/>
        <w:outlineLvl w:val="0"/>
        <w:rPr>
          <w:rFonts w:ascii="宋体" w:hAnsi="宋体"/>
          <w:highlight w:val="none"/>
        </w:rPr>
      </w:pPr>
      <w:bookmarkStart w:id="280" w:name="_Toc23212"/>
      <w:bookmarkStart w:id="281" w:name="_Toc7734"/>
      <w:bookmarkStart w:id="282" w:name="_Toc12297"/>
      <w:bookmarkStart w:id="283" w:name="_Toc14196"/>
      <w:bookmarkStart w:id="284" w:name="_Toc4473"/>
      <w:bookmarkStart w:id="285" w:name="_Toc4157"/>
      <w:r>
        <w:rPr>
          <w:rFonts w:hint="eastAsia" w:ascii="宋体" w:hAnsi="宋体"/>
          <w:b/>
          <w:bCs/>
          <w:sz w:val="48"/>
          <w:szCs w:val="48"/>
          <w:highlight w:val="none"/>
        </w:rPr>
        <w:t>第二章 评定标办法（综合评估法）</w:t>
      </w:r>
      <w:bookmarkEnd w:id="276"/>
      <w:bookmarkEnd w:id="277"/>
      <w:bookmarkEnd w:id="278"/>
      <w:bookmarkEnd w:id="280"/>
      <w:bookmarkEnd w:id="281"/>
      <w:bookmarkEnd w:id="282"/>
      <w:bookmarkEnd w:id="283"/>
      <w:bookmarkEnd w:id="284"/>
      <w:bookmarkEnd w:id="285"/>
      <w:bookmarkStart w:id="286" w:name="_Toc144974567"/>
      <w:bookmarkStart w:id="287" w:name="_Toc152045600"/>
      <w:bookmarkStart w:id="288" w:name="_Toc152042377"/>
      <w:bookmarkStart w:id="289" w:name="_Toc330213998"/>
      <w:bookmarkStart w:id="290" w:name="_Toc379581361"/>
    </w:p>
    <w:p w14:paraId="3CAEA47D">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highlight w:val="none"/>
        </w:rPr>
        <w:br w:type="page"/>
      </w:r>
      <w:bookmarkStart w:id="291" w:name="_Toc32699"/>
      <w:bookmarkStart w:id="292" w:name="_Toc21837"/>
      <w:bookmarkStart w:id="293" w:name="_Toc13474"/>
      <w:bookmarkStart w:id="294" w:name="_Toc8431"/>
      <w:r>
        <w:rPr>
          <w:rFonts w:hint="eastAsia" w:ascii="宋体" w:hAnsi="宋体"/>
          <w:b/>
          <w:sz w:val="32"/>
          <w:szCs w:val="32"/>
          <w:highlight w:val="none"/>
        </w:rPr>
        <w:t>一、评标须知</w:t>
      </w:r>
      <w:bookmarkEnd w:id="291"/>
      <w:bookmarkEnd w:id="292"/>
      <w:bookmarkEnd w:id="293"/>
      <w:bookmarkEnd w:id="294"/>
    </w:p>
    <w:p w14:paraId="6EC04A7A">
      <w:pPr>
        <w:widowControl w:val="0"/>
        <w:numPr>
          <w:ilvl w:val="0"/>
          <w:numId w:val="4"/>
        </w:numPr>
        <w:autoSpaceDE w:val="0"/>
        <w:autoSpaceDN w:val="0"/>
        <w:adjustRightInd w:val="0"/>
        <w:snapToGrid w:val="0"/>
        <w:ind w:firstLineChars="0"/>
        <w:jc w:val="left"/>
        <w:rPr>
          <w:rFonts w:ascii="宋体" w:hAnsi="宋体"/>
          <w:b/>
          <w:highlight w:val="none"/>
        </w:rPr>
      </w:pPr>
      <w:bookmarkStart w:id="295" w:name="_Toc291178115"/>
      <w:bookmarkStart w:id="296" w:name="_Toc290992891"/>
      <w:bookmarkStart w:id="297" w:name="_Toc361737576"/>
      <w:bookmarkStart w:id="298" w:name="_Toc350872399"/>
      <w:bookmarkStart w:id="299" w:name="_Toc351032831"/>
      <w:bookmarkStart w:id="300" w:name="_Toc523252723"/>
      <w:r>
        <w:rPr>
          <w:rFonts w:hint="eastAsia" w:ascii="宋体" w:hAnsi="宋体"/>
          <w:b/>
          <w:highlight w:val="none"/>
        </w:rPr>
        <w:t>评标人员守则</w:t>
      </w:r>
      <w:bookmarkEnd w:id="295"/>
      <w:bookmarkEnd w:id="296"/>
      <w:bookmarkEnd w:id="297"/>
      <w:bookmarkEnd w:id="298"/>
      <w:bookmarkEnd w:id="299"/>
      <w:bookmarkEnd w:id="300"/>
    </w:p>
    <w:p w14:paraId="39A91A6C">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68F9F6A0">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全体参与评标人员：</w:t>
      </w:r>
    </w:p>
    <w:p w14:paraId="7F77047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必须遵守评标纪律、不得泄密；</w:t>
      </w:r>
    </w:p>
    <w:p w14:paraId="0729529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必须公正、不得</w:t>
      </w:r>
      <w:r>
        <w:rPr>
          <w:rFonts w:hint="eastAsia" w:ascii="宋体" w:hAnsi="宋体"/>
          <w:highlight w:val="none"/>
        </w:rPr>
        <w:t>徇</w:t>
      </w:r>
      <w:r>
        <w:rPr>
          <w:rFonts w:hint="eastAsia" w:ascii="宋体" w:hAnsi="宋体"/>
          <w:szCs w:val="21"/>
          <w:highlight w:val="none"/>
        </w:rPr>
        <w:t>私；</w:t>
      </w:r>
    </w:p>
    <w:p w14:paraId="1410420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必须科学、不得草率；</w:t>
      </w:r>
    </w:p>
    <w:p w14:paraId="138B7F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必须客观、不得带有成见；</w:t>
      </w:r>
    </w:p>
    <w:p w14:paraId="48121FF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必须平等、不得强加于人；</w:t>
      </w:r>
    </w:p>
    <w:p w14:paraId="61A63A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必须严谨、不得随意马虎。</w:t>
      </w:r>
    </w:p>
    <w:p w14:paraId="33E1B999">
      <w:pPr>
        <w:widowControl w:val="0"/>
        <w:autoSpaceDE w:val="0"/>
        <w:autoSpaceDN w:val="0"/>
        <w:adjustRightInd w:val="0"/>
        <w:snapToGrid w:val="0"/>
        <w:ind w:firstLine="0" w:firstLineChars="0"/>
        <w:jc w:val="left"/>
        <w:rPr>
          <w:rFonts w:ascii="宋体" w:hAnsi="宋体"/>
          <w:szCs w:val="21"/>
          <w:highlight w:val="none"/>
        </w:rPr>
      </w:pPr>
    </w:p>
    <w:p w14:paraId="200F2136">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评标步骤</w:t>
      </w:r>
    </w:p>
    <w:p w14:paraId="02DE7CF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全部评标过程将按以下步骤进行：</w:t>
      </w:r>
    </w:p>
    <w:p w14:paraId="7D70EE58">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评标准备</w:t>
      </w:r>
      <w:r>
        <w:rPr>
          <w:rFonts w:hint="eastAsia" w:ascii="宋体" w:hAnsi="宋体"/>
          <w:szCs w:val="21"/>
          <w:highlight w:val="none"/>
        </w:rPr>
        <w:t>；</w:t>
      </w:r>
    </w:p>
    <w:p w14:paraId="48318BA7">
      <w:pPr>
        <w:widowControl w:val="0"/>
        <w:numPr>
          <w:ilvl w:val="2"/>
          <w:numId w:val="4"/>
        </w:numPr>
        <w:autoSpaceDE w:val="0"/>
        <w:autoSpaceDN w:val="0"/>
        <w:adjustRightInd w:val="0"/>
        <w:snapToGrid w:val="0"/>
        <w:ind w:firstLineChars="0"/>
        <w:jc w:val="left"/>
        <w:rPr>
          <w:rFonts w:ascii="宋体" w:hAnsi="宋体"/>
          <w:bCs/>
          <w:highlight w:val="none"/>
        </w:rPr>
      </w:pPr>
      <w:r>
        <w:rPr>
          <w:rFonts w:hint="eastAsia" w:ascii="宋体" w:hAnsi="宋体"/>
          <w:bCs/>
          <w:highlight w:val="none"/>
        </w:rPr>
        <w:t>否决性评审</w:t>
      </w:r>
      <w:r>
        <w:rPr>
          <w:rFonts w:ascii="宋体" w:hAnsi="宋体"/>
          <w:bCs/>
          <w:highlight w:val="none"/>
        </w:rPr>
        <w:t>；</w:t>
      </w:r>
    </w:p>
    <w:p w14:paraId="69609075">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初步评审；</w:t>
      </w:r>
    </w:p>
    <w:p w14:paraId="05684214">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详细评审；</w:t>
      </w:r>
    </w:p>
    <w:p w14:paraId="08B06351">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评标报告</w:t>
      </w:r>
      <w:r>
        <w:rPr>
          <w:rFonts w:hint="eastAsia" w:ascii="宋体" w:hAnsi="宋体"/>
          <w:szCs w:val="21"/>
          <w:highlight w:val="none"/>
        </w:rPr>
        <w:t>。</w:t>
      </w:r>
    </w:p>
    <w:p w14:paraId="43910DDA">
      <w:pPr>
        <w:widowControl w:val="0"/>
        <w:autoSpaceDE w:val="0"/>
        <w:autoSpaceDN w:val="0"/>
        <w:adjustRightInd w:val="0"/>
        <w:snapToGrid w:val="0"/>
        <w:ind w:firstLine="0" w:firstLineChars="0"/>
        <w:jc w:val="left"/>
        <w:rPr>
          <w:rFonts w:ascii="宋体" w:hAnsi="宋体"/>
          <w:szCs w:val="21"/>
          <w:highlight w:val="none"/>
        </w:rPr>
      </w:pPr>
    </w:p>
    <w:p w14:paraId="066F05FC">
      <w:pPr>
        <w:widowControl w:val="0"/>
        <w:numPr>
          <w:ilvl w:val="0"/>
          <w:numId w:val="4"/>
        </w:numPr>
        <w:autoSpaceDE w:val="0"/>
        <w:autoSpaceDN w:val="0"/>
        <w:adjustRightInd w:val="0"/>
        <w:snapToGrid w:val="0"/>
        <w:ind w:firstLineChars="0"/>
        <w:jc w:val="left"/>
        <w:rPr>
          <w:rFonts w:ascii="宋体" w:hAnsi="宋体"/>
          <w:b/>
          <w:highlight w:val="none"/>
        </w:rPr>
      </w:pPr>
      <w:bookmarkStart w:id="301" w:name="_Toc523252725"/>
      <w:r>
        <w:rPr>
          <w:rFonts w:ascii="宋体" w:hAnsi="宋体"/>
          <w:b/>
          <w:highlight w:val="none"/>
        </w:rPr>
        <w:t>评标准备</w:t>
      </w:r>
      <w:bookmarkEnd w:id="301"/>
    </w:p>
    <w:p w14:paraId="6B222A1B">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highlight w:val="none"/>
        </w:rPr>
        <w:t>评标委员会</w:t>
      </w:r>
      <w:r>
        <w:rPr>
          <w:rFonts w:hint="eastAsia" w:ascii="宋体" w:hAnsi="宋体"/>
          <w:highlight w:val="none"/>
        </w:rPr>
        <w:t>人员</w:t>
      </w:r>
      <w:r>
        <w:rPr>
          <w:rFonts w:ascii="宋体" w:hAnsi="宋体"/>
          <w:highlight w:val="none"/>
        </w:rPr>
        <w:t>进入评标室后，首先推选</w:t>
      </w:r>
      <w:r>
        <w:rPr>
          <w:rFonts w:hint="eastAsia" w:ascii="宋体" w:hAnsi="宋体"/>
          <w:highlight w:val="none"/>
        </w:rPr>
        <w:t>一名专家担任</w:t>
      </w:r>
      <w:r>
        <w:rPr>
          <w:rFonts w:ascii="宋体" w:hAnsi="宋体"/>
          <w:highlight w:val="none"/>
        </w:rPr>
        <w:t>评标委员会</w:t>
      </w:r>
      <w:r>
        <w:rPr>
          <w:rFonts w:hint="eastAsia" w:ascii="宋体" w:hAnsi="宋体"/>
          <w:highlight w:val="none"/>
        </w:rPr>
        <w:t>组长</w:t>
      </w:r>
      <w:r>
        <w:rPr>
          <w:rFonts w:ascii="宋体" w:hAnsi="宋体"/>
          <w:highlight w:val="none"/>
        </w:rPr>
        <w:t>。评标委员会</w:t>
      </w:r>
      <w:r>
        <w:rPr>
          <w:rFonts w:hint="eastAsia" w:ascii="宋体" w:hAnsi="宋体"/>
          <w:highlight w:val="none"/>
        </w:rPr>
        <w:t>组长</w:t>
      </w:r>
      <w:r>
        <w:rPr>
          <w:rFonts w:ascii="宋体" w:hAnsi="宋体"/>
          <w:highlight w:val="none"/>
        </w:rPr>
        <w:t>负责评标过程中的组织工作，引导评标委员会按约定的程序</w:t>
      </w:r>
      <w:r>
        <w:rPr>
          <w:rFonts w:hint="eastAsia" w:ascii="宋体" w:hAnsi="宋体"/>
          <w:highlight w:val="none"/>
        </w:rPr>
        <w:t>进行</w:t>
      </w:r>
      <w:r>
        <w:rPr>
          <w:rFonts w:ascii="宋体" w:hAnsi="宋体"/>
          <w:highlight w:val="none"/>
        </w:rPr>
        <w:t>评标。</w:t>
      </w:r>
    </w:p>
    <w:p w14:paraId="6460A8D9">
      <w:pPr>
        <w:widowControl w:val="0"/>
        <w:numPr>
          <w:ilvl w:val="1"/>
          <w:numId w:val="4"/>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w:t>
      </w:r>
      <w:r>
        <w:rPr>
          <w:rFonts w:hint="eastAsia" w:ascii="宋体" w:hAnsi="宋体"/>
          <w:highlight w:val="none"/>
        </w:rPr>
        <w:t>人员应当</w:t>
      </w:r>
      <w:r>
        <w:rPr>
          <w:rFonts w:ascii="宋体" w:hAnsi="宋体"/>
          <w:highlight w:val="none"/>
        </w:rPr>
        <w:t>熟悉</w:t>
      </w:r>
      <w:r>
        <w:rPr>
          <w:rFonts w:hint="eastAsia" w:ascii="宋体" w:hAnsi="宋体"/>
          <w:highlight w:val="none"/>
        </w:rPr>
        <w:t>招标文件、评标方法等有关文件，</w:t>
      </w:r>
      <w:r>
        <w:rPr>
          <w:rFonts w:ascii="宋体" w:hAnsi="宋体"/>
          <w:highlight w:val="none"/>
        </w:rPr>
        <w:t>包括</w:t>
      </w:r>
      <w:r>
        <w:rPr>
          <w:rFonts w:hint="eastAsia" w:ascii="宋体" w:hAnsi="宋体"/>
          <w:highlight w:val="none"/>
        </w:rPr>
        <w:t>项目概</w:t>
      </w:r>
      <w:r>
        <w:rPr>
          <w:rFonts w:ascii="宋体" w:hAnsi="宋体"/>
          <w:highlight w:val="none"/>
        </w:rPr>
        <w:t>况</w:t>
      </w:r>
      <w:r>
        <w:rPr>
          <w:rFonts w:hint="eastAsia" w:ascii="宋体" w:hAnsi="宋体"/>
          <w:highlight w:val="none"/>
        </w:rPr>
        <w:t>、</w:t>
      </w:r>
      <w:r>
        <w:rPr>
          <w:rFonts w:ascii="宋体" w:hAnsi="宋体"/>
          <w:highlight w:val="none"/>
        </w:rPr>
        <w:t>招标范围</w:t>
      </w:r>
      <w:r>
        <w:rPr>
          <w:rFonts w:hint="eastAsia" w:ascii="宋体" w:hAnsi="宋体"/>
          <w:highlight w:val="none"/>
        </w:rPr>
        <w:t>、</w:t>
      </w:r>
      <w:r>
        <w:rPr>
          <w:rFonts w:ascii="宋体" w:hAnsi="宋体"/>
          <w:highlight w:val="none"/>
        </w:rPr>
        <w:t>招标目的</w:t>
      </w:r>
      <w:r>
        <w:rPr>
          <w:rFonts w:hint="eastAsia" w:ascii="宋体" w:hAnsi="宋体"/>
          <w:highlight w:val="none"/>
        </w:rPr>
        <w:t>、</w:t>
      </w:r>
      <w:r>
        <w:rPr>
          <w:rFonts w:ascii="宋体" w:hAnsi="宋体"/>
          <w:highlight w:val="none"/>
        </w:rPr>
        <w:t>评标方法</w:t>
      </w:r>
      <w:r>
        <w:rPr>
          <w:rFonts w:hint="eastAsia" w:ascii="宋体" w:hAnsi="宋体"/>
          <w:highlight w:val="none"/>
        </w:rPr>
        <w:t>、</w:t>
      </w:r>
      <w:r>
        <w:rPr>
          <w:rFonts w:ascii="宋体" w:hAnsi="宋体"/>
          <w:highlight w:val="none"/>
        </w:rPr>
        <w:t>评标</w:t>
      </w:r>
      <w:r>
        <w:rPr>
          <w:rFonts w:hint="eastAsia" w:ascii="宋体" w:hAnsi="宋体"/>
          <w:highlight w:val="none"/>
        </w:rPr>
        <w:t>所</w:t>
      </w:r>
      <w:r>
        <w:rPr>
          <w:rFonts w:ascii="宋体" w:hAnsi="宋体"/>
          <w:highlight w:val="none"/>
        </w:rPr>
        <w:t>用表格等。</w:t>
      </w:r>
    </w:p>
    <w:p w14:paraId="3F58E20F">
      <w:pPr>
        <w:pStyle w:val="22"/>
        <w:rPr>
          <w:highlight w:val="none"/>
        </w:rPr>
      </w:pPr>
    </w:p>
    <w:p w14:paraId="30B3BA3D">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否决性评审</w:t>
      </w:r>
    </w:p>
    <w:p w14:paraId="7DE431CD">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投标人的投标文件是否由同一单位或者个人编制；</w:t>
      </w:r>
    </w:p>
    <w:p w14:paraId="34DCB969">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napToGrid w:val="0"/>
          <w:kern w:val="0"/>
          <w:highlight w:val="none"/>
        </w:rPr>
        <w:t>投标人的投标文件是否由同一家投标单位编制</w:t>
      </w:r>
      <w:r>
        <w:rPr>
          <w:rFonts w:hint="eastAsia" w:ascii="宋体" w:hAnsi="宋体"/>
          <w:highlight w:val="none"/>
        </w:rPr>
        <w:t>。</w:t>
      </w:r>
    </w:p>
    <w:p w14:paraId="1C13C1A0">
      <w:pPr>
        <w:widowControl w:val="0"/>
        <w:numPr>
          <w:ilvl w:val="0"/>
          <w:numId w:val="4"/>
        </w:numPr>
        <w:autoSpaceDE w:val="0"/>
        <w:autoSpaceDN w:val="0"/>
        <w:adjustRightInd w:val="0"/>
        <w:snapToGrid w:val="0"/>
        <w:ind w:firstLineChars="0"/>
        <w:jc w:val="left"/>
        <w:rPr>
          <w:rFonts w:ascii="宋体" w:hAnsi="宋体"/>
          <w:b/>
          <w:highlight w:val="none"/>
        </w:rPr>
      </w:pPr>
      <w:r>
        <w:rPr>
          <w:rFonts w:ascii="宋体" w:hAnsi="宋体"/>
          <w:b/>
          <w:highlight w:val="none"/>
        </w:rPr>
        <w:t>废标条件</w:t>
      </w:r>
    </w:p>
    <w:p w14:paraId="16B97E1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zCs w:val="21"/>
          <w:highlight w:val="none"/>
        </w:rPr>
        <w:t>详见投标人须知：否决性条款摘要。</w:t>
      </w:r>
    </w:p>
    <w:p w14:paraId="3E7B34B7">
      <w:pPr>
        <w:widowControl w:val="0"/>
        <w:numPr>
          <w:ilvl w:val="0"/>
          <w:numId w:val="4"/>
        </w:numPr>
        <w:autoSpaceDE w:val="0"/>
        <w:autoSpaceDN w:val="0"/>
        <w:adjustRightInd w:val="0"/>
        <w:snapToGrid w:val="0"/>
        <w:ind w:firstLineChars="0"/>
        <w:jc w:val="left"/>
        <w:rPr>
          <w:rFonts w:ascii="宋体" w:hAnsi="宋体"/>
          <w:b/>
          <w:highlight w:val="none"/>
        </w:rPr>
      </w:pPr>
      <w:bookmarkStart w:id="302" w:name="_Toc350872401"/>
      <w:bookmarkStart w:id="303" w:name="_Toc351032833"/>
      <w:bookmarkStart w:id="304" w:name="_Toc523252730"/>
      <w:bookmarkStart w:id="305" w:name="_Toc291178117"/>
      <w:bookmarkStart w:id="306" w:name="_Toc361737578"/>
      <w:bookmarkStart w:id="307" w:name="_Toc290992893"/>
      <w:r>
        <w:rPr>
          <w:rFonts w:hint="eastAsia" w:ascii="宋体" w:hAnsi="宋体"/>
          <w:b/>
          <w:highlight w:val="none"/>
        </w:rPr>
        <w:t>附则</w:t>
      </w:r>
      <w:bookmarkEnd w:id="302"/>
      <w:bookmarkEnd w:id="303"/>
      <w:bookmarkEnd w:id="304"/>
      <w:bookmarkEnd w:id="305"/>
      <w:bookmarkEnd w:id="306"/>
      <w:bookmarkEnd w:id="307"/>
    </w:p>
    <w:p w14:paraId="55B63C63">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szCs w:val="21"/>
          <w:highlight w:val="none"/>
        </w:rPr>
        <w:t>本评</w:t>
      </w:r>
      <w:r>
        <w:rPr>
          <w:rFonts w:hint="eastAsia" w:ascii="宋体" w:hAnsi="宋体"/>
          <w:szCs w:val="21"/>
          <w:highlight w:val="none"/>
        </w:rPr>
        <w:t>定</w:t>
      </w:r>
      <w:r>
        <w:rPr>
          <w:rFonts w:ascii="宋体" w:hAnsi="宋体"/>
          <w:szCs w:val="21"/>
          <w:highlight w:val="none"/>
        </w:rPr>
        <w:t>标办法由</w:t>
      </w:r>
      <w:r>
        <w:rPr>
          <w:rFonts w:hint="eastAsia" w:ascii="宋体" w:hAnsi="宋体"/>
          <w:szCs w:val="21"/>
          <w:highlight w:val="none"/>
        </w:rPr>
        <w:t>招标人</w:t>
      </w:r>
      <w:r>
        <w:rPr>
          <w:rFonts w:ascii="宋体" w:hAnsi="宋体"/>
          <w:szCs w:val="21"/>
          <w:highlight w:val="none"/>
        </w:rPr>
        <w:t>负责解释。</w:t>
      </w:r>
    </w:p>
    <w:p w14:paraId="5CCF07E4">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附件一</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48B0B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29" w:type="dxa"/>
            <w:gridSpan w:val="5"/>
            <w:shd w:val="clear" w:color="auto" w:fill="D9E2F3"/>
            <w:vAlign w:val="center"/>
          </w:tcPr>
          <w:p w14:paraId="5AF3EFF6">
            <w:pPr>
              <w:widowControl w:val="0"/>
              <w:autoSpaceDE w:val="0"/>
              <w:autoSpaceDN w:val="0"/>
              <w:adjustRightInd w:val="0"/>
              <w:snapToGrid w:val="0"/>
              <w:ind w:firstLine="0" w:firstLineChars="0"/>
              <w:jc w:val="center"/>
              <w:rPr>
                <w:rFonts w:ascii="宋体" w:hAnsi="宋体" w:cs="宋体"/>
                <w:b/>
                <w:sz w:val="28"/>
                <w:szCs w:val="28"/>
                <w:highlight w:val="none"/>
              </w:rPr>
            </w:pPr>
            <w:r>
              <w:rPr>
                <w:rFonts w:hint="eastAsia" w:ascii="宋体" w:hAnsi="宋体" w:cs="宋体"/>
                <w:b/>
                <w:sz w:val="28"/>
                <w:szCs w:val="28"/>
                <w:highlight w:val="none"/>
              </w:rPr>
              <w:t>《初步评审审查标准》</w:t>
            </w:r>
          </w:p>
        </w:tc>
      </w:tr>
      <w:tr w14:paraId="15AB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639" w:type="dxa"/>
            <w:gridSpan w:val="2"/>
            <w:vAlign w:val="center"/>
          </w:tcPr>
          <w:p w14:paraId="72DE5F3D">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条款号</w:t>
            </w:r>
          </w:p>
        </w:tc>
        <w:tc>
          <w:tcPr>
            <w:tcW w:w="1514" w:type="dxa"/>
            <w:vAlign w:val="center"/>
          </w:tcPr>
          <w:p w14:paraId="17D1CCFA">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评审因素</w:t>
            </w:r>
          </w:p>
        </w:tc>
        <w:tc>
          <w:tcPr>
            <w:tcW w:w="3862" w:type="dxa"/>
            <w:vAlign w:val="center"/>
          </w:tcPr>
          <w:p w14:paraId="62CA6FCB">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w:t>
            </w:r>
            <w:r>
              <w:rPr>
                <w:rFonts w:hint="eastAsia" w:ascii="宋体" w:hAnsi="宋体" w:cs="宋体"/>
                <w:b/>
                <w:szCs w:val="21"/>
                <w:highlight w:val="none"/>
              </w:rPr>
              <w:t>内容</w:t>
            </w:r>
          </w:p>
        </w:tc>
        <w:tc>
          <w:tcPr>
            <w:tcW w:w="1514" w:type="dxa"/>
            <w:vAlign w:val="center"/>
          </w:tcPr>
          <w:p w14:paraId="4C3DF66D">
            <w:pPr>
              <w:widowControl w:val="0"/>
              <w:autoSpaceDE w:val="0"/>
              <w:autoSpaceDN w:val="0"/>
              <w:adjustRightInd w:val="0"/>
              <w:snapToGrid w:val="0"/>
              <w:ind w:firstLine="0" w:firstLineChars="0"/>
              <w:jc w:val="center"/>
              <w:rPr>
                <w:rFonts w:ascii="宋体" w:hAnsi="宋体" w:cs="宋体"/>
                <w:b/>
                <w:szCs w:val="21"/>
                <w:highlight w:val="none"/>
              </w:rPr>
            </w:pPr>
            <w:r>
              <w:rPr>
                <w:rFonts w:hint="eastAsia" w:ascii="宋体" w:hAnsi="宋体" w:cs="宋体"/>
                <w:b/>
                <w:szCs w:val="21"/>
                <w:highlight w:val="none"/>
              </w:rPr>
              <w:t>审查标准</w:t>
            </w:r>
          </w:p>
        </w:tc>
      </w:tr>
      <w:tr w14:paraId="33DB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F35314B">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w:t>
            </w:r>
          </w:p>
        </w:tc>
        <w:tc>
          <w:tcPr>
            <w:tcW w:w="1108" w:type="dxa"/>
            <w:vMerge w:val="restart"/>
            <w:vAlign w:val="center"/>
          </w:tcPr>
          <w:p w14:paraId="717EFFF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形式评审标准</w:t>
            </w:r>
          </w:p>
        </w:tc>
        <w:tc>
          <w:tcPr>
            <w:tcW w:w="1514" w:type="dxa"/>
            <w:vAlign w:val="center"/>
          </w:tcPr>
          <w:p w14:paraId="48447CEE">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投标人名称</w:t>
            </w:r>
          </w:p>
        </w:tc>
        <w:tc>
          <w:tcPr>
            <w:tcW w:w="3862" w:type="dxa"/>
            <w:vAlign w:val="center"/>
          </w:tcPr>
          <w:p w14:paraId="043E63F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与营业执照</w:t>
            </w:r>
            <w:r>
              <w:rPr>
                <w:rFonts w:hint="eastAsia" w:ascii="宋体" w:hAnsi="宋体" w:cs="宋体"/>
                <w:szCs w:val="21"/>
                <w:highlight w:val="none"/>
              </w:rPr>
              <w:t>（事业单位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r>
              <w:rPr>
                <w:rFonts w:ascii="宋体" w:hAnsi="宋体" w:cs="宋体"/>
                <w:szCs w:val="21"/>
                <w:highlight w:val="none"/>
              </w:rPr>
              <w:t>、资质证书一致</w:t>
            </w:r>
          </w:p>
        </w:tc>
        <w:tc>
          <w:tcPr>
            <w:tcW w:w="1514" w:type="dxa"/>
            <w:vAlign w:val="center"/>
          </w:tcPr>
          <w:p w14:paraId="0EEA31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695F9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53E0957"/>
        </w:tc>
        <w:tc>
          <w:tcPr>
            <w:tcW w:w="1108" w:type="dxa"/>
            <w:vMerge w:val="continue"/>
            <w:vAlign w:val="center"/>
          </w:tcPr>
          <w:p w14:paraId="53CF586B"/>
        </w:tc>
        <w:tc>
          <w:tcPr>
            <w:tcW w:w="1514" w:type="dxa"/>
            <w:vAlign w:val="center"/>
          </w:tcPr>
          <w:p w14:paraId="1BD7C23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报价唯一</w:t>
            </w:r>
          </w:p>
        </w:tc>
        <w:tc>
          <w:tcPr>
            <w:tcW w:w="3862" w:type="dxa"/>
            <w:vAlign w:val="center"/>
          </w:tcPr>
          <w:p w14:paraId="4301B276">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只能有一个有效报价</w:t>
            </w:r>
          </w:p>
        </w:tc>
        <w:tc>
          <w:tcPr>
            <w:tcW w:w="1514" w:type="dxa"/>
            <w:vAlign w:val="center"/>
          </w:tcPr>
          <w:p w14:paraId="791582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7924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C843631"/>
        </w:tc>
        <w:tc>
          <w:tcPr>
            <w:tcW w:w="1108" w:type="dxa"/>
            <w:vMerge w:val="continue"/>
          </w:tcPr>
          <w:p w14:paraId="05B84F60"/>
        </w:tc>
        <w:tc>
          <w:tcPr>
            <w:tcW w:w="1514" w:type="dxa"/>
            <w:vAlign w:val="center"/>
          </w:tcPr>
          <w:p w14:paraId="503276CC">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投标保证金</w:t>
            </w:r>
          </w:p>
        </w:tc>
        <w:tc>
          <w:tcPr>
            <w:tcW w:w="3862" w:type="dxa"/>
            <w:vAlign w:val="center"/>
          </w:tcPr>
          <w:p w14:paraId="3BC7FCD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符合第</w:t>
            </w:r>
            <w:r>
              <w:rPr>
                <w:rFonts w:hint="eastAsia" w:ascii="宋体" w:hAnsi="宋体" w:cs="宋体"/>
                <w:szCs w:val="21"/>
                <w:highlight w:val="none"/>
              </w:rPr>
              <w:t>一</w:t>
            </w:r>
            <w:r>
              <w:rPr>
                <w:rFonts w:ascii="宋体" w:hAnsi="宋体" w:cs="宋体"/>
                <w:szCs w:val="21"/>
                <w:highlight w:val="none"/>
              </w:rPr>
              <w:t>章</w:t>
            </w:r>
            <w:r>
              <w:rPr>
                <w:rFonts w:hint="eastAsia" w:ascii="宋体" w:hAnsi="宋体" w:cs="宋体"/>
                <w:szCs w:val="21"/>
                <w:highlight w:val="none"/>
              </w:rPr>
              <w:t>投标人须知前附表的要求</w:t>
            </w:r>
          </w:p>
        </w:tc>
        <w:tc>
          <w:tcPr>
            <w:tcW w:w="1514" w:type="dxa"/>
            <w:vAlign w:val="center"/>
          </w:tcPr>
          <w:p w14:paraId="2C4EF9A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436A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8D17EE5"/>
        </w:tc>
        <w:tc>
          <w:tcPr>
            <w:tcW w:w="1108" w:type="dxa"/>
            <w:vMerge w:val="continue"/>
          </w:tcPr>
          <w:p w14:paraId="72764E32"/>
        </w:tc>
        <w:tc>
          <w:tcPr>
            <w:tcW w:w="1514" w:type="dxa"/>
            <w:vAlign w:val="center"/>
          </w:tcPr>
          <w:p w14:paraId="790444AD">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否决性条款判定</w:t>
            </w:r>
          </w:p>
        </w:tc>
        <w:tc>
          <w:tcPr>
            <w:tcW w:w="3862" w:type="dxa"/>
            <w:vAlign w:val="center"/>
          </w:tcPr>
          <w:p w14:paraId="1897D071">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招标文件否决性条款摘要中列明的情形</w:t>
            </w:r>
          </w:p>
        </w:tc>
        <w:tc>
          <w:tcPr>
            <w:tcW w:w="1514" w:type="dxa"/>
            <w:vAlign w:val="center"/>
          </w:tcPr>
          <w:p w14:paraId="4F01A1F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493B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280656F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w:t>
            </w:r>
          </w:p>
        </w:tc>
        <w:tc>
          <w:tcPr>
            <w:tcW w:w="1108" w:type="dxa"/>
            <w:vMerge w:val="restart"/>
            <w:vAlign w:val="center"/>
          </w:tcPr>
          <w:p w14:paraId="47ED80A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资格评审标准</w:t>
            </w:r>
          </w:p>
        </w:tc>
        <w:tc>
          <w:tcPr>
            <w:tcW w:w="1514" w:type="dxa"/>
            <w:vAlign w:val="center"/>
          </w:tcPr>
          <w:p w14:paraId="2746BE1E">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营业执照</w:t>
            </w:r>
          </w:p>
        </w:tc>
        <w:tc>
          <w:tcPr>
            <w:tcW w:w="3862" w:type="dxa"/>
            <w:vAlign w:val="center"/>
          </w:tcPr>
          <w:p w14:paraId="76F57508">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具备有效的营业执照（事业单位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p>
        </w:tc>
        <w:tc>
          <w:tcPr>
            <w:tcW w:w="1514" w:type="dxa"/>
            <w:vAlign w:val="center"/>
          </w:tcPr>
          <w:p w14:paraId="6F6F300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04E2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6AE7CC25"/>
        </w:tc>
        <w:tc>
          <w:tcPr>
            <w:tcW w:w="1108" w:type="dxa"/>
            <w:vMerge w:val="continue"/>
            <w:vAlign w:val="center"/>
          </w:tcPr>
          <w:p w14:paraId="33E14D9A"/>
        </w:tc>
        <w:tc>
          <w:tcPr>
            <w:tcW w:w="1514" w:type="dxa"/>
            <w:vAlign w:val="center"/>
          </w:tcPr>
          <w:p w14:paraId="23BE7A9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其他资格要求</w:t>
            </w:r>
          </w:p>
        </w:tc>
        <w:tc>
          <w:tcPr>
            <w:tcW w:w="3862" w:type="dxa"/>
            <w:vAlign w:val="center"/>
          </w:tcPr>
          <w:p w14:paraId="35D907E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2D9F61F9">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5CF7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0ABA4B1"/>
        </w:tc>
        <w:tc>
          <w:tcPr>
            <w:tcW w:w="1108" w:type="dxa"/>
            <w:vMerge w:val="continue"/>
            <w:vAlign w:val="center"/>
          </w:tcPr>
          <w:p w14:paraId="34504283"/>
        </w:tc>
        <w:tc>
          <w:tcPr>
            <w:tcW w:w="1514" w:type="dxa"/>
            <w:vAlign w:val="center"/>
          </w:tcPr>
          <w:p w14:paraId="0575616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不存在禁止投标的情形</w:t>
            </w:r>
          </w:p>
        </w:tc>
        <w:tc>
          <w:tcPr>
            <w:tcW w:w="3862" w:type="dxa"/>
            <w:vAlign w:val="center"/>
          </w:tcPr>
          <w:p w14:paraId="48F605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不存在第一章“投标人须知”第1.</w:t>
            </w:r>
            <w:r>
              <w:rPr>
                <w:rFonts w:ascii="宋体" w:hAnsi="宋体"/>
                <w:szCs w:val="21"/>
                <w:highlight w:val="none"/>
              </w:rPr>
              <w:t>2.2</w:t>
            </w:r>
            <w:r>
              <w:rPr>
                <w:rFonts w:hint="eastAsia" w:ascii="宋体" w:hAnsi="宋体"/>
                <w:szCs w:val="21"/>
                <w:highlight w:val="none"/>
              </w:rPr>
              <w:t>项规定的任何一种情形</w:t>
            </w:r>
          </w:p>
        </w:tc>
        <w:tc>
          <w:tcPr>
            <w:tcW w:w="1514" w:type="dxa"/>
            <w:vAlign w:val="center"/>
          </w:tcPr>
          <w:p w14:paraId="24CE939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4240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637DB1C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w:t>
            </w:r>
          </w:p>
        </w:tc>
        <w:tc>
          <w:tcPr>
            <w:tcW w:w="1108" w:type="dxa"/>
            <w:vMerge w:val="restart"/>
            <w:vAlign w:val="center"/>
          </w:tcPr>
          <w:p w14:paraId="517BFDC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响应性</w:t>
            </w:r>
          </w:p>
          <w:p w14:paraId="0A04404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评审标准</w:t>
            </w:r>
          </w:p>
        </w:tc>
        <w:tc>
          <w:tcPr>
            <w:tcW w:w="1514" w:type="dxa"/>
            <w:vAlign w:val="center"/>
          </w:tcPr>
          <w:p w14:paraId="299E9042">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w:t>
            </w:r>
          </w:p>
        </w:tc>
        <w:tc>
          <w:tcPr>
            <w:tcW w:w="3862" w:type="dxa"/>
            <w:vAlign w:val="center"/>
          </w:tcPr>
          <w:p w14:paraId="7772EA6F">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投标报价未高于最高限价</w:t>
            </w:r>
          </w:p>
        </w:tc>
        <w:tc>
          <w:tcPr>
            <w:tcW w:w="1514" w:type="dxa"/>
            <w:vAlign w:val="center"/>
          </w:tcPr>
          <w:p w14:paraId="56194B36">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2B15C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B0FD3A4"/>
        </w:tc>
        <w:tc>
          <w:tcPr>
            <w:tcW w:w="1108" w:type="dxa"/>
            <w:vMerge w:val="continue"/>
            <w:vAlign w:val="center"/>
          </w:tcPr>
          <w:p w14:paraId="681B5720"/>
        </w:tc>
        <w:tc>
          <w:tcPr>
            <w:tcW w:w="1514" w:type="dxa"/>
            <w:vAlign w:val="center"/>
          </w:tcPr>
          <w:p w14:paraId="0B1CDDB1">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投标内容</w:t>
            </w:r>
          </w:p>
        </w:tc>
        <w:tc>
          <w:tcPr>
            <w:tcW w:w="3862" w:type="dxa"/>
            <w:vAlign w:val="center"/>
          </w:tcPr>
          <w:p w14:paraId="52F04BDD">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5EC320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67E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7A0B1E2F"/>
        </w:tc>
        <w:tc>
          <w:tcPr>
            <w:tcW w:w="1108" w:type="dxa"/>
            <w:vMerge w:val="continue"/>
            <w:vAlign w:val="center"/>
          </w:tcPr>
          <w:p w14:paraId="36EEEA07"/>
        </w:tc>
        <w:tc>
          <w:tcPr>
            <w:tcW w:w="1514" w:type="dxa"/>
            <w:vAlign w:val="center"/>
          </w:tcPr>
          <w:p w14:paraId="3B75DD40">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投标有效期</w:t>
            </w:r>
          </w:p>
        </w:tc>
        <w:tc>
          <w:tcPr>
            <w:tcW w:w="3862" w:type="dxa"/>
            <w:vAlign w:val="center"/>
          </w:tcPr>
          <w:p w14:paraId="43DF7D8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1F79F9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2F024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1" w:type="dxa"/>
            <w:vMerge w:val="continue"/>
          </w:tcPr>
          <w:p w14:paraId="1792F046"/>
        </w:tc>
        <w:tc>
          <w:tcPr>
            <w:tcW w:w="1108" w:type="dxa"/>
            <w:vMerge w:val="continue"/>
            <w:vAlign w:val="center"/>
          </w:tcPr>
          <w:p w14:paraId="781E63B3"/>
        </w:tc>
        <w:tc>
          <w:tcPr>
            <w:tcW w:w="1514" w:type="dxa"/>
            <w:vAlign w:val="center"/>
          </w:tcPr>
          <w:p w14:paraId="23D27950">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服务期</w:t>
            </w:r>
          </w:p>
        </w:tc>
        <w:tc>
          <w:tcPr>
            <w:tcW w:w="3862" w:type="dxa"/>
            <w:vAlign w:val="center"/>
          </w:tcPr>
          <w:p w14:paraId="26EFB05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473DA41">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6BCD9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31" w:type="dxa"/>
            <w:vMerge w:val="continue"/>
          </w:tcPr>
          <w:p w14:paraId="6B623E30"/>
        </w:tc>
        <w:tc>
          <w:tcPr>
            <w:tcW w:w="1108" w:type="dxa"/>
            <w:vMerge w:val="continue"/>
            <w:vAlign w:val="center"/>
          </w:tcPr>
          <w:p w14:paraId="76A2F091"/>
        </w:tc>
        <w:tc>
          <w:tcPr>
            <w:tcW w:w="1514" w:type="dxa"/>
            <w:vAlign w:val="center"/>
          </w:tcPr>
          <w:p w14:paraId="2A3862C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投标文件响应情况</w:t>
            </w:r>
          </w:p>
        </w:tc>
        <w:tc>
          <w:tcPr>
            <w:tcW w:w="3862" w:type="dxa"/>
            <w:vAlign w:val="center"/>
          </w:tcPr>
          <w:p w14:paraId="736A7DB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商务、技术不可偏离项（“★”）完全响应招标文件要求</w:t>
            </w:r>
          </w:p>
        </w:tc>
        <w:tc>
          <w:tcPr>
            <w:tcW w:w="1514" w:type="dxa"/>
            <w:vAlign w:val="center"/>
          </w:tcPr>
          <w:p w14:paraId="2215FA57">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bl>
    <w:p w14:paraId="1056A76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注：以上初步评审审查标准中如出现一处不符合要求，其投标文件将作废标处理。</w:t>
      </w:r>
    </w:p>
    <w:p w14:paraId="76C13AFF">
      <w:pPr>
        <w:widowControl w:val="0"/>
        <w:autoSpaceDE w:val="0"/>
        <w:autoSpaceDN w:val="0"/>
        <w:adjustRightInd w:val="0"/>
        <w:snapToGrid w:val="0"/>
        <w:ind w:firstLine="0" w:firstLineChars="0"/>
        <w:jc w:val="center"/>
        <w:outlineLvl w:val="1"/>
        <w:rPr>
          <w:rFonts w:ascii="宋体" w:hAnsi="宋体"/>
          <w:b/>
          <w:sz w:val="32"/>
          <w:highlight w:val="none"/>
        </w:rPr>
      </w:pPr>
      <w:r>
        <w:rPr>
          <w:rFonts w:ascii="宋体" w:hAnsi="宋体"/>
          <w:b/>
          <w:sz w:val="32"/>
          <w:szCs w:val="32"/>
          <w:highlight w:val="none"/>
        </w:rPr>
        <w:br w:type="page"/>
      </w:r>
      <w:bookmarkStart w:id="308" w:name="_Toc12706"/>
      <w:bookmarkStart w:id="309" w:name="_Toc10870"/>
      <w:bookmarkStart w:id="310" w:name="_Toc29323"/>
      <w:bookmarkStart w:id="311" w:name="_Toc9603"/>
      <w:r>
        <w:rPr>
          <w:rFonts w:hint="eastAsia" w:ascii="宋体" w:hAnsi="宋体"/>
          <w:b/>
          <w:sz w:val="32"/>
          <w:szCs w:val="32"/>
          <w:highlight w:val="none"/>
        </w:rPr>
        <w:t>二、评标方法</w:t>
      </w:r>
      <w:bookmarkEnd w:id="308"/>
      <w:bookmarkEnd w:id="309"/>
      <w:bookmarkEnd w:id="310"/>
      <w:bookmarkEnd w:id="311"/>
    </w:p>
    <w:p w14:paraId="7B24ACED">
      <w:pPr>
        <w:widowControl w:val="0"/>
        <w:autoSpaceDE w:val="0"/>
        <w:autoSpaceDN w:val="0"/>
        <w:adjustRightInd w:val="0"/>
        <w:snapToGrid w:val="0"/>
        <w:ind w:firstLine="0" w:firstLineChars="0"/>
        <w:jc w:val="both"/>
        <w:rPr>
          <w:rFonts w:ascii="宋体" w:hAnsi="宋体"/>
          <w:highlight w:val="none"/>
        </w:rPr>
      </w:pPr>
      <w:r>
        <w:rPr>
          <w:rFonts w:hint="eastAsia" w:ascii="宋体" w:hAnsi="宋体"/>
          <w:highlight w:val="none"/>
        </w:rPr>
        <w:t>本项目采用综合评估法，是指在最大限度地满足招标文件实质性要求前提下，按照招标文件规定的评审标准进行评审，按评审因素的量化指标评审，排序靠前的推荐为中标候选人。</w:t>
      </w:r>
    </w:p>
    <w:p w14:paraId="07E11439">
      <w:pPr>
        <w:widowControl w:val="0"/>
        <w:numPr>
          <w:ilvl w:val="0"/>
          <w:numId w:val="5"/>
        </w:numPr>
        <w:autoSpaceDE w:val="0"/>
        <w:autoSpaceDN w:val="0"/>
        <w:adjustRightInd w:val="0"/>
        <w:snapToGrid w:val="0"/>
        <w:ind w:left="0" w:firstLine="0" w:firstLineChars="0"/>
        <w:jc w:val="both"/>
        <w:rPr>
          <w:rFonts w:ascii="宋体" w:hAnsi="宋体"/>
          <w:b/>
          <w:highlight w:val="none"/>
        </w:rPr>
      </w:pPr>
      <w:bookmarkStart w:id="312" w:name="_Toc523252726"/>
      <w:r>
        <w:rPr>
          <w:rFonts w:hint="eastAsia" w:ascii="宋体" w:hAnsi="宋体"/>
          <w:b/>
          <w:highlight w:val="none"/>
        </w:rPr>
        <w:t>评标程序</w:t>
      </w:r>
      <w:bookmarkEnd w:id="312"/>
    </w:p>
    <w:p w14:paraId="40735C21">
      <w:pPr>
        <w:widowControl w:val="0"/>
        <w:numPr>
          <w:ilvl w:val="1"/>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初步评审</w:t>
      </w:r>
    </w:p>
    <w:p w14:paraId="4CD588C7">
      <w:pPr>
        <w:widowControl w:val="0"/>
        <w:numPr>
          <w:ilvl w:val="2"/>
          <w:numId w:val="5"/>
        </w:numPr>
        <w:autoSpaceDE w:val="0"/>
        <w:autoSpaceDN w:val="0"/>
        <w:adjustRightInd w:val="0"/>
        <w:snapToGrid w:val="0"/>
        <w:ind w:left="0" w:firstLine="0" w:firstLineChars="0"/>
        <w:jc w:val="both"/>
        <w:rPr>
          <w:rFonts w:ascii="宋体" w:hAnsi="宋体"/>
          <w:b/>
          <w:highlight w:val="none"/>
        </w:rPr>
      </w:pPr>
      <w:r>
        <w:rPr>
          <w:rFonts w:ascii="宋体" w:hAnsi="宋体"/>
          <w:highlight w:val="none"/>
        </w:rPr>
        <w:t>评标委员会可以要求投标人提交第</w:t>
      </w:r>
      <w:r>
        <w:rPr>
          <w:rFonts w:hint="eastAsia" w:ascii="宋体" w:hAnsi="宋体"/>
          <w:highlight w:val="none"/>
        </w:rPr>
        <w:t>一</w:t>
      </w:r>
      <w:r>
        <w:rPr>
          <w:rFonts w:ascii="宋体" w:hAnsi="宋体"/>
          <w:highlight w:val="none"/>
        </w:rPr>
        <w:t>章“投标人须知”规定的有关证明和证件的原件，以便核验。评标委员会依据本章规定的标准对投标文件进行初步评审</w:t>
      </w:r>
      <w:r>
        <w:rPr>
          <w:rFonts w:hint="eastAsia" w:ascii="宋体" w:hAnsi="宋体"/>
          <w:highlight w:val="none"/>
        </w:rPr>
        <w:t>，</w:t>
      </w:r>
      <w:r>
        <w:rPr>
          <w:rFonts w:ascii="宋体" w:hAnsi="宋体"/>
          <w:highlight w:val="none"/>
        </w:rPr>
        <w:t>有一项不符合评审标准的，评标委员会应当否决其投标。初步评审的结论是“通过”或“不通过”，只有</w:t>
      </w:r>
      <w:r>
        <w:rPr>
          <w:rFonts w:hint="eastAsia" w:ascii="宋体" w:hAnsi="宋体"/>
          <w:highlight w:val="none"/>
        </w:rPr>
        <w:t>结论为</w:t>
      </w:r>
      <w:r>
        <w:rPr>
          <w:rFonts w:ascii="宋体" w:hAnsi="宋体"/>
          <w:highlight w:val="none"/>
        </w:rPr>
        <w:t>“通过”的投标方能进入下一阶段的评标，否则其投标将按</w:t>
      </w:r>
      <w:r>
        <w:rPr>
          <w:rFonts w:hint="eastAsia" w:ascii="宋体" w:hAnsi="宋体"/>
          <w:highlight w:val="none"/>
        </w:rPr>
        <w:t>废</w:t>
      </w:r>
      <w:r>
        <w:rPr>
          <w:rFonts w:ascii="宋体" w:hAnsi="宋体"/>
          <w:highlight w:val="none"/>
        </w:rPr>
        <w:t>标处理。</w:t>
      </w:r>
    </w:p>
    <w:p w14:paraId="46881B27">
      <w:pPr>
        <w:widowControl w:val="0"/>
        <w:numPr>
          <w:ilvl w:val="1"/>
          <w:numId w:val="5"/>
        </w:numPr>
        <w:autoSpaceDE w:val="0"/>
        <w:autoSpaceDN w:val="0"/>
        <w:adjustRightInd w:val="0"/>
        <w:snapToGrid w:val="0"/>
        <w:ind w:left="0" w:firstLine="0" w:firstLineChars="0"/>
        <w:jc w:val="both"/>
        <w:rPr>
          <w:rFonts w:ascii="宋体" w:hAnsi="宋体"/>
          <w:highlight w:val="none"/>
        </w:rPr>
      </w:pPr>
      <w:bookmarkStart w:id="313" w:name="_bookmark89"/>
      <w:bookmarkEnd w:id="313"/>
      <w:r>
        <w:rPr>
          <w:rFonts w:ascii="宋体" w:hAnsi="宋体"/>
          <w:highlight w:val="none"/>
        </w:rPr>
        <w:t>详细评审</w:t>
      </w:r>
    </w:p>
    <w:p w14:paraId="0DA4DE03">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w:t>
      </w:r>
      <w:r>
        <w:rPr>
          <w:rFonts w:ascii="宋体" w:hAnsi="宋体"/>
          <w:spacing w:val="-3"/>
          <w:highlight w:val="none"/>
        </w:rPr>
        <w:t>标</w:t>
      </w:r>
      <w:r>
        <w:rPr>
          <w:rFonts w:ascii="宋体" w:hAnsi="宋体"/>
          <w:highlight w:val="none"/>
        </w:rPr>
        <w:t>委</w:t>
      </w:r>
      <w:r>
        <w:rPr>
          <w:rFonts w:ascii="宋体" w:hAnsi="宋体"/>
          <w:spacing w:val="-3"/>
          <w:highlight w:val="none"/>
        </w:rPr>
        <w:t>员</w:t>
      </w:r>
      <w:r>
        <w:rPr>
          <w:rFonts w:ascii="宋体" w:hAnsi="宋体"/>
          <w:highlight w:val="none"/>
        </w:rPr>
        <w:t>会</w:t>
      </w:r>
      <w:r>
        <w:rPr>
          <w:rFonts w:ascii="宋体" w:hAnsi="宋体"/>
          <w:spacing w:val="-3"/>
          <w:highlight w:val="none"/>
        </w:rPr>
        <w:t>按</w:t>
      </w:r>
      <w:r>
        <w:rPr>
          <w:rFonts w:ascii="宋体" w:hAnsi="宋体"/>
          <w:highlight w:val="none"/>
        </w:rPr>
        <w:t>本</w:t>
      </w:r>
      <w:r>
        <w:rPr>
          <w:rFonts w:ascii="宋体" w:hAnsi="宋体"/>
          <w:spacing w:val="-3"/>
          <w:highlight w:val="none"/>
        </w:rPr>
        <w:t>章</w:t>
      </w:r>
      <w:r>
        <w:rPr>
          <w:rFonts w:ascii="宋体" w:hAnsi="宋体"/>
          <w:highlight w:val="none"/>
        </w:rPr>
        <w:t>规</w:t>
      </w:r>
      <w:r>
        <w:rPr>
          <w:rFonts w:ascii="宋体" w:hAnsi="宋体"/>
          <w:spacing w:val="-3"/>
          <w:highlight w:val="none"/>
        </w:rPr>
        <w:t>定</w:t>
      </w:r>
      <w:r>
        <w:rPr>
          <w:rFonts w:ascii="宋体" w:hAnsi="宋体"/>
          <w:highlight w:val="none"/>
        </w:rPr>
        <w:t>的</w:t>
      </w:r>
      <w:r>
        <w:rPr>
          <w:rFonts w:ascii="宋体" w:hAnsi="宋体"/>
          <w:spacing w:val="-3"/>
          <w:highlight w:val="none"/>
        </w:rPr>
        <w:t>量</w:t>
      </w:r>
      <w:r>
        <w:rPr>
          <w:rFonts w:ascii="宋体" w:hAnsi="宋体"/>
          <w:highlight w:val="none"/>
        </w:rPr>
        <w:t>化</w:t>
      </w:r>
      <w:r>
        <w:rPr>
          <w:rFonts w:ascii="宋体" w:hAnsi="宋体"/>
          <w:spacing w:val="-3"/>
          <w:highlight w:val="none"/>
        </w:rPr>
        <w:t>因</w:t>
      </w:r>
      <w:r>
        <w:rPr>
          <w:rFonts w:ascii="宋体" w:hAnsi="宋体"/>
          <w:highlight w:val="none"/>
        </w:rPr>
        <w:t>素</w:t>
      </w:r>
      <w:r>
        <w:rPr>
          <w:rFonts w:ascii="宋体" w:hAnsi="宋体"/>
          <w:spacing w:val="-3"/>
          <w:highlight w:val="none"/>
        </w:rPr>
        <w:t>和</w:t>
      </w:r>
      <w:r>
        <w:rPr>
          <w:rFonts w:ascii="宋体" w:hAnsi="宋体"/>
          <w:highlight w:val="none"/>
        </w:rPr>
        <w:t>分值</w:t>
      </w:r>
      <w:r>
        <w:rPr>
          <w:rFonts w:ascii="宋体" w:hAnsi="宋体"/>
          <w:spacing w:val="-3"/>
          <w:highlight w:val="none"/>
        </w:rPr>
        <w:t>进</w:t>
      </w:r>
      <w:r>
        <w:rPr>
          <w:rFonts w:ascii="宋体" w:hAnsi="宋体"/>
          <w:highlight w:val="none"/>
        </w:rPr>
        <w:t>行</w:t>
      </w:r>
      <w:r>
        <w:rPr>
          <w:rFonts w:ascii="宋体" w:hAnsi="宋体"/>
          <w:spacing w:val="-3"/>
          <w:highlight w:val="none"/>
        </w:rPr>
        <w:t>打</w:t>
      </w:r>
      <w:r>
        <w:rPr>
          <w:rFonts w:ascii="宋体" w:hAnsi="宋体"/>
          <w:highlight w:val="none"/>
        </w:rPr>
        <w:t>分</w:t>
      </w:r>
      <w:r>
        <w:rPr>
          <w:rFonts w:hint="eastAsia" w:ascii="宋体" w:hAnsi="宋体"/>
          <w:highlight w:val="none"/>
        </w:rPr>
        <w:t>，</w:t>
      </w:r>
      <w:r>
        <w:rPr>
          <w:rFonts w:ascii="宋体" w:hAnsi="宋体"/>
          <w:highlight w:val="none"/>
        </w:rPr>
        <w:t>并</w:t>
      </w:r>
      <w:r>
        <w:rPr>
          <w:rFonts w:ascii="宋体" w:hAnsi="宋体"/>
          <w:spacing w:val="-3"/>
          <w:highlight w:val="none"/>
        </w:rPr>
        <w:t>计</w:t>
      </w:r>
      <w:r>
        <w:rPr>
          <w:rFonts w:ascii="宋体" w:hAnsi="宋体"/>
          <w:highlight w:val="none"/>
        </w:rPr>
        <w:t>算</w:t>
      </w:r>
      <w:r>
        <w:rPr>
          <w:rFonts w:ascii="宋体" w:hAnsi="宋体"/>
          <w:spacing w:val="-3"/>
          <w:highlight w:val="none"/>
        </w:rPr>
        <w:t>出综</w:t>
      </w:r>
      <w:r>
        <w:rPr>
          <w:rFonts w:ascii="宋体" w:hAnsi="宋体"/>
          <w:highlight w:val="none"/>
        </w:rPr>
        <w:t>合评</w:t>
      </w:r>
      <w:r>
        <w:rPr>
          <w:rFonts w:ascii="宋体" w:hAnsi="宋体"/>
          <w:spacing w:val="-3"/>
          <w:highlight w:val="none"/>
        </w:rPr>
        <w:t>估</w:t>
      </w:r>
      <w:r>
        <w:rPr>
          <w:rFonts w:ascii="宋体" w:hAnsi="宋体"/>
          <w:highlight w:val="none"/>
        </w:rPr>
        <w:t>得</w:t>
      </w:r>
      <w:r>
        <w:rPr>
          <w:rFonts w:ascii="宋体" w:hAnsi="宋体"/>
          <w:spacing w:val="-3"/>
          <w:highlight w:val="none"/>
        </w:rPr>
        <w:t>分</w:t>
      </w:r>
      <w:r>
        <w:rPr>
          <w:rFonts w:ascii="宋体" w:hAnsi="宋体"/>
          <w:highlight w:val="none"/>
        </w:rPr>
        <w:t>。</w:t>
      </w:r>
    </w:p>
    <w:p w14:paraId="262BD9A8">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按本章商务</w:t>
      </w:r>
      <w:r>
        <w:rPr>
          <w:rFonts w:hint="eastAsia" w:ascii="宋体" w:hAnsi="宋体"/>
          <w:highlight w:val="none"/>
        </w:rPr>
        <w:t>标评审标准</w:t>
      </w:r>
      <w:r>
        <w:rPr>
          <w:rFonts w:ascii="宋体" w:hAnsi="宋体"/>
          <w:highlight w:val="none"/>
        </w:rPr>
        <w:t>规定的评审因素和分值对商务部分计算出得分A；</w:t>
      </w:r>
    </w:p>
    <w:p w14:paraId="27A572AA">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按本章技术</w:t>
      </w:r>
      <w:r>
        <w:rPr>
          <w:rFonts w:hint="eastAsia" w:ascii="宋体" w:hAnsi="宋体"/>
          <w:highlight w:val="none"/>
        </w:rPr>
        <w:t>标评审标准</w:t>
      </w:r>
      <w:r>
        <w:rPr>
          <w:rFonts w:ascii="宋体" w:hAnsi="宋体"/>
          <w:highlight w:val="none"/>
        </w:rPr>
        <w:t>规定的评审因素和分值对技术部分计算出得分B；</w:t>
      </w:r>
    </w:p>
    <w:p w14:paraId="59D5CDD9">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按本章</w:t>
      </w:r>
      <w:r>
        <w:rPr>
          <w:rFonts w:hint="eastAsia" w:ascii="宋体" w:hAnsi="宋体"/>
          <w:highlight w:val="none"/>
        </w:rPr>
        <w:t>价格标评审方法</w:t>
      </w:r>
      <w:r>
        <w:rPr>
          <w:rFonts w:ascii="宋体" w:hAnsi="宋体"/>
          <w:highlight w:val="none"/>
        </w:rPr>
        <w:t>规定的评审因素和分值对投标报价计算出得分C；</w:t>
      </w:r>
    </w:p>
    <w:p w14:paraId="26CA0041">
      <w:pPr>
        <w:widowControl w:val="0"/>
        <w:numPr>
          <w:ilvl w:val="3"/>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评分分值计算保留小数点后两位，小数点后第三位“四舍五入”。</w:t>
      </w:r>
    </w:p>
    <w:p w14:paraId="30E9E76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投标人得分=A+B+C。</w:t>
      </w:r>
    </w:p>
    <w:p w14:paraId="640987EB">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评标委员会发现投标人的报价明显低于其他投标报价，使得其投标报价可能低于其</w:t>
      </w:r>
      <w:r>
        <w:rPr>
          <w:rFonts w:ascii="宋体" w:hAnsi="宋体"/>
          <w:spacing w:val="-1"/>
          <w:highlight w:val="none"/>
        </w:rPr>
        <w:t>成本的，应当要求该投标人作出书面说明并提供相应的证明材料。投标人不能合理说明或者</w:t>
      </w:r>
      <w:r>
        <w:rPr>
          <w:rFonts w:ascii="宋体" w:hAnsi="宋体"/>
          <w:spacing w:val="-6"/>
          <w:highlight w:val="none"/>
        </w:rPr>
        <w:t>不能提供相应证明材料的，</w:t>
      </w:r>
      <w:r>
        <w:rPr>
          <w:rFonts w:hint="eastAsia" w:ascii="宋体" w:hAnsi="宋体"/>
          <w:spacing w:val="-6"/>
          <w:highlight w:val="none"/>
        </w:rPr>
        <w:t>由</w:t>
      </w:r>
      <w:r>
        <w:rPr>
          <w:rFonts w:ascii="宋体" w:hAnsi="宋体"/>
          <w:spacing w:val="-6"/>
          <w:highlight w:val="none"/>
        </w:rPr>
        <w:t>评标委员会认定该投标人以低于成本报价竞标，并否决其投标。</w:t>
      </w:r>
    </w:p>
    <w:p w14:paraId="4D4AF2F0">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投标文件的澄清</w:t>
      </w:r>
    </w:p>
    <w:p w14:paraId="075F34D2">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在评标过程中，评标委员会可以书面形式要求投标人对投标文件中含义不明确、对同</w:t>
      </w:r>
      <w:r>
        <w:rPr>
          <w:rFonts w:ascii="宋体" w:hAnsi="宋体"/>
          <w:spacing w:val="-1"/>
          <w:highlight w:val="none"/>
        </w:rPr>
        <w:t>类问题表述不一致或者有明显文字和计算错误的内容作必要的澄清、说明或补正。澄清、说明</w:t>
      </w:r>
      <w:r>
        <w:rPr>
          <w:rFonts w:ascii="宋体" w:hAnsi="宋体"/>
          <w:highlight w:val="none"/>
        </w:rPr>
        <w:t>或补正应以</w:t>
      </w:r>
      <w:r>
        <w:rPr>
          <w:rFonts w:hint="eastAsia" w:ascii="宋体" w:hAnsi="宋体"/>
          <w:highlight w:val="none"/>
        </w:rPr>
        <w:t>数据电文（或书面方式）</w:t>
      </w:r>
      <w:r>
        <w:rPr>
          <w:rFonts w:ascii="宋体" w:hAnsi="宋体"/>
          <w:highlight w:val="none"/>
        </w:rPr>
        <w:t>进行。评标委员会不接受投标人主动提出的澄清、说明或补正。</w:t>
      </w:r>
    </w:p>
    <w:p w14:paraId="17D8CBB1">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4"/>
          <w:highlight w:val="none"/>
        </w:rPr>
        <w:t>澄清、说明或补正不得超出投标文件的范围且不得改变投标文件的实质性内容，并构</w:t>
      </w:r>
      <w:r>
        <w:rPr>
          <w:rFonts w:ascii="宋体" w:hAnsi="宋体"/>
          <w:highlight w:val="none"/>
        </w:rPr>
        <w:t>成投标文件的组成部分。</w:t>
      </w:r>
    </w:p>
    <w:p w14:paraId="0EC68CDD">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spacing w:val="-7"/>
          <w:highlight w:val="none"/>
        </w:rPr>
        <w:t>评标委员会对投标人提交的澄清、说明或补正有疑问的，可以要求投标人进一步澄清、</w:t>
      </w:r>
      <w:r>
        <w:rPr>
          <w:rFonts w:ascii="宋体" w:hAnsi="宋体"/>
          <w:highlight w:val="none"/>
        </w:rPr>
        <w:t>说明或补正，直至满足评标委员会的要求。</w:t>
      </w:r>
    </w:p>
    <w:p w14:paraId="53DE55A0">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001FF42A">
      <w:pPr>
        <w:widowControl w:val="0"/>
        <w:numPr>
          <w:ilvl w:val="1"/>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评标结果</w:t>
      </w:r>
    </w:p>
    <w:p w14:paraId="19F739E1">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除第</w:t>
      </w:r>
      <w:r>
        <w:rPr>
          <w:rFonts w:hint="eastAsia" w:ascii="宋体" w:hAnsi="宋体"/>
          <w:highlight w:val="none"/>
        </w:rPr>
        <w:t>一</w:t>
      </w:r>
      <w:r>
        <w:rPr>
          <w:rFonts w:ascii="宋体" w:hAnsi="宋体"/>
          <w:highlight w:val="none"/>
        </w:rPr>
        <w:t>章</w:t>
      </w:r>
      <w:r>
        <w:rPr>
          <w:rFonts w:ascii="宋体" w:hAnsi="宋体"/>
          <w:iCs/>
          <w:highlight w:val="none"/>
        </w:rPr>
        <w:t>“投标人须知”</w:t>
      </w:r>
      <w:r>
        <w:rPr>
          <w:rFonts w:ascii="宋体" w:hAnsi="宋体"/>
          <w:highlight w:val="none"/>
        </w:rPr>
        <w:t>前附表授权直接确定中标人外，评标委员会按照得分由高到低的顺序推荐中标候选人，并标明排序。</w:t>
      </w:r>
    </w:p>
    <w:p w14:paraId="136AC5B8">
      <w:pPr>
        <w:widowControl w:val="0"/>
        <w:numPr>
          <w:ilvl w:val="2"/>
          <w:numId w:val="5"/>
        </w:numPr>
        <w:autoSpaceDE w:val="0"/>
        <w:autoSpaceDN w:val="0"/>
        <w:adjustRightInd w:val="0"/>
        <w:snapToGrid w:val="0"/>
        <w:ind w:left="0" w:firstLine="0" w:firstLineChars="0"/>
        <w:jc w:val="both"/>
        <w:rPr>
          <w:rFonts w:ascii="宋体" w:hAnsi="宋体"/>
          <w:highlight w:val="none"/>
        </w:rPr>
      </w:pPr>
      <w:r>
        <w:rPr>
          <w:rFonts w:ascii="宋体" w:hAnsi="宋体"/>
          <w:highlight w:val="none"/>
        </w:rPr>
        <w:t>评标委员会完成评标后，应当向招标人提交书面评标报告和中标候选人名单。</w:t>
      </w:r>
    </w:p>
    <w:p w14:paraId="74A01315">
      <w:pPr>
        <w:widowControl w:val="0"/>
        <w:autoSpaceDE w:val="0"/>
        <w:autoSpaceDN w:val="0"/>
        <w:adjustRightInd w:val="0"/>
        <w:snapToGrid w:val="0"/>
        <w:ind w:firstLine="0" w:firstLineChars="0"/>
        <w:jc w:val="both"/>
        <w:rPr>
          <w:rFonts w:ascii="宋体" w:hAnsi="宋体"/>
          <w:highlight w:val="none"/>
        </w:rPr>
      </w:pPr>
    </w:p>
    <w:p w14:paraId="6ACC66A4">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中标候选人的推荐</w:t>
      </w:r>
    </w:p>
    <w:p w14:paraId="13FCCFF3">
      <w:pPr>
        <w:widowControl w:val="0"/>
        <w:numPr>
          <w:ilvl w:val="1"/>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17450BD1">
      <w:pPr>
        <w:widowControl w:val="0"/>
        <w:numPr>
          <w:ilvl w:val="1"/>
          <w:numId w:val="5"/>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47726B11">
      <w:pPr>
        <w:widowControl w:val="0"/>
        <w:autoSpaceDE w:val="0"/>
        <w:autoSpaceDN w:val="0"/>
        <w:adjustRightInd w:val="0"/>
        <w:snapToGrid w:val="0"/>
        <w:ind w:firstLine="0" w:firstLineChars="0"/>
        <w:jc w:val="both"/>
        <w:rPr>
          <w:rFonts w:ascii="宋体" w:hAnsi="宋体"/>
          <w:szCs w:val="21"/>
          <w:highlight w:val="none"/>
        </w:rPr>
      </w:pPr>
    </w:p>
    <w:p w14:paraId="725AFF6C">
      <w:pPr>
        <w:widowControl w:val="0"/>
        <w:numPr>
          <w:ilvl w:val="0"/>
          <w:numId w:val="5"/>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b/>
          <w:szCs w:val="21"/>
          <w:highlight w:val="none"/>
        </w:rPr>
        <w:t>附表</w:t>
      </w:r>
    </w:p>
    <w:p w14:paraId="238F05E8">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附表1-1《商务标评审标准》</w:t>
      </w:r>
    </w:p>
    <w:p w14:paraId="0CCE341C">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附表2-1《技术标评审标准》</w:t>
      </w:r>
    </w:p>
    <w:p w14:paraId="09D0ED78">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附表3-1《价格标评审方法》</w:t>
      </w:r>
    </w:p>
    <w:p w14:paraId="47223247">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附表4-1《商务标、技术标、价格标分值表和综合得分汇总》</w:t>
      </w:r>
      <w:bookmarkStart w:id="314" w:name="_bookmark91"/>
      <w:bookmarkEnd w:id="314"/>
      <w:bookmarkStart w:id="315" w:name="_bookmark90"/>
      <w:bookmarkEnd w:id="315"/>
      <w:bookmarkStart w:id="316" w:name="_Toc209869262"/>
      <w:bookmarkStart w:id="317" w:name="_Toc229236501"/>
      <w:bookmarkStart w:id="318" w:name="_Toc177546571"/>
    </w:p>
    <w:bookmarkEnd w:id="316"/>
    <w:bookmarkEnd w:id="317"/>
    <w:bookmarkEnd w:id="318"/>
    <w:p w14:paraId="0DDFD99A">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Cs w:val="21"/>
          <w:highlight w:val="none"/>
        </w:rPr>
        <w:t>附表1-1《商务标评审标准》</w:t>
      </w:r>
    </w:p>
    <w:tbl>
      <w:tblPr>
        <w:tblStyle w:val="5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8"/>
        <w:gridCol w:w="5954"/>
        <w:gridCol w:w="729"/>
      </w:tblGrid>
      <w:tr w14:paraId="5A4E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shd w:val="clear" w:color="auto" w:fill="DEEBF6"/>
            <w:vAlign w:val="center"/>
          </w:tcPr>
          <w:p w14:paraId="6252B10F">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08" w:type="dxa"/>
            <w:shd w:val="clear" w:color="auto" w:fill="DEEBF6"/>
            <w:vAlign w:val="center"/>
          </w:tcPr>
          <w:p w14:paraId="6931DACB">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954" w:type="dxa"/>
            <w:shd w:val="clear" w:color="auto" w:fill="DEEBF6"/>
            <w:vAlign w:val="center"/>
          </w:tcPr>
          <w:p w14:paraId="5D97DA20">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29" w:type="dxa"/>
            <w:shd w:val="clear" w:color="auto" w:fill="DEEBF6"/>
            <w:vAlign w:val="center"/>
          </w:tcPr>
          <w:p w14:paraId="56A2760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1A7A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06192372">
            <w:pPr>
              <w:adjustRightInd w:val="0"/>
              <w:snapToGrid w:val="0"/>
              <w:spacing w:line="240" w:lineRule="auto"/>
              <w:ind w:firstLine="0" w:firstLineChars="0"/>
              <w:jc w:val="center"/>
              <w:rPr>
                <w:rFonts w:ascii="宋体" w:hAnsi="宋体"/>
                <w:bCs/>
                <w:szCs w:val="21"/>
                <w:highlight w:val="none"/>
              </w:rPr>
            </w:pPr>
            <w:r>
              <w:rPr>
                <w:rFonts w:hint="eastAsia" w:ascii="宋体" w:hAnsi="宋体"/>
                <w:bCs/>
                <w:szCs w:val="21"/>
                <w:highlight w:val="none"/>
              </w:rPr>
              <w:t>1</w:t>
            </w:r>
          </w:p>
        </w:tc>
        <w:tc>
          <w:tcPr>
            <w:tcW w:w="1108" w:type="dxa"/>
            <w:vAlign w:val="center"/>
          </w:tcPr>
          <w:p w14:paraId="5CFBF246">
            <w:pPr>
              <w:adjustRightInd w:val="0"/>
              <w:snapToGrid w:val="0"/>
              <w:spacing w:line="240" w:lineRule="auto"/>
              <w:ind w:firstLine="0" w:firstLineChars="0"/>
              <w:jc w:val="center"/>
              <w:rPr>
                <w:rFonts w:hint="eastAsia" w:ascii="宋体" w:hAnsi="宋体" w:eastAsia="宋体" w:cs="仿宋"/>
                <w:szCs w:val="21"/>
                <w:highlight w:val="yellow"/>
                <w:lang w:eastAsia="zh-CN"/>
              </w:rPr>
            </w:pPr>
            <w:r>
              <w:rPr>
                <w:rFonts w:hint="eastAsia" w:hAnsi="宋体" w:cs="仿宋"/>
                <w:highlight w:val="none"/>
                <w:lang w:val="en-US" w:eastAsia="zh-CN"/>
              </w:rPr>
              <w:t>投标人同类项目业绩情况</w:t>
            </w:r>
          </w:p>
        </w:tc>
        <w:tc>
          <w:tcPr>
            <w:tcW w:w="5954" w:type="dxa"/>
            <w:vAlign w:val="center"/>
          </w:tcPr>
          <w:p w14:paraId="557194CC">
            <w:pPr>
              <w:rPr>
                <w:lang w:val="en-US" w:eastAsia="zh-CN"/>
              </w:rPr>
            </w:pPr>
            <w:r>
              <w:rPr>
                <w:rFonts w:hint="eastAsia" w:ascii="Times New Roman" w:hAnsi="宋体" w:eastAsia="宋体" w:cs="Times New Roman"/>
                <w:kern w:val="2"/>
                <w:sz w:val="21"/>
                <w:szCs w:val="24"/>
                <w:lang w:val="en-US" w:eastAsia="zh-CN" w:bidi="ar-SA"/>
              </w:rPr>
              <w:t>投标人提供202</w:t>
            </w:r>
            <w:r>
              <w:rPr>
                <w:rFonts w:hint="eastAsia" w:hAnsi="宋体" w:cs="Times New Roman"/>
                <w:kern w:val="2"/>
                <w:sz w:val="21"/>
                <w:szCs w:val="24"/>
                <w:lang w:val="en-US" w:eastAsia="zh-CN" w:bidi="ar-SA"/>
              </w:rPr>
              <w:t>3</w:t>
            </w:r>
            <w:r>
              <w:rPr>
                <w:rFonts w:hint="eastAsia" w:ascii="Times New Roman" w:hAnsi="宋体" w:eastAsia="宋体" w:cs="Times New Roman"/>
                <w:kern w:val="2"/>
                <w:sz w:val="21"/>
                <w:szCs w:val="24"/>
                <w:lang w:val="en-US" w:eastAsia="zh-CN" w:bidi="ar-SA"/>
              </w:rPr>
              <w:t>年</w:t>
            </w:r>
            <w:r>
              <w:rPr>
                <w:rFonts w:hint="eastAsia" w:hAnsi="宋体" w:cs="Times New Roman"/>
                <w:kern w:val="2"/>
                <w:sz w:val="21"/>
                <w:szCs w:val="24"/>
                <w:lang w:val="en-US" w:eastAsia="zh-CN" w:bidi="ar-SA"/>
              </w:rPr>
              <w:t>1</w:t>
            </w:r>
            <w:r>
              <w:rPr>
                <w:rFonts w:hint="eastAsia" w:ascii="Times New Roman" w:hAnsi="宋体" w:eastAsia="宋体" w:cs="Times New Roman"/>
                <w:kern w:val="2"/>
                <w:sz w:val="21"/>
                <w:szCs w:val="24"/>
                <w:lang w:val="en-US" w:eastAsia="zh-CN" w:bidi="ar-SA"/>
              </w:rPr>
              <w:t>月1日至本项目投标截止日（以合同签订日期为准）的同类项目服务经验，即国际单项体育赛事或奥运会、亚运会等国际国内同类综合性赛事宣传推广服务业绩，每提供1个得</w:t>
            </w:r>
            <w:r>
              <w:rPr>
                <w:rFonts w:hint="eastAsia" w:hAnsi="宋体" w:cs="Times New Roman"/>
                <w:kern w:val="2"/>
                <w:sz w:val="21"/>
                <w:szCs w:val="24"/>
                <w:lang w:val="en-US" w:eastAsia="zh-CN" w:bidi="ar-SA"/>
              </w:rPr>
              <w:t>5</w:t>
            </w:r>
            <w:r>
              <w:rPr>
                <w:rFonts w:hint="eastAsia" w:ascii="Times New Roman" w:hAnsi="宋体" w:eastAsia="宋体" w:cs="Times New Roman"/>
                <w:kern w:val="2"/>
                <w:sz w:val="21"/>
                <w:szCs w:val="24"/>
                <w:lang w:val="en-US" w:eastAsia="zh-CN" w:bidi="ar-SA"/>
              </w:rPr>
              <w:t>分，本项最高得20分；同一项目不重复计分。提供的业绩超过</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项，只计前</w:t>
            </w:r>
            <w:r>
              <w:rPr>
                <w:rFonts w:hint="eastAsia" w:hAnsi="宋体" w:cs="Times New Roman"/>
                <w:kern w:val="2"/>
                <w:sz w:val="21"/>
                <w:szCs w:val="24"/>
                <w:lang w:val="en-US" w:eastAsia="zh-CN" w:bidi="ar-SA"/>
              </w:rPr>
              <w:t>4</w:t>
            </w:r>
            <w:r>
              <w:rPr>
                <w:rFonts w:hint="eastAsia" w:ascii="Times New Roman" w:hAnsi="宋体" w:eastAsia="宋体" w:cs="Times New Roman"/>
                <w:kern w:val="2"/>
                <w:sz w:val="21"/>
                <w:szCs w:val="24"/>
                <w:lang w:val="en-US" w:eastAsia="zh-CN" w:bidi="ar-SA"/>
              </w:rPr>
              <w:t>项。</w:t>
            </w:r>
          </w:p>
          <w:p w14:paraId="3A021615">
            <w:pPr>
              <w:snapToGrid w:val="0"/>
              <w:spacing w:line="240" w:lineRule="auto"/>
              <w:ind w:firstLine="422" w:firstLineChars="200"/>
              <w:rPr>
                <w:rFonts w:hint="eastAsia" w:hAnsi="宋体"/>
                <w:b/>
                <w:bCs/>
                <w:highlight w:val="none"/>
              </w:rPr>
            </w:pPr>
            <w:r>
              <w:rPr>
                <w:rFonts w:hint="eastAsia" w:hAnsi="宋体"/>
                <w:b/>
                <w:bCs/>
                <w:highlight w:val="none"/>
                <w:lang w:val="en-US" w:eastAsia="zh-CN"/>
              </w:rPr>
              <w:t>证明材料</w:t>
            </w:r>
            <w:r>
              <w:rPr>
                <w:rFonts w:hint="eastAsia" w:hAnsi="宋体"/>
                <w:b/>
                <w:bCs/>
                <w:highlight w:val="none"/>
              </w:rPr>
              <w:t>：</w:t>
            </w:r>
          </w:p>
          <w:p w14:paraId="4B7B0190">
            <w:pPr>
              <w:snapToGrid w:val="0"/>
              <w:spacing w:line="240" w:lineRule="auto"/>
              <w:ind w:firstLine="420" w:firstLineChars="200"/>
              <w:rPr>
                <w:rFonts w:ascii="宋体" w:hAnsi="宋体" w:cs="仿宋"/>
                <w:szCs w:val="21"/>
                <w:highlight w:val="yellow"/>
              </w:rPr>
            </w:pPr>
            <w:r>
              <w:rPr>
                <w:rFonts w:hint="eastAsia" w:hAnsi="宋体"/>
                <w:highlight w:val="none"/>
              </w:rPr>
              <w:t xml:space="preserve">须提供合同关键页（合同甲乙双方、项目名称、项目内容、签订日期及合同甲乙双方签章关键信息）。如未按要求提供证明材料，或所提供的证明材料未能体现上述评分内容的，视为该证明材料无效。 </w:t>
            </w:r>
          </w:p>
        </w:tc>
        <w:tc>
          <w:tcPr>
            <w:tcW w:w="729" w:type="dxa"/>
            <w:vAlign w:val="center"/>
          </w:tcPr>
          <w:p w14:paraId="26D48566">
            <w:pPr>
              <w:adjustRightInd w:val="0"/>
              <w:snapToGrid w:val="0"/>
              <w:spacing w:line="240" w:lineRule="auto"/>
              <w:ind w:firstLine="0" w:firstLineChars="0"/>
              <w:jc w:val="center"/>
              <w:rPr>
                <w:rFonts w:ascii="宋体" w:hAnsi="宋体" w:cs="仿宋"/>
                <w:szCs w:val="21"/>
                <w:highlight w:val="none"/>
              </w:rPr>
            </w:pPr>
            <w:r>
              <w:rPr>
                <w:rFonts w:hint="eastAsia" w:ascii="宋体" w:hAnsi="宋体" w:cs="仿宋"/>
                <w:snapToGrid w:val="0"/>
                <w:kern w:val="0"/>
                <w:szCs w:val="21"/>
                <w:highlight w:val="none"/>
                <w:lang w:val="en-US" w:eastAsia="zh-CN"/>
              </w:rPr>
              <w:t>20</w:t>
            </w:r>
            <w:r>
              <w:rPr>
                <w:rFonts w:hint="eastAsia" w:ascii="宋体" w:hAnsi="宋体"/>
                <w:bCs/>
                <w:szCs w:val="21"/>
                <w:highlight w:val="none"/>
              </w:rPr>
              <w:t>分</w:t>
            </w:r>
          </w:p>
        </w:tc>
      </w:tr>
      <w:tr w14:paraId="6382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53546810">
            <w:pPr>
              <w:adjustRightInd w:val="0"/>
              <w:snapToGrid w:val="0"/>
              <w:spacing w:line="240" w:lineRule="auto"/>
              <w:ind w:firstLine="0" w:firstLineChars="0"/>
              <w:jc w:val="center"/>
              <w:rPr>
                <w:rFonts w:ascii="宋体" w:hAnsi="宋体"/>
                <w:b/>
                <w:szCs w:val="21"/>
                <w:highlight w:val="none"/>
              </w:rPr>
            </w:pPr>
            <w:r>
              <w:rPr>
                <w:rFonts w:hint="eastAsia" w:ascii="宋体" w:hAnsi="宋体"/>
                <w:bCs/>
                <w:szCs w:val="21"/>
                <w:highlight w:val="none"/>
              </w:rPr>
              <w:t>2</w:t>
            </w:r>
          </w:p>
        </w:tc>
        <w:tc>
          <w:tcPr>
            <w:tcW w:w="1108" w:type="dxa"/>
            <w:vAlign w:val="center"/>
          </w:tcPr>
          <w:p w14:paraId="6567D2DF">
            <w:pPr>
              <w:adjustRightInd w:val="0"/>
              <w:snapToGrid w:val="0"/>
              <w:spacing w:line="240" w:lineRule="auto"/>
              <w:ind w:firstLine="0" w:firstLineChars="0"/>
              <w:jc w:val="center"/>
              <w:rPr>
                <w:rFonts w:ascii="宋体" w:hAnsi="宋体" w:eastAsia="宋体"/>
                <w:szCs w:val="21"/>
                <w:highlight w:val="none"/>
                <w:lang w:val="en-US" w:eastAsia="zh-CN"/>
              </w:rPr>
            </w:pPr>
            <w:r>
              <w:rPr>
                <w:rFonts w:hint="eastAsia" w:ascii="宋体" w:hAnsi="宋体" w:cs="仿宋"/>
                <w:szCs w:val="21"/>
                <w:highlight w:val="none"/>
              </w:rPr>
              <w:t>诚信</w:t>
            </w:r>
          </w:p>
        </w:tc>
        <w:tc>
          <w:tcPr>
            <w:tcW w:w="5954" w:type="dxa"/>
            <w:vAlign w:val="center"/>
          </w:tcPr>
          <w:p w14:paraId="75D5A1EB">
            <w:pPr>
              <w:adjustRightInd w:val="0"/>
              <w:snapToGrid w:val="0"/>
              <w:spacing w:line="240" w:lineRule="auto"/>
              <w:rPr>
                <w:rFonts w:hint="eastAsia" w:ascii="宋体" w:hAnsi="宋体" w:cs="宋体"/>
                <w:color w:val="000000"/>
                <w:szCs w:val="21"/>
                <w:highlight w:val="none"/>
              </w:rPr>
            </w:pPr>
            <w:r>
              <w:rPr>
                <w:rFonts w:hint="eastAsia" w:ascii="宋体" w:hAnsi="宋体" w:cs="宋体"/>
                <w:color w:val="000000"/>
                <w:szCs w:val="21"/>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90E5470">
            <w:pPr>
              <w:adjustRightInd w:val="0"/>
              <w:snapToGrid w:val="0"/>
              <w:spacing w:line="24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证明材料：</w:t>
            </w:r>
          </w:p>
          <w:p w14:paraId="7D54881A">
            <w:pPr>
              <w:adjustRightInd w:val="0"/>
              <w:snapToGrid w:val="0"/>
              <w:spacing w:line="240" w:lineRule="auto"/>
              <w:ind w:firstLine="420" w:firstLineChars="200"/>
              <w:rPr>
                <w:rFonts w:eastAsia="仿宋_GB2312"/>
                <w:lang w:val="en-US" w:eastAsia="zh-CN"/>
              </w:rPr>
            </w:pPr>
            <w:r>
              <w:rPr>
                <w:rFonts w:hint="eastAsia" w:ascii="宋体" w:hAnsi="宋体" w:cs="宋体"/>
                <w:color w:val="000000"/>
                <w:szCs w:val="21"/>
                <w:highlight w:val="none"/>
              </w:rPr>
              <w:t>（投标人提供至少在开标前1日，通过“信用中国”、“中国政府采购网”、“深圳市政府采购监管网”以及市、区财政部门认定的其他渠道查询供应商信用信息截图。）</w:t>
            </w:r>
          </w:p>
        </w:tc>
        <w:tc>
          <w:tcPr>
            <w:tcW w:w="729" w:type="dxa"/>
            <w:vAlign w:val="center"/>
          </w:tcPr>
          <w:p w14:paraId="7FBAAF5E">
            <w:pPr>
              <w:adjustRightInd w:val="0"/>
              <w:snapToGrid w:val="0"/>
              <w:spacing w:line="240" w:lineRule="auto"/>
              <w:ind w:firstLine="0" w:firstLineChars="0"/>
              <w:jc w:val="center"/>
              <w:rPr>
                <w:rFonts w:ascii="宋体" w:hAnsi="宋体"/>
                <w:szCs w:val="21"/>
                <w:highlight w:val="none"/>
              </w:rPr>
            </w:pPr>
            <w:r>
              <w:rPr>
                <w:rFonts w:hint="eastAsia" w:ascii="宋体" w:hAnsi="宋体" w:cs="仿宋"/>
                <w:szCs w:val="21"/>
                <w:highlight w:val="none"/>
                <w:lang w:val="en-US" w:eastAsia="zh-CN"/>
              </w:rPr>
              <w:t>5</w:t>
            </w:r>
            <w:r>
              <w:rPr>
                <w:rFonts w:hint="eastAsia" w:ascii="宋体" w:hAnsi="宋体"/>
                <w:bCs/>
                <w:szCs w:val="21"/>
                <w:highlight w:val="none"/>
              </w:rPr>
              <w:t>分</w:t>
            </w:r>
          </w:p>
        </w:tc>
      </w:tr>
      <w:tr w14:paraId="6C26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33" w:type="dxa"/>
            <w:gridSpan w:val="3"/>
            <w:vAlign w:val="center"/>
          </w:tcPr>
          <w:p w14:paraId="6E3F2E20">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29" w:type="dxa"/>
            <w:vAlign w:val="center"/>
          </w:tcPr>
          <w:p w14:paraId="0DBD20F0">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25</w:t>
            </w:r>
            <w:r>
              <w:rPr>
                <w:rFonts w:hint="eastAsia" w:ascii="宋体" w:hAnsi="宋体"/>
                <w:bCs/>
                <w:szCs w:val="21"/>
                <w:highlight w:val="none"/>
              </w:rPr>
              <w:t>分</w:t>
            </w:r>
          </w:p>
        </w:tc>
      </w:tr>
    </w:tbl>
    <w:p w14:paraId="795B6603">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说明：</w:t>
      </w:r>
    </w:p>
    <w:p w14:paraId="5D17C76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、招标人需在评审子项与评审标准栏内列明评审的合格标准。</w:t>
      </w:r>
    </w:p>
    <w:p w14:paraId="1587EB80">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、本表供每位专家独立评审时使用。</w:t>
      </w:r>
    </w:p>
    <w:p w14:paraId="738A05E7">
      <w:pPr>
        <w:widowControl w:val="0"/>
        <w:autoSpaceDE w:val="0"/>
        <w:autoSpaceDN w:val="0"/>
        <w:adjustRightInd w:val="0"/>
        <w:snapToGrid w:val="0"/>
        <w:ind w:firstLine="0" w:firstLineChars="0"/>
        <w:jc w:val="left"/>
        <w:rPr>
          <w:rFonts w:ascii="宋体" w:hAnsi="宋体"/>
          <w:b/>
          <w:sz w:val="22"/>
          <w:highlight w:val="none"/>
        </w:rPr>
      </w:pPr>
      <w:r>
        <w:rPr>
          <w:rFonts w:ascii="宋体" w:hAnsi="宋体"/>
          <w:szCs w:val="21"/>
          <w:highlight w:val="none"/>
        </w:rPr>
        <w:t>3</w:t>
      </w:r>
      <w:r>
        <w:rPr>
          <w:rFonts w:hint="eastAsia" w:ascii="宋体" w:hAnsi="宋体"/>
          <w:szCs w:val="21"/>
          <w:highlight w:val="none"/>
        </w:rPr>
        <w:t>、专家根据招标人拟定的评审项目和评审标准出具符合要求或不符合要求的评审意见。不符合要求的必须注明原因。</w:t>
      </w:r>
      <w:r>
        <w:rPr>
          <w:rFonts w:ascii="宋体" w:hAnsi="宋体"/>
          <w:b/>
          <w:szCs w:val="21"/>
          <w:highlight w:val="none"/>
        </w:rPr>
        <w:br w:type="page"/>
      </w:r>
      <w:r>
        <w:rPr>
          <w:rFonts w:hint="eastAsia" w:ascii="宋体" w:hAnsi="宋体"/>
          <w:b/>
          <w:szCs w:val="21"/>
          <w:highlight w:val="none"/>
        </w:rPr>
        <w:t>附表2-1《技术标评审标准》</w:t>
      </w:r>
    </w:p>
    <w:tbl>
      <w:tblPr>
        <w:tblStyle w:val="5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52"/>
        <w:gridCol w:w="5819"/>
        <w:gridCol w:w="686"/>
      </w:tblGrid>
      <w:tr w14:paraId="3AF8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48" w:type="dxa"/>
            <w:shd w:val="clear" w:color="auto" w:fill="DBE5F1"/>
            <w:vAlign w:val="center"/>
          </w:tcPr>
          <w:p w14:paraId="7547985D">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52" w:type="dxa"/>
            <w:shd w:val="clear" w:color="auto" w:fill="DBE5F1"/>
            <w:vAlign w:val="center"/>
          </w:tcPr>
          <w:p w14:paraId="208AE459">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819" w:type="dxa"/>
            <w:shd w:val="clear" w:color="auto" w:fill="DBE5F1"/>
            <w:vAlign w:val="center"/>
          </w:tcPr>
          <w:p w14:paraId="3A27A668">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686" w:type="dxa"/>
            <w:shd w:val="clear" w:color="auto" w:fill="DBE5F1"/>
            <w:vAlign w:val="center"/>
          </w:tcPr>
          <w:p w14:paraId="548B443A">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00CA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3F677096">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1</w:t>
            </w:r>
          </w:p>
        </w:tc>
        <w:tc>
          <w:tcPr>
            <w:tcW w:w="1152" w:type="dxa"/>
            <w:vAlign w:val="center"/>
          </w:tcPr>
          <w:p w14:paraId="2C19D2FB">
            <w:pPr>
              <w:widowControl/>
              <w:autoSpaceDE/>
              <w:autoSpaceDN/>
              <w:adjustRightInd/>
              <w:snapToGrid/>
              <w:spacing w:line="240" w:lineRule="auto"/>
              <w:ind w:firstLine="0" w:firstLineChars="0"/>
              <w:jc w:val="center"/>
              <w:rPr>
                <w:rFonts w:ascii="宋体" w:hAnsi="宋体" w:eastAsia="宋体" w:cs="Times New Roman"/>
                <w:color w:val="auto"/>
                <w:sz w:val="21"/>
                <w:szCs w:val="21"/>
                <w:highlight w:val="none"/>
                <w:lang w:val="en-US" w:eastAsia="zh-CN"/>
              </w:rPr>
            </w:pPr>
            <w:r>
              <w:rPr>
                <w:rFonts w:hint="eastAsia" w:ascii="宋体" w:hAnsi="宋体"/>
                <w:color w:val="auto"/>
                <w:szCs w:val="21"/>
                <w:highlight w:val="none"/>
              </w:rPr>
              <w:t>实施方案</w:t>
            </w:r>
          </w:p>
        </w:tc>
        <w:tc>
          <w:tcPr>
            <w:tcW w:w="5819" w:type="dxa"/>
            <w:vAlign w:val="center"/>
          </w:tcPr>
          <w:p w14:paraId="0EEF4082">
            <w:pPr>
              <w:widowControl w:val="0"/>
              <w:autoSpaceDE/>
              <w:autoSpaceDN/>
              <w:adjustRightInd/>
              <w:snapToGrid/>
              <w:spacing w:line="360" w:lineRule="exact"/>
              <w:ind w:firstLine="422" w:firstLineChars="200"/>
              <w:jc w:val="left"/>
              <w:rPr>
                <w:rFonts w:hint="eastAsia" w:ascii="宋体" w:hAnsi="宋体" w:cs="宋体"/>
                <w:szCs w:val="21"/>
                <w:highlight w:val="none"/>
                <w:lang w:val="en-US" w:eastAsia="zh-CN"/>
              </w:rPr>
            </w:pPr>
            <w:r>
              <w:rPr>
                <w:rFonts w:hint="eastAsia" w:ascii="宋体" w:hAnsi="宋体" w:cs="宋体"/>
                <w:b/>
                <w:bCs/>
                <w:szCs w:val="21"/>
                <w:highlight w:val="none"/>
                <w:lang w:val="en-US" w:eastAsia="zh-CN"/>
              </w:rPr>
              <w:t>评分内容：</w:t>
            </w:r>
          </w:p>
          <w:p w14:paraId="52926E82">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根据投标人提供的实施方案进行评审，包括但不限于以下内容：</w:t>
            </w:r>
          </w:p>
          <w:p w14:paraId="740BA128">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（1）切实可行的项目实施计划、进度计划、人员及资源投入组成等内容；</w:t>
            </w:r>
          </w:p>
          <w:p w14:paraId="7A37AC32">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（2）应急预案及措施。</w:t>
            </w:r>
          </w:p>
          <w:p w14:paraId="356EC740">
            <w:pPr>
              <w:widowControl w:val="0"/>
              <w:autoSpaceDE/>
              <w:autoSpaceDN/>
              <w:adjustRightInd/>
              <w:snapToGrid/>
              <w:spacing w:line="360" w:lineRule="exact"/>
              <w:ind w:firstLine="422" w:firstLineChars="200"/>
              <w:jc w:val="left"/>
              <w:rPr>
                <w:rFonts w:hint="eastAsia" w:ascii="宋体" w:hAnsi="宋体" w:cs="宋体"/>
                <w:szCs w:val="21"/>
                <w:highlight w:val="none"/>
                <w:lang w:val="en-US" w:eastAsia="zh-CN"/>
              </w:rPr>
            </w:pPr>
            <w:r>
              <w:rPr>
                <w:rFonts w:hint="eastAsia" w:ascii="宋体" w:hAnsi="宋体" w:cs="宋体"/>
                <w:b/>
                <w:bCs/>
                <w:szCs w:val="21"/>
                <w:highlight w:val="none"/>
                <w:lang w:val="en-US" w:eastAsia="zh-CN"/>
              </w:rPr>
              <w:t>评分标准：</w:t>
            </w:r>
          </w:p>
          <w:p w14:paraId="06F7760B">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提供的方案满足以上二点得10分，满足任意一点得5分，未按要求提供或不提供的不得分。</w:t>
            </w:r>
          </w:p>
          <w:p w14:paraId="73D32EF1">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在此基础上，根据各投标人的具体响应内容按照量化的评审因素指标进一步评审：</w:t>
            </w:r>
          </w:p>
          <w:p w14:paraId="5241A6C4">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1.内容全面、科学性、合理性、针对性、可操作性强的评价为优，得8-10分；</w:t>
            </w:r>
          </w:p>
          <w:p w14:paraId="4000F0D4">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2.内容比较全面、科学性、合理性、针对性、可操作性比较强的评价为良，得5-7分；</w:t>
            </w:r>
          </w:p>
          <w:p w14:paraId="76C8E809">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3.内容一般、科学性、合理性、针对性、可操作性一般的评价为中，得1-4分；</w:t>
            </w:r>
          </w:p>
          <w:p w14:paraId="2DA822E9">
            <w:pPr>
              <w:widowControl w:val="0"/>
              <w:autoSpaceDE/>
              <w:autoSpaceDN/>
              <w:adjustRightInd/>
              <w:snapToGrid/>
              <w:spacing w:line="360" w:lineRule="exact"/>
              <w:ind w:firstLine="420" w:firstLineChars="200"/>
              <w:jc w:val="left"/>
              <w:rPr>
                <w:rFonts w:hint="eastAsia" w:ascii="宋体" w:hAnsi="宋体" w:cs="宋体"/>
                <w:color w:val="000000"/>
                <w:sz w:val="21"/>
                <w:szCs w:val="21"/>
                <w:highlight w:val="none"/>
              </w:rPr>
            </w:pPr>
            <w:r>
              <w:rPr>
                <w:rFonts w:hint="eastAsia" w:ascii="宋体" w:hAnsi="宋体" w:cs="宋体"/>
                <w:szCs w:val="21"/>
                <w:highlight w:val="none"/>
                <w:lang w:val="en-US" w:eastAsia="zh-CN"/>
              </w:rPr>
              <w:t>4.内容不全、科学性、合理性、针对性、可操作性较差或未提供的评价为差不得分。</w:t>
            </w:r>
          </w:p>
        </w:tc>
        <w:tc>
          <w:tcPr>
            <w:tcW w:w="686" w:type="dxa"/>
            <w:vAlign w:val="center"/>
          </w:tcPr>
          <w:p w14:paraId="3D25B8CC">
            <w:pPr>
              <w:adjustRightInd w:val="0"/>
              <w:snapToGrid w:val="0"/>
              <w:spacing w:line="240" w:lineRule="auto"/>
              <w:ind w:firstLine="0" w:firstLineChars="0"/>
              <w:jc w:val="center"/>
              <w:rPr>
                <w:rFonts w:hint="eastAsia" w:ascii="宋体" w:hAnsi="宋体" w:cs="仿宋"/>
                <w:kern w:val="0"/>
                <w:szCs w:val="21"/>
                <w:highlight w:val="none"/>
                <w:lang w:val="en-US" w:eastAsia="zh-CN"/>
              </w:rPr>
            </w:pPr>
            <w:r>
              <w:rPr>
                <w:rFonts w:hint="eastAsia" w:ascii="宋体" w:hAnsi="宋体" w:cs="仿宋"/>
                <w:kern w:val="0"/>
                <w:szCs w:val="21"/>
                <w:highlight w:val="none"/>
                <w:lang w:val="en-US" w:eastAsia="zh-CN"/>
              </w:rPr>
              <w:t>20分</w:t>
            </w:r>
          </w:p>
        </w:tc>
      </w:tr>
      <w:tr w14:paraId="2A03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1DB2231B">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2</w:t>
            </w:r>
          </w:p>
        </w:tc>
        <w:tc>
          <w:tcPr>
            <w:tcW w:w="1152" w:type="dxa"/>
            <w:vAlign w:val="center"/>
          </w:tcPr>
          <w:p w14:paraId="66F723AB">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项目重点难点分析、应对措施</w:t>
            </w:r>
          </w:p>
        </w:tc>
        <w:tc>
          <w:tcPr>
            <w:tcW w:w="5819" w:type="dxa"/>
            <w:vAlign w:val="center"/>
          </w:tcPr>
          <w:p w14:paraId="791123BF">
            <w:pPr>
              <w:widowControl w:val="0"/>
              <w:autoSpaceDE/>
              <w:autoSpaceDN/>
              <w:adjustRightInd/>
              <w:snapToGrid/>
              <w:spacing w:line="360" w:lineRule="exact"/>
              <w:ind w:firstLine="422" w:firstLineChars="200"/>
              <w:jc w:val="left"/>
              <w:rPr>
                <w:rFonts w:hint="eastAsia" w:ascii="宋体" w:hAnsi="宋体" w:cs="宋体"/>
                <w:color w:val="000000"/>
                <w:szCs w:val="21"/>
                <w:highlight w:val="none"/>
              </w:rPr>
            </w:pPr>
            <w:r>
              <w:rPr>
                <w:rFonts w:hint="eastAsia" w:ascii="宋体" w:hAnsi="宋体" w:cs="宋体"/>
                <w:b/>
                <w:bCs/>
                <w:color w:val="000000"/>
                <w:szCs w:val="21"/>
                <w:highlight w:val="none"/>
              </w:rPr>
              <w:t>评分内容：</w:t>
            </w:r>
          </w:p>
          <w:p w14:paraId="693E8D60">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根据投标人提供的项目重点难点分析、应对措施及相关的合理化建议进行评审，包括但不限于以下内容：</w:t>
            </w:r>
          </w:p>
          <w:p w14:paraId="6E7FE18F">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（1）项目重点难点分析及应对措施；</w:t>
            </w:r>
          </w:p>
          <w:p w14:paraId="7C426080">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（2）相关合理化建议。</w:t>
            </w:r>
          </w:p>
          <w:p w14:paraId="2908CA2A">
            <w:pPr>
              <w:widowControl w:val="0"/>
              <w:autoSpaceDE/>
              <w:autoSpaceDN/>
              <w:adjustRightInd/>
              <w:snapToGrid/>
              <w:spacing w:line="360" w:lineRule="exact"/>
              <w:ind w:firstLine="422"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评分标准：</w:t>
            </w:r>
          </w:p>
          <w:p w14:paraId="6346EB5E">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提供的方案满足以上二点得4分，满足任意一点得2分，未按要求提供或不提供的不得分。</w:t>
            </w:r>
          </w:p>
          <w:p w14:paraId="7DD85563">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在此基础上，根据各投标人的具体响应内容按照量化的评审因素指标进一步评审：</w:t>
            </w:r>
          </w:p>
          <w:p w14:paraId="4ED43732">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1.内容全面、科学性、合理性、针对性、可操作性强的评价为优，得6分；</w:t>
            </w:r>
          </w:p>
          <w:p w14:paraId="036EFEAD">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2.内容比较全面、科学性、合理性、针对性、可操作性比较强的评价为良，得4分；</w:t>
            </w:r>
          </w:p>
          <w:p w14:paraId="722435A8">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3.内容一般、科学性、合理性、针对性、可操作性一般的评价为中，得2分；</w:t>
            </w:r>
          </w:p>
          <w:p w14:paraId="2FE22505">
            <w:pPr>
              <w:widowControl w:val="0"/>
              <w:autoSpaceDE/>
              <w:autoSpaceDN/>
              <w:adjustRightInd/>
              <w:snapToGrid/>
              <w:spacing w:line="36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4.内容不全、科学性、合理性、针对性、可操作性较差或未提供的评价为差不得分。</w:t>
            </w:r>
          </w:p>
        </w:tc>
        <w:tc>
          <w:tcPr>
            <w:tcW w:w="686" w:type="dxa"/>
            <w:vAlign w:val="center"/>
          </w:tcPr>
          <w:p w14:paraId="7289C7F4">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72D3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6AA0D1F5">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3</w:t>
            </w:r>
          </w:p>
        </w:tc>
        <w:tc>
          <w:tcPr>
            <w:tcW w:w="1152" w:type="dxa"/>
            <w:vAlign w:val="center"/>
          </w:tcPr>
          <w:p w14:paraId="7507B541">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bCs/>
                <w:color w:val="auto"/>
                <w:szCs w:val="21"/>
                <w:highlight w:val="none"/>
              </w:rPr>
              <w:t>项目质量保障措施及售后服务</w:t>
            </w:r>
          </w:p>
        </w:tc>
        <w:tc>
          <w:tcPr>
            <w:tcW w:w="5819" w:type="dxa"/>
            <w:vAlign w:val="center"/>
          </w:tcPr>
          <w:p w14:paraId="774D3504">
            <w:pPr>
              <w:widowControl w:val="0"/>
              <w:autoSpaceDE/>
              <w:autoSpaceDN/>
              <w:adjustRightInd/>
              <w:snapToGrid/>
              <w:spacing w:line="360" w:lineRule="exact"/>
              <w:jc w:val="left"/>
              <w:rPr>
                <w:rFonts w:hint="eastAsia" w:ascii="宋体" w:hAnsi="宋体" w:cs="宋体"/>
                <w:b/>
                <w:bCs/>
                <w:color w:val="000000"/>
                <w:szCs w:val="21"/>
                <w:highlight w:val="none"/>
              </w:rPr>
            </w:pPr>
            <w:r>
              <w:rPr>
                <w:rFonts w:hint="eastAsia" w:ascii="宋体" w:hAnsi="宋体" w:cs="宋体"/>
                <w:b/>
                <w:bCs/>
                <w:color w:val="000000"/>
                <w:szCs w:val="21"/>
                <w:highlight w:val="none"/>
              </w:rPr>
              <w:t>评分内容：</w:t>
            </w:r>
          </w:p>
          <w:p w14:paraId="6E154CD4">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根据投标人提供的质量、安全保障措施及售后服务情况进行评审，包括但不限于以下内容：</w:t>
            </w:r>
          </w:p>
          <w:p w14:paraId="596F3AB8">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（1）项目完成质量、安全保障措施；</w:t>
            </w:r>
          </w:p>
          <w:p w14:paraId="0C39AA15">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（2）售后服务、响应时间等内容。</w:t>
            </w:r>
          </w:p>
          <w:p w14:paraId="564FC63A">
            <w:pPr>
              <w:widowControl w:val="0"/>
              <w:autoSpaceDE/>
              <w:autoSpaceDN/>
              <w:adjustRightInd/>
              <w:snapToGrid/>
              <w:spacing w:line="360" w:lineRule="exact"/>
              <w:jc w:val="left"/>
              <w:rPr>
                <w:rFonts w:hint="eastAsia" w:ascii="宋体" w:hAnsi="宋体" w:cs="宋体"/>
                <w:b/>
                <w:bCs/>
                <w:color w:val="000000"/>
                <w:szCs w:val="21"/>
                <w:highlight w:val="none"/>
              </w:rPr>
            </w:pPr>
            <w:r>
              <w:rPr>
                <w:rFonts w:hint="eastAsia" w:ascii="宋体" w:hAnsi="宋体" w:cs="宋体"/>
                <w:b/>
                <w:bCs/>
                <w:color w:val="000000"/>
                <w:szCs w:val="21"/>
                <w:highlight w:val="none"/>
              </w:rPr>
              <w:t>评分标准：</w:t>
            </w:r>
          </w:p>
          <w:p w14:paraId="1FAB4B04">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提供的方案满足以上二点得4分，满足任意一点得2分，未按要求提供或不提供的不得分。</w:t>
            </w:r>
          </w:p>
          <w:p w14:paraId="6B5E561C">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在此基础上，根据各投标人的具体响应内容按照量化的评审因素指标进一步评审：</w:t>
            </w:r>
          </w:p>
          <w:p w14:paraId="5E25026D">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1.内容全面、科学性、合理性、针对性、可操作性强的评价为优，得6分；</w:t>
            </w:r>
          </w:p>
          <w:p w14:paraId="5FB64EF1">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2.内容比较全面、科学性、合理性、针对性、可操作性比较强的评价为良，得4分；</w:t>
            </w:r>
          </w:p>
          <w:p w14:paraId="427AF9A1">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3.内容一般、科学性、合理性、针对性、可操作性一般的评价为中，得2分；</w:t>
            </w:r>
          </w:p>
          <w:p w14:paraId="475DFB43">
            <w:pPr>
              <w:widowControl w:val="0"/>
              <w:autoSpaceDE/>
              <w:autoSpaceDN/>
              <w:adjustRightInd/>
              <w:snapToGrid/>
              <w:spacing w:line="360" w:lineRule="exact"/>
              <w:jc w:val="left"/>
              <w:rPr>
                <w:rFonts w:hint="eastAsia" w:ascii="宋体" w:hAnsi="宋体" w:cs="宋体"/>
                <w:color w:val="000000"/>
                <w:szCs w:val="21"/>
                <w:highlight w:val="none"/>
              </w:rPr>
            </w:pPr>
            <w:r>
              <w:rPr>
                <w:rFonts w:hint="eastAsia" w:ascii="宋体" w:hAnsi="宋体" w:cs="宋体"/>
                <w:color w:val="000000"/>
                <w:szCs w:val="21"/>
                <w:highlight w:val="none"/>
              </w:rPr>
              <w:t xml:space="preserve">4.内容不全、科学性、合理性、针对性、可操作性较差或未提供的评价为差不得分。 </w:t>
            </w:r>
          </w:p>
        </w:tc>
        <w:tc>
          <w:tcPr>
            <w:tcW w:w="686" w:type="dxa"/>
            <w:vAlign w:val="center"/>
          </w:tcPr>
          <w:p w14:paraId="6864A46C">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45BE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48" w:type="dxa"/>
            <w:vAlign w:val="center"/>
          </w:tcPr>
          <w:p w14:paraId="5D667987">
            <w:pPr>
              <w:adjustRightInd w:val="0"/>
              <w:snapToGrid w:val="0"/>
              <w:spacing w:line="240" w:lineRule="auto"/>
              <w:ind w:firstLine="0" w:firstLineChars="0"/>
              <w:jc w:val="center"/>
              <w:rPr>
                <w:rFonts w:ascii="宋体" w:hAnsi="宋体"/>
                <w:szCs w:val="21"/>
                <w:highlight w:val="none"/>
                <w:lang w:val="en-US" w:eastAsia="zh-CN"/>
              </w:rPr>
            </w:pPr>
            <w:r>
              <w:rPr>
                <w:rFonts w:hint="eastAsia" w:ascii="宋体" w:hAnsi="宋体"/>
                <w:szCs w:val="21"/>
                <w:highlight w:val="none"/>
                <w:lang w:val="en-US" w:eastAsia="zh-CN"/>
              </w:rPr>
              <w:t>4</w:t>
            </w:r>
          </w:p>
        </w:tc>
        <w:tc>
          <w:tcPr>
            <w:tcW w:w="1152" w:type="dxa"/>
            <w:shd w:val="clear" w:color="auto" w:fill="auto"/>
            <w:vAlign w:val="center"/>
          </w:tcPr>
          <w:p w14:paraId="505E5550">
            <w:pPr>
              <w:keepNext w:val="0"/>
              <w:keepLines w:val="0"/>
              <w:pageBreakBefore w:val="0"/>
              <w:widowControl w:val="0"/>
              <w:kinsoku/>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Cs w:val="21"/>
              </w:rPr>
              <w:t>违约承诺</w:t>
            </w:r>
          </w:p>
        </w:tc>
        <w:tc>
          <w:tcPr>
            <w:tcW w:w="5819" w:type="dxa"/>
            <w:shd w:val="clear" w:color="auto" w:fill="auto"/>
          </w:tcPr>
          <w:p w14:paraId="608C384C">
            <w:pPr>
              <w:keepNext w:val="0"/>
              <w:keepLines w:val="0"/>
              <w:pageBreakBefore w:val="0"/>
              <w:kinsoku/>
              <w:overflowPunct/>
              <w:topLinePunct w:val="0"/>
              <w:bidi w:val="0"/>
              <w:adjustRightInd w:val="0"/>
              <w:snapToGrid w:val="0"/>
              <w:spacing w:line="240" w:lineRule="auto"/>
              <w:ind w:firstLine="422" w:firstLineChars="200"/>
              <w:textAlignment w:val="auto"/>
              <w:rPr>
                <w:rFonts w:hint="eastAsia" w:ascii="宋体" w:hAnsi="宋体" w:cs="宋体"/>
                <w:b/>
                <w:bCs/>
                <w:szCs w:val="21"/>
                <w:lang w:eastAsia="zh-CN"/>
              </w:rPr>
            </w:pPr>
            <w:r>
              <w:rPr>
                <w:rFonts w:hint="eastAsia" w:ascii="宋体" w:hAnsi="宋体" w:cs="宋体"/>
                <w:b/>
                <w:bCs/>
                <w:szCs w:val="21"/>
                <w:lang w:eastAsia="zh-CN"/>
              </w:rPr>
              <w:t>评分内容：</w:t>
            </w:r>
          </w:p>
          <w:p w14:paraId="33AA5970">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投标供应商承诺以下全部三项的得5分，否则不得分。</w:t>
            </w:r>
          </w:p>
          <w:p w14:paraId="493BF334">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1.人员严格按照招标文件及投标承诺配置；</w:t>
            </w:r>
          </w:p>
          <w:p w14:paraId="49792C4B">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2.服务质量达到招标文件要求；</w:t>
            </w:r>
          </w:p>
          <w:p w14:paraId="6C182CAC">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cs="宋体"/>
                <w:b w:val="0"/>
                <w:bCs w:val="0"/>
                <w:szCs w:val="21"/>
                <w:lang w:eastAsia="zh-CN"/>
              </w:rPr>
            </w:pPr>
            <w:r>
              <w:rPr>
                <w:rFonts w:hint="eastAsia" w:ascii="宋体" w:hAnsi="宋体" w:cs="宋体"/>
                <w:b w:val="0"/>
                <w:bCs w:val="0"/>
                <w:szCs w:val="21"/>
                <w:lang w:eastAsia="zh-CN"/>
              </w:rPr>
              <w:t>3.对未能达到的管理要求承担管理责任。</w:t>
            </w:r>
          </w:p>
          <w:p w14:paraId="42CFA136">
            <w:pPr>
              <w:keepNext w:val="0"/>
              <w:keepLines w:val="0"/>
              <w:pageBreakBefore w:val="0"/>
              <w:kinsoku/>
              <w:overflowPunct/>
              <w:topLinePunct w:val="0"/>
              <w:bidi w:val="0"/>
              <w:adjustRightInd w:val="0"/>
              <w:snapToGrid w:val="0"/>
              <w:spacing w:line="240" w:lineRule="auto"/>
              <w:ind w:firstLine="422" w:firstLineChars="200"/>
              <w:textAlignment w:val="auto"/>
              <w:rPr>
                <w:rFonts w:hint="eastAsia" w:ascii="宋体" w:hAnsi="宋体" w:cs="宋体"/>
                <w:b/>
                <w:bCs/>
                <w:szCs w:val="21"/>
                <w:lang w:eastAsia="zh-CN"/>
              </w:rPr>
            </w:pPr>
            <w:r>
              <w:rPr>
                <w:rFonts w:hint="eastAsia" w:ascii="宋体" w:hAnsi="宋体" w:cs="宋体"/>
                <w:b/>
                <w:bCs/>
                <w:szCs w:val="21"/>
                <w:lang w:eastAsia="zh-CN"/>
              </w:rPr>
              <w:t>评分依据：</w:t>
            </w:r>
          </w:p>
          <w:p w14:paraId="31F489D4">
            <w:pPr>
              <w:keepNext w:val="0"/>
              <w:keepLines w:val="0"/>
              <w:pageBreakBefore w:val="0"/>
              <w:kinsoku/>
              <w:overflowPunct/>
              <w:topLinePunct w:val="0"/>
              <w:bidi w:val="0"/>
              <w:adjustRightInd w:val="0"/>
              <w:snapToGrid w:val="0"/>
              <w:spacing w:line="24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cs="宋体"/>
                <w:b w:val="0"/>
                <w:bCs w:val="0"/>
                <w:szCs w:val="21"/>
                <w:lang w:eastAsia="zh-CN"/>
              </w:rPr>
              <w:t>要求提供承诺（格式自定）作为得分依据，未提供承诺或承诺内容不满足要求不得分。</w:t>
            </w:r>
          </w:p>
        </w:tc>
        <w:tc>
          <w:tcPr>
            <w:tcW w:w="686" w:type="dxa"/>
            <w:vAlign w:val="center"/>
          </w:tcPr>
          <w:p w14:paraId="4A14CB5E">
            <w:pPr>
              <w:adjustRightInd w:val="0"/>
              <w:snapToGrid w:val="0"/>
              <w:spacing w:line="240" w:lineRule="auto"/>
              <w:ind w:firstLine="0" w:firstLineChars="0"/>
              <w:jc w:val="center"/>
              <w:rPr>
                <w:rFonts w:ascii="宋体" w:hAnsi="宋体" w:cs="仿宋"/>
                <w:kern w:val="0"/>
                <w:szCs w:val="21"/>
                <w:highlight w:val="none"/>
                <w:lang w:val="en-US" w:eastAsia="zh-CN"/>
              </w:rPr>
            </w:pPr>
            <w:r>
              <w:rPr>
                <w:rFonts w:hint="eastAsia" w:ascii="宋体" w:hAnsi="宋体" w:cs="仿宋"/>
                <w:kern w:val="0"/>
                <w:szCs w:val="21"/>
                <w:highlight w:val="none"/>
                <w:lang w:val="en-US" w:eastAsia="zh-CN"/>
              </w:rPr>
              <w:t>5分</w:t>
            </w:r>
          </w:p>
        </w:tc>
      </w:tr>
      <w:tr w14:paraId="27A7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619" w:type="dxa"/>
            <w:gridSpan w:val="3"/>
            <w:vAlign w:val="center"/>
          </w:tcPr>
          <w:p w14:paraId="65AD382B">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686" w:type="dxa"/>
            <w:vAlign w:val="center"/>
          </w:tcPr>
          <w:p w14:paraId="40C5521A">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45</w:t>
            </w:r>
            <w:r>
              <w:rPr>
                <w:rFonts w:hint="eastAsia" w:ascii="宋体" w:hAnsi="宋体" w:cs="仿宋"/>
                <w:kern w:val="0"/>
                <w:szCs w:val="21"/>
                <w:highlight w:val="none"/>
              </w:rPr>
              <w:t>分</w:t>
            </w:r>
          </w:p>
        </w:tc>
      </w:tr>
    </w:tbl>
    <w:p w14:paraId="25CFA0AF">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65E473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1、本表评审依据要求的各项证明文件须编入投标文件。</w:t>
      </w:r>
    </w:p>
    <w:p w14:paraId="2C4E17C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p w14:paraId="083FE4C0">
      <w:pPr>
        <w:widowControl w:val="0"/>
        <w:autoSpaceDE w:val="0"/>
        <w:autoSpaceDN w:val="0"/>
        <w:adjustRightInd w:val="0"/>
        <w:snapToGrid w:val="0"/>
        <w:ind w:firstLine="0" w:firstLineChars="0"/>
        <w:jc w:val="left"/>
        <w:rPr>
          <w:rFonts w:ascii="宋体" w:hAnsi="宋体"/>
          <w:szCs w:val="21"/>
          <w:highlight w:val="none"/>
        </w:rPr>
      </w:pPr>
    </w:p>
    <w:p w14:paraId="26B9DFE4">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 w:val="22"/>
          <w:highlight w:val="none"/>
        </w:rPr>
        <w:t>附表3-1《价格标评审方法》</w:t>
      </w:r>
    </w:p>
    <w:p w14:paraId="4E8295E0">
      <w:pPr>
        <w:widowControl w:val="0"/>
        <w:autoSpaceDE w:val="0"/>
        <w:autoSpaceDN w:val="0"/>
        <w:adjustRightInd w:val="0"/>
        <w:snapToGrid w:val="0"/>
        <w:ind w:firstLine="0" w:firstLineChars="0"/>
        <w:jc w:val="center"/>
        <w:rPr>
          <w:rFonts w:ascii="宋体" w:hAnsi="宋体"/>
          <w:b/>
          <w:sz w:val="24"/>
          <w:highlight w:val="none"/>
        </w:rPr>
      </w:pPr>
      <w:r>
        <w:rPr>
          <w:rFonts w:hint="eastAsia" w:ascii="宋体" w:hAnsi="宋体"/>
          <w:b/>
          <w:sz w:val="24"/>
          <w:highlight w:val="none"/>
        </w:rPr>
        <w:t>价格标评审方法</w:t>
      </w:r>
    </w:p>
    <w:p w14:paraId="229C9A30">
      <w:pPr>
        <w:widowControl w:val="0"/>
        <w:numPr>
          <w:ilvl w:val="0"/>
          <w:numId w:val="6"/>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评标价格</w:t>
      </w:r>
    </w:p>
    <w:p w14:paraId="1C5873CD">
      <w:pPr>
        <w:widowControl w:val="0"/>
        <w:numPr>
          <w:ilvl w:val="1"/>
          <w:numId w:val="7"/>
        </w:numPr>
        <w:autoSpaceDE w:val="0"/>
        <w:autoSpaceDN w:val="0"/>
        <w:adjustRightInd w:val="0"/>
        <w:snapToGrid w:val="0"/>
        <w:ind w:left="0" w:firstLine="0" w:firstLineChars="0"/>
        <w:jc w:val="both"/>
        <w:rPr>
          <w:rFonts w:ascii="宋体" w:hAnsi="宋体"/>
          <w:b/>
          <w:szCs w:val="21"/>
          <w:highlight w:val="none"/>
        </w:rPr>
      </w:pPr>
      <w:r>
        <w:rPr>
          <w:rFonts w:hint="eastAsia" w:ascii="宋体" w:hAnsi="宋体"/>
          <w:highlight w:val="none"/>
        </w:rPr>
        <w:t>投标文件存在投标报价问题的，进行投标报价的算术修正，投标报价算术修正按有利于招标人的原则进行，具体修正原则为：</w:t>
      </w:r>
    </w:p>
    <w:p w14:paraId="711A7BA2">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若投标报价一览表中投标总价与投标文件中投标总价不一致，以投标报价一览表投标总价为准；</w:t>
      </w:r>
    </w:p>
    <w:p w14:paraId="1969FCA4">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当小写金额与大写金额有差异时，以大写金额为准（有明显错误的除外）；</w:t>
      </w:r>
    </w:p>
    <w:p w14:paraId="1B3404FB">
      <w:pPr>
        <w:widowControl w:val="0"/>
        <w:numPr>
          <w:ilvl w:val="2"/>
          <w:numId w:val="7"/>
        </w:numPr>
        <w:autoSpaceDE w:val="0"/>
        <w:autoSpaceDN w:val="0"/>
        <w:adjustRightInd w:val="0"/>
        <w:snapToGrid w:val="0"/>
        <w:ind w:left="0" w:firstLine="0" w:firstLineChars="0"/>
        <w:jc w:val="both"/>
        <w:rPr>
          <w:rFonts w:ascii="宋体" w:hAnsi="宋体"/>
          <w:highlight w:val="none"/>
        </w:rPr>
      </w:pPr>
      <w:r>
        <w:rPr>
          <w:rFonts w:hint="eastAsia" w:ascii="宋体" w:hAnsi="宋体"/>
          <w:highlight w:val="none"/>
        </w:rPr>
        <w:t>单价金额小数点有明显错位的，应以总价为准，并修改单价；</w:t>
      </w:r>
    </w:p>
    <w:p w14:paraId="6A510FB4">
      <w:pPr>
        <w:widowControl w:val="0"/>
        <w:numPr>
          <w:ilvl w:val="2"/>
          <w:numId w:val="7"/>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5097043C">
      <w:pPr>
        <w:widowControl w:val="0"/>
        <w:numPr>
          <w:ilvl w:val="1"/>
          <w:numId w:val="7"/>
        </w:numPr>
        <w:autoSpaceDE w:val="0"/>
        <w:autoSpaceDN w:val="0"/>
        <w:adjustRightInd w:val="0"/>
        <w:snapToGrid w:val="0"/>
        <w:ind w:left="0" w:firstLine="0" w:firstLineChars="0"/>
        <w:jc w:val="both"/>
        <w:rPr>
          <w:rFonts w:ascii="宋体" w:hAnsi="宋体"/>
          <w:szCs w:val="21"/>
          <w:highlight w:val="none"/>
        </w:rPr>
      </w:pPr>
      <w:r>
        <w:rPr>
          <w:rFonts w:hint="eastAsia" w:ascii="宋体" w:hAnsi="宋体"/>
          <w:szCs w:val="21"/>
          <w:highlight w:val="none"/>
        </w:rPr>
        <w:t>合同金额以经修正后的投标报价为准，缺漏项部分由投标人自行承担。</w:t>
      </w:r>
    </w:p>
    <w:p w14:paraId="5C1A100E">
      <w:pPr>
        <w:widowControl w:val="0"/>
        <w:autoSpaceDE w:val="0"/>
        <w:autoSpaceDN w:val="0"/>
        <w:adjustRightInd w:val="0"/>
        <w:snapToGrid w:val="0"/>
        <w:ind w:firstLine="0" w:firstLineChars="0"/>
        <w:jc w:val="left"/>
        <w:rPr>
          <w:rFonts w:ascii="宋体" w:hAnsi="宋体"/>
          <w:szCs w:val="21"/>
          <w:highlight w:val="none"/>
        </w:rPr>
      </w:pPr>
    </w:p>
    <w:p w14:paraId="4699D17F">
      <w:pPr>
        <w:widowControl w:val="0"/>
        <w:numPr>
          <w:ilvl w:val="0"/>
          <w:numId w:val="7"/>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价格标评分的计算：</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134"/>
        <w:gridCol w:w="1559"/>
        <w:gridCol w:w="4877"/>
      </w:tblGrid>
      <w:tr w14:paraId="53DEF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restart"/>
            <w:vAlign w:val="center"/>
          </w:tcPr>
          <w:p w14:paraId="6BBFEBE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w:t>
            </w:r>
            <w:r>
              <w:rPr>
                <w:rFonts w:ascii="宋体" w:hAnsi="宋体"/>
                <w:b/>
                <w:szCs w:val="21"/>
                <w:highlight w:val="none"/>
              </w:rPr>
              <w:t>报价得分</w:t>
            </w:r>
          </w:p>
        </w:tc>
        <w:tc>
          <w:tcPr>
            <w:tcW w:w="7570" w:type="dxa"/>
            <w:gridSpan w:val="3"/>
            <w:vAlign w:val="center"/>
          </w:tcPr>
          <w:p w14:paraId="712C292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r>
              <w:rPr>
                <w:rFonts w:ascii="宋体" w:hAnsi="宋体"/>
                <w:b/>
                <w:szCs w:val="21"/>
                <w:highlight w:val="none"/>
              </w:rPr>
              <w:t>和算法类型选择</w:t>
            </w:r>
          </w:p>
        </w:tc>
      </w:tr>
      <w:tr w14:paraId="1D61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4E04BE4B"/>
        </w:tc>
        <w:tc>
          <w:tcPr>
            <w:tcW w:w="1134" w:type="dxa"/>
            <w:vMerge w:val="restart"/>
            <w:vAlign w:val="center"/>
          </w:tcPr>
          <w:p w14:paraId="629E172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p>
        </w:tc>
        <w:tc>
          <w:tcPr>
            <w:tcW w:w="6436" w:type="dxa"/>
            <w:gridSpan w:val="2"/>
            <w:vAlign w:val="center"/>
          </w:tcPr>
          <w:p w14:paraId="5EF26174">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各有效</w:t>
            </w:r>
            <w:r>
              <w:rPr>
                <w:rFonts w:ascii="宋体" w:hAnsi="宋体"/>
                <w:szCs w:val="21"/>
                <w:highlight w:val="none"/>
              </w:rPr>
              <w:t>投</w:t>
            </w:r>
            <w:r>
              <w:rPr>
                <w:rFonts w:hint="eastAsia" w:ascii="宋体" w:hAnsi="宋体"/>
                <w:szCs w:val="21"/>
                <w:highlight w:val="none"/>
              </w:rPr>
              <w:t>标报价大于n家时，去掉一个最高和最低报价后的算术平均值乘以</w:t>
            </w:r>
            <w:r>
              <w:rPr>
                <w:rFonts w:ascii="宋体" w:hAnsi="宋体"/>
                <w:szCs w:val="21"/>
                <w:highlight w:val="none"/>
                <w:u w:val="single"/>
              </w:rPr>
              <w:t xml:space="preserve">    </w:t>
            </w:r>
            <w:r>
              <w:rPr>
                <w:rFonts w:hint="eastAsia" w:ascii="宋体" w:hAnsi="宋体"/>
                <w:szCs w:val="21"/>
                <w:highlight w:val="none"/>
              </w:rPr>
              <w:t>％</w:t>
            </w:r>
          </w:p>
          <w:p w14:paraId="013A583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当有效投标报价少于n（含）家时，则以所有有效投标报价的算术平均值乘以</w:t>
            </w:r>
            <w:r>
              <w:rPr>
                <w:rFonts w:ascii="宋体" w:hAnsi="宋体"/>
                <w:szCs w:val="21"/>
                <w:highlight w:val="none"/>
                <w:u w:val="single"/>
              </w:rPr>
              <w:t xml:space="preserve">    </w:t>
            </w:r>
            <w:r>
              <w:rPr>
                <w:rFonts w:hint="eastAsia" w:ascii="宋体" w:hAnsi="宋体"/>
                <w:szCs w:val="21"/>
                <w:highlight w:val="none"/>
              </w:rPr>
              <w:t>％。n=</w:t>
            </w:r>
            <w:r>
              <w:rPr>
                <w:rFonts w:ascii="宋体" w:hAnsi="宋体"/>
                <w:szCs w:val="21"/>
                <w:highlight w:val="none"/>
                <w:u w:val="single"/>
              </w:rPr>
              <w:t xml:space="preserve">    </w:t>
            </w:r>
          </w:p>
        </w:tc>
      </w:tr>
      <w:tr w14:paraId="5BE26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247D1357"/>
        </w:tc>
        <w:tc>
          <w:tcPr>
            <w:tcW w:w="1134" w:type="dxa"/>
            <w:vMerge w:val="continue"/>
            <w:vAlign w:val="center"/>
          </w:tcPr>
          <w:p w14:paraId="730A1CD0"/>
        </w:tc>
        <w:tc>
          <w:tcPr>
            <w:tcW w:w="6436" w:type="dxa"/>
            <w:gridSpan w:val="2"/>
            <w:vAlign w:val="center"/>
          </w:tcPr>
          <w:p w14:paraId="36083DD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取有效投标报价算术平均值，并对算</w:t>
            </w:r>
            <w:r>
              <w:rPr>
                <w:rFonts w:hint="eastAsia" w:ascii="宋体" w:hAnsi="宋体"/>
                <w:szCs w:val="21"/>
                <w:highlight w:val="none"/>
                <w:lang w:val="en-US" w:eastAsia="zh-CN"/>
              </w:rPr>
              <w:t>术</w:t>
            </w:r>
            <w:r>
              <w:rPr>
                <w:rFonts w:hint="eastAsia" w:ascii="宋体" w:hAnsi="宋体"/>
                <w:szCs w:val="21"/>
                <w:highlight w:val="none"/>
              </w:rPr>
              <w:t>平均值下浮0％</w:t>
            </w:r>
          </w:p>
        </w:tc>
      </w:tr>
      <w:tr w14:paraId="3C785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4865BFE"/>
        </w:tc>
        <w:tc>
          <w:tcPr>
            <w:tcW w:w="1134" w:type="dxa"/>
            <w:vMerge w:val="continue"/>
            <w:vAlign w:val="center"/>
          </w:tcPr>
          <w:p w14:paraId="65BF0B31"/>
        </w:tc>
        <w:tc>
          <w:tcPr>
            <w:tcW w:w="6436" w:type="dxa"/>
            <w:gridSpan w:val="2"/>
            <w:vAlign w:val="center"/>
          </w:tcPr>
          <w:p w14:paraId="1A29D7C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有效投标报价的最低价为基价</w:t>
            </w:r>
          </w:p>
        </w:tc>
      </w:tr>
      <w:tr w14:paraId="4FE44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62B5D01C"/>
        </w:tc>
        <w:tc>
          <w:tcPr>
            <w:tcW w:w="1134" w:type="dxa"/>
            <w:vMerge w:val="restart"/>
            <w:vAlign w:val="center"/>
          </w:tcPr>
          <w:p w14:paraId="5183242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算</w:t>
            </w:r>
            <w:r>
              <w:rPr>
                <w:rFonts w:ascii="宋体" w:hAnsi="宋体"/>
                <w:b/>
                <w:szCs w:val="21"/>
                <w:highlight w:val="none"/>
              </w:rPr>
              <w:t>法类型</w:t>
            </w:r>
          </w:p>
        </w:tc>
        <w:tc>
          <w:tcPr>
            <w:tcW w:w="1559" w:type="dxa"/>
            <w:vAlign w:val="center"/>
          </w:tcPr>
          <w:p w14:paraId="53B521C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w:t>
            </w:r>
            <w:r>
              <w:rPr>
                <w:rFonts w:ascii="宋体" w:hAnsi="宋体"/>
                <w:szCs w:val="21"/>
                <w:highlight w:val="none"/>
              </w:rPr>
              <w:t>比例</w:t>
            </w:r>
            <w:r>
              <w:rPr>
                <w:rFonts w:hint="eastAsia" w:ascii="宋体" w:hAnsi="宋体"/>
                <w:szCs w:val="21"/>
                <w:highlight w:val="none"/>
              </w:rPr>
              <w:t>法</w:t>
            </w:r>
          </w:p>
        </w:tc>
        <w:tc>
          <w:tcPr>
            <w:tcW w:w="4877" w:type="dxa"/>
            <w:vAlign w:val="center"/>
          </w:tcPr>
          <w:p w14:paraId="1DA65CEE">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价得分=M-[（｜投标价格-基准价｜/基准价）*100/</w:t>
            </w:r>
            <w:r>
              <w:rPr>
                <w:rFonts w:ascii="宋体" w:hAnsi="宋体"/>
                <w:szCs w:val="21"/>
                <w:highlight w:val="none"/>
              </w:rPr>
              <w:t>N]*</w:t>
            </w:r>
            <w:r>
              <w:rPr>
                <w:rFonts w:hint="eastAsia" w:ascii="宋体" w:hAnsi="宋体"/>
                <w:szCs w:val="21"/>
                <w:highlight w:val="none"/>
              </w:rPr>
              <w:t>扣分值</w:t>
            </w:r>
          </w:p>
          <w:p w14:paraId="6F5735B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rPr>
              <w:t>（价格评价分项满分值），N=</w:t>
            </w:r>
            <w:r>
              <w:rPr>
                <w:rFonts w:ascii="宋体" w:hAnsi="宋体"/>
                <w:szCs w:val="21"/>
                <w:highlight w:val="none"/>
                <w:u w:val="single"/>
              </w:rPr>
              <w:t xml:space="preserve">    </w:t>
            </w:r>
            <w:r>
              <w:rPr>
                <w:rFonts w:hint="eastAsia" w:ascii="宋体" w:hAnsi="宋体"/>
                <w:szCs w:val="21"/>
                <w:highlight w:val="none"/>
              </w:rPr>
              <w:t>，投标价格每高于N％时，扣</w:t>
            </w:r>
            <w:r>
              <w:rPr>
                <w:rFonts w:ascii="宋体" w:hAnsi="宋体"/>
                <w:szCs w:val="21"/>
                <w:highlight w:val="none"/>
                <w:u w:val="single"/>
              </w:rPr>
              <w:t xml:space="preserve">    </w:t>
            </w:r>
            <w:r>
              <w:rPr>
                <w:rFonts w:hint="eastAsia" w:ascii="宋体" w:hAnsi="宋体"/>
                <w:szCs w:val="21"/>
                <w:highlight w:val="none"/>
              </w:rPr>
              <w:t>分；每低于N％时，扣</w:t>
            </w:r>
            <w:r>
              <w:rPr>
                <w:rFonts w:ascii="宋体" w:hAnsi="宋体"/>
                <w:szCs w:val="21"/>
                <w:highlight w:val="none"/>
                <w:u w:val="single"/>
              </w:rPr>
              <w:t xml:space="preserve">    </w:t>
            </w:r>
            <w:r>
              <w:rPr>
                <w:rFonts w:hint="eastAsia" w:ascii="宋体" w:hAnsi="宋体"/>
                <w:szCs w:val="21"/>
                <w:highlight w:val="none"/>
              </w:rPr>
              <w:t>分；</w:t>
            </w:r>
          </w:p>
          <w:p w14:paraId="1E97B09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最低得0分。</w:t>
            </w:r>
          </w:p>
        </w:tc>
      </w:tr>
      <w:tr w14:paraId="5A03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38EEE9EE"/>
        </w:tc>
        <w:tc>
          <w:tcPr>
            <w:tcW w:w="1134" w:type="dxa"/>
            <w:vMerge w:val="continue"/>
            <w:vAlign w:val="center"/>
          </w:tcPr>
          <w:p w14:paraId="3681F06A"/>
        </w:tc>
        <w:tc>
          <w:tcPr>
            <w:tcW w:w="1559" w:type="dxa"/>
            <w:vAlign w:val="center"/>
          </w:tcPr>
          <w:p w14:paraId="51C0B3E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☑固定乘积法</w:t>
            </w:r>
          </w:p>
        </w:tc>
        <w:tc>
          <w:tcPr>
            <w:tcW w:w="4877" w:type="dxa"/>
            <w:vAlign w:val="center"/>
          </w:tcPr>
          <w:p w14:paraId="5C2323F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价格得分=（1-</w:t>
            </w:r>
            <w:r>
              <w:rPr>
                <w:rFonts w:ascii="宋体" w:hAnsi="宋体"/>
                <w:szCs w:val="21"/>
                <w:highlight w:val="none"/>
              </w:rPr>
              <w:t>A</w:t>
            </w:r>
            <w:r>
              <w:rPr>
                <w:rFonts w:hint="eastAsia" w:ascii="宋体" w:hAnsi="宋体"/>
                <w:szCs w:val="21"/>
                <w:highlight w:val="none"/>
              </w:rPr>
              <w:t>×｜1-投标报价/Z｜）×M</w:t>
            </w:r>
          </w:p>
          <w:p w14:paraId="26FA78A2">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1</w:t>
            </w: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u w:val="single"/>
                <w:lang w:val="en-US" w:eastAsia="zh-CN"/>
              </w:rPr>
              <w:t>30</w:t>
            </w:r>
            <w:r>
              <w:rPr>
                <w:rFonts w:ascii="宋体" w:hAnsi="宋体"/>
                <w:szCs w:val="21"/>
                <w:highlight w:val="none"/>
                <w:u w:val="single"/>
              </w:rPr>
              <w:t xml:space="preserve"> </w:t>
            </w:r>
            <w:r>
              <w:rPr>
                <w:rFonts w:hint="eastAsia" w:ascii="宋体" w:hAnsi="宋体"/>
                <w:szCs w:val="21"/>
                <w:highlight w:val="none"/>
              </w:rPr>
              <w:t>（价格评价分项满分值），Z为本次招标最佳报价（即基准价）；</w:t>
            </w:r>
          </w:p>
          <w:p w14:paraId="3B4D3858">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2、A为价格调整系数，当投标报价低于本次招标最佳报价（即基准价）时，A=</w:t>
            </w:r>
            <w:r>
              <w:rPr>
                <w:rFonts w:ascii="宋体" w:hAnsi="宋体"/>
                <w:szCs w:val="21"/>
                <w:highlight w:val="none"/>
                <w:u w:val="single"/>
              </w:rPr>
              <w:t xml:space="preserve">  </w:t>
            </w:r>
            <w:r>
              <w:rPr>
                <w:rFonts w:hint="eastAsia" w:ascii="宋体" w:hAnsi="宋体"/>
                <w:szCs w:val="21"/>
                <w:highlight w:val="none"/>
                <w:u w:val="single"/>
                <w:lang w:val="en-US" w:eastAsia="zh-CN"/>
              </w:rPr>
              <w:t>/</w:t>
            </w:r>
            <w:r>
              <w:rPr>
                <w:rFonts w:ascii="宋体" w:hAnsi="宋体"/>
                <w:szCs w:val="21"/>
                <w:highlight w:val="none"/>
                <w:u w:val="single"/>
              </w:rPr>
              <w:t xml:space="preserve"> </w:t>
            </w:r>
            <w:r>
              <w:rPr>
                <w:rFonts w:hint="eastAsia" w:ascii="宋体" w:hAnsi="宋体"/>
                <w:szCs w:val="21"/>
                <w:highlight w:val="none"/>
              </w:rPr>
              <w:t>；当</w:t>
            </w:r>
            <w:r>
              <w:rPr>
                <w:rFonts w:ascii="宋体" w:hAnsi="宋体"/>
                <w:szCs w:val="21"/>
                <w:highlight w:val="none"/>
              </w:rPr>
              <w:t>投标报价</w:t>
            </w:r>
            <w:r>
              <w:rPr>
                <w:rFonts w:hint="eastAsia" w:ascii="宋体" w:hAnsi="宋体"/>
                <w:szCs w:val="21"/>
                <w:highlight w:val="none"/>
              </w:rPr>
              <w:t>高于次招标最佳报价时，取A=</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1</w:t>
            </w:r>
            <w:r>
              <w:rPr>
                <w:rFonts w:ascii="宋体" w:hAnsi="宋体"/>
                <w:szCs w:val="21"/>
                <w:highlight w:val="none"/>
                <w:u w:val="single"/>
              </w:rPr>
              <w:t xml:space="preserve">  </w:t>
            </w:r>
            <w:r>
              <w:rPr>
                <w:rFonts w:hint="eastAsia" w:ascii="宋体" w:hAnsi="宋体"/>
                <w:szCs w:val="21"/>
                <w:highlight w:val="none"/>
              </w:rPr>
              <w:t>；</w:t>
            </w:r>
          </w:p>
          <w:p w14:paraId="5788E78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3、计算分数时四舍五入取小数点后两位，当价格分＜0时，取0。</w:t>
            </w:r>
          </w:p>
        </w:tc>
      </w:tr>
      <w:tr w14:paraId="34EA0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79280729"/>
        </w:tc>
        <w:tc>
          <w:tcPr>
            <w:tcW w:w="1134" w:type="dxa"/>
            <w:vMerge w:val="continue"/>
            <w:vAlign w:val="center"/>
          </w:tcPr>
          <w:p w14:paraId="6187FB38"/>
        </w:tc>
        <w:tc>
          <w:tcPr>
            <w:tcW w:w="1559" w:type="dxa"/>
            <w:vAlign w:val="center"/>
          </w:tcPr>
          <w:p w14:paraId="5116FD60">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□其他</w:t>
            </w:r>
            <w:r>
              <w:rPr>
                <w:rFonts w:ascii="宋体" w:hAnsi="宋体"/>
                <w:szCs w:val="21"/>
                <w:highlight w:val="none"/>
              </w:rPr>
              <w:t>方法</w:t>
            </w:r>
          </w:p>
        </w:tc>
        <w:tc>
          <w:tcPr>
            <w:tcW w:w="4877" w:type="dxa"/>
            <w:vAlign w:val="center"/>
          </w:tcPr>
          <w:p w14:paraId="59C36E60">
            <w:pPr>
              <w:widowControl w:val="0"/>
              <w:autoSpaceDE w:val="0"/>
              <w:autoSpaceDN w:val="0"/>
              <w:adjustRightInd w:val="0"/>
              <w:snapToGrid w:val="0"/>
              <w:ind w:firstLine="0" w:firstLineChars="0"/>
              <w:rPr>
                <w:rFonts w:ascii="宋体" w:hAnsi="宋体"/>
                <w:szCs w:val="21"/>
                <w:highlight w:val="none"/>
              </w:rPr>
            </w:pPr>
          </w:p>
        </w:tc>
      </w:tr>
      <w:tr w14:paraId="3C9D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4"/>
            <w:vAlign w:val="center"/>
          </w:tcPr>
          <w:p w14:paraId="780DC22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注：未通过初步评审的投标人的价格得分计算：未通过初步评审的投标人，不计算价格得分。</w:t>
            </w:r>
          </w:p>
        </w:tc>
      </w:tr>
    </w:tbl>
    <w:p w14:paraId="4772FBD8">
      <w:pPr>
        <w:widowControl w:val="0"/>
        <w:autoSpaceDE w:val="0"/>
        <w:autoSpaceDN w:val="0"/>
        <w:adjustRightInd w:val="0"/>
        <w:snapToGrid w:val="0"/>
        <w:ind w:firstLine="0" w:firstLineChars="0"/>
        <w:jc w:val="left"/>
        <w:rPr>
          <w:rFonts w:ascii="宋体" w:hAnsi="宋体"/>
          <w:highlight w:val="none"/>
        </w:rPr>
      </w:pPr>
    </w:p>
    <w:p w14:paraId="73B7F1F6">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p>
    <w:p w14:paraId="25A59B3A">
      <w:pPr>
        <w:pStyle w:val="22"/>
        <w:rPr>
          <w:highlight w:val="none"/>
        </w:rPr>
      </w:pPr>
    </w:p>
    <w:p w14:paraId="69BD3FF3">
      <w:pPr>
        <w:adjustRightInd w:val="0"/>
        <w:snapToGrid w:val="0"/>
        <w:ind w:firstLine="0" w:firstLineChars="0"/>
        <w:rPr>
          <w:rFonts w:ascii="宋体" w:hAnsi="宋体"/>
          <w:b/>
          <w:bCs/>
          <w:sz w:val="22"/>
          <w:highlight w:val="none"/>
        </w:rPr>
      </w:pPr>
      <w:r>
        <w:rPr>
          <w:rFonts w:hint="eastAsia" w:ascii="宋体" w:hAnsi="宋体"/>
          <w:b/>
          <w:bCs/>
          <w:sz w:val="22"/>
          <w:highlight w:val="none"/>
        </w:rPr>
        <w:t>附表4-1 《商务标、技术标、价格标分值表和综合得分汇总》</w:t>
      </w:r>
    </w:p>
    <w:tbl>
      <w:tblPr>
        <w:tblStyle w:val="5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01A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BE5F1"/>
            <w:vAlign w:val="center"/>
          </w:tcPr>
          <w:p w14:paraId="01003D28">
            <w:pPr>
              <w:adjustRightInd w:val="0"/>
              <w:snapToGrid w:val="0"/>
              <w:ind w:firstLine="0" w:firstLineChars="0"/>
              <w:jc w:val="center"/>
              <w:rPr>
                <w:rFonts w:ascii="宋体" w:hAnsi="宋体"/>
                <w:b/>
                <w:highlight w:val="none"/>
              </w:rPr>
            </w:pPr>
            <w:r>
              <w:rPr>
                <w:rFonts w:hint="eastAsia" w:ascii="宋体" w:hAnsi="宋体"/>
                <w:b/>
                <w:highlight w:val="none"/>
              </w:rPr>
              <w:t>名称</w:t>
            </w:r>
          </w:p>
        </w:tc>
        <w:tc>
          <w:tcPr>
            <w:tcW w:w="2158" w:type="dxa"/>
            <w:shd w:val="clear" w:color="auto" w:fill="DBE5F1"/>
            <w:vAlign w:val="center"/>
          </w:tcPr>
          <w:p w14:paraId="065BFBB2">
            <w:pPr>
              <w:adjustRightInd w:val="0"/>
              <w:snapToGrid w:val="0"/>
              <w:ind w:firstLine="0" w:firstLineChars="0"/>
              <w:jc w:val="center"/>
              <w:rPr>
                <w:rFonts w:ascii="宋体" w:hAnsi="宋体"/>
                <w:b/>
                <w:highlight w:val="none"/>
              </w:rPr>
            </w:pPr>
            <w:r>
              <w:rPr>
                <w:rFonts w:hint="eastAsia" w:ascii="宋体" w:hAnsi="宋体"/>
                <w:b/>
                <w:highlight w:val="none"/>
              </w:rPr>
              <w:t>商务标</w:t>
            </w:r>
          </w:p>
        </w:tc>
        <w:tc>
          <w:tcPr>
            <w:tcW w:w="2159" w:type="dxa"/>
            <w:shd w:val="clear" w:color="auto" w:fill="DBE5F1"/>
            <w:vAlign w:val="center"/>
          </w:tcPr>
          <w:p w14:paraId="36E76B26">
            <w:pPr>
              <w:adjustRightInd w:val="0"/>
              <w:snapToGrid w:val="0"/>
              <w:ind w:firstLine="0" w:firstLineChars="0"/>
              <w:jc w:val="center"/>
              <w:rPr>
                <w:rFonts w:ascii="宋体" w:hAnsi="宋体"/>
                <w:b/>
                <w:highlight w:val="none"/>
              </w:rPr>
            </w:pPr>
            <w:r>
              <w:rPr>
                <w:rFonts w:hint="eastAsia" w:ascii="宋体" w:hAnsi="宋体"/>
                <w:b/>
                <w:highlight w:val="none"/>
              </w:rPr>
              <w:t>技术标</w:t>
            </w:r>
          </w:p>
        </w:tc>
        <w:tc>
          <w:tcPr>
            <w:tcW w:w="2159" w:type="dxa"/>
            <w:shd w:val="clear" w:color="auto" w:fill="DBE5F1"/>
            <w:vAlign w:val="center"/>
          </w:tcPr>
          <w:p w14:paraId="33E5BB98">
            <w:pPr>
              <w:adjustRightInd w:val="0"/>
              <w:snapToGrid w:val="0"/>
              <w:ind w:firstLine="0" w:firstLineChars="0"/>
              <w:jc w:val="center"/>
              <w:rPr>
                <w:rFonts w:ascii="宋体" w:hAnsi="宋体"/>
                <w:b/>
                <w:highlight w:val="none"/>
              </w:rPr>
            </w:pPr>
            <w:r>
              <w:rPr>
                <w:rFonts w:hint="eastAsia" w:ascii="宋体" w:hAnsi="宋体"/>
                <w:b/>
                <w:highlight w:val="none"/>
              </w:rPr>
              <w:t>价格标</w:t>
            </w:r>
          </w:p>
        </w:tc>
      </w:tr>
      <w:tr w14:paraId="35B0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3E49BA80">
            <w:pPr>
              <w:adjustRightInd w:val="0"/>
              <w:snapToGrid w:val="0"/>
              <w:ind w:firstLine="0" w:firstLineChars="0"/>
              <w:jc w:val="center"/>
              <w:rPr>
                <w:rFonts w:ascii="宋体" w:hAnsi="宋体"/>
                <w:highlight w:val="none"/>
              </w:rPr>
            </w:pPr>
            <w:r>
              <w:rPr>
                <w:rFonts w:hint="eastAsia" w:ascii="宋体" w:hAnsi="宋体"/>
                <w:highlight w:val="none"/>
              </w:rPr>
              <w:t>分值</w:t>
            </w:r>
          </w:p>
        </w:tc>
        <w:tc>
          <w:tcPr>
            <w:tcW w:w="2158" w:type="dxa"/>
            <w:vAlign w:val="center"/>
          </w:tcPr>
          <w:p w14:paraId="1DFDF257">
            <w:pPr>
              <w:adjustRightInd w:val="0"/>
              <w:snapToGrid w:val="0"/>
              <w:ind w:firstLine="0" w:firstLineChars="0"/>
              <w:jc w:val="center"/>
              <w:rPr>
                <w:rFonts w:ascii="宋体" w:hAnsi="宋体"/>
                <w:highlight w:val="none"/>
              </w:rPr>
            </w:pPr>
            <w:r>
              <w:rPr>
                <w:rFonts w:hint="eastAsia" w:ascii="宋体" w:hAnsi="宋体"/>
                <w:highlight w:val="none"/>
                <w:lang w:val="en-US" w:eastAsia="zh-CN"/>
              </w:rPr>
              <w:t>25</w:t>
            </w:r>
            <w:r>
              <w:rPr>
                <w:rFonts w:hint="eastAsia" w:ascii="宋体" w:hAnsi="宋体"/>
                <w:highlight w:val="none"/>
              </w:rPr>
              <w:t>分</w:t>
            </w:r>
          </w:p>
        </w:tc>
        <w:tc>
          <w:tcPr>
            <w:tcW w:w="2159" w:type="dxa"/>
            <w:vAlign w:val="center"/>
          </w:tcPr>
          <w:p w14:paraId="224A99E6">
            <w:pPr>
              <w:adjustRightInd w:val="0"/>
              <w:snapToGrid w:val="0"/>
              <w:ind w:firstLine="0" w:firstLineChars="0"/>
              <w:jc w:val="center"/>
              <w:rPr>
                <w:rFonts w:ascii="宋体" w:hAnsi="宋体"/>
                <w:highlight w:val="none"/>
              </w:rPr>
            </w:pPr>
            <w:r>
              <w:rPr>
                <w:rFonts w:hint="eastAsia" w:ascii="宋体" w:hAnsi="宋体"/>
                <w:highlight w:val="none"/>
                <w:lang w:val="en-US" w:eastAsia="zh-CN"/>
              </w:rPr>
              <w:t>45</w:t>
            </w:r>
            <w:r>
              <w:rPr>
                <w:rFonts w:hint="eastAsia" w:ascii="宋体" w:hAnsi="宋体"/>
                <w:highlight w:val="none"/>
              </w:rPr>
              <w:t>分</w:t>
            </w:r>
          </w:p>
        </w:tc>
        <w:tc>
          <w:tcPr>
            <w:tcW w:w="2159" w:type="dxa"/>
            <w:vAlign w:val="center"/>
          </w:tcPr>
          <w:p w14:paraId="04712594">
            <w:pPr>
              <w:adjustRightInd w:val="0"/>
              <w:snapToGrid w:val="0"/>
              <w:ind w:firstLine="0" w:firstLineChars="0"/>
              <w:jc w:val="center"/>
              <w:rPr>
                <w:rFonts w:ascii="宋体" w:hAnsi="宋体"/>
                <w:highlight w:val="none"/>
              </w:rPr>
            </w:pPr>
            <w:r>
              <w:rPr>
                <w:rFonts w:hint="eastAsia" w:ascii="宋体" w:hAnsi="宋体"/>
                <w:highlight w:val="none"/>
                <w:lang w:val="en-US" w:eastAsia="zh-CN"/>
              </w:rPr>
              <w:t>30</w:t>
            </w:r>
            <w:r>
              <w:rPr>
                <w:rFonts w:hint="eastAsia" w:ascii="宋体" w:hAnsi="宋体"/>
                <w:highlight w:val="none"/>
              </w:rPr>
              <w:t>分</w:t>
            </w:r>
          </w:p>
        </w:tc>
      </w:tr>
      <w:tr w14:paraId="76C2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6E93FA20">
            <w:pPr>
              <w:adjustRightInd w:val="0"/>
              <w:snapToGrid w:val="0"/>
              <w:ind w:firstLine="0" w:firstLineChars="0"/>
              <w:jc w:val="center"/>
              <w:rPr>
                <w:rFonts w:ascii="宋体" w:hAnsi="宋体"/>
                <w:highlight w:val="none"/>
              </w:rPr>
            </w:pPr>
            <w:r>
              <w:rPr>
                <w:rFonts w:hint="eastAsia" w:ascii="宋体" w:hAnsi="宋体"/>
                <w:highlight w:val="none"/>
              </w:rPr>
              <w:t>投标人综合得分</w:t>
            </w:r>
          </w:p>
        </w:tc>
        <w:tc>
          <w:tcPr>
            <w:tcW w:w="6476" w:type="dxa"/>
            <w:gridSpan w:val="3"/>
            <w:vAlign w:val="center"/>
          </w:tcPr>
          <w:p w14:paraId="3D3B6C7F">
            <w:pPr>
              <w:adjustRightInd w:val="0"/>
              <w:snapToGrid w:val="0"/>
              <w:ind w:firstLine="0" w:firstLineChars="0"/>
              <w:jc w:val="center"/>
              <w:rPr>
                <w:rFonts w:ascii="宋体" w:hAnsi="宋体"/>
                <w:highlight w:val="none"/>
              </w:rPr>
            </w:pPr>
            <w:r>
              <w:rPr>
                <w:rFonts w:hint="eastAsia" w:ascii="宋体" w:hAnsi="宋体"/>
                <w:highlight w:val="none"/>
              </w:rPr>
              <w:t>商务标评分+技术标评分+价格标评分=100分</w:t>
            </w:r>
          </w:p>
        </w:tc>
      </w:tr>
    </w:tbl>
    <w:p w14:paraId="7BC7BB5F">
      <w:pPr>
        <w:widowControl w:val="0"/>
        <w:autoSpaceDE w:val="0"/>
        <w:autoSpaceDN w:val="0"/>
        <w:adjustRightInd w:val="0"/>
        <w:snapToGrid w:val="0"/>
        <w:ind w:firstLine="0" w:firstLineChars="0"/>
        <w:jc w:val="left"/>
        <w:rPr>
          <w:rFonts w:ascii="宋体" w:hAnsi="宋体"/>
          <w:b/>
          <w:bCs/>
          <w:sz w:val="84"/>
          <w:szCs w:val="84"/>
          <w:highlight w:val="none"/>
        </w:rPr>
      </w:pPr>
      <w:r>
        <w:rPr>
          <w:rFonts w:ascii="宋体" w:hAnsi="宋体"/>
          <w:sz w:val="22"/>
          <w:highlight w:val="none"/>
        </w:rPr>
        <w:br w:type="page"/>
      </w:r>
      <w:bookmarkEnd w:id="279"/>
      <w:bookmarkEnd w:id="286"/>
      <w:bookmarkEnd w:id="287"/>
      <w:bookmarkEnd w:id="288"/>
      <w:bookmarkEnd w:id="289"/>
      <w:bookmarkEnd w:id="290"/>
      <w:bookmarkStart w:id="319" w:name="_Toc144974577"/>
      <w:bookmarkStart w:id="320" w:name="_Toc152042387"/>
      <w:bookmarkStart w:id="321" w:name="_Toc403513554"/>
      <w:bookmarkStart w:id="322" w:name="_Toc152045609"/>
    </w:p>
    <w:p w14:paraId="6C584E1C">
      <w:pPr>
        <w:pStyle w:val="16"/>
        <w:rPr>
          <w:highlight w:val="none"/>
        </w:rPr>
      </w:pPr>
    </w:p>
    <w:p w14:paraId="47347E30">
      <w:pPr>
        <w:widowControl w:val="0"/>
        <w:autoSpaceDE w:val="0"/>
        <w:autoSpaceDN w:val="0"/>
        <w:adjustRightInd w:val="0"/>
        <w:snapToGrid w:val="0"/>
        <w:ind w:firstLine="0" w:firstLineChars="0"/>
        <w:jc w:val="left"/>
        <w:rPr>
          <w:rFonts w:ascii="宋体" w:hAnsi="宋体"/>
          <w:b/>
          <w:bCs/>
          <w:sz w:val="84"/>
          <w:szCs w:val="84"/>
          <w:highlight w:val="none"/>
        </w:rPr>
      </w:pPr>
    </w:p>
    <w:p w14:paraId="545C8C46">
      <w:pPr>
        <w:pStyle w:val="68"/>
        <w:rPr>
          <w:rFonts w:ascii="宋体" w:hAnsi="宋体"/>
          <w:b/>
          <w:bCs/>
          <w:sz w:val="84"/>
          <w:szCs w:val="84"/>
          <w:highlight w:val="none"/>
        </w:rPr>
      </w:pPr>
    </w:p>
    <w:p w14:paraId="435761DE">
      <w:pPr>
        <w:rPr>
          <w:highlight w:val="none"/>
        </w:rPr>
      </w:pPr>
    </w:p>
    <w:p w14:paraId="04E42ADE">
      <w:pPr>
        <w:rPr>
          <w:highlight w:val="none"/>
        </w:rPr>
      </w:pPr>
      <w:bookmarkStart w:id="323" w:name="_Toc19487"/>
      <w:bookmarkStart w:id="324" w:name="_Toc17461"/>
      <w:bookmarkStart w:id="325" w:name="_Toc21914"/>
      <w:bookmarkStart w:id="326" w:name="_Toc8919"/>
      <w:bookmarkStart w:id="327" w:name="_Toc23775"/>
    </w:p>
    <w:p w14:paraId="09A433FB">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28" w:name="_Toc26859"/>
      <w:r>
        <w:rPr>
          <w:rFonts w:hint="eastAsia" w:ascii="宋体" w:hAnsi="宋体"/>
          <w:b/>
          <w:bCs/>
          <w:sz w:val="52"/>
          <w:szCs w:val="52"/>
          <w:highlight w:val="none"/>
        </w:rPr>
        <w:t>第三章 合同条款</w:t>
      </w:r>
      <w:bookmarkEnd w:id="319"/>
      <w:bookmarkEnd w:id="320"/>
      <w:bookmarkEnd w:id="321"/>
      <w:bookmarkEnd w:id="322"/>
      <w:bookmarkStart w:id="329" w:name="_Toc406669470"/>
      <w:bookmarkStart w:id="330" w:name="_Toc403513619"/>
      <w:r>
        <w:rPr>
          <w:rFonts w:hint="eastAsia" w:ascii="宋体" w:hAnsi="宋体"/>
          <w:b/>
          <w:bCs/>
          <w:sz w:val="52"/>
          <w:szCs w:val="52"/>
          <w:highlight w:val="none"/>
        </w:rPr>
        <w:t>及格式</w:t>
      </w:r>
      <w:bookmarkEnd w:id="323"/>
      <w:bookmarkEnd w:id="324"/>
      <w:bookmarkEnd w:id="325"/>
      <w:bookmarkEnd w:id="326"/>
      <w:bookmarkEnd w:id="327"/>
      <w:bookmarkEnd w:id="328"/>
    </w:p>
    <w:p w14:paraId="4924C7A3">
      <w:pPr>
        <w:jc w:val="center"/>
        <w:rPr>
          <w:rFonts w:ascii="宋体" w:hAnsi="宋体"/>
          <w:b/>
          <w:sz w:val="40"/>
          <w:highlight w:val="none"/>
        </w:rPr>
      </w:pPr>
      <w:r>
        <w:rPr>
          <w:rFonts w:ascii="宋体" w:hAnsi="宋体"/>
          <w:b/>
          <w:bCs/>
          <w:szCs w:val="52"/>
          <w:highlight w:val="none"/>
        </w:rPr>
        <w:br w:type="page"/>
      </w:r>
    </w:p>
    <w:p w14:paraId="7A86CCEB">
      <w:pPr>
        <w:ind w:firstLine="0" w:firstLineChars="0"/>
        <w:jc w:val="center"/>
        <w:rPr>
          <w:rFonts w:ascii="宋体" w:hAnsi="Times New Roman" w:eastAsia="宋体" w:cs="Helvetica"/>
          <w:highlight w:val="none"/>
        </w:rPr>
      </w:pPr>
      <w:r>
        <w:rPr>
          <w:rFonts w:hint="eastAsia" w:ascii="宋体" w:hAnsi="Times New Roman" w:eastAsia="宋体" w:cs="Helvetica"/>
          <w:sz w:val="28"/>
          <w:szCs w:val="36"/>
          <w:highlight w:val="none"/>
        </w:rPr>
        <w:t>2026中国羽毛球大师赛赛事城市宣推服务合同</w:t>
      </w:r>
    </w:p>
    <w:p w14:paraId="63624831">
      <w:pPr>
        <w:rPr>
          <w:rFonts w:ascii="宋体" w:hAnsi="Times New Roman" w:eastAsia="宋体" w:cs="Helvetica"/>
          <w:szCs w:val="21"/>
          <w:highlight w:val="none"/>
        </w:rPr>
      </w:pPr>
      <w:r>
        <w:rPr>
          <w:rFonts w:hint="eastAsia" w:ascii="宋体" w:hAnsi="Times New Roman" w:eastAsia="宋体" w:cs="宋体"/>
          <w:szCs w:val="21"/>
          <w:highlight w:val="none"/>
        </w:rPr>
        <w:t>甲方赛事</w:t>
      </w:r>
      <w:r>
        <w:rPr>
          <w:rFonts w:ascii="宋体" w:hAnsi="Times New Roman" w:eastAsia="宋体" w:cs="宋体"/>
          <w:szCs w:val="21"/>
          <w:highlight w:val="none"/>
        </w:rPr>
        <w:t xml:space="preserve">      服务</w:t>
      </w:r>
      <w:r>
        <w:rPr>
          <w:rFonts w:hint="eastAsia" w:ascii="宋体" w:hAnsi="Times New Roman" w:eastAsia="宋体" w:cs="宋体"/>
          <w:szCs w:val="21"/>
          <w:highlight w:val="none"/>
        </w:rPr>
        <w:t>合同</w:t>
      </w:r>
      <w:r>
        <w:rPr>
          <w:rFonts w:hint="eastAsia" w:ascii="宋体" w:hAnsi="Times New Roman" w:eastAsia="宋体" w:cs="Helvetica"/>
          <w:szCs w:val="21"/>
          <w:highlight w:val="none"/>
        </w:rPr>
        <w:t>（以下简称“本合同”）由以下甲乙双方于</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年</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月</w:t>
      </w:r>
      <w:r>
        <w:rPr>
          <w:rFonts w:ascii="宋体" w:hAnsi="Times New Roman" w:eastAsia="宋体" w:cs="Helvetica"/>
          <w:szCs w:val="21"/>
          <w:highlight w:val="none"/>
        </w:rPr>
        <w:t xml:space="preserve">  </w:t>
      </w:r>
      <w:r>
        <w:rPr>
          <w:rFonts w:hint="eastAsia" w:ascii="宋体" w:hAnsi="Times New Roman" w:eastAsia="宋体" w:cs="Helvetica"/>
          <w:szCs w:val="21"/>
          <w:highlight w:val="none"/>
        </w:rPr>
        <w:t>日签订。</w:t>
      </w:r>
    </w:p>
    <w:p w14:paraId="2F5CDFBD">
      <w:pPr>
        <w:rPr>
          <w:rFonts w:ascii="宋体" w:hAnsi="Times New Roman" w:eastAsia="宋体" w:cs="Helvetica"/>
          <w:highlight w:val="none"/>
        </w:rPr>
      </w:pPr>
    </w:p>
    <w:p w14:paraId="4F182125">
      <w:pPr>
        <w:rPr>
          <w:rFonts w:ascii="宋体" w:hAnsi="Times New Roman" w:eastAsia="宋体" w:cs="Helvetica"/>
          <w:highlight w:val="none"/>
        </w:rPr>
      </w:pPr>
      <w:r>
        <w:rPr>
          <w:rFonts w:hint="eastAsia" w:ascii="宋体" w:hAnsi="Times New Roman" w:eastAsia="宋体" w:cs="Helvetica"/>
          <w:highlight w:val="none"/>
        </w:rPr>
        <w:t xml:space="preserve">甲       方： </w:t>
      </w:r>
    </w:p>
    <w:p w14:paraId="51885A35">
      <w:pPr>
        <w:rPr>
          <w:rFonts w:ascii="宋体" w:hAnsi="Times New Roman" w:eastAsia="宋体" w:cs="Helvetica"/>
          <w:highlight w:val="none"/>
          <w:lang w:val="en-US" w:eastAsia="zh-CN"/>
        </w:rPr>
      </w:pPr>
      <w:r>
        <w:rPr>
          <w:rFonts w:hint="eastAsia" w:ascii="宋体" w:cs="Helvetica"/>
          <w:highlight w:val="none"/>
          <w:lang w:val="en-US" w:eastAsia="zh-CN"/>
        </w:rPr>
        <w:t>统一社会信用代码：</w:t>
      </w:r>
    </w:p>
    <w:p w14:paraId="1028715F">
      <w:pPr>
        <w:rPr>
          <w:rFonts w:ascii="宋体" w:hAnsi="Times New Roman" w:eastAsia="宋体" w:cs="Helvetica"/>
          <w:highlight w:val="none"/>
        </w:rPr>
      </w:pPr>
      <w:r>
        <w:rPr>
          <w:rFonts w:hint="eastAsia" w:ascii="宋体" w:hAnsi="Times New Roman" w:eastAsia="宋体" w:cs="Helvetica"/>
          <w:highlight w:val="none"/>
        </w:rPr>
        <w:t xml:space="preserve">法定代表人： </w:t>
      </w:r>
    </w:p>
    <w:p w14:paraId="456855C4">
      <w:pPr>
        <w:rPr>
          <w:rFonts w:ascii="宋体" w:hAnsi="Times New Roman" w:eastAsia="宋体" w:cs="Helvetica"/>
          <w:highlight w:val="none"/>
        </w:rPr>
      </w:pPr>
      <w:r>
        <w:rPr>
          <w:rFonts w:hint="eastAsia" w:ascii="宋体" w:hAnsi="Times New Roman" w:eastAsia="宋体" w:cs="Helvetica"/>
          <w:highlight w:val="none"/>
        </w:rPr>
        <w:t xml:space="preserve">地       址：  </w:t>
      </w:r>
      <w:r>
        <w:rPr>
          <w:rFonts w:hint="eastAsia" w:ascii="宋体" w:hAnsi="Times New Roman" w:eastAsia="宋体" w:cs="Helvetica"/>
          <w:highlight w:val="none"/>
        </w:rPr>
        <w:tab/>
      </w:r>
    </w:p>
    <w:p w14:paraId="2C672E9D">
      <w:pPr>
        <w:rPr>
          <w:rFonts w:ascii="宋体" w:hAnsi="Times New Roman" w:eastAsia="宋体" w:cs="Helvetica"/>
          <w:highlight w:val="none"/>
        </w:rPr>
      </w:pPr>
      <w:r>
        <w:rPr>
          <w:rFonts w:hint="eastAsia" w:ascii="宋体" w:hAnsi="Times New Roman" w:eastAsia="宋体" w:cs="Helvetica"/>
          <w:highlight w:val="none"/>
        </w:rPr>
        <w:t>乙       方：</w:t>
      </w:r>
      <w:r>
        <w:rPr>
          <w:rFonts w:ascii="宋体" w:hAnsi="Times New Roman" w:eastAsia="宋体" w:cs="Helvetica"/>
          <w:highlight w:val="none"/>
        </w:rPr>
        <w:t xml:space="preserve"> </w:t>
      </w:r>
    </w:p>
    <w:p w14:paraId="39588B3D">
      <w:pPr>
        <w:rPr>
          <w:rFonts w:hint="eastAsia" w:ascii="宋体" w:hAnsi="Times New Roman" w:eastAsia="宋体" w:cs="Helvetica"/>
          <w:highlight w:val="none"/>
        </w:rPr>
      </w:pPr>
      <w:r>
        <w:rPr>
          <w:rFonts w:hint="eastAsia" w:ascii="宋体" w:cs="Helvetica"/>
          <w:highlight w:val="none"/>
          <w:lang w:val="en-US" w:eastAsia="zh-CN"/>
        </w:rPr>
        <w:t>统一社会信用代码：</w:t>
      </w:r>
    </w:p>
    <w:p w14:paraId="479192FE">
      <w:pPr>
        <w:rPr>
          <w:rFonts w:ascii="宋体" w:hAnsi="Times New Roman" w:eastAsia="宋体" w:cs="Helvetica"/>
          <w:highlight w:val="none"/>
        </w:rPr>
      </w:pPr>
      <w:r>
        <w:rPr>
          <w:rFonts w:hint="eastAsia" w:ascii="宋体" w:hAnsi="Times New Roman" w:eastAsia="宋体" w:cs="Helvetica"/>
          <w:highlight w:val="none"/>
        </w:rPr>
        <w:t xml:space="preserve">法定代表人： </w:t>
      </w:r>
    </w:p>
    <w:p w14:paraId="613449CE">
      <w:pPr>
        <w:ind w:firstLine="420" w:firstLineChars="200"/>
        <w:rPr>
          <w:rFonts w:ascii="宋体" w:hAnsi="Times New Roman" w:eastAsia="宋体" w:cs="Helvetica"/>
          <w:highlight w:val="none"/>
        </w:rPr>
      </w:pPr>
      <w:r>
        <w:rPr>
          <w:rFonts w:hint="eastAsia" w:ascii="宋体" w:hAnsi="Times New Roman" w:eastAsia="宋体" w:cs="Helvetica"/>
          <w:highlight w:val="none"/>
        </w:rPr>
        <w:t>地       址：</w:t>
      </w:r>
    </w:p>
    <w:p w14:paraId="66463BB8">
      <w:pPr>
        <w:rPr>
          <w:rFonts w:ascii="宋体" w:hAnsi="Times New Roman" w:eastAsia="宋体" w:cs="宋体"/>
          <w:highlight w:val="none"/>
        </w:rPr>
      </w:pPr>
    </w:p>
    <w:p w14:paraId="45826FA8">
      <w:pPr>
        <w:outlineLvl w:val="1"/>
        <w:rPr>
          <w:rFonts w:ascii="宋体" w:hAnsi="Times New Roman" w:eastAsia="宋体" w:cs="宋体"/>
          <w:highlight w:val="none"/>
        </w:rPr>
      </w:pPr>
      <w:r>
        <w:rPr>
          <w:rFonts w:hint="eastAsia" w:ascii="宋体" w:hAnsi="Times New Roman" w:eastAsia="宋体" w:cs="宋体"/>
          <w:highlight w:val="none"/>
        </w:rPr>
        <w:t>一、总则</w:t>
      </w:r>
    </w:p>
    <w:p w14:paraId="60934730">
      <w:pPr>
        <w:numPr>
          <w:ilvl w:val="0"/>
          <w:numId w:val="8"/>
        </w:numPr>
        <w:ind w:left="0" w:firstLine="420" w:firstLineChars="0"/>
        <w:rPr>
          <w:rFonts w:ascii="宋体" w:hAnsi="Times New Roman" w:eastAsia="宋体" w:cs="宋体"/>
          <w:highlight w:val="none"/>
        </w:rPr>
      </w:pPr>
      <w:r>
        <w:rPr>
          <w:rFonts w:hint="eastAsia" w:ascii="宋体" w:hAnsi="Times New Roman" w:eastAsia="宋体" w:cs="宋体"/>
          <w:highlight w:val="none"/>
        </w:rPr>
        <w:t>甲方为依据中国法律注册成立并合法存续的公司法人，是赛事合法</w:t>
      </w:r>
      <w:r>
        <w:rPr>
          <w:rFonts w:hint="eastAsia" w:ascii="宋体" w:hAnsi="Times New Roman" w:eastAsia="宋体" w:cs="宋体"/>
          <w:highlight w:val="none"/>
          <w:lang w:eastAsia="zh-CN"/>
        </w:rPr>
        <w:t>主体</w:t>
      </w:r>
      <w:r>
        <w:rPr>
          <w:rFonts w:hint="eastAsia" w:ascii="宋体" w:hAnsi="Times New Roman" w:eastAsia="宋体" w:cs="宋体"/>
          <w:highlight w:val="none"/>
        </w:rPr>
        <w:t>、承办方或得到相应授权与乙方签署本合同的公司。</w:t>
      </w:r>
    </w:p>
    <w:p w14:paraId="2A632C28">
      <w:pPr>
        <w:numPr>
          <w:ilvl w:val="0"/>
          <w:numId w:val="8"/>
        </w:numPr>
        <w:ind w:left="0" w:firstLine="420" w:firstLineChars="0"/>
        <w:rPr>
          <w:rFonts w:ascii="宋体" w:hAnsi="Times New Roman" w:eastAsia="宋体" w:cs="宋体"/>
          <w:highlight w:val="none"/>
        </w:rPr>
      </w:pPr>
      <w:r>
        <w:rPr>
          <w:rFonts w:hint="eastAsia" w:ascii="宋体" w:hAnsi="Times New Roman" w:eastAsia="宋体" w:cs="宋体"/>
          <w:highlight w:val="none"/>
        </w:rPr>
        <w:t>乙方为依据中国法律注册成立</w:t>
      </w:r>
      <w:r>
        <w:rPr>
          <w:rFonts w:hint="eastAsia" w:ascii="宋体" w:cs="宋体"/>
          <w:highlight w:val="none"/>
          <w:lang w:eastAsia="zh-CN"/>
        </w:rPr>
        <w:t>、</w:t>
      </w:r>
      <w:r>
        <w:rPr>
          <w:rFonts w:hint="eastAsia" w:ascii="宋体" w:hAnsi="Times New Roman" w:eastAsia="宋体" w:cs="宋体"/>
          <w:highlight w:val="none"/>
        </w:rPr>
        <w:t>合法存续并具有履行本合同资格的公司法人。</w:t>
      </w:r>
    </w:p>
    <w:p w14:paraId="5C0FED26">
      <w:pPr>
        <w:rPr>
          <w:rFonts w:ascii="宋体" w:hAnsi="Times New Roman" w:eastAsia="宋体" w:cs="宋体"/>
          <w:highlight w:val="none"/>
        </w:rPr>
      </w:pPr>
      <w:r>
        <w:rPr>
          <w:rFonts w:hint="eastAsia" w:ascii="宋体" w:hAnsi="Times New Roman" w:eastAsia="宋体" w:cs="宋体"/>
          <w:highlight w:val="none"/>
        </w:rPr>
        <w:t>现甲乙双方本着平等互惠的原则，明确双方权利和义务，经平等协商、友好共识，特达成如下合同：</w:t>
      </w:r>
    </w:p>
    <w:p w14:paraId="292C4E0F">
      <w:pPr>
        <w:outlineLvl w:val="1"/>
        <w:rPr>
          <w:rFonts w:ascii="宋体" w:hAnsi="Times New Roman" w:eastAsia="宋体" w:cs="宋体"/>
          <w:highlight w:val="none"/>
        </w:rPr>
      </w:pPr>
      <w:r>
        <w:rPr>
          <w:rFonts w:hint="eastAsia" w:ascii="宋体" w:hAnsi="Times New Roman" w:eastAsia="宋体" w:cs="宋体"/>
          <w:highlight w:val="none"/>
        </w:rPr>
        <w:t>二、合作内容</w:t>
      </w:r>
    </w:p>
    <w:p w14:paraId="5DE05E63">
      <w:pPr>
        <w:rPr>
          <w:rFonts w:hint="eastAsia" w:ascii="宋体" w:hAnsi="Times New Roman" w:eastAsia="宋体" w:cs="宋体"/>
          <w:highlight w:val="none"/>
        </w:rPr>
      </w:pPr>
      <w:r>
        <w:rPr>
          <w:rFonts w:hint="eastAsia" w:ascii="宋体" w:hAnsi="Times New Roman" w:eastAsia="宋体" w:cs="宋体"/>
          <w:highlight w:val="none"/>
        </w:rPr>
        <w:t>1、项目内容：服务工作（具体服务内容详见附件1</w:t>
      </w:r>
      <w:r>
        <w:rPr>
          <w:rFonts w:hint="eastAsia" w:ascii="宋体" w:hAnsi="Times New Roman" w:eastAsia="宋体" w:cs="宋体"/>
          <w:highlight w:val="none"/>
          <w:lang w:val="en-US" w:eastAsia="zh-CN"/>
        </w:rPr>
        <w:t>项目需求</w:t>
      </w:r>
      <w:r>
        <w:rPr>
          <w:rFonts w:hint="eastAsia" w:ascii="宋体" w:hAnsi="Times New Roman" w:eastAsia="宋体" w:cs="宋体"/>
          <w:highlight w:val="none"/>
        </w:rPr>
        <w:t>）</w:t>
      </w:r>
    </w:p>
    <w:p w14:paraId="77F55BC4">
      <w:pPr>
        <w:rPr>
          <w:rFonts w:hint="eastAsia" w:ascii="宋体" w:hAnsi="Times New Roman" w:eastAsia="宋体" w:cs="宋体"/>
          <w:highlight w:val="none"/>
        </w:rPr>
      </w:pPr>
      <w:r>
        <w:rPr>
          <w:rFonts w:hint="eastAsia" w:ascii="宋体" w:hAnsi="Times New Roman" w:eastAsia="宋体" w:cs="宋体"/>
          <w:highlight w:val="none"/>
        </w:rPr>
        <w:t>2、服务时间： 自本合同签署生效之日起至乙方完成约定的全部服务内容为止，合同期限最长不超过12个月。服务履行完毕后，甲方可根据今后年度同个赛事活动的需要并结合本合同乙方履约考核评价结果，决定是否与乙方就今后年度同个赛事活动签署《服务合同》并有权结合预算等情况适当调整合同内容和合同金额，续签次数不超过2次。</w:t>
      </w:r>
    </w:p>
    <w:p w14:paraId="6A3EC353">
      <w:pPr>
        <w:rPr>
          <w:rFonts w:hint="eastAsia" w:ascii="宋体" w:hAnsi="Times New Roman" w:eastAsia="宋体" w:cs="宋体"/>
          <w:highlight w:val="none"/>
        </w:rPr>
      </w:pPr>
      <w:r>
        <w:rPr>
          <w:rFonts w:hint="eastAsia" w:ascii="宋体" w:hAnsi="Times New Roman" w:eastAsia="宋体" w:cs="宋体"/>
          <w:highlight w:val="none"/>
        </w:rPr>
        <w:t>3、服务地点：深圳</w:t>
      </w:r>
    </w:p>
    <w:p w14:paraId="2A6572AF">
      <w:pPr>
        <w:rPr>
          <w:rFonts w:hint="eastAsia" w:ascii="宋体" w:hAnsi="Times New Roman" w:eastAsia="宋体" w:cs="宋体"/>
          <w:highlight w:val="none"/>
        </w:rPr>
      </w:pPr>
      <w:r>
        <w:rPr>
          <w:rFonts w:hint="eastAsia" w:ascii="宋体" w:hAnsi="Times New Roman" w:eastAsia="宋体" w:cs="宋体"/>
          <w:highlight w:val="none"/>
        </w:rPr>
        <w:t>4、</w:t>
      </w:r>
      <w:ins w:id="11" w:author="盈科律师" w:date="2026-07-14T09:15:11Z">
        <w:r>
          <w:rPr>
            <w:rFonts w:hint="eastAsia" w:ascii="宋体" w:hAnsi="Times New Roman" w:eastAsia="宋体" w:cs="宋体"/>
            <w:highlight w:val="none"/>
          </w:rPr>
          <w:t>本合同为固定总价合同，合同含税总价为人民币【 】元整（大写： ）。此价格为最终包干价格，已包括乙方为履行本合同项下全部服务内容（详见附件1项目需求）所需的所有成本、费用、税金及合理利润，乙方无权就任何费用向甲方提出超出本合同总价的要求。</w:t>
        </w:r>
      </w:ins>
      <w:del w:id="12" w:author="盈科律师" w:date="2026-07-14T09:15:11Z">
        <w:r>
          <w:rPr>
            <w:rFonts w:hint="eastAsia" w:ascii="宋体" w:hAnsi="Times New Roman" w:eastAsia="宋体" w:cs="宋体"/>
            <w:highlight w:val="none"/>
          </w:rPr>
          <w:delText>本合同为</w:delText>
        </w:r>
      </w:del>
      <w:del w:id="13" w:author="盈科律师" w:date="2026-07-14T09:15:11Z">
        <w:r>
          <w:rPr>
            <w:rFonts w:hint="eastAsia" w:ascii="宋体" w:hAnsi="Times New Roman" w:eastAsia="宋体" w:cs="宋体"/>
            <w:highlight w:val="none"/>
            <w:lang w:val="en-US" w:eastAsia="zh-CN"/>
          </w:rPr>
          <w:delText>服务总</w:delText>
        </w:r>
      </w:del>
      <w:del w:id="14" w:author="盈科律师" w:date="2026-07-14T09:15:11Z">
        <w:r>
          <w:rPr>
            <w:rFonts w:hint="eastAsia" w:ascii="宋体" w:hAnsi="Times New Roman" w:eastAsia="宋体" w:cs="宋体"/>
            <w:highlight w:val="none"/>
          </w:rPr>
          <w:delText>价合同，暂定含税总价为￥元（大写：人民币整），此金额仅为签约时根据预估工作量计算的暂估价，不作为最终结算依据。本合同暂定总价已包括乙方完成本合同服务所需要的人工成本、物料制作、税金等所有费用，乙方无权就该部分费用要求甲方支付。</w:delText>
        </w:r>
      </w:del>
    </w:p>
    <w:p w14:paraId="364CF876">
      <w:pPr>
        <w:ind w:firstLine="420"/>
        <w:rPr>
          <w:rFonts w:hint="eastAsia" w:ascii="宋体" w:hAnsi="Times New Roman" w:eastAsia="宋体" w:cs="宋体"/>
          <w:highlight w:val="none"/>
        </w:rPr>
        <w:pPrChange w:id="15" w:author="盈科律师" w:date="2026-07-14T09:35:35Z">
          <w:pPr/>
        </w:pPrChange>
      </w:pPr>
      <w:r>
        <w:rPr>
          <w:rFonts w:hint="eastAsia" w:ascii="宋体" w:hAnsi="Times New Roman" w:eastAsia="宋体" w:cs="宋体"/>
          <w:highlight w:val="none"/>
        </w:rPr>
        <w:t>5、</w:t>
      </w:r>
      <w:ins w:id="16" w:author="盈科律师" w:date="2026-07-14T09:15:44Z">
        <w:r>
          <w:rPr>
            <w:rFonts w:hint="eastAsia" w:ascii="宋体" w:hAnsi="Times New Roman" w:eastAsia="宋体" w:cs="宋体"/>
            <w:highlight w:val="none"/>
          </w:rPr>
          <w:t>本合同为总价包干，除甲方书面确认的工作范围变更外，合同总价不因任何因素（包括但不限于物料、人工等成本波动及乙方工作量的增减）进行调整。如甲方要求增加本合同约定范围以外的服务内容，应由双方另行签订补充协议，明确新增服务的具体内容及相应价格。</w:t>
        </w:r>
      </w:ins>
      <w:del w:id="17" w:author="盈科律师" w:date="2026-07-14T09:15:44Z">
        <w:r>
          <w:rPr>
            <w:rFonts w:hint="eastAsia" w:ascii="宋体" w:hAnsi="Times New Roman" w:eastAsia="宋体" w:cs="宋体"/>
            <w:highlight w:val="none"/>
          </w:rPr>
          <w:delText>最终结算金额以经甲方审核确认的乙方实际完成工作量乘以附件《投标分项报价表》中对应的固定单价进行计算。对于增加的工作内容超出本合同暂定范围10%的，双方应就该部分另行签订补充协议。</w:delText>
        </w:r>
      </w:del>
    </w:p>
    <w:p w14:paraId="7082432A">
      <w:pPr>
        <w:rPr>
          <w:rFonts w:ascii="宋体" w:hAnsi="Times New Roman" w:eastAsia="宋体" w:cs="宋体"/>
          <w:highlight w:val="none"/>
        </w:rPr>
      </w:pPr>
      <w:r>
        <w:rPr>
          <w:rFonts w:hint="eastAsia" w:ascii="宋体" w:hAnsi="Times New Roman" w:eastAsia="宋体" w:cs="宋体"/>
          <w:highlight w:val="none"/>
        </w:rPr>
        <w:t>三、甲乙双方的权利和义务：</w:t>
      </w:r>
    </w:p>
    <w:p w14:paraId="44140F75">
      <w:pPr>
        <w:rPr>
          <w:rFonts w:ascii="宋体" w:hAnsi="Times New Roman" w:eastAsia="宋体" w:cs="宋体"/>
          <w:highlight w:val="none"/>
        </w:rPr>
      </w:pPr>
      <w:r>
        <w:rPr>
          <w:rFonts w:hint="eastAsia" w:ascii="宋体" w:hAnsi="Times New Roman" w:eastAsia="宋体" w:cs="宋体"/>
          <w:highlight w:val="none"/>
        </w:rPr>
        <w:t>1、甲方权利：</w:t>
      </w:r>
    </w:p>
    <w:p w14:paraId="73397F23">
      <w:pPr>
        <w:rPr>
          <w:rFonts w:ascii="宋体" w:hAnsi="Times New Roman" w:eastAsia="宋体" w:cs="宋体"/>
          <w:highlight w:val="none"/>
        </w:rPr>
      </w:pPr>
      <w:r>
        <w:rPr>
          <w:rFonts w:hint="eastAsia" w:ascii="宋体" w:hAnsi="Times New Roman" w:eastAsia="宋体" w:cs="宋体"/>
          <w:highlight w:val="none"/>
        </w:rPr>
        <w:t>（1）甲方可根据赛事的需要，审定乙方提交的赛事相关服务方案，并组织和实施。乙方的方案不符合甲方及主办单位要求的，乙方应及时修改至符合各方要求为止。</w:t>
      </w:r>
    </w:p>
    <w:p w14:paraId="212D2E28">
      <w:pPr>
        <w:rPr>
          <w:rFonts w:ascii="宋体" w:hAnsi="Times New Roman" w:eastAsia="宋体" w:cs="宋体"/>
          <w:highlight w:val="none"/>
        </w:rPr>
      </w:pPr>
      <w:r>
        <w:rPr>
          <w:rFonts w:hint="eastAsia" w:ascii="宋体" w:hAnsi="Times New Roman" w:eastAsia="宋体" w:cs="宋体"/>
          <w:highlight w:val="none"/>
        </w:rPr>
        <w:t>（2）甲方有权对乙方与赛事组织相关的一切工作进行监督，并给予指导。乙方提供服务质量不符合合同约定的（如提供的物品不符合约定的数量、质量，物品存在明显瑕疵破损；提供的服务不能使甲方满意的，具体服务质量由甲方根据实际情况判定），乙方应</w:t>
      </w:r>
      <w:r>
        <w:rPr>
          <w:rFonts w:hint="eastAsia" w:ascii="宋体" w:cs="宋体"/>
          <w:highlight w:val="none"/>
          <w:lang w:val="en-US" w:eastAsia="zh-CN"/>
        </w:rPr>
        <w:t>依照本合同约定</w:t>
      </w:r>
      <w:r>
        <w:rPr>
          <w:rFonts w:hint="eastAsia" w:ascii="宋体" w:hAnsi="Times New Roman" w:eastAsia="宋体" w:cs="宋体"/>
          <w:highlight w:val="none"/>
        </w:rPr>
        <w:t>承担违约责任。</w:t>
      </w:r>
    </w:p>
    <w:p w14:paraId="663E406C">
      <w:pPr>
        <w:rPr>
          <w:rFonts w:ascii="宋体" w:hAnsi="Times New Roman" w:eastAsia="宋体" w:cs="宋体"/>
          <w:highlight w:val="none"/>
        </w:rPr>
      </w:pPr>
      <w:r>
        <w:rPr>
          <w:rFonts w:hint="eastAsia" w:ascii="宋体" w:hAnsi="Times New Roman" w:eastAsia="宋体" w:cs="宋体"/>
          <w:highlight w:val="none"/>
        </w:rPr>
        <w:t>2</w:t>
      </w:r>
      <w:r>
        <w:rPr>
          <w:rFonts w:hint="eastAsia" w:ascii="宋体" w:cs="宋体"/>
          <w:highlight w:val="none"/>
          <w:lang w:eastAsia="zh-CN"/>
        </w:rPr>
        <w:t>、</w:t>
      </w:r>
      <w:r>
        <w:rPr>
          <w:rFonts w:hint="eastAsia" w:ascii="宋体" w:hAnsi="Times New Roman" w:eastAsia="宋体" w:cs="宋体"/>
          <w:highlight w:val="none"/>
        </w:rPr>
        <w:t>甲方义务</w:t>
      </w:r>
    </w:p>
    <w:p w14:paraId="160195F2">
      <w:pPr>
        <w:rPr>
          <w:rFonts w:hint="eastAsia" w:ascii="宋体" w:hAnsi="Times New Roman" w:eastAsia="宋体" w:cs="宋体"/>
          <w:highlight w:val="none"/>
        </w:rPr>
      </w:pPr>
      <w:r>
        <w:rPr>
          <w:rFonts w:hint="eastAsia" w:ascii="宋体" w:hAnsi="Times New Roman" w:eastAsia="宋体" w:cs="宋体"/>
          <w:highlight w:val="none"/>
        </w:rPr>
        <w:t>（1）按本合同约定支付服务费用。如因甲方付款涉及上级单位审批或甲乙双方对应付款项金额存在分歧导致甲方未在付款期限内向乙方支付款项的，乙方知悉上述风险并同意不因此追究甲方逾期付款责任。</w:t>
      </w:r>
    </w:p>
    <w:p w14:paraId="70FDB272">
      <w:pPr>
        <w:rPr>
          <w:rFonts w:ascii="宋体" w:hAnsi="Times New Roman" w:eastAsia="宋体" w:cs="宋体"/>
          <w:highlight w:val="none"/>
        </w:rPr>
      </w:pPr>
      <w:r>
        <w:rPr>
          <w:rFonts w:hint="eastAsia" w:ascii="宋体" w:hAnsi="Times New Roman" w:eastAsia="宋体" w:cs="宋体"/>
          <w:highlight w:val="none"/>
        </w:rPr>
        <w:t>（2）及时协助乙方进行相关协调工作。</w:t>
      </w:r>
    </w:p>
    <w:p w14:paraId="744F9CFF">
      <w:pPr>
        <w:rPr>
          <w:rFonts w:ascii="宋体" w:hAnsi="Times New Roman" w:eastAsia="宋体" w:cs="宋体"/>
          <w:highlight w:val="none"/>
        </w:rPr>
      </w:pPr>
      <w:r>
        <w:rPr>
          <w:rFonts w:hint="eastAsia" w:ascii="宋体" w:hAnsi="Times New Roman" w:eastAsia="宋体" w:cs="宋体"/>
          <w:highlight w:val="none"/>
        </w:rPr>
        <w:t>3、乙方权利</w:t>
      </w:r>
    </w:p>
    <w:p w14:paraId="0AE15826">
      <w:pPr>
        <w:rPr>
          <w:rFonts w:ascii="宋体" w:hAnsi="Times New Roman" w:eastAsia="宋体" w:cs="宋体"/>
          <w:highlight w:val="none"/>
        </w:rPr>
      </w:pPr>
      <w:r>
        <w:rPr>
          <w:rFonts w:hint="eastAsia" w:ascii="宋体" w:hAnsi="Times New Roman" w:eastAsia="宋体" w:cs="宋体"/>
          <w:highlight w:val="none"/>
        </w:rPr>
        <w:t>（1）</w:t>
      </w:r>
      <w:r>
        <w:rPr>
          <w:rFonts w:hint="eastAsia" w:ascii="宋体" w:cs="宋体"/>
          <w:highlight w:val="none"/>
          <w:lang w:val="en-US" w:eastAsia="zh-CN"/>
        </w:rPr>
        <w:t>在乙方达到合同约定付款条件情况下，</w:t>
      </w:r>
      <w:r>
        <w:rPr>
          <w:rFonts w:hint="eastAsia" w:ascii="宋体" w:hAnsi="Times New Roman" w:eastAsia="宋体" w:cs="宋体"/>
          <w:highlight w:val="none"/>
        </w:rPr>
        <w:t>乙方有权要求甲方按照本合同约定支付服务费用。</w:t>
      </w:r>
    </w:p>
    <w:p w14:paraId="1308DDB4">
      <w:pPr>
        <w:rPr>
          <w:rFonts w:ascii="宋体" w:hAnsi="Times New Roman" w:eastAsia="宋体" w:cs="宋体"/>
          <w:highlight w:val="none"/>
        </w:rPr>
      </w:pPr>
      <w:r>
        <w:rPr>
          <w:rFonts w:hint="eastAsia" w:ascii="宋体" w:hAnsi="Times New Roman" w:eastAsia="宋体" w:cs="宋体"/>
          <w:highlight w:val="none"/>
        </w:rPr>
        <w:t>（2）乙方有权根据需要在工作区域取得通行的权利。</w:t>
      </w:r>
    </w:p>
    <w:p w14:paraId="56D29730">
      <w:pPr>
        <w:rPr>
          <w:rFonts w:ascii="宋体" w:hAnsi="Times New Roman" w:eastAsia="宋体" w:cs="宋体"/>
          <w:highlight w:val="none"/>
        </w:rPr>
      </w:pPr>
      <w:r>
        <w:rPr>
          <w:rFonts w:hint="eastAsia" w:ascii="宋体" w:hAnsi="Times New Roman" w:eastAsia="宋体" w:cs="宋体"/>
          <w:highlight w:val="none"/>
        </w:rPr>
        <w:t>4、乙方义务：</w:t>
      </w:r>
    </w:p>
    <w:p w14:paraId="681B812C">
      <w:pPr>
        <w:rPr>
          <w:rFonts w:ascii="宋体" w:hAnsi="Times New Roman" w:eastAsia="宋体" w:cs="宋体"/>
          <w:highlight w:val="none"/>
        </w:rPr>
      </w:pPr>
      <w:r>
        <w:rPr>
          <w:rFonts w:hint="eastAsia" w:ascii="宋体" w:hAnsi="Times New Roman" w:eastAsia="宋体" w:cs="宋体"/>
          <w:highlight w:val="none"/>
        </w:rPr>
        <w:t>（1）乙方应遵从由甲方提供的关于活动的具体要求、根据有关的要求制度，按时准备并完成服务工作。</w:t>
      </w:r>
    </w:p>
    <w:p w14:paraId="3D82A0DD">
      <w:pPr>
        <w:rPr>
          <w:rFonts w:ascii="宋体" w:hAnsi="Times New Roman" w:eastAsia="宋体" w:cs="宋体"/>
          <w:highlight w:val="none"/>
        </w:rPr>
      </w:pPr>
      <w:r>
        <w:rPr>
          <w:rFonts w:hint="eastAsia" w:ascii="宋体" w:hAnsi="Times New Roman" w:eastAsia="宋体" w:cs="宋体"/>
          <w:highlight w:val="none"/>
        </w:rPr>
        <w:t>（2）在甲方的协助下，与甲方共同办妥一切有关手续及协调工作。</w:t>
      </w:r>
    </w:p>
    <w:p w14:paraId="5954F1E9">
      <w:pPr>
        <w:rPr>
          <w:rFonts w:ascii="宋体" w:hAnsi="Times New Roman" w:eastAsia="宋体" w:cs="宋体"/>
          <w:highlight w:val="none"/>
        </w:rPr>
      </w:pPr>
      <w:r>
        <w:rPr>
          <w:rFonts w:hint="eastAsia" w:ascii="宋体" w:hAnsi="Times New Roman" w:eastAsia="宋体" w:cs="宋体"/>
          <w:highlight w:val="none"/>
          <w:lang w:eastAsia="zh-CN"/>
        </w:rPr>
        <w:t>（</w:t>
      </w:r>
      <w:r>
        <w:rPr>
          <w:rFonts w:hint="eastAsia" w:ascii="宋体" w:hAnsi="Times New Roman" w:eastAsia="宋体" w:cs="宋体"/>
          <w:highlight w:val="none"/>
        </w:rPr>
        <w:t>3</w:t>
      </w:r>
      <w:r>
        <w:rPr>
          <w:rFonts w:hint="eastAsia" w:ascii="宋体" w:hAnsi="Times New Roman" w:eastAsia="宋体" w:cs="宋体"/>
          <w:highlight w:val="none"/>
          <w:lang w:eastAsia="zh-CN"/>
        </w:rPr>
        <w:t>）</w:t>
      </w:r>
      <w:r>
        <w:rPr>
          <w:rFonts w:hint="eastAsia" w:ascii="宋体" w:hAnsi="Times New Roman" w:eastAsia="宋体" w:cs="宋体"/>
          <w:highlight w:val="none"/>
        </w:rPr>
        <w:t>乙方应在活动结束后七个工作日内完成服务收尾工作并向甲方出具服务报告。</w:t>
      </w:r>
    </w:p>
    <w:p w14:paraId="50A96BBC">
      <w:pPr>
        <w:rPr>
          <w:rFonts w:ascii="宋体" w:hAnsi="Times New Roman" w:eastAsia="宋体" w:cs="宋体"/>
          <w:highlight w:val="none"/>
        </w:rPr>
      </w:pPr>
      <w:r>
        <w:rPr>
          <w:rFonts w:hint="eastAsia" w:ascii="宋体" w:hAnsi="Times New Roman" w:eastAsia="宋体" w:cs="宋体"/>
          <w:highlight w:val="none"/>
        </w:rPr>
        <w:t>（4）乙方服务期间所需的人员、车辆保险等均由乙方承担，</w:t>
      </w:r>
      <w:r>
        <w:rPr>
          <w:rFonts w:hint="eastAsia" w:ascii="宋体" w:hAnsi="Times New Roman" w:eastAsia="宋体" w:cs="宋体"/>
          <w:highlight w:val="none"/>
          <w:lang w:val="en-US"/>
        </w:rPr>
        <w:t>乙方应当为其工作人员购买相应保险，并购买第三者责任险等相应保险</w:t>
      </w:r>
      <w:r>
        <w:rPr>
          <w:rFonts w:hint="eastAsia" w:ascii="宋体" w:hAnsi="Times New Roman" w:eastAsia="宋体" w:cs="宋体"/>
          <w:highlight w:val="none"/>
        </w:rPr>
        <w:t>，如因乙方违规操作造成财产和人员意外伤害均由乙方负责。</w:t>
      </w:r>
      <w:r>
        <w:rPr>
          <w:rFonts w:hint="eastAsia" w:ascii="宋体" w:hAnsi="Times New Roman" w:eastAsia="宋体" w:cs="宋体"/>
          <w:highlight w:val="none"/>
          <w:lang w:val="en-US"/>
        </w:rPr>
        <w:t>甲方因此承担责任的，有权向乙方追偿</w:t>
      </w:r>
      <w:r>
        <w:rPr>
          <w:rFonts w:hint="eastAsia" w:ascii="宋体" w:cs="宋体"/>
          <w:highlight w:val="none"/>
          <w:lang w:val="en-US" w:eastAsia="zh-CN"/>
        </w:rPr>
        <w:t>，并要求乙方依据本合同约定承担违约责任</w:t>
      </w:r>
      <w:r>
        <w:rPr>
          <w:rFonts w:hint="eastAsia" w:ascii="宋体" w:hAnsi="Times New Roman" w:eastAsia="宋体" w:cs="宋体"/>
          <w:highlight w:val="none"/>
          <w:lang w:val="en-US"/>
        </w:rPr>
        <w:t>。</w:t>
      </w:r>
    </w:p>
    <w:p w14:paraId="57435014">
      <w:pPr>
        <w:rPr>
          <w:rFonts w:ascii="宋体" w:hAnsi="Times New Roman" w:eastAsia="宋体" w:cs="宋体"/>
          <w:highlight w:val="none"/>
        </w:rPr>
      </w:pPr>
      <w:r>
        <w:rPr>
          <w:rFonts w:hint="eastAsia" w:ascii="宋体" w:hAnsi="Times New Roman" w:eastAsia="宋体" w:cs="宋体"/>
          <w:highlight w:val="none"/>
        </w:rPr>
        <w:t>（5）乙方应加强对提供服务人员的管理，确保不发生任何安全事故。乙方负责派遣到现场工作人员的人身安全并承担相关责任；乙方提供的各项服务以及服务中所使用的各种产品，均应符合国家相关规定或行业相关规范确定的要求。因乙方提供的物品或者服务导致甲方雇员或者任何第三人人身财产损失的，乙方应承担全部责任。</w:t>
      </w:r>
      <w:r>
        <w:rPr>
          <w:rFonts w:hint="eastAsia" w:ascii="宋体" w:hAnsi="Times New Roman" w:eastAsia="宋体" w:cs="宋体"/>
          <w:highlight w:val="none"/>
          <w:lang w:val="en-US"/>
        </w:rPr>
        <w:t>甲方因此承担责任的，有权向乙方追偿，并要求乙方依据本合同约定承担违约责任。</w:t>
      </w:r>
    </w:p>
    <w:p w14:paraId="2920F28E">
      <w:pPr>
        <w:ind w:left="0" w:firstLine="420" w:firstLineChars="200"/>
        <w:jc w:val="left"/>
        <w:rPr>
          <w:rFonts w:hint="eastAsia" w:ascii="宋体" w:hAnsi="Times New Roman" w:eastAsia="宋体" w:cs="宋体"/>
          <w:highlight w:val="none"/>
        </w:rPr>
      </w:pPr>
      <w:r>
        <w:rPr>
          <w:rFonts w:hint="eastAsia" w:ascii="宋体" w:hAnsi="Times New Roman" w:eastAsia="宋体" w:cs="宋体"/>
          <w:highlight w:val="none"/>
        </w:rPr>
        <w:t>（6）乙方应遵从场地方相关场地使用及维护要求，如因乙方操作不当等原因导致场地损坏、场地方扣除甲方场地押金等情况，乙方应</w:t>
      </w:r>
      <w:r>
        <w:rPr>
          <w:rFonts w:hint="eastAsia" w:ascii="宋体" w:hAnsi="Times New Roman" w:eastAsia="宋体" w:cs="宋体"/>
          <w:highlight w:val="none"/>
          <w:lang w:val="en-US" w:eastAsia="zh-CN"/>
        </w:rPr>
        <w:t>依据本合同约定</w:t>
      </w:r>
      <w:r>
        <w:rPr>
          <w:rFonts w:hint="eastAsia" w:ascii="宋体" w:hAnsi="Times New Roman" w:eastAsia="宋体" w:cs="宋体"/>
          <w:highlight w:val="none"/>
        </w:rPr>
        <w:t>承担</w:t>
      </w:r>
      <w:r>
        <w:rPr>
          <w:rFonts w:hint="eastAsia" w:ascii="宋体" w:hAnsi="Times New Roman" w:eastAsia="宋体" w:cs="宋体"/>
          <w:highlight w:val="none"/>
          <w:lang w:val="en-US" w:eastAsia="zh-CN"/>
        </w:rPr>
        <w:t>违约</w:t>
      </w:r>
      <w:r>
        <w:rPr>
          <w:rFonts w:hint="eastAsia" w:ascii="宋体" w:hAnsi="Times New Roman" w:eastAsia="宋体" w:cs="宋体"/>
          <w:highlight w:val="none"/>
        </w:rPr>
        <w:t>责任。</w:t>
      </w:r>
    </w:p>
    <w:p w14:paraId="41ED7CC0">
      <w:pPr>
        <w:ind w:left="0" w:firstLine="420" w:firstLineChars="200"/>
        <w:jc w:val="left"/>
        <w:rPr>
          <w:rFonts w:hint="eastAsia" w:ascii="宋体" w:hAnsi="Times New Roman" w:eastAsia="宋体" w:cs="宋体"/>
          <w:highlight w:val="none"/>
        </w:rPr>
      </w:pPr>
      <w:r>
        <w:rPr>
          <w:rFonts w:hint="eastAsia" w:ascii="宋体" w:hAnsi="Times New Roman" w:eastAsia="宋体" w:cs="宋体"/>
          <w:highlight w:val="none"/>
        </w:rPr>
        <w:t>（7）乙方应确保能配备充足数量的具有专业资质的服务人员以及设备提供约定服务，如因乙方提供约定服务过程中被第三方投诉或造成第三方人身损害、财产损失等，由乙方负责。因此造成甲方损失的，乙方应赔偿甲方全部损失</w:t>
      </w:r>
      <w:r>
        <w:rPr>
          <w:rFonts w:hint="eastAsia" w:ascii="宋体" w:hAnsi="Times New Roman" w:eastAsia="宋体" w:cs="宋体"/>
          <w:highlight w:val="none"/>
          <w:lang w:eastAsia="zh-CN"/>
        </w:rPr>
        <w:t>，并要求乙方依据本合同约定承担违约责任</w:t>
      </w:r>
      <w:r>
        <w:rPr>
          <w:rFonts w:hint="eastAsia" w:ascii="宋体" w:hAnsi="Times New Roman" w:eastAsia="宋体" w:cs="宋体"/>
          <w:highlight w:val="none"/>
        </w:rPr>
        <w:t>。</w:t>
      </w:r>
    </w:p>
    <w:p w14:paraId="7B0A1D42">
      <w:pPr>
        <w:ind w:left="0" w:firstLine="420" w:firstLineChars="200"/>
        <w:jc w:val="left"/>
        <w:rPr>
          <w:rFonts w:hint="eastAsia" w:ascii="宋体" w:hAnsi="Times New Roman" w:eastAsia="宋体" w:cs="宋体"/>
          <w:highlight w:val="none"/>
          <w:lang w:val="en-US" w:eastAsia="zh-CN"/>
        </w:rPr>
      </w:pPr>
      <w:r>
        <w:rPr>
          <w:rFonts w:hint="eastAsia" w:ascii="宋体" w:hAnsi="Times New Roman" w:eastAsia="宋体" w:cs="宋体"/>
          <w:highlight w:val="none"/>
          <w:lang w:val="en-US" w:eastAsia="zh-CN"/>
        </w:rPr>
        <w:t>（8）乙方保证已与乙方服务人员签署劳动合同，参加社会保险，保证甲方不会因使用乙方服务卷入乙方与乙方服务人员的劳动争议。如因此给甲方带来损失的，还应当赔偿甲方损失，并要求乙方依据本合同约定承担违约责任。</w:t>
      </w:r>
    </w:p>
    <w:p w14:paraId="69B91652">
      <w:pPr>
        <w:ind w:left="0" w:firstLine="420" w:firstLineChars="200"/>
        <w:jc w:val="left"/>
        <w:rPr>
          <w:rFonts w:hint="eastAsia" w:ascii="宋体" w:hAnsi="Times New Roman" w:eastAsia="宋体" w:cs="宋体"/>
          <w:highlight w:val="none"/>
          <w:lang w:val="en-US" w:eastAsia="zh-CN"/>
        </w:rPr>
      </w:pPr>
      <w:r>
        <w:rPr>
          <w:rFonts w:hint="eastAsia" w:ascii="宋体" w:hAnsi="Times New Roman" w:eastAsia="宋体" w:cs="宋体"/>
          <w:highlight w:val="none"/>
          <w:lang w:val="en-US" w:eastAsia="zh-CN"/>
        </w:rPr>
        <w:t>（9）不得侵犯他人知识产权。必须尊重他人知识产权,不得抄袭、盗用、仿冒他人的作品或者品牌。如因乙方提供约定服务过程中被第三方投诉或甲方因此承担责任的，甲方有权向乙方追偿，并要求乙方依据本合同约定承担违约责任。</w:t>
      </w:r>
    </w:p>
    <w:p w14:paraId="66C9F705">
      <w:pPr>
        <w:outlineLvl w:val="1"/>
        <w:rPr>
          <w:rFonts w:ascii="宋体" w:hAnsi="Times New Roman" w:eastAsia="宋体" w:cs="宋体"/>
          <w:highlight w:val="none"/>
        </w:rPr>
      </w:pPr>
      <w:r>
        <w:rPr>
          <w:rFonts w:hint="eastAsia" w:ascii="宋体" w:hAnsi="Times New Roman" w:eastAsia="宋体" w:cs="宋体"/>
          <w:highlight w:val="none"/>
        </w:rPr>
        <w:t>四、费用结算：</w:t>
      </w:r>
    </w:p>
    <w:p w14:paraId="338D2EE7">
      <w:pPr>
        <w:pPrChange w:id="18" w:author="盈科律师" w:date="2026-07-14T09:16:50Z">
          <w:pPr>
            <w:pStyle w:val="2"/>
          </w:pPr>
        </w:pPrChange>
      </w:pPr>
      <w:r>
        <w:rPr>
          <w:rFonts w:hint="eastAsia" w:ascii="宋体" w:hAnsi="Times New Roman" w:eastAsia="宋体" w:cs="宋体"/>
          <w:highlight w:val="none"/>
        </w:rPr>
        <w:t>第一次支付：</w:t>
      </w:r>
      <w:ins w:id="19" w:author="盈科律师" w:date="2026-07-14T09:16:46Z">
        <w:r>
          <w:rPr>
            <w:rFonts w:hint="eastAsia" w:ascii="宋体" w:hAnsi="Times New Roman" w:eastAsia="宋体" w:cs="宋体"/>
            <w:highlight w:val="none"/>
          </w:rPr>
          <w:t>合同生效后，乙方提供了详细的服务方案及人员设备进场计划并获甲方书面确认，且甲方收到乙方提供的等额增值税专用发票后30个工作日内，甲方向乙方支付合同固定总价的20%，即：￥【 】元（大写：人民币【 】元整）。</w:t>
        </w:r>
      </w:ins>
      <w:del w:id="20" w:author="盈科律师" w:date="2026-07-14T09:16:46Z">
        <w:r>
          <w:rPr>
            <w:rFonts w:hint="eastAsia" w:ascii="宋体" w:hAnsi="Times New Roman" w:eastAsia="宋体" w:cs="宋体"/>
            <w:highlight w:val="none"/>
          </w:rPr>
          <w:delText>合同生效后，乙方提供了详细的服务方案及人员设备进场计划并获甲方书面确认，且甲方收到乙方提供的等额增值税专用发票后30个工作日内，甲方向乙方支付合同</w:delText>
        </w:r>
      </w:del>
      <w:del w:id="21" w:author="盈科律师" w:date="2026-07-14T09:16:46Z">
        <w:r>
          <w:rPr>
            <w:rFonts w:hint="eastAsia" w:ascii="宋体" w:hAnsi="Times New Roman" w:eastAsia="宋体" w:cs="宋体"/>
            <w:highlight w:val="none"/>
            <w:lang w:val="en-US" w:eastAsia="zh-CN"/>
          </w:rPr>
          <w:delText>暂定</w:delText>
        </w:r>
      </w:del>
      <w:del w:id="22" w:author="盈科律师" w:date="2026-07-14T09:16:46Z">
        <w:r>
          <w:rPr>
            <w:rFonts w:hint="eastAsia" w:ascii="宋体" w:hAnsi="Times New Roman" w:eastAsia="宋体" w:cs="宋体"/>
            <w:highlight w:val="none"/>
          </w:rPr>
          <w:delText>总金额（经实际结算，该金额也可能为最后一笔支付款项）的</w:delText>
        </w:r>
      </w:del>
      <w:del w:id="23" w:author="盈科律师" w:date="2026-07-14T09:16:46Z">
        <w:r>
          <w:rPr>
            <w:rFonts w:hint="eastAsia" w:ascii="宋体" w:hAnsi="Times New Roman" w:eastAsia="宋体" w:cs="宋体"/>
            <w:highlight w:val="none"/>
            <w:lang w:val="en-US" w:eastAsia="zh-CN"/>
          </w:rPr>
          <w:delText>2</w:delText>
        </w:r>
      </w:del>
      <w:del w:id="24" w:author="盈科律师" w:date="2026-07-14T09:16:46Z">
        <w:r>
          <w:rPr>
            <w:rFonts w:hint="eastAsia" w:ascii="宋体" w:hAnsi="Times New Roman" w:eastAsia="宋体" w:cs="宋体"/>
            <w:highlight w:val="none"/>
          </w:rPr>
          <w:delText>0%，即：￥*元（大写：人民币*元整）。</w:delText>
        </w:r>
      </w:del>
    </w:p>
    <w:p w14:paraId="5B55A946">
      <w:pPr>
        <w:rPr>
          <w:rFonts w:ascii="宋体" w:hAnsi="Times New Roman" w:eastAsia="宋体" w:cs="宋体"/>
          <w:highlight w:val="none"/>
        </w:rPr>
      </w:pPr>
      <w:r>
        <w:rPr>
          <w:rFonts w:hint="eastAsia" w:ascii="宋体" w:hAnsi="Times New Roman" w:eastAsia="宋体" w:cs="宋体"/>
          <w:highlight w:val="none"/>
        </w:rPr>
        <w:t>第二次支付：</w:t>
      </w:r>
      <w:ins w:id="25" w:author="盈科律师" w:date="2026-07-14T09:29:04Z">
        <w:r>
          <w:rPr>
            <w:rFonts w:hint="eastAsia" w:ascii="宋体" w:hAnsi="Times New Roman" w:eastAsia="宋体" w:cs="宋体"/>
            <w:b w:val="0"/>
            <w:bCs w:val="0"/>
            <w:highlight w:val="none"/>
            <w:rPrChange w:id="26" w:author="盈科律师" w:date="2026-07-14T09:29:52Z">
              <w:rPr>
                <w:rFonts w:hint="eastAsia" w:ascii="宋体" w:hAnsi="Times New Roman" w:eastAsia="宋体" w:cs="宋体"/>
                <w:b/>
                <w:bCs/>
                <w:highlight w:val="none"/>
              </w:rPr>
            </w:rPrChange>
          </w:rPr>
          <w:t>乙</w:t>
        </w:r>
      </w:ins>
      <w:ins w:id="27" w:author="盈科律师" w:date="2026-07-14T09:29:04Z">
        <w:r>
          <w:rPr>
            <w:rFonts w:hint="eastAsia" w:ascii="宋体" w:hAnsi="Times New Roman" w:eastAsia="宋体" w:cs="宋体"/>
            <w:b w:val="0"/>
            <w:bCs w:val="0"/>
            <w:highlight w:val="none"/>
            <w:rPrChange w:id="28" w:author="盈科律师" w:date="2026-07-14T09:29:48Z">
              <w:rPr>
                <w:rFonts w:hint="eastAsia" w:ascii="宋体" w:hAnsi="Times New Roman" w:eastAsia="宋体" w:cs="宋体"/>
                <w:b/>
                <w:bCs/>
                <w:highlight w:val="none"/>
              </w:rPr>
            </w:rPrChange>
          </w:rPr>
          <w:t>方按照合同约定完成全部服务内容，并向甲方提交全部成果文件及本次赛事的服务总结报告，经甲方验收合格</w:t>
        </w:r>
      </w:ins>
      <w:ins w:id="29" w:author="盈科律师" w:date="2026-07-14T09:29:42Z">
        <w:r>
          <w:rPr>
            <w:rFonts w:hint="eastAsia" w:ascii="宋体" w:cs="宋体"/>
            <w:b w:val="0"/>
            <w:bCs w:val="0"/>
            <w:highlight w:val="none"/>
            <w:lang w:eastAsia="zh-CN"/>
            <w:rPrChange w:id="30" w:author="盈科律师" w:date="2026-07-14T09:29:48Z">
              <w:rPr>
                <w:rFonts w:hint="eastAsia" w:ascii="宋体" w:cs="宋体"/>
                <w:b/>
                <w:bCs/>
                <w:highlight w:val="none"/>
                <w:lang w:eastAsia="zh-CN"/>
              </w:rPr>
            </w:rPrChange>
          </w:rPr>
          <w:t>，</w:t>
        </w:r>
      </w:ins>
      <w:del w:id="31" w:author="盈科律师" w:date="2026-07-14T09:29:04Z">
        <w:r>
          <w:rPr>
            <w:rFonts w:hint="eastAsia" w:ascii="宋体" w:hAnsi="Times New Roman" w:eastAsia="宋体" w:cs="宋体"/>
            <w:b w:val="0"/>
            <w:bCs w:val="0"/>
            <w:highlight w:val="none"/>
            <w:rPrChange w:id="32" w:author="盈科律师" w:date="2026-07-14T09:29:48Z">
              <w:rPr>
                <w:rFonts w:hint="eastAsia" w:ascii="宋体" w:hAnsi="Times New Roman" w:eastAsia="宋体" w:cs="宋体"/>
                <w:b/>
                <w:bCs/>
                <w:highlight w:val="none"/>
              </w:rPr>
            </w:rPrChange>
          </w:rPr>
          <w:delText>乙方按照甲方的要求提交成果文件经甲方审核验收无误，</w:delText>
        </w:r>
      </w:del>
      <w:del w:id="33" w:author="盈科律师" w:date="2026-07-14T09:29:04Z">
        <w:r>
          <w:rPr>
            <w:rFonts w:hint="eastAsia" w:ascii="宋体" w:hAnsi="Times New Roman" w:eastAsia="宋体" w:cs="宋体"/>
            <w:b w:val="0"/>
            <w:bCs w:val="0"/>
            <w:highlight w:val="none"/>
            <w:lang w:val="en-US" w:eastAsia="zh-CN"/>
            <w:rPrChange w:id="34" w:author="盈科律师" w:date="2026-07-14T09:29:48Z">
              <w:rPr>
                <w:rFonts w:hint="eastAsia" w:ascii="宋体" w:hAnsi="Times New Roman" w:eastAsia="宋体" w:cs="宋体"/>
                <w:b/>
                <w:bCs/>
                <w:highlight w:val="none"/>
                <w:lang w:val="en-US" w:eastAsia="zh-CN"/>
              </w:rPr>
            </w:rPrChange>
          </w:rPr>
          <w:delText>并于</w:delText>
        </w:r>
      </w:del>
      <w:del w:id="35" w:author="盈科律师" w:date="2026-07-14T09:29:04Z">
        <w:r>
          <w:rPr>
            <w:rFonts w:hint="eastAsia" w:ascii="宋体" w:hAnsi="Times New Roman" w:eastAsia="宋体" w:cs="宋体"/>
            <w:b w:val="0"/>
            <w:bCs w:val="0"/>
            <w:highlight w:val="none"/>
            <w:rPrChange w:id="36" w:author="盈科律师" w:date="2026-07-14T09:29:48Z">
              <w:rPr>
                <w:rFonts w:hint="eastAsia" w:ascii="宋体" w:hAnsi="Times New Roman" w:eastAsia="宋体" w:cs="宋体"/>
                <w:b/>
                <w:bCs/>
                <w:highlight w:val="none"/>
              </w:rPr>
            </w:rPrChange>
          </w:rPr>
          <w:delText>赛事结束后三个月内提供本次赛事的服务总结（服务类合同附总结，物资类合同附物资清单）以及核量材料，甲乙双方按约定单价及核量结果计算实际执行金额，甲方审核确认无误，</w:delText>
        </w:r>
      </w:del>
      <w:r>
        <w:rPr>
          <w:rFonts w:hint="eastAsia" w:ascii="宋体" w:hAnsi="Times New Roman" w:eastAsia="宋体" w:cs="宋体"/>
          <w:highlight w:val="none"/>
        </w:rPr>
        <w:t>甲方结合乙方履约考核评分结果，评价结果为优秀的，甲方在收到乙方提供的等额增值税专用发票后的</w:t>
      </w:r>
      <w:r>
        <w:rPr>
          <w:rFonts w:hint="eastAsia" w:ascii="宋体" w:cs="宋体"/>
          <w:highlight w:val="none"/>
          <w:lang w:val="en-US" w:eastAsia="zh-CN"/>
        </w:rPr>
        <w:t>180</w:t>
      </w:r>
      <w:r>
        <w:rPr>
          <w:rFonts w:hint="eastAsia" w:ascii="宋体" w:hAnsi="Times New Roman" w:eastAsia="宋体" w:cs="宋体"/>
          <w:highlight w:val="none"/>
        </w:rPr>
        <w:t>日内，甲方向乙方</w:t>
      </w:r>
      <w:ins w:id="37" w:author="盈科律师" w:date="2026-07-14T09:17:54Z">
        <w:r>
          <w:rPr>
            <w:rFonts w:hint="eastAsia" w:ascii="宋体" w:hAnsi="Times New Roman" w:eastAsia="宋体" w:cs="宋体"/>
            <w:highlight w:val="none"/>
          </w:rPr>
          <w:t>支付合同总价的剩余费用</w:t>
        </w:r>
      </w:ins>
      <w:del w:id="38" w:author="盈科律师" w:date="2026-07-14T09:18:51Z">
        <w:r>
          <w:rPr>
            <w:rFonts w:hint="eastAsia" w:ascii="宋体" w:hAnsi="Times New Roman" w:eastAsia="宋体" w:cs="宋体"/>
            <w:highlight w:val="none"/>
          </w:rPr>
          <w:delText>支付合同总金额（以实际结算的合同总金额为准）的</w:delText>
        </w:r>
      </w:del>
      <w:del w:id="39" w:author="盈科律师" w:date="2026-07-14T09:18:51Z">
        <w:r>
          <w:rPr>
            <w:rFonts w:hint="eastAsia" w:ascii="宋体" w:hAnsi="Times New Roman" w:eastAsia="宋体" w:cs="宋体"/>
            <w:highlight w:val="none"/>
            <w:lang w:val="en-US" w:eastAsia="zh-CN"/>
          </w:rPr>
          <w:delText>剩余</w:delText>
        </w:r>
      </w:del>
      <w:del w:id="40" w:author="盈科律师" w:date="2026-07-14T09:18:51Z">
        <w:r>
          <w:rPr>
            <w:rFonts w:hint="eastAsia" w:ascii="宋体" w:hAnsi="Times New Roman" w:eastAsia="宋体" w:cs="宋体"/>
            <w:highlight w:val="none"/>
          </w:rPr>
          <w:delText>费用（如有），即：￥*元（大写：人民币*整）</w:delText>
        </w:r>
      </w:del>
      <w:r>
        <w:rPr>
          <w:rFonts w:hint="eastAsia" w:ascii="宋体" w:hAnsi="Times New Roman" w:eastAsia="宋体" w:cs="宋体"/>
          <w:highlight w:val="none"/>
        </w:rPr>
        <w:t>。</w:t>
      </w:r>
    </w:p>
    <w:p w14:paraId="1820B296">
      <w:pPr>
        <w:ind w:left="0" w:firstLine="420" w:firstLineChars="200"/>
        <w:rPr>
          <w:rFonts w:hint="eastAsia" w:ascii="宋体" w:hAnsi="宋体" w:eastAsia="宋体" w:cs="宋体"/>
          <w:highlight w:val="none"/>
        </w:rPr>
      </w:pPr>
      <w:r>
        <w:rPr>
          <w:rFonts w:hint="eastAsia" w:ascii="宋体" w:hAnsi="宋体" w:eastAsia="宋体" w:cs="宋体"/>
          <w:kern w:val="2"/>
          <w:sz w:val="21"/>
          <w:szCs w:val="24"/>
          <w:lang w:val="en-US" w:eastAsia="zh-CN" w:bidi="ar-SA"/>
        </w:rPr>
        <w:t>1、</w:t>
      </w:r>
      <w:r>
        <w:rPr>
          <w:rFonts w:hint="eastAsia" w:ascii="宋体" w:hAnsi="宋体" w:eastAsia="宋体" w:cs="宋体"/>
          <w:highlight w:val="none"/>
        </w:rPr>
        <w:t>除首款，第二次款项由基本费用(占第二笔款项90%）和绩效费用(占第二笔款项10%)组成。乙方每次申请进度款时，经甲方审核后，支付基本费用；甲方对乙方当期的服务进行履约评价，根据履约评价结果计算对应的绩效费用。乙方服务完成并经甲方审定最终结算价后，甲方对乙方进行最终履约评价，最终绩效费用与基本费用余款一起一次性支付。</w:t>
      </w:r>
    </w:p>
    <w:p w14:paraId="0FBA418A">
      <w:pPr>
        <w:ind w:firstLine="420" w:firstLineChars="200"/>
        <w:rPr>
          <w:rFonts w:hint="eastAsia" w:ascii="宋体" w:hAnsi="宋体" w:eastAsia="宋体" w:cs="宋体"/>
          <w:highlight w:val="none"/>
        </w:rPr>
      </w:pPr>
      <w:r>
        <w:rPr>
          <w:rFonts w:hint="eastAsia" w:ascii="宋体" w:hAnsi="宋体" w:eastAsia="宋体" w:cs="宋体"/>
          <w:highlight w:val="none"/>
        </w:rPr>
        <w:t>2、履约评价采用百分制，综合考评分为优秀(评分≥90分)、良好(80≤评分&lt;90)、一般(70≤评分&lt;80)、差(评分&lt;70)四个等级；（履约评价表详见附件2）。</w:t>
      </w:r>
    </w:p>
    <w:p w14:paraId="7221BD34">
      <w:pPr>
        <w:rPr>
          <w:rFonts w:hint="eastAsia" w:ascii="宋体" w:hAnsi="宋体" w:eastAsia="宋体" w:cs="宋体"/>
          <w:highlight w:val="none"/>
        </w:rPr>
      </w:pPr>
      <w:r>
        <w:rPr>
          <w:rFonts w:hint="eastAsia" w:ascii="宋体" w:hAnsi="宋体" w:eastAsia="宋体" w:cs="宋体"/>
          <w:highlight w:val="none"/>
        </w:rPr>
        <w:t>最终履约评价为优秀的，支付全部绩效费用，履约评价为良好的，支付绩效费用的70%，履约评价为一般的，支付绩效费用的50%；履约评价为差的，不支付绩效费用。</w:t>
      </w:r>
    </w:p>
    <w:p w14:paraId="7611864B">
      <w:pPr>
        <w:rPr>
          <w:rFonts w:ascii="宋体" w:hAnsi="Times New Roman" w:eastAsia="宋体" w:cs="宋体"/>
          <w:highlight w:val="none"/>
        </w:rPr>
      </w:pPr>
      <w:r>
        <w:rPr>
          <w:rFonts w:hint="eastAsia" w:ascii="宋体" w:hAnsi="Times New Roman" w:eastAsia="宋体" w:cs="宋体"/>
          <w:highlight w:val="none"/>
        </w:rPr>
        <w:t>乙方账号信息如下：</w:t>
      </w:r>
    </w:p>
    <w:p w14:paraId="3E8408AA">
      <w:pPr>
        <w:jc w:val="left"/>
        <w:rPr>
          <w:rFonts w:ascii="宋体" w:hAnsi="Times New Roman" w:eastAsia="宋体" w:cs="宋体"/>
          <w:highlight w:val="none"/>
        </w:rPr>
      </w:pPr>
      <w:r>
        <w:rPr>
          <w:rFonts w:hint="eastAsia" w:ascii="宋体" w:hAnsi="Times New Roman" w:eastAsia="宋体" w:cs="宋体"/>
          <w:highlight w:val="none"/>
        </w:rPr>
        <w:t>账户名称：*</w:t>
      </w:r>
    </w:p>
    <w:p w14:paraId="17E8CFA1">
      <w:pPr>
        <w:jc w:val="left"/>
        <w:rPr>
          <w:rFonts w:ascii="宋体" w:hAnsi="Times New Roman" w:eastAsia="宋体" w:cs="宋体"/>
          <w:highlight w:val="none"/>
        </w:rPr>
      </w:pPr>
      <w:r>
        <w:rPr>
          <w:rFonts w:hint="eastAsia" w:ascii="宋体" w:hAnsi="Times New Roman" w:eastAsia="宋体" w:cs="宋体"/>
          <w:highlight w:val="none"/>
        </w:rPr>
        <w:t>账    号：*</w:t>
      </w:r>
    </w:p>
    <w:p w14:paraId="04AC4150">
      <w:pPr>
        <w:rPr>
          <w:rFonts w:ascii="宋体" w:hAnsi="Times New Roman" w:eastAsia="宋体" w:cs="宋体"/>
          <w:highlight w:val="none"/>
        </w:rPr>
      </w:pPr>
      <w:r>
        <w:rPr>
          <w:rFonts w:hint="eastAsia" w:ascii="宋体" w:hAnsi="Times New Roman" w:eastAsia="宋体" w:cs="宋体"/>
          <w:highlight w:val="none"/>
        </w:rPr>
        <w:t>开 户 行：*</w:t>
      </w:r>
    </w:p>
    <w:p w14:paraId="5EDD28C8">
      <w:pPr>
        <w:outlineLvl w:val="1"/>
        <w:rPr>
          <w:rFonts w:hint="eastAsia" w:ascii="宋体" w:hAnsi="Times New Roman" w:eastAsia="宋体" w:cs="宋体"/>
          <w:highlight w:val="none"/>
        </w:rPr>
      </w:pPr>
      <w:r>
        <w:rPr>
          <w:rFonts w:hint="eastAsia" w:ascii="宋体" w:hAnsi="Times New Roman" w:eastAsia="宋体" w:cs="宋体"/>
          <w:highlight w:val="none"/>
        </w:rPr>
        <w:t>五、违约责任：</w:t>
      </w:r>
    </w:p>
    <w:p w14:paraId="52501F3A">
      <w:pPr>
        <w:rPr>
          <w:rFonts w:hint="eastAsia" w:ascii="宋体" w:hAnsi="Times New Roman" w:eastAsia="宋体" w:cs="宋体"/>
          <w:highlight w:val="none"/>
        </w:rPr>
      </w:pPr>
      <w:r>
        <w:rPr>
          <w:rFonts w:hint="eastAsia" w:ascii="宋体" w:hAnsi="Times New Roman" w:eastAsia="宋体" w:cs="宋体"/>
          <w:highlight w:val="none"/>
        </w:rPr>
        <w:t>1、甲方的违约责任：</w:t>
      </w:r>
    </w:p>
    <w:p w14:paraId="64744354">
      <w:pPr>
        <w:rPr>
          <w:rFonts w:hint="eastAsia" w:ascii="宋体" w:hAnsi="Times New Roman" w:eastAsia="宋体" w:cs="宋体"/>
          <w:highlight w:val="none"/>
        </w:rPr>
      </w:pPr>
      <w:r>
        <w:rPr>
          <w:rFonts w:hint="eastAsia" w:ascii="宋体" w:hAnsi="Times New Roman" w:eastAsia="宋体" w:cs="宋体"/>
          <w:highlight w:val="none"/>
        </w:rPr>
        <w:t>如因甲方付款涉及上级单位审批或甲乙双方对应付款项金额存在分歧导致甲方未在付款期限内向乙方支付款项的，乙方知悉上述风险并同意不因此追究甲方逾期付款责任。</w:t>
      </w:r>
    </w:p>
    <w:p w14:paraId="2C19F9AD">
      <w:pPr>
        <w:rPr>
          <w:rFonts w:hint="eastAsia" w:ascii="宋体" w:hAnsi="Times New Roman" w:eastAsia="宋体" w:cs="宋体"/>
          <w:highlight w:val="none"/>
        </w:rPr>
      </w:pPr>
      <w:r>
        <w:rPr>
          <w:rFonts w:hint="eastAsia" w:ascii="宋体" w:hAnsi="Times New Roman" w:eastAsia="宋体" w:cs="宋体"/>
          <w:highlight w:val="none"/>
        </w:rPr>
        <w:t>2、乙方的违约责任：</w:t>
      </w:r>
    </w:p>
    <w:p w14:paraId="1C21276B">
      <w:pPr>
        <w:rPr>
          <w:rFonts w:hint="eastAsia" w:ascii="宋体" w:hAnsi="Times New Roman" w:eastAsia="宋体" w:cs="宋体"/>
          <w:highlight w:val="none"/>
        </w:rPr>
      </w:pPr>
      <w:r>
        <w:rPr>
          <w:rFonts w:hint="eastAsia" w:ascii="宋体" w:hAnsi="Times New Roman" w:eastAsia="宋体" w:cs="宋体"/>
          <w:highlight w:val="none"/>
        </w:rPr>
        <w:t>（1）乙方提供服务质量不符合合同约定或甲方要求的，甲方有权单方解除合同，并扣减或不予支付任何费用；已支付的，甲方有权要求乙方返还；乙方另须按照合同总额的30%支付违约金，给对方给甲方造成损失的，乙方还应当赔偿全部实际损失。</w:t>
      </w:r>
    </w:p>
    <w:p w14:paraId="17A801E1">
      <w:pPr>
        <w:rPr>
          <w:rFonts w:hint="eastAsia" w:ascii="宋体" w:hAnsi="Times New Roman" w:eastAsia="宋体" w:cs="宋体"/>
          <w:highlight w:val="none"/>
        </w:rPr>
      </w:pPr>
      <w:r>
        <w:rPr>
          <w:rFonts w:hint="eastAsia" w:ascii="宋体" w:hAnsi="Times New Roman" w:eastAsia="宋体" w:cs="宋体"/>
          <w:highlight w:val="none"/>
        </w:rPr>
        <w:t>（2）乙方未按照本合同约定时间或甲方要求完成全部服务工作的，甲方有权单方解除合同，乙方另须按照合同总额的30%支付违约金，给甲方造成损失的，乙方还应当负责赔偿甲方全部损失。</w:t>
      </w:r>
    </w:p>
    <w:p w14:paraId="45CB7FC7">
      <w:pPr>
        <w:rPr>
          <w:rFonts w:hint="eastAsia" w:ascii="宋体" w:hAnsi="Times New Roman" w:eastAsia="宋体" w:cs="宋体"/>
          <w:highlight w:val="none"/>
        </w:rPr>
      </w:pPr>
      <w:r>
        <w:rPr>
          <w:rFonts w:hint="eastAsia" w:ascii="宋体" w:hAnsi="Times New Roman" w:eastAsia="宋体" w:cs="宋体"/>
          <w:highlight w:val="none"/>
        </w:rPr>
        <w:t>（3）因乙方违反本</w:t>
      </w:r>
      <w:r>
        <w:rPr>
          <w:rFonts w:hint="eastAsia" w:ascii="宋体" w:cs="宋体"/>
          <w:highlight w:val="none"/>
          <w:lang w:val="en-US" w:eastAsia="zh-CN"/>
        </w:rPr>
        <w:t>合同</w:t>
      </w:r>
      <w:r>
        <w:rPr>
          <w:rFonts w:hint="eastAsia" w:ascii="宋体" w:hAnsi="Times New Roman" w:eastAsia="宋体" w:cs="宋体"/>
          <w:highlight w:val="none"/>
        </w:rPr>
        <w:t>约定或由本</w:t>
      </w:r>
      <w:r>
        <w:rPr>
          <w:rFonts w:hint="eastAsia" w:ascii="宋体" w:cs="宋体"/>
          <w:highlight w:val="none"/>
          <w:lang w:val="en-US" w:eastAsia="zh-CN"/>
        </w:rPr>
        <w:t>合同</w:t>
      </w:r>
      <w:r>
        <w:rPr>
          <w:rFonts w:hint="eastAsia" w:ascii="宋体" w:hAnsi="Times New Roman" w:eastAsia="宋体" w:cs="宋体"/>
          <w:highlight w:val="none"/>
        </w:rPr>
        <w:t>引发的其他事宜导致甲方诉诸法律途径解决的，乙方应赔偿甲方相应损失并承担甲方为此产生的必要合理费用，合理费用包括但不限于重新招标费用、赛事延期损失、商誉损失、诉讼费、律师费、财产保全费、财产保全担保费、差旅费、执行费、公告费、保险费、评估费、拍卖费、保管费、鉴定费等。</w:t>
      </w:r>
    </w:p>
    <w:p w14:paraId="77B7C936">
      <w:pPr>
        <w:outlineLvl w:val="1"/>
        <w:rPr>
          <w:rFonts w:ascii="宋体" w:hAnsi="Times New Roman" w:eastAsia="宋体" w:cs="宋体"/>
          <w:highlight w:val="none"/>
        </w:rPr>
      </w:pPr>
      <w:r>
        <w:rPr>
          <w:rFonts w:hint="eastAsia" w:ascii="宋体" w:hAnsi="Times New Roman" w:eastAsia="宋体" w:cs="宋体"/>
          <w:highlight w:val="none"/>
        </w:rPr>
        <w:t>六、不可抗因素：</w:t>
      </w:r>
    </w:p>
    <w:p w14:paraId="155DEA21">
      <w:pPr>
        <w:rPr>
          <w:rFonts w:ascii="宋体" w:hAnsi="Times New Roman" w:eastAsia="宋体" w:cs="宋体"/>
          <w:highlight w:val="none"/>
          <w:lang w:val="en-US" w:eastAsia="zh-CN"/>
        </w:rPr>
      </w:pPr>
      <w:r>
        <w:rPr>
          <w:rFonts w:hint="eastAsia" w:ascii="宋体" w:hAnsi="Times New Roman" w:eastAsia="宋体" w:cs="宋体"/>
          <w:highlight w:val="none"/>
        </w:rPr>
        <w:t>1、本合同项下任何一方对于因不可抗力致使本合同不能履行或不能全部履行而给对方造成的任何损失不承担赔偿责任。</w:t>
      </w:r>
      <w:r>
        <w:rPr>
          <w:rFonts w:hint="eastAsia" w:ascii="宋体" w:cs="宋体"/>
          <w:highlight w:val="none"/>
          <w:lang w:val="en-US" w:eastAsia="zh-CN"/>
        </w:rPr>
        <w:t>迟延履行导致发生不可抗力的除外。</w:t>
      </w:r>
    </w:p>
    <w:p w14:paraId="2B1333CF">
      <w:pPr>
        <w:rPr>
          <w:rFonts w:ascii="宋体" w:hAnsi="Times New Roman" w:eastAsia="宋体" w:cs="宋体"/>
          <w:highlight w:val="none"/>
        </w:rPr>
      </w:pPr>
      <w:r>
        <w:rPr>
          <w:rFonts w:hint="eastAsia" w:ascii="宋体" w:hAnsi="Times New Roman" w:eastAsia="宋体" w:cs="宋体"/>
          <w:highlight w:val="none"/>
        </w:rPr>
        <w:t>2、如果发生不可抗力，则受影响的一方应采取积极有效的措施以减少因本合同不能履行或不能全部履行而给对方造成的损失，并应以最为快捷的方式通知对方。</w:t>
      </w:r>
    </w:p>
    <w:p w14:paraId="13FC2287">
      <w:pPr>
        <w:rPr>
          <w:rFonts w:ascii="宋体" w:hAnsi="Times New Roman" w:eastAsia="宋体" w:cs="宋体"/>
          <w:highlight w:val="none"/>
        </w:rPr>
      </w:pPr>
      <w:r>
        <w:rPr>
          <w:rFonts w:hint="eastAsia" w:ascii="宋体" w:hAnsi="Times New Roman" w:eastAsia="宋体" w:cs="宋体"/>
          <w:highlight w:val="none"/>
        </w:rPr>
        <w:t>3、由于行政命令等不可抗力造成赛事延期的，甲乙双方一致同意，自甲方赛事组委会宣布赛事延期之日起一年内，赛事重新举办的，本合同继续履行；若造成赛事取消的，甲乙双方一致同意，双方应尽最大努力协商，将该等不良影响降至最低，乙方知悉上述风险并同意不因此原因追究甲方的违约责任。</w:t>
      </w:r>
    </w:p>
    <w:p w14:paraId="471FE453">
      <w:pPr>
        <w:outlineLvl w:val="1"/>
        <w:rPr>
          <w:rFonts w:ascii="宋体" w:hAnsi="Times New Roman" w:eastAsia="宋体" w:cs="宋体"/>
          <w:b/>
          <w:bCs/>
          <w:highlight w:val="none"/>
        </w:rPr>
      </w:pPr>
      <w:r>
        <w:rPr>
          <w:rFonts w:hint="eastAsia" w:ascii="宋体" w:hAnsi="Times New Roman" w:eastAsia="宋体" w:cs="宋体"/>
          <w:b/>
          <w:bCs/>
          <w:highlight w:val="none"/>
        </w:rPr>
        <w:t>七、保密</w:t>
      </w:r>
    </w:p>
    <w:p w14:paraId="4A6E4EC7">
      <w:pPr>
        <w:rPr>
          <w:rFonts w:hint="eastAsia" w:ascii="宋体" w:hAnsi="Times New Roman" w:eastAsia="宋体" w:cs="宋体"/>
          <w:highlight w:val="none"/>
        </w:rPr>
      </w:pPr>
      <w:r>
        <w:rPr>
          <w:rFonts w:hint="eastAsia" w:ascii="宋体" w:hAnsi="Times New Roman" w:eastAsia="宋体" w:cs="宋体"/>
          <w:highlight w:val="none"/>
        </w:rPr>
        <w:t>甲乙双方任一方在未经另一方书面许可的情况下，不得将因履行本合同而知悉的对方的商业秘密、技术信息、赛事资料、方案（统称“保密信息”）以任何形式泄露给第三方，否则将依法依约承担全部赔偿责任（包括但不限于甲方等主体）。此保密义务不因本合同的终止而终止，在本合同存续期间及终止后永久持续有效。乙方存在违反本条款内容的行为，（每次）应当向甲方承担赔偿【10万元人民币】违约金。</w:t>
      </w:r>
    </w:p>
    <w:p w14:paraId="15B1C13C">
      <w:pPr>
        <w:rPr>
          <w:rFonts w:hint="eastAsia" w:ascii="宋体" w:cs="宋体"/>
          <w:b/>
          <w:bCs/>
          <w:highlight w:val="none"/>
        </w:rPr>
      </w:pPr>
      <w:r>
        <w:rPr>
          <w:rFonts w:hint="eastAsia" w:ascii="宋体" w:cs="宋体"/>
          <w:b/>
          <w:bCs/>
          <w:highlight w:val="none"/>
        </w:rPr>
        <w:t>八、知识产权</w:t>
      </w:r>
    </w:p>
    <w:p w14:paraId="6720EE69">
      <w:pPr>
        <w:rPr>
          <w:rFonts w:hint="eastAsia" w:ascii="宋体" w:hAnsi="Times New Roman" w:eastAsia="宋体" w:cs="宋体"/>
          <w:highlight w:val="none"/>
        </w:rPr>
      </w:pPr>
      <w:r>
        <w:rPr>
          <w:rFonts w:hint="eastAsia" w:ascii="宋体" w:cs="宋体"/>
          <w:highlight w:val="none"/>
        </w:rPr>
        <w:t>乙方为履行本合同所创作、编制或提供的所有服务方案、设计图纸、应急预案及其他任何形式的智力成果，其知识产权（包括但不限于著作权、专利申请权等）自始归甲方所有。乙方有权为履行本合同之目的进行使用。乙方保证其服务成果不侵犯任何第三方知识产权。</w:t>
      </w:r>
    </w:p>
    <w:p w14:paraId="53811C3B">
      <w:pPr>
        <w:outlineLvl w:val="1"/>
        <w:rPr>
          <w:rFonts w:ascii="宋体" w:hAnsi="Times New Roman" w:eastAsia="宋体" w:cs="宋体"/>
          <w:b/>
          <w:bCs/>
          <w:highlight w:val="none"/>
        </w:rPr>
      </w:pPr>
      <w:r>
        <w:rPr>
          <w:rFonts w:hint="eastAsia" w:ascii="宋体" w:cs="宋体"/>
          <w:b/>
          <w:bCs/>
          <w:highlight w:val="none"/>
          <w:lang w:val="en-US" w:eastAsia="zh-CN"/>
        </w:rPr>
        <w:t>九</w:t>
      </w:r>
      <w:r>
        <w:rPr>
          <w:rFonts w:hint="eastAsia" w:ascii="宋体" w:hAnsi="Times New Roman" w:eastAsia="宋体" w:cs="宋体"/>
          <w:b/>
          <w:bCs/>
          <w:highlight w:val="none"/>
        </w:rPr>
        <w:t>、争议的解决：</w:t>
      </w:r>
    </w:p>
    <w:p w14:paraId="0B6B671B">
      <w:pPr>
        <w:rPr>
          <w:rFonts w:ascii="宋体" w:hAnsi="Times New Roman" w:eastAsia="宋体" w:cs="宋体"/>
          <w:highlight w:val="none"/>
        </w:rPr>
      </w:pPr>
      <w:r>
        <w:rPr>
          <w:rFonts w:hint="eastAsia" w:ascii="宋体" w:hAnsi="Times New Roman" w:eastAsia="宋体" w:cs="宋体"/>
          <w:highlight w:val="none"/>
        </w:rPr>
        <w:t>1、凡因本合同所引起的或与本合同有关的任何争议，可由双方友好协商解决，协商不成的，</w:t>
      </w:r>
      <w:r>
        <w:rPr>
          <w:rFonts w:hint="eastAsia" w:ascii="宋体" w:hAnsi="Times New Roman" w:eastAsia="宋体" w:cs="宋体"/>
          <w:sz w:val="21"/>
          <w:highlight w:val="none"/>
        </w:rPr>
        <w:t>则双方均有权向甲方所在地人民法院提起诉讼。</w:t>
      </w:r>
    </w:p>
    <w:p w14:paraId="2B11FDD5">
      <w:pPr>
        <w:rPr>
          <w:rFonts w:ascii="宋体" w:hAnsi="Times New Roman" w:eastAsia="宋体" w:cs="宋体"/>
          <w:highlight w:val="none"/>
        </w:rPr>
      </w:pPr>
      <w:r>
        <w:rPr>
          <w:rFonts w:hint="eastAsia" w:ascii="宋体" w:hAnsi="Times New Roman" w:eastAsia="宋体" w:cs="宋体"/>
          <w:highlight w:val="none"/>
        </w:rPr>
        <w:t>2、本合同的订立、执行、解释及争议的解决均应适用中国法律</w:t>
      </w:r>
      <w:r>
        <w:rPr>
          <w:rFonts w:hint="eastAsia" w:ascii="宋体" w:cs="宋体"/>
          <w:highlight w:val="none"/>
          <w:lang w:eastAsia="zh-CN"/>
        </w:rPr>
        <w:t>（</w:t>
      </w:r>
      <w:r>
        <w:rPr>
          <w:rFonts w:hint="eastAsia" w:ascii="宋体" w:cs="宋体"/>
          <w:highlight w:val="none"/>
          <w:lang w:val="en-US" w:eastAsia="zh-CN"/>
        </w:rPr>
        <w:t>不包括港澳台地区法律</w:t>
      </w:r>
      <w:r>
        <w:rPr>
          <w:rFonts w:hint="eastAsia" w:ascii="宋体" w:cs="宋体"/>
          <w:highlight w:val="none"/>
          <w:lang w:eastAsia="zh-CN"/>
        </w:rPr>
        <w:t>）</w:t>
      </w:r>
      <w:r>
        <w:rPr>
          <w:rFonts w:hint="eastAsia" w:ascii="宋体" w:hAnsi="Times New Roman" w:eastAsia="宋体" w:cs="宋体"/>
          <w:highlight w:val="none"/>
        </w:rPr>
        <w:t>。</w:t>
      </w:r>
    </w:p>
    <w:p w14:paraId="6113768F">
      <w:pPr>
        <w:outlineLvl w:val="1"/>
        <w:rPr>
          <w:rFonts w:ascii="宋体" w:hAnsi="Times New Roman" w:eastAsia="宋体" w:cs="宋体"/>
          <w:highlight w:val="none"/>
        </w:rPr>
      </w:pPr>
      <w:r>
        <w:rPr>
          <w:rFonts w:hint="eastAsia" w:ascii="宋体" w:cs="宋体"/>
          <w:highlight w:val="none"/>
          <w:lang w:val="en-US" w:eastAsia="zh-CN"/>
        </w:rPr>
        <w:t>十</w:t>
      </w:r>
      <w:r>
        <w:rPr>
          <w:rFonts w:hint="eastAsia" w:ascii="宋体" w:hAnsi="Times New Roman" w:eastAsia="宋体" w:cs="宋体"/>
          <w:highlight w:val="none"/>
        </w:rPr>
        <w:t>、合同生效与终止：</w:t>
      </w:r>
    </w:p>
    <w:p w14:paraId="6DB10CE2">
      <w:pPr>
        <w:rPr>
          <w:rFonts w:ascii="宋体" w:hAnsi="Times New Roman" w:eastAsia="宋体" w:cs="宋体"/>
          <w:highlight w:val="none"/>
        </w:rPr>
      </w:pPr>
      <w:r>
        <w:rPr>
          <w:rFonts w:hint="eastAsia" w:ascii="宋体" w:hAnsi="Times New Roman" w:eastAsia="宋体" w:cs="宋体"/>
          <w:highlight w:val="none"/>
        </w:rPr>
        <w:t>本合同自甲乙双方法定代表人或授权代表签字并加盖</w:t>
      </w:r>
      <w:r>
        <w:rPr>
          <w:rFonts w:hint="eastAsia" w:ascii="宋体" w:cs="宋体"/>
          <w:highlight w:val="none"/>
          <w:lang w:val="en-US" w:eastAsia="zh-CN"/>
        </w:rPr>
        <w:t>单位</w:t>
      </w:r>
      <w:r>
        <w:rPr>
          <w:rFonts w:hint="eastAsia" w:ascii="宋体" w:hAnsi="Times New Roman" w:eastAsia="宋体" w:cs="宋体"/>
          <w:highlight w:val="none"/>
        </w:rPr>
        <w:t>公章</w:t>
      </w:r>
      <w:r>
        <w:rPr>
          <w:rFonts w:hint="eastAsia" w:ascii="宋体" w:cs="宋体"/>
          <w:highlight w:val="none"/>
          <w:lang w:eastAsia="zh-CN"/>
        </w:rPr>
        <w:t>（</w:t>
      </w:r>
      <w:r>
        <w:rPr>
          <w:rFonts w:hint="eastAsia" w:ascii="宋体" w:cs="宋体"/>
          <w:highlight w:val="none"/>
          <w:lang w:val="en-US" w:eastAsia="zh-CN"/>
        </w:rPr>
        <w:t>或者合同专用章</w:t>
      </w:r>
      <w:r>
        <w:rPr>
          <w:rFonts w:hint="eastAsia" w:ascii="宋体" w:cs="宋体"/>
          <w:highlight w:val="none"/>
          <w:lang w:eastAsia="zh-CN"/>
        </w:rPr>
        <w:t>）</w:t>
      </w:r>
      <w:r>
        <w:rPr>
          <w:rFonts w:hint="eastAsia" w:ascii="宋体" w:hAnsi="Times New Roman" w:eastAsia="宋体" w:cs="宋体"/>
          <w:highlight w:val="none"/>
        </w:rPr>
        <w:t>之日起，即时生效。</w:t>
      </w:r>
    </w:p>
    <w:p w14:paraId="02A0F067">
      <w:pPr>
        <w:outlineLvl w:val="1"/>
        <w:rPr>
          <w:rFonts w:ascii="宋体" w:hAnsi="Times New Roman" w:eastAsia="宋体" w:cs="宋体"/>
          <w:highlight w:val="none"/>
        </w:rPr>
      </w:pPr>
      <w:r>
        <w:rPr>
          <w:rFonts w:hint="eastAsia" w:ascii="宋体" w:hAnsi="Times New Roman" w:eastAsia="宋体" w:cs="宋体"/>
          <w:highlight w:val="none"/>
        </w:rPr>
        <w:t>十</w:t>
      </w:r>
      <w:r>
        <w:rPr>
          <w:rFonts w:hint="eastAsia" w:ascii="宋体" w:cs="宋体"/>
          <w:highlight w:val="none"/>
          <w:lang w:val="en-US" w:eastAsia="zh-CN"/>
        </w:rPr>
        <w:t>一</w:t>
      </w:r>
      <w:r>
        <w:rPr>
          <w:rFonts w:hint="eastAsia" w:ascii="宋体" w:hAnsi="Times New Roman" w:eastAsia="宋体" w:cs="宋体"/>
          <w:highlight w:val="none"/>
        </w:rPr>
        <w:t>、合同份数：</w:t>
      </w:r>
    </w:p>
    <w:p w14:paraId="064F2B66">
      <w:pPr>
        <w:rPr>
          <w:rFonts w:ascii="宋体" w:hAnsi="Times New Roman" w:eastAsia="宋体" w:cs="宋体"/>
          <w:highlight w:val="none"/>
        </w:rPr>
      </w:pPr>
      <w:r>
        <w:rPr>
          <w:rFonts w:hint="eastAsia" w:ascii="宋体" w:hAnsi="Times New Roman" w:eastAsia="宋体" w:cs="宋体"/>
          <w:highlight w:val="none"/>
        </w:rPr>
        <w:t>本合同一式</w:t>
      </w:r>
      <w:r>
        <w:rPr>
          <w:rFonts w:hint="eastAsia" w:ascii="宋体" w:cs="宋体"/>
          <w:highlight w:val="none"/>
          <w:lang w:val="en-US" w:eastAsia="zh-CN"/>
        </w:rPr>
        <w:t>肆</w:t>
      </w:r>
      <w:r>
        <w:rPr>
          <w:rFonts w:hint="eastAsia" w:ascii="宋体" w:hAnsi="Times New Roman" w:eastAsia="宋体" w:cs="宋体"/>
          <w:highlight w:val="none"/>
        </w:rPr>
        <w:t>份，具有同等法律效力，由甲方执叁份，乙方执壹份。</w:t>
      </w:r>
    </w:p>
    <w:p w14:paraId="0DA33FC7">
      <w:pPr>
        <w:rPr>
          <w:rFonts w:ascii="宋体" w:hAnsi="Times New Roman" w:eastAsia="宋体" w:cs="宋体"/>
          <w:highlight w:val="none"/>
        </w:rPr>
      </w:pPr>
    </w:p>
    <w:p w14:paraId="37C83944">
      <w:pPr>
        <w:ind w:firstLine="0" w:firstLineChars="0"/>
        <w:jc w:val="center"/>
        <w:rPr>
          <w:rFonts w:hint="eastAsia" w:ascii="宋体" w:hAnsi="Times New Roman" w:eastAsia="宋体" w:cs="宋体"/>
          <w:highlight w:val="none"/>
        </w:rPr>
      </w:pPr>
    </w:p>
    <w:p w14:paraId="391EE2C6">
      <w:pPr>
        <w:ind w:firstLine="0" w:firstLineChars="0"/>
        <w:jc w:val="center"/>
        <w:rPr>
          <w:rFonts w:hint="eastAsia" w:ascii="宋体" w:hAnsi="Times New Roman" w:eastAsia="宋体" w:cs="宋体"/>
          <w:highlight w:val="none"/>
        </w:rPr>
      </w:pPr>
      <w:r>
        <w:rPr>
          <w:rFonts w:hint="eastAsia" w:ascii="宋体" w:hAnsi="Times New Roman" w:eastAsia="宋体" w:cs="宋体"/>
          <w:highlight w:val="none"/>
        </w:rPr>
        <w:t>（以下无正文，为本赛事服务合同签章页）</w:t>
      </w:r>
    </w:p>
    <w:p w14:paraId="4F787ED4">
      <w:pPr>
        <w:ind w:firstLine="0" w:firstLineChars="0"/>
        <w:jc w:val="center"/>
        <w:rPr>
          <w:rFonts w:hint="eastAsia" w:ascii="宋体" w:hAnsi="Times New Roman" w:eastAsia="宋体" w:cs="宋体"/>
          <w:highlight w:val="none"/>
        </w:rPr>
      </w:pPr>
    </w:p>
    <w:p w14:paraId="04D26EF2">
      <w:pPr>
        <w:ind w:firstLine="0" w:firstLineChars="0"/>
        <w:jc w:val="center"/>
        <w:rPr>
          <w:rFonts w:hint="eastAsia" w:ascii="宋体" w:hAnsi="Times New Roman" w:eastAsia="宋体" w:cs="宋体"/>
          <w:highlight w:val="none"/>
        </w:rPr>
      </w:pPr>
    </w:p>
    <w:tbl>
      <w:tblPr>
        <w:tblStyle w:val="52"/>
        <w:tblW w:w="8411"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1"/>
        <w:gridCol w:w="4200"/>
      </w:tblGrid>
      <w:tr w14:paraId="55504D3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cantSplit/>
          <w:trHeight w:val="2555" w:hRule="atLeast"/>
        </w:trPr>
        <w:tc>
          <w:tcPr>
            <w:tcW w:w="4211" w:type="dxa"/>
            <w:tcMar>
              <w:top w:w="80" w:type="dxa"/>
              <w:left w:w="80" w:type="dxa"/>
              <w:bottom w:w="80" w:type="dxa"/>
              <w:right w:w="80" w:type="dxa"/>
            </w:tcMar>
          </w:tcPr>
          <w:p w14:paraId="166760A7">
            <w:pPr>
              <w:ind w:firstLine="0" w:firstLineChars="0"/>
              <w:rPr>
                <w:rFonts w:ascii="宋体" w:hAnsi="Times New Roman" w:eastAsia="宋体" w:cs="宋体"/>
                <w:highlight w:val="none"/>
              </w:rPr>
            </w:pPr>
            <w:r>
              <w:rPr>
                <w:rFonts w:hint="eastAsia" w:ascii="宋体" w:hAnsi="Times New Roman" w:eastAsia="宋体" w:cs="宋体"/>
                <w:highlight w:val="none"/>
              </w:rPr>
              <w:t>甲方（盖章）：</w:t>
            </w:r>
          </w:p>
          <w:p w14:paraId="3D65D1A7">
            <w:pPr>
              <w:rPr>
                <w:rFonts w:ascii="宋体" w:hAnsi="Times New Roman" w:eastAsia="宋体" w:cs="宋体"/>
                <w:highlight w:val="none"/>
              </w:rPr>
            </w:pPr>
          </w:p>
        </w:tc>
        <w:tc>
          <w:tcPr>
            <w:tcW w:w="4200" w:type="dxa"/>
            <w:tcMar>
              <w:top w:w="80" w:type="dxa"/>
              <w:left w:w="80" w:type="dxa"/>
              <w:bottom w:w="80" w:type="dxa"/>
              <w:right w:w="80" w:type="dxa"/>
            </w:tcMar>
          </w:tcPr>
          <w:p w14:paraId="1CDA223D">
            <w:pPr>
              <w:ind w:firstLine="0" w:firstLineChars="0"/>
              <w:rPr>
                <w:rFonts w:ascii="宋体" w:hAnsi="Times New Roman" w:eastAsia="宋体" w:cs="宋体"/>
                <w:highlight w:val="none"/>
              </w:rPr>
            </w:pPr>
            <w:r>
              <w:rPr>
                <w:rFonts w:hint="eastAsia" w:ascii="宋体" w:hAnsi="Times New Roman" w:eastAsia="宋体" w:cs="宋体"/>
                <w:highlight w:val="none"/>
              </w:rPr>
              <w:t xml:space="preserve">乙方（盖章）： </w:t>
            </w:r>
          </w:p>
          <w:p w14:paraId="6206BE4A">
            <w:pPr>
              <w:rPr>
                <w:rFonts w:ascii="宋体" w:hAnsi="Times New Roman" w:eastAsia="宋体" w:cs="宋体"/>
                <w:highlight w:val="none"/>
              </w:rPr>
            </w:pPr>
          </w:p>
        </w:tc>
      </w:tr>
      <w:tr w14:paraId="1CEF3D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689" w:hRule="atLeast"/>
        </w:trPr>
        <w:tc>
          <w:tcPr>
            <w:tcW w:w="4211" w:type="dxa"/>
            <w:tcMar>
              <w:top w:w="80" w:type="dxa"/>
              <w:left w:w="80" w:type="dxa"/>
              <w:bottom w:w="80" w:type="dxa"/>
              <w:right w:w="80" w:type="dxa"/>
            </w:tcMar>
          </w:tcPr>
          <w:p w14:paraId="6141E388">
            <w:pPr>
              <w:ind w:firstLine="0" w:firstLineChars="0"/>
              <w:rPr>
                <w:rFonts w:ascii="宋体" w:hAnsi="Times New Roman" w:eastAsia="宋体" w:cs="宋体"/>
                <w:highlight w:val="none"/>
              </w:rPr>
            </w:pPr>
            <w:r>
              <w:rPr>
                <w:rFonts w:hint="eastAsia" w:ascii="宋体" w:hAnsi="Times New Roman" w:eastAsia="宋体" w:cs="宋体"/>
                <w:highlight w:val="none"/>
              </w:rPr>
              <w:t>法定代表人或授权代表（签名）：</w:t>
            </w:r>
          </w:p>
        </w:tc>
        <w:tc>
          <w:tcPr>
            <w:tcW w:w="4200" w:type="dxa"/>
            <w:tcMar>
              <w:top w:w="80" w:type="dxa"/>
              <w:left w:w="80" w:type="dxa"/>
              <w:bottom w:w="80" w:type="dxa"/>
              <w:right w:w="80" w:type="dxa"/>
            </w:tcMar>
          </w:tcPr>
          <w:p w14:paraId="36AF861E">
            <w:pPr>
              <w:ind w:firstLine="0" w:firstLineChars="0"/>
              <w:rPr>
                <w:rFonts w:ascii="宋体" w:hAnsi="Times New Roman" w:eastAsia="宋体" w:cs="宋体"/>
                <w:highlight w:val="none"/>
              </w:rPr>
            </w:pPr>
            <w:r>
              <w:rPr>
                <w:rFonts w:hint="eastAsia" w:ascii="宋体" w:hAnsi="Times New Roman" w:eastAsia="宋体" w:cs="宋体"/>
                <w:highlight w:val="none"/>
              </w:rPr>
              <w:t>法定代表人或授权代表（签名）：</w:t>
            </w:r>
          </w:p>
        </w:tc>
      </w:tr>
      <w:tr w14:paraId="2B4FEEB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472" w:hRule="atLeast"/>
        </w:trPr>
        <w:tc>
          <w:tcPr>
            <w:tcW w:w="4211" w:type="dxa"/>
            <w:tcMar>
              <w:top w:w="80" w:type="dxa"/>
              <w:left w:w="80" w:type="dxa"/>
              <w:bottom w:w="80" w:type="dxa"/>
              <w:right w:w="80" w:type="dxa"/>
            </w:tcMar>
          </w:tcPr>
          <w:p w14:paraId="3466CB99">
            <w:pPr>
              <w:ind w:firstLine="0" w:firstLineChars="0"/>
              <w:rPr>
                <w:rFonts w:ascii="宋体" w:hAnsi="Times New Roman" w:eastAsia="宋体" w:cs="宋体"/>
                <w:highlight w:val="none"/>
              </w:rPr>
            </w:pPr>
            <w:r>
              <w:rPr>
                <w:rFonts w:hint="eastAsia" w:ascii="宋体" w:hAnsi="Times New Roman" w:eastAsia="宋体" w:cs="宋体"/>
                <w:highlight w:val="none"/>
              </w:rPr>
              <w:t>日期：</w:t>
            </w:r>
          </w:p>
        </w:tc>
        <w:tc>
          <w:tcPr>
            <w:tcW w:w="4200" w:type="dxa"/>
            <w:tcMar>
              <w:top w:w="80" w:type="dxa"/>
              <w:left w:w="80" w:type="dxa"/>
              <w:bottom w:w="80" w:type="dxa"/>
              <w:right w:w="80" w:type="dxa"/>
            </w:tcMar>
          </w:tcPr>
          <w:p w14:paraId="7D25A9E0">
            <w:pPr>
              <w:ind w:firstLine="0" w:firstLineChars="0"/>
              <w:rPr>
                <w:rFonts w:ascii="宋体" w:hAnsi="Times New Roman" w:eastAsia="宋体" w:cs="宋体"/>
                <w:highlight w:val="none"/>
              </w:rPr>
            </w:pPr>
            <w:r>
              <w:rPr>
                <w:rFonts w:hint="eastAsia" w:ascii="宋体" w:hAnsi="Times New Roman" w:eastAsia="宋体" w:cs="宋体"/>
                <w:highlight w:val="none"/>
              </w:rPr>
              <w:t>日期：</w:t>
            </w:r>
          </w:p>
        </w:tc>
      </w:tr>
    </w:tbl>
    <w:p w14:paraId="1A7718C9">
      <w:pPr>
        <w:keepNext/>
        <w:keepLines/>
        <w:pageBreakBefore/>
        <w:widowControl w:val="0"/>
        <w:spacing w:line="400" w:lineRule="exact"/>
        <w:ind w:firstLine="0" w:firstLineChars="0"/>
        <w:outlineLvl w:val="0"/>
        <w:rPr>
          <w:rFonts w:ascii="宋体" w:hAnsi="Times New Roman" w:eastAsia="宋体" w:cs="宋体"/>
          <w:highlight w:val="none"/>
        </w:rPr>
      </w:pPr>
      <w:r>
        <w:rPr>
          <w:rFonts w:hint="eastAsia" w:ascii="宋体" w:hAnsi="Times New Roman" w:eastAsia="宋体" w:cs="宋体"/>
          <w:highlight w:val="none"/>
        </w:rPr>
        <w:t>附件1</w:t>
      </w:r>
    </w:p>
    <w:p w14:paraId="66A612A4">
      <w:pPr>
        <w:keepNext/>
        <w:keepLines/>
        <w:widowControl w:val="0"/>
        <w:spacing w:line="400" w:lineRule="exact"/>
        <w:ind w:firstLine="0" w:firstLineChars="0"/>
        <w:jc w:val="center"/>
        <w:outlineLvl w:val="0"/>
        <w:rPr>
          <w:rFonts w:ascii="宋体" w:hAnsi="Times New Roman" w:eastAsia="宋体" w:cs="宋体"/>
          <w:b/>
          <w:bCs/>
          <w:kern w:val="44"/>
          <w:sz w:val="32"/>
          <w:szCs w:val="40"/>
          <w:highlight w:val="none"/>
          <w:lang w:val="en-US" w:eastAsia="zh-CN"/>
        </w:rPr>
      </w:pPr>
      <w:r>
        <w:rPr>
          <w:rFonts w:hint="eastAsia" w:ascii="宋体" w:cs="宋体"/>
          <w:b/>
          <w:bCs/>
          <w:kern w:val="44"/>
          <w:sz w:val="32"/>
          <w:szCs w:val="40"/>
          <w:highlight w:val="none"/>
          <w:lang w:val="en-US" w:eastAsia="zh-CN"/>
        </w:rPr>
        <w:t>项目需求</w:t>
      </w:r>
    </w:p>
    <w:p w14:paraId="2B381AA5">
      <w:pPr>
        <w:widowControl w:val="0"/>
        <w:spacing w:line="240" w:lineRule="auto"/>
        <w:ind w:firstLine="0" w:firstLineChars="0"/>
        <w:rPr>
          <w:rFonts w:ascii="Times New Roman" w:hAnsi="Times New Roman" w:eastAsia="宋体" w:cs="Times New Roman"/>
          <w:highlight w:val="none"/>
        </w:rPr>
      </w:pPr>
    </w:p>
    <w:p w14:paraId="3995BD24">
      <w:pPr>
        <w:widowControl w:val="0"/>
        <w:spacing w:line="240" w:lineRule="auto"/>
        <w:ind w:firstLine="0" w:firstLineChars="0"/>
        <w:rPr>
          <w:rFonts w:ascii="宋体" w:hAnsi="Times New Roman" w:eastAsia="宋体" w:cs="宋体"/>
          <w:highlight w:val="none"/>
        </w:rPr>
      </w:pPr>
    </w:p>
    <w:p w14:paraId="22F95B55">
      <w:pPr>
        <w:widowControl w:val="0"/>
        <w:spacing w:line="240" w:lineRule="auto"/>
        <w:ind w:firstLine="0" w:firstLineChars="0"/>
        <w:rPr>
          <w:rFonts w:ascii="宋体" w:hAnsi="Times New Roman" w:eastAsia="宋体" w:cs="宋体"/>
          <w:highlight w:val="none"/>
        </w:rPr>
      </w:pPr>
    </w:p>
    <w:p w14:paraId="1927EDD6">
      <w:pPr>
        <w:widowControl w:val="0"/>
        <w:spacing w:line="240" w:lineRule="auto"/>
        <w:ind w:firstLine="0" w:firstLineChars="0"/>
        <w:rPr>
          <w:rFonts w:ascii="宋体" w:hAnsi="Times New Roman" w:eastAsia="宋体" w:cs="宋体"/>
          <w:highlight w:val="none"/>
        </w:rPr>
      </w:pPr>
    </w:p>
    <w:p w14:paraId="7761845F">
      <w:pPr>
        <w:widowControl w:val="0"/>
        <w:spacing w:line="240" w:lineRule="auto"/>
        <w:ind w:firstLine="0" w:firstLineChars="0"/>
        <w:rPr>
          <w:rFonts w:ascii="宋体" w:hAnsi="Times New Roman" w:eastAsia="宋体" w:cs="宋体"/>
          <w:highlight w:val="none"/>
        </w:rPr>
      </w:pPr>
    </w:p>
    <w:p w14:paraId="27B34B54">
      <w:pPr>
        <w:widowControl w:val="0"/>
        <w:spacing w:line="240" w:lineRule="auto"/>
        <w:ind w:firstLine="0" w:firstLineChars="0"/>
        <w:rPr>
          <w:rFonts w:ascii="宋体" w:hAnsi="Times New Roman" w:eastAsia="宋体" w:cs="宋体"/>
          <w:highlight w:val="none"/>
        </w:rPr>
      </w:pPr>
    </w:p>
    <w:p w14:paraId="52E31367">
      <w:pPr>
        <w:pageBreakBefore/>
        <w:widowControl w:val="0"/>
        <w:spacing w:line="240" w:lineRule="auto"/>
        <w:ind w:firstLine="0" w:firstLineChars="0"/>
        <w:rPr>
          <w:rFonts w:ascii="宋体" w:hAnsi="Times New Roman" w:eastAsia="宋体" w:cs="宋体"/>
          <w:highlight w:val="none"/>
        </w:rPr>
      </w:pPr>
      <w:r>
        <w:rPr>
          <w:rFonts w:hint="eastAsia" w:ascii="宋体" w:hAnsi="Times New Roman" w:eastAsia="宋体" w:cs="宋体"/>
          <w:highlight w:val="none"/>
        </w:rPr>
        <w:t>附件2</w:t>
      </w:r>
    </w:p>
    <w:p w14:paraId="4D4E4B4C">
      <w:pPr>
        <w:widowControl w:val="0"/>
        <w:spacing w:line="240" w:lineRule="auto"/>
        <w:jc w:val="center"/>
        <w:rPr>
          <w:rFonts w:ascii="黑体" w:hAnsi="Times New Roman" w:eastAsia="黑体" w:cs="Times New Roman"/>
          <w:sz w:val="28"/>
          <w:szCs w:val="28"/>
          <w:highlight w:val="none"/>
        </w:rPr>
      </w:pPr>
      <w:r>
        <w:rPr>
          <w:rFonts w:hint="eastAsia" w:ascii="黑体" w:hAnsi="Times New Roman" w:eastAsia="黑体" w:cs="Times New Roman"/>
          <w:sz w:val="32"/>
          <w:szCs w:val="32"/>
          <w:highlight w:val="none"/>
        </w:rPr>
        <w:t>服务供应商履约评价表</w:t>
      </w:r>
    </w:p>
    <w:tbl>
      <w:tblPr>
        <w:tblStyle w:val="52"/>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636"/>
        <w:gridCol w:w="705"/>
        <w:gridCol w:w="5249"/>
        <w:gridCol w:w="732"/>
        <w:gridCol w:w="1037"/>
      </w:tblGrid>
      <w:tr w14:paraId="0F3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800DB46">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序号</w:t>
            </w:r>
          </w:p>
        </w:tc>
        <w:tc>
          <w:tcPr>
            <w:tcW w:w="1636" w:type="dxa"/>
            <w:tcBorders>
              <w:top w:val="single" w:color="auto" w:sz="4" w:space="0"/>
              <w:left w:val="single" w:color="auto" w:sz="4" w:space="0"/>
              <w:bottom w:val="single" w:color="auto" w:sz="4" w:space="0"/>
              <w:right w:val="single" w:color="auto" w:sz="4" w:space="0"/>
            </w:tcBorders>
            <w:vAlign w:val="center"/>
          </w:tcPr>
          <w:p w14:paraId="607C4AA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分项内容</w:t>
            </w:r>
          </w:p>
        </w:tc>
        <w:tc>
          <w:tcPr>
            <w:tcW w:w="705" w:type="dxa"/>
            <w:tcBorders>
              <w:top w:val="single" w:color="auto" w:sz="4" w:space="0"/>
              <w:left w:val="single" w:color="auto" w:sz="4" w:space="0"/>
              <w:bottom w:val="single" w:color="auto" w:sz="4" w:space="0"/>
              <w:right w:val="single" w:color="auto" w:sz="4" w:space="0"/>
            </w:tcBorders>
            <w:vAlign w:val="center"/>
          </w:tcPr>
          <w:p w14:paraId="6C741D0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满分分值</w:t>
            </w:r>
          </w:p>
        </w:tc>
        <w:tc>
          <w:tcPr>
            <w:tcW w:w="5249" w:type="dxa"/>
            <w:tcBorders>
              <w:top w:val="single" w:color="auto" w:sz="4" w:space="0"/>
              <w:left w:val="single" w:color="auto" w:sz="4" w:space="0"/>
              <w:bottom w:val="single" w:color="auto" w:sz="4" w:space="0"/>
              <w:right w:val="single" w:color="auto" w:sz="4" w:space="0"/>
            </w:tcBorders>
            <w:vAlign w:val="center"/>
          </w:tcPr>
          <w:p w14:paraId="5B04F88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评价标准</w:t>
            </w:r>
          </w:p>
        </w:tc>
        <w:tc>
          <w:tcPr>
            <w:tcW w:w="732" w:type="dxa"/>
            <w:tcBorders>
              <w:top w:val="single" w:color="auto" w:sz="4" w:space="0"/>
              <w:left w:val="single" w:color="auto" w:sz="4" w:space="0"/>
              <w:bottom w:val="single" w:color="auto" w:sz="4" w:space="0"/>
              <w:right w:val="single" w:color="auto" w:sz="4" w:space="0"/>
            </w:tcBorders>
            <w:vAlign w:val="center"/>
          </w:tcPr>
          <w:p w14:paraId="52360FE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自评得分</w:t>
            </w:r>
          </w:p>
        </w:tc>
        <w:tc>
          <w:tcPr>
            <w:tcW w:w="1037" w:type="dxa"/>
            <w:tcBorders>
              <w:top w:val="single" w:color="auto" w:sz="4" w:space="0"/>
              <w:left w:val="single" w:color="auto" w:sz="4" w:space="0"/>
              <w:bottom w:val="single" w:color="auto" w:sz="4" w:space="0"/>
              <w:right w:val="single" w:color="auto" w:sz="4" w:space="0"/>
            </w:tcBorders>
            <w:vAlign w:val="center"/>
          </w:tcPr>
          <w:p w14:paraId="3B86C0C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考核小组评分</w:t>
            </w:r>
          </w:p>
        </w:tc>
      </w:tr>
      <w:tr w14:paraId="1040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6E046E6">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一</w:t>
            </w:r>
          </w:p>
        </w:tc>
        <w:tc>
          <w:tcPr>
            <w:tcW w:w="1636" w:type="dxa"/>
            <w:tcBorders>
              <w:top w:val="single" w:color="auto" w:sz="4" w:space="0"/>
              <w:left w:val="single" w:color="auto" w:sz="4" w:space="0"/>
              <w:bottom w:val="single" w:color="auto" w:sz="4" w:space="0"/>
              <w:right w:val="single" w:color="auto" w:sz="4" w:space="0"/>
            </w:tcBorders>
            <w:vAlign w:val="center"/>
          </w:tcPr>
          <w:p w14:paraId="08BAB95F">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人员配备</w:t>
            </w:r>
          </w:p>
        </w:tc>
        <w:tc>
          <w:tcPr>
            <w:tcW w:w="705" w:type="dxa"/>
            <w:tcBorders>
              <w:top w:val="single" w:color="auto" w:sz="4" w:space="0"/>
              <w:left w:val="single" w:color="auto" w:sz="4" w:space="0"/>
              <w:bottom w:val="single" w:color="auto" w:sz="4" w:space="0"/>
              <w:right w:val="single" w:color="auto" w:sz="4" w:space="0"/>
            </w:tcBorders>
            <w:vAlign w:val="center"/>
          </w:tcPr>
          <w:p w14:paraId="1ACAA79A">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20</w:t>
            </w:r>
          </w:p>
        </w:tc>
        <w:tc>
          <w:tcPr>
            <w:tcW w:w="5249" w:type="dxa"/>
            <w:tcBorders>
              <w:top w:val="single" w:color="auto" w:sz="4" w:space="0"/>
              <w:left w:val="single" w:color="auto" w:sz="4" w:space="0"/>
              <w:bottom w:val="single" w:color="auto" w:sz="4" w:space="0"/>
              <w:right w:val="single" w:color="auto" w:sz="4" w:space="0"/>
            </w:tcBorders>
            <w:vAlign w:val="center"/>
          </w:tcPr>
          <w:p w14:paraId="1274F651">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0626EF27">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32C6326">
            <w:pPr>
              <w:widowControl w:val="0"/>
              <w:spacing w:line="240" w:lineRule="auto"/>
              <w:ind w:firstLine="0" w:firstLineChars="0"/>
              <w:rPr>
                <w:rFonts w:ascii="宋体" w:hAnsi="Times New Roman" w:eastAsia="宋体" w:cs="宋体"/>
                <w:sz w:val="24"/>
                <w:highlight w:val="none"/>
              </w:rPr>
            </w:pPr>
          </w:p>
        </w:tc>
      </w:tr>
      <w:tr w14:paraId="5598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56228F2">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3859C16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项目负责人</w:t>
            </w:r>
          </w:p>
          <w:p w14:paraId="6EBC48D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要求</w:t>
            </w:r>
          </w:p>
        </w:tc>
        <w:tc>
          <w:tcPr>
            <w:tcW w:w="705" w:type="dxa"/>
            <w:tcBorders>
              <w:top w:val="single" w:color="auto" w:sz="4" w:space="0"/>
              <w:left w:val="single" w:color="auto" w:sz="4" w:space="0"/>
              <w:bottom w:val="single" w:color="auto" w:sz="4" w:space="0"/>
              <w:right w:val="single" w:color="auto" w:sz="4" w:space="0"/>
            </w:tcBorders>
            <w:vAlign w:val="center"/>
          </w:tcPr>
          <w:p w14:paraId="1C014D9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4AC4491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 9-10 分：配备固定的项目负责人且该负责人具有高度责任心、优秀的组织协调能力和业务水平；</w:t>
            </w:r>
          </w:p>
          <w:p w14:paraId="7A61FEE3">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 7-8 分：配备固定的项目负责人且该负责人具有高度责任心、良好的组织协调能力和业务水平；</w:t>
            </w:r>
          </w:p>
          <w:p w14:paraId="73D8F28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 5-6 分：配备固定的项目负责人且该负责人具有合格的组织协调能力和业务水平；</w:t>
            </w:r>
          </w:p>
          <w:p w14:paraId="24746FD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69F786D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373A3AD">
            <w:pPr>
              <w:widowControl w:val="0"/>
              <w:spacing w:line="240" w:lineRule="auto"/>
              <w:ind w:firstLine="0" w:firstLineChars="0"/>
              <w:rPr>
                <w:rFonts w:ascii="宋体" w:hAnsi="Times New Roman" w:eastAsia="宋体" w:cs="宋体"/>
                <w:sz w:val="24"/>
                <w:highlight w:val="none"/>
              </w:rPr>
            </w:pPr>
          </w:p>
        </w:tc>
      </w:tr>
      <w:tr w14:paraId="0DDE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140195F">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7A4BB50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专业配置要求</w:t>
            </w:r>
          </w:p>
        </w:tc>
        <w:tc>
          <w:tcPr>
            <w:tcW w:w="705" w:type="dxa"/>
            <w:tcBorders>
              <w:top w:val="single" w:color="auto" w:sz="4" w:space="0"/>
              <w:left w:val="single" w:color="auto" w:sz="4" w:space="0"/>
              <w:bottom w:val="single" w:color="auto" w:sz="4" w:space="0"/>
              <w:right w:val="single" w:color="auto" w:sz="4" w:space="0"/>
            </w:tcBorders>
            <w:vAlign w:val="center"/>
          </w:tcPr>
          <w:p w14:paraId="55977AB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10</w:t>
            </w:r>
          </w:p>
        </w:tc>
        <w:tc>
          <w:tcPr>
            <w:tcW w:w="5249" w:type="dxa"/>
            <w:tcBorders>
              <w:top w:val="single" w:color="auto" w:sz="4" w:space="0"/>
              <w:left w:val="single" w:color="auto" w:sz="4" w:space="0"/>
              <w:bottom w:val="single" w:color="auto" w:sz="4" w:space="0"/>
              <w:right w:val="single" w:color="auto" w:sz="4" w:space="0"/>
            </w:tcBorders>
            <w:vAlign w:val="center"/>
          </w:tcPr>
          <w:p w14:paraId="707328F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 9-10 分：配备的专业人员满足项目要求且各专业负责人没有变动；</w:t>
            </w:r>
          </w:p>
          <w:p w14:paraId="4B82639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良好7-8 分：配备的专业人员满足项目要求且各专业负责人变动不超过1人，人员变动</w:t>
            </w:r>
            <w:r>
              <w:rPr>
                <w:rFonts w:hint="eastAsia" w:ascii="宋体" w:hAnsi="Times New Roman" w:eastAsia="宋体" w:cs="宋体"/>
                <w:sz w:val="24"/>
                <w:highlight w:val="none"/>
                <w:lang w:val="en-US" w:eastAsia="zh-CN"/>
              </w:rPr>
              <w:t>未对</w:t>
            </w:r>
            <w:r>
              <w:rPr>
                <w:rFonts w:hint="eastAsia" w:ascii="宋体" w:hAnsi="Times New Roman" w:eastAsia="宋体" w:cs="宋体"/>
                <w:sz w:val="24"/>
                <w:highlight w:val="none"/>
              </w:rPr>
              <w:t>项目造成不利影响；</w:t>
            </w:r>
          </w:p>
          <w:p w14:paraId="0419BA6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 5-6 分：配备的专业人员满足项目要求且各专业负责人变动不超过2人，人员变动对服务造成不利影响较小；不合格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78CFF14">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30A8FE2">
            <w:pPr>
              <w:widowControl w:val="0"/>
              <w:spacing w:line="240" w:lineRule="auto"/>
              <w:ind w:firstLine="0" w:firstLineChars="0"/>
              <w:rPr>
                <w:rFonts w:ascii="宋体" w:hAnsi="Times New Roman" w:eastAsia="宋体" w:cs="宋体"/>
                <w:sz w:val="24"/>
                <w:highlight w:val="none"/>
              </w:rPr>
            </w:pPr>
          </w:p>
        </w:tc>
      </w:tr>
      <w:tr w14:paraId="21C1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01EA11FB">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二</w:t>
            </w:r>
          </w:p>
        </w:tc>
        <w:tc>
          <w:tcPr>
            <w:tcW w:w="1636" w:type="dxa"/>
            <w:tcBorders>
              <w:top w:val="single" w:color="auto" w:sz="4" w:space="0"/>
              <w:left w:val="single" w:color="auto" w:sz="4" w:space="0"/>
              <w:bottom w:val="single" w:color="auto" w:sz="4" w:space="0"/>
              <w:right w:val="single" w:color="auto" w:sz="4" w:space="0"/>
            </w:tcBorders>
            <w:vAlign w:val="center"/>
          </w:tcPr>
          <w:p w14:paraId="0F499D97">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进度</w:t>
            </w:r>
          </w:p>
        </w:tc>
        <w:tc>
          <w:tcPr>
            <w:tcW w:w="705" w:type="dxa"/>
            <w:tcBorders>
              <w:top w:val="single" w:color="auto" w:sz="4" w:space="0"/>
              <w:left w:val="single" w:color="auto" w:sz="4" w:space="0"/>
              <w:bottom w:val="single" w:color="auto" w:sz="4" w:space="0"/>
              <w:right w:val="single" w:color="auto" w:sz="4" w:space="0"/>
            </w:tcBorders>
            <w:vAlign w:val="center"/>
          </w:tcPr>
          <w:p w14:paraId="7DAFFDA3">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4402A811">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63BEBF67">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CAE0E32">
            <w:pPr>
              <w:widowControl w:val="0"/>
              <w:spacing w:line="240" w:lineRule="auto"/>
              <w:ind w:firstLine="0" w:firstLineChars="0"/>
              <w:rPr>
                <w:rFonts w:ascii="宋体" w:hAnsi="Times New Roman" w:eastAsia="宋体" w:cs="宋体"/>
                <w:sz w:val="24"/>
                <w:highlight w:val="none"/>
              </w:rPr>
            </w:pPr>
          </w:p>
        </w:tc>
      </w:tr>
      <w:tr w14:paraId="5259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F32CD1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579CDBF6">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position w:val="-1"/>
                <w:sz w:val="24"/>
                <w:highlight w:val="none"/>
              </w:rPr>
              <w:t>各项工作进度</w:t>
            </w:r>
          </w:p>
        </w:tc>
        <w:tc>
          <w:tcPr>
            <w:tcW w:w="705" w:type="dxa"/>
            <w:tcBorders>
              <w:top w:val="single" w:color="auto" w:sz="4" w:space="0"/>
              <w:left w:val="single" w:color="auto" w:sz="4" w:space="0"/>
              <w:bottom w:val="single" w:color="auto" w:sz="4" w:space="0"/>
              <w:right w:val="single" w:color="auto" w:sz="4" w:space="0"/>
            </w:tcBorders>
            <w:vAlign w:val="center"/>
          </w:tcPr>
          <w:p w14:paraId="418BB775">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1552F74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优秀36-40分：工作进度能够满足各阶段成果要求，不对项目进度造成影响；</w:t>
            </w:r>
          </w:p>
          <w:p w14:paraId="3CD959C9">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良好32-</w:t>
            </w:r>
            <w:r>
              <w:rPr>
                <w:rFonts w:hint="eastAsia" w:ascii="宋体" w:hAnsi="Times New Roman" w:eastAsia="宋体" w:cs="宋体"/>
                <w:sz w:val="24"/>
                <w:highlight w:val="none"/>
                <w:lang w:val="en-US" w:eastAsia="zh-CN"/>
              </w:rPr>
              <w:t>35</w:t>
            </w:r>
            <w:r>
              <w:rPr>
                <w:rFonts w:hint="eastAsia" w:ascii="宋体" w:hAnsi="Times New Roman" w:eastAsia="宋体" w:cs="宋体"/>
                <w:sz w:val="24"/>
                <w:highlight w:val="none"/>
              </w:rPr>
              <w:t>分：工作进度能基本满足各阶段成果要求，不对项目关键节点进度造成影响；</w:t>
            </w:r>
          </w:p>
          <w:p w14:paraId="593BA11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合格24-31分：工作进度基本满足各阶段成果要求；对项目造成一定影响；</w:t>
            </w:r>
          </w:p>
          <w:p w14:paraId="74F4D34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6F44ED91">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5984E19">
            <w:pPr>
              <w:widowControl w:val="0"/>
              <w:spacing w:line="240" w:lineRule="auto"/>
              <w:ind w:firstLine="0" w:firstLineChars="0"/>
              <w:rPr>
                <w:rFonts w:ascii="宋体" w:hAnsi="Times New Roman" w:eastAsia="宋体" w:cs="宋体"/>
                <w:sz w:val="24"/>
                <w:highlight w:val="none"/>
              </w:rPr>
            </w:pPr>
          </w:p>
        </w:tc>
      </w:tr>
      <w:tr w14:paraId="08C3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A928FFB">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三</w:t>
            </w:r>
          </w:p>
        </w:tc>
        <w:tc>
          <w:tcPr>
            <w:tcW w:w="1636" w:type="dxa"/>
            <w:tcBorders>
              <w:top w:val="single" w:color="auto" w:sz="4" w:space="0"/>
              <w:left w:val="single" w:color="auto" w:sz="4" w:space="0"/>
              <w:bottom w:val="single" w:color="auto" w:sz="4" w:space="0"/>
              <w:right w:val="single" w:color="auto" w:sz="4" w:space="0"/>
            </w:tcBorders>
            <w:vAlign w:val="center"/>
          </w:tcPr>
          <w:p w14:paraId="431270CE">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服务配合</w:t>
            </w:r>
          </w:p>
        </w:tc>
        <w:tc>
          <w:tcPr>
            <w:tcW w:w="705" w:type="dxa"/>
            <w:tcBorders>
              <w:top w:val="single" w:color="auto" w:sz="4" w:space="0"/>
              <w:left w:val="single" w:color="auto" w:sz="4" w:space="0"/>
              <w:bottom w:val="single" w:color="auto" w:sz="4" w:space="0"/>
              <w:right w:val="single" w:color="auto" w:sz="4" w:space="0"/>
            </w:tcBorders>
            <w:vAlign w:val="center"/>
          </w:tcPr>
          <w:p w14:paraId="6AFD065A">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40</w:t>
            </w:r>
          </w:p>
        </w:tc>
        <w:tc>
          <w:tcPr>
            <w:tcW w:w="5249" w:type="dxa"/>
            <w:tcBorders>
              <w:top w:val="single" w:color="auto" w:sz="4" w:space="0"/>
              <w:left w:val="single" w:color="auto" w:sz="4" w:space="0"/>
              <w:bottom w:val="single" w:color="auto" w:sz="4" w:space="0"/>
              <w:right w:val="single" w:color="auto" w:sz="4" w:space="0"/>
            </w:tcBorders>
            <w:vAlign w:val="center"/>
          </w:tcPr>
          <w:p w14:paraId="7092922C">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73C36EDA">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7C027E7">
            <w:pPr>
              <w:widowControl w:val="0"/>
              <w:spacing w:line="240" w:lineRule="auto"/>
              <w:ind w:firstLine="0" w:firstLineChars="0"/>
              <w:rPr>
                <w:rFonts w:ascii="宋体" w:hAnsi="Times New Roman" w:eastAsia="宋体" w:cs="宋体"/>
                <w:sz w:val="24"/>
                <w:highlight w:val="none"/>
              </w:rPr>
            </w:pPr>
          </w:p>
        </w:tc>
      </w:tr>
      <w:tr w14:paraId="2F6E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6CE74AD7">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nil"/>
              <w:left w:val="nil"/>
              <w:bottom w:val="single" w:color="auto" w:sz="4" w:space="0"/>
              <w:right w:val="single" w:color="auto" w:sz="4" w:space="0"/>
            </w:tcBorders>
            <w:vAlign w:val="center"/>
          </w:tcPr>
          <w:p w14:paraId="083B0B4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配合情况</w:t>
            </w:r>
          </w:p>
        </w:tc>
        <w:tc>
          <w:tcPr>
            <w:tcW w:w="705" w:type="dxa"/>
            <w:tcBorders>
              <w:top w:val="nil"/>
              <w:left w:val="nil"/>
              <w:bottom w:val="single" w:color="auto" w:sz="4" w:space="0"/>
              <w:right w:val="single" w:color="auto" w:sz="4" w:space="0"/>
            </w:tcBorders>
            <w:vAlign w:val="center"/>
          </w:tcPr>
          <w:p w14:paraId="55430C2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12</w:t>
            </w:r>
          </w:p>
        </w:tc>
        <w:tc>
          <w:tcPr>
            <w:tcW w:w="5249" w:type="dxa"/>
            <w:tcBorders>
              <w:top w:val="nil"/>
              <w:left w:val="nil"/>
              <w:bottom w:val="single" w:color="auto" w:sz="4" w:space="0"/>
              <w:right w:val="single" w:color="auto" w:sz="4" w:space="0"/>
            </w:tcBorders>
            <w:vAlign w:val="center"/>
          </w:tcPr>
          <w:p w14:paraId="6441D2A5">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优秀11-12分：积极主动地跟进项目情况，积极主动地服务、配合我方的相关事项；</w:t>
            </w:r>
          </w:p>
          <w:p w14:paraId="4C72B7F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良好8-10分：基本上能做到主动跟进项目情况，积极主动地服务、配合我方的相关事项；</w:t>
            </w:r>
          </w:p>
          <w:p w14:paraId="233611C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合格6-7分：在受到督促情况下，方能配合参与项目，积极主动地服务、配合我方的相关事项；</w:t>
            </w:r>
          </w:p>
          <w:p w14:paraId="7A8DDF2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nil"/>
              <w:left w:val="nil"/>
              <w:bottom w:val="single" w:color="auto" w:sz="4" w:space="0"/>
              <w:right w:val="single" w:color="auto" w:sz="4" w:space="0"/>
            </w:tcBorders>
          </w:tcPr>
          <w:p w14:paraId="46973277">
            <w:pPr>
              <w:widowControl w:val="0"/>
              <w:spacing w:line="240" w:lineRule="auto"/>
              <w:ind w:firstLine="0" w:firstLineChars="0"/>
              <w:rPr>
                <w:rFonts w:ascii="宋体" w:hAnsi="Times New Roman" w:eastAsia="宋体" w:cs="宋体"/>
                <w:sz w:val="24"/>
                <w:highlight w:val="none"/>
              </w:rPr>
            </w:pPr>
          </w:p>
        </w:tc>
        <w:tc>
          <w:tcPr>
            <w:tcW w:w="1037" w:type="dxa"/>
            <w:tcBorders>
              <w:top w:val="nil"/>
              <w:left w:val="nil"/>
              <w:bottom w:val="single" w:color="auto" w:sz="4" w:space="0"/>
              <w:right w:val="single" w:color="auto" w:sz="4" w:space="0"/>
            </w:tcBorders>
          </w:tcPr>
          <w:p w14:paraId="0BF8A88C">
            <w:pPr>
              <w:widowControl w:val="0"/>
              <w:spacing w:line="240" w:lineRule="auto"/>
              <w:ind w:firstLine="0" w:firstLineChars="0"/>
              <w:rPr>
                <w:rFonts w:ascii="宋体" w:hAnsi="Times New Roman" w:eastAsia="宋体" w:cs="宋体"/>
                <w:sz w:val="24"/>
                <w:highlight w:val="none"/>
              </w:rPr>
            </w:pPr>
          </w:p>
        </w:tc>
      </w:tr>
      <w:tr w14:paraId="7B14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33" w:type="dxa"/>
            <w:tcBorders>
              <w:top w:val="nil"/>
              <w:left w:val="single" w:color="auto" w:sz="4" w:space="0"/>
              <w:bottom w:val="single" w:color="auto" w:sz="4" w:space="0"/>
              <w:right w:val="single" w:color="auto" w:sz="4" w:space="0"/>
            </w:tcBorders>
            <w:vAlign w:val="center"/>
          </w:tcPr>
          <w:p w14:paraId="5E01C7E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nil"/>
              <w:left w:val="nil"/>
              <w:bottom w:val="single" w:color="auto" w:sz="4" w:space="0"/>
              <w:right w:val="single" w:color="auto" w:sz="4" w:space="0"/>
            </w:tcBorders>
            <w:vAlign w:val="center"/>
          </w:tcPr>
          <w:p w14:paraId="28FD647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驻场服务情况</w:t>
            </w:r>
          </w:p>
        </w:tc>
        <w:tc>
          <w:tcPr>
            <w:tcW w:w="705" w:type="dxa"/>
            <w:tcBorders>
              <w:top w:val="nil"/>
              <w:left w:val="nil"/>
              <w:bottom w:val="single" w:color="auto" w:sz="4" w:space="0"/>
              <w:right w:val="single" w:color="auto" w:sz="4" w:space="0"/>
            </w:tcBorders>
            <w:vAlign w:val="center"/>
          </w:tcPr>
          <w:p w14:paraId="740D179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12</w:t>
            </w:r>
          </w:p>
        </w:tc>
        <w:tc>
          <w:tcPr>
            <w:tcW w:w="5249" w:type="dxa"/>
            <w:tcBorders>
              <w:top w:val="nil"/>
              <w:left w:val="nil"/>
              <w:bottom w:val="single" w:color="auto" w:sz="4" w:space="0"/>
              <w:right w:val="single" w:color="auto" w:sz="4" w:space="0"/>
            </w:tcBorders>
            <w:vAlign w:val="center"/>
          </w:tcPr>
          <w:p w14:paraId="0A099B29">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优秀11-12分：项目团队能够积极主动、认真地做好现场沟通汇报联络工作；</w:t>
            </w:r>
          </w:p>
          <w:p w14:paraId="2EBB8183">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良好8-10分：项目团队能够较好地完成好现场沟通汇报联络工作；</w:t>
            </w:r>
          </w:p>
          <w:p w14:paraId="15B21CE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合格6-7分：项目团队能够基本完成现场沟通汇报联络工作；</w:t>
            </w:r>
          </w:p>
          <w:p w14:paraId="239E1DA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不合格0分：达不到本项＂合格＂标准的。</w:t>
            </w:r>
          </w:p>
        </w:tc>
        <w:tc>
          <w:tcPr>
            <w:tcW w:w="732" w:type="dxa"/>
            <w:tcBorders>
              <w:top w:val="nil"/>
              <w:left w:val="nil"/>
              <w:bottom w:val="single" w:color="auto" w:sz="4" w:space="0"/>
              <w:right w:val="single" w:color="auto" w:sz="4" w:space="0"/>
            </w:tcBorders>
          </w:tcPr>
          <w:p w14:paraId="405082C1">
            <w:pPr>
              <w:widowControl w:val="0"/>
              <w:spacing w:line="240" w:lineRule="auto"/>
              <w:ind w:firstLine="0" w:firstLineChars="0"/>
              <w:rPr>
                <w:rFonts w:ascii="宋体" w:hAnsi="Times New Roman" w:eastAsia="宋体" w:cs="宋体"/>
                <w:sz w:val="24"/>
                <w:highlight w:val="none"/>
              </w:rPr>
            </w:pPr>
          </w:p>
        </w:tc>
        <w:tc>
          <w:tcPr>
            <w:tcW w:w="1037" w:type="dxa"/>
            <w:tcBorders>
              <w:top w:val="nil"/>
              <w:left w:val="nil"/>
              <w:bottom w:val="single" w:color="auto" w:sz="4" w:space="0"/>
              <w:right w:val="single" w:color="auto" w:sz="4" w:space="0"/>
            </w:tcBorders>
          </w:tcPr>
          <w:p w14:paraId="13BBA41A">
            <w:pPr>
              <w:widowControl w:val="0"/>
              <w:spacing w:line="240" w:lineRule="auto"/>
              <w:ind w:firstLine="0" w:firstLineChars="0"/>
              <w:rPr>
                <w:rFonts w:ascii="宋体" w:hAnsi="Times New Roman" w:eastAsia="宋体" w:cs="宋体"/>
                <w:sz w:val="24"/>
                <w:highlight w:val="none"/>
              </w:rPr>
            </w:pPr>
          </w:p>
        </w:tc>
      </w:tr>
      <w:tr w14:paraId="125A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AF653D8">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45A9D29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答疑</w:t>
            </w:r>
          </w:p>
        </w:tc>
        <w:tc>
          <w:tcPr>
            <w:tcW w:w="705" w:type="dxa"/>
            <w:tcBorders>
              <w:top w:val="single" w:color="auto" w:sz="4" w:space="0"/>
              <w:left w:val="single" w:color="auto" w:sz="4" w:space="0"/>
              <w:bottom w:val="single" w:color="auto" w:sz="4" w:space="0"/>
              <w:right w:val="single" w:color="auto" w:sz="4" w:space="0"/>
            </w:tcBorders>
            <w:vAlign w:val="center"/>
          </w:tcPr>
          <w:p w14:paraId="50574AFA">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5249" w:type="dxa"/>
            <w:tcBorders>
              <w:top w:val="single" w:color="auto" w:sz="4" w:space="0"/>
              <w:left w:val="single" w:color="auto" w:sz="4" w:space="0"/>
              <w:bottom w:val="single" w:color="auto" w:sz="4" w:space="0"/>
              <w:right w:val="single" w:color="auto" w:sz="4" w:space="0"/>
            </w:tcBorders>
            <w:vAlign w:val="center"/>
          </w:tcPr>
          <w:p w14:paraId="719D802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合格4分：及时主动参加我方讲解、培训工作，对各方提出的问题进行详细回答并给出合理建议。</w:t>
            </w:r>
          </w:p>
          <w:p w14:paraId="3924D0A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F7D40B8">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29A3429">
            <w:pPr>
              <w:widowControl w:val="0"/>
              <w:spacing w:line="240" w:lineRule="auto"/>
              <w:ind w:firstLine="0" w:firstLineChars="0"/>
              <w:rPr>
                <w:rFonts w:ascii="宋体" w:hAnsi="Times New Roman" w:eastAsia="宋体" w:cs="宋体"/>
                <w:sz w:val="24"/>
                <w:highlight w:val="none"/>
              </w:rPr>
            </w:pPr>
          </w:p>
        </w:tc>
      </w:tr>
      <w:tr w14:paraId="20C3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F337BBD">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103F4A9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成果提交</w:t>
            </w:r>
          </w:p>
        </w:tc>
        <w:tc>
          <w:tcPr>
            <w:tcW w:w="705" w:type="dxa"/>
            <w:tcBorders>
              <w:top w:val="single" w:color="auto" w:sz="4" w:space="0"/>
              <w:left w:val="single" w:color="auto" w:sz="4" w:space="0"/>
              <w:bottom w:val="single" w:color="auto" w:sz="4" w:space="0"/>
              <w:right w:val="single" w:color="auto" w:sz="4" w:space="0"/>
            </w:tcBorders>
            <w:vAlign w:val="center"/>
          </w:tcPr>
          <w:p w14:paraId="696DCC8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7</w:t>
            </w:r>
          </w:p>
        </w:tc>
        <w:tc>
          <w:tcPr>
            <w:tcW w:w="5249" w:type="dxa"/>
            <w:tcBorders>
              <w:top w:val="single" w:color="auto" w:sz="4" w:space="0"/>
              <w:left w:val="single" w:color="auto" w:sz="4" w:space="0"/>
              <w:bottom w:val="single" w:color="auto" w:sz="4" w:space="0"/>
              <w:right w:val="single" w:color="auto" w:sz="4" w:space="0"/>
            </w:tcBorders>
            <w:vAlign w:val="center"/>
          </w:tcPr>
          <w:p w14:paraId="7662BE0C">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合格7分：积极主动按时提供合同约定及相关规定要求的各种资料；</w:t>
            </w:r>
          </w:p>
          <w:p w14:paraId="2E3718ED">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08F2D70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DBFF13A">
            <w:pPr>
              <w:widowControl w:val="0"/>
              <w:spacing w:line="240" w:lineRule="auto"/>
              <w:ind w:firstLine="0" w:firstLineChars="0"/>
              <w:rPr>
                <w:rFonts w:ascii="宋体" w:hAnsi="Times New Roman" w:eastAsia="宋体" w:cs="宋体"/>
                <w:sz w:val="24"/>
                <w:highlight w:val="none"/>
              </w:rPr>
            </w:pPr>
          </w:p>
        </w:tc>
      </w:tr>
      <w:tr w14:paraId="2557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66E5E32C">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5</w:t>
            </w:r>
          </w:p>
        </w:tc>
        <w:tc>
          <w:tcPr>
            <w:tcW w:w="1636" w:type="dxa"/>
            <w:tcBorders>
              <w:top w:val="single" w:color="auto" w:sz="4" w:space="0"/>
              <w:left w:val="single" w:color="auto" w:sz="4" w:space="0"/>
              <w:bottom w:val="single" w:color="auto" w:sz="4" w:space="0"/>
              <w:right w:val="single" w:color="auto" w:sz="4" w:space="0"/>
            </w:tcBorders>
            <w:vAlign w:val="center"/>
          </w:tcPr>
          <w:p w14:paraId="3C0AEB2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保密工作</w:t>
            </w:r>
          </w:p>
        </w:tc>
        <w:tc>
          <w:tcPr>
            <w:tcW w:w="705" w:type="dxa"/>
            <w:tcBorders>
              <w:top w:val="single" w:color="auto" w:sz="4" w:space="0"/>
              <w:left w:val="single" w:color="auto" w:sz="4" w:space="0"/>
              <w:bottom w:val="single" w:color="auto" w:sz="4" w:space="0"/>
              <w:right w:val="single" w:color="auto" w:sz="4" w:space="0"/>
            </w:tcBorders>
            <w:vAlign w:val="center"/>
          </w:tcPr>
          <w:p w14:paraId="64D2857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5</w:t>
            </w:r>
          </w:p>
        </w:tc>
        <w:tc>
          <w:tcPr>
            <w:tcW w:w="5249" w:type="dxa"/>
            <w:tcBorders>
              <w:top w:val="single" w:color="auto" w:sz="4" w:space="0"/>
              <w:left w:val="single" w:color="auto" w:sz="4" w:space="0"/>
              <w:bottom w:val="single" w:color="auto" w:sz="4" w:space="0"/>
              <w:right w:val="single" w:color="auto" w:sz="4" w:space="0"/>
            </w:tcBorders>
            <w:vAlign w:val="center"/>
          </w:tcPr>
          <w:p w14:paraId="36F6373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合格5分：能够对我司提供的全部资料严格保密；</w:t>
            </w:r>
          </w:p>
          <w:p w14:paraId="79B1D7D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不合格 0 分：达不到本项＂合格＂标准的。</w:t>
            </w:r>
          </w:p>
        </w:tc>
        <w:tc>
          <w:tcPr>
            <w:tcW w:w="732" w:type="dxa"/>
            <w:tcBorders>
              <w:top w:val="single" w:color="auto" w:sz="4" w:space="0"/>
              <w:left w:val="single" w:color="auto" w:sz="4" w:space="0"/>
              <w:bottom w:val="single" w:color="auto" w:sz="4" w:space="0"/>
              <w:right w:val="single" w:color="auto" w:sz="4" w:space="0"/>
            </w:tcBorders>
          </w:tcPr>
          <w:p w14:paraId="3C972A9B">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25A6FB9">
            <w:pPr>
              <w:widowControl w:val="0"/>
              <w:spacing w:line="240" w:lineRule="auto"/>
              <w:ind w:firstLine="0" w:firstLineChars="0"/>
              <w:rPr>
                <w:rFonts w:ascii="宋体" w:hAnsi="Times New Roman" w:eastAsia="宋体" w:cs="宋体"/>
                <w:sz w:val="24"/>
                <w:highlight w:val="none"/>
              </w:rPr>
            </w:pPr>
          </w:p>
        </w:tc>
      </w:tr>
      <w:tr w14:paraId="39F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29E2A753">
            <w:pPr>
              <w:widowControl w:val="0"/>
              <w:spacing w:line="240" w:lineRule="auto"/>
              <w:ind w:firstLine="0" w:firstLineChars="0"/>
              <w:jc w:val="center"/>
              <w:rPr>
                <w:rFonts w:ascii="宋体" w:hAnsi="Times New Roman" w:eastAsia="宋体" w:cs="宋体"/>
                <w:b/>
                <w:bCs/>
                <w:sz w:val="24"/>
                <w:highlight w:val="none"/>
              </w:rPr>
            </w:pPr>
            <w:r>
              <w:rPr>
                <w:rFonts w:hint="eastAsia" w:ascii="宋体" w:hAnsi="Times New Roman" w:eastAsia="宋体" w:cs="宋体"/>
                <w:b/>
                <w:bCs/>
                <w:sz w:val="24"/>
                <w:highlight w:val="none"/>
              </w:rPr>
              <w:t>四</w:t>
            </w:r>
          </w:p>
        </w:tc>
        <w:tc>
          <w:tcPr>
            <w:tcW w:w="1636" w:type="dxa"/>
            <w:tcBorders>
              <w:top w:val="single" w:color="auto" w:sz="4" w:space="0"/>
              <w:left w:val="single" w:color="auto" w:sz="4" w:space="0"/>
              <w:bottom w:val="single" w:color="auto" w:sz="4" w:space="0"/>
              <w:right w:val="single" w:color="auto" w:sz="4" w:space="0"/>
            </w:tcBorders>
            <w:vAlign w:val="center"/>
          </w:tcPr>
          <w:p w14:paraId="0D1DB978">
            <w:pPr>
              <w:widowControl w:val="0"/>
              <w:spacing w:line="240" w:lineRule="auto"/>
              <w:ind w:firstLine="0" w:firstLineChars="0"/>
              <w:rPr>
                <w:rFonts w:ascii="宋体" w:hAnsi="Times New Roman" w:eastAsia="宋体" w:cs="宋体"/>
                <w:b/>
                <w:bCs/>
                <w:sz w:val="24"/>
                <w:highlight w:val="none"/>
              </w:rPr>
            </w:pPr>
            <w:r>
              <w:rPr>
                <w:rFonts w:hint="eastAsia" w:ascii="宋体" w:hAnsi="Times New Roman" w:eastAsia="宋体" w:cs="宋体"/>
                <w:b/>
                <w:bCs/>
                <w:sz w:val="24"/>
                <w:highlight w:val="none"/>
              </w:rPr>
              <w:t>不良行为扣分</w:t>
            </w:r>
          </w:p>
        </w:tc>
        <w:tc>
          <w:tcPr>
            <w:tcW w:w="705" w:type="dxa"/>
            <w:tcBorders>
              <w:top w:val="single" w:color="auto" w:sz="4" w:space="0"/>
              <w:left w:val="single" w:color="auto" w:sz="4" w:space="0"/>
              <w:bottom w:val="single" w:color="auto" w:sz="4" w:space="0"/>
              <w:right w:val="single" w:color="auto" w:sz="4" w:space="0"/>
            </w:tcBorders>
            <w:vAlign w:val="center"/>
          </w:tcPr>
          <w:p w14:paraId="6CFBCA9F">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1CD00045">
            <w:pPr>
              <w:widowControl w:val="0"/>
              <w:spacing w:line="240" w:lineRule="auto"/>
              <w:ind w:firstLine="0" w:firstLineChars="0"/>
              <w:rPr>
                <w:rFonts w:ascii="宋体" w:hAnsi="Times New Roman" w:eastAsia="宋体" w:cs="宋体"/>
                <w:sz w:val="24"/>
                <w:highlight w:val="none"/>
              </w:rPr>
            </w:pPr>
          </w:p>
        </w:tc>
        <w:tc>
          <w:tcPr>
            <w:tcW w:w="732" w:type="dxa"/>
            <w:tcBorders>
              <w:top w:val="single" w:color="auto" w:sz="4" w:space="0"/>
              <w:left w:val="single" w:color="auto" w:sz="4" w:space="0"/>
              <w:bottom w:val="single" w:color="auto" w:sz="4" w:space="0"/>
              <w:right w:val="single" w:color="auto" w:sz="4" w:space="0"/>
            </w:tcBorders>
          </w:tcPr>
          <w:p w14:paraId="10EAAE29">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5004A83">
            <w:pPr>
              <w:widowControl w:val="0"/>
              <w:spacing w:line="240" w:lineRule="auto"/>
              <w:ind w:firstLine="0" w:firstLineChars="0"/>
              <w:rPr>
                <w:rFonts w:ascii="宋体" w:hAnsi="Times New Roman" w:eastAsia="宋体" w:cs="宋体"/>
                <w:sz w:val="24"/>
                <w:highlight w:val="none"/>
              </w:rPr>
            </w:pPr>
          </w:p>
        </w:tc>
      </w:tr>
      <w:tr w14:paraId="5F51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FF103B1">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2A676A98">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3E7A283">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656EFDBB">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每处-5 分：擅自采用不成熟的技术或产品从而影响项目进展；</w:t>
            </w:r>
          </w:p>
        </w:tc>
        <w:tc>
          <w:tcPr>
            <w:tcW w:w="732" w:type="dxa"/>
            <w:tcBorders>
              <w:top w:val="single" w:color="auto" w:sz="4" w:space="0"/>
              <w:left w:val="single" w:color="auto" w:sz="4" w:space="0"/>
              <w:bottom w:val="single" w:color="auto" w:sz="4" w:space="0"/>
              <w:right w:val="single" w:color="auto" w:sz="4" w:space="0"/>
            </w:tcBorders>
          </w:tcPr>
          <w:p w14:paraId="6125B60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927FBC1">
            <w:pPr>
              <w:widowControl w:val="0"/>
              <w:spacing w:line="240" w:lineRule="auto"/>
              <w:ind w:firstLine="0" w:firstLineChars="0"/>
              <w:rPr>
                <w:rFonts w:ascii="宋体" w:hAnsi="Times New Roman" w:eastAsia="宋体" w:cs="宋体"/>
                <w:sz w:val="24"/>
                <w:highlight w:val="none"/>
              </w:rPr>
            </w:pPr>
          </w:p>
        </w:tc>
      </w:tr>
      <w:tr w14:paraId="0EEF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1164585C">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51FFA6BE">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C7D4F12">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5AC220B4">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分：对明知存在错误或不合理之处且拒不改正；</w:t>
            </w:r>
          </w:p>
        </w:tc>
        <w:tc>
          <w:tcPr>
            <w:tcW w:w="732" w:type="dxa"/>
            <w:tcBorders>
              <w:top w:val="single" w:color="auto" w:sz="4" w:space="0"/>
              <w:left w:val="single" w:color="auto" w:sz="4" w:space="0"/>
              <w:bottom w:val="single" w:color="auto" w:sz="4" w:space="0"/>
              <w:right w:val="single" w:color="auto" w:sz="4" w:space="0"/>
            </w:tcBorders>
          </w:tcPr>
          <w:p w14:paraId="5759C83B">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65D23145">
            <w:pPr>
              <w:widowControl w:val="0"/>
              <w:spacing w:line="240" w:lineRule="auto"/>
              <w:ind w:firstLine="0" w:firstLineChars="0"/>
              <w:rPr>
                <w:rFonts w:ascii="宋体" w:hAnsi="Times New Roman" w:eastAsia="宋体" w:cs="宋体"/>
                <w:sz w:val="24"/>
                <w:highlight w:val="none"/>
              </w:rPr>
            </w:pPr>
          </w:p>
        </w:tc>
      </w:tr>
      <w:tr w14:paraId="5BC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DD31039">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2540CC58">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12D6D8A5">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14799AA">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分：出现需要受托人配合才能解决的问题时拒不到场；</w:t>
            </w:r>
          </w:p>
        </w:tc>
        <w:tc>
          <w:tcPr>
            <w:tcW w:w="732" w:type="dxa"/>
            <w:tcBorders>
              <w:top w:val="single" w:color="auto" w:sz="4" w:space="0"/>
              <w:left w:val="single" w:color="auto" w:sz="4" w:space="0"/>
              <w:bottom w:val="single" w:color="auto" w:sz="4" w:space="0"/>
              <w:right w:val="single" w:color="auto" w:sz="4" w:space="0"/>
            </w:tcBorders>
          </w:tcPr>
          <w:p w14:paraId="76DA77F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EA087BA">
            <w:pPr>
              <w:widowControl w:val="0"/>
              <w:spacing w:line="240" w:lineRule="auto"/>
              <w:ind w:firstLine="0" w:firstLineChars="0"/>
              <w:rPr>
                <w:rFonts w:ascii="宋体" w:hAnsi="Times New Roman" w:eastAsia="宋体" w:cs="宋体"/>
                <w:sz w:val="24"/>
                <w:highlight w:val="none"/>
              </w:rPr>
            </w:pPr>
          </w:p>
        </w:tc>
      </w:tr>
      <w:tr w14:paraId="1ED6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5DC0F2F">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68E0C9B2">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36E9D585">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6A815BE">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每次-5 分：无正当理由拒绝在最终成果及相关文件上签字盖章承担责任；</w:t>
            </w:r>
          </w:p>
        </w:tc>
        <w:tc>
          <w:tcPr>
            <w:tcW w:w="732" w:type="dxa"/>
            <w:tcBorders>
              <w:top w:val="single" w:color="auto" w:sz="4" w:space="0"/>
              <w:left w:val="single" w:color="auto" w:sz="4" w:space="0"/>
              <w:bottom w:val="single" w:color="auto" w:sz="4" w:space="0"/>
              <w:right w:val="single" w:color="auto" w:sz="4" w:space="0"/>
            </w:tcBorders>
          </w:tcPr>
          <w:p w14:paraId="28C554D6">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46AD98EF">
            <w:pPr>
              <w:widowControl w:val="0"/>
              <w:spacing w:line="240" w:lineRule="auto"/>
              <w:ind w:firstLine="0" w:firstLineChars="0"/>
              <w:rPr>
                <w:rFonts w:ascii="宋体" w:hAnsi="Times New Roman" w:eastAsia="宋体" w:cs="宋体"/>
                <w:sz w:val="24"/>
                <w:highlight w:val="none"/>
              </w:rPr>
            </w:pPr>
          </w:p>
        </w:tc>
      </w:tr>
      <w:tr w14:paraId="633C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78DEFF3">
            <w:pPr>
              <w:widowControl w:val="0"/>
              <w:spacing w:line="240" w:lineRule="auto"/>
              <w:ind w:firstLine="0" w:firstLineChars="0"/>
              <w:jc w:val="center"/>
              <w:rPr>
                <w:rFonts w:ascii="宋体" w:hAnsi="Times New Roman" w:eastAsia="宋体" w:cs="宋体"/>
                <w:b/>
                <w:bCs/>
                <w:sz w:val="22"/>
                <w:szCs w:val="22"/>
                <w:highlight w:val="none"/>
              </w:rPr>
            </w:pPr>
            <w:r>
              <w:rPr>
                <w:rFonts w:hint="eastAsia" w:ascii="宋体" w:hAnsi="Times New Roman" w:eastAsia="宋体" w:cs="宋体"/>
                <w:b/>
                <w:bCs/>
                <w:sz w:val="22"/>
                <w:szCs w:val="22"/>
                <w:highlight w:val="none"/>
              </w:rPr>
              <w:t>五</w:t>
            </w:r>
          </w:p>
        </w:tc>
        <w:tc>
          <w:tcPr>
            <w:tcW w:w="1636" w:type="dxa"/>
            <w:tcBorders>
              <w:top w:val="single" w:color="auto" w:sz="4" w:space="0"/>
              <w:left w:val="single" w:color="auto" w:sz="4" w:space="0"/>
              <w:bottom w:val="single" w:color="auto" w:sz="4" w:space="0"/>
              <w:right w:val="single" w:color="auto" w:sz="4" w:space="0"/>
            </w:tcBorders>
            <w:vAlign w:val="center"/>
          </w:tcPr>
          <w:p w14:paraId="5A0CBE73">
            <w:pPr>
              <w:widowControl w:val="0"/>
              <w:spacing w:line="240" w:lineRule="auto"/>
              <w:ind w:firstLine="0" w:firstLineChars="0"/>
              <w:rPr>
                <w:rFonts w:ascii="宋体" w:hAnsi="Times New Roman" w:eastAsia="宋体" w:cs="宋体"/>
                <w:b/>
                <w:bCs/>
                <w:sz w:val="22"/>
                <w:szCs w:val="22"/>
                <w:highlight w:val="none"/>
              </w:rPr>
            </w:pPr>
            <w:r>
              <w:rPr>
                <w:rFonts w:hint="eastAsia" w:ascii="宋体" w:hAnsi="Times New Roman" w:eastAsia="宋体" w:cs="宋体"/>
                <w:b/>
                <w:bCs/>
                <w:sz w:val="22"/>
                <w:szCs w:val="22"/>
                <w:highlight w:val="none"/>
              </w:rPr>
              <w:t>直接判定为履约不合格行为</w:t>
            </w:r>
          </w:p>
        </w:tc>
        <w:tc>
          <w:tcPr>
            <w:tcW w:w="705" w:type="dxa"/>
            <w:tcBorders>
              <w:top w:val="single" w:color="auto" w:sz="4" w:space="0"/>
              <w:left w:val="single" w:color="auto" w:sz="4" w:space="0"/>
              <w:bottom w:val="single" w:color="auto" w:sz="4" w:space="0"/>
              <w:right w:val="single" w:color="auto" w:sz="4" w:space="0"/>
            </w:tcBorders>
            <w:vAlign w:val="center"/>
          </w:tcPr>
          <w:p w14:paraId="18A94CF0">
            <w:pPr>
              <w:widowControl w:val="0"/>
              <w:spacing w:line="240" w:lineRule="auto"/>
              <w:ind w:firstLine="0" w:firstLineChars="0"/>
              <w:jc w:val="center"/>
              <w:rPr>
                <w:rFonts w:ascii="宋体" w:hAnsi="Times New Roman" w:eastAsia="宋体" w:cs="宋体"/>
                <w:sz w:val="22"/>
                <w:szCs w:val="22"/>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DDF323E">
            <w:pPr>
              <w:widowControl w:val="0"/>
              <w:spacing w:line="240" w:lineRule="auto"/>
              <w:ind w:firstLine="0" w:firstLineChars="0"/>
              <w:rPr>
                <w:rFonts w:ascii="宋体" w:hAnsi="Times New Roman" w:eastAsia="宋体" w:cs="宋体"/>
                <w:sz w:val="22"/>
                <w:szCs w:val="22"/>
                <w:highlight w:val="none"/>
              </w:rPr>
            </w:pPr>
          </w:p>
        </w:tc>
        <w:tc>
          <w:tcPr>
            <w:tcW w:w="732" w:type="dxa"/>
            <w:tcBorders>
              <w:top w:val="single" w:color="auto" w:sz="4" w:space="0"/>
              <w:left w:val="single" w:color="auto" w:sz="4" w:space="0"/>
              <w:bottom w:val="single" w:color="auto" w:sz="4" w:space="0"/>
              <w:right w:val="single" w:color="auto" w:sz="4" w:space="0"/>
            </w:tcBorders>
          </w:tcPr>
          <w:p w14:paraId="7CF23C81">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7F34E2FC">
            <w:pPr>
              <w:widowControl w:val="0"/>
              <w:spacing w:line="240" w:lineRule="auto"/>
              <w:ind w:firstLine="0" w:firstLineChars="0"/>
              <w:rPr>
                <w:rFonts w:ascii="宋体" w:hAnsi="Times New Roman" w:eastAsia="宋体" w:cs="宋体"/>
                <w:sz w:val="24"/>
                <w:highlight w:val="none"/>
              </w:rPr>
            </w:pPr>
          </w:p>
        </w:tc>
      </w:tr>
      <w:tr w14:paraId="5B3F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4651CACE">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1</w:t>
            </w:r>
          </w:p>
        </w:tc>
        <w:tc>
          <w:tcPr>
            <w:tcW w:w="1636" w:type="dxa"/>
            <w:tcBorders>
              <w:top w:val="single" w:color="auto" w:sz="4" w:space="0"/>
              <w:left w:val="single" w:color="auto" w:sz="4" w:space="0"/>
              <w:bottom w:val="single" w:color="auto" w:sz="4" w:space="0"/>
              <w:right w:val="single" w:color="auto" w:sz="4" w:space="0"/>
            </w:tcBorders>
            <w:vAlign w:val="center"/>
          </w:tcPr>
          <w:p w14:paraId="59DB6F6F">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41557EC5">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2BDEE000">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违法转包或者未经同意分包所承揽的合同全部工作；</w:t>
            </w:r>
          </w:p>
        </w:tc>
        <w:tc>
          <w:tcPr>
            <w:tcW w:w="732" w:type="dxa"/>
            <w:tcBorders>
              <w:top w:val="single" w:color="auto" w:sz="4" w:space="0"/>
              <w:left w:val="single" w:color="auto" w:sz="4" w:space="0"/>
              <w:bottom w:val="single" w:color="auto" w:sz="4" w:space="0"/>
              <w:right w:val="single" w:color="auto" w:sz="4" w:space="0"/>
            </w:tcBorders>
          </w:tcPr>
          <w:p w14:paraId="6EAB01D2">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07D8CB53">
            <w:pPr>
              <w:widowControl w:val="0"/>
              <w:spacing w:line="240" w:lineRule="auto"/>
              <w:ind w:firstLine="0" w:firstLineChars="0"/>
              <w:rPr>
                <w:rFonts w:ascii="宋体" w:hAnsi="Times New Roman" w:eastAsia="宋体" w:cs="宋体"/>
                <w:sz w:val="24"/>
                <w:highlight w:val="none"/>
              </w:rPr>
            </w:pPr>
          </w:p>
        </w:tc>
      </w:tr>
      <w:tr w14:paraId="0D49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37CE4D6">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2</w:t>
            </w:r>
          </w:p>
        </w:tc>
        <w:tc>
          <w:tcPr>
            <w:tcW w:w="1636" w:type="dxa"/>
            <w:tcBorders>
              <w:top w:val="single" w:color="auto" w:sz="4" w:space="0"/>
              <w:left w:val="single" w:color="auto" w:sz="4" w:space="0"/>
              <w:bottom w:val="single" w:color="auto" w:sz="4" w:space="0"/>
              <w:right w:val="single" w:color="auto" w:sz="4" w:space="0"/>
            </w:tcBorders>
            <w:vAlign w:val="center"/>
          </w:tcPr>
          <w:p w14:paraId="2B97292E">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2FBD16A2">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3084E678">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达不到本合同成果要求，不能配合赛事管理工作。</w:t>
            </w:r>
          </w:p>
        </w:tc>
        <w:tc>
          <w:tcPr>
            <w:tcW w:w="732" w:type="dxa"/>
            <w:tcBorders>
              <w:top w:val="single" w:color="auto" w:sz="4" w:space="0"/>
              <w:left w:val="single" w:color="auto" w:sz="4" w:space="0"/>
              <w:bottom w:val="single" w:color="auto" w:sz="4" w:space="0"/>
              <w:right w:val="single" w:color="auto" w:sz="4" w:space="0"/>
            </w:tcBorders>
          </w:tcPr>
          <w:p w14:paraId="4868188D">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36875F42">
            <w:pPr>
              <w:widowControl w:val="0"/>
              <w:spacing w:line="240" w:lineRule="auto"/>
              <w:ind w:firstLine="0" w:firstLineChars="0"/>
              <w:rPr>
                <w:rFonts w:ascii="宋体" w:hAnsi="Times New Roman" w:eastAsia="宋体" w:cs="宋体"/>
                <w:sz w:val="24"/>
                <w:highlight w:val="none"/>
              </w:rPr>
            </w:pPr>
          </w:p>
        </w:tc>
      </w:tr>
      <w:tr w14:paraId="5406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59CE86CB">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3</w:t>
            </w:r>
          </w:p>
        </w:tc>
        <w:tc>
          <w:tcPr>
            <w:tcW w:w="1636" w:type="dxa"/>
            <w:tcBorders>
              <w:top w:val="single" w:color="auto" w:sz="4" w:space="0"/>
              <w:left w:val="single" w:color="auto" w:sz="4" w:space="0"/>
              <w:bottom w:val="single" w:color="auto" w:sz="4" w:space="0"/>
              <w:right w:val="single" w:color="auto" w:sz="4" w:space="0"/>
            </w:tcBorders>
            <w:vAlign w:val="center"/>
          </w:tcPr>
          <w:p w14:paraId="51C5E863">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02A65CE7">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47BBD7F1">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编造或篡改相关信息及数据；</w:t>
            </w:r>
          </w:p>
        </w:tc>
        <w:tc>
          <w:tcPr>
            <w:tcW w:w="732" w:type="dxa"/>
            <w:tcBorders>
              <w:top w:val="single" w:color="auto" w:sz="4" w:space="0"/>
              <w:left w:val="single" w:color="auto" w:sz="4" w:space="0"/>
              <w:bottom w:val="single" w:color="auto" w:sz="4" w:space="0"/>
              <w:right w:val="single" w:color="auto" w:sz="4" w:space="0"/>
            </w:tcBorders>
          </w:tcPr>
          <w:p w14:paraId="5182042B">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209CB3E7">
            <w:pPr>
              <w:widowControl w:val="0"/>
              <w:spacing w:line="240" w:lineRule="auto"/>
              <w:ind w:firstLine="0" w:firstLineChars="0"/>
              <w:rPr>
                <w:rFonts w:ascii="宋体" w:hAnsi="Times New Roman" w:eastAsia="宋体" w:cs="宋体"/>
                <w:sz w:val="24"/>
                <w:highlight w:val="none"/>
              </w:rPr>
            </w:pPr>
          </w:p>
        </w:tc>
      </w:tr>
      <w:tr w14:paraId="13AB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3" w:type="dxa"/>
            <w:tcBorders>
              <w:top w:val="single" w:color="auto" w:sz="4" w:space="0"/>
              <w:left w:val="single" w:color="auto" w:sz="4" w:space="0"/>
              <w:bottom w:val="single" w:color="auto" w:sz="4" w:space="0"/>
              <w:right w:val="single" w:color="auto" w:sz="4" w:space="0"/>
            </w:tcBorders>
            <w:vAlign w:val="center"/>
          </w:tcPr>
          <w:p w14:paraId="7A1BD865">
            <w:pPr>
              <w:widowControl w:val="0"/>
              <w:spacing w:line="240" w:lineRule="auto"/>
              <w:ind w:firstLine="0" w:firstLineChars="0"/>
              <w:jc w:val="center"/>
              <w:rPr>
                <w:rFonts w:ascii="宋体" w:hAnsi="Times New Roman" w:eastAsia="宋体" w:cs="宋体"/>
                <w:sz w:val="24"/>
                <w:highlight w:val="none"/>
              </w:rPr>
            </w:pPr>
            <w:r>
              <w:rPr>
                <w:rFonts w:hint="eastAsia" w:ascii="宋体" w:hAnsi="Times New Roman" w:eastAsia="宋体" w:cs="宋体"/>
                <w:sz w:val="24"/>
                <w:highlight w:val="none"/>
              </w:rPr>
              <w:t>4</w:t>
            </w:r>
          </w:p>
        </w:tc>
        <w:tc>
          <w:tcPr>
            <w:tcW w:w="1636" w:type="dxa"/>
            <w:tcBorders>
              <w:top w:val="single" w:color="auto" w:sz="4" w:space="0"/>
              <w:left w:val="single" w:color="auto" w:sz="4" w:space="0"/>
              <w:bottom w:val="single" w:color="auto" w:sz="4" w:space="0"/>
              <w:right w:val="single" w:color="auto" w:sz="4" w:space="0"/>
            </w:tcBorders>
            <w:vAlign w:val="center"/>
          </w:tcPr>
          <w:p w14:paraId="40F5C5C7">
            <w:pPr>
              <w:widowControl w:val="0"/>
              <w:spacing w:line="240" w:lineRule="auto"/>
              <w:ind w:firstLine="0" w:firstLineChars="0"/>
              <w:rPr>
                <w:rFonts w:ascii="宋体" w:hAnsi="Times New Roman" w:eastAsia="宋体" w:cs="宋体"/>
                <w:sz w:val="24"/>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14:paraId="613059E1">
            <w:pPr>
              <w:widowControl w:val="0"/>
              <w:spacing w:line="240" w:lineRule="auto"/>
              <w:ind w:firstLine="0" w:firstLineChars="0"/>
              <w:jc w:val="center"/>
              <w:rPr>
                <w:rFonts w:ascii="宋体" w:hAnsi="Times New Roman" w:eastAsia="宋体" w:cs="宋体"/>
                <w:sz w:val="24"/>
                <w:highlight w:val="none"/>
              </w:rPr>
            </w:pPr>
          </w:p>
        </w:tc>
        <w:tc>
          <w:tcPr>
            <w:tcW w:w="5249" w:type="dxa"/>
            <w:tcBorders>
              <w:top w:val="single" w:color="auto" w:sz="4" w:space="0"/>
              <w:left w:val="single" w:color="auto" w:sz="4" w:space="0"/>
              <w:bottom w:val="single" w:color="auto" w:sz="4" w:space="0"/>
              <w:right w:val="single" w:color="auto" w:sz="4" w:space="0"/>
            </w:tcBorders>
            <w:vAlign w:val="center"/>
          </w:tcPr>
          <w:p w14:paraId="79709A37">
            <w:pPr>
              <w:widowControl w:val="0"/>
              <w:spacing w:line="240" w:lineRule="auto"/>
              <w:ind w:firstLine="0" w:firstLineChars="0"/>
              <w:rPr>
                <w:rFonts w:ascii="宋体" w:hAnsi="Times New Roman" w:eastAsia="宋体" w:cs="宋体"/>
                <w:sz w:val="24"/>
                <w:highlight w:val="none"/>
              </w:rPr>
            </w:pPr>
            <w:r>
              <w:rPr>
                <w:rFonts w:hint="eastAsia" w:ascii="宋体" w:hAnsi="Times New Roman" w:eastAsia="宋体" w:cs="宋体"/>
                <w:sz w:val="24"/>
                <w:highlight w:val="none"/>
              </w:rPr>
              <w:t>因工作失误造成重大损失；</w:t>
            </w:r>
          </w:p>
        </w:tc>
        <w:tc>
          <w:tcPr>
            <w:tcW w:w="732" w:type="dxa"/>
            <w:tcBorders>
              <w:top w:val="single" w:color="auto" w:sz="4" w:space="0"/>
              <w:left w:val="single" w:color="auto" w:sz="4" w:space="0"/>
              <w:bottom w:val="single" w:color="auto" w:sz="4" w:space="0"/>
              <w:right w:val="single" w:color="auto" w:sz="4" w:space="0"/>
            </w:tcBorders>
          </w:tcPr>
          <w:p w14:paraId="0B5CBB3A">
            <w:pPr>
              <w:widowControl w:val="0"/>
              <w:spacing w:line="240" w:lineRule="auto"/>
              <w:ind w:firstLine="0" w:firstLineChars="0"/>
              <w:rPr>
                <w:rFonts w:ascii="宋体" w:hAnsi="Times New Roman" w:eastAsia="宋体" w:cs="宋体"/>
                <w:sz w:val="24"/>
                <w:highlight w:val="none"/>
              </w:rPr>
            </w:pPr>
          </w:p>
        </w:tc>
        <w:tc>
          <w:tcPr>
            <w:tcW w:w="1037" w:type="dxa"/>
            <w:tcBorders>
              <w:top w:val="single" w:color="auto" w:sz="4" w:space="0"/>
              <w:left w:val="single" w:color="auto" w:sz="4" w:space="0"/>
              <w:bottom w:val="single" w:color="auto" w:sz="4" w:space="0"/>
              <w:right w:val="single" w:color="auto" w:sz="4" w:space="0"/>
            </w:tcBorders>
          </w:tcPr>
          <w:p w14:paraId="55E7E660">
            <w:pPr>
              <w:widowControl w:val="0"/>
              <w:spacing w:line="240" w:lineRule="auto"/>
              <w:ind w:firstLine="0" w:firstLineChars="0"/>
              <w:rPr>
                <w:rFonts w:ascii="宋体" w:hAnsi="Times New Roman" w:eastAsia="宋体" w:cs="宋体"/>
                <w:sz w:val="24"/>
                <w:highlight w:val="none"/>
              </w:rPr>
            </w:pPr>
          </w:p>
        </w:tc>
      </w:tr>
      <w:tr w14:paraId="22EE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27ECC482">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实得分数：</w:t>
            </w:r>
          </w:p>
        </w:tc>
        <w:tc>
          <w:tcPr>
            <w:tcW w:w="1037" w:type="dxa"/>
            <w:tcBorders>
              <w:top w:val="single" w:color="auto" w:sz="4" w:space="0"/>
              <w:left w:val="single" w:color="auto" w:sz="4" w:space="0"/>
              <w:bottom w:val="single" w:color="auto" w:sz="4" w:space="0"/>
              <w:right w:val="single" w:color="auto" w:sz="4" w:space="0"/>
            </w:tcBorders>
          </w:tcPr>
          <w:p w14:paraId="343A9958">
            <w:pPr>
              <w:widowControl w:val="0"/>
              <w:spacing w:line="240" w:lineRule="auto"/>
              <w:ind w:firstLine="8" w:firstLineChars="0"/>
              <w:rPr>
                <w:rFonts w:ascii="宋体" w:hAnsi="Times New Roman" w:eastAsia="宋体" w:cs="宋体"/>
                <w:sz w:val="24"/>
                <w:highlight w:val="none"/>
              </w:rPr>
            </w:pPr>
          </w:p>
        </w:tc>
      </w:tr>
      <w:tr w14:paraId="27A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55" w:type="dxa"/>
            <w:gridSpan w:val="5"/>
            <w:tcBorders>
              <w:top w:val="single" w:color="auto" w:sz="4" w:space="0"/>
              <w:left w:val="single" w:color="auto" w:sz="4" w:space="0"/>
              <w:bottom w:val="single" w:color="auto" w:sz="4" w:space="0"/>
              <w:right w:val="single" w:color="auto" w:sz="4" w:space="0"/>
            </w:tcBorders>
            <w:vAlign w:val="center"/>
          </w:tcPr>
          <w:p w14:paraId="3D2DB79B">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综合评定等级：综合考评分为优秀(评分≥90分)、良好(80≤评分&lt;90)、一般(70≤评分&lt;80)、差(评分&lt;70)四个等级。</w:t>
            </w:r>
          </w:p>
        </w:tc>
        <w:tc>
          <w:tcPr>
            <w:tcW w:w="1037" w:type="dxa"/>
            <w:tcBorders>
              <w:top w:val="single" w:color="auto" w:sz="4" w:space="0"/>
              <w:left w:val="single" w:color="auto" w:sz="4" w:space="0"/>
              <w:bottom w:val="single" w:color="auto" w:sz="4" w:space="0"/>
              <w:right w:val="single" w:color="auto" w:sz="4" w:space="0"/>
            </w:tcBorders>
          </w:tcPr>
          <w:p w14:paraId="4656DB97">
            <w:pPr>
              <w:widowControl w:val="0"/>
              <w:spacing w:line="240" w:lineRule="auto"/>
              <w:ind w:firstLine="8" w:firstLineChars="0"/>
              <w:rPr>
                <w:rFonts w:ascii="宋体" w:hAnsi="Times New Roman" w:eastAsia="宋体" w:cs="宋体"/>
                <w:sz w:val="24"/>
                <w:highlight w:val="none"/>
              </w:rPr>
            </w:pPr>
          </w:p>
        </w:tc>
      </w:tr>
      <w:tr w14:paraId="2255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0E7F38C1">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考核者简要说明：</w:t>
            </w:r>
          </w:p>
          <w:p w14:paraId="252D7D55">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考核者签名：</w:t>
            </w:r>
          </w:p>
        </w:tc>
      </w:tr>
      <w:tr w14:paraId="0EC9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792" w:type="dxa"/>
            <w:gridSpan w:val="6"/>
            <w:tcBorders>
              <w:top w:val="single" w:color="auto" w:sz="4" w:space="0"/>
              <w:left w:val="single" w:color="auto" w:sz="4" w:space="0"/>
              <w:bottom w:val="single" w:color="auto" w:sz="4" w:space="0"/>
              <w:right w:val="single" w:color="auto" w:sz="4" w:space="0"/>
            </w:tcBorders>
          </w:tcPr>
          <w:p w14:paraId="2222A7D2">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被考核者意见：</w:t>
            </w:r>
          </w:p>
          <w:p w14:paraId="76B75690">
            <w:pPr>
              <w:widowControl w:val="0"/>
              <w:spacing w:line="240" w:lineRule="auto"/>
              <w:ind w:firstLine="8" w:firstLineChars="0"/>
              <w:rPr>
                <w:rFonts w:ascii="宋体" w:hAnsi="Times New Roman" w:eastAsia="宋体" w:cs="宋体"/>
                <w:sz w:val="24"/>
                <w:highlight w:val="none"/>
              </w:rPr>
            </w:pPr>
            <w:r>
              <w:rPr>
                <w:rFonts w:hint="eastAsia" w:ascii="宋体" w:hAnsi="Times New Roman" w:eastAsia="宋体" w:cs="宋体"/>
                <w:sz w:val="24"/>
                <w:highlight w:val="none"/>
              </w:rPr>
              <w:t>被考核者负责人签名：</w:t>
            </w:r>
          </w:p>
        </w:tc>
      </w:tr>
    </w:tbl>
    <w:p w14:paraId="1910B2C0">
      <w:pPr>
        <w:ind w:firstLine="0" w:firstLineChars="0"/>
        <w:rPr>
          <w:highlight w:val="none"/>
        </w:rPr>
      </w:pPr>
    </w:p>
    <w:p w14:paraId="43C49DB6">
      <w:pPr>
        <w:pStyle w:val="2"/>
        <w:rPr>
          <w:highlight w:val="none"/>
        </w:rPr>
      </w:pPr>
    </w:p>
    <w:p w14:paraId="2B8BAEF6">
      <w:pPr>
        <w:pStyle w:val="2"/>
        <w:rPr>
          <w:highlight w:val="none"/>
        </w:rPr>
      </w:pPr>
    </w:p>
    <w:p w14:paraId="7D99E16D">
      <w:pPr>
        <w:pStyle w:val="2"/>
        <w:rPr>
          <w:highlight w:val="none"/>
        </w:rPr>
      </w:pPr>
    </w:p>
    <w:p w14:paraId="25D4A0F1">
      <w:pPr>
        <w:pStyle w:val="2"/>
        <w:rPr>
          <w:highlight w:val="none"/>
        </w:rPr>
      </w:pPr>
    </w:p>
    <w:p w14:paraId="61BD7407">
      <w:pPr>
        <w:pStyle w:val="2"/>
        <w:rPr>
          <w:highlight w:val="none"/>
        </w:rPr>
      </w:pPr>
    </w:p>
    <w:p w14:paraId="7A04E097">
      <w:pPr>
        <w:pStyle w:val="2"/>
        <w:rPr>
          <w:highlight w:val="none"/>
        </w:rPr>
      </w:pPr>
    </w:p>
    <w:p w14:paraId="259FA532">
      <w:pPr>
        <w:pStyle w:val="2"/>
        <w:rPr>
          <w:highlight w:val="none"/>
        </w:rPr>
      </w:pPr>
    </w:p>
    <w:p w14:paraId="6A9DA953">
      <w:pPr>
        <w:pStyle w:val="2"/>
        <w:rPr>
          <w:highlight w:val="none"/>
        </w:rPr>
      </w:pPr>
    </w:p>
    <w:p w14:paraId="154AFA13">
      <w:pPr>
        <w:ind w:firstLine="0" w:firstLineChars="0"/>
        <w:rPr>
          <w:highlight w:val="none"/>
        </w:rPr>
      </w:pPr>
    </w:p>
    <w:p w14:paraId="79C3CBEF">
      <w:pPr>
        <w:rPr>
          <w:highlight w:val="none"/>
        </w:rPr>
      </w:pPr>
    </w:p>
    <w:p w14:paraId="724CB085">
      <w:pPr>
        <w:rPr>
          <w:highlight w:val="none"/>
        </w:rPr>
      </w:pPr>
    </w:p>
    <w:p w14:paraId="5912F0D2">
      <w:pPr>
        <w:ind w:firstLine="0" w:firstLineChars="0"/>
        <w:rPr>
          <w:highlight w:val="none"/>
        </w:rPr>
      </w:pPr>
    </w:p>
    <w:p w14:paraId="102051B6">
      <w:pPr>
        <w:rPr>
          <w:highlight w:val="none"/>
        </w:rPr>
      </w:pPr>
    </w:p>
    <w:p w14:paraId="7646BA54">
      <w:pPr>
        <w:rPr>
          <w:highlight w:val="none"/>
        </w:rPr>
      </w:pPr>
    </w:p>
    <w:p w14:paraId="03D227B0">
      <w:pPr>
        <w:rPr>
          <w:highlight w:val="none"/>
        </w:rPr>
      </w:pPr>
    </w:p>
    <w:p w14:paraId="6885FC06">
      <w:pPr>
        <w:rPr>
          <w:highlight w:val="none"/>
        </w:rPr>
      </w:pPr>
    </w:p>
    <w:p w14:paraId="63DB73CE">
      <w:pPr>
        <w:widowControl w:val="0"/>
        <w:autoSpaceDE w:val="0"/>
        <w:autoSpaceDN w:val="0"/>
        <w:adjustRightInd w:val="0"/>
        <w:snapToGrid w:val="0"/>
        <w:ind w:firstLine="0" w:firstLineChars="0"/>
        <w:jc w:val="center"/>
        <w:outlineLvl w:val="0"/>
        <w:rPr>
          <w:rFonts w:ascii="宋体" w:hAnsi="宋体"/>
          <w:b/>
          <w:sz w:val="52"/>
          <w:szCs w:val="52"/>
          <w:highlight w:val="none"/>
        </w:rPr>
      </w:pPr>
      <w:bookmarkStart w:id="331" w:name="_Toc2498"/>
      <w:bookmarkStart w:id="332" w:name="_Toc21234"/>
      <w:bookmarkStart w:id="333" w:name="_Toc29564"/>
      <w:bookmarkStart w:id="334" w:name="_Toc11551"/>
      <w:r>
        <w:rPr>
          <w:rFonts w:hint="eastAsia" w:ascii="宋体" w:hAnsi="宋体"/>
          <w:b/>
          <w:sz w:val="52"/>
          <w:szCs w:val="52"/>
          <w:highlight w:val="none"/>
          <w:lang w:val="en-US" w:eastAsia="zh-CN"/>
        </w:rPr>
        <w:t xml:space="preserve"> </w:t>
      </w:r>
      <w:r>
        <w:rPr>
          <w:rFonts w:hint="eastAsia" w:ascii="宋体" w:hAnsi="宋体"/>
          <w:b/>
          <w:sz w:val="52"/>
          <w:szCs w:val="52"/>
          <w:highlight w:val="none"/>
        </w:rPr>
        <w:t>第四章 项目需求</w:t>
      </w:r>
      <w:bookmarkEnd w:id="331"/>
      <w:bookmarkEnd w:id="332"/>
      <w:bookmarkEnd w:id="333"/>
      <w:bookmarkEnd w:id="334"/>
    </w:p>
    <w:p w14:paraId="4556825F">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bookmarkStart w:id="335" w:name="_Toc65501075"/>
      <w:bookmarkStart w:id="336" w:name="_Toc65491446"/>
      <w:r>
        <w:rPr>
          <w:rFonts w:ascii="宋体" w:hAnsi="宋体"/>
          <w:b w:val="0"/>
          <w:sz w:val="28"/>
          <w:highlight w:val="none"/>
        </w:rPr>
        <w:br w:type="page"/>
      </w:r>
      <w:bookmarkEnd w:id="329"/>
      <w:bookmarkEnd w:id="330"/>
      <w:bookmarkStart w:id="337" w:name="_Toc17253"/>
      <w:bookmarkStart w:id="338" w:name="_Toc19848"/>
      <w:bookmarkStart w:id="339" w:name="_Toc32688"/>
      <w:bookmarkStart w:id="340" w:name="_Toc21356"/>
      <w:bookmarkStart w:id="341" w:name="_Toc152045786"/>
      <w:bookmarkStart w:id="342" w:name="_Toc20595"/>
      <w:bookmarkStart w:id="343" w:name="_Toc144974855"/>
      <w:bookmarkStart w:id="344" w:name="_Toc152042575"/>
      <w:bookmarkStart w:id="345" w:name="_Toc905"/>
      <w:bookmarkStart w:id="346" w:name="_Toc4334"/>
      <w:r>
        <w:rPr>
          <w:rFonts w:hint="eastAsia" w:ascii="黑体" w:hAnsi="黑体" w:eastAsia="黑体" w:cs="黑体"/>
          <w:b/>
          <w:bCs/>
          <w:sz w:val="24"/>
          <w:highlight w:val="none"/>
          <w:lang w:val="en-US" w:eastAsia="zh-CN"/>
        </w:rPr>
        <w:t>一、项目概述</w:t>
      </w:r>
    </w:p>
    <w:p w14:paraId="61FC82EC">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中国羽毛球大师赛（以下简称赛事）是国际顶级羽毛球赛事之一，其主体赛事为世界羽联巡回赛，是全球六场分站赛之一。本次赛事比赛时间</w:t>
      </w:r>
      <w:r>
        <w:rPr>
          <w:rFonts w:hint="eastAsia" w:eastAsia="仿宋_GB2312" w:cs="Times New Roman"/>
          <w:kern w:val="2"/>
          <w:sz w:val="24"/>
          <w:szCs w:val="24"/>
          <w:lang w:val="en-US" w:eastAsia="zh-CN" w:bidi="ar-SA"/>
        </w:rPr>
        <w:t>暂定</w:t>
      </w:r>
      <w:r>
        <w:rPr>
          <w:rFonts w:hint="eastAsia" w:ascii="Times New Roman" w:hAnsi="Times New Roman" w:eastAsia="仿宋_GB2312" w:cs="Times New Roman"/>
          <w:kern w:val="2"/>
          <w:sz w:val="24"/>
          <w:szCs w:val="24"/>
          <w:lang w:val="en-US" w:eastAsia="zh-CN" w:bidi="ar-SA"/>
        </w:rPr>
        <w:t>为202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年</w:t>
      </w:r>
      <w:r>
        <w:rPr>
          <w:rFonts w:hint="eastAsia" w:eastAsia="仿宋_GB2312" w:cs="Times New Roman"/>
          <w:kern w:val="2"/>
          <w:sz w:val="24"/>
          <w:szCs w:val="24"/>
          <w:lang w:val="en-US" w:eastAsia="zh-CN" w:bidi="ar-SA"/>
        </w:rPr>
        <w:t>9</w:t>
      </w:r>
      <w:r>
        <w:rPr>
          <w:rFonts w:hint="eastAsia" w:ascii="Times New Roman" w:hAnsi="Times New Roman" w:eastAsia="仿宋_GB2312" w:cs="Times New Roman"/>
          <w:kern w:val="2"/>
          <w:sz w:val="24"/>
          <w:szCs w:val="24"/>
          <w:lang w:val="en-US" w:eastAsia="zh-CN" w:bidi="ar-SA"/>
        </w:rPr>
        <w:t>月</w:t>
      </w:r>
      <w:r>
        <w:rPr>
          <w:rFonts w:hint="eastAsia" w:eastAsia="仿宋_GB2312" w:cs="Times New Roman"/>
          <w:kern w:val="2"/>
          <w:sz w:val="24"/>
          <w:szCs w:val="24"/>
          <w:lang w:val="en-US" w:eastAsia="zh-CN" w:bidi="ar-SA"/>
        </w:rPr>
        <w:t>1</w:t>
      </w:r>
      <w:r>
        <w:rPr>
          <w:rFonts w:hint="eastAsia" w:ascii="Times New Roman" w:hAnsi="Times New Roman" w:eastAsia="仿宋_GB2312" w:cs="Times New Roman"/>
          <w:kern w:val="2"/>
          <w:sz w:val="24"/>
          <w:szCs w:val="24"/>
          <w:lang w:val="en-US" w:eastAsia="zh-CN" w:bidi="ar-SA"/>
        </w:rPr>
        <w:t>日—</w:t>
      </w:r>
      <w:r>
        <w:rPr>
          <w:rFonts w:hint="eastAsia" w:eastAsia="仿宋_GB2312" w:cs="Times New Roman"/>
          <w:kern w:val="2"/>
          <w:sz w:val="24"/>
          <w:szCs w:val="24"/>
          <w:lang w:val="en-US" w:eastAsia="zh-CN" w:bidi="ar-SA"/>
        </w:rPr>
        <w:t>7</w:t>
      </w:r>
      <w:r>
        <w:rPr>
          <w:rFonts w:hint="eastAsia" w:ascii="Times New Roman" w:hAnsi="Times New Roman" w:eastAsia="仿宋_GB2312" w:cs="Times New Roman"/>
          <w:kern w:val="2"/>
          <w:sz w:val="24"/>
          <w:szCs w:val="24"/>
          <w:lang w:val="en-US" w:eastAsia="zh-CN" w:bidi="ar-SA"/>
        </w:rPr>
        <w:t>日，比赛地点在深圳市体育中心体育馆。</w:t>
      </w:r>
    </w:p>
    <w:p w14:paraId="5F52B7EF">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黑体" w:hAnsi="黑体" w:eastAsia="黑体" w:cs="黑体"/>
          <w:b/>
          <w:bCs/>
          <w:sz w:val="24"/>
          <w:highlight w:val="none"/>
          <w:lang w:val="en-US" w:eastAsia="zh-CN"/>
        </w:rPr>
        <w:t>二、招标范围</w:t>
      </w:r>
    </w:p>
    <w:p w14:paraId="1F457AB5">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为202</w:t>
      </w:r>
      <w:r>
        <w:rPr>
          <w:rFonts w:hint="eastAsia" w:eastAsia="仿宋_GB2312" w:cs="Times New Roman"/>
          <w:kern w:val="2"/>
          <w:sz w:val="24"/>
          <w:szCs w:val="24"/>
          <w:lang w:val="en-US" w:eastAsia="zh-CN" w:bidi="ar-SA"/>
        </w:rPr>
        <w:t>6</w:t>
      </w:r>
      <w:r>
        <w:rPr>
          <w:rFonts w:hint="eastAsia" w:ascii="Times New Roman" w:hAnsi="Times New Roman" w:eastAsia="仿宋_GB2312" w:cs="Times New Roman"/>
          <w:kern w:val="2"/>
          <w:sz w:val="24"/>
          <w:szCs w:val="24"/>
          <w:lang w:val="en-US" w:eastAsia="zh-CN" w:bidi="ar-SA"/>
        </w:rPr>
        <w:t>中国羽毛球大师赛提供赛事城市宣推服务（详见技术条款）。</w:t>
      </w:r>
    </w:p>
    <w:p w14:paraId="6E23CA7A">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三、服务期</w:t>
      </w:r>
    </w:p>
    <w:p w14:paraId="05A31730">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自合同签署生效之日起至乙方完成约定的全部服务内容为止，合同期限最长不超过12个月。</w:t>
      </w:r>
    </w:p>
    <w:p w14:paraId="20642D37">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服务履行完毕后，甲方可根据今后年度同个赛事活动的需要并结合本合同乙方履约考核评价结果，决定是否与乙方就今后年度同个赛事活动签署《服务合同》，续签次数不超过2次。</w:t>
      </w:r>
    </w:p>
    <w:p w14:paraId="4CC35580">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黑体" w:hAnsi="黑体" w:eastAsia="黑体" w:cs="黑体"/>
          <w:b/>
          <w:bCs/>
          <w:sz w:val="24"/>
          <w:highlight w:val="none"/>
          <w:lang w:val="en-US" w:eastAsia="zh-CN"/>
        </w:rPr>
        <w:t>四、付款方法和条件</w:t>
      </w:r>
    </w:p>
    <w:p w14:paraId="237FA698">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详见第三章《合同条款及格式》</w:t>
      </w:r>
    </w:p>
    <w:bookmarkEnd w:id="337"/>
    <w:bookmarkEnd w:id="338"/>
    <w:p w14:paraId="69BB5768">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Times New Roman" w:hAnsi="Times New Roman" w:eastAsia="仿宋_GB2312" w:cs="Times New Roman"/>
          <w:kern w:val="2"/>
          <w:sz w:val="24"/>
          <w:szCs w:val="24"/>
          <w:lang w:val="en-US" w:eastAsia="zh-CN" w:bidi="ar-SA"/>
        </w:rPr>
      </w:pPr>
      <w:bookmarkStart w:id="347" w:name="_Toc2359"/>
      <w:bookmarkStart w:id="348" w:name="_Toc1927"/>
      <w:r>
        <w:rPr>
          <w:rFonts w:hint="eastAsia" w:ascii="黑体" w:hAnsi="黑体" w:eastAsia="黑体" w:cs="黑体"/>
          <w:b/>
          <w:bCs/>
          <w:sz w:val="24"/>
          <w:highlight w:val="none"/>
          <w:lang w:val="en-US" w:eastAsia="zh-CN"/>
        </w:rPr>
        <w:t>五、特别说明</w:t>
      </w:r>
    </w:p>
    <w:p w14:paraId="5677093B">
      <w:pPr>
        <w:pStyle w:val="68"/>
        <w:ind w:left="0" w:firstLine="480" w:firstLineChars="200"/>
        <w:rPr>
          <w:lang w:val="en-US" w:eastAsia="zh-CN"/>
        </w:rPr>
      </w:pPr>
      <w:r>
        <w:rPr>
          <w:rFonts w:hint="eastAsia"/>
          <w:lang w:val="en-US" w:eastAsia="zh-CN"/>
        </w:rPr>
        <w:t>（一）</w:t>
      </w:r>
      <w:r>
        <w:rPr>
          <w:lang w:val="en-US" w:eastAsia="zh-CN"/>
        </w:rPr>
        <w:t>本赛事如因政策或其他原因导致延后或取消，中标人/成交供应商不得向招标人/采购人提出索赔。投标人/供应商提交投标文件/响应文件即视为完全接受此风险。</w:t>
      </w:r>
    </w:p>
    <w:p w14:paraId="12518F4E">
      <w:pPr>
        <w:pStyle w:val="68"/>
        <w:ind w:left="0" w:firstLine="480" w:firstLineChars="200"/>
        <w:rPr>
          <w:lang w:val="en-US" w:eastAsia="zh-CN"/>
        </w:rPr>
      </w:pPr>
      <w:r>
        <w:rPr>
          <w:rFonts w:hint="eastAsia"/>
          <w:lang w:val="en-US" w:eastAsia="zh-CN"/>
        </w:rPr>
        <w:t>（二）</w:t>
      </w:r>
      <w:ins w:id="41" w:author="盈科律师" w:date="2026-07-14T09:20:36Z">
        <w:r>
          <w:rPr>
            <w:rFonts w:hint="eastAsia"/>
          </w:rPr>
          <w:t>本项目为固定总价包干。中标人应在本项目总价范围内，严格按照招标人要求按时按质完成全部服务工作。如招标人提出合同范围外的实质性新增服务要求，应另行协商并签订补充协议。</w:t>
        </w:r>
      </w:ins>
      <w:del w:id="42" w:author="盈科律师" w:date="2026-07-14T09:20:36Z">
        <w:r>
          <w:rPr>
            <w:lang w:val="en-US" w:eastAsia="zh-CN"/>
          </w:rPr>
          <w:delText>本项目服务内容可能增减，最终结算金额按实际发生工作结算，中标人/成交供应商应严格按照招标人/采购人要求</w:delText>
        </w:r>
      </w:del>
      <w:del w:id="43" w:author="盈科律师" w:date="2026-07-14T09:20:36Z">
        <w:r>
          <w:rPr>
            <w:rFonts w:hint="eastAsia"/>
            <w:lang w:val="en-US" w:eastAsia="zh-CN"/>
          </w:rPr>
          <w:delText>按时按质</w:delText>
        </w:r>
      </w:del>
      <w:del w:id="44" w:author="盈科律师" w:date="2026-07-14T09:20:36Z">
        <w:r>
          <w:rPr>
            <w:lang w:val="en-US" w:eastAsia="zh-CN"/>
          </w:rPr>
          <w:delText>完成</w:delText>
        </w:r>
      </w:del>
      <w:del w:id="45" w:author="盈科律师" w:date="2026-07-14T09:20:36Z">
        <w:r>
          <w:rPr>
            <w:rFonts w:hint="eastAsia"/>
            <w:lang w:val="en-US" w:eastAsia="zh-CN"/>
          </w:rPr>
          <w:delText>全部</w:delText>
        </w:r>
      </w:del>
      <w:del w:id="46" w:author="盈科律师" w:date="2026-07-14T09:20:36Z">
        <w:r>
          <w:rPr>
            <w:lang w:val="en-US" w:eastAsia="zh-CN"/>
          </w:rPr>
          <w:delText>服务，且不得因服务内容减少向招标人/采购人索赔。</w:delText>
        </w:r>
      </w:del>
    </w:p>
    <w:p w14:paraId="0236C8BD">
      <w:pPr>
        <w:keepNext w:val="0"/>
        <w:keepLines w:val="0"/>
        <w:pageBreakBefore w:val="0"/>
        <w:widowControl/>
        <w:kinsoku/>
        <w:wordWrap/>
        <w:overflowPunct/>
        <w:topLinePunct w:val="0"/>
        <w:autoSpaceDE/>
        <w:autoSpaceDN/>
        <w:bidi w:val="0"/>
        <w:adjustRightInd/>
        <w:snapToGrid/>
        <w:spacing w:after="120" w:afterLines="50" w:line="560" w:lineRule="exact"/>
        <w:textAlignment w:val="auto"/>
        <w:outlineLvl w:val="1"/>
        <w:rPr>
          <w:rFonts w:hint="eastAsia" w:ascii="黑体" w:hAnsi="黑体" w:eastAsia="黑体" w:cs="黑体"/>
          <w:b/>
          <w:bCs/>
          <w:sz w:val="24"/>
          <w:highlight w:val="none"/>
        </w:rPr>
      </w:pPr>
      <w:r>
        <w:rPr>
          <w:rFonts w:hint="eastAsia" w:ascii="黑体" w:hAnsi="黑体" w:eastAsia="黑体" w:cs="黑体"/>
          <w:b/>
          <w:bCs/>
          <w:sz w:val="24"/>
          <w:highlight w:val="none"/>
          <w:lang w:val="en-US" w:eastAsia="zh-CN"/>
        </w:rPr>
        <w:t>六</w:t>
      </w:r>
      <w:r>
        <w:rPr>
          <w:rFonts w:hint="eastAsia" w:ascii="黑体" w:hAnsi="黑体" w:eastAsia="黑体" w:cs="黑体"/>
          <w:b/>
          <w:bCs/>
          <w:sz w:val="24"/>
          <w:highlight w:val="none"/>
        </w:rPr>
        <w:t>、具体采购需求及内容</w:t>
      </w:r>
      <w:bookmarkEnd w:id="347"/>
      <w:bookmarkEnd w:id="348"/>
    </w:p>
    <w:p w14:paraId="7A29FCC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（一）宣传平台与频次</w:t>
      </w:r>
    </w:p>
    <w:p w14:paraId="73D85AD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1.大湾区主流媒体深入报道（≥150条）</w:t>
      </w:r>
    </w:p>
    <w:p w14:paraId="26A2E58A">
      <w:pP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媒体：新华社、学习强国、南方日报、羊城晚报、广州日报、南方都市报、深圳特区报、深圳商报、深圳晚报、晶报、深圳新闻网、ShenzhenDaily、南方教育时报、香港商报、香港大公文汇、深圳卫视深视新闻、第一现场、深圳广播、深圳发布微信公众号、i深圳微信公众号、文旅深圳微信公众号、青春深圳微信公众号、幸福福田微信公众号等招标人/采购人要求的媒体。</w:t>
      </w:r>
    </w:p>
    <w:p w14:paraId="2FDD9423">
      <w:pPr>
        <w:rPr>
          <w:rFonts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新华社App、学习强国App、南方+、羊城派、广州日报新华城App、读特、深圳+、第一现场App、广州日报App、香港商报App、微信公众号、微信视频号、抖音、小红书、今日头条、网易新闻、腾讯新闻、百度号等招标人/采购人要求的平台。</w:t>
      </w:r>
    </w:p>
    <w:p w14:paraId="0661990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要求：大湾区主流媒体在各平台上展开新闻报道，累计不少于200条，重点呈现“以赛营城、深耕湾区、赋能城市发展”理念。</w:t>
      </w:r>
    </w:p>
    <w:p w14:paraId="663FA4B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2.羽毛球领域KOL城市宣推（≥6人、≥6条）</w:t>
      </w:r>
    </w:p>
    <w:p w14:paraId="2832E5F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平台：抖音、小红书、微信视频号为主，择优遴选不少于6名羽毛球领域优质短视频创作者，其中全平台粉丝量≥1000万的创作者不少于1人。</w:t>
      </w:r>
    </w:p>
    <w:p w14:paraId="5E4CFF3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要求：每位创作者至少须原创1条短视频，结合深圳城市元素、探馆、票根打卡、赛事福利等，突出“跟着赛事来旅行+湾区城市体验+票根畅玩深圳”。每位羽毛球领域创作者均须有一条视频的单条互动量（点赞+评论+收藏）≥5000，。</w:t>
      </w:r>
    </w:p>
    <w:p w14:paraId="10F72A1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3.深圳本地生活/体育博主宣推（≥4人、≥4条）</w:t>
      </w:r>
    </w:p>
    <w:p w14:paraId="001EF2B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平台：小红书、微信视频号为主，择优遴选不少于5名体育、美食、穿搭、旅行等领域，且扎根深圳本地的优质创作者。</w:t>
      </w:r>
    </w:p>
    <w:p w14:paraId="47BB6B5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内容要求：每位创作者至少须原创1篇图文帖或1条视频内容。聚焦探馆、票根经济探店、深圳观赛游玩指南，绑定赛事话题与文旅消费定位，引导市民持票根打卡消费。</w:t>
      </w:r>
    </w:p>
    <w:p w14:paraId="54E0CC9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（二）官方素材全平台推广</w:t>
      </w:r>
    </w:p>
    <w:p w14:paraId="084ED79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1.全平台分发赛事官方摄影、视频短片；</w:t>
      </w:r>
    </w:p>
    <w:p w14:paraId="4E5DFBA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2.全平台分发推广票根福利/优惠活动海报、票根打卡场景图，突出票根作为消费通行证的核心价值；</w:t>
      </w:r>
    </w:p>
    <w:p w14:paraId="47B54E0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3.每个比赛日及时完成当日素材分发，赛后3个工作日完成归档交付。</w:t>
      </w:r>
    </w:p>
    <w:p w14:paraId="55ACE5CC">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（三）“办赛事・办城市・兴湾区”主题新闻撰写（≥20篇）</w:t>
      </w:r>
    </w:p>
    <w:p w14:paraId="2F92C89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总主题：办赛事、办城市、兴湾区，所有稿件须经甲方审核通过后发布。</w:t>
      </w:r>
    </w:p>
    <w:p w14:paraId="3ACA3AE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1.开票期（即日起—8月25日）：4–6篇</w:t>
      </w:r>
    </w:p>
    <w:p w14:paraId="218DD5A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赛事信息稿（2–3篇，≥700字/篇）：立足深圳湾区城市定位，公布赛程、参赛队伍、城市配套活动；</w:t>
      </w:r>
    </w:p>
    <w:p w14:paraId="4A49C9E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票务宣传稿（1–2篇，≥600字/篇）：重点宣传票根经济联动权益，明确票根=深圳文旅商消费通行证，吸引购票观赛。</w:t>
      </w:r>
    </w:p>
    <w:p w14:paraId="207A3F8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2.赛前预热（8月25日—9月1日）：1-3篇</w:t>
      </w:r>
    </w:p>
    <w:p w14:paraId="41F5D2B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国际羽联技术官员、参赛队伍领队、选手等采访稿（1–3篇，≥700字/篇）：聚焦中外选手谈深圳、谈湾区发展、谈赛事期待，展现开放合作氛围。</w:t>
      </w:r>
    </w:p>
    <w:p w14:paraId="6AFEBC8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3.赛时（9月1日—6日）：≥12篇</w:t>
      </w:r>
    </w:p>
    <w:p w14:paraId="6D81E0E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每日战报≥1篇，配图≥10张；</w:t>
      </w:r>
    </w:p>
    <w:p w14:paraId="1660F682">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开赛日全市媒体通稿1篇（突出城市发展+城市献礼）；</w:t>
      </w:r>
    </w:p>
    <w:p w14:paraId="6637FFD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“运动员谈深圳・乐享湾区”系列访谈≥5篇；</w:t>
      </w:r>
    </w:p>
    <w:p w14:paraId="1718CDD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赛事保障/志愿者/票根服务故事等专题新闻≥2篇。</w:t>
      </w:r>
    </w:p>
    <w:p w14:paraId="464E137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4.赛后总结（9月7日—9日）：1篇</w:t>
      </w:r>
    </w:p>
    <w:p w14:paraId="484C997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深度稿1篇，≥1500字：系统总结赛事成效、城市品牌传播成果、票根经济消费数据，彰显赛事对深圳城市形象、市民幸福感、大湾区融合的助推作用。</w:t>
      </w:r>
    </w:p>
    <w:p w14:paraId="46F1A56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5.体育故事沉浸分享（8月—9月）：2篇</w:t>
      </w:r>
    </w:p>
    <w:p w14:paraId="3B4CFE7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市民与羽球/国羽的故事新闻1篇；</w:t>
      </w:r>
    </w:p>
    <w:p w14:paraId="6B61261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小红书等平台/观赛+票根打卡优质内容整合专稿1篇，在主流媒体刊发。</w:t>
      </w:r>
    </w:p>
    <w:p w14:paraId="40ED03A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（四）主流媒体主播体验活动</w:t>
      </w:r>
    </w:p>
    <w:p w14:paraId="361AA30F">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1.平台：拟邀请不少于2家主流媒体。</w:t>
      </w:r>
    </w:p>
    <w:p w14:paraId="25FEED09">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2.执行：创作1条≥1分30秒的原创视频，以大师赛×深圳城市地标为核心；创作2条≥1分钟的原创视频，以在深工作、求学的外国友人为视角。</w:t>
      </w:r>
    </w:p>
    <w:p w14:paraId="2B6068A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3.内容核心：突出以赛营城、全民健身、美好生活；视视频需求植入票根福利互动、打卡指引，号召市民持票根畅玩深圳。</w:t>
      </w:r>
    </w:p>
    <w:p w14:paraId="65C6C46B">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4.交付：视频刊发后3个工作日内提交作品链接，大师赛完赛后3个工作日内提交传播数据表。</w:t>
      </w:r>
    </w:p>
    <w:p w14:paraId="4D7EBB61">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（五）地铁广告投放</w:t>
      </w:r>
    </w:p>
    <w:p w14:paraId="6B78278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1.投放周期：即日起—9月6日，上刊不晚于8月20日；</w:t>
      </w:r>
    </w:p>
    <w:p w14:paraId="48AFDE16">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2.规格：12封灯箱（3m×1.5m）；</w:t>
      </w:r>
    </w:p>
    <w:p w14:paraId="381FDD20">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3.站点：10个（5个S级、5个A++级，以深圳地铁官方分级为准）；</w:t>
      </w:r>
    </w:p>
    <w:p w14:paraId="722BD5C4">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4.验收：上刊后3个工作日内提交带时间水印的实景监播图，截至下刊前至少提交2次带时间水印的实景监播图，两次间隔须≥7天。</w:t>
      </w:r>
    </w:p>
    <w:p w14:paraId="1B0755E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（六）组织新闻发布会</w:t>
      </w:r>
    </w:p>
    <w:p w14:paraId="57F7D9D5">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1.结合赛事筹备进展，组织召开赛事新闻发布会，进行赛事信息、筹备情况、参赛情况、售票信息等官方发布；</w:t>
      </w:r>
    </w:p>
    <w:p w14:paraId="36133A1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2.组织国家、省、市媒体参加新闻发布会，负责采写新闻通稿、主持人发言稿、新闻发布人及嘉宾发言稿，负责提供并核实新闻发布会实录，提供新闻发布会现场图片。</w:t>
      </w:r>
    </w:p>
    <w:p w14:paraId="57550458">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（七）舆情辅助</w:t>
      </w:r>
    </w:p>
    <w:p w14:paraId="29733412">
      <w:pPr>
        <w:rPr>
          <w:rFonts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sz w:val="24"/>
          <w:szCs w:val="24"/>
          <w:lang w:val="en-US" w:eastAsia="zh-CN"/>
        </w:rPr>
        <w:t>1.根据赛事需求，通过自有账号平台辅助赛事方弘扬主旋律、传播正能量。</w:t>
      </w:r>
      <w:r>
        <w:rPr>
          <w:rFonts w:ascii="Times New Roman" w:hAnsi="Times New Roman" w:eastAsia="仿宋_GB2312" w:cs="Times New Roman"/>
          <w:kern w:val="2"/>
          <w:sz w:val="24"/>
          <w:szCs w:val="24"/>
          <w:lang w:val="en-US" w:eastAsia="zh-CN" w:bidi="ar-SA"/>
        </w:rPr>
        <w:t xml:space="preserve"> </w:t>
      </w:r>
    </w:p>
    <w:p w14:paraId="434F5357">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w:t>
      </w:r>
      <w:r>
        <w:rPr>
          <w:rFonts w:hint="eastAsia" w:eastAsia="仿宋_GB2312" w:cs="Times New Roman"/>
          <w:kern w:val="2"/>
          <w:sz w:val="24"/>
          <w:szCs w:val="24"/>
          <w:lang w:val="en-US" w:eastAsia="zh-CN" w:bidi="ar-SA"/>
        </w:rPr>
        <w:t>八</w:t>
      </w:r>
      <w:r>
        <w:rPr>
          <w:rFonts w:hint="eastAsia" w:ascii="Times New Roman" w:hAnsi="Times New Roman" w:eastAsia="仿宋_GB2312" w:cs="Times New Roman"/>
          <w:kern w:val="2"/>
          <w:sz w:val="24"/>
          <w:szCs w:val="24"/>
          <w:lang w:val="en-US" w:eastAsia="zh-CN" w:bidi="ar-SA"/>
        </w:rPr>
        <w:t>）需求清单：</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4592"/>
        <w:gridCol w:w="805"/>
        <w:gridCol w:w="1006"/>
      </w:tblGrid>
      <w:tr w14:paraId="7C9A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42" w:type="pct"/>
          </w:tcPr>
          <w:p w14:paraId="09952EE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kern w:val="2"/>
                <w:sz w:val="24"/>
                <w:szCs w:val="24"/>
              </w:rPr>
              <w:t>服务内容</w:t>
            </w:r>
          </w:p>
        </w:tc>
        <w:tc>
          <w:tcPr>
            <w:tcW w:w="2693" w:type="pct"/>
          </w:tcPr>
          <w:p w14:paraId="2E55801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rPr>
              <w:t>执行要求</w:t>
            </w:r>
          </w:p>
        </w:tc>
        <w:tc>
          <w:tcPr>
            <w:tcW w:w="472" w:type="pct"/>
          </w:tcPr>
          <w:p w14:paraId="6C7E228B">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rPr>
              <w:t>数量</w:t>
            </w:r>
          </w:p>
        </w:tc>
        <w:tc>
          <w:tcPr>
            <w:tcW w:w="590" w:type="pct"/>
          </w:tcPr>
          <w:p w14:paraId="5036D14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kern w:val="2"/>
                <w:sz w:val="24"/>
                <w:szCs w:val="24"/>
                <w:lang w:val="en-US" w:eastAsia="zh-CN"/>
              </w:rPr>
              <w:t>备注</w:t>
            </w:r>
          </w:p>
        </w:tc>
      </w:tr>
      <w:tr w14:paraId="6A38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74BFF8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一、大湾区主流媒体深入报道</w:t>
            </w:r>
          </w:p>
        </w:tc>
        <w:tc>
          <w:tcPr>
            <w:tcW w:w="2693" w:type="pct"/>
          </w:tcPr>
          <w:p w14:paraId="393AFB5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组织新华社、学习强国、南方日报、深圳晚报等大湾区主流媒体开展赛事报道，累计不少于200条；覆盖新闻客户端、微信公众号、视频号、抖音、小红书等平台。</w:t>
            </w:r>
          </w:p>
        </w:tc>
        <w:tc>
          <w:tcPr>
            <w:tcW w:w="472" w:type="pct"/>
          </w:tcPr>
          <w:p w14:paraId="63FAA10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2DD2CC95">
            <w:pPr>
              <w:keepNext w:val="0"/>
              <w:keepLines w:val="0"/>
              <w:pageBreakBefore w:val="0"/>
              <w:widowControl/>
              <w:kinsoku/>
              <w:wordWrap/>
              <w:overflowPunct/>
              <w:topLinePunct w:val="0"/>
              <w:autoSpaceDE/>
              <w:autoSpaceDN/>
              <w:bidi w:val="0"/>
              <w:adjustRightInd/>
              <w:snapToGrid/>
              <w:spacing w:after="0" w:line="400" w:lineRule="exact"/>
              <w:ind w:left="0" w:firstLine="210" w:firstLineChars="1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1522111A">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DB7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CC6822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二、羽毛球领域KOL城市宣推</w:t>
            </w:r>
          </w:p>
        </w:tc>
        <w:tc>
          <w:tcPr>
            <w:tcW w:w="2693" w:type="pct"/>
          </w:tcPr>
          <w:p w14:paraId="26618E7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邀请不少于6名羽毛球领域优质短视频创作者开展原创内容传播，其中粉丝量1000万以上创作者不少于1人，围绕赛事探馆、城市体验、票根经济等主题制作内容。</w:t>
            </w:r>
          </w:p>
        </w:tc>
        <w:tc>
          <w:tcPr>
            <w:tcW w:w="472" w:type="pct"/>
          </w:tcPr>
          <w:p w14:paraId="023F8CF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70A5CF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22DE467F">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0E5F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E75D3B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三、深圳本地生活/体育博主宣推</w:t>
            </w:r>
          </w:p>
        </w:tc>
        <w:tc>
          <w:tcPr>
            <w:tcW w:w="2693" w:type="pct"/>
          </w:tcPr>
          <w:p w14:paraId="158CEEA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名深圳本地体育、美食、旅行等领域创作者，开展图文或视频传播，推广赛事观赛及城市消费体验。</w:t>
            </w:r>
          </w:p>
        </w:tc>
        <w:tc>
          <w:tcPr>
            <w:tcW w:w="472" w:type="pct"/>
          </w:tcPr>
          <w:p w14:paraId="7F278B8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2F7A0A1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0A568E2C">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74B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58770248">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四、官方素材全平台推广</w:t>
            </w:r>
          </w:p>
        </w:tc>
        <w:tc>
          <w:tcPr>
            <w:tcW w:w="2693" w:type="pct"/>
          </w:tcPr>
          <w:p w14:paraId="5FB9551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完成赛事官方摄影、视频短片、票根福利海报、打卡场景图等素材的全平台分发；比赛期间每日完成素材传播及赛后归档。</w:t>
            </w:r>
          </w:p>
        </w:tc>
        <w:tc>
          <w:tcPr>
            <w:tcW w:w="472" w:type="pct"/>
          </w:tcPr>
          <w:p w14:paraId="5573431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3AAA217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60C96A9F">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CE5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2870D5F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五、赛事主题新闻稿撰写及发布</w:t>
            </w:r>
          </w:p>
        </w:tc>
        <w:tc>
          <w:tcPr>
            <w:tcW w:w="2693" w:type="pct"/>
          </w:tcPr>
          <w:p w14:paraId="6A98139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围绕‘办赛事·办城市·兴湾区’主题，完成开票期、赛前预热、赛时报道、赛后总结、体育故事等新闻稿件不少于20篇。</w:t>
            </w:r>
          </w:p>
        </w:tc>
        <w:tc>
          <w:tcPr>
            <w:tcW w:w="472" w:type="pct"/>
          </w:tcPr>
          <w:p w14:paraId="4B64846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72B0C28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1EB831E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38D6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4B1C152B">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六、主流媒体主播体验活动</w:t>
            </w:r>
          </w:p>
        </w:tc>
        <w:tc>
          <w:tcPr>
            <w:tcW w:w="2693" w:type="pct"/>
          </w:tcPr>
          <w:p w14:paraId="754A92D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邀请不少于2家主流媒体参与城市体验，制作</w:t>
            </w:r>
            <w:r>
              <w:rPr>
                <w:rFonts w:hint="eastAsia" w:ascii="仿宋_GB2312" w:hAnsi="仿宋_GB2312" w:eastAsia="仿宋_GB2312" w:cs="仿宋_GB2312"/>
                <w:kern w:val="2"/>
                <w:sz w:val="21"/>
                <w:szCs w:val="21"/>
                <w:lang w:val="en-US" w:eastAsia="zh-CN"/>
              </w:rPr>
              <w:t>不少于3条有关</w:t>
            </w:r>
            <w:r>
              <w:rPr>
                <w:rFonts w:hint="eastAsia" w:ascii="仿宋_GB2312" w:hAnsi="仿宋_GB2312" w:eastAsia="仿宋_GB2312" w:cs="仿宋_GB2312"/>
                <w:kern w:val="2"/>
                <w:sz w:val="21"/>
                <w:szCs w:val="21"/>
              </w:rPr>
              <w:t>大师赛×深圳城市地标</w:t>
            </w:r>
            <w:r>
              <w:rPr>
                <w:rFonts w:hint="eastAsia" w:ascii="仿宋_GB2312" w:hAnsi="仿宋_GB2312" w:eastAsia="仿宋_GB2312" w:cs="仿宋_GB2312"/>
                <w:kern w:val="2"/>
                <w:sz w:val="21"/>
                <w:szCs w:val="21"/>
                <w:lang w:val="en-US" w:eastAsia="zh-CN"/>
              </w:rPr>
              <w:t>的</w:t>
            </w:r>
            <w:r>
              <w:rPr>
                <w:rFonts w:hint="eastAsia" w:ascii="仿宋_GB2312" w:hAnsi="仿宋_GB2312" w:eastAsia="仿宋_GB2312" w:cs="仿宋_GB2312"/>
                <w:kern w:val="2"/>
                <w:sz w:val="21"/>
                <w:szCs w:val="21"/>
              </w:rPr>
              <w:t>原创视频</w:t>
            </w:r>
            <w:r>
              <w:rPr>
                <w:rFonts w:hint="eastAsia" w:ascii="仿宋_GB2312" w:hAnsi="仿宋_GB2312" w:eastAsia="仿宋_GB2312" w:cs="仿宋_GB2312"/>
                <w:kern w:val="2"/>
                <w:sz w:val="21"/>
                <w:szCs w:val="21"/>
                <w:lang w:val="en-US" w:eastAsia="zh-CN"/>
              </w:rPr>
              <w:t>或</w:t>
            </w:r>
            <w:r>
              <w:rPr>
                <w:rFonts w:hint="eastAsia" w:ascii="仿宋_GB2312" w:hAnsi="仿宋_GB2312" w:eastAsia="仿宋_GB2312" w:cs="仿宋_GB2312"/>
                <w:kern w:val="2"/>
                <w:sz w:val="21"/>
                <w:szCs w:val="21"/>
              </w:rPr>
              <w:t>外国友人视角城市传播视频。</w:t>
            </w:r>
          </w:p>
        </w:tc>
        <w:tc>
          <w:tcPr>
            <w:tcW w:w="472" w:type="pct"/>
          </w:tcPr>
          <w:p w14:paraId="5305824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0467E60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1055B0C9">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920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6300168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七、地铁广告投放</w:t>
            </w:r>
          </w:p>
        </w:tc>
        <w:tc>
          <w:tcPr>
            <w:tcW w:w="2693" w:type="pct"/>
          </w:tcPr>
          <w:p w14:paraId="1563D43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完成深圳地铁12封灯箱广告投放，</w:t>
            </w:r>
            <w:r>
              <w:rPr>
                <w:rFonts w:hint="eastAsia" w:ascii="仿宋_GB2312" w:hAnsi="仿宋_GB2312" w:eastAsia="仿宋_GB2312" w:cs="仿宋_GB2312"/>
                <w:kern w:val="2"/>
                <w:sz w:val="21"/>
                <w:szCs w:val="21"/>
                <w:lang w:val="en-US" w:eastAsia="zh-CN"/>
              </w:rPr>
              <w:t>总数10个（其中5个S级、5个A++级，以深圳地铁官方分级为准），</w:t>
            </w:r>
            <w:r>
              <w:rPr>
                <w:rFonts w:hint="eastAsia" w:ascii="仿宋_GB2312" w:hAnsi="仿宋_GB2312" w:eastAsia="仿宋_GB2312" w:cs="仿宋_GB2312"/>
                <w:kern w:val="2"/>
                <w:sz w:val="21"/>
                <w:szCs w:val="21"/>
              </w:rPr>
              <w:t>周期覆盖赛事宣传阶段。</w:t>
            </w:r>
          </w:p>
        </w:tc>
        <w:tc>
          <w:tcPr>
            <w:tcW w:w="472" w:type="pct"/>
          </w:tcPr>
          <w:p w14:paraId="7AAB81F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FF1034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35FB379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940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24AEF265">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八</w:t>
            </w:r>
            <w:r>
              <w:rPr>
                <w:rFonts w:hint="eastAsia" w:ascii="仿宋_GB2312" w:hAnsi="仿宋_GB2312" w:eastAsia="仿宋_GB2312" w:cs="仿宋_GB2312"/>
                <w:kern w:val="2"/>
                <w:sz w:val="21"/>
                <w:szCs w:val="21"/>
              </w:rPr>
              <w:t>、舆情辅助服务</w:t>
            </w:r>
          </w:p>
        </w:tc>
        <w:tc>
          <w:tcPr>
            <w:tcW w:w="2693" w:type="pct"/>
          </w:tcPr>
          <w:p w14:paraId="61A1A6A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根据赛事传播需求，通过自有媒体账号及传播渠道开展正向宣传及舆情辅助工作。</w:t>
            </w:r>
          </w:p>
        </w:tc>
        <w:tc>
          <w:tcPr>
            <w:tcW w:w="472" w:type="pct"/>
          </w:tcPr>
          <w:p w14:paraId="6248199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501C06F8">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331F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pct"/>
          </w:tcPr>
          <w:p w14:paraId="2565C938">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九</w:t>
            </w:r>
            <w:r>
              <w:rPr>
                <w:rFonts w:hint="eastAsia" w:ascii="仿宋_GB2312" w:hAnsi="仿宋_GB2312" w:eastAsia="仿宋_GB2312" w:cs="仿宋_GB2312"/>
                <w:kern w:val="2"/>
                <w:sz w:val="21"/>
                <w:szCs w:val="21"/>
              </w:rPr>
              <w:t>、项目统筹及执行服务</w:t>
            </w:r>
          </w:p>
        </w:tc>
        <w:tc>
          <w:tcPr>
            <w:tcW w:w="2693" w:type="pct"/>
          </w:tcPr>
          <w:p w14:paraId="59EA34E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负责整体传播策划、媒体协调、内容审核、传播数据统计、项目管理及成果汇总交付。</w:t>
            </w:r>
          </w:p>
        </w:tc>
        <w:tc>
          <w:tcPr>
            <w:tcW w:w="472" w:type="pct"/>
          </w:tcPr>
          <w:p w14:paraId="32C936C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590" w:type="pct"/>
          </w:tcPr>
          <w:p w14:paraId="2741E54B">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bl>
    <w:p w14:paraId="1D0FDA5E">
      <w:pPr>
        <w:pStyle w:val="68"/>
        <w:rPr>
          <w:rFonts w:hint="eastAsia"/>
        </w:rPr>
      </w:pPr>
    </w:p>
    <w:bookmarkEnd w:id="335"/>
    <w:bookmarkEnd w:id="336"/>
    <w:bookmarkEnd w:id="339"/>
    <w:p w14:paraId="5DE9988C">
      <w:pPr>
        <w:pStyle w:val="22"/>
        <w:rPr>
          <w:highlight w:val="none"/>
        </w:rPr>
      </w:pPr>
    </w:p>
    <w:p w14:paraId="71FB21E6">
      <w:pPr>
        <w:pStyle w:val="23"/>
        <w:rPr>
          <w:highlight w:val="none"/>
        </w:rPr>
      </w:pPr>
    </w:p>
    <w:p w14:paraId="468F0A8A">
      <w:pPr>
        <w:pStyle w:val="23"/>
        <w:rPr>
          <w:highlight w:val="none"/>
        </w:rPr>
      </w:pPr>
    </w:p>
    <w:p w14:paraId="1A04FA15">
      <w:pPr>
        <w:pStyle w:val="23"/>
        <w:rPr>
          <w:highlight w:val="none"/>
        </w:rPr>
      </w:pPr>
    </w:p>
    <w:p w14:paraId="79E2BC3E">
      <w:pPr>
        <w:pStyle w:val="23"/>
        <w:rPr>
          <w:highlight w:val="none"/>
        </w:rPr>
      </w:pPr>
    </w:p>
    <w:p w14:paraId="38132BA6">
      <w:pPr>
        <w:pStyle w:val="23"/>
        <w:rPr>
          <w:highlight w:val="none"/>
        </w:rPr>
      </w:pPr>
    </w:p>
    <w:p w14:paraId="512D4727">
      <w:pPr>
        <w:pStyle w:val="23"/>
        <w:rPr>
          <w:highlight w:val="none"/>
        </w:rPr>
      </w:pPr>
    </w:p>
    <w:p w14:paraId="4C999CEE">
      <w:pPr>
        <w:pStyle w:val="23"/>
        <w:rPr>
          <w:highlight w:val="none"/>
        </w:rPr>
      </w:pPr>
    </w:p>
    <w:p w14:paraId="30FCDF2E">
      <w:pPr>
        <w:pStyle w:val="23"/>
        <w:rPr>
          <w:highlight w:val="none"/>
        </w:rPr>
      </w:pPr>
    </w:p>
    <w:p w14:paraId="55E11151">
      <w:pPr>
        <w:pStyle w:val="23"/>
        <w:rPr>
          <w:highlight w:val="none"/>
        </w:rPr>
      </w:pPr>
    </w:p>
    <w:p w14:paraId="1F4A5B1C">
      <w:pPr>
        <w:pStyle w:val="23"/>
        <w:rPr>
          <w:highlight w:val="none"/>
        </w:rPr>
      </w:pPr>
    </w:p>
    <w:p w14:paraId="1E83954A">
      <w:pPr>
        <w:pStyle w:val="23"/>
        <w:rPr>
          <w:highlight w:val="none"/>
        </w:rPr>
      </w:pPr>
    </w:p>
    <w:p w14:paraId="7BE0953B">
      <w:pPr>
        <w:pStyle w:val="23"/>
        <w:rPr>
          <w:highlight w:val="none"/>
        </w:rPr>
      </w:pPr>
    </w:p>
    <w:p w14:paraId="08AF7CE1">
      <w:pPr>
        <w:pStyle w:val="23"/>
        <w:rPr>
          <w:highlight w:val="none"/>
        </w:rPr>
      </w:pPr>
    </w:p>
    <w:p w14:paraId="4AF5CBB9">
      <w:pPr>
        <w:pStyle w:val="23"/>
        <w:rPr>
          <w:highlight w:val="none"/>
        </w:rPr>
      </w:pPr>
    </w:p>
    <w:p w14:paraId="68948E5F">
      <w:pPr>
        <w:pStyle w:val="22"/>
        <w:rPr>
          <w:highlight w:val="none"/>
        </w:rPr>
      </w:pPr>
    </w:p>
    <w:p w14:paraId="03CCD8C3">
      <w:pPr>
        <w:pStyle w:val="22"/>
        <w:rPr>
          <w:highlight w:val="none"/>
        </w:rPr>
      </w:pPr>
    </w:p>
    <w:p w14:paraId="5A44B03B">
      <w:pPr>
        <w:pStyle w:val="22"/>
        <w:rPr>
          <w:highlight w:val="none"/>
        </w:rPr>
      </w:pPr>
    </w:p>
    <w:p w14:paraId="35516CB6">
      <w:pPr>
        <w:pStyle w:val="23"/>
        <w:rPr>
          <w:highlight w:val="none"/>
        </w:rPr>
      </w:pPr>
    </w:p>
    <w:p w14:paraId="24D610D1">
      <w:pPr>
        <w:widowControl w:val="0"/>
        <w:autoSpaceDE w:val="0"/>
        <w:autoSpaceDN w:val="0"/>
        <w:adjustRightInd w:val="0"/>
        <w:snapToGrid w:val="0"/>
        <w:ind w:firstLine="0" w:firstLineChars="0"/>
        <w:jc w:val="both"/>
        <w:outlineLvl w:val="9"/>
        <w:rPr>
          <w:rFonts w:hint="eastAsia" w:ascii="宋体" w:hAnsi="宋体"/>
          <w:b/>
          <w:bCs/>
          <w:sz w:val="52"/>
          <w:szCs w:val="52"/>
          <w:highlight w:val="none"/>
        </w:rPr>
      </w:pPr>
      <w:bookmarkStart w:id="349" w:name="_Toc18285"/>
      <w:bookmarkStart w:id="350" w:name="_Toc21876"/>
    </w:p>
    <w:p w14:paraId="2B873696">
      <w:pPr>
        <w:widowControl w:val="0"/>
        <w:autoSpaceDE w:val="0"/>
        <w:autoSpaceDN w:val="0"/>
        <w:adjustRightInd w:val="0"/>
        <w:snapToGrid w:val="0"/>
        <w:ind w:firstLine="0" w:firstLineChars="0"/>
        <w:jc w:val="center"/>
        <w:outlineLvl w:val="0"/>
        <w:rPr>
          <w:rFonts w:ascii="宋体" w:hAnsi="宋体"/>
          <w:sz w:val="52"/>
          <w:szCs w:val="52"/>
          <w:highlight w:val="none"/>
        </w:rPr>
      </w:pPr>
      <w:r>
        <w:rPr>
          <w:rFonts w:hint="eastAsia" w:ascii="宋体" w:hAnsi="宋体"/>
          <w:b/>
          <w:bCs/>
          <w:sz w:val="52"/>
          <w:szCs w:val="52"/>
          <w:highlight w:val="none"/>
        </w:rPr>
        <w:t>第五章 投标文件格式</w:t>
      </w:r>
      <w:bookmarkEnd w:id="340"/>
      <w:bookmarkEnd w:id="341"/>
      <w:bookmarkEnd w:id="342"/>
      <w:bookmarkEnd w:id="343"/>
      <w:bookmarkEnd w:id="344"/>
      <w:bookmarkEnd w:id="345"/>
      <w:bookmarkEnd w:id="346"/>
      <w:bookmarkEnd w:id="349"/>
      <w:bookmarkEnd w:id="350"/>
    </w:p>
    <w:p w14:paraId="5F7F4D6C">
      <w:pPr>
        <w:widowControl w:val="0"/>
        <w:autoSpaceDE w:val="0"/>
        <w:autoSpaceDN w:val="0"/>
        <w:adjustRightInd w:val="0"/>
        <w:snapToGrid w:val="0"/>
        <w:ind w:firstLine="0" w:firstLineChars="0"/>
        <w:jc w:val="center"/>
        <w:rPr>
          <w:rFonts w:ascii="宋体" w:hAnsi="宋体"/>
          <w:highlight w:val="none"/>
        </w:rPr>
      </w:pPr>
    </w:p>
    <w:p w14:paraId="3DF16E14">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51" w:name="_Toc277844085"/>
      <w:bookmarkStart w:id="352" w:name="_Toc277844084"/>
    </w:p>
    <w:p w14:paraId="019D68D6">
      <w:pPr>
        <w:widowControl w:val="0"/>
        <w:autoSpaceDE w:val="0"/>
        <w:autoSpaceDN w:val="0"/>
        <w:adjustRightInd w:val="0"/>
        <w:snapToGrid w:val="0"/>
        <w:ind w:firstLine="0" w:firstLineChars="0"/>
        <w:jc w:val="center"/>
        <w:rPr>
          <w:rFonts w:ascii="宋体" w:hAnsi="宋体"/>
          <w:sz w:val="84"/>
          <w:szCs w:val="84"/>
          <w:highlight w:val="none"/>
        </w:rPr>
      </w:pPr>
    </w:p>
    <w:p w14:paraId="227993B3">
      <w:pPr>
        <w:widowControl w:val="0"/>
        <w:autoSpaceDE w:val="0"/>
        <w:autoSpaceDN w:val="0"/>
        <w:adjustRightInd w:val="0"/>
        <w:snapToGrid w:val="0"/>
        <w:ind w:firstLine="0" w:firstLineChars="0"/>
        <w:jc w:val="center"/>
        <w:rPr>
          <w:rFonts w:ascii="宋体" w:hAnsi="宋体"/>
          <w:b/>
          <w:sz w:val="20"/>
          <w:szCs w:val="20"/>
          <w:highlight w:val="none"/>
        </w:rPr>
      </w:pPr>
      <w:bookmarkStart w:id="353" w:name="_Toc8567"/>
      <w:bookmarkStart w:id="354" w:name="_Toc15836"/>
      <w:r>
        <w:rPr>
          <w:rFonts w:hint="eastAsia" w:ascii="宋体" w:hAnsi="宋体" w:cs="Courier New"/>
          <w:b/>
          <w:bCs/>
          <w:sz w:val="84"/>
          <w:szCs w:val="84"/>
          <w:highlight w:val="none"/>
        </w:rPr>
        <w:t>投标文件</w:t>
      </w:r>
      <w:bookmarkEnd w:id="353"/>
      <w:bookmarkEnd w:id="354"/>
    </w:p>
    <w:p w14:paraId="26156BCD">
      <w:pPr>
        <w:widowControl w:val="0"/>
        <w:autoSpaceDE w:val="0"/>
        <w:autoSpaceDN w:val="0"/>
        <w:adjustRightInd w:val="0"/>
        <w:snapToGrid w:val="0"/>
        <w:ind w:firstLine="0" w:firstLineChars="0"/>
        <w:jc w:val="center"/>
        <w:rPr>
          <w:rFonts w:ascii="宋体" w:hAnsi="宋体"/>
          <w:sz w:val="28"/>
          <w:szCs w:val="28"/>
          <w:highlight w:val="none"/>
        </w:rPr>
      </w:pPr>
    </w:p>
    <w:p w14:paraId="30F11D07">
      <w:pPr>
        <w:widowControl w:val="0"/>
        <w:autoSpaceDE w:val="0"/>
        <w:autoSpaceDN w:val="0"/>
        <w:adjustRightInd w:val="0"/>
        <w:snapToGrid w:val="0"/>
        <w:ind w:firstLine="0" w:firstLineChars="0"/>
        <w:jc w:val="center"/>
        <w:rPr>
          <w:rFonts w:ascii="宋体" w:hAnsi="宋体"/>
          <w:sz w:val="28"/>
          <w:szCs w:val="28"/>
          <w:highlight w:val="none"/>
        </w:rPr>
      </w:pPr>
    </w:p>
    <w:p w14:paraId="2ED7C318">
      <w:pPr>
        <w:widowControl w:val="0"/>
        <w:autoSpaceDE w:val="0"/>
        <w:autoSpaceDN w:val="0"/>
        <w:adjustRightInd w:val="0"/>
        <w:snapToGrid w:val="0"/>
        <w:ind w:firstLine="0" w:firstLineChars="0"/>
        <w:jc w:val="center"/>
        <w:rPr>
          <w:rFonts w:ascii="宋体" w:hAnsi="宋体"/>
          <w:sz w:val="28"/>
          <w:szCs w:val="28"/>
          <w:highlight w:val="none"/>
        </w:rPr>
      </w:pPr>
    </w:p>
    <w:p w14:paraId="448254AA">
      <w:pPr>
        <w:widowControl w:val="0"/>
        <w:autoSpaceDE w:val="0"/>
        <w:autoSpaceDN w:val="0"/>
        <w:adjustRightInd w:val="0"/>
        <w:snapToGrid w:val="0"/>
        <w:ind w:firstLine="0" w:firstLineChars="0"/>
        <w:jc w:val="center"/>
        <w:rPr>
          <w:rFonts w:ascii="宋体" w:hAnsi="宋体"/>
          <w:sz w:val="28"/>
          <w:szCs w:val="28"/>
          <w:highlight w:val="none"/>
        </w:rPr>
      </w:pPr>
    </w:p>
    <w:tbl>
      <w:tblPr>
        <w:tblStyle w:val="52"/>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50"/>
        <w:gridCol w:w="4873"/>
      </w:tblGrid>
      <w:tr w14:paraId="71F0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335EF313">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2859" w:type="pct"/>
            <w:vAlign w:val="center"/>
          </w:tcPr>
          <w:p w14:paraId="21D0BD43">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4307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6259C78">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2859" w:type="pct"/>
            <w:vAlign w:val="center"/>
          </w:tcPr>
          <w:p w14:paraId="5CC2AE1A">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606B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11A0462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投标人：</w:t>
            </w:r>
          </w:p>
        </w:tc>
        <w:tc>
          <w:tcPr>
            <w:tcW w:w="2859" w:type="pct"/>
            <w:vAlign w:val="center"/>
          </w:tcPr>
          <w:p w14:paraId="3C560AC9">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2406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5AD3B83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20429F2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2859" w:type="pct"/>
            <w:vAlign w:val="center"/>
          </w:tcPr>
          <w:p w14:paraId="1EE88F87">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1984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1" w:type="pct"/>
            <w:vAlign w:val="center"/>
          </w:tcPr>
          <w:p w14:paraId="32A92DDD">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2859" w:type="pct"/>
            <w:vAlign w:val="center"/>
          </w:tcPr>
          <w:p w14:paraId="55F2E53D">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12038E1C">
      <w:pPr>
        <w:widowControl w:val="0"/>
        <w:autoSpaceDE w:val="0"/>
        <w:autoSpaceDN w:val="0"/>
        <w:adjustRightInd w:val="0"/>
        <w:snapToGrid w:val="0"/>
        <w:ind w:firstLine="0" w:firstLineChars="0"/>
        <w:jc w:val="left"/>
        <w:rPr>
          <w:rFonts w:ascii="宋体" w:hAnsi="宋体"/>
          <w:b/>
          <w:sz w:val="44"/>
          <w:szCs w:val="44"/>
          <w:highlight w:val="none"/>
        </w:rPr>
      </w:pPr>
    </w:p>
    <w:p w14:paraId="0F99B75F">
      <w:pPr>
        <w:widowControl w:val="0"/>
        <w:autoSpaceDE w:val="0"/>
        <w:autoSpaceDN w:val="0"/>
        <w:adjustRightInd w:val="0"/>
        <w:snapToGrid w:val="0"/>
        <w:ind w:firstLine="0" w:firstLineChars="0"/>
        <w:rPr>
          <w:rFonts w:ascii="宋体" w:hAnsi="宋体"/>
          <w:highlight w:val="none"/>
        </w:rPr>
      </w:pPr>
    </w:p>
    <w:p w14:paraId="56BC1E92">
      <w:pPr>
        <w:rPr>
          <w:highlight w:val="none"/>
        </w:rPr>
      </w:pPr>
      <w:r>
        <w:rPr>
          <w:rFonts w:ascii="宋体" w:hAnsi="宋体"/>
          <w:highlight w:val="none"/>
        </w:rPr>
        <w:br w:type="page"/>
      </w:r>
      <w:bookmarkStart w:id="355" w:name="_Toc28962"/>
      <w:bookmarkStart w:id="356" w:name="_Toc19109"/>
      <w:bookmarkStart w:id="357" w:name="_Hlk532142363"/>
    </w:p>
    <w:p w14:paraId="3951D598">
      <w:pPr>
        <w:rPr>
          <w:highlight w:val="none"/>
        </w:rPr>
      </w:pPr>
    </w:p>
    <w:p w14:paraId="103F45B7">
      <w:pPr>
        <w:rPr>
          <w:highlight w:val="none"/>
        </w:rPr>
      </w:pPr>
    </w:p>
    <w:p w14:paraId="6A274924">
      <w:pPr>
        <w:rPr>
          <w:highlight w:val="none"/>
        </w:rPr>
      </w:pPr>
    </w:p>
    <w:p w14:paraId="127E2308">
      <w:pPr>
        <w:rPr>
          <w:highlight w:val="none"/>
        </w:rPr>
      </w:pPr>
    </w:p>
    <w:p w14:paraId="62D5FEE5">
      <w:pPr>
        <w:rPr>
          <w:highlight w:val="none"/>
        </w:rPr>
      </w:pPr>
    </w:p>
    <w:p w14:paraId="5ED3A622">
      <w:pPr>
        <w:rPr>
          <w:highlight w:val="none"/>
        </w:rPr>
      </w:pPr>
    </w:p>
    <w:p w14:paraId="1684D79D">
      <w:pPr>
        <w:rPr>
          <w:highlight w:val="none"/>
        </w:rPr>
      </w:pPr>
    </w:p>
    <w:p w14:paraId="20EFA0E5">
      <w:pPr>
        <w:rPr>
          <w:highlight w:val="none"/>
        </w:rPr>
      </w:pPr>
    </w:p>
    <w:p w14:paraId="4C15A5DC">
      <w:pPr>
        <w:rPr>
          <w:highlight w:val="none"/>
        </w:rPr>
      </w:pPr>
    </w:p>
    <w:p w14:paraId="03079D48">
      <w:pPr>
        <w:rPr>
          <w:highlight w:val="none"/>
        </w:rPr>
      </w:pPr>
    </w:p>
    <w:p w14:paraId="0728E922">
      <w:pPr>
        <w:rPr>
          <w:highlight w:val="none"/>
        </w:rPr>
      </w:pPr>
    </w:p>
    <w:p w14:paraId="27297559">
      <w:pPr>
        <w:rPr>
          <w:highlight w:val="none"/>
        </w:rPr>
      </w:pPr>
    </w:p>
    <w:p w14:paraId="71FAEF3A">
      <w:pPr>
        <w:rPr>
          <w:highlight w:val="none"/>
        </w:rPr>
      </w:pPr>
    </w:p>
    <w:p w14:paraId="323E53A1">
      <w:pPr>
        <w:rPr>
          <w:highlight w:val="none"/>
        </w:rPr>
      </w:pPr>
    </w:p>
    <w:p w14:paraId="4C71E336">
      <w:pPr>
        <w:rPr>
          <w:highlight w:val="none"/>
        </w:rPr>
      </w:pPr>
    </w:p>
    <w:p w14:paraId="72BB688A">
      <w:pPr>
        <w:rPr>
          <w:highlight w:val="none"/>
        </w:rPr>
      </w:pPr>
    </w:p>
    <w:p w14:paraId="2799D0E2">
      <w:pPr>
        <w:rPr>
          <w:highlight w:val="none"/>
        </w:rPr>
      </w:pPr>
    </w:p>
    <w:p w14:paraId="2E6C377F">
      <w:pPr>
        <w:widowControl w:val="0"/>
        <w:autoSpaceDE w:val="0"/>
        <w:autoSpaceDN w:val="0"/>
        <w:adjustRightInd w:val="0"/>
        <w:snapToGrid w:val="0"/>
        <w:ind w:firstLine="0" w:firstLineChars="0"/>
        <w:jc w:val="center"/>
        <w:outlineLvl w:val="1"/>
        <w:rPr>
          <w:rFonts w:ascii="宋体" w:hAnsi="宋体"/>
          <w:sz w:val="44"/>
          <w:szCs w:val="44"/>
          <w:highlight w:val="none"/>
        </w:rPr>
      </w:pPr>
      <w:bookmarkStart w:id="358" w:name="_Toc13360"/>
      <w:bookmarkStart w:id="359" w:name="_Toc19088"/>
      <w:r>
        <w:rPr>
          <w:rFonts w:hint="eastAsia" w:ascii="宋体" w:hAnsi="宋体"/>
          <w:b/>
          <w:sz w:val="44"/>
          <w:szCs w:val="44"/>
          <w:highlight w:val="none"/>
        </w:rPr>
        <w:t>一</w:t>
      </w:r>
      <w:r>
        <w:rPr>
          <w:rFonts w:ascii="宋体" w:hAnsi="宋体"/>
          <w:b/>
          <w:sz w:val="44"/>
          <w:szCs w:val="44"/>
          <w:highlight w:val="none"/>
        </w:rPr>
        <w:t>、</w:t>
      </w:r>
      <w:r>
        <w:rPr>
          <w:rFonts w:hint="eastAsia" w:ascii="宋体" w:hAnsi="宋体"/>
          <w:b/>
          <w:sz w:val="44"/>
          <w:szCs w:val="44"/>
          <w:highlight w:val="none"/>
        </w:rPr>
        <w:t>资格审查文件部分</w:t>
      </w:r>
      <w:bookmarkEnd w:id="355"/>
      <w:bookmarkEnd w:id="356"/>
      <w:bookmarkEnd w:id="357"/>
      <w:bookmarkEnd w:id="358"/>
      <w:bookmarkEnd w:id="359"/>
    </w:p>
    <w:p w14:paraId="5FA33075">
      <w:pPr>
        <w:widowControl w:val="0"/>
        <w:autoSpaceDE w:val="0"/>
        <w:autoSpaceDN w:val="0"/>
        <w:adjustRightInd w:val="0"/>
        <w:snapToGrid w:val="0"/>
        <w:ind w:firstLine="0" w:firstLineChars="0"/>
        <w:outlineLvl w:val="2"/>
        <w:rPr>
          <w:rFonts w:ascii="宋体" w:hAnsi="宋体"/>
          <w:highlight w:val="none"/>
        </w:rPr>
      </w:pPr>
      <w:r>
        <w:rPr>
          <w:rFonts w:ascii="宋体" w:hAnsi="宋体"/>
          <w:highlight w:val="none"/>
        </w:rPr>
        <w:br w:type="page"/>
      </w:r>
      <w:bookmarkStart w:id="360" w:name="_Toc24159"/>
      <w:bookmarkStart w:id="361" w:name="_Toc19939"/>
      <w:bookmarkStart w:id="362" w:name="_Toc25492"/>
      <w:r>
        <w:rPr>
          <w:rFonts w:hint="eastAsia" w:ascii="宋体" w:hAnsi="宋体"/>
          <w:b/>
          <w:highlight w:val="none"/>
        </w:rPr>
        <w:t>A1、营业执照</w:t>
      </w:r>
      <w:bookmarkEnd w:id="360"/>
      <w:bookmarkEnd w:id="361"/>
      <w:bookmarkEnd w:id="362"/>
    </w:p>
    <w:p w14:paraId="51F4A541">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63" w:name="_Toc25856"/>
      <w:bookmarkStart w:id="364" w:name="_Toc28474"/>
      <w:bookmarkStart w:id="365" w:name="_Toc13789"/>
      <w:r>
        <w:rPr>
          <w:rFonts w:hint="eastAsia" w:ascii="宋体" w:hAnsi="宋体"/>
          <w:b/>
          <w:szCs w:val="21"/>
          <w:highlight w:val="none"/>
        </w:rPr>
        <w:t>A2、</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资格证明书</w:t>
      </w:r>
      <w:bookmarkEnd w:id="363"/>
      <w:bookmarkEnd w:id="364"/>
      <w:bookmarkEnd w:id="365"/>
    </w:p>
    <w:p w14:paraId="315EF424">
      <w:pPr>
        <w:widowControl w:val="0"/>
        <w:autoSpaceDE w:val="0"/>
        <w:autoSpaceDN w:val="0"/>
        <w:adjustRightInd w:val="0"/>
        <w:snapToGrid w:val="0"/>
        <w:ind w:firstLine="0" w:firstLineChars="0"/>
        <w:jc w:val="left"/>
        <w:rPr>
          <w:rFonts w:ascii="宋体" w:hAnsi="宋体"/>
          <w:sz w:val="24"/>
          <w:highlight w:val="none"/>
        </w:rPr>
      </w:pPr>
    </w:p>
    <w:p w14:paraId="1E56B3D5">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法定代表人资格证明书</w:t>
      </w:r>
    </w:p>
    <w:p w14:paraId="5D695262">
      <w:pPr>
        <w:widowControl w:val="0"/>
        <w:autoSpaceDE w:val="0"/>
        <w:autoSpaceDN w:val="0"/>
        <w:adjustRightInd w:val="0"/>
        <w:snapToGrid w:val="0"/>
        <w:ind w:firstLine="0" w:firstLineChars="0"/>
        <w:jc w:val="left"/>
        <w:rPr>
          <w:rFonts w:ascii="宋体" w:hAnsi="宋体"/>
          <w:sz w:val="24"/>
          <w:highlight w:val="none"/>
        </w:rPr>
      </w:pPr>
    </w:p>
    <w:p w14:paraId="2C190E3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1423F0F9">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0A76B2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548E678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475623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0A4416F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6C89F24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7D63886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424E54A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4CB9F2F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70C615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7FD08910">
      <w:pPr>
        <w:widowControl w:val="0"/>
        <w:autoSpaceDE w:val="0"/>
        <w:autoSpaceDN w:val="0"/>
        <w:adjustRightInd w:val="0"/>
        <w:snapToGrid w:val="0"/>
        <w:ind w:firstLine="0" w:firstLineChars="0"/>
        <w:jc w:val="left"/>
        <w:rPr>
          <w:rFonts w:ascii="宋体" w:hAnsi="宋体"/>
          <w:bCs/>
          <w:szCs w:val="21"/>
          <w:highlight w:val="none"/>
        </w:rPr>
      </w:pPr>
    </w:p>
    <w:p w14:paraId="3E82CA36">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071B6BC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3D19418">
      <w:pPr>
        <w:widowControl w:val="0"/>
        <w:autoSpaceDE w:val="0"/>
        <w:autoSpaceDN w:val="0"/>
        <w:adjustRightInd w:val="0"/>
        <w:snapToGrid w:val="0"/>
        <w:ind w:firstLine="0" w:firstLineChars="0"/>
        <w:jc w:val="left"/>
        <w:rPr>
          <w:rFonts w:ascii="宋体" w:hAnsi="宋体"/>
          <w:szCs w:val="21"/>
          <w:highlight w:val="none"/>
        </w:rPr>
      </w:pPr>
    </w:p>
    <w:p w14:paraId="634B6813">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791A05C6">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、如为法定代表人参加本次投标活动时，则不需要填写“法定代表人授权委托书”。</w:t>
      </w:r>
    </w:p>
    <w:p w14:paraId="7EA3C9F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2、后附法定代表人身份证复印件。</w:t>
      </w:r>
    </w:p>
    <w:p w14:paraId="00A51DE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3、格式仅供参考</w:t>
      </w:r>
    </w:p>
    <w:p w14:paraId="301E3D58">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b/>
          <w:szCs w:val="21"/>
          <w:highlight w:val="none"/>
        </w:rPr>
        <w:br w:type="page"/>
      </w:r>
      <w:bookmarkStart w:id="366" w:name="_Toc5842"/>
      <w:bookmarkStart w:id="367" w:name="_Toc11268"/>
      <w:bookmarkStart w:id="368" w:name="_Toc8505"/>
      <w:r>
        <w:rPr>
          <w:rFonts w:hint="eastAsia" w:ascii="宋体" w:hAnsi="宋体"/>
          <w:b/>
          <w:szCs w:val="21"/>
          <w:highlight w:val="none"/>
        </w:rPr>
        <w:t>A3、</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授权委托书</w:t>
      </w:r>
      <w:bookmarkEnd w:id="366"/>
      <w:r>
        <w:rPr>
          <w:rFonts w:hint="eastAsia" w:ascii="宋体" w:hAnsi="宋体"/>
          <w:b/>
          <w:szCs w:val="21"/>
          <w:highlight w:val="none"/>
        </w:rPr>
        <w:t>（如有）</w:t>
      </w:r>
      <w:bookmarkEnd w:id="367"/>
      <w:bookmarkEnd w:id="368"/>
    </w:p>
    <w:p w14:paraId="58B01BCD">
      <w:pPr>
        <w:widowControl w:val="0"/>
        <w:autoSpaceDE w:val="0"/>
        <w:autoSpaceDN w:val="0"/>
        <w:adjustRightInd w:val="0"/>
        <w:snapToGrid w:val="0"/>
        <w:ind w:firstLine="0" w:firstLineChars="0"/>
        <w:jc w:val="left"/>
        <w:rPr>
          <w:rFonts w:ascii="宋体" w:hAnsi="宋体"/>
          <w:b/>
          <w:sz w:val="28"/>
          <w:szCs w:val="28"/>
          <w:highlight w:val="none"/>
        </w:rPr>
      </w:pPr>
    </w:p>
    <w:p w14:paraId="606C849A">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法定代表人授权委托书</w:t>
      </w:r>
    </w:p>
    <w:p w14:paraId="4D150EE5">
      <w:pPr>
        <w:widowControl w:val="0"/>
        <w:autoSpaceDE w:val="0"/>
        <w:autoSpaceDN w:val="0"/>
        <w:adjustRightInd w:val="0"/>
        <w:snapToGrid w:val="0"/>
        <w:ind w:firstLine="0" w:firstLineChars="0"/>
        <w:jc w:val="left"/>
        <w:rPr>
          <w:rFonts w:ascii="宋体" w:hAnsi="宋体"/>
          <w:sz w:val="24"/>
          <w:highlight w:val="none"/>
        </w:rPr>
      </w:pPr>
    </w:p>
    <w:p w14:paraId="0F12D1A6">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致：</w:t>
      </w:r>
      <w:r>
        <w:rPr>
          <w:rFonts w:hint="eastAsia" w:ascii="宋体" w:hAnsi="宋体"/>
          <w:highlight w:val="none"/>
          <w:u w:val="single"/>
        </w:rPr>
        <w:t xml:space="preserve"> （招标人名称)  </w:t>
      </w:r>
    </w:p>
    <w:p w14:paraId="3FD57F04">
      <w:pPr>
        <w:widowControl w:val="0"/>
        <w:autoSpaceDE w:val="0"/>
        <w:autoSpaceDN w:val="0"/>
        <w:adjustRightInd w:val="0"/>
        <w:snapToGrid w:val="0"/>
        <w:ind w:firstLine="0" w:firstLineChars="0"/>
        <w:jc w:val="left"/>
        <w:rPr>
          <w:rFonts w:ascii="宋体" w:hAnsi="宋体"/>
          <w:szCs w:val="21"/>
          <w:highlight w:val="none"/>
        </w:rPr>
      </w:pPr>
    </w:p>
    <w:p w14:paraId="33664A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（投标人全称）</w:t>
      </w:r>
      <w:r>
        <w:rPr>
          <w:rFonts w:hint="eastAsia" w:ascii="宋体" w:hAnsi="宋体"/>
          <w:szCs w:val="21"/>
          <w:highlight w:val="none"/>
        </w:rPr>
        <w:t>的</w:t>
      </w:r>
      <w:r>
        <w:rPr>
          <w:rFonts w:hint="eastAsia" w:ascii="宋体" w:hAnsi="宋体"/>
          <w:szCs w:val="21"/>
          <w:highlight w:val="none"/>
          <w:u w:val="single"/>
        </w:rPr>
        <w:t xml:space="preserve"> （职务）（姓名）</w:t>
      </w:r>
      <w:r>
        <w:rPr>
          <w:rFonts w:hint="eastAsia" w:ascii="宋体" w:hAnsi="宋体"/>
          <w:szCs w:val="21"/>
          <w:highlight w:val="none"/>
        </w:rPr>
        <w:t>以其法定代表人的身份，合法地代表本单位，授权</w:t>
      </w:r>
      <w:r>
        <w:rPr>
          <w:rFonts w:hint="eastAsia" w:ascii="宋体" w:hAnsi="宋体"/>
          <w:szCs w:val="21"/>
          <w:highlight w:val="none"/>
          <w:u w:val="single"/>
        </w:rPr>
        <w:t xml:space="preserve"> （投标人全称） </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为我单位授权代理人，该授权代理人有权在的投标活动中，以我单位的名义签署投标函和投标文件、与招标人协商、谈判、签订合同协议以及全权处理与此有关的一切事项，其法律后果由我单位承担。</w:t>
      </w:r>
    </w:p>
    <w:p w14:paraId="6EF3E9B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485DD31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7FE5C35A">
      <w:pPr>
        <w:widowControl w:val="0"/>
        <w:autoSpaceDE w:val="0"/>
        <w:autoSpaceDN w:val="0"/>
        <w:adjustRightInd w:val="0"/>
        <w:snapToGrid w:val="0"/>
        <w:ind w:firstLine="0" w:firstLineChars="0"/>
        <w:jc w:val="left"/>
        <w:rPr>
          <w:rFonts w:ascii="宋体" w:hAnsi="宋体"/>
          <w:szCs w:val="21"/>
          <w:highlight w:val="none"/>
        </w:rPr>
      </w:pPr>
    </w:p>
    <w:p w14:paraId="32CE0DBA">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7BB57B1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u w:val="single"/>
        </w:rPr>
        <w:t xml:space="preserve">                        </w:t>
      </w:r>
    </w:p>
    <w:p w14:paraId="7CEA2D4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007CCB9E">
      <w:pPr>
        <w:widowControl w:val="0"/>
        <w:autoSpaceDE w:val="0"/>
        <w:autoSpaceDN w:val="0"/>
        <w:adjustRightInd w:val="0"/>
        <w:snapToGrid w:val="0"/>
        <w:ind w:firstLine="0" w:firstLineChars="0"/>
        <w:jc w:val="left"/>
        <w:rPr>
          <w:rFonts w:ascii="宋体" w:hAnsi="宋体"/>
          <w:szCs w:val="21"/>
          <w:highlight w:val="none"/>
        </w:rPr>
      </w:pPr>
    </w:p>
    <w:p w14:paraId="7C842FD1">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31ADA48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1、如为法定代表人参加本次投标活动时，则不需要填写“法定代表人授权委托书”；</w:t>
      </w:r>
    </w:p>
    <w:p w14:paraId="32CDDB54">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szCs w:val="21"/>
          <w:highlight w:val="none"/>
        </w:rPr>
        <w:t>2、后附授权代理人身份证复印件</w:t>
      </w:r>
      <w:r>
        <w:rPr>
          <w:rFonts w:hint="eastAsia" w:ascii="宋体" w:hAnsi="宋体"/>
          <w:spacing w:val="-8"/>
          <w:szCs w:val="21"/>
          <w:highlight w:val="none"/>
        </w:rPr>
        <w:t>；</w:t>
      </w:r>
    </w:p>
    <w:p w14:paraId="79BE9A1F">
      <w:pPr>
        <w:widowControl w:val="0"/>
        <w:autoSpaceDE w:val="0"/>
        <w:autoSpaceDN w:val="0"/>
        <w:adjustRightInd w:val="0"/>
        <w:snapToGrid w:val="0"/>
        <w:ind w:firstLine="0" w:firstLineChars="0"/>
        <w:jc w:val="left"/>
        <w:rPr>
          <w:rFonts w:ascii="宋体" w:hAnsi="宋体"/>
          <w:szCs w:val="21"/>
          <w:highlight w:val="none"/>
        </w:rPr>
      </w:pPr>
      <w:r>
        <w:rPr>
          <w:rFonts w:ascii="宋体" w:hAnsi="宋体"/>
          <w:spacing w:val="-8"/>
          <w:szCs w:val="21"/>
          <w:highlight w:val="none"/>
        </w:rPr>
        <w:t>3</w:t>
      </w:r>
      <w:r>
        <w:rPr>
          <w:rFonts w:hint="eastAsia" w:ascii="宋体" w:hAnsi="宋体"/>
          <w:spacing w:val="-8"/>
          <w:szCs w:val="21"/>
          <w:highlight w:val="none"/>
        </w:rPr>
        <w:t>、</w:t>
      </w:r>
      <w:r>
        <w:rPr>
          <w:rFonts w:hint="eastAsia" w:ascii="宋体" w:hAnsi="宋体"/>
          <w:szCs w:val="21"/>
          <w:highlight w:val="none"/>
        </w:rPr>
        <w:t>格式仅供</w:t>
      </w:r>
      <w:r>
        <w:rPr>
          <w:rFonts w:ascii="宋体" w:hAnsi="宋体"/>
          <w:szCs w:val="21"/>
          <w:highlight w:val="none"/>
        </w:rPr>
        <w:t>参考。</w:t>
      </w:r>
    </w:p>
    <w:p w14:paraId="5E5BF893">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69" w:name="_Toc10737"/>
      <w:bookmarkStart w:id="370" w:name="_Toc7506"/>
      <w:bookmarkStart w:id="371" w:name="_Toc27398"/>
      <w:r>
        <w:rPr>
          <w:rFonts w:hint="eastAsia" w:ascii="宋体" w:hAnsi="宋体"/>
          <w:b/>
          <w:bCs/>
          <w:szCs w:val="21"/>
          <w:highlight w:val="none"/>
        </w:rPr>
        <w:t>A4、资格</w:t>
      </w:r>
      <w:r>
        <w:rPr>
          <w:rFonts w:hint="eastAsia" w:ascii="宋体" w:hAnsi="宋体"/>
          <w:b/>
          <w:highlight w:val="none"/>
        </w:rPr>
        <w:t>证明</w:t>
      </w:r>
      <w:r>
        <w:rPr>
          <w:rFonts w:hint="eastAsia" w:ascii="宋体" w:hAnsi="宋体"/>
          <w:b/>
          <w:bCs/>
          <w:szCs w:val="21"/>
          <w:highlight w:val="none"/>
        </w:rPr>
        <w:t>文件</w:t>
      </w:r>
      <w:bookmarkEnd w:id="369"/>
      <w:bookmarkEnd w:id="370"/>
      <w:bookmarkEnd w:id="371"/>
    </w:p>
    <w:p w14:paraId="63395164">
      <w:pPr>
        <w:widowControl w:val="0"/>
        <w:autoSpaceDE w:val="0"/>
        <w:autoSpaceDN w:val="0"/>
        <w:adjustRightInd w:val="0"/>
        <w:snapToGrid w:val="0"/>
        <w:ind w:firstLine="0" w:firstLineChars="0"/>
        <w:jc w:val="left"/>
        <w:outlineLvl w:val="2"/>
        <w:rPr>
          <w:rFonts w:ascii="宋体" w:hAnsi="宋体" w:eastAsia="宋体"/>
          <w:b/>
          <w:bCs/>
          <w:sz w:val="28"/>
          <w:szCs w:val="28"/>
          <w:highlight w:val="none"/>
          <w:lang w:val="en-US" w:eastAsia="zh-CN"/>
        </w:rPr>
      </w:pPr>
      <w:r>
        <w:rPr>
          <w:rFonts w:ascii="宋体" w:hAnsi="宋体"/>
          <w:b/>
          <w:bCs/>
          <w:sz w:val="24"/>
          <w:highlight w:val="none"/>
        </w:rPr>
        <w:br w:type="page"/>
      </w:r>
      <w:bookmarkStart w:id="372" w:name="_Toc22091"/>
      <w:bookmarkStart w:id="373" w:name="_Toc17292"/>
      <w:bookmarkStart w:id="374" w:name="_Toc13931"/>
      <w:r>
        <w:rPr>
          <w:rFonts w:hint="eastAsia" w:ascii="宋体" w:hAnsi="宋体"/>
          <w:b/>
          <w:highlight w:val="none"/>
        </w:rPr>
        <w:t>A5</w:t>
      </w:r>
      <w:r>
        <w:rPr>
          <w:rFonts w:hint="eastAsia" w:ascii="宋体" w:hAnsi="宋体"/>
          <w:b/>
          <w:bCs/>
          <w:szCs w:val="21"/>
          <w:highlight w:val="none"/>
        </w:rPr>
        <w:t>、投标人股东关系构成表</w:t>
      </w:r>
      <w:bookmarkEnd w:id="372"/>
      <w:bookmarkEnd w:id="373"/>
      <w:bookmarkEnd w:id="374"/>
    </w:p>
    <w:p w14:paraId="009D02E1">
      <w:pPr>
        <w:widowControl w:val="0"/>
        <w:autoSpaceDE w:val="0"/>
        <w:autoSpaceDN w:val="0"/>
        <w:adjustRightInd w:val="0"/>
        <w:snapToGrid w:val="0"/>
        <w:ind w:firstLine="0" w:firstLineChars="0"/>
        <w:jc w:val="left"/>
        <w:rPr>
          <w:rFonts w:ascii="宋体" w:hAnsi="宋体"/>
          <w:b/>
          <w:bCs/>
          <w:szCs w:val="21"/>
          <w:highlight w:val="none"/>
        </w:rPr>
      </w:pPr>
    </w:p>
    <w:p w14:paraId="6BEC5647">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投标人股东关系构成表</w:t>
      </w:r>
    </w:p>
    <w:tbl>
      <w:tblPr>
        <w:tblStyle w:val="52"/>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3"/>
        <w:gridCol w:w="6310"/>
      </w:tblGrid>
      <w:tr w14:paraId="705C6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6255BEF">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14:paraId="125AB7F8">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3888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149E6F">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14:paraId="14F51725">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3BA77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B01E117">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14:paraId="436BA301">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□是，其控股股东为：</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276EE8FB">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其他主要股东及其股份占比：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19F72B23">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3C814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CFFC996">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14:paraId="5903E4CE">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□是，该单位为：</w:t>
            </w:r>
            <w:r>
              <w:rPr>
                <w:rFonts w:hint="eastAsia" w:ascii="宋体" w:hAnsi="宋体" w:cs="Segoe UI Symbol"/>
                <w:kern w:val="0"/>
                <w:szCs w:val="21"/>
                <w:highlight w:val="none"/>
                <w:u w:val="single"/>
              </w:rPr>
              <w:t xml:space="preserve">                                          </w:t>
            </w:r>
          </w:p>
          <w:p w14:paraId="7BDEDE6E">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6B532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BDAF927">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是否存在“与招标人有利害关系”的情况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14:paraId="258CFED1">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□是，与招标人的关系为：</w:t>
            </w:r>
            <w:r>
              <w:rPr>
                <w:rFonts w:hint="eastAsia" w:ascii="宋体" w:hAnsi="宋体" w:cs="Segoe UI Symbol"/>
                <w:kern w:val="0"/>
                <w:szCs w:val="21"/>
                <w:highlight w:val="none"/>
                <w:u w:val="single"/>
              </w:rPr>
              <w:t xml:space="preserve">                                   </w:t>
            </w:r>
          </w:p>
          <w:p w14:paraId="4DF349AA">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□否</w:t>
            </w:r>
          </w:p>
        </w:tc>
      </w:tr>
    </w:tbl>
    <w:p w14:paraId="5DE39C50">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注：</w:t>
      </w:r>
    </w:p>
    <w:p w14:paraId="151AFA4C">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Cs/>
          <w:szCs w:val="21"/>
          <w:highlight w:val="none"/>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4BAF9E37">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2、此表格必须填写，否则将视为未实质性响应招标文件；</w:t>
      </w:r>
    </w:p>
    <w:p w14:paraId="35DD512C">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3、投标人需如实填写上述信息，如查实上述信息与实际不符，视为提供虚假证明材料骗取中标，投标人应承担相应法律后果。</w:t>
      </w:r>
    </w:p>
    <w:p w14:paraId="107B7D23">
      <w:pPr>
        <w:widowControl w:val="0"/>
        <w:autoSpaceDE w:val="0"/>
        <w:autoSpaceDN w:val="0"/>
        <w:adjustRightInd w:val="0"/>
        <w:snapToGrid w:val="0"/>
        <w:ind w:firstLine="0" w:firstLineChars="0"/>
        <w:jc w:val="left"/>
        <w:outlineLvl w:val="2"/>
        <w:rPr>
          <w:rFonts w:ascii="宋体" w:hAnsi="宋体"/>
          <w:b/>
          <w:highlight w:val="none"/>
        </w:rPr>
      </w:pPr>
      <w:r>
        <w:rPr>
          <w:rFonts w:ascii="宋体" w:hAnsi="宋体"/>
          <w:b/>
          <w:bCs/>
          <w:szCs w:val="21"/>
          <w:highlight w:val="none"/>
        </w:rPr>
        <w:br w:type="page"/>
      </w:r>
      <w:bookmarkStart w:id="375" w:name="_Toc18701"/>
      <w:bookmarkStart w:id="376" w:name="_Toc9188"/>
      <w:bookmarkStart w:id="377" w:name="_Toc22600"/>
      <w:r>
        <w:rPr>
          <w:rFonts w:hint="eastAsia" w:ascii="宋体" w:hAnsi="宋体"/>
          <w:b/>
          <w:bCs/>
          <w:szCs w:val="21"/>
          <w:highlight w:val="none"/>
        </w:rPr>
        <w:t>A6</w:t>
      </w:r>
      <w:r>
        <w:rPr>
          <w:rFonts w:hint="eastAsia" w:ascii="宋体" w:hAnsi="宋体"/>
          <w:b/>
          <w:highlight w:val="none"/>
        </w:rPr>
        <w:t>、其他</w:t>
      </w:r>
      <w:bookmarkEnd w:id="375"/>
      <w:bookmarkEnd w:id="376"/>
      <w:bookmarkEnd w:id="377"/>
    </w:p>
    <w:p w14:paraId="5E724BE6">
      <w:pPr>
        <w:rPr>
          <w:highlight w:val="none"/>
        </w:rPr>
      </w:pPr>
      <w:r>
        <w:rPr>
          <w:rFonts w:hint="eastAsia" w:ascii="宋体" w:hAnsi="宋体"/>
          <w:b/>
          <w:highlight w:val="none"/>
        </w:rPr>
        <w:t>2.</w:t>
      </w:r>
      <w:r>
        <w:rPr>
          <w:rFonts w:hint="eastAsia"/>
          <w:highlight w:val="none"/>
        </w:rPr>
        <w:t>投标人认为应补充提供的其他文件资料或说明。</w:t>
      </w:r>
    </w:p>
    <w:p w14:paraId="288834FA">
      <w:pPr>
        <w:rPr>
          <w:highlight w:val="none"/>
        </w:rPr>
      </w:pPr>
    </w:p>
    <w:p w14:paraId="2F6B9ABA">
      <w:pPr>
        <w:rPr>
          <w:highlight w:val="none"/>
        </w:rPr>
      </w:pPr>
      <w:r>
        <w:rPr>
          <w:rFonts w:ascii="宋体" w:hAnsi="宋体"/>
          <w:highlight w:val="none"/>
        </w:rPr>
        <w:br w:type="page"/>
      </w:r>
      <w:bookmarkStart w:id="378" w:name="_Toc22959"/>
      <w:bookmarkStart w:id="379" w:name="_Toc688"/>
      <w:bookmarkStart w:id="380" w:name="_Toc22578"/>
      <w:bookmarkStart w:id="381" w:name="_Hlk532142542"/>
    </w:p>
    <w:p w14:paraId="2DFBF8D8">
      <w:pPr>
        <w:rPr>
          <w:highlight w:val="none"/>
        </w:rPr>
      </w:pPr>
    </w:p>
    <w:p w14:paraId="04A4F449">
      <w:pPr>
        <w:rPr>
          <w:highlight w:val="none"/>
        </w:rPr>
      </w:pPr>
    </w:p>
    <w:p w14:paraId="52FA24EB">
      <w:pPr>
        <w:rPr>
          <w:highlight w:val="none"/>
        </w:rPr>
      </w:pPr>
    </w:p>
    <w:p w14:paraId="7261C237">
      <w:pPr>
        <w:rPr>
          <w:highlight w:val="none"/>
        </w:rPr>
      </w:pPr>
    </w:p>
    <w:p w14:paraId="269CC430">
      <w:pPr>
        <w:rPr>
          <w:highlight w:val="none"/>
        </w:rPr>
      </w:pPr>
    </w:p>
    <w:p w14:paraId="04FB6CFE">
      <w:pPr>
        <w:pStyle w:val="22"/>
        <w:rPr>
          <w:highlight w:val="none"/>
        </w:rPr>
      </w:pPr>
    </w:p>
    <w:p w14:paraId="7BC4E43A">
      <w:pPr>
        <w:rPr>
          <w:highlight w:val="none"/>
        </w:rPr>
      </w:pPr>
    </w:p>
    <w:p w14:paraId="0F3081F0">
      <w:pPr>
        <w:rPr>
          <w:highlight w:val="none"/>
        </w:rPr>
      </w:pPr>
    </w:p>
    <w:p w14:paraId="5BABE115">
      <w:pPr>
        <w:rPr>
          <w:highlight w:val="none"/>
        </w:rPr>
      </w:pPr>
    </w:p>
    <w:p w14:paraId="2EFB9708">
      <w:pPr>
        <w:rPr>
          <w:highlight w:val="none"/>
        </w:rPr>
      </w:pPr>
    </w:p>
    <w:p w14:paraId="58E52235">
      <w:pPr>
        <w:rPr>
          <w:highlight w:val="none"/>
        </w:rPr>
      </w:pPr>
    </w:p>
    <w:p w14:paraId="55747C2D">
      <w:pPr>
        <w:rPr>
          <w:highlight w:val="none"/>
        </w:rPr>
      </w:pPr>
    </w:p>
    <w:p w14:paraId="6FDE7969">
      <w:pPr>
        <w:rPr>
          <w:highlight w:val="none"/>
        </w:rPr>
      </w:pPr>
    </w:p>
    <w:p w14:paraId="79DE8D9E">
      <w:pPr>
        <w:rPr>
          <w:highlight w:val="none"/>
        </w:rPr>
      </w:pPr>
    </w:p>
    <w:p w14:paraId="125690E7">
      <w:pPr>
        <w:rPr>
          <w:highlight w:val="none"/>
        </w:rPr>
      </w:pPr>
    </w:p>
    <w:p w14:paraId="0B370A2A">
      <w:pPr>
        <w:rPr>
          <w:highlight w:val="none"/>
        </w:rPr>
      </w:pPr>
    </w:p>
    <w:p w14:paraId="71164B97">
      <w:pPr>
        <w:rPr>
          <w:highlight w:val="none"/>
        </w:rPr>
      </w:pPr>
    </w:p>
    <w:p w14:paraId="015C3D0E">
      <w:pPr>
        <w:widowControl w:val="0"/>
        <w:autoSpaceDE w:val="0"/>
        <w:autoSpaceDN w:val="0"/>
        <w:adjustRightInd w:val="0"/>
        <w:snapToGrid w:val="0"/>
        <w:ind w:firstLine="0" w:firstLineChars="0"/>
        <w:jc w:val="center"/>
        <w:outlineLvl w:val="1"/>
        <w:rPr>
          <w:rFonts w:ascii="宋体" w:hAnsi="宋体"/>
          <w:b/>
          <w:sz w:val="44"/>
          <w:szCs w:val="44"/>
          <w:highlight w:val="none"/>
        </w:rPr>
      </w:pPr>
      <w:bookmarkStart w:id="382" w:name="_Toc20056"/>
      <w:bookmarkStart w:id="383" w:name="_Toc25175"/>
      <w:r>
        <w:rPr>
          <w:rFonts w:hint="eastAsia" w:ascii="宋体" w:hAnsi="宋体"/>
          <w:b/>
          <w:sz w:val="44"/>
          <w:szCs w:val="44"/>
          <w:highlight w:val="none"/>
        </w:rPr>
        <w:t>二</w:t>
      </w:r>
      <w:r>
        <w:rPr>
          <w:rFonts w:ascii="宋体" w:hAnsi="宋体"/>
          <w:b/>
          <w:sz w:val="44"/>
          <w:szCs w:val="44"/>
          <w:highlight w:val="none"/>
        </w:rPr>
        <w:t>、</w:t>
      </w:r>
      <w:r>
        <w:rPr>
          <w:rFonts w:hint="eastAsia" w:ascii="宋体" w:hAnsi="宋体"/>
          <w:b/>
          <w:sz w:val="44"/>
          <w:szCs w:val="44"/>
          <w:highlight w:val="none"/>
        </w:rPr>
        <w:t>商务标部分</w:t>
      </w:r>
      <w:bookmarkEnd w:id="378"/>
      <w:bookmarkEnd w:id="382"/>
      <w:bookmarkEnd w:id="383"/>
    </w:p>
    <w:bookmarkEnd w:id="379"/>
    <w:bookmarkEnd w:id="380"/>
    <w:bookmarkEnd w:id="381"/>
    <w:p w14:paraId="4606BF81">
      <w:pPr>
        <w:widowControl w:val="0"/>
        <w:autoSpaceDE w:val="0"/>
        <w:autoSpaceDN w:val="0"/>
        <w:adjustRightInd w:val="0"/>
        <w:snapToGrid w:val="0"/>
        <w:spacing w:line="240" w:lineRule="auto"/>
        <w:ind w:firstLine="0" w:firstLineChars="0"/>
        <w:jc w:val="left"/>
        <w:rPr>
          <w:rFonts w:ascii="宋体" w:hAnsi="宋体"/>
          <w:szCs w:val="21"/>
          <w:highlight w:val="none"/>
          <w:u w:val="single"/>
        </w:rPr>
      </w:pPr>
    </w:p>
    <w:bookmarkEnd w:id="351"/>
    <w:bookmarkEnd w:id="352"/>
    <w:p w14:paraId="49339751">
      <w:pPr>
        <w:widowControl w:val="0"/>
        <w:autoSpaceDE w:val="0"/>
        <w:autoSpaceDN w:val="0"/>
        <w:adjustRightInd w:val="0"/>
        <w:snapToGrid w:val="0"/>
        <w:ind w:firstLine="0" w:firstLineChars="0"/>
        <w:jc w:val="left"/>
        <w:outlineLvl w:val="2"/>
        <w:rPr>
          <w:rFonts w:ascii="宋体" w:hAnsi="宋体" w:cs="Courier New"/>
          <w:b/>
          <w:bCs/>
          <w:sz w:val="84"/>
          <w:szCs w:val="84"/>
          <w:highlight w:val="none"/>
        </w:rPr>
      </w:pPr>
      <w:r>
        <w:rPr>
          <w:rFonts w:ascii="宋体" w:hAnsi="宋体"/>
          <w:b/>
          <w:szCs w:val="21"/>
          <w:highlight w:val="none"/>
        </w:rPr>
        <w:br w:type="page"/>
      </w:r>
      <w:bookmarkStart w:id="384" w:name="_Toc5445"/>
      <w:bookmarkStart w:id="385" w:name="_Toc24270"/>
      <w:bookmarkStart w:id="386" w:name="_Toc16851"/>
      <w:bookmarkStart w:id="387" w:name="_Toc22140"/>
      <w:r>
        <w:rPr>
          <w:rFonts w:hint="eastAsia" w:ascii="宋体" w:hAnsi="宋体"/>
          <w:b/>
          <w:szCs w:val="21"/>
          <w:highlight w:val="none"/>
        </w:rPr>
        <w:t>B1、</w:t>
      </w:r>
      <w:r>
        <w:rPr>
          <w:rFonts w:hint="eastAsia" w:ascii="宋体" w:hAnsi="宋体"/>
          <w:b/>
          <w:highlight w:val="none"/>
        </w:rPr>
        <w:t>投标</w:t>
      </w:r>
      <w:r>
        <w:rPr>
          <w:rFonts w:hint="eastAsia" w:ascii="宋体" w:hAnsi="宋体"/>
          <w:b/>
          <w:szCs w:val="21"/>
          <w:highlight w:val="none"/>
        </w:rPr>
        <w:t>函</w:t>
      </w:r>
      <w:bookmarkEnd w:id="384"/>
      <w:bookmarkEnd w:id="385"/>
      <w:bookmarkEnd w:id="386"/>
    </w:p>
    <w:p w14:paraId="092012DD">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投标函</w:t>
      </w:r>
    </w:p>
    <w:p w14:paraId="5D93E8A1">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（招标人名称) </w:t>
      </w:r>
    </w:p>
    <w:p w14:paraId="5E52BA9B">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1、</w:t>
      </w:r>
      <w:r>
        <w:rPr>
          <w:rFonts w:ascii="宋体" w:hAnsi="宋体"/>
          <w:szCs w:val="21"/>
          <w:highlight w:val="none"/>
        </w:rPr>
        <w:t>在研究了</w:t>
      </w:r>
      <w:r>
        <w:rPr>
          <w:rFonts w:hint="eastAsia" w:ascii="宋体" w:hAnsi="宋体"/>
          <w:szCs w:val="21"/>
          <w:highlight w:val="none"/>
        </w:rPr>
        <w:t>你方</w:t>
      </w:r>
      <w:r>
        <w:rPr>
          <w:rFonts w:ascii="宋体" w:hAnsi="宋体"/>
          <w:szCs w:val="21"/>
          <w:highlight w:val="none"/>
        </w:rPr>
        <w:t>提供的招标文件</w:t>
      </w:r>
      <w:r>
        <w:rPr>
          <w:rFonts w:hint="eastAsia" w:ascii="宋体" w:hAnsi="宋体"/>
          <w:szCs w:val="21"/>
          <w:highlight w:val="none"/>
        </w:rPr>
        <w:t>及澄清或修改文件</w:t>
      </w:r>
      <w:r>
        <w:rPr>
          <w:rFonts w:ascii="宋体" w:hAnsi="宋体"/>
          <w:szCs w:val="21"/>
          <w:highlight w:val="none"/>
        </w:rPr>
        <w:t>后，</w:t>
      </w:r>
      <w:r>
        <w:rPr>
          <w:rFonts w:hint="eastAsia" w:ascii="宋体" w:hAnsi="宋体"/>
          <w:szCs w:val="21"/>
          <w:highlight w:val="none"/>
        </w:rPr>
        <w:t>我方愿意按投标报价一览表投标总价</w:t>
      </w:r>
      <w:r>
        <w:rPr>
          <w:rFonts w:hint="eastAsia" w:ascii="宋体" w:hAnsi="宋体"/>
          <w:highlight w:val="none"/>
        </w:rPr>
        <w:t>投标、服务期和服务要求提供服务，并履行招标文件及合同协议书中的责任和义务。</w:t>
      </w:r>
    </w:p>
    <w:p w14:paraId="300D472F">
      <w:pPr>
        <w:widowControl w:val="0"/>
        <w:autoSpaceDE w:val="0"/>
        <w:autoSpaceDN w:val="0"/>
        <w:adjustRightInd w:val="0"/>
        <w:snapToGrid w:val="0"/>
        <w:ind w:firstLine="0" w:firstLineChars="0"/>
        <w:jc w:val="both"/>
        <w:rPr>
          <w:rFonts w:ascii="宋体" w:hAnsi="宋体"/>
          <w:highlight w:val="none"/>
        </w:rPr>
      </w:pPr>
      <w:r>
        <w:rPr>
          <w:rFonts w:hint="eastAsia" w:ascii="宋体" w:hAnsi="宋体"/>
          <w:szCs w:val="21"/>
          <w:highlight w:val="none"/>
        </w:rPr>
        <w:t>2、我方已详细审查全部招标文件，包括澄清或修改文件（如有）以及有关附件。我方完全理解并同意放弃对这方面有不明及误解的权利。</w:t>
      </w:r>
    </w:p>
    <w:p w14:paraId="369944C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highlight w:val="none"/>
        </w:rPr>
        <w:t>3、</w:t>
      </w:r>
      <w:r>
        <w:rPr>
          <w:rFonts w:hint="eastAsia" w:ascii="宋体" w:hAnsi="宋体"/>
          <w:bCs/>
          <w:highlight w:val="none"/>
        </w:rPr>
        <w:t>本投标有效期为投标截止日起</w:t>
      </w:r>
      <w:r>
        <w:rPr>
          <w:rFonts w:hint="eastAsia" w:ascii="宋体" w:hAnsi="宋体"/>
          <w:bCs/>
          <w:highlight w:val="none"/>
          <w:u w:val="single"/>
        </w:rPr>
        <w:t xml:space="preserve"> </w:t>
      </w:r>
      <w:r>
        <w:rPr>
          <w:rFonts w:hint="eastAsia" w:ascii="宋体" w:hAnsi="宋体"/>
          <w:bCs/>
          <w:highlight w:val="none"/>
          <w:u w:val="single"/>
          <w:lang w:val="en-US" w:eastAsia="zh-CN"/>
        </w:rPr>
        <w:t>120</w:t>
      </w:r>
      <w:r>
        <w:rPr>
          <w:rFonts w:ascii="宋体" w:hAnsi="宋体"/>
          <w:bCs/>
          <w:highlight w:val="none"/>
          <w:u w:val="single"/>
        </w:rPr>
        <w:t xml:space="preserve"> </w:t>
      </w:r>
      <w:r>
        <w:rPr>
          <w:rFonts w:hint="eastAsia" w:ascii="宋体" w:hAnsi="宋体"/>
          <w:highlight w:val="none"/>
        </w:rPr>
        <w:t>日历日</w:t>
      </w:r>
      <w:r>
        <w:rPr>
          <w:rFonts w:hint="eastAsia" w:ascii="宋体" w:hAnsi="宋体"/>
          <w:bCs/>
          <w:highlight w:val="none"/>
        </w:rPr>
        <w:t>，我方保证在</w:t>
      </w:r>
      <w:r>
        <w:rPr>
          <w:rFonts w:ascii="宋体" w:hAnsi="宋体"/>
          <w:highlight w:val="none"/>
        </w:rPr>
        <w:t>投标有效期内严格遵守本投标函的各项承诺。在此期限届满之前，本投标函将对我方具有约束力，并随时接受中标</w:t>
      </w:r>
      <w:r>
        <w:rPr>
          <w:rFonts w:hint="eastAsia" w:ascii="宋体" w:hAnsi="宋体"/>
          <w:bCs/>
          <w:highlight w:val="none"/>
        </w:rPr>
        <w:t>。</w:t>
      </w:r>
    </w:p>
    <w:p w14:paraId="38C6E207">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4、我方同意按照你方的要求提供与本投标有关的一切数据或资料，完全理解你方不一定要接受最低价的投标或收到的任何投标。</w:t>
      </w:r>
      <w:r>
        <w:rPr>
          <w:rFonts w:ascii="宋体" w:hAnsi="宋体"/>
          <w:highlight w:val="none"/>
        </w:rPr>
        <w:t>同时也理解，</w:t>
      </w:r>
      <w:r>
        <w:rPr>
          <w:rFonts w:hint="eastAsia" w:ascii="宋体" w:hAnsi="宋体"/>
          <w:highlight w:val="none"/>
        </w:rPr>
        <w:t>你</w:t>
      </w:r>
      <w:r>
        <w:rPr>
          <w:rFonts w:ascii="宋体" w:hAnsi="宋体"/>
          <w:highlight w:val="none"/>
        </w:rPr>
        <w:t>方不负担我方的任何投标费用。</w:t>
      </w:r>
    </w:p>
    <w:p w14:paraId="4B0645C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5、如果我方中标，我方保证按照招标文件规定的期限要求履行提供服务及有关责任和义务。</w:t>
      </w:r>
    </w:p>
    <w:p w14:paraId="0549110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6、</w:t>
      </w:r>
      <w:r>
        <w:rPr>
          <w:rFonts w:ascii="宋体" w:hAnsi="宋体"/>
          <w:highlight w:val="none"/>
        </w:rPr>
        <w:t>在合同协议书正式签署生效之前，本投标函连同</w:t>
      </w:r>
      <w:r>
        <w:rPr>
          <w:rFonts w:hint="eastAsia" w:ascii="宋体" w:hAnsi="宋体"/>
          <w:highlight w:val="none"/>
        </w:rPr>
        <w:t>你方发出</w:t>
      </w:r>
      <w:r>
        <w:rPr>
          <w:rFonts w:ascii="宋体" w:hAnsi="宋体"/>
          <w:highlight w:val="none"/>
        </w:rPr>
        <w:t>的中标通知书</w:t>
      </w:r>
      <w:r>
        <w:rPr>
          <w:rFonts w:hint="eastAsia" w:ascii="宋体" w:hAnsi="宋体"/>
          <w:highlight w:val="none"/>
        </w:rPr>
        <w:t>，</w:t>
      </w:r>
      <w:r>
        <w:rPr>
          <w:rFonts w:ascii="宋体" w:hAnsi="宋体"/>
          <w:highlight w:val="none"/>
        </w:rPr>
        <w:t>将构成</w:t>
      </w:r>
      <w:r>
        <w:rPr>
          <w:rFonts w:hint="eastAsia" w:ascii="宋体" w:hAnsi="宋体"/>
          <w:highlight w:val="none"/>
        </w:rPr>
        <w:t>你我</w:t>
      </w:r>
      <w:r>
        <w:rPr>
          <w:rFonts w:ascii="宋体" w:hAnsi="宋体"/>
          <w:highlight w:val="none"/>
        </w:rPr>
        <w:t>双方共同遵守的文件，对双方具有约束力。</w:t>
      </w:r>
    </w:p>
    <w:p w14:paraId="55892AA8">
      <w:pPr>
        <w:widowControl w:val="0"/>
        <w:autoSpaceDE w:val="0"/>
        <w:autoSpaceDN w:val="0"/>
        <w:adjustRightInd w:val="0"/>
        <w:snapToGrid w:val="0"/>
        <w:ind w:firstLine="0" w:firstLineChars="0"/>
        <w:jc w:val="both"/>
        <w:rPr>
          <w:rFonts w:ascii="宋体" w:hAnsi="宋体"/>
          <w:bCs/>
          <w:highlight w:val="none"/>
        </w:rPr>
      </w:pPr>
      <w:r>
        <w:rPr>
          <w:rFonts w:ascii="宋体" w:hAnsi="宋体"/>
          <w:bCs/>
          <w:highlight w:val="none"/>
        </w:rPr>
        <w:t>7</w:t>
      </w:r>
      <w:r>
        <w:rPr>
          <w:rFonts w:hint="eastAsia" w:ascii="宋体" w:hAnsi="宋体"/>
          <w:bCs/>
          <w:highlight w:val="none"/>
        </w:rPr>
        <w:t>、</w:t>
      </w:r>
      <w:r>
        <w:rPr>
          <w:rFonts w:ascii="宋体" w:hAnsi="宋体"/>
          <w:bCs/>
          <w:highlight w:val="none"/>
        </w:rPr>
        <w:t>随同本投标函，</w:t>
      </w:r>
      <w:r>
        <w:rPr>
          <w:rFonts w:hint="eastAsia" w:ascii="宋体" w:hAnsi="宋体"/>
          <w:bCs/>
          <w:highlight w:val="none"/>
        </w:rPr>
        <w:t>我方缴纳符合招标文件要求的</w:t>
      </w:r>
      <w:r>
        <w:rPr>
          <w:rFonts w:ascii="宋体" w:hAnsi="宋体"/>
          <w:bCs/>
          <w:highlight w:val="none"/>
        </w:rPr>
        <w:t>投标</w:t>
      </w:r>
      <w:r>
        <w:rPr>
          <w:rFonts w:hint="eastAsia" w:ascii="宋体" w:hAnsi="宋体"/>
          <w:bCs/>
          <w:highlight w:val="none"/>
        </w:rPr>
        <w:t>保证金</w:t>
      </w:r>
      <w:r>
        <w:rPr>
          <w:rFonts w:ascii="宋体" w:hAnsi="宋体"/>
          <w:bCs/>
          <w:highlight w:val="none"/>
        </w:rPr>
        <w:t>。如果</w:t>
      </w:r>
      <w:r>
        <w:rPr>
          <w:rFonts w:hint="eastAsia" w:ascii="宋体" w:hAnsi="宋体"/>
          <w:bCs/>
          <w:highlight w:val="none"/>
        </w:rPr>
        <w:t>我方存在以下任何一种行为时，</w:t>
      </w:r>
      <w:r>
        <w:rPr>
          <w:rFonts w:ascii="宋体" w:hAnsi="宋体"/>
          <w:bCs/>
          <w:highlight w:val="none"/>
        </w:rPr>
        <w:t>你方有权</w:t>
      </w:r>
      <w:r>
        <w:rPr>
          <w:rFonts w:hint="eastAsia" w:ascii="宋体" w:hAnsi="宋体"/>
          <w:bCs/>
          <w:highlight w:val="none"/>
        </w:rPr>
        <w:t>不予退还</w:t>
      </w:r>
      <w:r>
        <w:rPr>
          <w:rFonts w:ascii="宋体" w:hAnsi="宋体"/>
          <w:bCs/>
          <w:highlight w:val="none"/>
        </w:rPr>
        <w:t>投标</w:t>
      </w:r>
      <w:r>
        <w:rPr>
          <w:rFonts w:hint="eastAsia" w:ascii="宋体" w:hAnsi="宋体"/>
          <w:bCs/>
          <w:highlight w:val="none"/>
        </w:rPr>
        <w:t>保证金</w:t>
      </w:r>
      <w:r>
        <w:rPr>
          <w:rFonts w:ascii="宋体" w:hAnsi="宋体"/>
          <w:bCs/>
          <w:highlight w:val="none"/>
        </w:rPr>
        <w:t>，</w:t>
      </w:r>
      <w:r>
        <w:rPr>
          <w:rFonts w:hint="eastAsia" w:ascii="宋体" w:hAnsi="宋体"/>
          <w:bCs/>
          <w:highlight w:val="none"/>
        </w:rPr>
        <w:t>取消我方中标资格，</w:t>
      </w:r>
      <w:r>
        <w:rPr>
          <w:rFonts w:ascii="宋体" w:hAnsi="宋体"/>
          <w:bCs/>
          <w:highlight w:val="none"/>
        </w:rPr>
        <w:t>另选中标单位</w:t>
      </w:r>
      <w:r>
        <w:rPr>
          <w:rFonts w:hint="eastAsia" w:ascii="宋体" w:hAnsi="宋体"/>
          <w:highlight w:val="none"/>
        </w:rPr>
        <w:t>，给你方造成的损失超过我方投标保证金的，你方还有权要求我方对超过部分进行赔偿</w:t>
      </w:r>
      <w:r>
        <w:rPr>
          <w:rFonts w:hint="eastAsia" w:ascii="宋体" w:hAnsi="宋体"/>
          <w:bCs/>
          <w:highlight w:val="none"/>
        </w:rPr>
        <w:t>：</w:t>
      </w:r>
    </w:p>
    <w:p w14:paraId="55679DC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（1）投标截止时间</w:t>
      </w:r>
      <w:r>
        <w:rPr>
          <w:rFonts w:ascii="宋体" w:hAnsi="宋体"/>
          <w:bCs/>
          <w:highlight w:val="none"/>
        </w:rPr>
        <w:t>后，</w:t>
      </w:r>
      <w:r>
        <w:rPr>
          <w:rFonts w:hint="eastAsia" w:ascii="宋体" w:hAnsi="宋体"/>
          <w:bCs/>
          <w:highlight w:val="none"/>
        </w:rPr>
        <w:t>我方在</w:t>
      </w:r>
      <w:r>
        <w:rPr>
          <w:rFonts w:ascii="宋体" w:hAnsi="宋体"/>
          <w:bCs/>
          <w:highlight w:val="none"/>
        </w:rPr>
        <w:t>投标有效期内撤回</w:t>
      </w:r>
      <w:r>
        <w:rPr>
          <w:rFonts w:hint="eastAsia" w:ascii="宋体" w:hAnsi="宋体"/>
          <w:bCs/>
          <w:highlight w:val="none"/>
        </w:rPr>
        <w:t>或修改</w:t>
      </w:r>
      <w:r>
        <w:rPr>
          <w:rFonts w:ascii="宋体" w:hAnsi="宋体"/>
          <w:bCs/>
          <w:highlight w:val="none"/>
        </w:rPr>
        <w:t>投标文件</w:t>
      </w:r>
      <w:r>
        <w:rPr>
          <w:rFonts w:hint="eastAsia" w:ascii="宋体" w:hAnsi="宋体"/>
          <w:bCs/>
          <w:highlight w:val="none"/>
        </w:rPr>
        <w:t>；</w:t>
      </w:r>
    </w:p>
    <w:p w14:paraId="7086C327">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（2）</w:t>
      </w:r>
      <w:r>
        <w:rPr>
          <w:rFonts w:hint="eastAsia" w:ascii="宋体" w:hAnsi="宋体"/>
          <w:highlight w:val="none"/>
        </w:rPr>
        <w:t>我方在接到中标通知书后放弃中标</w:t>
      </w:r>
      <w:r>
        <w:rPr>
          <w:rFonts w:ascii="宋体" w:hAnsi="宋体"/>
          <w:bCs/>
          <w:highlight w:val="none"/>
        </w:rPr>
        <w:t>；</w:t>
      </w:r>
    </w:p>
    <w:p w14:paraId="09BC4110">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（3）我方自</w:t>
      </w:r>
      <w:r>
        <w:rPr>
          <w:rFonts w:ascii="宋体" w:hAnsi="宋体"/>
          <w:bCs/>
          <w:highlight w:val="none"/>
        </w:rPr>
        <w:t>中标通知</w:t>
      </w:r>
      <w:r>
        <w:rPr>
          <w:rFonts w:hint="eastAsia" w:ascii="宋体" w:hAnsi="宋体"/>
          <w:bCs/>
          <w:highlight w:val="none"/>
        </w:rPr>
        <w:t>书发出之日起</w:t>
      </w:r>
      <w:r>
        <w:rPr>
          <w:rFonts w:hint="eastAsia" w:ascii="宋体" w:hAnsi="宋体"/>
          <w:highlight w:val="none"/>
          <w:u w:val="single"/>
        </w:rPr>
        <w:t xml:space="preserve"> 30</w:t>
      </w:r>
      <w:r>
        <w:rPr>
          <w:rFonts w:ascii="宋体" w:hAnsi="宋体"/>
          <w:highlight w:val="none"/>
          <w:u w:val="single"/>
        </w:rPr>
        <w:t xml:space="preserve"> </w:t>
      </w:r>
      <w:r>
        <w:rPr>
          <w:rFonts w:hint="eastAsia" w:ascii="宋体" w:hAnsi="宋体"/>
          <w:highlight w:val="none"/>
        </w:rPr>
        <w:t>天</w:t>
      </w:r>
      <w:r>
        <w:rPr>
          <w:rFonts w:hint="eastAsia" w:ascii="宋体" w:hAnsi="宋体"/>
          <w:bCs/>
          <w:highlight w:val="none"/>
        </w:rPr>
        <w:t>内</w:t>
      </w:r>
      <w:r>
        <w:rPr>
          <w:rFonts w:ascii="宋体" w:hAnsi="宋体"/>
          <w:bCs/>
          <w:highlight w:val="none"/>
        </w:rPr>
        <w:t>拒绝</w:t>
      </w:r>
      <w:r>
        <w:rPr>
          <w:rFonts w:hint="eastAsia" w:ascii="宋体" w:hAnsi="宋体"/>
          <w:bCs/>
          <w:highlight w:val="none"/>
        </w:rPr>
        <w:t>按照你方指定的时间和地点</w:t>
      </w:r>
      <w:r>
        <w:rPr>
          <w:rFonts w:ascii="宋体" w:hAnsi="宋体"/>
          <w:bCs/>
          <w:highlight w:val="none"/>
        </w:rPr>
        <w:t>签订合同</w:t>
      </w:r>
      <w:r>
        <w:rPr>
          <w:rFonts w:hint="eastAsia" w:ascii="宋体" w:hAnsi="宋体"/>
          <w:bCs/>
          <w:highlight w:val="none"/>
        </w:rPr>
        <w:t>及附件；</w:t>
      </w:r>
    </w:p>
    <w:p w14:paraId="1C2FF40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w:t>
      </w:r>
      <w:r>
        <w:rPr>
          <w:rFonts w:ascii="宋体" w:hAnsi="宋体"/>
          <w:bCs/>
          <w:highlight w:val="none"/>
        </w:rPr>
        <w:t>未能</w:t>
      </w:r>
      <w:r>
        <w:rPr>
          <w:rFonts w:hint="eastAsia" w:ascii="宋体" w:hAnsi="宋体"/>
          <w:bCs/>
          <w:highlight w:val="none"/>
        </w:rPr>
        <w:t>按招标文件要求</w:t>
      </w:r>
      <w:r>
        <w:rPr>
          <w:rFonts w:ascii="宋体" w:hAnsi="宋体"/>
          <w:bCs/>
          <w:highlight w:val="none"/>
        </w:rPr>
        <w:t>提交</w:t>
      </w:r>
      <w:r>
        <w:rPr>
          <w:rFonts w:hint="eastAsia" w:ascii="宋体" w:hAnsi="宋体"/>
          <w:bCs/>
          <w:highlight w:val="none"/>
        </w:rPr>
        <w:t>足额</w:t>
      </w:r>
      <w:r>
        <w:rPr>
          <w:rFonts w:ascii="宋体" w:hAnsi="宋体"/>
          <w:bCs/>
          <w:highlight w:val="none"/>
        </w:rPr>
        <w:t>履约</w:t>
      </w:r>
      <w:r>
        <w:rPr>
          <w:rFonts w:hint="eastAsia" w:ascii="宋体" w:hAnsi="宋体"/>
          <w:bCs/>
          <w:highlight w:val="none"/>
        </w:rPr>
        <w:t>担保；</w:t>
      </w:r>
    </w:p>
    <w:p w14:paraId="17434F6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（5）我方在签订合同时提出你方不能接受的附加条件或者更改合同实质性内容的；</w:t>
      </w:r>
    </w:p>
    <w:p w14:paraId="2760227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）我方</w:t>
      </w:r>
      <w:r>
        <w:rPr>
          <w:rFonts w:ascii="宋体" w:hAnsi="宋体"/>
          <w:bCs/>
          <w:highlight w:val="none"/>
        </w:rPr>
        <w:t>资质证书被暂扣或吊销，但仍参与投标的</w:t>
      </w:r>
      <w:r>
        <w:rPr>
          <w:rFonts w:hint="eastAsia" w:ascii="宋体" w:hAnsi="宋体"/>
          <w:bCs/>
          <w:highlight w:val="none"/>
        </w:rPr>
        <w:t>；</w:t>
      </w:r>
    </w:p>
    <w:p w14:paraId="0169FD2A">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7</w:t>
      </w:r>
      <w:r>
        <w:rPr>
          <w:rFonts w:hint="eastAsia" w:ascii="宋体" w:hAnsi="宋体"/>
          <w:bCs/>
          <w:highlight w:val="none"/>
        </w:rPr>
        <w:t>）我方有法律法规或招标文件中规定的可以不予退还投标保证金的其他行为。</w:t>
      </w:r>
    </w:p>
    <w:p w14:paraId="079808AC">
      <w:pPr>
        <w:widowControl w:val="0"/>
        <w:autoSpaceDE w:val="0"/>
        <w:autoSpaceDN w:val="0"/>
        <w:adjustRightInd w:val="0"/>
        <w:snapToGrid w:val="0"/>
        <w:ind w:firstLine="0" w:firstLineChars="0"/>
        <w:jc w:val="both"/>
        <w:rPr>
          <w:rFonts w:ascii="宋体" w:hAnsi="宋体"/>
          <w:bCs/>
          <w:highlight w:val="none"/>
          <w:u w:val="single"/>
        </w:rPr>
      </w:pPr>
      <w:r>
        <w:rPr>
          <w:rFonts w:hint="eastAsia" w:ascii="宋体" w:hAnsi="宋体"/>
          <w:bCs/>
          <w:highlight w:val="none"/>
        </w:rPr>
        <w:t>8、与本投标有关的一切正式往来通讯请发往：</w:t>
      </w:r>
    </w:p>
    <w:p w14:paraId="192FDDCC">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14:paraId="276184A9">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法定代表人或其授权代理人：</w:t>
      </w:r>
      <w:r>
        <w:rPr>
          <w:rFonts w:hint="eastAsia" w:ascii="宋体" w:hAnsi="宋体"/>
          <w:szCs w:val="21"/>
          <w:highlight w:val="none"/>
          <w:u w:val="single"/>
        </w:rPr>
        <w:t xml:space="preserve">             </w:t>
      </w:r>
    </w:p>
    <w:p w14:paraId="1DB3B9A2">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投标人地址：</w:t>
      </w:r>
      <w:r>
        <w:rPr>
          <w:rFonts w:hint="eastAsia" w:ascii="宋体" w:hAnsi="宋体"/>
          <w:szCs w:val="21"/>
          <w:highlight w:val="none"/>
          <w:u w:val="single"/>
        </w:rPr>
        <w:t xml:space="preserve">                           </w:t>
      </w:r>
    </w:p>
    <w:p w14:paraId="18327201">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1C46B38D">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581964D0">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1CC8BD0A">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28E1EA53">
      <w:pPr>
        <w:widowControl w:val="0"/>
        <w:autoSpaceDE w:val="0"/>
        <w:autoSpaceDN w:val="0"/>
        <w:adjustRightInd w:val="0"/>
        <w:snapToGrid w:val="0"/>
        <w:ind w:firstLine="0" w:firstLineChars="0"/>
        <w:jc w:val="left"/>
        <w:outlineLvl w:val="2"/>
        <w:rPr>
          <w:rFonts w:ascii="宋体" w:hAnsi="宋体"/>
          <w:b/>
          <w:sz w:val="28"/>
          <w:szCs w:val="28"/>
          <w:highlight w:val="none"/>
        </w:rPr>
      </w:pPr>
      <w:bookmarkStart w:id="388" w:name="_Toc26393"/>
      <w:bookmarkStart w:id="389" w:name="_Toc1191"/>
      <w:bookmarkStart w:id="390" w:name="_Toc10808"/>
      <w:r>
        <w:rPr>
          <w:rFonts w:hint="eastAsia" w:ascii="宋体" w:hAnsi="宋体"/>
          <w:b/>
          <w:szCs w:val="21"/>
          <w:highlight w:val="none"/>
        </w:rPr>
        <w:t>B2、商务条款总体响应表</w:t>
      </w:r>
      <w:bookmarkEnd w:id="388"/>
      <w:bookmarkEnd w:id="389"/>
      <w:bookmarkEnd w:id="390"/>
    </w:p>
    <w:p w14:paraId="29BC6972">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商务条款总体响应表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4094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51E5BDE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26F8A14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677E87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1D26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5D7ED"/>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59931B1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613E3BB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78DB11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6FB3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1DEA31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6AA5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AD101E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51DFAE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ECCA01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6F1C17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A08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0E484E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6A02B79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630823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35DED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648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4BCFC9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0C4E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3196F8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6A234B8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20EE83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D1022D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A4A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223400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351B015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79FDA1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7A44EE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CBA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B56736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招标文件中未标注“★”或“▲”的商务条款</w:t>
            </w:r>
          </w:p>
        </w:tc>
      </w:tr>
      <w:tr w14:paraId="4C90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DBC725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7FAF10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056A0B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85069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1AB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007194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19234E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0D7ACA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78E0E23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D69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B391EAA">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118C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8659B4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44829FB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C53C2B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AFAF0E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02C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B7FD68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65012D4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A8FBA8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CE9DAD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F8E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2FD71AB">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4BF296E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37DC9A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36A610C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29DBB6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3、投标人必须提供本表，如对招标文件商务条款及合同内容完全接受，则无需填写相关内容。</w:t>
      </w:r>
    </w:p>
    <w:p w14:paraId="2CC5A2BD">
      <w:pPr>
        <w:widowControl w:val="0"/>
        <w:autoSpaceDE w:val="0"/>
        <w:autoSpaceDN w:val="0"/>
        <w:adjustRightInd w:val="0"/>
        <w:snapToGrid w:val="0"/>
        <w:ind w:firstLine="0" w:firstLineChars="0"/>
        <w:jc w:val="left"/>
        <w:rPr>
          <w:rFonts w:ascii="宋体" w:hAnsi="宋体"/>
          <w:szCs w:val="21"/>
          <w:highlight w:val="none"/>
        </w:rPr>
      </w:pPr>
    </w:p>
    <w:p w14:paraId="291CA6F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255993A5">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br w:type="page"/>
      </w:r>
      <w:bookmarkStart w:id="391" w:name="_Toc14685"/>
      <w:bookmarkStart w:id="392" w:name="_Toc9161"/>
      <w:bookmarkStart w:id="393" w:name="_Toc13833"/>
      <w:r>
        <w:rPr>
          <w:rFonts w:hint="eastAsia" w:ascii="宋体" w:hAnsi="宋体"/>
          <w:b/>
          <w:szCs w:val="21"/>
          <w:highlight w:val="none"/>
        </w:rPr>
        <w:t>B3、</w:t>
      </w:r>
      <w:r>
        <w:rPr>
          <w:rFonts w:hint="eastAsia" w:ascii="宋体" w:hAnsi="宋体"/>
          <w:b/>
          <w:highlight w:val="none"/>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lang w:eastAsia="zh-CN"/>
        </w:rPr>
        <w:t>，</w:t>
      </w:r>
      <w:r>
        <w:rPr>
          <w:rFonts w:hint="eastAsia" w:ascii="宋体" w:hAnsi="宋体"/>
          <w:b/>
          <w:szCs w:val="21"/>
          <w:highlight w:val="none"/>
          <w:lang w:val="en-US" w:eastAsia="zh-CN"/>
        </w:rPr>
        <w:t>根据投标人资格要求进行承诺</w:t>
      </w:r>
      <w:r>
        <w:rPr>
          <w:rFonts w:hint="eastAsia" w:ascii="宋体" w:hAnsi="宋体"/>
          <w:b/>
          <w:szCs w:val="21"/>
          <w:highlight w:val="none"/>
        </w:rPr>
        <w:t>）</w:t>
      </w:r>
      <w:bookmarkEnd w:id="391"/>
      <w:bookmarkEnd w:id="392"/>
      <w:bookmarkEnd w:id="393"/>
    </w:p>
    <w:p w14:paraId="2461823C">
      <w:pPr>
        <w:widowControl w:val="0"/>
        <w:autoSpaceDE w:val="0"/>
        <w:autoSpaceDN w:val="0"/>
        <w:adjustRightInd w:val="0"/>
        <w:snapToGrid w:val="0"/>
        <w:ind w:firstLine="0" w:firstLineChars="0"/>
        <w:jc w:val="left"/>
        <w:rPr>
          <w:rFonts w:ascii="宋体" w:hAnsi="宋体"/>
          <w:b/>
          <w:bCs/>
          <w:sz w:val="28"/>
          <w:szCs w:val="28"/>
          <w:highlight w:val="none"/>
        </w:rPr>
      </w:pPr>
    </w:p>
    <w:p w14:paraId="750E0855">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20D358D9">
      <w:pPr>
        <w:widowControl w:val="0"/>
        <w:autoSpaceDE w:val="0"/>
        <w:autoSpaceDN w:val="0"/>
        <w:adjustRightInd w:val="0"/>
        <w:snapToGrid w:val="0"/>
        <w:ind w:firstLine="0" w:firstLineChars="0"/>
        <w:jc w:val="left"/>
        <w:rPr>
          <w:rFonts w:ascii="宋体" w:hAnsi="宋体"/>
          <w:szCs w:val="21"/>
          <w:highlight w:val="none"/>
        </w:rPr>
      </w:pPr>
    </w:p>
    <w:p w14:paraId="601EEDB6">
      <w:pPr>
        <w:widowControl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w:t>
      </w:r>
      <w:r>
        <w:rPr>
          <w:rFonts w:hint="eastAsia" w:ascii="宋体" w:hAnsi="宋体"/>
          <w:szCs w:val="21"/>
          <w:highlight w:val="none"/>
          <w:u w:val="single"/>
        </w:rPr>
        <w:t xml:space="preserve">  （招标人） </w:t>
      </w:r>
    </w:p>
    <w:p w14:paraId="4ABA0FAE">
      <w:pPr>
        <w:widowControl w:val="0"/>
        <w:autoSpaceDE w:val="0"/>
        <w:autoSpaceDN w:val="0"/>
        <w:adjustRightInd w:val="0"/>
        <w:snapToGrid w:val="0"/>
        <w:ind w:firstLine="420" w:firstLineChars="0"/>
        <w:jc w:val="left"/>
        <w:rPr>
          <w:rFonts w:hint="eastAsia" w:ascii="宋体" w:hAnsi="宋体"/>
          <w:szCs w:val="21"/>
          <w:highlight w:val="none"/>
          <w:lang w:val="en-US" w:eastAsia="zh-CN"/>
        </w:rPr>
      </w:pPr>
    </w:p>
    <w:p w14:paraId="077B6AAB">
      <w:pPr>
        <w:widowControl w:val="0"/>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w:t>
      </w:r>
      <w:r>
        <w:rPr>
          <w:rFonts w:hint="eastAsia" w:ascii="宋体" w:hAnsi="宋体"/>
          <w:szCs w:val="21"/>
          <w:highlight w:val="none"/>
          <w:u w:val="single"/>
        </w:rPr>
        <w:t>（投标人名称）</w:t>
      </w:r>
      <w:r>
        <w:rPr>
          <w:rFonts w:hint="eastAsia" w:ascii="宋体" w:hAnsi="宋体"/>
          <w:szCs w:val="21"/>
          <w:highlight w:val="none"/>
          <w:lang w:val="en-US" w:eastAsia="zh-CN"/>
        </w:rPr>
        <w:t xml:space="preserve"> 参与贵司</w:t>
      </w:r>
      <w:r>
        <w:rPr>
          <w:rFonts w:hint="eastAsia" w:ascii="宋体" w:hAnsi="宋体"/>
          <w:szCs w:val="21"/>
          <w:highlight w:val="none"/>
          <w:u w:val="single"/>
          <w:lang w:val="en-US" w:eastAsia="zh-CN"/>
        </w:rPr>
        <w:t xml:space="preserve">xx          </w:t>
      </w:r>
      <w:r>
        <w:rPr>
          <w:rFonts w:hint="eastAsia" w:ascii="宋体" w:hAnsi="宋体"/>
          <w:szCs w:val="21"/>
          <w:highlight w:val="none"/>
          <w:lang w:val="en-US" w:eastAsia="zh-CN"/>
        </w:rPr>
        <w:t>（项目编号：xx）项目投标，根据招标文件要求，我司慎重承诺如下：</w:t>
      </w:r>
    </w:p>
    <w:p w14:paraId="36CAA877">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我司具有良好的商业信誉和健全的财务会计制度；</w:t>
      </w:r>
    </w:p>
    <w:p w14:paraId="079BDC89">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lang w:eastAsia="zh-CN"/>
        </w:rPr>
      </w:pPr>
      <w:r>
        <w:rPr>
          <w:rFonts w:hint="eastAsia" w:ascii="宋体" w:hAnsi="宋体"/>
          <w:szCs w:val="21"/>
          <w:highlight w:val="none"/>
          <w:lang w:val="en-US" w:eastAsia="zh-CN"/>
        </w:rPr>
        <w:t xml:space="preserve">我司具有依法缴纳税收和社会保障资金的良好记录； </w:t>
      </w:r>
    </w:p>
    <w:p w14:paraId="61CAC41E">
      <w:pPr>
        <w:widowControl w:val="0"/>
        <w:numPr>
          <w:ilvl w:val="0"/>
          <w:numId w:val="9"/>
        </w:numPr>
        <w:autoSpaceDE w:val="0"/>
        <w:autoSpaceDN w:val="0"/>
        <w:adjustRightInd w:val="0"/>
        <w:snapToGrid w:val="0"/>
        <w:ind w:left="0" w:firstLine="420" w:firstLineChars="0"/>
        <w:jc w:val="left"/>
        <w:rPr>
          <w:rFonts w:hint="eastAsia" w:ascii="宋体" w:hAnsi="宋体"/>
          <w:szCs w:val="21"/>
          <w:highlight w:val="none"/>
        </w:rPr>
      </w:pPr>
      <w:r>
        <w:rPr>
          <w:rFonts w:hint="eastAsia" w:ascii="宋体" w:hAnsi="宋体"/>
          <w:szCs w:val="21"/>
          <w:highlight w:val="none"/>
          <w:lang w:val="en-US" w:eastAsia="zh-CN"/>
        </w:rPr>
        <w:t>我司具有履行合同所必须的设备和专业技术能力</w:t>
      </w:r>
      <w:r>
        <w:rPr>
          <w:rFonts w:hint="eastAsia" w:ascii="宋体" w:hAnsi="宋体"/>
          <w:szCs w:val="21"/>
          <w:highlight w:val="none"/>
          <w:lang w:eastAsia="zh-CN"/>
        </w:rPr>
        <w:t>；</w:t>
      </w:r>
    </w:p>
    <w:p w14:paraId="376B3F2E">
      <w:pPr>
        <w:widowControl w:val="0"/>
        <w:numPr>
          <w:ilvl w:val="0"/>
          <w:numId w:val="9"/>
        </w:numPr>
        <w:autoSpaceDE w:val="0"/>
        <w:autoSpaceDN w:val="0"/>
        <w:adjustRightInd w:val="0"/>
        <w:snapToGrid w:val="0"/>
        <w:ind w:left="0" w:firstLine="420" w:firstLineChars="0"/>
        <w:jc w:val="left"/>
        <w:rPr>
          <w:rFonts w:ascii="宋体" w:hAnsi="宋体"/>
          <w:szCs w:val="21"/>
          <w:highlight w:val="none"/>
        </w:rPr>
      </w:pPr>
      <w:r>
        <w:rPr>
          <w:rFonts w:hint="eastAsia" w:ascii="宋体" w:hAnsi="宋体"/>
          <w:szCs w:val="21"/>
          <w:highlight w:val="none"/>
          <w:lang w:val="en-US" w:eastAsia="zh-CN"/>
        </w:rPr>
        <w:t>我司近</w:t>
      </w:r>
      <w:r>
        <w:rPr>
          <w:rFonts w:hint="eastAsia" w:ascii="宋体" w:hAnsi="宋体"/>
          <w:szCs w:val="21"/>
          <w:highlight w:val="none"/>
        </w:rPr>
        <w:t>三年内无作假无违反招投标规定的行为、无严重违约、无发生重大安全事故。如有违反</w:t>
      </w:r>
      <w:r>
        <w:rPr>
          <w:rFonts w:hint="eastAsia" w:ascii="宋体" w:hAnsi="宋体"/>
          <w:szCs w:val="21"/>
          <w:highlight w:val="none"/>
          <w:lang w:val="en-US" w:eastAsia="zh-CN"/>
        </w:rPr>
        <w:t>本</w:t>
      </w:r>
      <w:r>
        <w:rPr>
          <w:rFonts w:hint="eastAsia" w:ascii="宋体" w:hAnsi="宋体"/>
          <w:szCs w:val="21"/>
          <w:highlight w:val="none"/>
        </w:rPr>
        <w:t>承诺书的内容，则取消投标资格；已中标的，取消中标资格。</w:t>
      </w:r>
    </w:p>
    <w:p w14:paraId="0F0722D7">
      <w:pPr>
        <w:widowControl w:val="0"/>
        <w:numPr>
          <w:ilvl w:val="0"/>
          <w:numId w:val="9"/>
        </w:numPr>
        <w:autoSpaceDE w:val="0"/>
        <w:autoSpaceDN w:val="0"/>
        <w:adjustRightInd w:val="0"/>
        <w:snapToGrid w:val="0"/>
        <w:ind w:left="0" w:firstLine="420" w:firstLineChars="0"/>
        <w:jc w:val="left"/>
        <w:rPr>
          <w:rFonts w:ascii="宋体" w:hAnsi="宋体"/>
          <w:szCs w:val="21"/>
          <w:highlight w:val="none"/>
        </w:rPr>
      </w:pPr>
      <w:r>
        <w:rPr>
          <w:rFonts w:ascii="宋体" w:hAnsi="宋体"/>
          <w:szCs w:val="21"/>
          <w:highlight w:val="none"/>
        </w:rPr>
        <w:t>……</w:t>
      </w:r>
    </w:p>
    <w:p w14:paraId="5556EFE1">
      <w:pPr>
        <w:widowControl w:val="0"/>
        <w:autoSpaceDE w:val="0"/>
        <w:autoSpaceDN w:val="0"/>
        <w:adjustRightInd w:val="0"/>
        <w:snapToGrid w:val="0"/>
        <w:ind w:firstLine="420" w:firstLineChars="200"/>
        <w:jc w:val="left"/>
        <w:rPr>
          <w:rFonts w:hint="eastAsia" w:ascii="宋体" w:hAnsi="宋体"/>
          <w:szCs w:val="21"/>
          <w:highlight w:val="none"/>
        </w:rPr>
      </w:pPr>
    </w:p>
    <w:p w14:paraId="00E6EF07">
      <w:pPr>
        <w:widowControl w:val="0"/>
        <w:autoSpaceDE w:val="0"/>
        <w:autoSpaceDN w:val="0"/>
        <w:adjustRightInd w:val="0"/>
        <w:snapToGrid w:val="0"/>
        <w:ind w:firstLine="420" w:firstLineChars="200"/>
        <w:jc w:val="left"/>
        <w:rPr>
          <w:rFonts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以上承诺如有虚假，你方有权取消我方中标资格，不予退还我方的投标保证金，我方同意给你方造成的损失予以赔偿。</w:t>
      </w:r>
    </w:p>
    <w:p w14:paraId="549C0218">
      <w:pPr>
        <w:widowControl w:val="0"/>
        <w:autoSpaceDE w:val="0"/>
        <w:autoSpaceDN w:val="0"/>
        <w:adjustRightInd w:val="0"/>
        <w:snapToGrid w:val="0"/>
        <w:ind w:firstLine="0" w:firstLineChars="0"/>
        <w:jc w:val="left"/>
        <w:rPr>
          <w:rFonts w:ascii="宋体" w:hAnsi="宋体"/>
          <w:b/>
          <w:szCs w:val="21"/>
          <w:highlight w:val="none"/>
        </w:rPr>
      </w:pPr>
    </w:p>
    <w:p w14:paraId="045029CD">
      <w:pPr>
        <w:widowControl w:val="0"/>
        <w:autoSpaceDE w:val="0"/>
        <w:autoSpaceDN w:val="0"/>
        <w:adjustRightInd w:val="0"/>
        <w:snapToGrid w:val="0"/>
        <w:ind w:firstLine="0" w:firstLineChars="0"/>
        <w:jc w:val="left"/>
        <w:rPr>
          <w:rFonts w:ascii="宋体" w:hAnsi="宋体"/>
          <w:b/>
          <w:szCs w:val="21"/>
          <w:highlight w:val="none"/>
        </w:rPr>
      </w:pPr>
    </w:p>
    <w:p w14:paraId="7EDDF5B4">
      <w:pPr>
        <w:widowControl w:val="0"/>
        <w:autoSpaceDE w:val="0"/>
        <w:autoSpaceDN w:val="0"/>
        <w:adjustRightInd w:val="0"/>
        <w:snapToGrid w:val="0"/>
        <w:ind w:firstLine="0" w:firstLineChars="0"/>
        <w:jc w:val="left"/>
        <w:rPr>
          <w:rFonts w:ascii="宋体" w:hAnsi="宋体"/>
          <w:b/>
          <w:szCs w:val="21"/>
          <w:highlight w:val="none"/>
        </w:rPr>
      </w:pPr>
    </w:p>
    <w:p w14:paraId="135D004C">
      <w:pPr>
        <w:widowControl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4C2A5215">
      <w:pPr>
        <w:widowControl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6C8DF3AD">
      <w:pPr>
        <w:ind w:left="0" w:firstLine="0" w:firstLineChars="0"/>
        <w:rPr>
          <w:rFonts w:hint="eastAsia" w:ascii="宋体" w:hAnsi="宋体"/>
          <w:b/>
          <w:szCs w:val="21"/>
          <w:highlight w:val="none"/>
        </w:rPr>
      </w:pPr>
      <w:r>
        <w:rPr>
          <w:rFonts w:hint="eastAsia" w:ascii="宋体" w:hAnsi="宋体"/>
          <w:b/>
          <w:szCs w:val="21"/>
          <w:highlight w:val="none"/>
        </w:rPr>
        <w:br w:type="page"/>
      </w:r>
      <w:bookmarkStart w:id="394" w:name="_Toc29190"/>
      <w:bookmarkStart w:id="395" w:name="_Toc12065"/>
      <w:bookmarkStart w:id="396" w:name="_Toc25768"/>
    </w:p>
    <w:p w14:paraId="0E6EBA4F">
      <w:pPr>
        <w:widowControl w:val="0"/>
        <w:autoSpaceDE w:val="0"/>
        <w:autoSpaceDN w:val="0"/>
        <w:adjustRightInd w:val="0"/>
        <w:snapToGrid w:val="0"/>
        <w:ind w:firstLine="0" w:firstLineChars="0"/>
        <w:jc w:val="left"/>
        <w:outlineLvl w:val="2"/>
        <w:rPr>
          <w:rFonts w:ascii="宋体" w:hAnsi="宋体" w:eastAsia="宋体"/>
          <w:b/>
          <w:highlight w:val="none"/>
          <w:lang w:val="en-US" w:eastAsia="zh-CN"/>
        </w:rPr>
      </w:pPr>
      <w:r>
        <w:rPr>
          <w:rFonts w:hint="eastAsia" w:ascii="宋体" w:hAnsi="宋体"/>
          <w:b/>
          <w:highlight w:val="none"/>
        </w:rPr>
        <w:t>B</w:t>
      </w:r>
      <w:r>
        <w:rPr>
          <w:rFonts w:hint="eastAsia" w:ascii="宋体" w:hAnsi="宋体"/>
          <w:b/>
          <w:highlight w:val="none"/>
          <w:lang w:val="en-US" w:eastAsia="zh-CN"/>
        </w:rPr>
        <w:t>4</w:t>
      </w:r>
      <w:r>
        <w:rPr>
          <w:rFonts w:hint="eastAsia" w:ascii="宋体" w:hAnsi="宋体"/>
          <w:b/>
          <w:highlight w:val="none"/>
        </w:rPr>
        <w:t>、</w:t>
      </w:r>
      <w:r>
        <w:rPr>
          <w:rFonts w:hint="eastAsia" w:ascii="宋体" w:hAnsi="宋体"/>
          <w:b/>
          <w:highlight w:val="none"/>
          <w:lang w:val="en-US" w:eastAsia="zh-CN"/>
        </w:rPr>
        <w:t>投标人同类项目业绩情况</w:t>
      </w:r>
    </w:p>
    <w:p w14:paraId="778DF74B">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业绩一览表</w:t>
      </w:r>
    </w:p>
    <w:p w14:paraId="6FE75C0F">
      <w:pPr>
        <w:widowControl w:val="0"/>
        <w:autoSpaceDE w:val="0"/>
        <w:autoSpaceDN w:val="0"/>
        <w:adjustRightInd w:val="0"/>
        <w:snapToGrid w:val="0"/>
        <w:ind w:firstLine="0" w:firstLineChars="0"/>
        <w:jc w:val="left"/>
        <w:rPr>
          <w:rFonts w:ascii="宋体" w:hAnsi="宋体"/>
          <w:szCs w:val="21"/>
          <w:highlight w:val="none"/>
        </w:rPr>
      </w:pPr>
    </w:p>
    <w:p w14:paraId="0C8DA1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（招标人）</w:t>
      </w:r>
    </w:p>
    <w:p w14:paraId="5015277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1"/>
        <w:gridCol w:w="1095"/>
        <w:gridCol w:w="1098"/>
      </w:tblGrid>
      <w:tr w14:paraId="4636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vAlign w:val="center"/>
          </w:tcPr>
          <w:p w14:paraId="3E868CD1">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vAlign w:val="center"/>
          </w:tcPr>
          <w:p w14:paraId="161A57D2">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合同名称</w:t>
            </w:r>
          </w:p>
        </w:tc>
        <w:tc>
          <w:tcPr>
            <w:tcW w:w="1361" w:type="dxa"/>
            <w:shd w:val="clear" w:color="auto" w:fill="D9E2F3"/>
            <w:vAlign w:val="center"/>
          </w:tcPr>
          <w:p w14:paraId="038F8C0F">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业主方</w:t>
            </w:r>
          </w:p>
        </w:tc>
        <w:tc>
          <w:tcPr>
            <w:tcW w:w="1095" w:type="dxa"/>
            <w:shd w:val="clear" w:color="auto" w:fill="D9E2F3"/>
            <w:vAlign w:val="center"/>
          </w:tcPr>
          <w:p w14:paraId="4450482E">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合同签</w:t>
            </w:r>
          </w:p>
          <w:p w14:paraId="1A3235EF">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订时间</w:t>
            </w:r>
          </w:p>
        </w:tc>
        <w:tc>
          <w:tcPr>
            <w:tcW w:w="1098" w:type="dxa"/>
            <w:shd w:val="clear" w:color="auto" w:fill="D9E2F3"/>
            <w:vAlign w:val="center"/>
          </w:tcPr>
          <w:p w14:paraId="2C70F0E3">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w:t>
            </w:r>
          </w:p>
          <w:p w14:paraId="2C0DE521">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金额</w:t>
            </w:r>
          </w:p>
        </w:tc>
      </w:tr>
      <w:tr w14:paraId="0D3D6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BB999DC">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1</w:t>
            </w:r>
          </w:p>
        </w:tc>
        <w:tc>
          <w:tcPr>
            <w:tcW w:w="1643" w:type="dxa"/>
            <w:vAlign w:val="center"/>
          </w:tcPr>
          <w:p w14:paraId="636673B8">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1677B931">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454C06B7">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50371B72">
            <w:pPr>
              <w:widowControl w:val="0"/>
              <w:autoSpaceDE w:val="0"/>
              <w:autoSpaceDN w:val="0"/>
              <w:adjustRightInd w:val="0"/>
              <w:snapToGrid w:val="0"/>
              <w:ind w:firstLine="0" w:firstLineChars="0"/>
              <w:jc w:val="left"/>
              <w:rPr>
                <w:rFonts w:ascii="宋体" w:hAnsi="宋体"/>
                <w:sz w:val="18"/>
                <w:szCs w:val="21"/>
                <w:highlight w:val="none"/>
              </w:rPr>
            </w:pPr>
          </w:p>
        </w:tc>
      </w:tr>
      <w:tr w14:paraId="3B8DC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316DA4E">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2</w:t>
            </w:r>
          </w:p>
        </w:tc>
        <w:tc>
          <w:tcPr>
            <w:tcW w:w="1643" w:type="dxa"/>
            <w:vAlign w:val="center"/>
          </w:tcPr>
          <w:p w14:paraId="6035B264">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15FF4847">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8290C85">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47B625F2">
            <w:pPr>
              <w:widowControl w:val="0"/>
              <w:autoSpaceDE w:val="0"/>
              <w:autoSpaceDN w:val="0"/>
              <w:adjustRightInd w:val="0"/>
              <w:snapToGrid w:val="0"/>
              <w:ind w:firstLine="0" w:firstLineChars="0"/>
              <w:jc w:val="left"/>
              <w:rPr>
                <w:rFonts w:ascii="宋体" w:hAnsi="宋体"/>
                <w:sz w:val="18"/>
                <w:szCs w:val="21"/>
                <w:highlight w:val="none"/>
              </w:rPr>
            </w:pPr>
          </w:p>
        </w:tc>
      </w:tr>
      <w:tr w14:paraId="2981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E7D22B5">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3</w:t>
            </w:r>
          </w:p>
        </w:tc>
        <w:tc>
          <w:tcPr>
            <w:tcW w:w="1643" w:type="dxa"/>
            <w:vAlign w:val="center"/>
          </w:tcPr>
          <w:p w14:paraId="65478F03">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16926757">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6B8674C">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53469FB9">
            <w:pPr>
              <w:widowControl w:val="0"/>
              <w:autoSpaceDE w:val="0"/>
              <w:autoSpaceDN w:val="0"/>
              <w:adjustRightInd w:val="0"/>
              <w:snapToGrid w:val="0"/>
              <w:ind w:firstLine="0" w:firstLineChars="0"/>
              <w:jc w:val="left"/>
              <w:rPr>
                <w:rFonts w:ascii="宋体" w:hAnsi="宋体"/>
                <w:sz w:val="18"/>
                <w:szCs w:val="21"/>
                <w:highlight w:val="none"/>
              </w:rPr>
            </w:pPr>
          </w:p>
        </w:tc>
      </w:tr>
      <w:tr w14:paraId="31063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vAlign w:val="center"/>
          </w:tcPr>
          <w:p w14:paraId="441BE1AC">
            <w:pPr>
              <w:widowControl w:val="0"/>
              <w:autoSpaceDE w:val="0"/>
              <w:autoSpaceDN w:val="0"/>
              <w:adjustRightInd w:val="0"/>
              <w:snapToGrid w:val="0"/>
              <w:ind w:firstLine="0" w:firstLineChars="0"/>
              <w:jc w:val="left"/>
              <w:rPr>
                <w:rFonts w:ascii="宋体" w:hAnsi="宋体"/>
                <w:sz w:val="18"/>
                <w:szCs w:val="21"/>
                <w:highlight w:val="none"/>
              </w:rPr>
            </w:pPr>
          </w:p>
        </w:tc>
        <w:tc>
          <w:tcPr>
            <w:tcW w:w="1643" w:type="dxa"/>
            <w:vAlign w:val="center"/>
          </w:tcPr>
          <w:p w14:paraId="041F10FA">
            <w:pPr>
              <w:widowControl w:val="0"/>
              <w:autoSpaceDE w:val="0"/>
              <w:autoSpaceDN w:val="0"/>
              <w:adjustRightInd w:val="0"/>
              <w:snapToGrid w:val="0"/>
              <w:ind w:firstLine="0" w:firstLineChars="0"/>
              <w:jc w:val="left"/>
              <w:rPr>
                <w:rFonts w:ascii="宋体" w:hAnsi="宋体"/>
                <w:sz w:val="18"/>
                <w:szCs w:val="21"/>
                <w:highlight w:val="none"/>
              </w:rPr>
            </w:pPr>
            <w:r>
              <w:rPr>
                <w:rFonts w:ascii="宋体" w:hAnsi="宋体"/>
                <w:sz w:val="18"/>
                <w:szCs w:val="21"/>
                <w:highlight w:val="none"/>
              </w:rPr>
              <w:t>……</w:t>
            </w:r>
          </w:p>
        </w:tc>
        <w:tc>
          <w:tcPr>
            <w:tcW w:w="1361" w:type="dxa"/>
            <w:vAlign w:val="center"/>
          </w:tcPr>
          <w:p w14:paraId="6CC3436D">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6F539CFE">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1FDAEF88">
            <w:pPr>
              <w:widowControl w:val="0"/>
              <w:autoSpaceDE w:val="0"/>
              <w:autoSpaceDN w:val="0"/>
              <w:adjustRightInd w:val="0"/>
              <w:snapToGrid w:val="0"/>
              <w:ind w:firstLine="0" w:firstLineChars="0"/>
              <w:jc w:val="left"/>
              <w:rPr>
                <w:rFonts w:ascii="宋体" w:hAnsi="宋体"/>
                <w:sz w:val="18"/>
                <w:szCs w:val="21"/>
                <w:highlight w:val="none"/>
              </w:rPr>
            </w:pPr>
          </w:p>
        </w:tc>
      </w:tr>
    </w:tbl>
    <w:p w14:paraId="20A4200C">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5CE558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1.投标人根据招标文件业绩部分评分标准仔细填写，已供评标委员会查验；</w:t>
      </w:r>
    </w:p>
    <w:p w14:paraId="5EA022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2.上述业绩必须为真实有效，如发现业绩不符，将取消相应资格；</w:t>
      </w:r>
    </w:p>
    <w:p w14:paraId="7C7A0F22">
      <w:pPr>
        <w:widowControl w:val="0"/>
        <w:autoSpaceDE w:val="0"/>
        <w:autoSpaceDN w:val="0"/>
        <w:adjustRightInd w:val="0"/>
        <w:snapToGrid w:val="0"/>
        <w:ind w:firstLine="0" w:firstLineChars="0"/>
        <w:jc w:val="left"/>
        <w:outlineLvl w:val="9"/>
        <w:rPr>
          <w:rFonts w:hint="eastAsia" w:ascii="宋体" w:hAnsi="宋体"/>
          <w:szCs w:val="21"/>
          <w:highlight w:val="none"/>
        </w:rPr>
      </w:pPr>
      <w:r>
        <w:rPr>
          <w:rFonts w:hint="eastAsia" w:ascii="宋体" w:hAnsi="宋体"/>
          <w:szCs w:val="21"/>
          <w:highlight w:val="none"/>
        </w:rPr>
        <w:t>3.证明材料附在本表后即可。</w:t>
      </w:r>
    </w:p>
    <w:p w14:paraId="7D173179">
      <w:pPr>
        <w:rPr>
          <w:rFonts w:hint="eastAsia" w:ascii="宋体" w:hAnsi="宋体"/>
          <w:szCs w:val="21"/>
          <w:highlight w:val="none"/>
        </w:rPr>
      </w:pPr>
      <w:r>
        <w:rPr>
          <w:rFonts w:hint="eastAsia" w:ascii="宋体" w:hAnsi="宋体"/>
          <w:szCs w:val="21"/>
          <w:highlight w:val="none"/>
        </w:rPr>
        <w:br w:type="page"/>
      </w:r>
    </w:p>
    <w:p w14:paraId="1A21D6C2">
      <w:pPr>
        <w:widowControl w:val="0"/>
        <w:autoSpaceDE w:val="0"/>
        <w:autoSpaceDN w:val="0"/>
        <w:adjustRightInd w:val="0"/>
        <w:snapToGrid w:val="0"/>
        <w:ind w:firstLine="0" w:firstLineChars="0"/>
        <w:jc w:val="left"/>
        <w:outlineLvl w:val="9"/>
        <w:rPr>
          <w:rFonts w:hint="eastAsia" w:ascii="宋体" w:hAnsi="宋体"/>
          <w:szCs w:val="21"/>
          <w:highlight w:val="none"/>
        </w:rPr>
      </w:pPr>
      <w:r>
        <w:rPr>
          <w:rFonts w:hint="eastAsia" w:ascii="宋体" w:hAnsi="宋体"/>
          <w:b/>
          <w:highlight w:val="none"/>
        </w:rPr>
        <w:t>B</w:t>
      </w:r>
      <w:r>
        <w:rPr>
          <w:rFonts w:hint="eastAsia" w:ascii="宋体" w:hAnsi="宋体"/>
          <w:b/>
          <w:highlight w:val="none"/>
          <w:lang w:val="en-US" w:eastAsia="zh-CN"/>
        </w:rPr>
        <w:t>5</w:t>
      </w:r>
      <w:r>
        <w:rPr>
          <w:rFonts w:hint="eastAsia" w:ascii="宋体" w:hAnsi="宋体"/>
          <w:b/>
          <w:highlight w:val="none"/>
        </w:rPr>
        <w:t>、</w:t>
      </w:r>
      <w:r>
        <w:rPr>
          <w:rFonts w:hint="eastAsia" w:ascii="宋体" w:hAnsi="宋体"/>
          <w:b/>
          <w:highlight w:val="none"/>
          <w:lang w:val="en-US" w:eastAsia="zh-CN"/>
        </w:rPr>
        <w:t>诚信</w:t>
      </w:r>
    </w:p>
    <w:p w14:paraId="6CFCFF37">
      <w:pPr>
        <w:widowControl w:val="0"/>
        <w:autoSpaceDE w:val="0"/>
        <w:autoSpaceDN w:val="0"/>
        <w:adjustRightInd w:val="0"/>
        <w:snapToGrid w:val="0"/>
        <w:ind w:firstLine="0" w:firstLineChars="0"/>
        <w:jc w:val="left"/>
        <w:outlineLvl w:val="9"/>
        <w:rPr>
          <w:rFonts w:hint="eastAsia" w:ascii="宋体" w:hAnsi="宋体"/>
          <w:b/>
          <w:highlight w:val="none"/>
        </w:rPr>
      </w:pPr>
    </w:p>
    <w:p w14:paraId="72F53649">
      <w:pPr>
        <w:widowControl w:val="0"/>
        <w:autoSpaceDE w:val="0"/>
        <w:autoSpaceDN w:val="0"/>
        <w:adjustRightInd w:val="0"/>
        <w:snapToGrid w:val="0"/>
        <w:ind w:firstLine="0" w:firstLineChars="0"/>
        <w:jc w:val="left"/>
        <w:outlineLvl w:val="9"/>
        <w:rPr>
          <w:rFonts w:hint="eastAsia" w:ascii="宋体" w:hAnsi="宋体"/>
          <w:b/>
          <w:highlight w:val="none"/>
        </w:rPr>
      </w:pPr>
    </w:p>
    <w:p w14:paraId="4AFF2F1F">
      <w:pPr>
        <w:widowControl w:val="0"/>
        <w:autoSpaceDE w:val="0"/>
        <w:autoSpaceDN w:val="0"/>
        <w:adjustRightInd w:val="0"/>
        <w:snapToGrid w:val="0"/>
        <w:ind w:firstLine="0" w:firstLineChars="0"/>
        <w:jc w:val="left"/>
        <w:outlineLvl w:val="9"/>
        <w:rPr>
          <w:rFonts w:hint="eastAsia" w:ascii="宋体" w:hAnsi="宋体"/>
          <w:b/>
          <w:highlight w:val="none"/>
        </w:rPr>
      </w:pPr>
    </w:p>
    <w:p w14:paraId="2A5B6473">
      <w:pPr>
        <w:widowControl w:val="0"/>
        <w:autoSpaceDE w:val="0"/>
        <w:autoSpaceDN w:val="0"/>
        <w:adjustRightInd w:val="0"/>
        <w:snapToGrid w:val="0"/>
        <w:ind w:firstLine="0" w:firstLineChars="0"/>
        <w:jc w:val="left"/>
        <w:outlineLvl w:val="9"/>
        <w:rPr>
          <w:rFonts w:hint="eastAsia" w:ascii="宋体" w:hAnsi="宋体"/>
          <w:b/>
          <w:highlight w:val="none"/>
        </w:rPr>
      </w:pPr>
    </w:p>
    <w:p w14:paraId="65E9B1CF">
      <w:pPr>
        <w:widowControl w:val="0"/>
        <w:autoSpaceDE w:val="0"/>
        <w:autoSpaceDN w:val="0"/>
        <w:adjustRightInd w:val="0"/>
        <w:snapToGrid w:val="0"/>
        <w:ind w:firstLine="0" w:firstLineChars="0"/>
        <w:jc w:val="left"/>
        <w:outlineLvl w:val="9"/>
        <w:rPr>
          <w:rFonts w:hint="eastAsia" w:ascii="宋体" w:hAnsi="宋体"/>
          <w:b/>
          <w:highlight w:val="none"/>
        </w:rPr>
      </w:pPr>
    </w:p>
    <w:p w14:paraId="25E6D39D">
      <w:pPr>
        <w:widowControl w:val="0"/>
        <w:autoSpaceDE w:val="0"/>
        <w:autoSpaceDN w:val="0"/>
        <w:adjustRightInd w:val="0"/>
        <w:snapToGrid w:val="0"/>
        <w:ind w:firstLine="0" w:firstLineChars="0"/>
        <w:jc w:val="left"/>
        <w:outlineLvl w:val="9"/>
        <w:rPr>
          <w:rFonts w:hint="eastAsia" w:ascii="宋体" w:hAnsi="宋体"/>
          <w:b/>
          <w:highlight w:val="none"/>
        </w:rPr>
      </w:pPr>
    </w:p>
    <w:p w14:paraId="23D3D25F">
      <w:pPr>
        <w:widowControl w:val="0"/>
        <w:autoSpaceDE w:val="0"/>
        <w:autoSpaceDN w:val="0"/>
        <w:adjustRightInd w:val="0"/>
        <w:snapToGrid w:val="0"/>
        <w:ind w:firstLine="0" w:firstLineChars="0"/>
        <w:jc w:val="left"/>
        <w:outlineLvl w:val="9"/>
        <w:rPr>
          <w:rFonts w:hint="eastAsia" w:ascii="宋体" w:hAnsi="宋体"/>
          <w:b/>
          <w:highlight w:val="none"/>
        </w:rPr>
      </w:pPr>
    </w:p>
    <w:p w14:paraId="60C559CC">
      <w:pPr>
        <w:widowControl w:val="0"/>
        <w:autoSpaceDE w:val="0"/>
        <w:autoSpaceDN w:val="0"/>
        <w:adjustRightInd w:val="0"/>
        <w:snapToGrid w:val="0"/>
        <w:ind w:firstLine="0" w:firstLineChars="0"/>
        <w:jc w:val="left"/>
        <w:outlineLvl w:val="9"/>
        <w:rPr>
          <w:rFonts w:hint="eastAsia" w:ascii="宋体" w:hAnsi="宋体"/>
          <w:b/>
          <w:highlight w:val="none"/>
        </w:rPr>
      </w:pPr>
    </w:p>
    <w:p w14:paraId="2E5E1D4B">
      <w:pPr>
        <w:widowControl w:val="0"/>
        <w:autoSpaceDE w:val="0"/>
        <w:autoSpaceDN w:val="0"/>
        <w:adjustRightInd w:val="0"/>
        <w:snapToGrid w:val="0"/>
        <w:ind w:firstLine="0" w:firstLineChars="0"/>
        <w:jc w:val="left"/>
        <w:outlineLvl w:val="9"/>
        <w:rPr>
          <w:rFonts w:hint="eastAsia" w:ascii="宋体" w:hAnsi="宋体"/>
          <w:b/>
          <w:highlight w:val="none"/>
        </w:rPr>
      </w:pPr>
    </w:p>
    <w:p w14:paraId="7CF2FA4F">
      <w:pPr>
        <w:widowControl w:val="0"/>
        <w:autoSpaceDE w:val="0"/>
        <w:autoSpaceDN w:val="0"/>
        <w:adjustRightInd w:val="0"/>
        <w:snapToGrid w:val="0"/>
        <w:ind w:firstLine="0" w:firstLineChars="0"/>
        <w:jc w:val="left"/>
        <w:outlineLvl w:val="9"/>
        <w:rPr>
          <w:rFonts w:hint="eastAsia" w:ascii="宋体" w:hAnsi="宋体"/>
          <w:b/>
          <w:highlight w:val="none"/>
        </w:rPr>
      </w:pPr>
    </w:p>
    <w:p w14:paraId="3561320A">
      <w:pPr>
        <w:widowControl w:val="0"/>
        <w:autoSpaceDE w:val="0"/>
        <w:autoSpaceDN w:val="0"/>
        <w:adjustRightInd w:val="0"/>
        <w:snapToGrid w:val="0"/>
        <w:ind w:firstLine="0" w:firstLineChars="0"/>
        <w:jc w:val="left"/>
        <w:outlineLvl w:val="9"/>
        <w:rPr>
          <w:rFonts w:hint="eastAsia" w:ascii="宋体" w:hAnsi="宋体"/>
          <w:b/>
          <w:highlight w:val="none"/>
        </w:rPr>
      </w:pPr>
    </w:p>
    <w:p w14:paraId="62D29DA4">
      <w:pPr>
        <w:widowControl w:val="0"/>
        <w:autoSpaceDE w:val="0"/>
        <w:autoSpaceDN w:val="0"/>
        <w:adjustRightInd w:val="0"/>
        <w:snapToGrid w:val="0"/>
        <w:ind w:firstLine="0" w:firstLineChars="0"/>
        <w:jc w:val="left"/>
        <w:outlineLvl w:val="9"/>
        <w:rPr>
          <w:rFonts w:hint="eastAsia" w:ascii="宋体" w:hAnsi="宋体"/>
          <w:b/>
          <w:highlight w:val="none"/>
        </w:rPr>
      </w:pPr>
    </w:p>
    <w:p w14:paraId="2ABB3459">
      <w:pPr>
        <w:widowControl w:val="0"/>
        <w:autoSpaceDE w:val="0"/>
        <w:autoSpaceDN w:val="0"/>
        <w:adjustRightInd w:val="0"/>
        <w:snapToGrid w:val="0"/>
        <w:ind w:firstLine="0" w:firstLineChars="0"/>
        <w:jc w:val="left"/>
        <w:outlineLvl w:val="9"/>
        <w:rPr>
          <w:rFonts w:hint="eastAsia" w:ascii="宋体" w:hAnsi="宋体"/>
          <w:b/>
          <w:highlight w:val="none"/>
        </w:rPr>
      </w:pPr>
    </w:p>
    <w:p w14:paraId="29FB83C6">
      <w:pPr>
        <w:widowControl w:val="0"/>
        <w:autoSpaceDE w:val="0"/>
        <w:autoSpaceDN w:val="0"/>
        <w:adjustRightInd w:val="0"/>
        <w:snapToGrid w:val="0"/>
        <w:ind w:firstLine="0" w:firstLineChars="0"/>
        <w:jc w:val="left"/>
        <w:outlineLvl w:val="9"/>
        <w:rPr>
          <w:rFonts w:hint="eastAsia" w:ascii="宋体" w:hAnsi="宋体"/>
          <w:b/>
          <w:highlight w:val="none"/>
        </w:rPr>
      </w:pPr>
    </w:p>
    <w:p w14:paraId="73CF4473">
      <w:pPr>
        <w:widowControl w:val="0"/>
        <w:autoSpaceDE w:val="0"/>
        <w:autoSpaceDN w:val="0"/>
        <w:adjustRightInd w:val="0"/>
        <w:snapToGrid w:val="0"/>
        <w:ind w:firstLine="0" w:firstLineChars="0"/>
        <w:jc w:val="left"/>
        <w:outlineLvl w:val="9"/>
        <w:rPr>
          <w:rFonts w:hint="eastAsia" w:ascii="宋体" w:hAnsi="宋体"/>
          <w:b/>
          <w:highlight w:val="none"/>
        </w:rPr>
      </w:pPr>
    </w:p>
    <w:p w14:paraId="7E74199D">
      <w:pPr>
        <w:widowControl w:val="0"/>
        <w:autoSpaceDE w:val="0"/>
        <w:autoSpaceDN w:val="0"/>
        <w:adjustRightInd w:val="0"/>
        <w:snapToGrid w:val="0"/>
        <w:ind w:firstLine="0" w:firstLineChars="0"/>
        <w:jc w:val="left"/>
        <w:outlineLvl w:val="9"/>
        <w:rPr>
          <w:rFonts w:hint="eastAsia" w:ascii="宋体" w:hAnsi="宋体"/>
          <w:b/>
          <w:highlight w:val="none"/>
        </w:rPr>
      </w:pPr>
    </w:p>
    <w:p w14:paraId="72DF2954">
      <w:pPr>
        <w:widowControl w:val="0"/>
        <w:autoSpaceDE w:val="0"/>
        <w:autoSpaceDN w:val="0"/>
        <w:adjustRightInd w:val="0"/>
        <w:snapToGrid w:val="0"/>
        <w:ind w:firstLine="0" w:firstLineChars="0"/>
        <w:jc w:val="left"/>
        <w:outlineLvl w:val="9"/>
        <w:rPr>
          <w:rFonts w:hint="eastAsia" w:ascii="宋体" w:hAnsi="宋体"/>
          <w:b/>
          <w:highlight w:val="none"/>
        </w:rPr>
      </w:pPr>
    </w:p>
    <w:bookmarkEnd w:id="394"/>
    <w:bookmarkEnd w:id="395"/>
    <w:bookmarkEnd w:id="396"/>
    <w:p w14:paraId="59811FFC">
      <w:pPr>
        <w:rPr>
          <w:rFonts w:hint="eastAsia" w:ascii="宋体" w:hAnsi="宋体"/>
          <w:b/>
          <w:szCs w:val="21"/>
          <w:highlight w:val="none"/>
          <w:lang w:val="en-US" w:eastAsia="zh-CN"/>
        </w:rPr>
      </w:pPr>
      <w:r>
        <w:rPr>
          <w:rFonts w:hint="eastAsia" w:ascii="宋体" w:hAnsi="宋体"/>
          <w:b/>
          <w:szCs w:val="21"/>
          <w:highlight w:val="none"/>
          <w:lang w:val="en-US" w:eastAsia="zh-CN"/>
        </w:rPr>
        <w:br w:type="page"/>
      </w:r>
    </w:p>
    <w:p w14:paraId="10CD6047">
      <w:pPr>
        <w:ind w:left="0" w:firstLine="0" w:firstLineChars="0"/>
        <w:rPr>
          <w:rFonts w:hint="eastAsia" w:ascii="宋体" w:hAnsi="宋体" w:eastAsia="宋体"/>
          <w:b/>
          <w:color w:val="auto"/>
          <w:sz w:val="21"/>
          <w:szCs w:val="24"/>
          <w:highlight w:val="none"/>
          <w:lang w:val="en-US" w:eastAsia="zh-CN"/>
        </w:rPr>
      </w:pPr>
      <w:bookmarkStart w:id="397" w:name="_Toc4595"/>
      <w:bookmarkStart w:id="398" w:name="_Toc19595"/>
      <w:bookmarkStart w:id="399" w:name="_Toc27124"/>
      <w:r>
        <w:rPr>
          <w:rFonts w:hint="eastAsia" w:ascii="宋体" w:hAnsi="宋体"/>
          <w:b/>
          <w:highlight w:val="none"/>
        </w:rPr>
        <w:t>B</w:t>
      </w:r>
      <w:r>
        <w:rPr>
          <w:rFonts w:hint="eastAsia" w:ascii="宋体" w:hAnsi="宋体"/>
          <w:b/>
          <w:highlight w:val="none"/>
          <w:lang w:val="en-US" w:eastAsia="zh-CN"/>
        </w:rPr>
        <w:t>6</w:t>
      </w:r>
      <w:r>
        <w:rPr>
          <w:rFonts w:hint="eastAsia" w:ascii="宋体" w:hAnsi="宋体"/>
          <w:b/>
          <w:highlight w:val="none"/>
        </w:rPr>
        <w:t>、</w:t>
      </w:r>
      <w:bookmarkEnd w:id="387"/>
      <w:bookmarkEnd w:id="397"/>
      <w:bookmarkEnd w:id="398"/>
      <w:bookmarkEnd w:id="399"/>
      <w:bookmarkStart w:id="400" w:name="_Toc201719123"/>
      <w:bookmarkStart w:id="401" w:name="_Toc201743121"/>
      <w:bookmarkStart w:id="402" w:name="_Toc201742866"/>
      <w:bookmarkStart w:id="403" w:name="_Toc201401663"/>
      <w:bookmarkStart w:id="404" w:name="_Toc201997951"/>
      <w:bookmarkStart w:id="405" w:name="_Toc199215951"/>
      <w:bookmarkStart w:id="406" w:name="_Toc370197705"/>
      <w:bookmarkStart w:id="407" w:name="_Toc280341018"/>
      <w:bookmarkStart w:id="408" w:name="_Toc390444143"/>
      <w:r>
        <w:rPr>
          <w:rFonts w:hint="eastAsia" w:ascii="宋体" w:hAnsi="宋体" w:eastAsia="宋体"/>
          <w:b/>
          <w:color w:val="auto"/>
          <w:sz w:val="21"/>
          <w:szCs w:val="24"/>
          <w:highlight w:val="none"/>
          <w:lang w:val="en-US" w:eastAsia="zh-CN"/>
        </w:rPr>
        <w:t>保密承诺书</w:t>
      </w:r>
    </w:p>
    <w:p w14:paraId="11FFDF27">
      <w:pPr>
        <w:adjustRightInd/>
        <w:snapToGrid/>
        <w:spacing w:before="100" w:beforeAutospacing="1" w:after="100" w:afterAutospacing="1" w:line="240" w:lineRule="auto"/>
        <w:ind w:firstLine="0" w:firstLineChars="0"/>
        <w:jc w:val="center"/>
        <w:rPr>
          <w:rFonts w:ascii="宋体" w:hAnsi="宋体" w:eastAsia="宋体"/>
          <w:b/>
          <w:bCs/>
          <w:szCs w:val="32"/>
        </w:rPr>
      </w:pPr>
      <w:r>
        <w:rPr>
          <w:rFonts w:ascii="宋体" w:hAnsi="宋体" w:eastAsia="宋体"/>
          <w:b/>
          <w:bCs/>
          <w:szCs w:val="32"/>
        </w:rPr>
        <w:t>保密</w:t>
      </w:r>
      <w:r>
        <w:rPr>
          <w:rFonts w:hint="eastAsia" w:ascii="宋体" w:hAnsi="宋体" w:eastAsia="宋体"/>
          <w:b/>
          <w:bCs/>
          <w:szCs w:val="32"/>
        </w:rPr>
        <w:t>承诺书</w:t>
      </w:r>
    </w:p>
    <w:p w14:paraId="0402E2A0">
      <w:pPr>
        <w:adjustRightInd/>
        <w:spacing w:line="360" w:lineRule="auto"/>
        <w:ind w:firstLine="0" w:firstLineChars="0"/>
        <w:jc w:val="both"/>
        <w:rPr>
          <w:rFonts w:ascii="宋体" w:hAnsi="宋体" w:eastAsia="宋体" w:cs="Arial"/>
          <w:sz w:val="24"/>
          <w:szCs w:val="24"/>
          <w:lang w:val="en-US" w:eastAsia="zh-CN"/>
        </w:rPr>
      </w:pPr>
      <w:r>
        <w:rPr>
          <w:rFonts w:hint="eastAsia" w:ascii="宋体" w:hAnsi="宋体" w:cs="Arial"/>
          <w:snapToGrid w:val="0"/>
          <w:kern w:val="0"/>
          <w:sz w:val="24"/>
          <w:szCs w:val="24"/>
          <w:u w:val="single"/>
          <w:lang w:val="en-US" w:eastAsia="zh-CN"/>
        </w:rPr>
        <w:t>深圳市深投控体育赛事发展有限公司</w:t>
      </w:r>
      <w:r>
        <w:rPr>
          <w:rFonts w:hint="eastAsia" w:ascii="宋体" w:hAnsi="宋体" w:eastAsia="宋体" w:cs="Arial"/>
          <w:snapToGrid w:val="0"/>
          <w:kern w:val="0"/>
          <w:sz w:val="24"/>
          <w:szCs w:val="24"/>
          <w:u w:val="single"/>
          <w:lang w:val="en-US" w:eastAsia="zh-CN"/>
        </w:rPr>
        <w:t>：</w:t>
      </w:r>
    </w:p>
    <w:p w14:paraId="73AF7F1D">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ascii="宋体" w:hAnsi="宋体" w:eastAsia="宋体" w:cs="Arial"/>
          <w:snapToGrid w:val="0"/>
          <w:kern w:val="0"/>
          <w:sz w:val="24"/>
          <w:szCs w:val="24"/>
          <w:u w:val="single"/>
        </w:rPr>
        <w:t xml:space="preserve"> </w:t>
      </w:r>
      <w:r>
        <w:rPr>
          <w:rFonts w:hint="eastAsia" w:ascii="宋体" w:hAnsi="宋体" w:cs="Arial"/>
          <w:snapToGrid w:val="0"/>
          <w:kern w:val="0"/>
          <w:sz w:val="24"/>
          <w:szCs w:val="24"/>
          <w:u w:val="single"/>
          <w:lang w:val="en-US" w:eastAsia="zh-CN"/>
        </w:rPr>
        <w:t xml:space="preserve">              </w:t>
      </w:r>
      <w:r>
        <w:rPr>
          <w:rFonts w:ascii="宋体" w:hAnsi="宋体" w:eastAsia="宋体" w:cs="Arial"/>
          <w:snapToGrid w:val="0"/>
          <w:kern w:val="0"/>
          <w:sz w:val="24"/>
          <w:szCs w:val="24"/>
          <w:u w:val="single"/>
        </w:rPr>
        <w:t xml:space="preserve"> </w:t>
      </w:r>
      <w:r>
        <w:rPr>
          <w:rFonts w:hint="eastAsia" w:ascii="宋体" w:hAnsi="宋体" w:eastAsia="宋体" w:cs="Arial"/>
          <w:snapToGrid w:val="0"/>
          <w:kern w:val="0"/>
          <w:sz w:val="24"/>
          <w:szCs w:val="24"/>
        </w:rPr>
        <w:t>项目（以下简称“本项目”）</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活动过程中，出于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的需要，</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将接触或知悉</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（见</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协议第一条）。现</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就</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的保密事宜</w:t>
      </w:r>
      <w:r>
        <w:rPr>
          <w:rFonts w:hint="eastAsia" w:ascii="宋体" w:hAnsi="宋体" w:eastAsia="宋体" w:cs="Arial"/>
          <w:snapToGrid w:val="0"/>
          <w:kern w:val="0"/>
          <w:sz w:val="24"/>
          <w:szCs w:val="24"/>
        </w:rPr>
        <w:t>承诺如下</w:t>
      </w:r>
      <w:r>
        <w:rPr>
          <w:rFonts w:ascii="宋体" w:hAnsi="宋体" w:eastAsia="宋体" w:cs="Arial"/>
          <w:snapToGrid w:val="0"/>
          <w:kern w:val="0"/>
          <w:sz w:val="24"/>
          <w:szCs w:val="24"/>
        </w:rPr>
        <w:t>：</w:t>
      </w:r>
    </w:p>
    <w:p w14:paraId="450230CA">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一、保密</w:t>
      </w:r>
      <w:r>
        <w:rPr>
          <w:rFonts w:hint="eastAsia" w:ascii="宋体" w:hAnsi="宋体" w:eastAsia="宋体" w:cs="Arial"/>
          <w:bCs/>
          <w:snapToGrid w:val="0"/>
          <w:kern w:val="0"/>
          <w:sz w:val="24"/>
          <w:szCs w:val="24"/>
        </w:rPr>
        <w:t>信息</w:t>
      </w:r>
    </w:p>
    <w:p w14:paraId="4DDEB8B5">
      <w:pPr>
        <w:tabs>
          <w:tab w:val="left" w:pos="3600"/>
        </w:tabs>
        <w:adjustRightInd/>
        <w:spacing w:line="360" w:lineRule="auto"/>
        <w:ind w:firstLine="480" w:firstLineChars="20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保密信息包括但不限于下列内容：</w:t>
      </w:r>
    </w:p>
    <w:p w14:paraId="03883EDA">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活动中的相关文件，包括但不限于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文件、</w:t>
      </w:r>
      <w:r>
        <w:rPr>
          <w:rFonts w:hint="eastAsia" w:ascii="宋体" w:hAnsi="宋体" w:eastAsia="宋体" w:cs="Arial"/>
          <w:snapToGrid w:val="0"/>
          <w:kern w:val="0"/>
          <w:sz w:val="24"/>
          <w:szCs w:val="24"/>
        </w:rPr>
        <w:t>响应</w:t>
      </w:r>
      <w:r>
        <w:rPr>
          <w:rFonts w:ascii="宋体" w:hAnsi="宋体" w:eastAsia="宋体" w:cs="Arial"/>
          <w:snapToGrid w:val="0"/>
          <w:kern w:val="0"/>
          <w:sz w:val="24"/>
          <w:szCs w:val="24"/>
        </w:rPr>
        <w:t>文件、澄清文件、图纸等；</w:t>
      </w:r>
    </w:p>
    <w:p w14:paraId="42FA2F26">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评标结果；</w:t>
      </w:r>
    </w:p>
    <w:p w14:paraId="462B20AE">
      <w:pPr>
        <w:numPr>
          <w:ilvl w:val="1"/>
          <w:numId w:val="10"/>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及合同谈判签订、履行过程中所知悉的各种</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尚未公开的信息；</w:t>
      </w:r>
    </w:p>
    <w:p w14:paraId="1588F2D1">
      <w:pPr>
        <w:numPr>
          <w:ilvl w:val="1"/>
          <w:numId w:val="10"/>
        </w:numPr>
        <w:tabs>
          <w:tab w:val="left" w:pos="3600"/>
        </w:tabs>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除上述三项外，</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在本次</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中，从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获得的尚未公开的所有商务文件、技术文件、协议、议案和资料。</w:t>
      </w:r>
    </w:p>
    <w:p w14:paraId="25F458FA">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二、</w:t>
      </w:r>
      <w:r>
        <w:rPr>
          <w:rFonts w:hint="eastAsia" w:ascii="宋体" w:hAnsi="宋体" w:eastAsia="宋体" w:cs="Arial"/>
          <w:bCs/>
          <w:snapToGrid w:val="0"/>
          <w:kern w:val="0"/>
          <w:sz w:val="24"/>
          <w:szCs w:val="24"/>
        </w:rPr>
        <w:t>保密信息</w:t>
      </w:r>
      <w:r>
        <w:rPr>
          <w:rFonts w:ascii="宋体" w:hAnsi="宋体" w:eastAsia="宋体" w:cs="Arial"/>
          <w:bCs/>
          <w:snapToGrid w:val="0"/>
          <w:kern w:val="0"/>
          <w:sz w:val="24"/>
          <w:szCs w:val="24"/>
        </w:rPr>
        <w:t>的存在形式</w:t>
      </w:r>
    </w:p>
    <w:p w14:paraId="24B28521">
      <w:pPr>
        <w:tabs>
          <w:tab w:val="left" w:pos="3600"/>
        </w:tabs>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保密信息可以是</w:t>
      </w:r>
      <w:r>
        <w:rPr>
          <w:rFonts w:ascii="宋体" w:hAnsi="宋体" w:eastAsia="宋体" w:cs="Arial"/>
          <w:snapToGrid w:val="0"/>
          <w:kern w:val="0"/>
          <w:sz w:val="24"/>
          <w:szCs w:val="24"/>
        </w:rPr>
        <w:t>文字资料、电子文件、图形或实物（包括但不限于样品、模型及其它形式的材料）等载体，以及不</w:t>
      </w:r>
      <w:r>
        <w:rPr>
          <w:rFonts w:hint="eastAsia" w:ascii="宋体" w:hAnsi="宋体" w:eastAsia="宋体" w:cs="Arial"/>
          <w:snapToGrid w:val="0"/>
          <w:kern w:val="0"/>
          <w:sz w:val="24"/>
          <w:szCs w:val="24"/>
        </w:rPr>
        <w:t>以</w:t>
      </w:r>
      <w:r>
        <w:rPr>
          <w:rFonts w:ascii="宋体" w:hAnsi="宋体" w:eastAsia="宋体" w:cs="Arial"/>
          <w:snapToGrid w:val="0"/>
          <w:kern w:val="0"/>
          <w:sz w:val="24"/>
          <w:szCs w:val="24"/>
        </w:rPr>
        <w:t>物质载体形式存在的信息。</w:t>
      </w:r>
    </w:p>
    <w:p w14:paraId="4D9B5EBB">
      <w:pPr>
        <w:tabs>
          <w:tab w:val="left" w:pos="3600"/>
        </w:tabs>
        <w:adjustRightInd/>
        <w:spacing w:line="360" w:lineRule="auto"/>
        <w:ind w:firstLine="0" w:firstLineChars="0"/>
        <w:jc w:val="both"/>
        <w:outlineLvl w:val="9"/>
        <w:rPr>
          <w:rFonts w:ascii="宋体" w:hAnsi="宋体" w:eastAsia="宋体" w:cs="Arial"/>
          <w:snapToGrid w:val="0"/>
          <w:kern w:val="0"/>
          <w:sz w:val="24"/>
          <w:szCs w:val="24"/>
        </w:rPr>
      </w:pPr>
      <w:r>
        <w:rPr>
          <w:rFonts w:ascii="宋体" w:hAnsi="宋体" w:eastAsia="宋体" w:cs="Arial"/>
          <w:bCs/>
          <w:snapToGrid w:val="0"/>
          <w:kern w:val="0"/>
          <w:sz w:val="24"/>
          <w:szCs w:val="24"/>
        </w:rPr>
        <w:t>三、</w:t>
      </w:r>
      <w:r>
        <w:rPr>
          <w:rFonts w:hint="eastAsia" w:ascii="宋体" w:hAnsi="宋体" w:eastAsia="宋体" w:cs="Arial"/>
          <w:bCs/>
          <w:snapToGrid w:val="0"/>
          <w:kern w:val="0"/>
          <w:sz w:val="24"/>
          <w:szCs w:val="24"/>
        </w:rPr>
        <w:t>投标人</w:t>
      </w:r>
      <w:r>
        <w:rPr>
          <w:rFonts w:ascii="宋体" w:hAnsi="宋体" w:eastAsia="宋体" w:cs="Arial"/>
          <w:bCs/>
          <w:snapToGrid w:val="0"/>
          <w:kern w:val="0"/>
          <w:sz w:val="24"/>
          <w:szCs w:val="24"/>
        </w:rPr>
        <w:t>的</w:t>
      </w:r>
      <w:r>
        <w:rPr>
          <w:rFonts w:hint="eastAsia" w:ascii="宋体" w:hAnsi="宋体" w:eastAsia="宋体" w:cs="Arial"/>
          <w:bCs/>
          <w:snapToGrid w:val="0"/>
          <w:kern w:val="0"/>
          <w:sz w:val="24"/>
          <w:szCs w:val="24"/>
        </w:rPr>
        <w:t>承诺</w:t>
      </w:r>
    </w:p>
    <w:p w14:paraId="37086D1A">
      <w:pPr>
        <w:numPr>
          <w:ilvl w:val="0"/>
          <w:numId w:val="11"/>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的所有权及知识产权始终归属提供或披露保密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w:t>
      </w:r>
    </w:p>
    <w:p w14:paraId="2BB78F62">
      <w:pPr>
        <w:numPr>
          <w:ilvl w:val="0"/>
          <w:numId w:val="11"/>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知悉范围要求：只限于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从事</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项目（合同）的特定人员，未经</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的书面同意，</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不得擅自扩大知悉范围。同时，</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不得以任何形式或方式向</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探询本项目及以外的其他涉密信息。</w:t>
      </w:r>
    </w:p>
    <w:p w14:paraId="41C9E186">
      <w:pPr>
        <w:numPr>
          <w:ilvl w:val="0"/>
          <w:numId w:val="11"/>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项目协作期间，不得以任何方式在单位内部或向外界宣传、报道涉及</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项目相关信息；严禁将</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提供的用于</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项目的各种文件、技术资料、图纸（磁介质、纸介质）、图片、影像资料等向第三方转让或传播。</w:t>
      </w:r>
    </w:p>
    <w:p w14:paraId="32DDB185">
      <w:pPr>
        <w:numPr>
          <w:ilvl w:val="0"/>
          <w:numId w:val="11"/>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在遵守</w:t>
      </w:r>
      <w:r>
        <w:rPr>
          <w:rFonts w:hint="eastAsia" w:ascii="宋体" w:hAnsi="宋体" w:eastAsia="宋体" w:cs="Arial"/>
          <w:snapToGrid w:val="0"/>
          <w:kern w:val="0"/>
          <w:sz w:val="24"/>
          <w:szCs w:val="24"/>
        </w:rPr>
        <w:t>保密承诺书</w:t>
      </w:r>
      <w:r>
        <w:rPr>
          <w:rFonts w:ascii="宋体" w:hAnsi="宋体" w:eastAsia="宋体" w:cs="Arial"/>
          <w:snapToGrid w:val="0"/>
          <w:kern w:val="0"/>
          <w:sz w:val="24"/>
          <w:szCs w:val="24"/>
        </w:rPr>
        <w:t>的前提下，</w:t>
      </w:r>
      <w:r>
        <w:rPr>
          <w:rFonts w:hint="eastAsia" w:ascii="宋体" w:hAnsi="宋体" w:eastAsia="宋体" w:cs="Arial"/>
          <w:snapToGrid w:val="0"/>
          <w:kern w:val="0"/>
          <w:sz w:val="24"/>
          <w:szCs w:val="24"/>
        </w:rPr>
        <w:t>仅</w:t>
      </w:r>
      <w:r>
        <w:rPr>
          <w:rFonts w:ascii="宋体" w:hAnsi="宋体" w:eastAsia="宋体" w:cs="Arial"/>
          <w:snapToGrid w:val="0"/>
          <w:kern w:val="0"/>
          <w:sz w:val="24"/>
          <w:szCs w:val="24"/>
        </w:rPr>
        <w:t>可以将从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提供给承担本项目工作的人</w:t>
      </w:r>
      <w:r>
        <w:rPr>
          <w:rFonts w:hint="eastAsia" w:ascii="宋体" w:hAnsi="宋体" w:eastAsia="宋体" w:cs="Arial"/>
          <w:snapToGrid w:val="0"/>
          <w:kern w:val="0"/>
          <w:sz w:val="24"/>
          <w:szCs w:val="24"/>
        </w:rPr>
        <w:t>员</w:t>
      </w:r>
      <w:r>
        <w:rPr>
          <w:rFonts w:ascii="宋体" w:hAnsi="宋体" w:eastAsia="宋体" w:cs="Arial"/>
          <w:snapToGrid w:val="0"/>
          <w:kern w:val="0"/>
          <w:sz w:val="24"/>
          <w:szCs w:val="24"/>
        </w:rPr>
        <w:t>，因</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项目工作原因需提供给</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自己的合作、顾问等相关人员或机构前应取得</w:t>
      </w:r>
      <w:r>
        <w:rPr>
          <w:rFonts w:hint="eastAsia" w:ascii="宋体" w:hAnsi="宋体" w:eastAsia="宋体" w:cs="Arial"/>
          <w:snapToGrid w:val="0"/>
          <w:kern w:val="0"/>
          <w:sz w:val="24"/>
          <w:szCs w:val="24"/>
        </w:rPr>
        <w:t>招标人书面</w:t>
      </w:r>
      <w:r>
        <w:rPr>
          <w:rFonts w:ascii="宋体" w:hAnsi="宋体" w:eastAsia="宋体" w:cs="Arial"/>
          <w:snapToGrid w:val="0"/>
          <w:kern w:val="0"/>
          <w:sz w:val="24"/>
          <w:szCs w:val="24"/>
        </w:rPr>
        <w:t>同意，并确保上述人员或机构遵守保密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的规定；</w:t>
      </w:r>
    </w:p>
    <w:p w14:paraId="2144BB5D">
      <w:pPr>
        <w:numPr>
          <w:ilvl w:val="0"/>
          <w:numId w:val="11"/>
        </w:numPr>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项目执行中，</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执行保密协议的情况进行监督和检查，对不符合保密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的事项，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应及时纠正或进行查处，不得拖延。</w:t>
      </w:r>
    </w:p>
    <w:p w14:paraId="661A0955">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四、保密</w:t>
      </w:r>
      <w:r>
        <w:rPr>
          <w:rFonts w:hint="eastAsia" w:ascii="宋体" w:hAnsi="宋体" w:eastAsia="宋体" w:cs="Arial"/>
          <w:bCs/>
          <w:snapToGrid w:val="0"/>
          <w:kern w:val="0"/>
          <w:sz w:val="24"/>
          <w:szCs w:val="24"/>
        </w:rPr>
        <w:t>期间</w:t>
      </w:r>
    </w:p>
    <w:p w14:paraId="08C5A072">
      <w:pPr>
        <w:adjustRightInd/>
        <w:spacing w:line="360" w:lineRule="auto"/>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保密承诺书自签订之日</w:t>
      </w:r>
      <w:r>
        <w:rPr>
          <w:rFonts w:ascii="宋体" w:hAnsi="宋体" w:eastAsia="宋体" w:cs="Arial"/>
          <w:snapToGrid w:val="0"/>
          <w:kern w:val="0"/>
          <w:sz w:val="24"/>
          <w:szCs w:val="24"/>
        </w:rPr>
        <w:t>起</w:t>
      </w:r>
      <w:r>
        <w:rPr>
          <w:rFonts w:hint="eastAsia" w:ascii="宋体" w:hAnsi="宋体" w:eastAsia="宋体" w:cs="Arial"/>
          <w:snapToGrid w:val="0"/>
          <w:kern w:val="0"/>
          <w:sz w:val="24"/>
          <w:szCs w:val="24"/>
        </w:rPr>
        <w:t>生效</w:t>
      </w:r>
      <w:r>
        <w:rPr>
          <w:rFonts w:ascii="宋体" w:hAnsi="宋体" w:eastAsia="宋体" w:cs="Arial"/>
          <w:snapToGrid w:val="0"/>
          <w:kern w:val="0"/>
          <w:sz w:val="24"/>
          <w:szCs w:val="24"/>
        </w:rPr>
        <w:t>至本项目</w:t>
      </w:r>
      <w:r>
        <w:rPr>
          <w:rFonts w:hint="eastAsia" w:ascii="宋体" w:hAnsi="宋体" w:eastAsia="宋体" w:cs="Arial"/>
          <w:snapToGrid w:val="0"/>
          <w:kern w:val="0"/>
          <w:sz w:val="24"/>
          <w:szCs w:val="24"/>
        </w:rPr>
        <w:t>完成之日</w:t>
      </w:r>
      <w:r>
        <w:rPr>
          <w:rFonts w:ascii="宋体" w:hAnsi="宋体" w:eastAsia="宋体" w:cs="Arial"/>
          <w:snapToGrid w:val="0"/>
          <w:kern w:val="0"/>
          <w:sz w:val="24"/>
          <w:szCs w:val="24"/>
        </w:rPr>
        <w:t>后</w:t>
      </w:r>
      <w:r>
        <w:rPr>
          <w:rFonts w:hint="eastAsia" w:ascii="宋体" w:hAnsi="宋体" w:eastAsia="宋体" w:cs="Arial"/>
          <w:snapToGrid w:val="0"/>
          <w:kern w:val="0"/>
          <w:sz w:val="24"/>
          <w:szCs w:val="24"/>
        </w:rPr>
        <w:t>3</w:t>
      </w:r>
      <w:r>
        <w:rPr>
          <w:rFonts w:ascii="宋体" w:hAnsi="宋体" w:eastAsia="宋体" w:cs="Arial"/>
          <w:snapToGrid w:val="0"/>
          <w:kern w:val="0"/>
          <w:sz w:val="24"/>
          <w:szCs w:val="24"/>
        </w:rPr>
        <w:t>年为止。</w:t>
      </w:r>
    </w:p>
    <w:p w14:paraId="79E84F48">
      <w:pPr>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snapToGrid w:val="0"/>
          <w:kern w:val="0"/>
          <w:sz w:val="24"/>
          <w:szCs w:val="24"/>
        </w:rPr>
        <w:t>五、</w:t>
      </w:r>
      <w:r>
        <w:rPr>
          <w:rFonts w:ascii="宋体" w:hAnsi="宋体" w:eastAsia="宋体" w:cs="Arial"/>
          <w:bCs/>
          <w:snapToGrid w:val="0"/>
          <w:kern w:val="0"/>
          <w:sz w:val="24"/>
          <w:szCs w:val="24"/>
        </w:rPr>
        <w:t>违约责任</w:t>
      </w:r>
    </w:p>
    <w:p w14:paraId="4A505D0C">
      <w:pPr>
        <w:spacing w:line="360" w:lineRule="auto"/>
        <w:jc w:val="both"/>
        <w:rPr>
          <w:rFonts w:ascii="宋体" w:hAnsi="宋体" w:eastAsia="宋体" w:cs="Arial"/>
          <w:snapToGrid w:val="0"/>
          <w:kern w:val="0"/>
          <w:sz w:val="24"/>
          <w:szCs w:val="24"/>
        </w:rPr>
      </w:pPr>
      <w:r>
        <w:rPr>
          <w:rFonts w:ascii="宋体" w:hAnsi="宋体" w:eastAsia="宋体" w:cs="Arial"/>
          <w:snapToGrid w:val="0"/>
          <w:kern w:val="0"/>
          <w:sz w:val="24"/>
          <w:szCs w:val="24"/>
        </w:rPr>
        <w:t>在保密期间，由于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原因造成失泄密事件（案件）发生的，将由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承担法律责任。</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有权随时终止</w:t>
      </w:r>
      <w:r>
        <w:rPr>
          <w:rFonts w:hint="eastAsia" w:ascii="宋体" w:hAnsi="宋体" w:eastAsia="宋体" w:cs="Arial"/>
          <w:snapToGrid w:val="0"/>
          <w:kern w:val="0"/>
          <w:sz w:val="24"/>
          <w:szCs w:val="24"/>
        </w:rPr>
        <w:t>投标人响应</w:t>
      </w:r>
      <w:r>
        <w:rPr>
          <w:rFonts w:ascii="宋体" w:hAnsi="宋体" w:eastAsia="宋体" w:cs="Arial"/>
          <w:snapToGrid w:val="0"/>
          <w:kern w:val="0"/>
          <w:sz w:val="24"/>
          <w:szCs w:val="24"/>
        </w:rPr>
        <w:t>资格，剥夺</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签约资格，或解除合同；给</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造成经济损失的，由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承担赔偿责任。</w:t>
      </w:r>
    </w:p>
    <w:p w14:paraId="6EA08BD9">
      <w:pPr>
        <w:spacing w:line="360" w:lineRule="auto"/>
        <w:jc w:val="both"/>
        <w:rPr>
          <w:rFonts w:ascii="宋体" w:hAnsi="宋体" w:eastAsia="宋体" w:cs="Arial"/>
          <w:bCs/>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违约泄密，除赔偿</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因被侵害而受到的实际损失外，还应承担</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因调查该项侵害行为及维护自身合法权益所支付的合理费用。</w:t>
      </w:r>
    </w:p>
    <w:p w14:paraId="15587695">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六、争议的解决方式</w:t>
      </w:r>
    </w:p>
    <w:p w14:paraId="5FB0D0C4">
      <w:pPr>
        <w:adjustRightInd/>
        <w:spacing w:line="360" w:lineRule="auto"/>
        <w:jc w:val="both"/>
        <w:rPr>
          <w:rFonts w:ascii="宋体" w:hAnsi="宋体" w:eastAsia="宋体" w:cs="Arial"/>
          <w:bCs/>
          <w:snapToGrid w:val="0"/>
          <w:kern w:val="0"/>
          <w:sz w:val="24"/>
          <w:szCs w:val="24"/>
        </w:rPr>
      </w:pPr>
      <w:r>
        <w:rPr>
          <w:rFonts w:ascii="宋体" w:hAnsi="宋体" w:eastAsia="宋体" w:cs="Arial"/>
          <w:snapToGrid w:val="0"/>
          <w:kern w:val="0"/>
          <w:sz w:val="24"/>
          <w:szCs w:val="24"/>
        </w:rPr>
        <w:t>双方同意因</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w:t>
      </w:r>
      <w:r>
        <w:rPr>
          <w:rFonts w:hint="eastAsia" w:ascii="宋体" w:hAnsi="宋体" w:eastAsia="宋体" w:cs="Arial"/>
          <w:snapToGrid w:val="0"/>
          <w:kern w:val="0"/>
          <w:sz w:val="24"/>
          <w:szCs w:val="24"/>
        </w:rPr>
        <w:t>引起</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任何</w:t>
      </w:r>
      <w:r>
        <w:rPr>
          <w:rFonts w:ascii="宋体" w:hAnsi="宋体" w:eastAsia="宋体" w:cs="Arial"/>
          <w:snapToGrid w:val="0"/>
          <w:kern w:val="0"/>
          <w:sz w:val="24"/>
          <w:szCs w:val="24"/>
        </w:rPr>
        <w:t>争议，由双方协商解决，协商解决不成的，任何一方均可诉诸</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所在地的人民法院诉讼解决。</w:t>
      </w:r>
    </w:p>
    <w:p w14:paraId="61AFADB3">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七、其它</w:t>
      </w:r>
    </w:p>
    <w:p w14:paraId="16C1000A">
      <w:pPr>
        <w:tabs>
          <w:tab w:val="left" w:pos="3600"/>
        </w:tabs>
        <w:adjustRightInd/>
        <w:spacing w:line="360" w:lineRule="auto"/>
        <w:jc w:val="both"/>
        <w:rPr>
          <w:rFonts w:ascii="宋体" w:hAnsi="宋体" w:eastAsia="宋体" w:cs="Arial"/>
          <w:sz w:val="24"/>
          <w:szCs w:val="24"/>
        </w:rPr>
      </w:pPr>
      <w:r>
        <w:rPr>
          <w:rFonts w:hint="eastAsia" w:ascii="宋体" w:hAnsi="宋体" w:eastAsia="宋体" w:cs="Arial"/>
          <w:sz w:val="24"/>
          <w:szCs w:val="24"/>
        </w:rPr>
        <w:t>保密承诺书</w:t>
      </w:r>
      <w:r>
        <w:rPr>
          <w:rFonts w:ascii="宋体" w:hAnsi="宋体" w:eastAsia="宋体" w:cs="Arial"/>
          <w:sz w:val="24"/>
          <w:szCs w:val="24"/>
        </w:rPr>
        <w:t>由</w:t>
      </w:r>
      <w:r>
        <w:rPr>
          <w:rFonts w:hint="eastAsia" w:ascii="宋体" w:hAnsi="宋体" w:eastAsia="宋体" w:cs="Arial"/>
          <w:sz w:val="24"/>
          <w:szCs w:val="24"/>
        </w:rPr>
        <w:t>投标人</w:t>
      </w:r>
      <w:r>
        <w:rPr>
          <w:rFonts w:ascii="宋体" w:hAnsi="宋体" w:eastAsia="宋体" w:cs="Arial"/>
          <w:sz w:val="24"/>
          <w:szCs w:val="24"/>
        </w:rPr>
        <w:t>盖章后生效</w:t>
      </w:r>
      <w:r>
        <w:rPr>
          <w:rFonts w:hint="eastAsia" w:ascii="宋体" w:hAnsi="宋体" w:eastAsia="宋体" w:cs="Arial"/>
          <w:sz w:val="24"/>
          <w:szCs w:val="24"/>
        </w:rPr>
        <w:t>（生效日）</w:t>
      </w:r>
      <w:r>
        <w:rPr>
          <w:rFonts w:ascii="宋体" w:hAnsi="宋体" w:eastAsia="宋体" w:cs="Arial"/>
          <w:sz w:val="24"/>
          <w:szCs w:val="24"/>
        </w:rPr>
        <w:t>。</w:t>
      </w:r>
    </w:p>
    <w:tbl>
      <w:tblPr>
        <w:tblStyle w:val="52"/>
        <w:tblW w:w="997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1"/>
        <w:gridCol w:w="5118"/>
      </w:tblGrid>
      <w:tr w14:paraId="7321B5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58" w:hRule="atLeast"/>
        </w:trPr>
        <w:tc>
          <w:tcPr>
            <w:tcW w:w="4861" w:type="dxa"/>
          </w:tcPr>
          <w:p w14:paraId="14817CC4">
            <w:pPr>
              <w:adjustRightInd/>
              <w:snapToGrid/>
              <w:spacing w:line="360" w:lineRule="auto"/>
              <w:ind w:firstLine="0" w:firstLineChars="0"/>
              <w:jc w:val="both"/>
              <w:rPr>
                <w:rFonts w:ascii="宋体" w:hAnsi="宋体" w:eastAsia="宋体" w:cs="Arial"/>
                <w:sz w:val="24"/>
                <w:szCs w:val="24"/>
              </w:rPr>
            </w:pPr>
          </w:p>
          <w:p w14:paraId="296B839F">
            <w:pPr>
              <w:adjustRightInd/>
              <w:snapToGrid/>
              <w:spacing w:line="360" w:lineRule="auto"/>
              <w:ind w:firstLine="0" w:firstLineChars="0"/>
              <w:jc w:val="both"/>
              <w:rPr>
                <w:rFonts w:ascii="宋体" w:hAnsi="宋体" w:eastAsia="宋体" w:cs="Arial"/>
                <w:sz w:val="24"/>
                <w:szCs w:val="24"/>
              </w:rPr>
            </w:pPr>
          </w:p>
        </w:tc>
        <w:tc>
          <w:tcPr>
            <w:tcW w:w="5118" w:type="dxa"/>
          </w:tcPr>
          <w:p w14:paraId="24F2CA1C">
            <w:pPr>
              <w:adjustRightInd/>
              <w:snapToGrid/>
              <w:spacing w:line="360" w:lineRule="auto"/>
              <w:ind w:firstLine="0" w:firstLineChars="0"/>
              <w:jc w:val="both"/>
              <w:rPr>
                <w:rFonts w:ascii="宋体" w:hAnsi="宋体" w:eastAsia="宋体" w:cs="Arial"/>
                <w:sz w:val="24"/>
                <w:szCs w:val="24"/>
              </w:rPr>
            </w:pPr>
          </w:p>
          <w:p w14:paraId="4B6630DD">
            <w:pPr>
              <w:adjustRightInd/>
              <w:snapToGrid/>
              <w:spacing w:line="360" w:lineRule="auto"/>
              <w:ind w:firstLine="0" w:firstLineChars="0"/>
              <w:jc w:val="both"/>
              <w:rPr>
                <w:rFonts w:ascii="宋体" w:hAnsi="宋体" w:eastAsia="宋体" w:cs="Arial"/>
                <w:sz w:val="24"/>
                <w:szCs w:val="24"/>
              </w:rPr>
            </w:pPr>
            <w:r>
              <w:rPr>
                <w:rFonts w:ascii="宋体" w:hAnsi="宋体" w:eastAsia="宋体" w:cs="Arial"/>
                <w:sz w:val="24"/>
                <w:szCs w:val="24"/>
              </w:rPr>
              <w:t xml:space="preserve"> </w:t>
            </w:r>
          </w:p>
          <w:p w14:paraId="7FFAB361">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承诺</w:t>
            </w:r>
            <w:r>
              <w:rPr>
                <w:rFonts w:hint="eastAsia" w:ascii="宋体" w:hAnsi="宋体" w:eastAsia="宋体" w:cs="Arial"/>
                <w:sz w:val="24"/>
                <w:szCs w:val="24"/>
              </w:rPr>
              <w:t>人</w:t>
            </w:r>
            <w:r>
              <w:rPr>
                <w:rFonts w:ascii="宋体" w:hAnsi="宋体" w:eastAsia="宋体" w:cs="Arial"/>
                <w:sz w:val="24"/>
                <w:szCs w:val="24"/>
              </w:rPr>
              <w:t xml:space="preserve">： </w:t>
            </w:r>
          </w:p>
          <w:p w14:paraId="06AB605A">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日期：</w:t>
            </w:r>
            <w:r>
              <w:rPr>
                <w:rFonts w:hint="eastAsia" w:ascii="宋体" w:hAnsi="宋体" w:eastAsia="宋体" w:cs="Arial"/>
                <w:sz w:val="24"/>
                <w:szCs w:val="24"/>
              </w:rPr>
              <w:t>20</w:t>
            </w:r>
            <w:r>
              <w:rPr>
                <w:rFonts w:ascii="宋体" w:hAnsi="宋体" w:eastAsia="宋体" w:cs="Arial"/>
                <w:sz w:val="24"/>
                <w:szCs w:val="24"/>
              </w:rPr>
              <w:t>2</w:t>
            </w:r>
            <w:r>
              <w:rPr>
                <w:rFonts w:hint="eastAsia" w:ascii="宋体" w:hAnsi="宋体" w:cs="Arial"/>
                <w:sz w:val="24"/>
                <w:szCs w:val="24"/>
                <w:lang w:val="en-US" w:eastAsia="zh-CN"/>
              </w:rPr>
              <w:t xml:space="preserve"> </w:t>
            </w:r>
            <w:r>
              <w:rPr>
                <w:rFonts w:ascii="宋体" w:hAnsi="宋体" w:eastAsia="宋体" w:cs="Arial"/>
                <w:sz w:val="24"/>
                <w:szCs w:val="24"/>
              </w:rPr>
              <w:t>年 月</w:t>
            </w:r>
            <w:r>
              <w:rPr>
                <w:rFonts w:hint="eastAsia" w:ascii="宋体" w:hAnsi="宋体" w:eastAsia="宋体" w:cs="Arial"/>
                <w:sz w:val="24"/>
                <w:szCs w:val="24"/>
              </w:rPr>
              <w:t xml:space="preserve">  </w:t>
            </w:r>
            <w:r>
              <w:rPr>
                <w:rFonts w:ascii="宋体" w:hAnsi="宋体" w:eastAsia="宋体" w:cs="Arial"/>
                <w:sz w:val="24"/>
                <w:szCs w:val="24"/>
              </w:rPr>
              <w:t>日</w:t>
            </w:r>
          </w:p>
          <w:p w14:paraId="2E3C855B">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（盖章）</w:t>
            </w:r>
          </w:p>
        </w:tc>
      </w:tr>
    </w:tbl>
    <w:p w14:paraId="1BF3B53B">
      <w:pPr>
        <w:widowControl/>
        <w:autoSpaceDE/>
        <w:autoSpaceDN/>
        <w:adjustRightInd/>
        <w:snapToGrid/>
        <w:ind w:firstLine="0" w:firstLineChars="0"/>
        <w:jc w:val="left"/>
        <w:outlineLvl w:val="9"/>
        <w:rPr>
          <w:rFonts w:hint="eastAsia" w:ascii="宋体" w:hAnsi="宋体"/>
          <w:b/>
          <w:highlight w:val="none"/>
        </w:rPr>
      </w:pPr>
      <w:r>
        <w:rPr>
          <w:rFonts w:hint="eastAsia" w:ascii="宋体" w:hAnsi="宋体"/>
          <w:b/>
          <w:highlight w:val="none"/>
        </w:rPr>
        <w:br w:type="page"/>
      </w:r>
    </w:p>
    <w:p w14:paraId="6BD4E2CB">
      <w:pPr>
        <w:widowControl w:val="0"/>
        <w:autoSpaceDE w:val="0"/>
        <w:autoSpaceDN w:val="0"/>
        <w:adjustRightInd w:val="0"/>
        <w:snapToGrid w:val="0"/>
        <w:ind w:firstLine="0" w:firstLineChars="0"/>
        <w:jc w:val="left"/>
        <w:outlineLvl w:val="2"/>
        <w:rPr>
          <w:rFonts w:ascii="宋体" w:hAnsi="宋体"/>
          <w:b/>
          <w:highlight w:val="none"/>
        </w:rPr>
      </w:pPr>
      <w:r>
        <w:rPr>
          <w:rFonts w:hint="eastAsia" w:ascii="宋体" w:hAnsi="宋体"/>
          <w:b/>
          <w:highlight w:val="none"/>
        </w:rPr>
        <w:t>B</w:t>
      </w:r>
      <w:r>
        <w:rPr>
          <w:rFonts w:hint="eastAsia" w:ascii="宋体" w:hAnsi="宋体"/>
          <w:b/>
          <w:highlight w:val="none"/>
          <w:lang w:val="en-US" w:eastAsia="zh-CN"/>
        </w:rPr>
        <w:t>7</w:t>
      </w:r>
      <w:r>
        <w:rPr>
          <w:rFonts w:hint="eastAsia" w:ascii="宋体" w:hAnsi="宋体"/>
          <w:b/>
          <w:highlight w:val="none"/>
        </w:rPr>
        <w:t>、</w:t>
      </w:r>
      <w:r>
        <w:rPr>
          <w:rFonts w:hint="eastAsia" w:ascii="宋体" w:hAnsi="宋体"/>
          <w:b/>
          <w:szCs w:val="21"/>
          <w:highlight w:val="none"/>
        </w:rPr>
        <w:t>其它</w:t>
      </w:r>
    </w:p>
    <w:p w14:paraId="38590210">
      <w:pPr>
        <w:widowControl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投标人认为应补充提供的其他文件资料或说明</w:t>
      </w:r>
      <w:r>
        <w:rPr>
          <w:rFonts w:ascii="宋体" w:hAnsi="宋体"/>
          <w:szCs w:val="21"/>
          <w:highlight w:val="none"/>
        </w:rPr>
        <w:t>。</w:t>
      </w:r>
    </w:p>
    <w:p w14:paraId="305DFDC2">
      <w:pPr>
        <w:rPr>
          <w:highlight w:val="none"/>
        </w:rPr>
      </w:pPr>
      <w:r>
        <w:rPr>
          <w:rFonts w:ascii="宋体" w:hAnsi="宋体"/>
          <w:bCs/>
          <w:szCs w:val="21"/>
          <w:highlight w:val="none"/>
        </w:rPr>
        <w:br w:type="page"/>
      </w:r>
      <w:bookmarkStart w:id="409" w:name="_Toc12952"/>
      <w:bookmarkStart w:id="410" w:name="_Toc24605"/>
    </w:p>
    <w:p w14:paraId="1323B038">
      <w:pPr>
        <w:rPr>
          <w:highlight w:val="none"/>
        </w:rPr>
      </w:pPr>
    </w:p>
    <w:p w14:paraId="68E4BB60">
      <w:pPr>
        <w:rPr>
          <w:highlight w:val="none"/>
        </w:rPr>
      </w:pPr>
    </w:p>
    <w:p w14:paraId="79631CAB">
      <w:pPr>
        <w:rPr>
          <w:highlight w:val="none"/>
        </w:rPr>
      </w:pPr>
    </w:p>
    <w:p w14:paraId="3D21E8CB">
      <w:pPr>
        <w:rPr>
          <w:highlight w:val="none"/>
        </w:rPr>
      </w:pPr>
    </w:p>
    <w:p w14:paraId="5AB34CDD">
      <w:pPr>
        <w:rPr>
          <w:highlight w:val="none"/>
        </w:rPr>
      </w:pPr>
    </w:p>
    <w:p w14:paraId="0DE7F67B">
      <w:pPr>
        <w:rPr>
          <w:highlight w:val="none"/>
        </w:rPr>
      </w:pPr>
    </w:p>
    <w:p w14:paraId="6F19F58D">
      <w:pPr>
        <w:rPr>
          <w:highlight w:val="none"/>
        </w:rPr>
      </w:pPr>
    </w:p>
    <w:p w14:paraId="38770643">
      <w:pPr>
        <w:rPr>
          <w:highlight w:val="none"/>
        </w:rPr>
      </w:pPr>
    </w:p>
    <w:p w14:paraId="21A0CDB0">
      <w:pPr>
        <w:rPr>
          <w:highlight w:val="none"/>
        </w:rPr>
      </w:pPr>
    </w:p>
    <w:p w14:paraId="7D84480E">
      <w:pPr>
        <w:rPr>
          <w:highlight w:val="none"/>
        </w:rPr>
      </w:pPr>
    </w:p>
    <w:p w14:paraId="50341F97">
      <w:pPr>
        <w:rPr>
          <w:highlight w:val="none"/>
        </w:rPr>
      </w:pPr>
    </w:p>
    <w:p w14:paraId="4E64980E">
      <w:pPr>
        <w:rPr>
          <w:highlight w:val="none"/>
        </w:rPr>
      </w:pPr>
    </w:p>
    <w:p w14:paraId="037C8C57">
      <w:pPr>
        <w:rPr>
          <w:highlight w:val="none"/>
        </w:rPr>
      </w:pPr>
    </w:p>
    <w:p w14:paraId="6B1A4410">
      <w:pPr>
        <w:rPr>
          <w:highlight w:val="none"/>
        </w:rPr>
      </w:pPr>
    </w:p>
    <w:p w14:paraId="423CB36B">
      <w:pPr>
        <w:rPr>
          <w:highlight w:val="none"/>
        </w:rPr>
      </w:pPr>
    </w:p>
    <w:p w14:paraId="3190C9FF">
      <w:pPr>
        <w:rPr>
          <w:highlight w:val="none"/>
        </w:rPr>
      </w:pPr>
    </w:p>
    <w:p w14:paraId="4B8D76AE">
      <w:pPr>
        <w:rPr>
          <w:highlight w:val="none"/>
        </w:rPr>
      </w:pPr>
    </w:p>
    <w:p w14:paraId="1A1CB1E1">
      <w:pPr>
        <w:widowControl w:val="0"/>
        <w:autoSpaceDE w:val="0"/>
        <w:autoSpaceDN w:val="0"/>
        <w:adjustRightInd w:val="0"/>
        <w:snapToGrid w:val="0"/>
        <w:ind w:firstLine="0" w:firstLineChars="0"/>
        <w:jc w:val="center"/>
        <w:outlineLvl w:val="1"/>
        <w:rPr>
          <w:rFonts w:ascii="宋体" w:hAnsi="宋体"/>
          <w:bCs/>
          <w:szCs w:val="21"/>
          <w:highlight w:val="none"/>
        </w:rPr>
      </w:pPr>
      <w:bookmarkStart w:id="411" w:name="_Toc6717"/>
      <w:bookmarkStart w:id="412" w:name="_Toc16964"/>
      <w:r>
        <w:rPr>
          <w:rFonts w:hint="eastAsia" w:ascii="宋体" w:hAnsi="宋体" w:cs="Courier New"/>
          <w:b/>
          <w:bCs/>
          <w:sz w:val="44"/>
          <w:szCs w:val="44"/>
          <w:highlight w:val="none"/>
        </w:rPr>
        <w:t>三、技术标部分</w:t>
      </w:r>
      <w:bookmarkEnd w:id="409"/>
      <w:bookmarkEnd w:id="410"/>
      <w:bookmarkEnd w:id="411"/>
      <w:bookmarkEnd w:id="412"/>
    </w:p>
    <w:p w14:paraId="77FAF0ED">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cs="Courier New"/>
          <w:b/>
          <w:bCs/>
          <w:sz w:val="84"/>
          <w:szCs w:val="84"/>
          <w:highlight w:val="none"/>
        </w:rPr>
        <w:br w:type="page"/>
      </w:r>
      <w:bookmarkStart w:id="413" w:name="_Toc14281"/>
      <w:bookmarkStart w:id="414" w:name="_Toc9327"/>
      <w:bookmarkStart w:id="415" w:name="_Toc5053"/>
      <w:bookmarkStart w:id="416" w:name="_Hlk532143411"/>
      <w:r>
        <w:rPr>
          <w:rFonts w:hint="eastAsia" w:ascii="宋体" w:hAnsi="宋体"/>
          <w:b/>
          <w:szCs w:val="21"/>
          <w:highlight w:val="none"/>
        </w:rPr>
        <w:t>C1、技术条款</w:t>
      </w:r>
      <w:r>
        <w:rPr>
          <w:rFonts w:hint="eastAsia" w:ascii="宋体" w:hAnsi="宋体"/>
          <w:b/>
          <w:highlight w:val="none"/>
        </w:rPr>
        <w:t>总体</w:t>
      </w:r>
      <w:r>
        <w:rPr>
          <w:rFonts w:hint="eastAsia" w:ascii="宋体" w:hAnsi="宋体"/>
          <w:b/>
          <w:szCs w:val="21"/>
          <w:highlight w:val="none"/>
        </w:rPr>
        <w:t>响应表</w:t>
      </w:r>
      <w:bookmarkEnd w:id="413"/>
      <w:bookmarkEnd w:id="414"/>
      <w:bookmarkEnd w:id="415"/>
    </w:p>
    <w:p w14:paraId="632BF02E">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bCs/>
          <w:kern w:val="0"/>
          <w:sz w:val="32"/>
          <w:szCs w:val="32"/>
          <w:highlight w:val="none"/>
        </w:rPr>
        <w:t>技术条款总体响应表</w:t>
      </w:r>
    </w:p>
    <w:tbl>
      <w:tblPr>
        <w:tblStyle w:val="5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6E06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7899F4A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3DE86A13">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9F0308F">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7966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10C91"/>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6B4FB80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20EAAE9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83459E9">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7A0C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2ECB1EB">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0BED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F32312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5C3AE8D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A5F33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C01621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723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585568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5D5F186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AFA231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CFE25C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B94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0E45E9F">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5AAE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FA8311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60587D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9A3C6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435A29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F6D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40649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42139B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16D0042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7D1913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0B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7A7407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招标文件中未标注“★”或“▲”的技术条款</w:t>
            </w:r>
          </w:p>
        </w:tc>
      </w:tr>
      <w:tr w14:paraId="26E4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B061C1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5E9BD96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B4B5D6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4D58BF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613B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9546A3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3AA3D90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FB7F36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199C2E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92B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AECA2A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1481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B2C229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571FC4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AF60DB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0C75BF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B87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76B7DD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3AD548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40D78E5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BACE6E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5E9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D68C6BA">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6D63B2A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06BD6A3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1、投标人须在仔细阅读招标文件后，将投标文件响应与招标文件（含补遗、澄清文件）不一致的技术条款填写在本表中，包括高于或低于招标文件要求的所有条款。</w:t>
      </w:r>
    </w:p>
    <w:p w14:paraId="1AB6D35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11D784A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3、投标人必须提供本表，如对招标文件技术条款及合同内容完全接受，则无需填写相关内容。</w:t>
      </w:r>
    </w:p>
    <w:p w14:paraId="208FF43D">
      <w:pPr>
        <w:widowControl w:val="0"/>
        <w:autoSpaceDE w:val="0"/>
        <w:autoSpaceDN w:val="0"/>
        <w:adjustRightInd w:val="0"/>
        <w:snapToGrid w:val="0"/>
        <w:ind w:firstLine="0" w:firstLineChars="0"/>
        <w:jc w:val="left"/>
        <w:rPr>
          <w:rFonts w:ascii="宋体" w:hAnsi="宋体"/>
          <w:szCs w:val="21"/>
          <w:highlight w:val="none"/>
        </w:rPr>
      </w:pPr>
    </w:p>
    <w:p w14:paraId="4455F8CF">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w:t>
      </w:r>
      <w:r>
        <w:rPr>
          <w:rFonts w:ascii="宋体" w:hAnsi="宋体"/>
          <w:highlight w:val="none"/>
          <w:u w:val="single"/>
        </w:rPr>
        <w:t xml:space="preserve">                                       </w:t>
      </w:r>
    </w:p>
    <w:p w14:paraId="7A48DF0B">
      <w:pPr>
        <w:widowControl w:val="0"/>
        <w:autoSpaceDE w:val="0"/>
        <w:autoSpaceDN w:val="0"/>
        <w:adjustRightInd w:val="0"/>
        <w:snapToGrid w:val="0"/>
        <w:ind w:firstLine="0" w:firstLineChars="0"/>
        <w:jc w:val="left"/>
        <w:outlineLvl w:val="2"/>
        <w:rPr>
          <w:rFonts w:ascii="宋体" w:hAnsi="宋体"/>
          <w:szCs w:val="21"/>
          <w:highlight w:val="none"/>
        </w:rPr>
      </w:pPr>
      <w:r>
        <w:rPr>
          <w:rFonts w:ascii="宋体" w:hAnsi="宋体"/>
          <w:highlight w:val="none"/>
        </w:rPr>
        <w:br w:type="page"/>
      </w:r>
      <w:bookmarkStart w:id="417" w:name="_Toc18201"/>
      <w:bookmarkStart w:id="418" w:name="_Toc3736"/>
      <w:bookmarkStart w:id="419" w:name="_Toc27223"/>
      <w:r>
        <w:rPr>
          <w:rFonts w:hint="eastAsia" w:ascii="宋体" w:hAnsi="宋体"/>
          <w:b/>
          <w:highlight w:val="none"/>
        </w:rPr>
        <w:t>C2、</w:t>
      </w:r>
      <w:bookmarkEnd w:id="417"/>
      <w:bookmarkEnd w:id="418"/>
      <w:bookmarkEnd w:id="419"/>
      <w:r>
        <w:rPr>
          <w:rFonts w:hint="eastAsia" w:ascii="宋体" w:hAnsi="宋体" w:cs="Times New Roman"/>
          <w:b/>
          <w:szCs w:val="24"/>
          <w:highlight w:val="none"/>
          <w:lang w:val="en-US" w:eastAsia="zh-CN"/>
        </w:rPr>
        <w:t>实施方案</w:t>
      </w:r>
    </w:p>
    <w:p w14:paraId="6C2E73CE">
      <w:pPr>
        <w:pStyle w:val="2"/>
        <w:ind w:left="0" w:leftChars="0" w:firstLine="0" w:firstLineChars="0"/>
        <w:rPr>
          <w:highlight w:val="none"/>
        </w:rPr>
      </w:pPr>
      <w:r>
        <w:rPr>
          <w:rFonts w:hint="eastAsia" w:ascii="宋体" w:hAnsi="宋体"/>
          <w:szCs w:val="21"/>
          <w:highlight w:val="none"/>
        </w:rPr>
        <w:t>注：如有</w:t>
      </w:r>
      <w:r>
        <w:rPr>
          <w:rFonts w:hint="eastAsia" w:ascii="宋体" w:hAnsi="宋体"/>
          <w:sz w:val="22"/>
          <w:highlight w:val="none"/>
        </w:rPr>
        <w:t>《技术标评审标准》评分的相应内容，请详细阐述并提供相关证明及说明。</w:t>
      </w:r>
    </w:p>
    <w:p w14:paraId="484919ED">
      <w:pPr>
        <w:rPr>
          <w:highlight w:val="none"/>
        </w:rPr>
      </w:pPr>
    </w:p>
    <w:p w14:paraId="5FDDB6DB">
      <w:pPr>
        <w:rPr>
          <w:highlight w:val="none"/>
        </w:rPr>
      </w:pPr>
    </w:p>
    <w:p w14:paraId="6EABC927">
      <w:pPr>
        <w:widowControl w:val="0"/>
        <w:autoSpaceDE w:val="0"/>
        <w:autoSpaceDN w:val="0"/>
        <w:adjustRightInd w:val="0"/>
        <w:snapToGrid w:val="0"/>
        <w:ind w:firstLine="0" w:firstLineChars="0"/>
        <w:rPr>
          <w:rFonts w:ascii="宋体" w:hAnsi="宋体"/>
          <w:szCs w:val="21"/>
          <w:highlight w:val="none"/>
        </w:rPr>
      </w:pPr>
    </w:p>
    <w:p w14:paraId="3DB4B638">
      <w:pPr>
        <w:widowControl w:val="0"/>
        <w:tabs>
          <w:tab w:val="left" w:pos="945"/>
        </w:tabs>
        <w:autoSpaceDE w:val="0"/>
        <w:autoSpaceDN w:val="0"/>
        <w:adjustRightInd w:val="0"/>
        <w:snapToGrid w:val="0"/>
        <w:ind w:firstLine="0" w:firstLineChars="0"/>
        <w:rPr>
          <w:rFonts w:ascii="宋体" w:hAnsi="宋体"/>
          <w:szCs w:val="21"/>
          <w:highlight w:val="none"/>
        </w:rPr>
      </w:pPr>
      <w:r>
        <w:rPr>
          <w:rFonts w:ascii="宋体" w:hAnsi="宋体"/>
          <w:szCs w:val="21"/>
          <w:highlight w:val="none"/>
        </w:rPr>
        <w:tab/>
      </w:r>
    </w:p>
    <w:p w14:paraId="39894470">
      <w:pPr>
        <w:widowControl w:val="0"/>
        <w:autoSpaceDE w:val="0"/>
        <w:autoSpaceDN w:val="0"/>
        <w:adjustRightInd w:val="0"/>
        <w:snapToGrid w:val="0"/>
        <w:ind w:firstLine="0" w:firstLineChars="0"/>
        <w:jc w:val="left"/>
        <w:outlineLvl w:val="2"/>
        <w:rPr>
          <w:rFonts w:hint="eastAsia" w:ascii="宋体" w:hAnsi="宋体"/>
          <w:szCs w:val="21"/>
          <w:highlight w:val="none"/>
        </w:rPr>
      </w:pPr>
      <w:r>
        <w:rPr>
          <w:rFonts w:ascii="宋体" w:hAnsi="宋体"/>
          <w:b/>
          <w:szCs w:val="21"/>
          <w:highlight w:val="none"/>
        </w:rPr>
        <w:br w:type="page"/>
      </w:r>
      <w:bookmarkStart w:id="420" w:name="_Toc1745"/>
      <w:bookmarkStart w:id="421" w:name="_Toc19979"/>
      <w:bookmarkStart w:id="422" w:name="_Toc14006"/>
      <w:r>
        <w:rPr>
          <w:rFonts w:hint="eastAsia" w:ascii="宋体" w:hAnsi="宋体"/>
          <w:b/>
          <w:highlight w:val="none"/>
          <w:lang w:val="en-US" w:eastAsia="zh-CN"/>
        </w:rPr>
        <w:t>C3、</w:t>
      </w:r>
      <w:bookmarkEnd w:id="420"/>
      <w:bookmarkEnd w:id="421"/>
      <w:bookmarkEnd w:id="422"/>
      <w:r>
        <w:rPr>
          <w:rFonts w:hint="eastAsia" w:ascii="宋体" w:hAnsi="宋体" w:cs="Times New Roman"/>
          <w:b/>
          <w:szCs w:val="24"/>
          <w:highlight w:val="none"/>
          <w:lang w:val="en-US" w:eastAsia="zh-CN"/>
        </w:rPr>
        <w:t>项目重点难点分析、应对措施</w:t>
      </w:r>
    </w:p>
    <w:p w14:paraId="7BDB4DD8">
      <w:pPr>
        <w:widowControl w:val="0"/>
        <w:autoSpaceDE w:val="0"/>
        <w:autoSpaceDN w:val="0"/>
        <w:adjustRightInd w:val="0"/>
        <w:snapToGrid w:val="0"/>
        <w:ind w:firstLine="0" w:firstLineChars="0"/>
        <w:jc w:val="left"/>
        <w:rPr>
          <w:rFonts w:hint="eastAsia" w:ascii="宋体" w:hAnsi="宋体"/>
          <w:szCs w:val="21"/>
          <w:highlight w:val="none"/>
        </w:rPr>
      </w:pPr>
    </w:p>
    <w:p w14:paraId="16BDBA18">
      <w:pPr>
        <w:widowControl w:val="0"/>
        <w:autoSpaceDE w:val="0"/>
        <w:autoSpaceDN w:val="0"/>
        <w:adjustRightInd w:val="0"/>
        <w:snapToGrid w:val="0"/>
        <w:ind w:firstLine="0" w:firstLineChars="0"/>
        <w:jc w:val="left"/>
        <w:rPr>
          <w:rFonts w:hint="eastAsia" w:ascii="宋体" w:hAnsi="宋体"/>
          <w:szCs w:val="21"/>
          <w:highlight w:val="none"/>
        </w:rPr>
      </w:pPr>
    </w:p>
    <w:p w14:paraId="70114AF5">
      <w:pPr>
        <w:widowControl w:val="0"/>
        <w:autoSpaceDE w:val="0"/>
        <w:autoSpaceDN w:val="0"/>
        <w:adjustRightInd w:val="0"/>
        <w:snapToGrid w:val="0"/>
        <w:ind w:firstLine="0" w:firstLineChars="0"/>
        <w:jc w:val="left"/>
        <w:rPr>
          <w:rFonts w:hint="eastAsia" w:ascii="宋体" w:hAnsi="宋体"/>
          <w:szCs w:val="21"/>
          <w:highlight w:val="none"/>
        </w:rPr>
      </w:pPr>
    </w:p>
    <w:p w14:paraId="57A1A72B">
      <w:pPr>
        <w:widowControl w:val="0"/>
        <w:autoSpaceDE w:val="0"/>
        <w:autoSpaceDN w:val="0"/>
        <w:adjustRightInd w:val="0"/>
        <w:snapToGrid w:val="0"/>
        <w:ind w:firstLine="0" w:firstLineChars="0"/>
        <w:jc w:val="left"/>
        <w:rPr>
          <w:rFonts w:hint="eastAsia" w:ascii="宋体" w:hAnsi="宋体"/>
          <w:szCs w:val="21"/>
          <w:highlight w:val="none"/>
        </w:rPr>
      </w:pPr>
    </w:p>
    <w:p w14:paraId="37DB3860">
      <w:pPr>
        <w:widowControl w:val="0"/>
        <w:autoSpaceDE w:val="0"/>
        <w:autoSpaceDN w:val="0"/>
        <w:adjustRightInd w:val="0"/>
        <w:snapToGrid w:val="0"/>
        <w:ind w:firstLine="0" w:firstLineChars="0"/>
        <w:jc w:val="left"/>
        <w:rPr>
          <w:rFonts w:hint="eastAsia" w:ascii="宋体" w:hAnsi="宋体"/>
          <w:szCs w:val="21"/>
          <w:highlight w:val="none"/>
        </w:rPr>
      </w:pPr>
    </w:p>
    <w:p w14:paraId="35EB9CC1">
      <w:pPr>
        <w:widowControl w:val="0"/>
        <w:autoSpaceDE w:val="0"/>
        <w:autoSpaceDN w:val="0"/>
        <w:adjustRightInd w:val="0"/>
        <w:snapToGrid w:val="0"/>
        <w:ind w:firstLine="0" w:firstLineChars="0"/>
        <w:jc w:val="left"/>
        <w:rPr>
          <w:rFonts w:hint="eastAsia" w:ascii="宋体" w:hAnsi="宋体"/>
          <w:szCs w:val="21"/>
          <w:highlight w:val="none"/>
        </w:rPr>
      </w:pPr>
    </w:p>
    <w:p w14:paraId="6E99D9C5">
      <w:pPr>
        <w:widowControl w:val="0"/>
        <w:autoSpaceDE w:val="0"/>
        <w:autoSpaceDN w:val="0"/>
        <w:adjustRightInd w:val="0"/>
        <w:snapToGrid w:val="0"/>
        <w:ind w:firstLine="0" w:firstLineChars="0"/>
        <w:jc w:val="left"/>
        <w:rPr>
          <w:rFonts w:hint="eastAsia" w:ascii="宋体" w:hAnsi="宋体"/>
          <w:szCs w:val="21"/>
          <w:highlight w:val="none"/>
        </w:rPr>
      </w:pPr>
    </w:p>
    <w:p w14:paraId="71F89F02">
      <w:pPr>
        <w:widowControl w:val="0"/>
        <w:autoSpaceDE w:val="0"/>
        <w:autoSpaceDN w:val="0"/>
        <w:adjustRightInd w:val="0"/>
        <w:snapToGrid w:val="0"/>
        <w:ind w:firstLine="0" w:firstLineChars="0"/>
        <w:jc w:val="left"/>
        <w:rPr>
          <w:rFonts w:hint="eastAsia" w:ascii="宋体" w:hAnsi="宋体"/>
          <w:szCs w:val="21"/>
          <w:highlight w:val="none"/>
        </w:rPr>
      </w:pPr>
    </w:p>
    <w:p w14:paraId="57E6E066">
      <w:pPr>
        <w:widowControl w:val="0"/>
        <w:autoSpaceDE w:val="0"/>
        <w:autoSpaceDN w:val="0"/>
        <w:adjustRightInd w:val="0"/>
        <w:snapToGrid w:val="0"/>
        <w:ind w:firstLine="0" w:firstLineChars="0"/>
        <w:jc w:val="left"/>
        <w:rPr>
          <w:rFonts w:hint="eastAsia" w:ascii="宋体" w:hAnsi="宋体"/>
          <w:szCs w:val="21"/>
          <w:highlight w:val="none"/>
        </w:rPr>
      </w:pPr>
    </w:p>
    <w:p w14:paraId="1CB774C6">
      <w:pPr>
        <w:widowControl w:val="0"/>
        <w:autoSpaceDE w:val="0"/>
        <w:autoSpaceDN w:val="0"/>
        <w:adjustRightInd w:val="0"/>
        <w:snapToGrid w:val="0"/>
        <w:ind w:firstLine="0" w:firstLineChars="0"/>
        <w:jc w:val="left"/>
        <w:rPr>
          <w:rFonts w:hint="eastAsia" w:ascii="宋体" w:hAnsi="宋体"/>
          <w:szCs w:val="21"/>
          <w:highlight w:val="none"/>
        </w:rPr>
      </w:pPr>
    </w:p>
    <w:p w14:paraId="02CD65EC">
      <w:pPr>
        <w:widowControl w:val="0"/>
        <w:autoSpaceDE w:val="0"/>
        <w:autoSpaceDN w:val="0"/>
        <w:adjustRightInd w:val="0"/>
        <w:snapToGrid w:val="0"/>
        <w:ind w:firstLine="0" w:firstLineChars="0"/>
        <w:jc w:val="left"/>
        <w:rPr>
          <w:rFonts w:hint="eastAsia" w:ascii="宋体" w:hAnsi="宋体"/>
          <w:szCs w:val="21"/>
          <w:highlight w:val="none"/>
        </w:rPr>
      </w:pPr>
    </w:p>
    <w:p w14:paraId="68F035C0">
      <w:pPr>
        <w:widowControl w:val="0"/>
        <w:autoSpaceDE w:val="0"/>
        <w:autoSpaceDN w:val="0"/>
        <w:adjustRightInd w:val="0"/>
        <w:snapToGrid w:val="0"/>
        <w:ind w:firstLine="0" w:firstLineChars="0"/>
        <w:jc w:val="left"/>
        <w:rPr>
          <w:rFonts w:hint="eastAsia" w:ascii="宋体" w:hAnsi="宋体"/>
          <w:szCs w:val="21"/>
          <w:highlight w:val="none"/>
        </w:rPr>
      </w:pPr>
    </w:p>
    <w:p w14:paraId="21611657">
      <w:pPr>
        <w:widowControl w:val="0"/>
        <w:autoSpaceDE w:val="0"/>
        <w:autoSpaceDN w:val="0"/>
        <w:adjustRightInd w:val="0"/>
        <w:snapToGrid w:val="0"/>
        <w:ind w:firstLine="0" w:firstLineChars="0"/>
        <w:jc w:val="left"/>
        <w:rPr>
          <w:rFonts w:hint="eastAsia" w:ascii="宋体" w:hAnsi="宋体"/>
          <w:szCs w:val="21"/>
          <w:highlight w:val="none"/>
        </w:rPr>
      </w:pPr>
    </w:p>
    <w:p w14:paraId="62938F4D">
      <w:pPr>
        <w:widowControl w:val="0"/>
        <w:autoSpaceDE w:val="0"/>
        <w:autoSpaceDN w:val="0"/>
        <w:adjustRightInd w:val="0"/>
        <w:snapToGrid w:val="0"/>
        <w:ind w:firstLine="0" w:firstLineChars="0"/>
        <w:jc w:val="left"/>
        <w:rPr>
          <w:rFonts w:hint="eastAsia" w:ascii="宋体" w:hAnsi="宋体"/>
          <w:szCs w:val="21"/>
          <w:highlight w:val="none"/>
        </w:rPr>
      </w:pPr>
    </w:p>
    <w:p w14:paraId="38A6DC84">
      <w:pPr>
        <w:widowControl w:val="0"/>
        <w:autoSpaceDE w:val="0"/>
        <w:autoSpaceDN w:val="0"/>
        <w:adjustRightInd w:val="0"/>
        <w:snapToGrid w:val="0"/>
        <w:ind w:firstLine="0" w:firstLineChars="0"/>
        <w:jc w:val="left"/>
        <w:rPr>
          <w:rFonts w:hint="eastAsia" w:ascii="宋体" w:hAnsi="宋体"/>
          <w:szCs w:val="21"/>
          <w:highlight w:val="none"/>
        </w:rPr>
      </w:pPr>
    </w:p>
    <w:p w14:paraId="4E220925">
      <w:pPr>
        <w:widowControl w:val="0"/>
        <w:autoSpaceDE w:val="0"/>
        <w:autoSpaceDN w:val="0"/>
        <w:adjustRightInd w:val="0"/>
        <w:snapToGrid w:val="0"/>
        <w:ind w:firstLine="0" w:firstLineChars="0"/>
        <w:jc w:val="left"/>
        <w:rPr>
          <w:rFonts w:hint="eastAsia" w:ascii="宋体" w:hAnsi="宋体"/>
          <w:szCs w:val="21"/>
          <w:highlight w:val="none"/>
        </w:rPr>
      </w:pPr>
    </w:p>
    <w:p w14:paraId="39983FD4">
      <w:pPr>
        <w:widowControl w:val="0"/>
        <w:autoSpaceDE w:val="0"/>
        <w:autoSpaceDN w:val="0"/>
        <w:adjustRightInd w:val="0"/>
        <w:snapToGrid w:val="0"/>
        <w:ind w:firstLine="0" w:firstLineChars="0"/>
        <w:jc w:val="left"/>
        <w:rPr>
          <w:rFonts w:hint="eastAsia" w:ascii="宋体" w:hAnsi="宋体"/>
          <w:szCs w:val="21"/>
          <w:highlight w:val="none"/>
        </w:rPr>
      </w:pPr>
    </w:p>
    <w:p w14:paraId="24535618">
      <w:pPr>
        <w:widowControl w:val="0"/>
        <w:autoSpaceDE w:val="0"/>
        <w:autoSpaceDN w:val="0"/>
        <w:adjustRightInd w:val="0"/>
        <w:snapToGrid w:val="0"/>
        <w:ind w:firstLine="0" w:firstLineChars="0"/>
        <w:jc w:val="left"/>
        <w:rPr>
          <w:rFonts w:hint="eastAsia" w:ascii="宋体" w:hAnsi="宋体"/>
          <w:szCs w:val="21"/>
          <w:highlight w:val="none"/>
        </w:rPr>
      </w:pPr>
    </w:p>
    <w:p w14:paraId="25A5E239">
      <w:pPr>
        <w:widowControl w:val="0"/>
        <w:autoSpaceDE w:val="0"/>
        <w:autoSpaceDN w:val="0"/>
        <w:adjustRightInd w:val="0"/>
        <w:snapToGrid w:val="0"/>
        <w:ind w:firstLine="0" w:firstLineChars="0"/>
        <w:jc w:val="left"/>
        <w:rPr>
          <w:rFonts w:hint="eastAsia" w:ascii="宋体" w:hAnsi="宋体"/>
          <w:szCs w:val="21"/>
          <w:highlight w:val="none"/>
        </w:rPr>
      </w:pPr>
    </w:p>
    <w:p w14:paraId="4CD94219">
      <w:pPr>
        <w:widowControl w:val="0"/>
        <w:autoSpaceDE w:val="0"/>
        <w:autoSpaceDN w:val="0"/>
        <w:adjustRightInd w:val="0"/>
        <w:snapToGrid w:val="0"/>
        <w:ind w:firstLine="0" w:firstLineChars="0"/>
        <w:jc w:val="left"/>
        <w:rPr>
          <w:rFonts w:hint="eastAsia" w:ascii="宋体" w:hAnsi="宋体"/>
          <w:szCs w:val="21"/>
          <w:highlight w:val="none"/>
        </w:rPr>
      </w:pPr>
    </w:p>
    <w:p w14:paraId="3BE7D2B6">
      <w:pPr>
        <w:widowControl w:val="0"/>
        <w:autoSpaceDE w:val="0"/>
        <w:autoSpaceDN w:val="0"/>
        <w:adjustRightInd w:val="0"/>
        <w:snapToGrid w:val="0"/>
        <w:ind w:firstLine="0" w:firstLineChars="0"/>
        <w:jc w:val="left"/>
        <w:rPr>
          <w:rFonts w:hint="eastAsia" w:ascii="宋体" w:hAnsi="宋体"/>
          <w:szCs w:val="21"/>
          <w:highlight w:val="none"/>
        </w:rPr>
      </w:pPr>
    </w:p>
    <w:p w14:paraId="50BCC146">
      <w:pPr>
        <w:widowControl w:val="0"/>
        <w:autoSpaceDE w:val="0"/>
        <w:autoSpaceDN w:val="0"/>
        <w:adjustRightInd w:val="0"/>
        <w:snapToGrid w:val="0"/>
        <w:ind w:firstLine="0" w:firstLineChars="0"/>
        <w:jc w:val="left"/>
        <w:rPr>
          <w:rFonts w:hint="eastAsia" w:ascii="宋体" w:hAnsi="宋体"/>
          <w:szCs w:val="21"/>
          <w:highlight w:val="none"/>
        </w:rPr>
      </w:pPr>
    </w:p>
    <w:p w14:paraId="66D5D469">
      <w:pPr>
        <w:widowControl w:val="0"/>
        <w:autoSpaceDE w:val="0"/>
        <w:autoSpaceDN w:val="0"/>
        <w:adjustRightInd w:val="0"/>
        <w:snapToGrid w:val="0"/>
        <w:ind w:firstLine="0" w:firstLineChars="0"/>
        <w:jc w:val="left"/>
        <w:rPr>
          <w:rFonts w:hint="eastAsia" w:ascii="宋体" w:hAnsi="宋体"/>
          <w:szCs w:val="21"/>
          <w:highlight w:val="none"/>
        </w:rPr>
      </w:pPr>
    </w:p>
    <w:p w14:paraId="5E3DDE23">
      <w:pPr>
        <w:widowControl w:val="0"/>
        <w:autoSpaceDE w:val="0"/>
        <w:autoSpaceDN w:val="0"/>
        <w:adjustRightInd w:val="0"/>
        <w:snapToGrid w:val="0"/>
        <w:ind w:firstLine="0" w:firstLineChars="0"/>
        <w:jc w:val="left"/>
        <w:rPr>
          <w:rFonts w:hint="eastAsia" w:ascii="宋体" w:hAnsi="宋体"/>
          <w:szCs w:val="21"/>
          <w:highlight w:val="none"/>
        </w:rPr>
      </w:pPr>
    </w:p>
    <w:p w14:paraId="43899700">
      <w:pPr>
        <w:widowControl w:val="0"/>
        <w:autoSpaceDE w:val="0"/>
        <w:autoSpaceDN w:val="0"/>
        <w:adjustRightInd w:val="0"/>
        <w:snapToGrid w:val="0"/>
        <w:ind w:firstLine="0" w:firstLineChars="0"/>
        <w:jc w:val="left"/>
        <w:rPr>
          <w:rFonts w:hint="eastAsia" w:ascii="宋体" w:hAnsi="宋体"/>
          <w:szCs w:val="21"/>
          <w:highlight w:val="none"/>
        </w:rPr>
      </w:pPr>
    </w:p>
    <w:p w14:paraId="261D2A22">
      <w:pPr>
        <w:widowControl w:val="0"/>
        <w:autoSpaceDE w:val="0"/>
        <w:autoSpaceDN w:val="0"/>
        <w:adjustRightInd w:val="0"/>
        <w:snapToGrid w:val="0"/>
        <w:ind w:firstLine="0" w:firstLineChars="0"/>
        <w:jc w:val="left"/>
        <w:rPr>
          <w:rFonts w:hint="eastAsia" w:ascii="宋体" w:hAnsi="宋体"/>
          <w:szCs w:val="21"/>
          <w:highlight w:val="none"/>
        </w:rPr>
      </w:pPr>
    </w:p>
    <w:p w14:paraId="59693A3D">
      <w:pPr>
        <w:widowControl w:val="0"/>
        <w:autoSpaceDE w:val="0"/>
        <w:autoSpaceDN w:val="0"/>
        <w:adjustRightInd w:val="0"/>
        <w:snapToGrid w:val="0"/>
        <w:ind w:firstLine="0" w:firstLineChars="0"/>
        <w:jc w:val="left"/>
        <w:rPr>
          <w:rFonts w:hint="eastAsia" w:ascii="宋体" w:hAnsi="宋体"/>
          <w:szCs w:val="21"/>
          <w:highlight w:val="none"/>
        </w:rPr>
      </w:pPr>
    </w:p>
    <w:p w14:paraId="50C6A172">
      <w:pPr>
        <w:widowControl w:val="0"/>
        <w:autoSpaceDE w:val="0"/>
        <w:autoSpaceDN w:val="0"/>
        <w:adjustRightInd w:val="0"/>
        <w:snapToGrid w:val="0"/>
        <w:ind w:firstLine="0" w:firstLineChars="0"/>
        <w:jc w:val="left"/>
        <w:rPr>
          <w:rFonts w:hint="eastAsia" w:ascii="宋体" w:hAnsi="宋体"/>
          <w:szCs w:val="21"/>
          <w:highlight w:val="none"/>
        </w:rPr>
      </w:pPr>
    </w:p>
    <w:p w14:paraId="44ABAA59">
      <w:pPr>
        <w:widowControl w:val="0"/>
        <w:autoSpaceDE w:val="0"/>
        <w:autoSpaceDN w:val="0"/>
        <w:adjustRightInd w:val="0"/>
        <w:snapToGrid w:val="0"/>
        <w:ind w:firstLine="0" w:firstLineChars="0"/>
        <w:jc w:val="left"/>
        <w:rPr>
          <w:rFonts w:hint="eastAsia" w:ascii="宋体" w:hAnsi="宋体"/>
          <w:szCs w:val="21"/>
          <w:highlight w:val="none"/>
        </w:rPr>
      </w:pPr>
    </w:p>
    <w:p w14:paraId="66773161">
      <w:pPr>
        <w:widowControl w:val="0"/>
        <w:autoSpaceDE w:val="0"/>
        <w:autoSpaceDN w:val="0"/>
        <w:adjustRightInd w:val="0"/>
        <w:snapToGrid w:val="0"/>
        <w:ind w:firstLine="0" w:firstLineChars="0"/>
        <w:jc w:val="left"/>
        <w:rPr>
          <w:rFonts w:hint="eastAsia" w:ascii="宋体" w:hAnsi="宋体"/>
          <w:szCs w:val="21"/>
          <w:highlight w:val="none"/>
        </w:rPr>
      </w:pPr>
    </w:p>
    <w:p w14:paraId="1E2620E1">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7E032F60">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03AE1A68">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C4、</w:t>
      </w:r>
      <w:r>
        <w:rPr>
          <w:rFonts w:hint="eastAsia" w:ascii="宋体" w:hAnsi="宋体" w:cs="Times New Roman"/>
          <w:b/>
          <w:szCs w:val="24"/>
          <w:highlight w:val="none"/>
        </w:rPr>
        <w:t>项目质量保障措施及售后服务</w:t>
      </w:r>
    </w:p>
    <w:p w14:paraId="363B13F5">
      <w:pPr>
        <w:rPr>
          <w:rFonts w:hint="eastAsia" w:ascii="宋体" w:hAnsi="宋体" w:cs="Times New Roman"/>
          <w:b/>
          <w:szCs w:val="24"/>
          <w:highlight w:val="none"/>
        </w:rPr>
      </w:pPr>
      <w:r>
        <w:rPr>
          <w:rFonts w:hint="eastAsia" w:ascii="宋体" w:hAnsi="宋体" w:cs="Times New Roman"/>
          <w:b/>
          <w:szCs w:val="24"/>
          <w:highlight w:val="none"/>
        </w:rPr>
        <w:br w:type="page"/>
      </w:r>
    </w:p>
    <w:p w14:paraId="12B45D0B">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C5、</w:t>
      </w:r>
      <w:r>
        <w:rPr>
          <w:rFonts w:hint="eastAsia" w:ascii="宋体" w:hAnsi="宋体" w:cs="Times New Roman"/>
          <w:b/>
          <w:szCs w:val="24"/>
          <w:highlight w:val="none"/>
        </w:rPr>
        <w:t>违约承诺</w:t>
      </w:r>
    </w:p>
    <w:p w14:paraId="19A593C2">
      <w:pPr>
        <w:rPr>
          <w:highlight w:val="none"/>
        </w:rPr>
      </w:pPr>
      <w:r>
        <w:rPr>
          <w:rFonts w:hint="eastAsia" w:ascii="宋体" w:hAnsi="宋体" w:cs="Times New Roman"/>
          <w:b/>
          <w:szCs w:val="24"/>
          <w:highlight w:val="none"/>
        </w:rPr>
        <w:br w:type="page"/>
      </w:r>
      <w:bookmarkEnd w:id="400"/>
      <w:bookmarkEnd w:id="401"/>
      <w:bookmarkEnd w:id="402"/>
      <w:bookmarkEnd w:id="403"/>
      <w:bookmarkEnd w:id="404"/>
      <w:bookmarkEnd w:id="405"/>
      <w:bookmarkEnd w:id="406"/>
      <w:bookmarkEnd w:id="407"/>
      <w:bookmarkEnd w:id="408"/>
      <w:bookmarkEnd w:id="416"/>
      <w:bookmarkStart w:id="423" w:name="_Toc49247169"/>
      <w:bookmarkStart w:id="424" w:name="_Toc2848"/>
      <w:bookmarkStart w:id="425" w:name="_Toc29558"/>
      <w:bookmarkStart w:id="426" w:name="_Toc102315646"/>
      <w:bookmarkStart w:id="427" w:name="_Toc201997996"/>
      <w:bookmarkStart w:id="428" w:name="_Toc153591804"/>
      <w:bookmarkStart w:id="429" w:name="_Toc102392597"/>
      <w:bookmarkStart w:id="430" w:name="_Toc103256567"/>
      <w:bookmarkStart w:id="431" w:name="_Toc102319448"/>
      <w:bookmarkStart w:id="432" w:name="_Toc103734977"/>
      <w:bookmarkStart w:id="433" w:name="_Toc103257484"/>
      <w:bookmarkStart w:id="434" w:name="_Toc201401708"/>
      <w:bookmarkStart w:id="435" w:name="_Toc153177847"/>
      <w:bookmarkStart w:id="436" w:name="_Toc199215991"/>
      <w:bookmarkStart w:id="437" w:name="_Toc201743167"/>
      <w:bookmarkStart w:id="438" w:name="_Toc103258079"/>
      <w:bookmarkStart w:id="439" w:name="_Toc201719168"/>
      <w:bookmarkStart w:id="440" w:name="_Toc102316715"/>
      <w:bookmarkStart w:id="441" w:name="_Toc102391902"/>
      <w:bookmarkStart w:id="442" w:name="_Toc103258639"/>
      <w:bookmarkStart w:id="443" w:name="_Toc102318076"/>
      <w:bookmarkStart w:id="444" w:name="_Toc103704738"/>
      <w:bookmarkStart w:id="445" w:name="_Toc102385731"/>
      <w:bookmarkStart w:id="446" w:name="_Toc102316470"/>
      <w:bookmarkStart w:id="447" w:name="_Toc153524107"/>
      <w:bookmarkStart w:id="448" w:name="_Toc201742912"/>
      <w:bookmarkStart w:id="449" w:name="_Toc280341042"/>
      <w:bookmarkStart w:id="450" w:name="_Toc103257699"/>
      <w:bookmarkStart w:id="451" w:name="_Toc102316949"/>
    </w:p>
    <w:p w14:paraId="6AFA37DE">
      <w:pPr>
        <w:rPr>
          <w:highlight w:val="none"/>
        </w:rPr>
      </w:pPr>
    </w:p>
    <w:p w14:paraId="0009F332">
      <w:pPr>
        <w:pStyle w:val="22"/>
        <w:rPr>
          <w:highlight w:val="none"/>
        </w:rPr>
      </w:pPr>
    </w:p>
    <w:p w14:paraId="6494D504">
      <w:pPr>
        <w:rPr>
          <w:highlight w:val="none"/>
        </w:rPr>
      </w:pPr>
    </w:p>
    <w:p w14:paraId="4B0FBFAD">
      <w:pPr>
        <w:pStyle w:val="22"/>
        <w:rPr>
          <w:highlight w:val="none"/>
        </w:rPr>
      </w:pPr>
    </w:p>
    <w:p w14:paraId="0989D150">
      <w:pPr>
        <w:rPr>
          <w:highlight w:val="none"/>
        </w:rPr>
      </w:pPr>
    </w:p>
    <w:p w14:paraId="7769259F">
      <w:pPr>
        <w:pStyle w:val="22"/>
        <w:rPr>
          <w:highlight w:val="none"/>
        </w:rPr>
      </w:pPr>
    </w:p>
    <w:p w14:paraId="1465FF38">
      <w:pPr>
        <w:rPr>
          <w:highlight w:val="none"/>
        </w:rPr>
      </w:pPr>
    </w:p>
    <w:p w14:paraId="6379EABB">
      <w:pPr>
        <w:pStyle w:val="22"/>
        <w:rPr>
          <w:highlight w:val="none"/>
        </w:rPr>
      </w:pPr>
    </w:p>
    <w:p w14:paraId="68676092">
      <w:pPr>
        <w:rPr>
          <w:highlight w:val="none"/>
        </w:rPr>
      </w:pPr>
    </w:p>
    <w:p w14:paraId="0F377EB8">
      <w:pPr>
        <w:ind w:left="0" w:firstLine="0" w:firstLineChars="0"/>
        <w:rPr>
          <w:rFonts w:hint="eastAsia" w:ascii="宋体" w:hAnsi="宋体" w:cs="Courier New"/>
          <w:b/>
          <w:bCs/>
          <w:sz w:val="44"/>
          <w:szCs w:val="44"/>
          <w:highlight w:val="none"/>
        </w:rPr>
      </w:pPr>
      <w:bookmarkStart w:id="452" w:name="_Toc17944"/>
      <w:bookmarkStart w:id="453" w:name="_Toc28814"/>
    </w:p>
    <w:p w14:paraId="7AC9F4A9">
      <w:pPr>
        <w:widowControl w:val="0"/>
        <w:autoSpaceDE w:val="0"/>
        <w:autoSpaceDN w:val="0"/>
        <w:adjustRightInd w:val="0"/>
        <w:snapToGrid w:val="0"/>
        <w:ind w:firstLine="0" w:firstLineChars="0"/>
        <w:jc w:val="center"/>
        <w:outlineLvl w:val="1"/>
        <w:rPr>
          <w:rFonts w:ascii="宋体" w:hAnsi="宋体" w:cs="Courier New"/>
          <w:bCs/>
          <w:sz w:val="84"/>
          <w:szCs w:val="84"/>
          <w:highlight w:val="none"/>
        </w:rPr>
        <w:sectPr>
          <w:headerReference r:id="rId7" w:type="default"/>
          <w:footerReference r:id="rId9" w:type="default"/>
          <w:headerReference r:id="rId8" w:type="even"/>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cs="Courier New"/>
          <w:b/>
          <w:bCs/>
          <w:sz w:val="44"/>
          <w:szCs w:val="44"/>
          <w:highlight w:val="none"/>
        </w:rPr>
        <w:t>四</w:t>
      </w:r>
      <w:r>
        <w:rPr>
          <w:rFonts w:ascii="宋体" w:hAnsi="宋体" w:cs="Courier New"/>
          <w:b/>
          <w:bCs/>
          <w:sz w:val="44"/>
          <w:szCs w:val="44"/>
          <w:highlight w:val="none"/>
        </w:rPr>
        <w:t>、</w:t>
      </w:r>
      <w:r>
        <w:rPr>
          <w:rFonts w:hint="eastAsia" w:ascii="宋体" w:hAnsi="宋体" w:cs="Courier New"/>
          <w:b/>
          <w:bCs/>
          <w:sz w:val="44"/>
          <w:szCs w:val="44"/>
          <w:highlight w:val="none"/>
        </w:rPr>
        <w:t>价格标部分</w:t>
      </w:r>
      <w:bookmarkEnd w:id="423"/>
      <w:bookmarkEnd w:id="424"/>
      <w:bookmarkEnd w:id="425"/>
      <w:bookmarkEnd w:id="452"/>
      <w:bookmarkEnd w:id="453"/>
    </w:p>
    <w:p w14:paraId="4915AEB5">
      <w:pPr>
        <w:widowControl w:val="0"/>
        <w:autoSpaceDE w:val="0"/>
        <w:autoSpaceDN w:val="0"/>
        <w:adjustRightInd w:val="0"/>
        <w:snapToGrid w:val="0"/>
        <w:ind w:firstLine="0" w:firstLineChars="0"/>
        <w:jc w:val="left"/>
        <w:outlineLvl w:val="2"/>
        <w:rPr>
          <w:rFonts w:ascii="宋体" w:hAnsi="宋体"/>
          <w:b/>
          <w:szCs w:val="21"/>
          <w:highlight w:val="none"/>
        </w:rPr>
      </w:pPr>
      <w:bookmarkStart w:id="454" w:name="_Toc3582"/>
      <w:bookmarkStart w:id="455" w:name="_Toc27186"/>
      <w:bookmarkStart w:id="456" w:name="_Toc16527"/>
      <w:r>
        <w:rPr>
          <w:rFonts w:hint="eastAsia" w:ascii="宋体" w:hAnsi="宋体"/>
          <w:b/>
          <w:szCs w:val="21"/>
          <w:highlight w:val="none"/>
        </w:rPr>
        <w:t>D1、投标</w:t>
      </w:r>
      <w:r>
        <w:rPr>
          <w:rFonts w:hint="eastAsia" w:ascii="宋体" w:hAnsi="宋体"/>
          <w:b/>
          <w:highlight w:val="none"/>
        </w:rPr>
        <w:t>报价</w:t>
      </w:r>
      <w:r>
        <w:rPr>
          <w:rFonts w:hint="eastAsia" w:ascii="宋体" w:hAnsi="宋体"/>
          <w:b/>
          <w:szCs w:val="21"/>
          <w:highlight w:val="none"/>
        </w:rPr>
        <w:t>一览表</w:t>
      </w:r>
      <w:bookmarkEnd w:id="454"/>
      <w:bookmarkEnd w:id="455"/>
      <w:bookmarkEnd w:id="456"/>
    </w:p>
    <w:p w14:paraId="0640CA4D">
      <w:pPr>
        <w:widowControl w:val="0"/>
        <w:autoSpaceDE w:val="0"/>
        <w:autoSpaceDN w:val="0"/>
        <w:adjustRightInd w:val="0"/>
        <w:snapToGrid w:val="0"/>
        <w:ind w:firstLine="0" w:firstLineChars="0"/>
        <w:jc w:val="left"/>
        <w:rPr>
          <w:rFonts w:ascii="宋体" w:hAnsi="宋体"/>
          <w:b/>
          <w:bCs/>
          <w:sz w:val="28"/>
          <w:szCs w:val="28"/>
          <w:highlight w:val="none"/>
        </w:rPr>
      </w:pPr>
      <w:r>
        <w:rPr>
          <w:rFonts w:ascii="宋体" w:hAnsi="宋体"/>
          <w:b/>
          <w:bCs/>
          <w:sz w:val="28"/>
          <w:szCs w:val="28"/>
          <w:highlight w:val="none"/>
        </w:rPr>
        <w:tab/>
      </w:r>
    </w:p>
    <w:p w14:paraId="66D86CF4">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投标报价一览表</w:t>
      </w:r>
    </w:p>
    <w:p w14:paraId="5742BC3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205DDFE3">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tbl>
      <w:tblPr>
        <w:tblStyle w:val="52"/>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68"/>
        <w:gridCol w:w="1269"/>
        <w:gridCol w:w="1200"/>
        <w:gridCol w:w="1503"/>
      </w:tblGrid>
      <w:tr w14:paraId="43EB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9" w:type="dxa"/>
            <w:tcBorders>
              <w:right w:val="single" w:color="auto" w:sz="2" w:space="0"/>
            </w:tcBorders>
            <w:shd w:val="clear" w:color="auto" w:fill="DBE5F1"/>
            <w:vAlign w:val="center"/>
          </w:tcPr>
          <w:p w14:paraId="4070BCC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项目名称</w:t>
            </w:r>
          </w:p>
        </w:tc>
        <w:tc>
          <w:tcPr>
            <w:tcW w:w="3268" w:type="dxa"/>
            <w:tcBorders>
              <w:left w:val="single" w:color="auto" w:sz="2" w:space="0"/>
            </w:tcBorders>
            <w:shd w:val="clear" w:color="auto" w:fill="DBE5F1"/>
            <w:vAlign w:val="center"/>
          </w:tcPr>
          <w:p w14:paraId="543E9130">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投标总价</w:t>
            </w:r>
          </w:p>
          <w:p w14:paraId="4BAAFB7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（人民币/元）</w:t>
            </w:r>
          </w:p>
        </w:tc>
        <w:tc>
          <w:tcPr>
            <w:tcW w:w="1269" w:type="dxa"/>
            <w:shd w:val="clear" w:color="auto" w:fill="DBE5F1"/>
            <w:vAlign w:val="center"/>
          </w:tcPr>
          <w:p w14:paraId="181A239F">
            <w:pPr>
              <w:widowControl w:val="0"/>
              <w:autoSpaceDE w:val="0"/>
              <w:autoSpaceDN w:val="0"/>
              <w:adjustRightInd w:val="0"/>
              <w:snapToGrid w:val="0"/>
              <w:ind w:firstLine="0" w:firstLineChars="0"/>
              <w:jc w:val="center"/>
              <w:rPr>
                <w:rFonts w:ascii="宋体" w:hAnsi="宋体" w:eastAsia="宋体"/>
                <w:b/>
                <w:szCs w:val="21"/>
                <w:highlight w:val="none"/>
                <w:lang w:val="en-US" w:eastAsia="zh-CN"/>
              </w:rPr>
            </w:pPr>
            <w:r>
              <w:rPr>
                <w:rFonts w:hint="eastAsia" w:ascii="宋体" w:hAnsi="宋体"/>
                <w:b/>
                <w:szCs w:val="21"/>
                <w:highlight w:val="none"/>
                <w:lang w:val="en-US" w:eastAsia="zh-CN"/>
              </w:rPr>
              <w:t>税率（%）</w:t>
            </w:r>
          </w:p>
        </w:tc>
        <w:tc>
          <w:tcPr>
            <w:tcW w:w="1200" w:type="dxa"/>
            <w:shd w:val="clear" w:color="auto" w:fill="DBE5F1"/>
            <w:vAlign w:val="center"/>
          </w:tcPr>
          <w:p w14:paraId="42C236A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服务期</w:t>
            </w:r>
          </w:p>
        </w:tc>
        <w:tc>
          <w:tcPr>
            <w:tcW w:w="1503" w:type="dxa"/>
            <w:shd w:val="clear" w:color="auto" w:fill="DBE5F1"/>
            <w:vAlign w:val="center"/>
          </w:tcPr>
          <w:p w14:paraId="0F96967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备注</w:t>
            </w:r>
          </w:p>
        </w:tc>
      </w:tr>
      <w:tr w14:paraId="3635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809" w:type="dxa"/>
            <w:tcBorders>
              <w:right w:val="single" w:color="auto" w:sz="2" w:space="0"/>
            </w:tcBorders>
            <w:vAlign w:val="center"/>
          </w:tcPr>
          <w:p w14:paraId="0A8F0A6E">
            <w:pPr>
              <w:widowControl w:val="0"/>
              <w:autoSpaceDE w:val="0"/>
              <w:autoSpaceDN w:val="0"/>
              <w:adjustRightInd w:val="0"/>
              <w:snapToGrid w:val="0"/>
              <w:ind w:firstLine="0" w:firstLineChars="0"/>
              <w:jc w:val="center"/>
              <w:rPr>
                <w:rFonts w:ascii="宋体" w:hAnsi="宋体" w:eastAsia="宋体" w:cs="宋体"/>
                <w:kern w:val="0"/>
                <w:szCs w:val="21"/>
                <w:highlight w:val="none"/>
                <w:lang w:val="en-US" w:eastAsia="zh-CN"/>
              </w:rPr>
            </w:pPr>
          </w:p>
        </w:tc>
        <w:tc>
          <w:tcPr>
            <w:tcW w:w="3268" w:type="dxa"/>
            <w:tcBorders>
              <w:left w:val="single" w:color="auto" w:sz="2" w:space="0"/>
            </w:tcBorders>
            <w:vAlign w:val="center"/>
          </w:tcPr>
          <w:p w14:paraId="4FF64132">
            <w:pPr>
              <w:widowControl w:val="0"/>
              <w:autoSpaceDE w:val="0"/>
              <w:autoSpaceDN w:val="0"/>
              <w:adjustRightInd w:val="0"/>
              <w:snapToGrid w:val="0"/>
              <w:ind w:firstLine="0" w:firstLineChars="0"/>
              <w:jc w:val="center"/>
              <w:rPr>
                <w:rFonts w:ascii="宋体" w:hAnsi="宋体"/>
                <w:szCs w:val="21"/>
                <w:highlight w:val="none"/>
              </w:rPr>
            </w:pPr>
          </w:p>
        </w:tc>
        <w:tc>
          <w:tcPr>
            <w:tcW w:w="1269" w:type="dxa"/>
            <w:vAlign w:val="center"/>
          </w:tcPr>
          <w:p w14:paraId="10474648">
            <w:pPr>
              <w:widowControl w:val="0"/>
              <w:autoSpaceDE w:val="0"/>
              <w:autoSpaceDN w:val="0"/>
              <w:adjustRightInd w:val="0"/>
              <w:snapToGrid w:val="0"/>
              <w:ind w:firstLine="0" w:firstLineChars="0"/>
              <w:jc w:val="center"/>
              <w:rPr>
                <w:rFonts w:hint="eastAsia" w:ascii="宋体" w:hAnsi="宋体"/>
                <w:szCs w:val="21"/>
                <w:highlight w:val="none"/>
                <w:lang w:val="en-US" w:eastAsia="zh-CN"/>
              </w:rPr>
            </w:pPr>
          </w:p>
        </w:tc>
        <w:tc>
          <w:tcPr>
            <w:tcW w:w="1200" w:type="dxa"/>
            <w:vAlign w:val="center"/>
          </w:tcPr>
          <w:p w14:paraId="68876F66">
            <w:pPr>
              <w:widowControl w:val="0"/>
              <w:autoSpaceDE w:val="0"/>
              <w:autoSpaceDN w:val="0"/>
              <w:adjustRightInd w:val="0"/>
              <w:snapToGrid w:val="0"/>
              <w:ind w:firstLine="0" w:firstLineChars="0"/>
              <w:jc w:val="center"/>
              <w:rPr>
                <w:rFonts w:ascii="宋体" w:hAnsi="宋体"/>
                <w:szCs w:val="21"/>
                <w:highlight w:val="none"/>
              </w:rPr>
            </w:pPr>
          </w:p>
        </w:tc>
        <w:tc>
          <w:tcPr>
            <w:tcW w:w="1503" w:type="dxa"/>
            <w:vAlign w:val="center"/>
          </w:tcPr>
          <w:p w14:paraId="614385AE">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提供增值税</w:t>
            </w:r>
            <w:r>
              <w:rPr>
                <w:rFonts w:hint="eastAsia" w:ascii="宋体" w:hAnsi="宋体"/>
                <w:szCs w:val="21"/>
                <w:highlight w:val="none"/>
                <w:lang w:val="en-US" w:eastAsia="zh-CN"/>
              </w:rPr>
              <w:t>发</w:t>
            </w:r>
            <w:r>
              <w:rPr>
                <w:rFonts w:hint="eastAsia" w:ascii="宋体" w:hAnsi="宋体"/>
                <w:szCs w:val="21"/>
                <w:highlight w:val="none"/>
              </w:rPr>
              <w:t>票种类：</w:t>
            </w:r>
          </w:p>
          <w:p w14:paraId="48EA0EC2">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 专票</w:t>
            </w:r>
          </w:p>
          <w:p w14:paraId="14CEC2E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普票</w:t>
            </w:r>
          </w:p>
        </w:tc>
      </w:tr>
    </w:tbl>
    <w:p w14:paraId="7B8F422B">
      <w:pPr>
        <w:widowControl w:val="0"/>
        <w:autoSpaceDE w:val="0"/>
        <w:autoSpaceDN w:val="0"/>
        <w:adjustRightInd w:val="0"/>
        <w:snapToGrid w:val="0"/>
        <w:ind w:firstLine="0" w:firstLineChars="0"/>
        <w:jc w:val="left"/>
        <w:rPr>
          <w:rFonts w:ascii="宋体" w:hAnsi="宋体"/>
          <w:highlight w:val="none"/>
        </w:rPr>
      </w:pPr>
    </w:p>
    <w:p w14:paraId="5BF92820">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583B7BE6">
      <w:pPr>
        <w:widowControl w:val="0"/>
        <w:autoSpaceDE w:val="0"/>
        <w:autoSpaceDN w:val="0"/>
        <w:adjustRightInd w:val="0"/>
        <w:snapToGrid w:val="0"/>
        <w:ind w:firstLine="0" w:firstLineChars="0"/>
        <w:jc w:val="left"/>
        <w:rPr>
          <w:rFonts w:ascii="宋体" w:hAnsi="宋体"/>
          <w:b/>
          <w:szCs w:val="21"/>
          <w:highlight w:val="none"/>
        </w:rPr>
      </w:pPr>
    </w:p>
    <w:p w14:paraId="19ED133D">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1 投标报价由投标单位自主报价，为价格评分的依据，但投标人的报价不超过招标的控制价</w:t>
      </w:r>
      <w:r>
        <w:rPr>
          <w:rFonts w:hint="eastAsia" w:ascii="宋体" w:hAnsi="宋体"/>
          <w:b/>
          <w:szCs w:val="21"/>
          <w:highlight w:val="none"/>
          <w:lang w:val="en-US" w:eastAsia="zh-CN"/>
        </w:rPr>
        <w:t>人民币595,000.00元</w:t>
      </w:r>
      <w:r>
        <w:rPr>
          <w:rFonts w:hint="eastAsia" w:ascii="宋体" w:hAnsi="宋体"/>
          <w:b/>
          <w:szCs w:val="21"/>
          <w:highlight w:val="none"/>
        </w:rPr>
        <w:t>，超过控制价，进行废标处理.</w:t>
      </w:r>
    </w:p>
    <w:p w14:paraId="58EE224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rPr>
        <w:tab/>
      </w:r>
      <w:r>
        <w:rPr>
          <w:rFonts w:hint="eastAsia" w:ascii="宋体" w:hAnsi="宋体"/>
          <w:b/>
          <w:szCs w:val="21"/>
          <w:highlight w:val="none"/>
        </w:rPr>
        <w:t>投标报价应包括招标文件所规定的招标范围的全部内容.</w:t>
      </w:r>
    </w:p>
    <w:p w14:paraId="600DBD63">
      <w:pPr>
        <w:pStyle w:val="68"/>
        <w:rPr>
          <w:rFonts w:ascii="宋体" w:hAnsi="宋体"/>
          <w:b/>
          <w:szCs w:val="21"/>
          <w:highlight w:val="none"/>
        </w:rPr>
      </w:pPr>
    </w:p>
    <w:p w14:paraId="07E22CA9">
      <w:pPr>
        <w:rPr>
          <w:rFonts w:ascii="宋体" w:hAnsi="宋体"/>
          <w:b/>
          <w:szCs w:val="21"/>
          <w:highlight w:val="none"/>
        </w:rPr>
      </w:pPr>
    </w:p>
    <w:p w14:paraId="24CA467F">
      <w:pPr>
        <w:pStyle w:val="68"/>
        <w:rPr>
          <w:rFonts w:ascii="宋体" w:hAnsi="宋体"/>
          <w:b/>
          <w:szCs w:val="21"/>
          <w:highlight w:val="none"/>
        </w:rPr>
      </w:pPr>
    </w:p>
    <w:p w14:paraId="553929E3">
      <w:pPr>
        <w:rPr>
          <w:rFonts w:ascii="宋体" w:hAnsi="宋体"/>
          <w:b/>
          <w:szCs w:val="21"/>
          <w:highlight w:val="none"/>
        </w:rPr>
      </w:pPr>
    </w:p>
    <w:p w14:paraId="69F28820">
      <w:pPr>
        <w:pStyle w:val="68"/>
        <w:rPr>
          <w:rFonts w:ascii="宋体" w:hAnsi="宋体"/>
          <w:b/>
          <w:szCs w:val="21"/>
          <w:highlight w:val="none"/>
        </w:rPr>
      </w:pPr>
    </w:p>
    <w:p w14:paraId="38CF695B">
      <w:pPr>
        <w:ind w:firstLine="0" w:firstLineChars="0"/>
        <w:rPr>
          <w:rFonts w:ascii="宋体" w:hAnsi="宋体"/>
          <w:b/>
          <w:szCs w:val="21"/>
          <w:highlight w:val="none"/>
        </w:rPr>
      </w:pPr>
    </w:p>
    <w:p w14:paraId="719BF52A">
      <w:pPr>
        <w:widowControl/>
        <w:autoSpaceDE/>
        <w:autoSpaceDN/>
        <w:adjustRightInd/>
        <w:snapToGrid/>
        <w:ind w:firstLine="0" w:firstLineChars="0"/>
        <w:jc w:val="left"/>
        <w:outlineLvl w:val="9"/>
        <w:rPr>
          <w:rFonts w:hint="eastAsia" w:ascii="宋体" w:hAnsi="宋体"/>
          <w:b/>
          <w:szCs w:val="21"/>
          <w:highlight w:val="none"/>
        </w:rPr>
      </w:pPr>
      <w:r>
        <w:rPr>
          <w:rFonts w:hint="eastAsia" w:ascii="宋体" w:hAnsi="宋体"/>
          <w:b/>
          <w:szCs w:val="21"/>
          <w:highlight w:val="none"/>
        </w:rPr>
        <w:br w:type="page"/>
      </w:r>
    </w:p>
    <w:p w14:paraId="7BEE7AF0">
      <w:pPr>
        <w:widowControl w:val="0"/>
        <w:autoSpaceDE w:val="0"/>
        <w:autoSpaceDN w:val="0"/>
        <w:adjustRightInd w:val="0"/>
        <w:snapToGrid w:val="0"/>
        <w:ind w:firstLine="0" w:firstLineChars="0"/>
        <w:jc w:val="left"/>
        <w:outlineLvl w:val="2"/>
        <w:rPr>
          <w:rFonts w:hint="eastAsia" w:ascii="宋体" w:hAnsi="宋体" w:eastAsia="宋体"/>
          <w:b/>
          <w:szCs w:val="21"/>
          <w:highlight w:val="none"/>
          <w:lang w:eastAsia="zh-CN"/>
        </w:rPr>
      </w:pPr>
      <w:r>
        <w:rPr>
          <w:rFonts w:hint="eastAsia" w:ascii="宋体" w:hAnsi="宋体"/>
          <w:b/>
          <w:szCs w:val="21"/>
          <w:highlight w:val="none"/>
        </w:rPr>
        <w:t>D2、投标分项报价表</w:t>
      </w:r>
    </w:p>
    <w:p w14:paraId="7BCD881B">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投标分项报价表</w:t>
      </w:r>
    </w:p>
    <w:p w14:paraId="2117AAE8">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0AB442D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p w14:paraId="0E808D31">
      <w:pPr>
        <w:widowControl w:val="0"/>
        <w:autoSpaceDE w:val="0"/>
        <w:autoSpaceDN w:val="0"/>
        <w:adjustRightInd w:val="0"/>
        <w:snapToGrid w:val="0"/>
        <w:ind w:firstLine="0" w:firstLineChars="0"/>
        <w:jc w:val="left"/>
        <w:rPr>
          <w:rFonts w:ascii="宋体" w:hAnsi="宋体"/>
          <w:szCs w:val="21"/>
          <w:highlight w:val="none"/>
          <w:u w:val="single"/>
        </w:rPr>
      </w:pPr>
    </w:p>
    <w:p w14:paraId="295C7A5D">
      <w:pPr>
        <w:widowControl w:val="0"/>
        <w:autoSpaceDE w:val="0"/>
        <w:autoSpaceDN w:val="0"/>
        <w:adjustRightInd w:val="0"/>
        <w:snapToGrid w:val="0"/>
        <w:ind w:firstLine="0" w:firstLineChars="0"/>
        <w:jc w:val="left"/>
        <w:rPr>
          <w:rFonts w:ascii="宋体" w:hAnsi="宋体"/>
          <w:szCs w:val="21"/>
          <w:highlight w:val="none"/>
          <w:u w:val="singl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8"/>
        <w:gridCol w:w="3763"/>
        <w:gridCol w:w="1000"/>
        <w:gridCol w:w="850"/>
        <w:gridCol w:w="812"/>
      </w:tblGrid>
      <w:tr w14:paraId="017B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98" w:type="dxa"/>
          </w:tcPr>
          <w:p w14:paraId="0EDC5AC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kern w:val="2"/>
                <w:sz w:val="28"/>
                <w:szCs w:val="28"/>
              </w:rPr>
              <w:t>服务内容</w:t>
            </w:r>
          </w:p>
        </w:tc>
        <w:tc>
          <w:tcPr>
            <w:tcW w:w="3763" w:type="dxa"/>
          </w:tcPr>
          <w:p w14:paraId="331368B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执行要求</w:t>
            </w:r>
          </w:p>
        </w:tc>
        <w:tc>
          <w:tcPr>
            <w:tcW w:w="1000" w:type="dxa"/>
          </w:tcPr>
          <w:p w14:paraId="585823B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单价</w:t>
            </w:r>
          </w:p>
        </w:tc>
        <w:tc>
          <w:tcPr>
            <w:tcW w:w="850" w:type="dxa"/>
          </w:tcPr>
          <w:p w14:paraId="5A79D9CB">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数量</w:t>
            </w:r>
          </w:p>
        </w:tc>
        <w:tc>
          <w:tcPr>
            <w:tcW w:w="812" w:type="dxa"/>
          </w:tcPr>
          <w:p w14:paraId="6EF62AF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rPr>
              <w:t>金额</w:t>
            </w:r>
          </w:p>
        </w:tc>
      </w:tr>
      <w:tr w14:paraId="545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2323F82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一、大湾区主流媒体深入报道</w:t>
            </w:r>
          </w:p>
        </w:tc>
        <w:tc>
          <w:tcPr>
            <w:tcW w:w="3763" w:type="dxa"/>
          </w:tcPr>
          <w:p w14:paraId="05C1A5FD">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组织新华社、学习强国、南方日报、深圳晚报等大湾区主流媒体开展赛事报道，累计不少于200条；覆盖新闻客户端、微信公众号、视频号、抖音、小红书等平台。</w:t>
            </w:r>
          </w:p>
        </w:tc>
        <w:tc>
          <w:tcPr>
            <w:tcW w:w="1000" w:type="dxa"/>
          </w:tcPr>
          <w:p w14:paraId="09DFF7D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41A6E1B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317265E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5FDF88B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33B359A6">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6EA9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3286640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二、羽毛球领域KOL城市宣推</w:t>
            </w:r>
          </w:p>
        </w:tc>
        <w:tc>
          <w:tcPr>
            <w:tcW w:w="3763" w:type="dxa"/>
          </w:tcPr>
          <w:p w14:paraId="35BFB9C2">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邀请不少于6名羽毛球领域优质短视频创作者开展原创内容传播，其中粉丝量1000万以上创作者不少于1人，围绕赛事探馆、城市体验、票根经济等主题制作内容。</w:t>
            </w:r>
          </w:p>
        </w:tc>
        <w:tc>
          <w:tcPr>
            <w:tcW w:w="1000" w:type="dxa"/>
          </w:tcPr>
          <w:p w14:paraId="75B7ED2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2C84FF7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49B86DC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71449E1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15405E07">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1999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6B0BD9C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三、深圳本地生活/体育博主宣推</w:t>
            </w:r>
          </w:p>
        </w:tc>
        <w:tc>
          <w:tcPr>
            <w:tcW w:w="3763" w:type="dxa"/>
          </w:tcPr>
          <w:p w14:paraId="34130AF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名深圳本地体育、美食、旅行等领域创作者，开展图文或视频传播，推广赛事观赛及城市消费体验。</w:t>
            </w:r>
          </w:p>
        </w:tc>
        <w:tc>
          <w:tcPr>
            <w:tcW w:w="1000" w:type="dxa"/>
          </w:tcPr>
          <w:p w14:paraId="79B434BE">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158E8E2D">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2047F102">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1ED1BBE5">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0FE3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42877669">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四、官方素材全平台推广</w:t>
            </w:r>
          </w:p>
        </w:tc>
        <w:tc>
          <w:tcPr>
            <w:tcW w:w="3763" w:type="dxa"/>
          </w:tcPr>
          <w:p w14:paraId="101C696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完成赛事官方摄影、视频短片、票根福利海报、打卡场景图等素材的全平台分发；比赛期间每日完成素材传播及赛后归档。</w:t>
            </w:r>
          </w:p>
        </w:tc>
        <w:tc>
          <w:tcPr>
            <w:tcW w:w="1000" w:type="dxa"/>
          </w:tcPr>
          <w:p w14:paraId="7D9F9970">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26A3F8CC">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70410E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5534969B">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6BBB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43D45A14">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五、赛事主题新闻稿撰写及发布</w:t>
            </w:r>
          </w:p>
        </w:tc>
        <w:tc>
          <w:tcPr>
            <w:tcW w:w="3763" w:type="dxa"/>
          </w:tcPr>
          <w:p w14:paraId="1FA04127">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围绕‘办赛事·办城市·兴湾区’主题，完成开票期、赛前预热、赛时报道、赛后总结、体育故事等新闻稿件不少于20篇。</w:t>
            </w:r>
          </w:p>
        </w:tc>
        <w:tc>
          <w:tcPr>
            <w:tcW w:w="1000" w:type="dxa"/>
          </w:tcPr>
          <w:p w14:paraId="6E5FB85A">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7619095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636A7E3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017E05B4">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0B9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062389E6">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六、主流媒体主播体验活动</w:t>
            </w:r>
          </w:p>
        </w:tc>
        <w:tc>
          <w:tcPr>
            <w:tcW w:w="3763" w:type="dxa"/>
          </w:tcPr>
          <w:p w14:paraId="5BD4D69D">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邀请不少于2家主流媒体参与城市体验，制作</w:t>
            </w:r>
            <w:r>
              <w:rPr>
                <w:rFonts w:hint="eastAsia" w:ascii="仿宋_GB2312" w:hAnsi="仿宋_GB2312" w:eastAsia="仿宋_GB2312" w:cs="仿宋_GB2312"/>
                <w:kern w:val="2"/>
                <w:sz w:val="21"/>
                <w:szCs w:val="21"/>
                <w:lang w:val="en-US" w:eastAsia="zh-CN"/>
              </w:rPr>
              <w:t>不少于3条有关</w:t>
            </w:r>
            <w:r>
              <w:rPr>
                <w:rFonts w:hint="eastAsia" w:ascii="仿宋_GB2312" w:hAnsi="仿宋_GB2312" w:eastAsia="仿宋_GB2312" w:cs="仿宋_GB2312"/>
                <w:kern w:val="2"/>
                <w:sz w:val="21"/>
                <w:szCs w:val="21"/>
              </w:rPr>
              <w:t>大师赛×深圳城市地标</w:t>
            </w:r>
            <w:r>
              <w:rPr>
                <w:rFonts w:hint="eastAsia" w:ascii="仿宋_GB2312" w:hAnsi="仿宋_GB2312" w:eastAsia="仿宋_GB2312" w:cs="仿宋_GB2312"/>
                <w:kern w:val="2"/>
                <w:sz w:val="21"/>
                <w:szCs w:val="21"/>
                <w:lang w:val="en-US" w:eastAsia="zh-CN"/>
              </w:rPr>
              <w:t>的</w:t>
            </w:r>
            <w:r>
              <w:rPr>
                <w:rFonts w:hint="eastAsia" w:ascii="仿宋_GB2312" w:hAnsi="仿宋_GB2312" w:eastAsia="仿宋_GB2312" w:cs="仿宋_GB2312"/>
                <w:kern w:val="2"/>
                <w:sz w:val="21"/>
                <w:szCs w:val="21"/>
              </w:rPr>
              <w:t>原创视频</w:t>
            </w:r>
            <w:r>
              <w:rPr>
                <w:rFonts w:hint="eastAsia" w:ascii="仿宋_GB2312" w:hAnsi="仿宋_GB2312" w:eastAsia="仿宋_GB2312" w:cs="仿宋_GB2312"/>
                <w:kern w:val="2"/>
                <w:sz w:val="21"/>
                <w:szCs w:val="21"/>
                <w:lang w:val="en-US" w:eastAsia="zh-CN"/>
              </w:rPr>
              <w:t>或</w:t>
            </w:r>
            <w:r>
              <w:rPr>
                <w:rFonts w:hint="eastAsia" w:ascii="仿宋_GB2312" w:hAnsi="仿宋_GB2312" w:eastAsia="仿宋_GB2312" w:cs="仿宋_GB2312"/>
                <w:kern w:val="2"/>
                <w:sz w:val="21"/>
                <w:szCs w:val="21"/>
              </w:rPr>
              <w:t>外国友人视角城市传播视频。</w:t>
            </w:r>
          </w:p>
        </w:tc>
        <w:tc>
          <w:tcPr>
            <w:tcW w:w="1000" w:type="dxa"/>
          </w:tcPr>
          <w:p w14:paraId="1024B258">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18F0A82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3CAAECE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30CC4741">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7E7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0B83A292">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七、地铁广告投放</w:t>
            </w:r>
          </w:p>
        </w:tc>
        <w:tc>
          <w:tcPr>
            <w:tcW w:w="3763" w:type="dxa"/>
          </w:tcPr>
          <w:p w14:paraId="263AB85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完成深圳地铁12封灯箱广告投放，</w:t>
            </w:r>
            <w:r>
              <w:rPr>
                <w:rFonts w:hint="eastAsia" w:ascii="仿宋_GB2312" w:hAnsi="仿宋_GB2312" w:eastAsia="仿宋_GB2312" w:cs="仿宋_GB2312"/>
                <w:kern w:val="2"/>
                <w:sz w:val="21"/>
                <w:szCs w:val="21"/>
                <w:lang w:val="en-US" w:eastAsia="zh-CN"/>
              </w:rPr>
              <w:t>总数10个（其中5个S级、5个A++级，以深圳地铁官方分级为准），</w:t>
            </w:r>
            <w:r>
              <w:rPr>
                <w:rFonts w:hint="eastAsia" w:ascii="仿宋_GB2312" w:hAnsi="仿宋_GB2312" w:eastAsia="仿宋_GB2312" w:cs="仿宋_GB2312"/>
                <w:kern w:val="2"/>
                <w:sz w:val="21"/>
                <w:szCs w:val="21"/>
              </w:rPr>
              <w:t>周期覆盖赛事宣传阶段。</w:t>
            </w:r>
          </w:p>
        </w:tc>
        <w:tc>
          <w:tcPr>
            <w:tcW w:w="1000" w:type="dxa"/>
          </w:tcPr>
          <w:p w14:paraId="76F7FCFD">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107FF89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1A0D1D75">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53741F2E">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78B7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778F66E0">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八</w:t>
            </w:r>
            <w:r>
              <w:rPr>
                <w:rFonts w:hint="eastAsia" w:ascii="仿宋_GB2312" w:hAnsi="仿宋_GB2312" w:eastAsia="仿宋_GB2312" w:cs="仿宋_GB2312"/>
                <w:kern w:val="2"/>
                <w:sz w:val="21"/>
                <w:szCs w:val="21"/>
              </w:rPr>
              <w:t>、舆情辅助服务</w:t>
            </w:r>
          </w:p>
        </w:tc>
        <w:tc>
          <w:tcPr>
            <w:tcW w:w="3763" w:type="dxa"/>
          </w:tcPr>
          <w:p w14:paraId="7D57DC0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根据赛事传播需求，通过自有媒体账号及传播渠道开展正向宣传及舆情辅助工作。</w:t>
            </w:r>
          </w:p>
        </w:tc>
        <w:tc>
          <w:tcPr>
            <w:tcW w:w="1000" w:type="dxa"/>
          </w:tcPr>
          <w:p w14:paraId="0A07BAC9">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0D7B98C3">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7D4880DA">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0DAD635C">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r w14:paraId="53E8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tcPr>
          <w:p w14:paraId="6C177A7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九</w:t>
            </w:r>
            <w:r>
              <w:rPr>
                <w:rFonts w:hint="eastAsia" w:ascii="仿宋_GB2312" w:hAnsi="仿宋_GB2312" w:eastAsia="仿宋_GB2312" w:cs="仿宋_GB2312"/>
                <w:kern w:val="2"/>
                <w:sz w:val="21"/>
                <w:szCs w:val="21"/>
              </w:rPr>
              <w:t>、项目统筹及执行服务</w:t>
            </w:r>
          </w:p>
        </w:tc>
        <w:tc>
          <w:tcPr>
            <w:tcW w:w="3763" w:type="dxa"/>
          </w:tcPr>
          <w:p w14:paraId="2F24E77E">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rPr>
              <w:t>负责整体传播策划、媒体协调、内容审核、传播数据统计、项目管理及成果汇总交付。</w:t>
            </w:r>
          </w:p>
        </w:tc>
        <w:tc>
          <w:tcPr>
            <w:tcW w:w="1000" w:type="dxa"/>
          </w:tcPr>
          <w:p w14:paraId="24CC8105">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c>
          <w:tcPr>
            <w:tcW w:w="850" w:type="dxa"/>
          </w:tcPr>
          <w:p w14:paraId="3599EF21">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both"/>
              <w:textAlignment w:val="auto"/>
              <w:rPr>
                <w:rFonts w:hint="eastAsia" w:ascii="仿宋_GB2312" w:hAnsi="仿宋_GB2312" w:eastAsia="仿宋_GB2312" w:cs="仿宋_GB2312"/>
                <w:sz w:val="21"/>
                <w:szCs w:val="21"/>
                <w:lang w:val="en-US" w:eastAsia="zh-CN"/>
              </w:rPr>
            </w:pPr>
          </w:p>
          <w:p w14:paraId="5113568F">
            <w:pPr>
              <w:keepNext w:val="0"/>
              <w:keepLines w:val="0"/>
              <w:pageBreakBefore w:val="0"/>
              <w:widowControl/>
              <w:kinsoku/>
              <w:wordWrap/>
              <w:overflowPunct/>
              <w:topLinePunct w:val="0"/>
              <w:autoSpaceDE/>
              <w:autoSpaceDN/>
              <w:bidi w:val="0"/>
              <w:adjustRightInd/>
              <w:snapToGrid/>
              <w:spacing w:after="0" w:line="400" w:lineRule="exact"/>
              <w:ind w:left="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lang w:val="en-US" w:eastAsia="zh-CN"/>
              </w:rPr>
              <w:t>1</w:t>
            </w:r>
          </w:p>
        </w:tc>
        <w:tc>
          <w:tcPr>
            <w:tcW w:w="812" w:type="dxa"/>
          </w:tcPr>
          <w:p w14:paraId="069B4EA9">
            <w:pPr>
              <w:keepNext w:val="0"/>
              <w:keepLines w:val="0"/>
              <w:pageBreakBefore w:val="0"/>
              <w:widowControl/>
              <w:kinsoku/>
              <w:wordWrap/>
              <w:overflowPunct/>
              <w:topLinePunct w:val="0"/>
              <w:autoSpaceDE/>
              <w:autoSpaceDN/>
              <w:bidi w:val="0"/>
              <w:adjustRightInd/>
              <w:snapToGrid/>
              <w:spacing w:after="0" w:line="400" w:lineRule="exact"/>
              <w:ind w:left="840"/>
              <w:jc w:val="both"/>
              <w:textAlignment w:val="auto"/>
              <w:rPr>
                <w:rFonts w:hint="eastAsia" w:ascii="仿宋_GB2312" w:hAnsi="仿宋_GB2312" w:eastAsia="仿宋_GB2312" w:cs="仿宋_GB2312"/>
                <w:sz w:val="21"/>
                <w:szCs w:val="21"/>
              </w:rPr>
            </w:pPr>
          </w:p>
        </w:tc>
      </w:tr>
    </w:tbl>
    <w:p w14:paraId="060E5B56">
      <w:pPr>
        <w:widowControl w:val="0"/>
        <w:autoSpaceDE w:val="0"/>
        <w:autoSpaceDN w:val="0"/>
        <w:adjustRightInd w:val="0"/>
        <w:snapToGrid w:val="0"/>
        <w:ind w:firstLine="0" w:firstLineChars="0"/>
        <w:jc w:val="left"/>
        <w:rPr>
          <w:rFonts w:ascii="宋体" w:hAnsi="宋体"/>
          <w:szCs w:val="21"/>
          <w:highlight w:val="none"/>
          <w:u w:val="single"/>
        </w:rPr>
      </w:pPr>
    </w:p>
    <w:p w14:paraId="1D462BB2">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4E9163AA">
      <w:pPr>
        <w:widowControl w:val="0"/>
        <w:autoSpaceDE w:val="0"/>
        <w:autoSpaceDN w:val="0"/>
        <w:adjustRightInd w:val="0"/>
        <w:snapToGrid w:val="0"/>
        <w:ind w:firstLine="0" w:firstLineChars="0"/>
        <w:jc w:val="left"/>
        <w:rPr>
          <w:rFonts w:ascii="宋体" w:hAnsi="宋体"/>
          <w:szCs w:val="21"/>
          <w:highlight w:val="none"/>
          <w:u w:val="single"/>
        </w:rPr>
      </w:pPr>
    </w:p>
    <w:p w14:paraId="02B49493">
      <w:pPr>
        <w:widowControl w:val="0"/>
        <w:autoSpaceDE w:val="0"/>
        <w:autoSpaceDN w:val="0"/>
        <w:adjustRightInd w:val="0"/>
        <w:snapToGrid w:val="0"/>
        <w:ind w:firstLine="0" w:firstLineChars="0"/>
        <w:jc w:val="left"/>
        <w:rPr>
          <w:rFonts w:ascii="宋体" w:hAnsi="宋体"/>
          <w:szCs w:val="21"/>
          <w:highlight w:val="none"/>
          <w:u w:val="single"/>
        </w:rPr>
      </w:pPr>
    </w:p>
    <w:p w14:paraId="6EE0B910">
      <w:pPr>
        <w:widowControl w:val="0"/>
        <w:autoSpaceDE w:val="0"/>
        <w:autoSpaceDN w:val="0"/>
        <w:adjustRightInd w:val="0"/>
        <w:snapToGrid w:val="0"/>
        <w:spacing w:line="240" w:lineRule="atLeast"/>
        <w:ind w:firstLine="0" w:firstLineChars="0"/>
        <w:jc w:val="left"/>
        <w:rPr>
          <w:ins w:id="47" w:author="盈科律师" w:date="2026-07-14T09:22:12Z"/>
          <w:rFonts w:hint="eastAsia" w:ascii="宋体" w:hAnsi="宋体"/>
          <w:b/>
          <w:bCs/>
          <w:szCs w:val="21"/>
          <w:highlight w:val="none"/>
          <w:u w:val="single"/>
        </w:rPr>
      </w:pPr>
      <w:r>
        <w:rPr>
          <w:rFonts w:hint="eastAsia" w:ascii="宋体" w:hAnsi="宋体"/>
          <w:b/>
          <w:bCs/>
          <w:szCs w:val="21"/>
          <w:highlight w:val="none"/>
          <w:u w:val="single"/>
        </w:rPr>
        <w:t>备注：</w:t>
      </w:r>
    </w:p>
    <w:p w14:paraId="3165C9A4">
      <w:pPr>
        <w:widowControl w:val="0"/>
        <w:numPr>
          <w:ilvl w:val="0"/>
          <w:numId w:val="12"/>
          <w:ins w:id="49" w:author="盈科律师" w:date="2026-07-14T09:22:32Z"/>
        </w:numPr>
        <w:autoSpaceDE w:val="0"/>
        <w:autoSpaceDN w:val="0"/>
        <w:adjustRightInd w:val="0"/>
        <w:snapToGrid w:val="0"/>
        <w:spacing w:line="240" w:lineRule="atLeast"/>
        <w:ind w:firstLine="0" w:firstLineChars="0"/>
        <w:jc w:val="left"/>
        <w:rPr>
          <w:ins w:id="50" w:author="盈科律师" w:date="2026-07-14T09:22:32Z"/>
          <w:rFonts w:hint="eastAsia" w:ascii="宋体" w:hAnsi="宋体"/>
          <w:b/>
          <w:bCs/>
          <w:szCs w:val="21"/>
          <w:highlight w:val="none"/>
          <w:u w:val="single"/>
        </w:rPr>
        <w:pPrChange w:id="48" w:author="盈科律师" w:date="2026-07-14T09:22:32Z">
          <w:pPr>
            <w:widowControl w:val="0"/>
            <w:autoSpaceDE w:val="0"/>
            <w:autoSpaceDN w:val="0"/>
            <w:adjustRightInd w:val="0"/>
            <w:snapToGrid w:val="0"/>
            <w:spacing w:line="240" w:lineRule="atLeast"/>
            <w:ind w:firstLine="0" w:firstLineChars="0"/>
            <w:jc w:val="left"/>
          </w:pPr>
        </w:pPrChange>
      </w:pPr>
      <w:ins w:id="51" w:author="盈科律师" w:date="2026-07-14T09:22:16Z">
        <w:r>
          <w:rPr>
            <w:rFonts w:hint="eastAsia" w:ascii="宋体" w:hAnsi="宋体"/>
            <w:b/>
            <w:bCs/>
            <w:szCs w:val="21"/>
            <w:highlight w:val="none"/>
            <w:u w:val="single"/>
          </w:rPr>
          <w:t>本《投标分项报价表》是对投标总价的构成分析，用于招标人评审和比价。</w:t>
        </w:r>
      </w:ins>
    </w:p>
    <w:p w14:paraId="184B0623">
      <w:pPr>
        <w:widowControl w:val="0"/>
        <w:numPr>
          <w:ilvl w:val="0"/>
          <w:numId w:val="12"/>
          <w:ins w:id="53" w:author="盈科律师" w:date="2026-07-14T09:22:32Z"/>
        </w:numPr>
        <w:autoSpaceDE w:val="0"/>
        <w:autoSpaceDN w:val="0"/>
        <w:adjustRightInd w:val="0"/>
        <w:snapToGrid w:val="0"/>
        <w:spacing w:line="240" w:lineRule="atLeast"/>
        <w:ind w:firstLine="0" w:firstLineChars="0"/>
        <w:jc w:val="left"/>
        <w:rPr>
          <w:ins w:id="54" w:author="盈科律师" w:date="2026-07-14T09:22:16Z"/>
          <w:rFonts w:hint="eastAsia" w:ascii="宋体" w:hAnsi="宋体"/>
          <w:b/>
          <w:bCs/>
          <w:szCs w:val="21"/>
          <w:highlight w:val="none"/>
          <w:u w:val="single"/>
        </w:rPr>
        <w:pPrChange w:id="52" w:author="盈科律师" w:date="2026-07-14T09:22:32Z">
          <w:pPr>
            <w:widowControl w:val="0"/>
            <w:autoSpaceDE w:val="0"/>
            <w:autoSpaceDN w:val="0"/>
            <w:adjustRightInd w:val="0"/>
            <w:snapToGrid w:val="0"/>
            <w:spacing w:line="240" w:lineRule="atLeast"/>
            <w:ind w:firstLine="0" w:firstLineChars="0"/>
            <w:jc w:val="left"/>
          </w:pPr>
        </w:pPrChange>
      </w:pPr>
      <w:ins w:id="55" w:author="盈科律师" w:date="2026-07-14T09:22:16Z">
        <w:r>
          <w:rPr>
            <w:rFonts w:hint="eastAsia" w:ascii="宋体" w:hAnsi="宋体"/>
            <w:b/>
            <w:bCs/>
            <w:szCs w:val="21"/>
            <w:highlight w:val="none"/>
            <w:u w:val="single"/>
          </w:rPr>
          <w:t>本项目为固定总价合同。投标人必须确保“金额”列所有分项报价之和，必须等于“D1、投标报价一览表”中的投标总价。若不一致，将按招标文件规定进行不利于投标人的算术修正。</w:t>
        </w:r>
      </w:ins>
    </w:p>
    <w:p w14:paraId="31D87A05">
      <w:pPr>
        <w:widowControl w:val="0"/>
        <w:autoSpaceDE w:val="0"/>
        <w:autoSpaceDN w:val="0"/>
        <w:adjustRightInd w:val="0"/>
        <w:snapToGrid w:val="0"/>
        <w:spacing w:line="240" w:lineRule="atLeast"/>
        <w:ind w:firstLine="0" w:firstLineChars="0"/>
        <w:jc w:val="left"/>
        <w:rPr>
          <w:del w:id="56" w:author="盈科律师" w:date="2026-07-14T09:22:16Z"/>
          <w:rFonts w:hint="eastAsia" w:ascii="宋体" w:hAnsi="宋体" w:eastAsia="宋体"/>
          <w:b/>
          <w:bCs/>
          <w:szCs w:val="21"/>
          <w:highlight w:val="none"/>
          <w:u w:val="single"/>
          <w:lang w:val="en-US" w:eastAsia="zh-CN"/>
        </w:rPr>
      </w:pPr>
      <w:ins w:id="57" w:author="盈科律师" w:date="2026-07-14T09:22:41Z">
        <w:r>
          <w:rPr>
            <w:rFonts w:hint="eastAsia" w:ascii="宋体" w:hAnsi="宋体"/>
            <w:b/>
            <w:bCs/>
            <w:szCs w:val="21"/>
            <w:highlight w:val="none"/>
            <w:u w:val="single"/>
            <w:lang w:val="en-US" w:eastAsia="zh-CN"/>
          </w:rPr>
          <w:t>3、</w:t>
        </w:r>
      </w:ins>
      <w:ins w:id="58" w:author="盈科律师" w:date="2026-07-14T09:22:16Z">
        <w:r>
          <w:rPr>
            <w:rFonts w:hint="eastAsia" w:ascii="宋体" w:hAnsi="宋体"/>
            <w:b/>
            <w:bCs/>
            <w:szCs w:val="21"/>
            <w:highlight w:val="none"/>
            <w:u w:val="single"/>
          </w:rPr>
          <w:t>各分项报价应是为实现对应服务需求所需的所有费用，包括但不限于人工、物料、第三方服务采购、税费、管理费等。报价不完整或漏项将被视为相关费用已包含在其他分项或总价中，招标人不另行支付。</w:t>
        </w:r>
      </w:ins>
      <w:del w:id="59" w:author="盈科律师" w:date="2026-07-14T09:22:16Z">
        <w:r>
          <w:rPr>
            <w:rFonts w:hint="eastAsia" w:ascii="宋体" w:hAnsi="宋体"/>
            <w:b/>
            <w:bCs/>
            <w:szCs w:val="21"/>
            <w:highlight w:val="none"/>
            <w:u w:val="single"/>
          </w:rPr>
          <w:delText>投标人提供分项报价表</w:delText>
        </w:r>
      </w:del>
      <w:del w:id="60" w:author="盈科律师" w:date="2026-07-14T09:22:16Z">
        <w:r>
          <w:rPr>
            <w:rFonts w:hint="eastAsia" w:ascii="宋体" w:hAnsi="宋体"/>
            <w:b/>
            <w:bCs/>
            <w:szCs w:val="21"/>
            <w:highlight w:val="none"/>
            <w:u w:val="single"/>
            <w:lang w:val="en-US" w:eastAsia="zh-CN"/>
          </w:rPr>
          <w:delText>.</w:delText>
        </w:r>
      </w:del>
    </w:p>
    <w:p w14:paraId="35D08D55">
      <w:pPr>
        <w:widowControl/>
        <w:autoSpaceDE/>
        <w:autoSpaceDN/>
        <w:adjustRightInd/>
        <w:snapToGrid/>
        <w:spacing w:line="240" w:lineRule="auto"/>
        <w:ind w:firstLine="0" w:firstLineChars="0"/>
        <w:jc w:val="left"/>
        <w:outlineLvl w:val="9"/>
        <w:rPr>
          <w:rFonts w:ascii="宋体"/>
          <w:b/>
          <w:bCs/>
          <w:color w:val="auto"/>
          <w:sz w:val="52"/>
          <w:szCs w:val="52"/>
          <w:highlight w:val="none"/>
        </w:rPr>
      </w:pPr>
      <w:r>
        <w:rPr>
          <w:rFonts w:hint="eastAsia" w:ascii="宋体" w:hAnsi="宋体"/>
          <w:b/>
          <w:bCs/>
          <w:szCs w:val="21"/>
          <w:highlight w:val="none"/>
          <w:u w:val="single"/>
        </w:rPr>
        <w:br w:type="page"/>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Start w:id="457" w:name="_Toc27857"/>
      <w:bookmarkStart w:id="458" w:name="_Toc16604"/>
      <w:bookmarkStart w:id="459" w:name="_Toc119577948"/>
      <w:bookmarkStart w:id="460" w:name="_Toc7302"/>
      <w:r>
        <w:rPr>
          <w:rFonts w:ascii="宋体"/>
          <w:b/>
          <w:bCs/>
          <w:color w:val="auto"/>
          <w:sz w:val="52"/>
          <w:szCs w:val="52"/>
          <w:highlight w:val="none"/>
          <w:lang w:val="en-US"/>
        </w:rPr>
        <w:t xml:space="preserve">第六章 </w:t>
      </w:r>
      <w:r>
        <w:rPr>
          <w:rFonts w:hint="eastAsia" w:ascii="宋体"/>
          <w:b/>
          <w:bCs/>
          <w:color w:val="auto"/>
          <w:sz w:val="52"/>
          <w:szCs w:val="52"/>
          <w:highlight w:val="none"/>
        </w:rPr>
        <w:t>公开招标失败后续处理</w:t>
      </w:r>
      <w:bookmarkEnd w:id="457"/>
      <w:bookmarkEnd w:id="458"/>
      <w:bookmarkEnd w:id="459"/>
      <w:bookmarkEnd w:id="460"/>
      <w:bookmarkStart w:id="461" w:name="_Toc310434327"/>
    </w:p>
    <w:bookmarkEnd w:id="461"/>
    <w:tbl>
      <w:tblPr>
        <w:tblStyle w:val="5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7"/>
        <w:gridCol w:w="7735"/>
      </w:tblGrid>
      <w:tr w14:paraId="6C5C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F3F3C8F">
            <w:pPr>
              <w:widowControl w:val="0"/>
              <w:adjustRightInd w:val="0"/>
              <w:snapToGrid w:val="0"/>
              <w:jc w:val="center"/>
              <w:textAlignment w:val="baseline"/>
              <w:rPr>
                <w:rFonts w:ascii="宋体"/>
                <w:b/>
                <w:color w:val="auto"/>
                <w:kern w:val="0"/>
                <w:szCs w:val="21"/>
                <w:highlight w:val="none"/>
              </w:rPr>
            </w:pPr>
            <w:bookmarkStart w:id="462" w:name="_Toc387648811"/>
            <w:bookmarkStart w:id="463" w:name="_Toc380669140"/>
            <w:bookmarkStart w:id="464" w:name="_Toc380669097"/>
            <w:r>
              <w:rPr>
                <w:rFonts w:hint="eastAsia" w:ascii="宋体"/>
                <w:b/>
                <w:color w:val="auto"/>
                <w:kern w:val="0"/>
                <w:szCs w:val="21"/>
                <w:highlight w:val="none"/>
              </w:rPr>
              <w:t>一 说明</w:t>
            </w:r>
            <w:bookmarkEnd w:id="462"/>
            <w:bookmarkEnd w:id="463"/>
            <w:bookmarkEnd w:id="464"/>
          </w:p>
        </w:tc>
      </w:tr>
      <w:tr w14:paraId="3140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03B2C922">
            <w:pPr>
              <w:widowControl w:val="0"/>
              <w:adjustRightInd w:val="0"/>
              <w:snapToGrid w:val="0"/>
              <w:textAlignment w:val="baseline"/>
              <w:rPr>
                <w:rFonts w:ascii="宋体"/>
                <w:b/>
                <w:color w:val="auto"/>
                <w:kern w:val="0"/>
                <w:szCs w:val="21"/>
                <w:highlight w:val="none"/>
              </w:rPr>
            </w:pPr>
            <w:bookmarkStart w:id="465" w:name="_Toc310434328"/>
            <w:bookmarkStart w:id="466" w:name="_Toc380669098"/>
            <w:bookmarkStart w:id="467" w:name="_Toc380669141"/>
            <w:bookmarkStart w:id="468" w:name="_Toc387648812"/>
            <w:r>
              <w:rPr>
                <w:rFonts w:ascii="宋体"/>
                <w:b/>
                <w:color w:val="auto"/>
                <w:kern w:val="0"/>
                <w:szCs w:val="21"/>
                <w:highlight w:val="none"/>
              </w:rPr>
              <w:t>1</w:t>
            </w:r>
            <w:r>
              <w:rPr>
                <w:rFonts w:hint="eastAsia" w:ascii="宋体"/>
                <w:b/>
                <w:color w:val="auto"/>
                <w:kern w:val="0"/>
                <w:szCs w:val="21"/>
                <w:highlight w:val="none"/>
              </w:rPr>
              <w:t>. 说明</w:t>
            </w:r>
            <w:bookmarkEnd w:id="465"/>
            <w:bookmarkEnd w:id="466"/>
            <w:bookmarkEnd w:id="467"/>
            <w:bookmarkEnd w:id="468"/>
          </w:p>
        </w:tc>
      </w:tr>
      <w:tr w14:paraId="0907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DA222CF">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7260607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为提高采购效率，公开招标失败后，经</w:t>
            </w:r>
            <w:r>
              <w:rPr>
                <w:rFonts w:ascii="宋体"/>
                <w:color w:val="auto"/>
                <w:szCs w:val="21"/>
                <w:highlight w:val="none"/>
              </w:rPr>
              <w:t>招标人同意，</w:t>
            </w:r>
            <w:r>
              <w:rPr>
                <w:rFonts w:hint="eastAsia" w:ascii="宋体"/>
                <w:color w:val="auto"/>
                <w:szCs w:val="21"/>
                <w:highlight w:val="none"/>
              </w:rPr>
              <w:t>不再另行制作采购文件</w:t>
            </w:r>
            <w:r>
              <w:rPr>
                <w:rFonts w:hint="eastAsia" w:ascii="宋体"/>
                <w:color w:val="auto"/>
                <w:szCs w:val="21"/>
                <w:highlight w:val="none"/>
                <w:lang w:eastAsia="zh-CN"/>
              </w:rPr>
              <w:t>，</w:t>
            </w:r>
            <w:r>
              <w:rPr>
                <w:rFonts w:hint="eastAsia" w:ascii="宋体"/>
                <w:color w:val="auto"/>
                <w:szCs w:val="21"/>
                <w:highlight w:val="none"/>
              </w:rPr>
              <w:t>根据本招标文件内容采用非公开招标采购方式完成采购</w:t>
            </w:r>
            <w:r>
              <w:rPr>
                <w:rFonts w:ascii="宋体"/>
                <w:color w:val="auto"/>
                <w:szCs w:val="21"/>
                <w:highlight w:val="none"/>
              </w:rPr>
              <w:t>。</w:t>
            </w:r>
          </w:p>
        </w:tc>
      </w:tr>
      <w:tr w14:paraId="67C1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7F58748">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733601E4">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非公开招标采购方式视公开招标失败的具体情形而定。</w:t>
            </w:r>
          </w:p>
        </w:tc>
      </w:tr>
      <w:tr w14:paraId="05FA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92E4C68">
            <w:pPr>
              <w:widowControl w:val="0"/>
              <w:adjustRightInd w:val="0"/>
              <w:snapToGrid w:val="0"/>
              <w:ind w:firstLine="0" w:firstLineChars="0"/>
              <w:rPr>
                <w:rFonts w:ascii="宋体"/>
                <w:color w:val="auto"/>
                <w:szCs w:val="21"/>
                <w:highlight w:val="none"/>
              </w:rPr>
            </w:pPr>
          </w:p>
        </w:tc>
        <w:tc>
          <w:tcPr>
            <w:tcW w:w="7735" w:type="dxa"/>
          </w:tcPr>
          <w:p w14:paraId="36FBE75F">
            <w:pPr>
              <w:widowControl w:val="0"/>
              <w:adjustRightInd w:val="0"/>
              <w:snapToGrid w:val="0"/>
              <w:ind w:firstLine="0" w:firstLineChars="0"/>
              <w:rPr>
                <w:rFonts w:ascii="宋体"/>
                <w:color w:val="auto"/>
                <w:szCs w:val="21"/>
                <w:highlight w:val="none"/>
              </w:rPr>
            </w:pPr>
          </w:p>
        </w:tc>
      </w:tr>
      <w:tr w14:paraId="7B87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1529F489">
            <w:pPr>
              <w:widowControl w:val="0"/>
              <w:adjustRightInd w:val="0"/>
              <w:snapToGrid w:val="0"/>
              <w:jc w:val="center"/>
              <w:textAlignment w:val="baseline"/>
              <w:rPr>
                <w:rFonts w:ascii="宋体"/>
                <w:b/>
                <w:color w:val="auto"/>
                <w:kern w:val="0"/>
                <w:szCs w:val="21"/>
                <w:highlight w:val="none"/>
              </w:rPr>
            </w:pPr>
            <w:bookmarkStart w:id="469" w:name="_Toc380669142"/>
            <w:bookmarkStart w:id="470" w:name="_Toc310434329"/>
            <w:bookmarkStart w:id="471" w:name="_Toc387648813"/>
            <w:bookmarkStart w:id="472" w:name="_Toc380669099"/>
            <w:r>
              <w:rPr>
                <w:rFonts w:hint="eastAsia" w:ascii="宋体"/>
                <w:b/>
                <w:color w:val="auto"/>
                <w:kern w:val="0"/>
                <w:szCs w:val="21"/>
                <w:highlight w:val="none"/>
              </w:rPr>
              <w:t>二 采购方式</w:t>
            </w:r>
            <w:bookmarkEnd w:id="469"/>
            <w:bookmarkEnd w:id="470"/>
            <w:bookmarkEnd w:id="471"/>
            <w:bookmarkEnd w:id="472"/>
          </w:p>
        </w:tc>
      </w:tr>
      <w:tr w14:paraId="00F2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10A6AD22">
            <w:pPr>
              <w:widowControl w:val="0"/>
              <w:adjustRightInd w:val="0"/>
              <w:snapToGrid w:val="0"/>
              <w:textAlignment w:val="baseline"/>
              <w:rPr>
                <w:rFonts w:ascii="宋体"/>
                <w:b/>
                <w:color w:val="auto"/>
                <w:kern w:val="0"/>
                <w:szCs w:val="21"/>
                <w:highlight w:val="none"/>
              </w:rPr>
            </w:pPr>
            <w:bookmarkStart w:id="473" w:name="_Toc380669100"/>
            <w:bookmarkStart w:id="474" w:name="_Toc387648814"/>
            <w:bookmarkStart w:id="475" w:name="_Toc380669143"/>
            <w:bookmarkStart w:id="476" w:name="_Toc310434330"/>
            <w:r>
              <w:rPr>
                <w:rFonts w:ascii="宋体"/>
                <w:b/>
                <w:color w:val="auto"/>
                <w:kern w:val="0"/>
                <w:szCs w:val="21"/>
                <w:highlight w:val="none"/>
              </w:rPr>
              <w:t>1</w:t>
            </w:r>
            <w:r>
              <w:rPr>
                <w:rFonts w:hint="eastAsia" w:ascii="宋体"/>
                <w:b/>
                <w:color w:val="auto"/>
                <w:kern w:val="0"/>
                <w:szCs w:val="21"/>
                <w:highlight w:val="none"/>
              </w:rPr>
              <w:t>. 竞争性谈判</w:t>
            </w:r>
            <w:bookmarkEnd w:id="473"/>
            <w:bookmarkEnd w:id="474"/>
            <w:bookmarkEnd w:id="475"/>
            <w:bookmarkEnd w:id="476"/>
          </w:p>
        </w:tc>
      </w:tr>
      <w:tr w14:paraId="6E9E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732379D">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004FA8BF">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采用竞争性谈判方式采购的情形。</w:t>
            </w:r>
          </w:p>
        </w:tc>
      </w:tr>
      <w:tr w14:paraId="247E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7150F177">
            <w:pPr>
              <w:widowControl w:val="0"/>
              <w:adjustRightInd w:val="0"/>
              <w:snapToGrid w:val="0"/>
              <w:ind w:firstLine="0" w:firstLineChars="0"/>
              <w:rPr>
                <w:rFonts w:ascii="宋体"/>
                <w:color w:val="auto"/>
                <w:szCs w:val="21"/>
                <w:highlight w:val="none"/>
              </w:rPr>
            </w:pPr>
          </w:p>
        </w:tc>
        <w:tc>
          <w:tcPr>
            <w:tcW w:w="7735" w:type="dxa"/>
          </w:tcPr>
          <w:p w14:paraId="4646E7BA">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的规定，符合下列情形之一的，采用竞争性谈判方式采购。</w:t>
            </w:r>
          </w:p>
        </w:tc>
      </w:tr>
      <w:tr w14:paraId="2C8C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7D33000">
            <w:pPr>
              <w:widowControl w:val="0"/>
              <w:adjustRightInd w:val="0"/>
              <w:snapToGrid w:val="0"/>
              <w:ind w:firstLine="0" w:firstLineChars="0"/>
              <w:rPr>
                <w:rFonts w:ascii="宋体"/>
                <w:color w:val="auto"/>
                <w:szCs w:val="21"/>
                <w:highlight w:val="none"/>
              </w:rPr>
            </w:pPr>
          </w:p>
        </w:tc>
        <w:tc>
          <w:tcPr>
            <w:tcW w:w="7735" w:type="dxa"/>
          </w:tcPr>
          <w:p w14:paraId="0243CAD0">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在招标采购中，符合专业条件的供应商或者对招标文件作实质性响应的供应商只有两家的。</w:t>
            </w:r>
          </w:p>
        </w:tc>
      </w:tr>
      <w:tr w14:paraId="23F4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649C914">
            <w:pPr>
              <w:widowControl w:val="0"/>
              <w:adjustRightInd w:val="0"/>
              <w:snapToGrid w:val="0"/>
              <w:ind w:firstLine="0" w:firstLineChars="0"/>
              <w:rPr>
                <w:rFonts w:ascii="宋体"/>
                <w:color w:val="auto"/>
                <w:szCs w:val="21"/>
                <w:highlight w:val="none"/>
              </w:rPr>
            </w:pPr>
          </w:p>
        </w:tc>
        <w:tc>
          <w:tcPr>
            <w:tcW w:w="7735" w:type="dxa"/>
          </w:tcPr>
          <w:p w14:paraId="527E5D3B">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经公告或者邀请只有两家符合投标资格的供应人参加投标的。</w:t>
            </w:r>
          </w:p>
        </w:tc>
      </w:tr>
      <w:tr w14:paraId="1F3A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AF3BD4E">
            <w:pPr>
              <w:widowControl w:val="0"/>
              <w:adjustRightInd w:val="0"/>
              <w:snapToGrid w:val="0"/>
              <w:textAlignment w:val="baseline"/>
              <w:rPr>
                <w:rFonts w:ascii="宋体"/>
                <w:b/>
                <w:color w:val="auto"/>
                <w:kern w:val="0"/>
                <w:szCs w:val="21"/>
                <w:highlight w:val="none"/>
              </w:rPr>
            </w:pPr>
            <w:bookmarkStart w:id="477" w:name="_Toc387648815"/>
            <w:bookmarkStart w:id="478" w:name="_Toc380669144"/>
            <w:bookmarkStart w:id="479" w:name="_Toc310434331"/>
            <w:bookmarkStart w:id="480" w:name="_Toc380669101"/>
            <w:r>
              <w:rPr>
                <w:rFonts w:ascii="宋体"/>
                <w:b/>
                <w:color w:val="auto"/>
                <w:kern w:val="0"/>
                <w:szCs w:val="21"/>
                <w:highlight w:val="none"/>
              </w:rPr>
              <w:t>2</w:t>
            </w:r>
            <w:r>
              <w:rPr>
                <w:rFonts w:hint="eastAsia" w:ascii="宋体"/>
                <w:b/>
                <w:color w:val="auto"/>
                <w:kern w:val="0"/>
                <w:szCs w:val="21"/>
                <w:highlight w:val="none"/>
              </w:rPr>
              <w:t>. 单一来源采购</w:t>
            </w:r>
            <w:bookmarkEnd w:id="477"/>
            <w:bookmarkEnd w:id="478"/>
            <w:bookmarkEnd w:id="479"/>
            <w:bookmarkEnd w:id="480"/>
          </w:p>
        </w:tc>
      </w:tr>
      <w:tr w14:paraId="2B37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FB242D4">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2E7DD04D">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采用单一来源方式采购的情形。</w:t>
            </w:r>
          </w:p>
        </w:tc>
      </w:tr>
      <w:tr w14:paraId="25D1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8C1C297">
            <w:pPr>
              <w:widowControl w:val="0"/>
              <w:adjustRightInd w:val="0"/>
              <w:snapToGrid w:val="0"/>
              <w:ind w:firstLine="0" w:firstLineChars="0"/>
              <w:rPr>
                <w:rFonts w:ascii="宋体"/>
                <w:color w:val="auto"/>
                <w:szCs w:val="21"/>
                <w:highlight w:val="none"/>
              </w:rPr>
            </w:pPr>
          </w:p>
        </w:tc>
        <w:tc>
          <w:tcPr>
            <w:tcW w:w="7735" w:type="dxa"/>
          </w:tcPr>
          <w:p w14:paraId="4C45578D">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w:t>
            </w:r>
            <w:r>
              <w:rPr>
                <w:rFonts w:hint="eastAsia" w:ascii="宋体" w:cs="Arial"/>
                <w:color w:val="auto"/>
                <w:szCs w:val="21"/>
                <w:highlight w:val="none"/>
              </w:rPr>
              <w:t>一</w:t>
            </w:r>
            <w:r>
              <w:rPr>
                <w:rFonts w:ascii="宋体" w:cs="Arial"/>
                <w:color w:val="auto"/>
                <w:szCs w:val="21"/>
                <w:highlight w:val="none"/>
              </w:rPr>
              <w:t>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的规定，符合下列情形之一的，采用单一来源方式采购。</w:t>
            </w:r>
          </w:p>
        </w:tc>
      </w:tr>
      <w:tr w14:paraId="4DEB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331AEF8">
            <w:pPr>
              <w:widowControl w:val="0"/>
              <w:adjustRightInd w:val="0"/>
              <w:snapToGrid w:val="0"/>
              <w:ind w:firstLine="0" w:firstLineChars="0"/>
              <w:rPr>
                <w:rFonts w:ascii="宋体"/>
                <w:color w:val="auto"/>
                <w:szCs w:val="21"/>
                <w:highlight w:val="none"/>
              </w:rPr>
            </w:pPr>
          </w:p>
        </w:tc>
        <w:tc>
          <w:tcPr>
            <w:tcW w:w="7735" w:type="dxa"/>
          </w:tcPr>
          <w:p w14:paraId="112EF0F1">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在招标采购中，符合专业条件的供应商或者对招标文件作实质性响应的供应商只有一家的。</w:t>
            </w:r>
          </w:p>
        </w:tc>
      </w:tr>
      <w:tr w14:paraId="19F8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B2391F4">
            <w:pPr>
              <w:widowControl w:val="0"/>
              <w:adjustRightInd w:val="0"/>
              <w:snapToGrid w:val="0"/>
              <w:ind w:firstLine="0" w:firstLineChars="0"/>
              <w:rPr>
                <w:rFonts w:ascii="宋体"/>
                <w:color w:val="auto"/>
                <w:szCs w:val="21"/>
                <w:highlight w:val="none"/>
              </w:rPr>
            </w:pPr>
          </w:p>
        </w:tc>
        <w:tc>
          <w:tcPr>
            <w:tcW w:w="7735" w:type="dxa"/>
          </w:tcPr>
          <w:p w14:paraId="31DC161C">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经公告或者邀请只有一家符合投标资格的供应人参加投标的。</w:t>
            </w:r>
          </w:p>
        </w:tc>
      </w:tr>
      <w:tr w14:paraId="1FA2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5662A35D">
            <w:pPr>
              <w:widowControl w:val="0"/>
              <w:adjustRightInd w:val="0"/>
              <w:snapToGrid w:val="0"/>
              <w:ind w:firstLine="0" w:firstLineChars="0"/>
              <w:rPr>
                <w:rFonts w:ascii="宋体"/>
                <w:color w:val="auto"/>
                <w:szCs w:val="21"/>
                <w:highlight w:val="none"/>
              </w:rPr>
            </w:pPr>
          </w:p>
        </w:tc>
        <w:tc>
          <w:tcPr>
            <w:tcW w:w="7735" w:type="dxa"/>
          </w:tcPr>
          <w:p w14:paraId="07F9E38A">
            <w:pPr>
              <w:widowControl w:val="0"/>
              <w:adjustRightInd w:val="0"/>
              <w:snapToGrid w:val="0"/>
              <w:ind w:firstLine="0" w:firstLineChars="0"/>
              <w:rPr>
                <w:rFonts w:ascii="宋体"/>
                <w:color w:val="auto"/>
                <w:szCs w:val="21"/>
                <w:highlight w:val="none"/>
              </w:rPr>
            </w:pPr>
          </w:p>
        </w:tc>
      </w:tr>
      <w:tr w14:paraId="303B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5B5E611A">
            <w:pPr>
              <w:widowControl w:val="0"/>
              <w:adjustRightInd w:val="0"/>
              <w:snapToGrid w:val="0"/>
              <w:jc w:val="center"/>
              <w:textAlignment w:val="baseline"/>
              <w:rPr>
                <w:rFonts w:ascii="宋体"/>
                <w:b/>
                <w:color w:val="auto"/>
                <w:kern w:val="0"/>
                <w:szCs w:val="21"/>
                <w:highlight w:val="none"/>
              </w:rPr>
            </w:pPr>
            <w:bookmarkStart w:id="481" w:name="_Toc380669145"/>
            <w:bookmarkStart w:id="482" w:name="_Toc310434332"/>
            <w:bookmarkStart w:id="483" w:name="_Toc387648816"/>
            <w:bookmarkStart w:id="484" w:name="_Toc380669102"/>
            <w:r>
              <w:rPr>
                <w:rFonts w:hint="eastAsia" w:ascii="宋体"/>
                <w:b/>
                <w:color w:val="auto"/>
                <w:kern w:val="0"/>
                <w:szCs w:val="21"/>
                <w:highlight w:val="none"/>
              </w:rPr>
              <w:t>三 采购程序</w:t>
            </w:r>
            <w:bookmarkEnd w:id="481"/>
            <w:bookmarkEnd w:id="482"/>
            <w:bookmarkEnd w:id="483"/>
            <w:bookmarkEnd w:id="484"/>
          </w:p>
        </w:tc>
      </w:tr>
      <w:tr w14:paraId="0349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2694F10">
            <w:pPr>
              <w:widowControl w:val="0"/>
              <w:adjustRightInd w:val="0"/>
              <w:snapToGrid w:val="0"/>
              <w:textAlignment w:val="baseline"/>
              <w:rPr>
                <w:rFonts w:ascii="宋体"/>
                <w:b/>
                <w:color w:val="auto"/>
                <w:kern w:val="0"/>
                <w:szCs w:val="21"/>
                <w:highlight w:val="none"/>
              </w:rPr>
            </w:pPr>
            <w:bookmarkStart w:id="485" w:name="_Toc387648817"/>
            <w:bookmarkStart w:id="486" w:name="_Toc310434333"/>
            <w:bookmarkStart w:id="487" w:name="_Toc380669146"/>
            <w:bookmarkStart w:id="488" w:name="_Toc380669103"/>
            <w:r>
              <w:rPr>
                <w:rFonts w:ascii="宋体"/>
                <w:b/>
                <w:color w:val="auto"/>
                <w:kern w:val="0"/>
                <w:szCs w:val="21"/>
                <w:highlight w:val="none"/>
              </w:rPr>
              <w:t>1</w:t>
            </w:r>
            <w:r>
              <w:rPr>
                <w:rFonts w:hint="eastAsia" w:ascii="宋体"/>
                <w:b/>
                <w:color w:val="auto"/>
                <w:kern w:val="0"/>
                <w:szCs w:val="21"/>
                <w:highlight w:val="none"/>
              </w:rPr>
              <w:t>. 竞争性谈判</w:t>
            </w:r>
            <w:bookmarkEnd w:id="485"/>
            <w:bookmarkEnd w:id="486"/>
            <w:bookmarkEnd w:id="487"/>
            <w:bookmarkEnd w:id="488"/>
          </w:p>
        </w:tc>
      </w:tr>
      <w:tr w14:paraId="18D9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18576C8">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tcPr>
          <w:p w14:paraId="57D87BAC">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成立谈判小组。谈判小组由采购人的代表和有关专家共三人以上的单数组成。</w:t>
            </w:r>
          </w:p>
        </w:tc>
      </w:tr>
      <w:tr w14:paraId="3241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6D5AD1FD">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tcPr>
          <w:p w14:paraId="5BEB8DBC">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谈判小组从确定符合相应资格条件的两家供应商参加评审。</w:t>
            </w:r>
          </w:p>
        </w:tc>
      </w:tr>
      <w:tr w14:paraId="10F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5DF312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1.3</w:t>
            </w:r>
          </w:p>
        </w:tc>
        <w:tc>
          <w:tcPr>
            <w:tcW w:w="7735" w:type="dxa"/>
          </w:tcPr>
          <w:p w14:paraId="6386D4CD">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谈判小组根据本招标文件/</w:t>
            </w:r>
            <w:r>
              <w:rPr>
                <w:rFonts w:hint="eastAsia" w:ascii="宋体"/>
                <w:bCs/>
                <w:color w:val="auto"/>
                <w:szCs w:val="21"/>
                <w:highlight w:val="none"/>
              </w:rPr>
              <w:t>第</w:t>
            </w:r>
            <w:r>
              <w:rPr>
                <w:rFonts w:hint="eastAsia" w:ascii="宋体"/>
                <w:bCs/>
                <w:color w:val="auto"/>
                <w:szCs w:val="21"/>
                <w:highlight w:val="none"/>
                <w:lang w:val="en-US" w:eastAsia="zh-CN"/>
              </w:rPr>
              <w:t>二</w:t>
            </w:r>
            <w:r>
              <w:rPr>
                <w:rFonts w:hint="eastAsia" w:ascii="宋体"/>
                <w:bCs/>
                <w:color w:val="auto"/>
                <w:szCs w:val="21"/>
                <w:highlight w:val="none"/>
              </w:rPr>
              <w:t>章的规定对投标文件进行评审</w:t>
            </w:r>
            <w:r>
              <w:rPr>
                <w:rFonts w:ascii="宋体"/>
                <w:color w:val="auto"/>
                <w:szCs w:val="21"/>
                <w:highlight w:val="none"/>
              </w:rPr>
              <w:t>，排序第一的投标人为</w:t>
            </w:r>
            <w:r>
              <w:rPr>
                <w:rFonts w:hint="eastAsia" w:ascii="宋体"/>
                <w:color w:val="auto"/>
                <w:szCs w:val="21"/>
                <w:highlight w:val="none"/>
              </w:rPr>
              <w:t>成交供应商</w:t>
            </w:r>
            <w:r>
              <w:rPr>
                <w:rFonts w:ascii="宋体"/>
                <w:color w:val="auto"/>
                <w:szCs w:val="21"/>
                <w:highlight w:val="none"/>
              </w:rPr>
              <w:t>。</w:t>
            </w:r>
          </w:p>
        </w:tc>
      </w:tr>
      <w:tr w14:paraId="7D23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0AE27FF">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1.4</w:t>
            </w:r>
          </w:p>
        </w:tc>
        <w:tc>
          <w:tcPr>
            <w:tcW w:w="7735" w:type="dxa"/>
          </w:tcPr>
          <w:p w14:paraId="2B904972">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评审结束后，谈判小组将结果通知所有参加谈判的未成交的供应商。</w:t>
            </w:r>
          </w:p>
        </w:tc>
      </w:tr>
      <w:tr w14:paraId="6ADD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8458C54">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1.5</w:t>
            </w:r>
          </w:p>
        </w:tc>
        <w:tc>
          <w:tcPr>
            <w:tcW w:w="7735" w:type="dxa"/>
          </w:tcPr>
          <w:p w14:paraId="453C20A6">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3319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11EA41C">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1.6</w:t>
            </w:r>
          </w:p>
        </w:tc>
        <w:tc>
          <w:tcPr>
            <w:tcW w:w="7735" w:type="dxa"/>
          </w:tcPr>
          <w:p w14:paraId="43DCD4A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r w14:paraId="716F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72" w:type="dxa"/>
            <w:gridSpan w:val="2"/>
          </w:tcPr>
          <w:p w14:paraId="608C6228">
            <w:pPr>
              <w:widowControl w:val="0"/>
              <w:adjustRightInd w:val="0"/>
              <w:snapToGrid w:val="0"/>
              <w:textAlignment w:val="baseline"/>
              <w:rPr>
                <w:rFonts w:ascii="宋体"/>
                <w:b/>
                <w:color w:val="auto"/>
                <w:kern w:val="0"/>
                <w:szCs w:val="21"/>
                <w:highlight w:val="none"/>
              </w:rPr>
            </w:pPr>
            <w:bookmarkStart w:id="489" w:name="_Toc310434334"/>
            <w:bookmarkStart w:id="490" w:name="_Toc380669147"/>
            <w:bookmarkStart w:id="491" w:name="_Toc387648818"/>
            <w:bookmarkStart w:id="492" w:name="_Toc380669104"/>
            <w:r>
              <w:rPr>
                <w:rFonts w:ascii="宋体"/>
                <w:b/>
                <w:color w:val="auto"/>
                <w:kern w:val="0"/>
                <w:szCs w:val="21"/>
                <w:highlight w:val="none"/>
              </w:rPr>
              <w:t>2</w:t>
            </w:r>
            <w:r>
              <w:rPr>
                <w:rFonts w:hint="eastAsia" w:ascii="宋体"/>
                <w:b/>
                <w:color w:val="auto"/>
                <w:kern w:val="0"/>
                <w:szCs w:val="21"/>
                <w:highlight w:val="none"/>
              </w:rPr>
              <w:t>. 单一来源采购</w:t>
            </w:r>
            <w:bookmarkEnd w:id="489"/>
            <w:bookmarkEnd w:id="490"/>
            <w:bookmarkEnd w:id="491"/>
            <w:bookmarkEnd w:id="492"/>
          </w:p>
        </w:tc>
      </w:tr>
      <w:tr w14:paraId="699D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A5CCF7A">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tcPr>
          <w:p w14:paraId="30F0B1EF">
            <w:pPr>
              <w:widowControl w:val="0"/>
              <w:autoSpaceDE w:val="0"/>
              <w:autoSpaceDN w:val="0"/>
              <w:adjustRightInd w:val="0"/>
              <w:snapToGrid w:val="0"/>
              <w:ind w:firstLine="0" w:firstLineChars="0"/>
              <w:rPr>
                <w:rFonts w:ascii="宋体"/>
                <w:color w:val="auto"/>
                <w:szCs w:val="21"/>
                <w:highlight w:val="none"/>
              </w:rPr>
            </w:pPr>
            <w:r>
              <w:rPr>
                <w:rFonts w:ascii="宋体" w:cs="Arial"/>
                <w:color w:val="auto"/>
                <w:szCs w:val="21"/>
                <w:highlight w:val="none"/>
              </w:rPr>
              <w:t>成立谈判小组。谈判小组由采购人的代表和有关专家共三人以上的单数组成。</w:t>
            </w:r>
          </w:p>
        </w:tc>
      </w:tr>
      <w:tr w14:paraId="3E5F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1FFBA64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2.2</w:t>
            </w:r>
          </w:p>
        </w:tc>
        <w:tc>
          <w:tcPr>
            <w:tcW w:w="7735" w:type="dxa"/>
          </w:tcPr>
          <w:p w14:paraId="37DE1C86">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谈判小组从确定符合相应资格条件的供应商参加谈判。</w:t>
            </w:r>
          </w:p>
        </w:tc>
      </w:tr>
      <w:tr w14:paraId="0A96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0E1AB83D">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2.3</w:t>
            </w:r>
          </w:p>
        </w:tc>
        <w:tc>
          <w:tcPr>
            <w:tcW w:w="7735" w:type="dxa"/>
          </w:tcPr>
          <w:p w14:paraId="6F4645B7">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采购人与供应商应当遵循相关法规规定的原则，在保证采购项目质量和双方商定合理价格的基础上进行采购。</w:t>
            </w:r>
          </w:p>
        </w:tc>
      </w:tr>
      <w:tr w14:paraId="55F9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2BF48946">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2.4</w:t>
            </w:r>
          </w:p>
        </w:tc>
        <w:tc>
          <w:tcPr>
            <w:tcW w:w="7735" w:type="dxa"/>
          </w:tcPr>
          <w:p w14:paraId="4AF77404">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谈判结束后，谈判小组应当要求参加谈判的供应商在规定时间内进行最后报价、填写并提交《报价及承诺一览表》。</w:t>
            </w:r>
          </w:p>
        </w:tc>
      </w:tr>
      <w:tr w14:paraId="5763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49172A1D">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2.5</w:t>
            </w:r>
          </w:p>
        </w:tc>
        <w:tc>
          <w:tcPr>
            <w:tcW w:w="7735" w:type="dxa"/>
          </w:tcPr>
          <w:p w14:paraId="083D58C1">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6F23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7" w:type="dxa"/>
          </w:tcPr>
          <w:p w14:paraId="32FFFB2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2.6</w:t>
            </w:r>
          </w:p>
        </w:tc>
        <w:tc>
          <w:tcPr>
            <w:tcW w:w="7735" w:type="dxa"/>
          </w:tcPr>
          <w:p w14:paraId="7DE2AEFE">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bl>
    <w:p w14:paraId="456BCD08">
      <w:pPr>
        <w:widowControl w:val="0"/>
        <w:ind w:firstLine="0" w:firstLineChars="0"/>
      </w:pPr>
    </w:p>
    <w:p w14:paraId="4537B46C">
      <w:pPr>
        <w:wordWrap/>
        <w:spacing w:line="240" w:lineRule="auto"/>
        <w:ind w:firstLine="0" w:firstLineChars="0"/>
        <w:jc w:val="left"/>
        <w:rPr>
          <w:rFonts w:hint="eastAsia" w:ascii="宋体" w:hAnsi="宋体" w:eastAsia="宋体"/>
          <w:b/>
          <w:bCs/>
          <w:sz w:val="44"/>
          <w:szCs w:val="44"/>
        </w:rPr>
      </w:pPr>
      <w:r>
        <w:rPr>
          <w:rFonts w:hint="eastAsia" w:ascii="宋体" w:hAnsi="宋体" w:eastAsia="宋体"/>
          <w:b/>
          <w:bCs/>
          <w:sz w:val="44"/>
          <w:szCs w:val="44"/>
        </w:rPr>
        <w:br w:type="page"/>
      </w:r>
    </w:p>
    <w:p w14:paraId="4D5C568A">
      <w:pPr>
        <w:wordWrap w:val="0"/>
        <w:spacing w:line="240" w:lineRule="auto"/>
        <w:ind w:firstLine="0" w:firstLineChars="0"/>
        <w:jc w:val="center"/>
        <w:rPr>
          <w:rFonts w:ascii="宋体" w:hAnsi="宋体" w:eastAsia="宋体"/>
          <w:b/>
          <w:bCs/>
          <w:sz w:val="44"/>
          <w:szCs w:val="44"/>
        </w:rPr>
      </w:pPr>
      <w:r>
        <w:rPr>
          <w:rFonts w:hint="eastAsia" w:ascii="宋体" w:hAnsi="宋体" w:eastAsia="宋体"/>
          <w:b/>
          <w:bCs/>
          <w:sz w:val="44"/>
          <w:szCs w:val="44"/>
        </w:rPr>
        <w:t>最终报价及</w:t>
      </w:r>
      <w:r>
        <w:rPr>
          <w:rFonts w:ascii="宋体" w:hAnsi="宋体" w:eastAsia="宋体"/>
          <w:b/>
          <w:bCs/>
          <w:sz w:val="44"/>
          <w:szCs w:val="44"/>
        </w:rPr>
        <w:t>承诺</w:t>
      </w:r>
      <w:r>
        <w:rPr>
          <w:rFonts w:hint="eastAsia" w:ascii="宋体" w:hAnsi="宋体" w:eastAsia="宋体"/>
          <w:b/>
          <w:bCs/>
          <w:sz w:val="44"/>
          <w:szCs w:val="44"/>
        </w:rPr>
        <w:t>一览表</w:t>
      </w:r>
    </w:p>
    <w:p w14:paraId="25C122D3">
      <w:pPr>
        <w:wordWrap w:val="0"/>
        <w:spacing w:line="240" w:lineRule="auto"/>
        <w:ind w:firstLine="0" w:firstLineChars="0"/>
        <w:rPr>
          <w:rFonts w:ascii="宋体" w:hAnsi="宋体" w:eastAsia="宋体"/>
          <w:sz w:val="21"/>
          <w:szCs w:val="21"/>
        </w:rPr>
      </w:pPr>
    </w:p>
    <w:p w14:paraId="57D91738">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项目名称：</w:t>
      </w:r>
    </w:p>
    <w:p w14:paraId="421C47C6">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项目编号：</w:t>
      </w:r>
    </w:p>
    <w:p w14:paraId="7A505912">
      <w:pPr>
        <w:spacing w:line="360" w:lineRule="auto"/>
        <w:ind w:firstLine="0" w:firstLineChars="0"/>
        <w:jc w:val="both"/>
        <w:rPr>
          <w:rFonts w:ascii="宋体" w:hAnsi="宋体" w:eastAsia="宋体"/>
          <w:color w:val="000000"/>
          <w:sz w:val="24"/>
          <w:szCs w:val="20"/>
        </w:rPr>
      </w:pPr>
    </w:p>
    <w:p w14:paraId="7D460128">
      <w:pPr>
        <w:adjustRightInd/>
        <w:snapToGrid/>
        <w:spacing w:line="240" w:lineRule="auto"/>
        <w:ind w:firstLine="0" w:firstLineChars="0"/>
        <w:jc w:val="both"/>
        <w:rPr>
          <w:rFonts w:ascii="Times New Roman" w:hAnsi="Times New Roman" w:eastAsia="宋体"/>
          <w:vanish/>
          <w:sz w:val="21"/>
          <w:szCs w:val="24"/>
        </w:rPr>
      </w:pP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2141"/>
        <w:gridCol w:w="1464"/>
        <w:gridCol w:w="1614"/>
        <w:gridCol w:w="1240"/>
      </w:tblGrid>
      <w:tr w14:paraId="4E79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209" w:type="pct"/>
            <w:tcBorders>
              <w:right w:val="single" w:color="auto" w:sz="2" w:space="0"/>
            </w:tcBorders>
            <w:shd w:val="clear" w:color="auto" w:fill="D9E2F3"/>
            <w:vAlign w:val="center"/>
          </w:tcPr>
          <w:p w14:paraId="6CE108D6">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lang w:val="en-US" w:eastAsia="zh-CN"/>
              </w:rPr>
              <w:t>项目</w:t>
            </w:r>
            <w:r>
              <w:rPr>
                <w:rFonts w:hint="eastAsia" w:ascii="宋体" w:hAnsi="宋体" w:eastAsia="宋体"/>
                <w:b/>
                <w:sz w:val="21"/>
                <w:szCs w:val="21"/>
              </w:rPr>
              <w:t>名称</w:t>
            </w:r>
          </w:p>
        </w:tc>
        <w:tc>
          <w:tcPr>
            <w:tcW w:w="1256" w:type="pct"/>
            <w:tcBorders>
              <w:left w:val="single" w:color="auto" w:sz="2" w:space="0"/>
            </w:tcBorders>
            <w:shd w:val="clear" w:color="auto" w:fill="D9E2F3"/>
            <w:vAlign w:val="center"/>
          </w:tcPr>
          <w:p w14:paraId="7E032452">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投标总价</w:t>
            </w:r>
          </w:p>
          <w:p w14:paraId="0F096232">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（人民币/元）</w:t>
            </w:r>
          </w:p>
        </w:tc>
        <w:tc>
          <w:tcPr>
            <w:tcW w:w="859" w:type="pct"/>
            <w:shd w:val="clear" w:color="auto" w:fill="D9E2F3"/>
            <w:vAlign w:val="center"/>
          </w:tcPr>
          <w:p w14:paraId="50084F24">
            <w:pPr>
              <w:autoSpaceDE w:val="0"/>
              <w:autoSpaceDN w:val="0"/>
              <w:spacing w:line="240" w:lineRule="auto"/>
              <w:ind w:firstLine="0" w:firstLineChars="0"/>
              <w:jc w:val="center"/>
              <w:rPr>
                <w:rFonts w:ascii="宋体" w:hAnsi="宋体" w:eastAsia="宋体"/>
                <w:b/>
                <w:sz w:val="21"/>
                <w:szCs w:val="21"/>
                <w:lang w:val="en-US" w:eastAsia="zh-CN"/>
              </w:rPr>
            </w:pPr>
            <w:r>
              <w:rPr>
                <w:rFonts w:hint="eastAsia" w:ascii="宋体" w:hAnsi="宋体" w:eastAsia="宋体"/>
                <w:b/>
                <w:sz w:val="21"/>
                <w:szCs w:val="21"/>
                <w:lang w:val="en-US" w:eastAsia="zh-CN"/>
              </w:rPr>
              <w:t>投标报价</w:t>
            </w:r>
          </w:p>
        </w:tc>
        <w:tc>
          <w:tcPr>
            <w:tcW w:w="947" w:type="pct"/>
            <w:shd w:val="clear" w:color="auto" w:fill="D9E2F3"/>
            <w:vAlign w:val="center"/>
          </w:tcPr>
          <w:p w14:paraId="379BF4C2">
            <w:pPr>
              <w:autoSpaceDE w:val="0"/>
              <w:autoSpaceDN w:val="0"/>
              <w:spacing w:line="240" w:lineRule="auto"/>
              <w:ind w:firstLine="0" w:firstLineChars="0"/>
              <w:jc w:val="center"/>
              <w:rPr>
                <w:rFonts w:ascii="宋体" w:hAnsi="宋体" w:eastAsia="宋体"/>
                <w:b/>
                <w:sz w:val="21"/>
                <w:szCs w:val="21"/>
                <w:lang w:val="en-US" w:eastAsia="zh-CN"/>
              </w:rPr>
            </w:pPr>
            <w:r>
              <w:rPr>
                <w:rFonts w:hint="eastAsia" w:ascii="宋体" w:hAnsi="宋体" w:eastAsia="宋体"/>
                <w:b/>
                <w:sz w:val="21"/>
                <w:szCs w:val="21"/>
                <w:lang w:val="en-US" w:eastAsia="zh-CN"/>
              </w:rPr>
              <w:t>服务期</w:t>
            </w:r>
          </w:p>
        </w:tc>
        <w:tc>
          <w:tcPr>
            <w:tcW w:w="727" w:type="pct"/>
            <w:shd w:val="clear" w:color="auto" w:fill="D9E2F3"/>
            <w:vAlign w:val="center"/>
          </w:tcPr>
          <w:p w14:paraId="3B4C839D">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备注</w:t>
            </w:r>
          </w:p>
        </w:tc>
      </w:tr>
      <w:tr w14:paraId="14AB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209" w:type="pct"/>
            <w:tcBorders>
              <w:right w:val="single" w:color="auto" w:sz="2" w:space="0"/>
            </w:tcBorders>
            <w:vAlign w:val="center"/>
          </w:tcPr>
          <w:p w14:paraId="23EA339C">
            <w:pPr>
              <w:autoSpaceDE w:val="0"/>
              <w:autoSpaceDN w:val="0"/>
              <w:spacing w:line="240" w:lineRule="auto"/>
              <w:ind w:firstLine="0" w:firstLineChars="0"/>
              <w:jc w:val="center"/>
              <w:rPr>
                <w:rFonts w:ascii="宋体" w:hAnsi="宋体" w:eastAsia="宋体" w:cs="宋体"/>
                <w:kern w:val="0"/>
                <w:sz w:val="21"/>
                <w:szCs w:val="21"/>
              </w:rPr>
            </w:pPr>
          </w:p>
        </w:tc>
        <w:tc>
          <w:tcPr>
            <w:tcW w:w="1256" w:type="pct"/>
            <w:tcBorders>
              <w:left w:val="single" w:color="auto" w:sz="2" w:space="0"/>
            </w:tcBorders>
            <w:vAlign w:val="center"/>
          </w:tcPr>
          <w:p w14:paraId="76C3E62C">
            <w:pPr>
              <w:autoSpaceDE w:val="0"/>
              <w:autoSpaceDN w:val="0"/>
              <w:spacing w:line="240" w:lineRule="auto"/>
              <w:ind w:firstLine="0" w:firstLineChars="0"/>
              <w:jc w:val="center"/>
              <w:rPr>
                <w:rFonts w:ascii="宋体" w:hAnsi="宋体" w:eastAsia="宋体"/>
                <w:sz w:val="21"/>
                <w:szCs w:val="21"/>
              </w:rPr>
            </w:pPr>
          </w:p>
        </w:tc>
        <w:tc>
          <w:tcPr>
            <w:tcW w:w="859" w:type="pct"/>
            <w:vAlign w:val="center"/>
          </w:tcPr>
          <w:p w14:paraId="7ABE1E80">
            <w:pPr>
              <w:autoSpaceDE w:val="0"/>
              <w:autoSpaceDN w:val="0"/>
              <w:spacing w:line="240" w:lineRule="auto"/>
              <w:ind w:firstLine="0" w:firstLineChars="0"/>
              <w:jc w:val="center"/>
              <w:rPr>
                <w:rFonts w:ascii="宋体" w:hAnsi="宋体" w:eastAsia="宋体"/>
                <w:sz w:val="21"/>
                <w:szCs w:val="21"/>
              </w:rPr>
            </w:pPr>
          </w:p>
        </w:tc>
        <w:tc>
          <w:tcPr>
            <w:tcW w:w="947" w:type="pct"/>
            <w:vAlign w:val="center"/>
          </w:tcPr>
          <w:p w14:paraId="7E710F4B">
            <w:pPr>
              <w:autoSpaceDE w:val="0"/>
              <w:autoSpaceDN w:val="0"/>
              <w:spacing w:line="240" w:lineRule="auto"/>
              <w:ind w:firstLine="0" w:firstLineChars="0"/>
              <w:jc w:val="center"/>
              <w:rPr>
                <w:rFonts w:ascii="宋体" w:hAnsi="宋体" w:eastAsia="宋体"/>
                <w:sz w:val="21"/>
                <w:szCs w:val="21"/>
              </w:rPr>
            </w:pPr>
            <w:r>
              <w:rPr>
                <w:rFonts w:hint="eastAsia" w:ascii="宋体" w:hAnsi="宋体" w:eastAsia="宋体"/>
                <w:sz w:val="21"/>
                <w:szCs w:val="21"/>
              </w:rPr>
              <w:t>合格</w:t>
            </w:r>
          </w:p>
        </w:tc>
        <w:tc>
          <w:tcPr>
            <w:tcW w:w="727" w:type="pct"/>
            <w:vAlign w:val="center"/>
          </w:tcPr>
          <w:p w14:paraId="2C07303F">
            <w:pPr>
              <w:autoSpaceDE w:val="0"/>
              <w:autoSpaceDN w:val="0"/>
              <w:spacing w:line="240" w:lineRule="auto"/>
              <w:ind w:firstLine="0" w:firstLineChars="0"/>
              <w:jc w:val="center"/>
              <w:rPr>
                <w:rFonts w:ascii="宋体" w:hAnsi="宋体" w:eastAsia="宋体"/>
                <w:sz w:val="21"/>
                <w:szCs w:val="21"/>
              </w:rPr>
            </w:pPr>
          </w:p>
        </w:tc>
      </w:tr>
    </w:tbl>
    <w:tbl>
      <w:tblPr>
        <w:tblStyle w:val="52"/>
        <w:tblpPr w:leftFromText="180" w:rightFromText="180" w:vertAnchor="text" w:horzAnchor="page" w:tblpX="1787" w:tblpY="9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7096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trPr>
        <w:tc>
          <w:tcPr>
            <w:tcW w:w="8520" w:type="dxa"/>
            <w:vAlign w:val="center"/>
          </w:tcPr>
          <w:p w14:paraId="551B3792">
            <w:pPr>
              <w:adjustRightInd/>
              <w:snapToGrid/>
              <w:spacing w:before="120" w:after="240" w:line="360" w:lineRule="exact"/>
              <w:ind w:firstLine="0" w:firstLineChars="0"/>
              <w:rPr>
                <w:rFonts w:ascii="宋体" w:hAnsi="宋体" w:eastAsia="宋体"/>
                <w:sz w:val="21"/>
                <w:szCs w:val="21"/>
              </w:rPr>
            </w:pPr>
            <w:r>
              <w:rPr>
                <w:rFonts w:hint="eastAsia" w:ascii="宋体" w:hAnsi="宋体" w:eastAsia="宋体"/>
                <w:sz w:val="21"/>
                <w:szCs w:val="21"/>
              </w:rPr>
              <w:t>有关承诺：</w:t>
            </w:r>
          </w:p>
        </w:tc>
      </w:tr>
    </w:tbl>
    <w:p w14:paraId="302B6B49">
      <w:pPr>
        <w:autoSpaceDE w:val="0"/>
        <w:autoSpaceDN w:val="0"/>
        <w:spacing w:line="240" w:lineRule="auto"/>
        <w:ind w:firstLine="0" w:firstLineChars="0"/>
        <w:rPr>
          <w:rFonts w:ascii="宋体" w:hAnsi="宋体" w:eastAsia="宋体" w:cs="宋体"/>
          <w:sz w:val="24"/>
          <w:szCs w:val="24"/>
        </w:rPr>
      </w:pPr>
    </w:p>
    <w:p w14:paraId="200A0382">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公章</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17E8739F">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 xml:space="preserve">                                </w:t>
      </w:r>
    </w:p>
    <w:p w14:paraId="5F503B37">
      <w:pPr>
        <w:autoSpaceDE w:val="0"/>
        <w:autoSpaceDN w:val="0"/>
        <w:spacing w:line="240" w:lineRule="auto"/>
        <w:ind w:firstLine="0" w:firstLineChars="0"/>
        <w:rPr>
          <w:rFonts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717D2CF">
      <w:pPr>
        <w:autoSpaceDE w:val="0"/>
        <w:autoSpaceDN w:val="0"/>
        <w:spacing w:line="240" w:lineRule="auto"/>
        <w:ind w:firstLine="0" w:firstLineChars="0"/>
        <w:rPr>
          <w:ins w:id="61" w:author="盈科律师" w:date="2026-07-14T09:24:32Z"/>
          <w:rFonts w:hint="eastAsia" w:ascii="宋体" w:hAnsi="宋体" w:eastAsia="宋体" w:cs="宋体"/>
          <w:b/>
          <w:sz w:val="24"/>
          <w:szCs w:val="24"/>
        </w:rPr>
      </w:pPr>
      <w:r>
        <w:rPr>
          <w:rFonts w:hint="eastAsia" w:ascii="宋体" w:hAnsi="宋体" w:eastAsia="宋体" w:cs="宋体"/>
          <w:b/>
          <w:sz w:val="24"/>
          <w:szCs w:val="24"/>
        </w:rPr>
        <w:t>注：</w:t>
      </w:r>
    </w:p>
    <w:p w14:paraId="49792C4F">
      <w:pPr>
        <w:numPr>
          <w:ilvl w:val="0"/>
          <w:numId w:val="13"/>
          <w:ins w:id="63" w:author="盈科律师" w:date="2026-07-14T09:24:36Z"/>
        </w:numPr>
        <w:autoSpaceDE w:val="0"/>
        <w:autoSpaceDN w:val="0"/>
        <w:spacing w:line="240" w:lineRule="auto"/>
        <w:ind w:firstLine="0" w:firstLineChars="0"/>
        <w:rPr>
          <w:ins w:id="64" w:author="盈科律师" w:date="2026-07-14T09:24:36Z"/>
          <w:rFonts w:hint="eastAsia" w:ascii="宋体" w:hAnsi="宋体" w:eastAsia="宋体" w:cs="宋体"/>
          <w:sz w:val="24"/>
          <w:szCs w:val="24"/>
        </w:rPr>
        <w:pPrChange w:id="62" w:author="盈科律师" w:date="2026-07-14T09:24:36Z">
          <w:pPr>
            <w:autoSpaceDE w:val="0"/>
            <w:autoSpaceDN w:val="0"/>
            <w:spacing w:line="240" w:lineRule="auto"/>
            <w:ind w:firstLine="0" w:firstLineChars="0"/>
          </w:pPr>
        </w:pPrChange>
      </w:pPr>
      <w:r>
        <w:rPr>
          <w:rFonts w:hint="eastAsia" w:ascii="宋体" w:hAnsi="宋体" w:eastAsia="宋体" w:cs="宋体"/>
          <w:sz w:val="24"/>
          <w:szCs w:val="24"/>
        </w:rPr>
        <w:t>此表由参加谈判的</w:t>
      </w:r>
      <w:r>
        <w:rPr>
          <w:rFonts w:hint="eastAsia" w:ascii="宋体" w:hAnsi="宋体" w:eastAsia="宋体" w:cs="宋体"/>
          <w:sz w:val="24"/>
          <w:szCs w:val="24"/>
          <w:lang w:val="en-US" w:eastAsia="zh-CN"/>
        </w:rPr>
        <w:t>响应</w:t>
      </w:r>
      <w:r>
        <w:rPr>
          <w:rFonts w:hint="eastAsia" w:ascii="宋体" w:hAnsi="宋体" w:eastAsia="宋体" w:cs="宋体"/>
          <w:sz w:val="24"/>
          <w:szCs w:val="24"/>
        </w:rPr>
        <w:t>人在谈判结束后，在谈判小组规定的时间内单独提交。</w:t>
      </w:r>
    </w:p>
    <w:p w14:paraId="4FA81E19">
      <w:pPr>
        <w:pStyle w:val="2"/>
        <w:numPr>
          <w:ilvl w:val="-1"/>
          <w:numId w:val="0"/>
        </w:numPr>
        <w:ind w:left="0" w:leftChars="0" w:firstLine="0" w:firstLineChars="0"/>
        <w:rPr>
          <w:ins w:id="66" w:author="盈科律师" w:date="2026-07-14T09:24:28Z"/>
          <w:rFonts w:hint="eastAsia" w:eastAsia="宋体"/>
          <w:lang w:val="en-US" w:eastAsia="zh-CN"/>
        </w:rPr>
        <w:pPrChange w:id="65" w:author="盈科律师" w:date="2026-07-14T09:24:39Z">
          <w:pPr>
            <w:pStyle w:val="2"/>
          </w:pPr>
        </w:pPrChange>
      </w:pPr>
      <w:ins w:id="67" w:author="盈科律师" w:date="2026-07-14T09:24:40Z">
        <w:r>
          <w:rPr>
            <w:rFonts w:hint="eastAsia"/>
            <w:lang w:val="en-US" w:eastAsia="zh-CN"/>
          </w:rPr>
          <w:t>2</w:t>
        </w:r>
      </w:ins>
      <w:ins w:id="68" w:author="盈科律师" w:date="2026-07-14T09:24:41Z">
        <w:r>
          <w:rPr>
            <w:rFonts w:hint="eastAsia"/>
            <w:lang w:val="en-US" w:eastAsia="zh-CN"/>
          </w:rPr>
          <w:t>、</w:t>
        </w:r>
      </w:ins>
      <w:ins w:id="69" w:author="盈科律师" w:date="2026-07-14T09:24:53Z">
        <w:r>
          <w:rPr>
            <w:rFonts w:hint="eastAsia" w:ascii="宋体" w:hAnsi="宋体" w:cs="宋体"/>
            <w:sz w:val="24"/>
            <w:rPrChange w:id="70" w:author="盈科律师" w:date="2026-07-14T09:24:59Z">
              <w:rPr>
                <w:rFonts w:hint="eastAsia"/>
              </w:rPr>
            </w:rPrChange>
          </w:rPr>
          <w:t>竞争性谈判/单一来源采购中的“最终报价”，是指供应商在其已提交的投标总价基础上，根据谈判情况作出的、具有约束力的最终总价承诺，该报价同样为完成本项目全部内容的包干总价。</w:t>
        </w:r>
      </w:ins>
    </w:p>
    <w:p w14:paraId="3B823B16">
      <w:pPr>
        <w:pStyle w:val="2"/>
      </w:pPr>
    </w:p>
    <w:p w14:paraId="1C6BFAB8">
      <w:pPr>
        <w:widowControl w:val="0"/>
        <w:autoSpaceDE w:val="0"/>
        <w:autoSpaceDN w:val="0"/>
        <w:adjustRightInd w:val="0"/>
        <w:snapToGrid w:val="0"/>
        <w:spacing w:line="20" w:lineRule="atLeast"/>
        <w:ind w:firstLine="0" w:firstLineChars="0"/>
        <w:jc w:val="left"/>
        <w:rPr>
          <w:rFonts w:ascii="宋体" w:hAnsi="宋体"/>
          <w:b/>
          <w:szCs w:val="21"/>
          <w:highlight w:val="none"/>
        </w:rPr>
      </w:pPr>
    </w:p>
    <w:sectPr>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0010101010101"/>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Helvetica">
    <w:altName w:val="Arial"/>
    <w:panose1 w:val="00000000000000000000"/>
    <w:charset w:val="00"/>
    <w:family w:val="swiss"/>
    <w:pitch w:val="default"/>
    <w:sig w:usb0="00000000" w:usb1="00000000" w:usb2="00000000" w:usb3="00000000" w:csb0="2000019F" w:csb1="4F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B1DB2">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wps:spPr>
                      <a:xfrm>
                        <a:off x="0" y="0"/>
                        <a:ext cx="1143635" cy="222250"/>
                      </a:xfrm>
                      <a:prstGeom prst="rect">
                        <a:avLst/>
                      </a:prstGeom>
                      <a:noFill/>
                      <a:ln cap="flat" cmpd="sng">
                        <a:noFill/>
                        <a:prstDash val="solid"/>
                        <a:round/>
                      </a:ln>
                    </wps:spPr>
                    <wps:txbx>
                      <w:txbxContent>
                        <w:p w14:paraId="71B7DA5A">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7.5pt;width:90.05pt;mso-position-horizontal:center;mso-position-horizontal-relative:margin;mso-wrap-style:none;z-index:251659264;mso-width-relative:page;mso-height-relative:page;" filled="f" stroked="f" coordsize="21600,21600" o:gfxdata="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NIo+0gAAAAQBAAAPAAAAAAAAAAEAIAAAACIAAABkcnMvZG93bnJldi54bWxQ&#10;SwECFAAUAAAACACHTuJAwbuwKP0BAADsAwAADgAAAAAAAAABACAAAAAhAQAAZHJzL2Uyb0RvYy54&#10;bWxQSwUGAAAAAAYABgBZAQAAkAUAAAAA&#10;">
              <v:fill on="f" focussize="0,0"/>
              <v:stroke on="f" joinstyle="round"/>
              <v:imagedata o:title=""/>
              <o:lock v:ext="edit" aspectratio="f"/>
              <v:textbox inset="0mm,0mm,0mm,0mm" style="mso-fit-shape-to-text:t;">
                <w:txbxContent>
                  <w:p w14:paraId="71B7DA5A">
                    <w:pPr>
                      <w:pStyle w:val="3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rect>
          </w:pict>
        </mc:Fallback>
      </mc:AlternateContent>
    </w:r>
  </w:p>
  <w:p w14:paraId="0F0A62CD">
    <w:pPr>
      <w:pStyle w:val="34"/>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3458D">
    <w:pPr>
      <w:pStyle w:val="3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150" cy="222250"/>
              <wp:effectExtent l="0" t="0" r="0" b="0"/>
              <wp:wrapNone/>
              <wp:docPr id="4" name="文本框 1026"/>
              <wp:cNvGraphicFramePr/>
              <a:graphic xmlns:a="http://schemas.openxmlformats.org/drawingml/2006/main">
                <a:graphicData uri="http://schemas.microsoft.com/office/word/2010/wordprocessingShape">
                  <wps:wsp>
                    <wps:cNvSpPr/>
                    <wps:spPr>
                      <a:xfrm>
                        <a:off x="0" y="0"/>
                        <a:ext cx="1200150" cy="222349"/>
                      </a:xfrm>
                      <a:prstGeom prst="rect">
                        <a:avLst/>
                      </a:prstGeom>
                      <a:noFill/>
                      <a:ln cap="flat" cmpd="sng">
                        <a:noFill/>
                        <a:prstDash val="solid"/>
                        <a:round/>
                      </a:ln>
                    </wps:spPr>
                    <wps:txbx>
                      <w:txbxContent>
                        <w:p w14:paraId="61BB1128">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vert="horz" wrap="none" lIns="0" tIns="0" rIns="0" bIns="0" anchor="t" anchorCtr="0" upright="1">
                      <a:spAutoFit/>
                    </wps:bodyPr>
                  </wps:wsp>
                </a:graphicData>
              </a:graphic>
            </wp:anchor>
          </w:drawing>
        </mc:Choice>
        <mc:Fallback>
          <w:pict>
            <v:rect id="文本框 1026" o:spid="_x0000_s1026" o:spt="1" style="position:absolute;left:0pt;margin-top:0pt;height:17.5pt;width:94.5pt;mso-position-horizontal:center;mso-position-horizontal-relative:margin;mso-wrap-style:none;z-index:251659264;mso-width-relative:page;mso-height-relative:page;" filled="f" stroked="f" coordsize="21600,21600" o:gfxdata="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c6HFzSAAAABAEAAA8AAAAAAAAAAQAgAAAAIgAAAGRycy9kb3ducmV2Lnht&#10;bFBLAQIUABQAAAAIAIdO4kBw0B+p/wEAAO8DAAAOAAAAAAAAAAEAIAAAACEBAABkcnMvZTJvRG9j&#10;LnhtbFBLBQYAAAAABgAGAFkBAACSBQAAAAA=&#10;">
              <v:fill on="f" focussize="0,0"/>
              <v:stroke on="f" joinstyle="round"/>
              <v:imagedata o:title=""/>
              <o:lock v:ext="edit" aspectratio="f"/>
              <v:textbox inset="0mm,0mm,0mm,0mm" style="mso-fit-shape-to-text:t;">
                <w:txbxContent>
                  <w:p w14:paraId="61BB1128">
                    <w:pPr>
                      <w:pStyle w:val="34"/>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266700" cy="427355"/>
              <wp:effectExtent l="0" t="0" r="0" b="0"/>
              <wp:wrapNone/>
              <wp:docPr id="2" name="文本框 1025"/>
              <wp:cNvGraphicFramePr/>
              <a:graphic xmlns:a="http://schemas.openxmlformats.org/drawingml/2006/main">
                <a:graphicData uri="http://schemas.microsoft.com/office/word/2010/wordprocessingShape">
                  <wps:wsp>
                    <wps:cNvSpPr/>
                    <wps:spPr>
                      <a:xfrm>
                        <a:off x="0" y="0"/>
                        <a:ext cx="266700" cy="427159"/>
                      </a:xfrm>
                      <a:prstGeom prst="rect">
                        <a:avLst/>
                      </a:prstGeom>
                      <a:noFill/>
                      <a:ln cap="flat" cmpd="sng">
                        <a:noFill/>
                        <a:prstDash val="solid"/>
                        <a:round/>
                      </a:ln>
                    </wps:spPr>
                    <wps:txbx>
                      <w:txbxContent>
                        <w:p w14:paraId="3BD8280D">
                          <w:pPr>
                            <w:pStyle w:val="34"/>
                            <w:ind w:firstLine="0" w:firstLineChars="0"/>
                          </w:pPr>
                        </w:p>
                        <w:p w14:paraId="49D887D6"/>
                      </w:txbxContent>
                    </wps:txbx>
                    <wps:bodyPr vert="horz" wrap="none" lIns="0" tIns="0" rIns="0" bIns="0" anchor="t" anchorCtr="0" upright="1">
                      <a:spAutoFit/>
                    </wps:bodyPr>
                  </wps:wsp>
                </a:graphicData>
              </a:graphic>
            </wp:anchor>
          </w:drawing>
        </mc:Choice>
        <mc:Fallback>
          <w:pict>
            <v:rect id="文本框 1025" o:spid="_x0000_s1026" o:spt="1" style="position:absolute;left:0pt;margin-top:0pt;height:33.65pt;width:21pt;mso-position-horizontal:left;mso-position-horizontal-relative:margin;mso-wrap-style:none;z-index:251659264;mso-width-relative:page;mso-height-relative:page;" filled="f" stroked="f" coordsize="21600,21600" o:gfxdata="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iiJozRAAAAAwEAAA8AAAAAAAAAAQAgAAAAIgAAAGRycy9kb3ducmV2Lnht&#10;bFBLAQIUABQAAAAIAIdO4kDDkhVlAAIAAO4DAAAOAAAAAAAAAAEAIAAAACABAABkcnMvZTJvRG9j&#10;LnhtbFBLBQYAAAAABgAGAFkBAACSBQAAAAA=&#10;">
              <v:fill on="f" focussize="0,0"/>
              <v:stroke on="f" joinstyle="round"/>
              <v:imagedata o:title=""/>
              <o:lock v:ext="edit" aspectratio="f"/>
              <v:textbox inset="0mm,0mm,0mm,0mm" style="mso-fit-shape-to-text:t;">
                <w:txbxContent>
                  <w:p w14:paraId="3BD8280D">
                    <w:pPr>
                      <w:pStyle w:val="34"/>
                      <w:ind w:firstLine="0" w:firstLineChars="0"/>
                    </w:pPr>
                  </w:p>
                  <w:p w14:paraId="49D887D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6280E">
    <w:pPr>
      <w:pStyle w:val="35"/>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36E3">
    <w:pPr>
      <w:pStyle w:val="28"/>
    </w:pPr>
  </w:p>
  <w:p w14:paraId="34B088E4">
    <w:pPr>
      <w:pStyle w:val="35"/>
      <w:tabs>
        <w:tab w:val="center" w:pos="4677"/>
        <w:tab w:val="right" w:pos="9354"/>
        <w:tab w:val="clear" w:pos="4153"/>
        <w:tab w:val="clear" w:pos="8306"/>
      </w:tabs>
      <w:ind w:firstLine="180" w:firstLineChars="100"/>
      <w:jc w:val="both"/>
    </w:pPr>
    <w:r>
      <w:rPr>
        <w:rFonts w:hint="eastAsia"/>
        <w:lang w:val="en-US" w:eastAsia="zh-CN"/>
      </w:rPr>
      <w:t>深圳市深投控体育赛事发展</w:t>
    </w:r>
    <w:r>
      <w:rPr>
        <w:rFonts w:hint="eastAsia"/>
      </w:rPr>
      <w:t>有限公司</w:t>
    </w:r>
    <w:r>
      <w:tab/>
    </w:r>
    <w:r>
      <w:rPr>
        <w:rFonts w:hint="eastAsia"/>
        <w:lang w:val="en-US" w:eastAsia="zh-CN"/>
      </w:rPr>
      <w:t xml:space="preserve">                                                 </w:t>
    </w:r>
    <w:r>
      <w:rPr>
        <w:rFonts w:hint="eastAsia"/>
      </w:rPr>
      <w:t>招标文件</w:t>
    </w:r>
  </w:p>
  <w:p w14:paraId="0EDB3D15">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B47E">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174BB"/>
    <w:multiLevelType w:val="multilevel"/>
    <w:tmpl w:val="C50174BB"/>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35DAAF8"/>
    <w:multiLevelType w:val="singleLevel"/>
    <w:tmpl w:val="E35DAAF8"/>
    <w:lvl w:ilvl="0" w:tentative="0">
      <w:start w:val="1"/>
      <w:numFmt w:val="decimal"/>
      <w:suff w:val="nothing"/>
      <w:lvlText w:val="%1、"/>
      <w:lvlJc w:val="left"/>
    </w:lvl>
  </w:abstractNum>
  <w:abstractNum w:abstractNumId="2">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62288D2"/>
    <w:multiLevelType w:val="singleLevel"/>
    <w:tmpl w:val="062288D2"/>
    <w:lvl w:ilvl="0" w:tentative="0">
      <w:start w:val="1"/>
      <w:numFmt w:val="decimal"/>
      <w:suff w:val="nothing"/>
      <w:lvlText w:val="（%1）"/>
      <w:lvlJc w:val="left"/>
    </w:lvl>
  </w:abstractNum>
  <w:abstractNum w:abstractNumId="4">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5">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5F3E30"/>
    <w:multiLevelType w:val="multilevel"/>
    <w:tmpl w:val="475F3E30"/>
    <w:lvl w:ilvl="0" w:tentative="0">
      <w:start w:val="1"/>
      <w:numFmt w:val="decimal"/>
      <w:lvlText w:val="%1."/>
      <w:lvlJc w:val="left"/>
      <w:pPr>
        <w:tabs>
          <w:tab w:val="left" w:pos="482"/>
        </w:tabs>
        <w:ind w:left="482" w:hanging="482"/>
      </w:pPr>
      <w:rPr>
        <w:rFonts w:hint="default" w:ascii="宋体" w:hAnsi="宋体" w:eastAsia="宋体"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9">
    <w:nsid w:val="62D58C9A"/>
    <w:multiLevelType w:val="singleLevel"/>
    <w:tmpl w:val="62D58C9A"/>
    <w:lvl w:ilvl="0" w:tentative="0">
      <w:start w:val="1"/>
      <w:numFmt w:val="decimal"/>
      <w:suff w:val="nothing"/>
      <w:lvlText w:val="%1、"/>
      <w:lvlJc w:val="left"/>
    </w:lvl>
  </w:abstractNum>
  <w:abstractNum w:abstractNumId="10">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1">
    <w:nsid w:val="78505C7F"/>
    <w:multiLevelType w:val="multilevel"/>
    <w:tmpl w:val="78505C7F"/>
    <w:lvl w:ilvl="0" w:tentative="0">
      <w:start w:val="1"/>
      <w:numFmt w:val="japaneseCounting"/>
      <w:lvlText w:val="%1、"/>
      <w:lvlJc w:val="left"/>
      <w:pPr>
        <w:tabs>
          <w:tab w:val="left" w:pos="1050"/>
        </w:tabs>
        <w:ind w:left="1050" w:hanging="720"/>
      </w:pPr>
    </w:lvl>
    <w:lvl w:ilvl="1" w:tentative="0">
      <w:start w:val="1"/>
      <w:numFmt w:val="decimal"/>
      <w:lvlText w:val="%2."/>
      <w:lvlJc w:val="left"/>
      <w:pPr>
        <w:tabs>
          <w:tab w:val="left" w:pos="482"/>
        </w:tabs>
        <w:ind w:left="482" w:hanging="482"/>
      </w:pPr>
      <w:rPr>
        <w:rFonts w:hint="default" w:ascii="宋体" w:hAnsi="宋体" w:eastAsia="宋体" w:cs="Times New Roman"/>
        <w:b w:val="0"/>
        <w:i w:val="0"/>
        <w:sz w:val="24"/>
        <w:szCs w:val="24"/>
      </w:rPr>
    </w:lvl>
    <w:lvl w:ilvl="2" w:tentative="0">
      <w:start w:val="1"/>
      <w:numFmt w:val="japaneseCounting"/>
      <w:lvlText w:val="（%3）"/>
      <w:lvlJc w:val="left"/>
      <w:pPr>
        <w:tabs>
          <w:tab w:val="left" w:pos="1890"/>
        </w:tabs>
        <w:ind w:left="189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8"/>
  </w:num>
  <w:num w:numId="3">
    <w:abstractNumId w:val="5"/>
  </w:num>
  <w:num w:numId="4">
    <w:abstractNumId w:val="12"/>
  </w:num>
  <w:num w:numId="5">
    <w:abstractNumId w:val="6"/>
  </w:num>
  <w:num w:numId="6">
    <w:abstractNumId w:val="4"/>
  </w:num>
  <w:num w:numId="7">
    <w:abstractNumId w:val="10"/>
  </w:num>
  <w:num w:numId="8">
    <w:abstractNumId w:val="0"/>
  </w:num>
  <w:num w:numId="9">
    <w:abstractNumId w:val="3"/>
  </w:num>
  <w:num w:numId="10">
    <w:abstractNumId w:val="11"/>
  </w:num>
  <w:num w:numId="11">
    <w:abstractNumId w:val="7"/>
  </w:num>
  <w:num w:numId="12">
    <w:abstractNumId w:val="9"/>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盈科律师">
    <w15:presenceInfo w15:providerId="WPS Office" w15:userId="3903730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jk5ODM0YmMxOWJiYWQyNDU4MGIzYWRmYTA0ZmI5NDcifQ=="/>
  </w:docVars>
  <w:rsids>
    <w:rsidRoot w:val="00000000"/>
    <w:rsid w:val="007523AE"/>
    <w:rsid w:val="0101519D"/>
    <w:rsid w:val="03D746CC"/>
    <w:rsid w:val="128E693E"/>
    <w:rsid w:val="13A520F1"/>
    <w:rsid w:val="19C47954"/>
    <w:rsid w:val="1B0342CC"/>
    <w:rsid w:val="1C151ABF"/>
    <w:rsid w:val="267C3185"/>
    <w:rsid w:val="389E1B2F"/>
    <w:rsid w:val="5B6559BA"/>
    <w:rsid w:val="65BA2DA7"/>
    <w:rsid w:val="6B4B305E"/>
    <w:rsid w:val="6D1B210B"/>
    <w:rsid w:val="6E957F0D"/>
    <w:rsid w:val="7E843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60"/>
    <w:qFormat/>
    <w:uiPriority w:val="0"/>
    <w:pPr>
      <w:keepNext/>
      <w:keepLines/>
      <w:spacing w:before="240" w:after="240"/>
      <w:outlineLvl w:val="1"/>
    </w:pPr>
    <w:rPr>
      <w:rFonts w:ascii="Arial" w:hAnsi="Arial" w:eastAsia="黑体"/>
      <w:b/>
      <w:bCs/>
      <w:sz w:val="32"/>
      <w:szCs w:val="32"/>
    </w:rPr>
  </w:style>
  <w:style w:type="paragraph" w:styleId="7">
    <w:name w:val="heading 3"/>
    <w:basedOn w:val="1"/>
    <w:next w:val="1"/>
    <w:link w:val="61"/>
    <w:qFormat/>
    <w:uiPriority w:val="0"/>
    <w:pPr>
      <w:keepNext/>
      <w:keepLines/>
      <w:spacing w:before="120" w:after="120"/>
      <w:outlineLvl w:val="2"/>
    </w:pPr>
    <w:rPr>
      <w:b/>
      <w:bCs/>
      <w:sz w:val="24"/>
      <w:szCs w:val="32"/>
    </w:rPr>
  </w:style>
  <w:style w:type="paragraph" w:styleId="8">
    <w:name w:val="heading 4"/>
    <w:basedOn w:val="1"/>
    <w:next w:val="1"/>
    <w:link w:val="62"/>
    <w:qFormat/>
    <w:uiPriority w:val="0"/>
    <w:pPr>
      <w:keepNext/>
      <w:keepLines/>
      <w:spacing w:before="280" w:after="290" w:line="377" w:lineRule="auto"/>
      <w:outlineLvl w:val="3"/>
    </w:pPr>
    <w:rPr>
      <w:rFonts w:ascii="Arial" w:hAnsi="Arial" w:eastAsia="黑体"/>
      <w:b/>
      <w:bCs/>
      <w:sz w:val="28"/>
      <w:szCs w:val="28"/>
    </w:rPr>
  </w:style>
  <w:style w:type="paragraph" w:styleId="9">
    <w:name w:val="heading 5"/>
    <w:basedOn w:val="1"/>
    <w:next w:val="1"/>
    <w:link w:val="63"/>
    <w:qFormat/>
    <w:uiPriority w:val="0"/>
    <w:pPr>
      <w:keepNext/>
      <w:keepLines/>
      <w:tabs>
        <w:tab w:val="left" w:pos="1008"/>
      </w:tabs>
      <w:spacing w:before="280" w:after="290" w:line="377" w:lineRule="auto"/>
      <w:ind w:left="1008"/>
      <w:jc w:val="left"/>
      <w:outlineLvl w:val="4"/>
    </w:pPr>
    <w:rPr>
      <w:b/>
      <w:bCs/>
      <w:kern w:val="0"/>
      <w:sz w:val="28"/>
      <w:szCs w:val="28"/>
    </w:rPr>
  </w:style>
  <w:style w:type="paragraph" w:styleId="10">
    <w:name w:val="heading 6"/>
    <w:basedOn w:val="1"/>
    <w:next w:val="1"/>
    <w:link w:val="64"/>
    <w:qFormat/>
    <w:uiPriority w:val="0"/>
    <w:pPr>
      <w:keepNext/>
      <w:keepLines/>
      <w:tabs>
        <w:tab w:val="left" w:pos="1440"/>
      </w:tabs>
      <w:spacing w:before="240" w:after="64" w:line="319" w:lineRule="auto"/>
      <w:ind w:left="1152"/>
      <w:jc w:val="left"/>
      <w:outlineLvl w:val="5"/>
    </w:pPr>
    <w:rPr>
      <w:rFonts w:ascii="Arial" w:hAnsi="Arial" w:eastAsia="黑体"/>
      <w:b/>
      <w:bCs/>
      <w:kern w:val="0"/>
      <w:sz w:val="24"/>
    </w:rPr>
  </w:style>
  <w:style w:type="paragraph" w:styleId="11">
    <w:name w:val="heading 7"/>
    <w:basedOn w:val="1"/>
    <w:next w:val="1"/>
    <w:link w:val="65"/>
    <w:qFormat/>
    <w:uiPriority w:val="0"/>
    <w:pPr>
      <w:keepNext/>
      <w:keepLines/>
      <w:tabs>
        <w:tab w:val="left" w:pos="2520"/>
      </w:tabs>
      <w:spacing w:before="240" w:after="64" w:line="319" w:lineRule="auto"/>
      <w:ind w:left="1296"/>
      <w:jc w:val="left"/>
      <w:outlineLvl w:val="6"/>
    </w:pPr>
    <w:rPr>
      <w:b/>
      <w:bCs/>
      <w:kern w:val="0"/>
      <w:sz w:val="24"/>
    </w:rPr>
  </w:style>
  <w:style w:type="paragraph" w:styleId="12">
    <w:name w:val="heading 8"/>
    <w:basedOn w:val="1"/>
    <w:next w:val="1"/>
    <w:link w:val="66"/>
    <w:qFormat/>
    <w:uiPriority w:val="0"/>
    <w:pPr>
      <w:keepNext/>
      <w:keepLines/>
      <w:tabs>
        <w:tab w:val="left" w:pos="1440"/>
      </w:tabs>
      <w:spacing w:before="240" w:after="64" w:line="319" w:lineRule="auto"/>
      <w:ind w:left="1440"/>
      <w:jc w:val="left"/>
      <w:outlineLvl w:val="7"/>
    </w:pPr>
    <w:rPr>
      <w:rFonts w:ascii="Arial" w:hAnsi="Arial" w:eastAsia="黑体"/>
      <w:kern w:val="0"/>
      <w:sz w:val="24"/>
    </w:rPr>
  </w:style>
  <w:style w:type="paragraph" w:styleId="13">
    <w:name w:val="heading 9"/>
    <w:basedOn w:val="1"/>
    <w:next w:val="1"/>
    <w:link w:val="67"/>
    <w:qFormat/>
    <w:uiPriority w:val="0"/>
    <w:pPr>
      <w:keepNext/>
      <w:keepLines/>
      <w:tabs>
        <w:tab w:val="left" w:pos="1584"/>
      </w:tabs>
      <w:spacing w:before="240" w:after="64" w:line="319" w:lineRule="auto"/>
      <w:ind w:left="1584"/>
      <w:jc w:val="left"/>
      <w:outlineLvl w:val="8"/>
    </w:pPr>
    <w:rPr>
      <w:rFonts w:ascii="Arial" w:hAnsi="Arial" w:eastAsia="黑体"/>
      <w:kern w:val="0"/>
      <w:szCs w:val="21"/>
    </w:rPr>
  </w:style>
  <w:style w:type="character" w:default="1" w:styleId="53">
    <w:name w:val="Default Paragraph Font"/>
    <w:qFormat/>
    <w:uiPriority w:val="0"/>
  </w:style>
  <w:style w:type="table" w:default="1" w:styleId="52">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line="312" w:lineRule="atLeast"/>
      <w:textAlignment w:val="baseline"/>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eastAsia="宋体" w:cs="Arial"/>
    </w:rPr>
  </w:style>
  <w:style w:type="paragraph" w:styleId="14">
    <w:name w:val="List 3"/>
    <w:basedOn w:val="1"/>
    <w:qFormat/>
    <w:uiPriority w:val="0"/>
    <w:pPr>
      <w:ind w:left="600" w:leftChars="400" w:hanging="200" w:hangingChars="200"/>
    </w:pPr>
  </w:style>
  <w:style w:type="paragraph" w:styleId="15">
    <w:name w:val="toc 7"/>
    <w:basedOn w:val="1"/>
    <w:next w:val="1"/>
    <w:qFormat/>
    <w:uiPriority w:val="0"/>
    <w:pPr>
      <w:widowControl w:val="0"/>
      <w:spacing w:line="240" w:lineRule="auto"/>
      <w:ind w:left="1200" w:leftChars="1200" w:firstLine="0" w:firstLineChars="0"/>
    </w:pPr>
    <w:rPr>
      <w:rFonts w:ascii="等线" w:hAnsi="等线" w:eastAsia="等线"/>
      <w:szCs w:val="22"/>
    </w:rPr>
  </w:style>
  <w:style w:type="paragraph" w:styleId="16">
    <w:name w:val="Normal Indent"/>
    <w:basedOn w:val="1"/>
    <w:qFormat/>
    <w:uiPriority w:val="0"/>
  </w:style>
  <w:style w:type="paragraph" w:styleId="17">
    <w:name w:val="caption"/>
    <w:basedOn w:val="1"/>
    <w:next w:val="1"/>
    <w:qFormat/>
    <w:uiPriority w:val="0"/>
    <w:rPr>
      <w:rFonts w:ascii="Arial" w:hAnsi="Arial" w:eastAsia="黑体" w:cs="Arial"/>
      <w:sz w:val="20"/>
      <w:szCs w:val="20"/>
    </w:rPr>
  </w:style>
  <w:style w:type="paragraph" w:styleId="18">
    <w:name w:val="Document Map"/>
    <w:basedOn w:val="1"/>
    <w:qFormat/>
    <w:uiPriority w:val="0"/>
    <w:rPr>
      <w:rFonts w:ascii="宋体"/>
      <w:sz w:val="18"/>
      <w:szCs w:val="18"/>
    </w:rPr>
  </w:style>
  <w:style w:type="paragraph" w:styleId="19">
    <w:name w:val="toa heading"/>
    <w:basedOn w:val="1"/>
    <w:next w:val="1"/>
    <w:qFormat/>
    <w:uiPriority w:val="0"/>
    <w:pPr>
      <w:spacing w:before="120"/>
    </w:pPr>
    <w:rPr>
      <w:rFonts w:ascii="Arial" w:hAnsi="Arial"/>
      <w:b/>
      <w:bCs/>
    </w:rPr>
  </w:style>
  <w:style w:type="paragraph" w:styleId="20">
    <w:name w:val="annotation text"/>
    <w:basedOn w:val="1"/>
    <w:qFormat/>
    <w:uiPriority w:val="0"/>
    <w:pPr>
      <w:jc w:val="left"/>
    </w:pPr>
  </w:style>
  <w:style w:type="paragraph" w:styleId="21">
    <w:name w:val="Body Text 3"/>
    <w:basedOn w:val="1"/>
    <w:qFormat/>
    <w:uiPriority w:val="0"/>
    <w:rPr>
      <w:rFonts w:ascii="宋体"/>
      <w:sz w:val="24"/>
      <w:szCs w:val="20"/>
    </w:rPr>
  </w:style>
  <w:style w:type="paragraph" w:styleId="22">
    <w:name w:val="Body Text"/>
    <w:basedOn w:val="1"/>
    <w:next w:val="23"/>
    <w:qFormat/>
    <w:uiPriority w:val="0"/>
    <w:pPr>
      <w:spacing w:after="120"/>
    </w:pPr>
  </w:style>
  <w:style w:type="paragraph" w:styleId="23">
    <w:name w:val="Body Text 2"/>
    <w:basedOn w:val="1"/>
    <w:qFormat/>
    <w:uiPriority w:val="0"/>
    <w:pPr>
      <w:jc w:val="left"/>
    </w:pPr>
    <w:rPr>
      <w:rFonts w:ascii="楷体_GB2312" w:hAnsi="宋体" w:eastAsia="楷体_GB2312"/>
      <w:color w:val="000000"/>
      <w:kern w:val="0"/>
      <w:szCs w:val="21"/>
    </w:rPr>
  </w:style>
  <w:style w:type="paragraph" w:styleId="24">
    <w:name w:val="List 2"/>
    <w:basedOn w:val="1"/>
    <w:qFormat/>
    <w:uiPriority w:val="0"/>
    <w:pPr>
      <w:ind w:left="400" w:leftChars="200" w:hanging="200" w:hangingChars="200"/>
    </w:pPr>
  </w:style>
  <w:style w:type="paragraph" w:styleId="25">
    <w:name w:val="List Bullet 2"/>
    <w:basedOn w:val="1"/>
    <w:qFormat/>
    <w:uiPriority w:val="0"/>
    <w:pPr>
      <w:tabs>
        <w:tab w:val="left" w:pos="780"/>
      </w:tabs>
      <w:ind w:left="840"/>
    </w:pPr>
  </w:style>
  <w:style w:type="paragraph" w:styleId="26">
    <w:name w:val="toc 5"/>
    <w:basedOn w:val="1"/>
    <w:next w:val="1"/>
    <w:qFormat/>
    <w:uiPriority w:val="0"/>
    <w:pPr>
      <w:widowControl w:val="0"/>
      <w:spacing w:line="240" w:lineRule="auto"/>
      <w:ind w:left="800" w:leftChars="800" w:firstLine="0" w:firstLineChars="0"/>
    </w:pPr>
    <w:rPr>
      <w:rFonts w:ascii="等线" w:hAnsi="等线" w:eastAsia="等线"/>
      <w:szCs w:val="22"/>
    </w:rPr>
  </w:style>
  <w:style w:type="paragraph" w:styleId="27">
    <w:name w:val="toc 3"/>
    <w:basedOn w:val="1"/>
    <w:next w:val="1"/>
    <w:qFormat/>
    <w:uiPriority w:val="0"/>
    <w:pPr>
      <w:ind w:left="940"/>
      <w:jc w:val="left"/>
    </w:pPr>
    <w:rPr>
      <w:rFonts w:ascii="宋体" w:hAnsi="宋体"/>
      <w:kern w:val="0"/>
      <w:szCs w:val="21"/>
    </w:rPr>
  </w:style>
  <w:style w:type="paragraph" w:styleId="28">
    <w:name w:val="Plain Text"/>
    <w:basedOn w:val="1"/>
    <w:qFormat/>
    <w:uiPriority w:val="0"/>
    <w:rPr>
      <w:rFonts w:ascii="宋体" w:hAnsi="Courier New"/>
      <w:szCs w:val="21"/>
    </w:rPr>
  </w:style>
  <w:style w:type="paragraph" w:styleId="29">
    <w:name w:val="toc 8"/>
    <w:basedOn w:val="1"/>
    <w:next w:val="1"/>
    <w:qFormat/>
    <w:uiPriority w:val="0"/>
    <w:pPr>
      <w:widowControl w:val="0"/>
      <w:spacing w:line="240" w:lineRule="auto"/>
      <w:ind w:left="1400" w:leftChars="1400" w:firstLine="0" w:firstLineChars="0"/>
    </w:pPr>
    <w:rPr>
      <w:rFonts w:ascii="等线" w:hAnsi="等线" w:eastAsia="等线"/>
      <w:szCs w:val="22"/>
    </w:rPr>
  </w:style>
  <w:style w:type="paragraph" w:styleId="30">
    <w:name w:val="Date"/>
    <w:basedOn w:val="1"/>
    <w:next w:val="1"/>
    <w:qFormat/>
    <w:uiPriority w:val="0"/>
    <w:rPr>
      <w:sz w:val="24"/>
      <w:szCs w:val="20"/>
    </w:rPr>
  </w:style>
  <w:style w:type="paragraph" w:styleId="31">
    <w:name w:val="Body Text Indent 2"/>
    <w:basedOn w:val="1"/>
    <w:qFormat/>
    <w:uiPriority w:val="0"/>
    <w:rPr>
      <w:rFonts w:eastAsia="仿宋_GB2312"/>
      <w:sz w:val="32"/>
    </w:rPr>
  </w:style>
  <w:style w:type="paragraph" w:styleId="32">
    <w:name w:val="endnote text"/>
    <w:basedOn w:val="1"/>
    <w:qFormat/>
    <w:uiPriority w:val="0"/>
    <w:pPr>
      <w:jc w:val="left"/>
    </w:pPr>
    <w:rPr>
      <w:rFonts w:ascii="Courier" w:hAnsi="Courier" w:eastAsia="PMingLiU"/>
      <w:snapToGrid w:val="0"/>
      <w:kern w:val="0"/>
      <w:sz w:val="24"/>
      <w:szCs w:val="20"/>
      <w:lang w:val="en-AU"/>
    </w:rPr>
  </w:style>
  <w:style w:type="paragraph" w:styleId="33">
    <w:name w:val="Balloon Text"/>
    <w:basedOn w:val="1"/>
    <w:qFormat/>
    <w:uiPriority w:val="0"/>
    <w:rPr>
      <w:sz w:val="18"/>
      <w:szCs w:val="18"/>
    </w:rPr>
  </w:style>
  <w:style w:type="paragraph" w:styleId="34">
    <w:name w:val="footer"/>
    <w:basedOn w:val="1"/>
    <w:qFormat/>
    <w:uiPriority w:val="0"/>
    <w:pPr>
      <w:tabs>
        <w:tab w:val="center" w:pos="4153"/>
        <w:tab w:val="right" w:pos="8306"/>
      </w:tabs>
      <w:snapToGrid w:val="0"/>
      <w:jc w:val="left"/>
    </w:pPr>
    <w:rPr>
      <w:sz w:val="18"/>
      <w:szCs w:val="18"/>
    </w:rPr>
  </w:style>
  <w:style w:type="paragraph" w:styleId="3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widowControl w:val="0"/>
      <w:kinsoku w:val="0"/>
      <w:overflowPunct w:val="0"/>
      <w:autoSpaceDE w:val="0"/>
      <w:autoSpaceDN w:val="0"/>
      <w:adjustRightInd w:val="0"/>
      <w:snapToGrid w:val="0"/>
      <w:ind w:firstLine="0" w:firstLineChars="0"/>
      <w:jc w:val="left"/>
    </w:pPr>
    <w:rPr>
      <w:rFonts w:ascii="宋体" w:hAnsi="宋体"/>
      <w:kern w:val="0"/>
      <w:szCs w:val="21"/>
    </w:rPr>
  </w:style>
  <w:style w:type="paragraph" w:styleId="37">
    <w:name w:val="toc 4"/>
    <w:basedOn w:val="1"/>
    <w:next w:val="1"/>
    <w:qFormat/>
    <w:uiPriority w:val="0"/>
    <w:pPr>
      <w:widowControl w:val="0"/>
      <w:spacing w:line="240" w:lineRule="auto"/>
      <w:ind w:left="600" w:leftChars="600" w:firstLine="0" w:firstLineChars="0"/>
    </w:pPr>
    <w:rPr>
      <w:rFonts w:ascii="等线" w:hAnsi="等线" w:eastAsia="等线"/>
      <w:szCs w:val="22"/>
    </w:rPr>
  </w:style>
  <w:style w:type="paragraph" w:styleId="38">
    <w:name w:val="index heading"/>
    <w:basedOn w:val="1"/>
    <w:next w:val="39"/>
    <w:qFormat/>
    <w:uiPriority w:val="0"/>
    <w:pPr>
      <w:spacing w:before="120" w:after="120"/>
      <w:jc w:val="left"/>
    </w:pPr>
    <w:rPr>
      <w:b/>
      <w:bCs/>
      <w:i/>
      <w:iCs/>
      <w:sz w:val="20"/>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List"/>
    <w:basedOn w:val="1"/>
    <w:qFormat/>
    <w:uiPriority w:val="0"/>
    <w:pPr>
      <w:ind w:left="200" w:hanging="200" w:hangingChars="200"/>
    </w:pPr>
  </w:style>
  <w:style w:type="paragraph" w:styleId="41">
    <w:name w:val="footnote text"/>
    <w:basedOn w:val="1"/>
    <w:qFormat/>
    <w:uiPriority w:val="0"/>
    <w:pPr>
      <w:jc w:val="left"/>
    </w:pPr>
    <w:rPr>
      <w:rFonts w:ascii="Courier" w:hAnsi="Courier" w:eastAsia="PMingLiU"/>
      <w:snapToGrid w:val="0"/>
      <w:kern w:val="0"/>
      <w:sz w:val="24"/>
      <w:szCs w:val="20"/>
      <w:lang w:val="en-AU"/>
    </w:rPr>
  </w:style>
  <w:style w:type="paragraph" w:styleId="42">
    <w:name w:val="toc 6"/>
    <w:basedOn w:val="1"/>
    <w:next w:val="1"/>
    <w:qFormat/>
    <w:uiPriority w:val="0"/>
    <w:pPr>
      <w:widowControl w:val="0"/>
      <w:spacing w:line="240" w:lineRule="auto"/>
      <w:ind w:left="1000" w:leftChars="1000" w:firstLine="0" w:firstLineChars="0"/>
    </w:pPr>
    <w:rPr>
      <w:rFonts w:ascii="等线" w:hAnsi="等线" w:eastAsia="等线"/>
      <w:szCs w:val="22"/>
    </w:rPr>
  </w:style>
  <w:style w:type="paragraph" w:styleId="43">
    <w:name w:val="List 5"/>
    <w:basedOn w:val="1"/>
    <w:qFormat/>
    <w:uiPriority w:val="0"/>
    <w:pPr>
      <w:ind w:left="1000" w:leftChars="800" w:hanging="200" w:hangingChars="200"/>
    </w:pPr>
  </w:style>
  <w:style w:type="paragraph" w:styleId="44">
    <w:name w:val="Body Text Indent 3"/>
    <w:basedOn w:val="1"/>
    <w:qFormat/>
    <w:uiPriority w:val="0"/>
    <w:pPr>
      <w:spacing w:after="120"/>
      <w:ind w:left="200" w:leftChars="200"/>
    </w:pPr>
    <w:rPr>
      <w:sz w:val="16"/>
      <w:szCs w:val="16"/>
    </w:rPr>
  </w:style>
  <w:style w:type="paragraph" w:styleId="45">
    <w:name w:val="toc 2"/>
    <w:basedOn w:val="1"/>
    <w:next w:val="1"/>
    <w:qFormat/>
    <w:uiPriority w:val="0"/>
    <w:pPr>
      <w:widowControl w:val="0"/>
      <w:kinsoku w:val="0"/>
      <w:overflowPunct w:val="0"/>
      <w:autoSpaceDE w:val="0"/>
      <w:autoSpaceDN w:val="0"/>
      <w:adjustRightInd w:val="0"/>
      <w:snapToGrid w:val="0"/>
      <w:jc w:val="left"/>
    </w:pPr>
    <w:rPr>
      <w:rFonts w:ascii="宋体" w:hAnsi="宋体"/>
      <w:kern w:val="0"/>
      <w:szCs w:val="21"/>
    </w:rPr>
  </w:style>
  <w:style w:type="paragraph" w:styleId="46">
    <w:name w:val="toc 9"/>
    <w:basedOn w:val="1"/>
    <w:next w:val="1"/>
    <w:qFormat/>
    <w:uiPriority w:val="0"/>
    <w:pPr>
      <w:widowControl w:val="0"/>
      <w:spacing w:line="240" w:lineRule="auto"/>
      <w:ind w:left="1600" w:leftChars="1600" w:firstLine="0" w:firstLineChars="0"/>
    </w:pPr>
    <w:rPr>
      <w:rFonts w:ascii="等线" w:hAnsi="等线" w:eastAsia="等线"/>
      <w:szCs w:val="22"/>
    </w:rPr>
  </w:style>
  <w:style w:type="paragraph" w:styleId="47">
    <w:name w:val="List 4"/>
    <w:basedOn w:val="1"/>
    <w:qFormat/>
    <w:uiPriority w:val="0"/>
    <w:pPr>
      <w:ind w:left="800" w:leftChars="600" w:hanging="200" w:hangingChars="200"/>
    </w:pPr>
  </w:style>
  <w:style w:type="paragraph" w:styleId="48">
    <w:name w:val="Normal (Web)"/>
    <w:basedOn w:val="1"/>
    <w:qFormat/>
    <w:uiPriority w:val="0"/>
    <w:pPr>
      <w:spacing w:before="100" w:beforeAutospacing="1" w:after="100" w:afterAutospacing="1" w:line="283" w:lineRule="atLeast"/>
      <w:jc w:val="left"/>
    </w:pPr>
    <w:rPr>
      <w:rFonts w:ascii="宋体" w:hAnsi="宋体"/>
      <w:color w:val="000000"/>
      <w:kern w:val="0"/>
      <w:sz w:val="19"/>
      <w:szCs w:val="19"/>
    </w:rPr>
  </w:style>
  <w:style w:type="paragraph" w:styleId="49">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0">
    <w:name w:val="annotation subject"/>
    <w:basedOn w:val="20"/>
    <w:next w:val="20"/>
    <w:qFormat/>
    <w:uiPriority w:val="0"/>
  </w:style>
  <w:style w:type="paragraph" w:styleId="51">
    <w:name w:val="Body Text First Indent"/>
    <w:basedOn w:val="22"/>
    <w:qFormat/>
    <w:uiPriority w:val="0"/>
    <w:pPr>
      <w:ind w:firstLine="100" w:firstLineChars="100"/>
    </w:pPr>
  </w:style>
  <w:style w:type="character" w:styleId="54">
    <w:name w:val="Strong"/>
    <w:qFormat/>
    <w:uiPriority w:val="0"/>
    <w:rPr>
      <w:b/>
      <w:bCs/>
    </w:rPr>
  </w:style>
  <w:style w:type="character" w:styleId="55">
    <w:name w:val="page number"/>
    <w:basedOn w:val="53"/>
    <w:qFormat/>
    <w:uiPriority w:val="0"/>
  </w:style>
  <w:style w:type="character" w:styleId="56">
    <w:name w:val="Emphasis"/>
    <w:qFormat/>
    <w:uiPriority w:val="0"/>
    <w:rPr>
      <w:color w:val="CC0000"/>
    </w:rPr>
  </w:style>
  <w:style w:type="character" w:styleId="57">
    <w:name w:val="Hyperlink"/>
    <w:qFormat/>
    <w:uiPriority w:val="0"/>
    <w:rPr>
      <w:color w:val="0000FF"/>
      <w:u w:val="single"/>
    </w:rPr>
  </w:style>
  <w:style w:type="character" w:styleId="58">
    <w:name w:val="annotation reference"/>
    <w:qFormat/>
    <w:uiPriority w:val="0"/>
    <w:rPr>
      <w:sz w:val="21"/>
      <w:szCs w:val="21"/>
    </w:rPr>
  </w:style>
  <w:style w:type="character" w:customStyle="1" w:styleId="59">
    <w:name w:val="heading 1 Char"/>
    <w:basedOn w:val="53"/>
    <w:link w:val="5"/>
    <w:qFormat/>
    <w:uiPriority w:val="0"/>
    <w:rPr>
      <w:rFonts w:ascii="Times New Roman" w:hAnsi="Times New Roman" w:eastAsia="宋体" w:cs="Times New Roman"/>
      <w:b/>
      <w:bCs/>
      <w:kern w:val="44"/>
      <w:sz w:val="44"/>
      <w:szCs w:val="44"/>
      <w:lang w:val="en-US" w:eastAsia="zh-CN" w:bidi="ar-SA"/>
    </w:rPr>
  </w:style>
  <w:style w:type="character" w:customStyle="1" w:styleId="60">
    <w:name w:val="heading 2 Char"/>
    <w:basedOn w:val="53"/>
    <w:link w:val="6"/>
    <w:qFormat/>
    <w:uiPriority w:val="0"/>
    <w:rPr>
      <w:rFonts w:ascii="Arial" w:hAnsi="Arial" w:eastAsia="黑体" w:cs="Times New Roman"/>
      <w:b/>
      <w:bCs/>
      <w:kern w:val="2"/>
      <w:sz w:val="32"/>
      <w:szCs w:val="32"/>
      <w:lang w:val="en-US" w:eastAsia="zh-CN" w:bidi="ar-SA"/>
    </w:rPr>
  </w:style>
  <w:style w:type="character" w:customStyle="1" w:styleId="61">
    <w:name w:val="heading 3 Char"/>
    <w:basedOn w:val="53"/>
    <w:link w:val="7"/>
    <w:qFormat/>
    <w:uiPriority w:val="0"/>
    <w:rPr>
      <w:rFonts w:ascii="Times New Roman" w:hAnsi="Times New Roman" w:eastAsia="宋体" w:cs="Times New Roman"/>
      <w:b/>
      <w:bCs/>
      <w:kern w:val="2"/>
      <w:sz w:val="24"/>
      <w:szCs w:val="32"/>
      <w:lang w:val="en-US" w:eastAsia="zh-CN" w:bidi="ar-SA"/>
    </w:rPr>
  </w:style>
  <w:style w:type="character" w:customStyle="1" w:styleId="62">
    <w:name w:val="heading 4 Char"/>
    <w:basedOn w:val="53"/>
    <w:link w:val="8"/>
    <w:qFormat/>
    <w:uiPriority w:val="0"/>
    <w:rPr>
      <w:rFonts w:ascii="Arial" w:hAnsi="Arial" w:eastAsia="黑体" w:cs="Times New Roman"/>
      <w:b/>
      <w:bCs/>
      <w:kern w:val="2"/>
      <w:sz w:val="28"/>
      <w:szCs w:val="28"/>
      <w:lang w:val="en-US" w:eastAsia="zh-CN" w:bidi="ar-SA"/>
    </w:rPr>
  </w:style>
  <w:style w:type="character" w:customStyle="1" w:styleId="63">
    <w:name w:val="heading 5 Char"/>
    <w:basedOn w:val="53"/>
    <w:link w:val="9"/>
    <w:qFormat/>
    <w:uiPriority w:val="0"/>
    <w:rPr>
      <w:rFonts w:ascii="Times New Roman" w:hAnsi="Times New Roman" w:eastAsia="宋体" w:cs="Times New Roman"/>
      <w:b/>
      <w:bCs/>
      <w:kern w:val="0"/>
      <w:sz w:val="28"/>
      <w:szCs w:val="28"/>
      <w:lang w:val="en-US" w:eastAsia="zh-CN" w:bidi="ar-SA"/>
    </w:rPr>
  </w:style>
  <w:style w:type="character" w:customStyle="1" w:styleId="64">
    <w:name w:val="heading 6 Char"/>
    <w:basedOn w:val="53"/>
    <w:link w:val="10"/>
    <w:qFormat/>
    <w:uiPriority w:val="0"/>
    <w:rPr>
      <w:rFonts w:ascii="Arial" w:hAnsi="Arial" w:eastAsia="黑体" w:cs="Times New Roman"/>
      <w:b/>
      <w:bCs/>
      <w:kern w:val="0"/>
      <w:sz w:val="24"/>
      <w:szCs w:val="24"/>
      <w:lang w:val="en-US" w:eastAsia="zh-CN" w:bidi="ar-SA"/>
    </w:rPr>
  </w:style>
  <w:style w:type="character" w:customStyle="1" w:styleId="65">
    <w:name w:val="heading 7 Char"/>
    <w:basedOn w:val="53"/>
    <w:link w:val="11"/>
    <w:qFormat/>
    <w:uiPriority w:val="0"/>
    <w:rPr>
      <w:rFonts w:ascii="Times New Roman" w:hAnsi="Times New Roman" w:eastAsia="宋体" w:cs="Times New Roman"/>
      <w:b/>
      <w:bCs/>
      <w:kern w:val="0"/>
      <w:sz w:val="24"/>
      <w:szCs w:val="24"/>
      <w:lang w:val="en-US" w:eastAsia="zh-CN" w:bidi="ar-SA"/>
    </w:rPr>
  </w:style>
  <w:style w:type="character" w:customStyle="1" w:styleId="66">
    <w:name w:val="heading 8 Char"/>
    <w:basedOn w:val="53"/>
    <w:link w:val="12"/>
    <w:qFormat/>
    <w:uiPriority w:val="0"/>
    <w:rPr>
      <w:rFonts w:ascii="Arial" w:hAnsi="Arial" w:eastAsia="黑体" w:cs="Times New Roman"/>
      <w:kern w:val="0"/>
      <w:sz w:val="24"/>
      <w:szCs w:val="24"/>
      <w:lang w:val="en-US" w:eastAsia="zh-CN" w:bidi="ar-SA"/>
    </w:rPr>
  </w:style>
  <w:style w:type="character" w:customStyle="1" w:styleId="67">
    <w:name w:val="heading 9 Char"/>
    <w:basedOn w:val="53"/>
    <w:link w:val="13"/>
    <w:qFormat/>
    <w:uiPriority w:val="0"/>
    <w:rPr>
      <w:rFonts w:ascii="Arial" w:hAnsi="Arial" w:eastAsia="黑体" w:cs="Times New Roman"/>
      <w:kern w:val="0"/>
      <w:sz w:val="21"/>
      <w:szCs w:val="21"/>
      <w:lang w:val="en-US" w:eastAsia="zh-CN" w:bidi="ar-SA"/>
    </w:rPr>
  </w:style>
  <w:style w:type="paragraph" w:customStyle="1" w:styleId="68">
    <w:name w:val="列出段落1"/>
    <w:basedOn w:val="1"/>
    <w:next w:val="1"/>
    <w:qFormat/>
    <w:uiPriority w:val="0"/>
    <w:pPr>
      <w:spacing w:before="50" w:beforeLines="50" w:after="156" w:line="240" w:lineRule="atLeast"/>
      <w:ind w:left="425"/>
    </w:pPr>
    <w:rPr>
      <w:rFonts w:eastAsia="仿宋_GB2312"/>
      <w:sz w:val="24"/>
    </w:rPr>
  </w:style>
  <w:style w:type="character" w:customStyle="1" w:styleId="69">
    <w:name w:val="Char Char17"/>
    <w:qFormat/>
    <w:uiPriority w:val="0"/>
    <w:rPr>
      <w:rFonts w:ascii="Arial" w:hAnsi="Arial" w:eastAsia="黑体"/>
      <w:b/>
      <w:bCs/>
      <w:sz w:val="28"/>
      <w:szCs w:val="28"/>
      <w:lang w:val="en-US" w:eastAsia="zh-CN" w:bidi="ar-SA"/>
    </w:rPr>
  </w:style>
  <w:style w:type="character" w:customStyle="1" w:styleId="70">
    <w:name w:val="正文缩进 Char1"/>
    <w:qFormat/>
    <w:uiPriority w:val="0"/>
    <w:rPr>
      <w:kern w:val="2"/>
      <w:sz w:val="21"/>
    </w:rPr>
  </w:style>
  <w:style w:type="character" w:customStyle="1" w:styleId="71">
    <w:name w:val="正文首行缩进 2 Char1"/>
    <w:qFormat/>
    <w:uiPriority w:val="0"/>
    <w:rPr>
      <w:kern w:val="2"/>
      <w:sz w:val="21"/>
      <w:szCs w:val="24"/>
    </w:rPr>
  </w:style>
  <w:style w:type="paragraph" w:customStyle="1" w:styleId="72">
    <w:name w:val="应答文本"/>
    <w:basedOn w:val="1"/>
    <w:qFormat/>
    <w:uiPriority w:val="0"/>
    <w:pPr>
      <w:adjustRightInd w:val="0"/>
      <w:snapToGrid w:val="0"/>
      <w:spacing w:after="50" w:afterLines="50"/>
      <w:ind w:left="200" w:leftChars="200"/>
    </w:pPr>
    <w:rPr>
      <w:kern w:val="0"/>
      <w:szCs w:val="21"/>
    </w:rPr>
  </w:style>
  <w:style w:type="character" w:customStyle="1" w:styleId="73">
    <w:name w:val="Char Char1"/>
    <w:qFormat/>
    <w:uiPriority w:val="0"/>
    <w:rPr>
      <w:rFonts w:eastAsia="宋体"/>
      <w:szCs w:val="24"/>
      <w:lang w:bidi="ar-SA"/>
    </w:rPr>
  </w:style>
  <w:style w:type="character" w:customStyle="1" w:styleId="74">
    <w:name w:val="批注文字 Char1"/>
    <w:qFormat/>
    <w:locked/>
    <w:uiPriority w:val="0"/>
    <w:rPr>
      <w:kern w:val="2"/>
      <w:sz w:val="21"/>
      <w:szCs w:val="24"/>
    </w:rPr>
  </w:style>
  <w:style w:type="character" w:customStyle="1" w:styleId="75">
    <w:name w:val="未处理的提及1"/>
    <w:qFormat/>
    <w:uiPriority w:val="0"/>
    <w:rPr>
      <w:color w:val="605E5C"/>
      <w:shd w:val="clear" w:color="auto" w:fill="E1DFDD"/>
    </w:rPr>
  </w:style>
  <w:style w:type="character" w:customStyle="1" w:styleId="76">
    <w:name w:val="明显参考1"/>
    <w:qFormat/>
    <w:uiPriority w:val="0"/>
    <w:rPr>
      <w:b/>
      <w:bCs/>
      <w:smallCaps/>
      <w:color w:val="C0504D"/>
      <w:spacing w:val="5"/>
      <w:u w:val="single"/>
    </w:rPr>
  </w:style>
  <w:style w:type="character" w:customStyle="1" w:styleId="7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78">
    <w:name w:val="标题 Char1"/>
    <w:qFormat/>
    <w:uiPriority w:val="0"/>
    <w:rPr>
      <w:rFonts w:ascii="Cambria" w:hAnsi="Cambria" w:eastAsia="宋体" w:cs="Times New Roman"/>
      <w:b/>
      <w:bCs/>
      <w:kern w:val="0"/>
      <w:sz w:val="32"/>
      <w:szCs w:val="32"/>
    </w:rPr>
  </w:style>
  <w:style w:type="character" w:customStyle="1" w:styleId="79">
    <w:name w:val="正文文字 Char"/>
    <w:qFormat/>
    <w:uiPriority w:val="0"/>
    <w:rPr>
      <w:rFonts w:ascii="宋体" w:eastAsia="宋体"/>
      <w:snapToGrid w:val="0"/>
      <w:color w:val="000000"/>
      <w:sz w:val="28"/>
      <w:lang w:val="en-US" w:eastAsia="zh-CN" w:bidi="ar-SA"/>
    </w:rPr>
  </w:style>
  <w:style w:type="character" w:customStyle="1" w:styleId="80">
    <w:name w:val="页脚 字符"/>
    <w:qFormat/>
    <w:uiPriority w:val="0"/>
  </w:style>
  <w:style w:type="paragraph" w:customStyle="1" w:styleId="81">
    <w:name w:val="表格 Char"/>
    <w:basedOn w:val="1"/>
    <w:qFormat/>
    <w:uiPriority w:val="0"/>
    <w:pPr>
      <w:spacing w:before="100" w:beforeAutospacing="1" w:after="100" w:afterAutospacing="1"/>
      <w:jc w:val="center"/>
    </w:pPr>
    <w:rPr>
      <w:rFonts w:ascii="宋体" w:hAnsi="宋体"/>
      <w:szCs w:val="28"/>
    </w:rPr>
  </w:style>
  <w:style w:type="character" w:customStyle="1" w:styleId="82">
    <w:name w:val="正文文本 3 Char1"/>
    <w:qFormat/>
    <w:uiPriority w:val="0"/>
    <w:rPr>
      <w:rFonts w:ascii="Times New Roman" w:hAnsi="Times New Roman" w:eastAsia="宋体" w:cs="Times New Roman"/>
      <w:kern w:val="0"/>
      <w:sz w:val="16"/>
      <w:szCs w:val="16"/>
    </w:rPr>
  </w:style>
  <w:style w:type="paragraph" w:customStyle="1" w:styleId="83">
    <w:name w:val="Report Text"/>
    <w:basedOn w:val="1"/>
    <w:qFormat/>
    <w:uiPriority w:val="0"/>
    <w:pPr>
      <w:spacing w:before="240" w:after="120"/>
      <w:ind w:left="1080"/>
    </w:pPr>
    <w:rPr>
      <w:rFonts w:ascii="Arial" w:hAnsi="Arial"/>
      <w:kern w:val="28"/>
      <w:sz w:val="22"/>
      <w:szCs w:val="20"/>
    </w:rPr>
  </w:style>
  <w:style w:type="character" w:customStyle="1" w:styleId="84">
    <w:name w:val="正文文本 2 Char1"/>
    <w:qFormat/>
    <w:uiPriority w:val="0"/>
    <w:rPr>
      <w:rFonts w:ascii="Times New Roman" w:hAnsi="Times New Roman" w:eastAsia="宋体" w:cs="Times New Roman"/>
      <w:kern w:val="0"/>
      <w:szCs w:val="20"/>
    </w:rPr>
  </w:style>
  <w:style w:type="character" w:customStyle="1" w:styleId="85">
    <w:name w:val="Char Char19"/>
    <w:qFormat/>
    <w:uiPriority w:val="0"/>
    <w:rPr>
      <w:rFonts w:ascii="华文细黑" w:hAnsi="Arial" w:eastAsia="华文细黑"/>
      <w:b/>
      <w:bCs/>
      <w:sz w:val="44"/>
      <w:szCs w:val="32"/>
      <w:lang w:val="en-US" w:eastAsia="zh-CN" w:bidi="ar-SA"/>
    </w:rPr>
  </w:style>
  <w:style w:type="paragraph" w:customStyle="1" w:styleId="86">
    <w:name w:val="列表框1"/>
    <w:basedOn w:val="1"/>
    <w:qFormat/>
    <w:uiPriority w:val="0"/>
    <w:pPr>
      <w:tabs>
        <w:tab w:val="left" w:pos="1682"/>
      </w:tabs>
      <w:adjustRightInd w:val="0"/>
      <w:snapToGrid w:val="0"/>
      <w:ind w:left="1748"/>
    </w:pPr>
    <w:rPr>
      <w:rFonts w:ascii="宋体" w:hAnsi="宋体"/>
      <w:kern w:val="0"/>
      <w:szCs w:val="21"/>
    </w:rPr>
  </w:style>
  <w:style w:type="paragraph" w:customStyle="1" w:styleId="87">
    <w:name w:val="列表框2"/>
    <w:basedOn w:val="86"/>
    <w:qFormat/>
    <w:uiPriority w:val="0"/>
    <w:pPr>
      <w:tabs>
        <w:tab w:val="left" w:pos="2084"/>
      </w:tabs>
      <w:ind w:left="808" w:leftChars="808"/>
    </w:pPr>
    <w:rPr>
      <w:szCs w:val="24"/>
    </w:rPr>
  </w:style>
  <w:style w:type="character" w:customStyle="1" w:styleId="88">
    <w:name w:val="Char Char7"/>
    <w:qFormat/>
    <w:uiPriority w:val="0"/>
    <w:rPr>
      <w:rFonts w:eastAsia="宋体"/>
      <w:kern w:val="2"/>
      <w:sz w:val="18"/>
      <w:szCs w:val="18"/>
      <w:lang w:val="en-US" w:eastAsia="zh-CN" w:bidi="ar-SA"/>
    </w:rPr>
  </w:style>
  <w:style w:type="paragraph" w:customStyle="1" w:styleId="89">
    <w:name w:val="样式 标题 3 + 黑色"/>
    <w:basedOn w:val="7"/>
    <w:qFormat/>
    <w:uiPriority w:val="0"/>
    <w:pPr>
      <w:keepNext w:val="0"/>
      <w:keepLines w:val="0"/>
      <w:tabs>
        <w:tab w:val="left" w:pos="1200"/>
        <w:tab w:val="left" w:pos="1260"/>
      </w:tabs>
      <w:spacing w:before="0" w:after="0"/>
      <w:ind w:left="500" w:hanging="500" w:hangingChars="500"/>
    </w:pPr>
    <w:rPr>
      <w:b w:val="0"/>
      <w:bCs w:val="0"/>
      <w:color w:val="FF0000"/>
      <w:szCs w:val="20"/>
    </w:rPr>
  </w:style>
  <w:style w:type="character" w:customStyle="1" w:styleId="90">
    <w:name w:val="已访问的超链接1"/>
    <w:qFormat/>
    <w:uiPriority w:val="0"/>
    <w:rPr>
      <w:color w:val="800080"/>
      <w:u w:val="single"/>
    </w:rPr>
  </w:style>
  <w:style w:type="character" w:customStyle="1" w:styleId="91">
    <w:name w:val="普通文字 Char Char"/>
    <w:qFormat/>
    <w:uiPriority w:val="0"/>
    <w:rPr>
      <w:rFonts w:ascii="宋体" w:hAnsi="Courier New" w:eastAsia="宋体" w:cs="Courier New"/>
      <w:kern w:val="2"/>
      <w:sz w:val="21"/>
      <w:szCs w:val="21"/>
      <w:lang w:val="en-US" w:eastAsia="zh-CN" w:bidi="ar-SA"/>
    </w:rPr>
  </w:style>
  <w:style w:type="character" w:customStyle="1" w:styleId="92">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93">
    <w:name w:val="批注框文本 Char1"/>
    <w:qFormat/>
    <w:uiPriority w:val="0"/>
    <w:rPr>
      <w:rFonts w:ascii="Times New Roman" w:hAnsi="Times New Roman" w:eastAsia="宋体" w:cs="Times New Roman"/>
      <w:kern w:val="0"/>
      <w:sz w:val="18"/>
      <w:szCs w:val="18"/>
    </w:rPr>
  </w:style>
  <w:style w:type="character" w:customStyle="1" w:styleId="94">
    <w:name w:val="文档结构图 Char1"/>
    <w:qFormat/>
    <w:uiPriority w:val="0"/>
    <w:rPr>
      <w:rFonts w:ascii="宋体" w:hAnsi="Times New Roman" w:eastAsia="宋体" w:cs="Times New Roman"/>
      <w:kern w:val="0"/>
      <w:sz w:val="18"/>
      <w:szCs w:val="18"/>
    </w:rPr>
  </w:style>
  <w:style w:type="character" w:customStyle="1" w:styleId="95">
    <w:name w:val="未处理的提及11"/>
    <w:qFormat/>
    <w:uiPriority w:val="0"/>
    <w:rPr>
      <w:color w:val="605E5C"/>
      <w:shd w:val="clear" w:color="auto" w:fill="E1DFDD"/>
    </w:rPr>
  </w:style>
  <w:style w:type="paragraph" w:customStyle="1" w:styleId="96">
    <w:name w:val="无编号正文"/>
    <w:basedOn w:val="22"/>
    <w:next w:val="1"/>
    <w:qFormat/>
    <w:uiPriority w:val="0"/>
    <w:pPr>
      <w:spacing w:after="0"/>
      <w:ind w:left="200" w:leftChars="200"/>
    </w:pPr>
    <w:rPr>
      <w:rFonts w:ascii="宋体" w:hAnsi="宋体"/>
      <w:kern w:val="0"/>
      <w:sz w:val="24"/>
    </w:rPr>
  </w:style>
  <w:style w:type="character" w:customStyle="1" w:styleId="97">
    <w:name w:val="日期 Char1"/>
    <w:qFormat/>
    <w:uiPriority w:val="0"/>
    <w:rPr>
      <w:rFonts w:ascii="Times New Roman" w:hAnsi="Times New Roman" w:eastAsia="宋体" w:cs="Times New Roman"/>
      <w:kern w:val="0"/>
      <w:szCs w:val="20"/>
    </w:rPr>
  </w:style>
  <w:style w:type="character" w:customStyle="1" w:styleId="98">
    <w:name w:val="正文文本缩进 Char2"/>
    <w:qFormat/>
    <w:uiPriority w:val="0"/>
    <w:rPr>
      <w:rFonts w:ascii="Times New Roman" w:hAnsi="Times New Roman" w:eastAsia="宋体" w:cs="Times New Roman"/>
      <w:szCs w:val="24"/>
    </w:rPr>
  </w:style>
  <w:style w:type="character" w:customStyle="1" w:styleId="99">
    <w:name w:val="text"/>
    <w:qFormat/>
    <w:uiPriority w:val="0"/>
    <w:rPr>
      <w:rFonts w:ascii="仿宋_GB2312" w:eastAsia="仿宋_GB2312"/>
      <w:b/>
      <w:kern w:val="2"/>
      <w:sz w:val="32"/>
      <w:szCs w:val="32"/>
      <w:lang w:val="en-US" w:eastAsia="zh-CN" w:bidi="ar-SA"/>
    </w:rPr>
  </w:style>
  <w:style w:type="character" w:customStyle="1" w:styleId="100">
    <w:name w:val="脚注文本 Char1"/>
    <w:qFormat/>
    <w:uiPriority w:val="0"/>
    <w:rPr>
      <w:kern w:val="2"/>
      <w:sz w:val="18"/>
      <w:szCs w:val="18"/>
    </w:rPr>
  </w:style>
  <w:style w:type="character" w:customStyle="1" w:styleId="101">
    <w:name w:val="批注主题 Char1"/>
    <w:qFormat/>
    <w:uiPriority w:val="0"/>
    <w:rPr>
      <w:rFonts w:ascii="Times New Roman" w:hAnsi="Times New Roman" w:eastAsia="宋体" w:cs="Times New Roman"/>
      <w:b/>
      <w:bCs/>
      <w:kern w:val="0"/>
      <w:sz w:val="21"/>
      <w:szCs w:val="20"/>
    </w:rPr>
  </w:style>
  <w:style w:type="character" w:customStyle="1" w:styleId="102">
    <w:name w:val="Char Char15"/>
    <w:qFormat/>
    <w:uiPriority w:val="0"/>
    <w:rPr>
      <w:rFonts w:ascii="Arial" w:hAnsi="Arial" w:eastAsia="黑体"/>
      <w:b/>
      <w:bCs/>
      <w:sz w:val="24"/>
      <w:szCs w:val="24"/>
      <w:lang w:val="en-US" w:eastAsia="zh-CN" w:bidi="ar-SA"/>
    </w:rPr>
  </w:style>
  <w:style w:type="character" w:customStyle="1" w:styleId="103">
    <w:name w:val="三级标题康"/>
    <w:qFormat/>
    <w:uiPriority w:val="0"/>
    <w:rPr>
      <w:rFonts w:ascii="Arial" w:hAnsi="Arial" w:eastAsia="宋体" w:cs="Times New Roman"/>
      <w:b/>
      <w:bCs/>
      <w:sz w:val="21"/>
      <w:szCs w:val="32"/>
    </w:rPr>
  </w:style>
  <w:style w:type="character" w:customStyle="1" w:styleId="104">
    <w:name w:val="样式 表内文字"/>
    <w:qFormat/>
    <w:uiPriority w:val="0"/>
    <w:rPr>
      <w:rFonts w:eastAsia="宋体"/>
      <w:snapToGrid/>
      <w:color w:val="000000"/>
      <w:spacing w:val="0"/>
      <w:kern w:val="0"/>
      <w:position w:val="0"/>
      <w:sz w:val="20"/>
      <w:szCs w:val="20"/>
      <w:u w:val="none"/>
    </w:rPr>
  </w:style>
  <w:style w:type="character" w:customStyle="1" w:styleId="105">
    <w:name w:val="Char Char13"/>
    <w:qFormat/>
    <w:uiPriority w:val="0"/>
    <w:rPr>
      <w:rFonts w:ascii="Arial" w:hAnsi="Arial" w:eastAsia="黑体"/>
      <w:sz w:val="24"/>
      <w:szCs w:val="24"/>
      <w:lang w:val="en-US" w:eastAsia="zh-CN" w:bidi="ar-SA"/>
    </w:rPr>
  </w:style>
  <w:style w:type="character" w:customStyle="1" w:styleId="106">
    <w:name w:val="Char Char11"/>
    <w:qFormat/>
    <w:uiPriority w:val="0"/>
    <w:rPr>
      <w:rFonts w:eastAsia="宋体"/>
      <w:b/>
      <w:bCs/>
      <w:kern w:val="2"/>
      <w:sz w:val="21"/>
      <w:szCs w:val="24"/>
      <w:lang w:val="en-US" w:eastAsia="zh-CN" w:bidi="ar-SA"/>
    </w:rPr>
  </w:style>
  <w:style w:type="character" w:customStyle="1" w:styleId="107">
    <w:name w:val="标题 3 Char1"/>
    <w:qFormat/>
    <w:uiPriority w:val="0"/>
    <w:rPr>
      <w:b/>
      <w:bCs/>
      <w:sz w:val="32"/>
      <w:szCs w:val="32"/>
    </w:rPr>
  </w:style>
  <w:style w:type="paragraph" w:customStyle="1" w:styleId="108">
    <w:name w:val="图形题注"/>
    <w:basedOn w:val="17"/>
    <w:qFormat/>
    <w:uiPriority w:val="0"/>
    <w:pPr>
      <w:adjustRightInd w:val="0"/>
      <w:snapToGrid w:val="0"/>
      <w:spacing w:after="50" w:afterLines="50"/>
      <w:jc w:val="center"/>
    </w:pPr>
    <w:rPr>
      <w:rFonts w:eastAsia="宋体" w:cs="Times New Roman"/>
      <w:kern w:val="0"/>
      <w:sz w:val="21"/>
    </w:rPr>
  </w:style>
  <w:style w:type="paragraph" w:customStyle="1" w:styleId="109">
    <w:name w:val="图形布置"/>
    <w:basedOn w:val="108"/>
    <w:qFormat/>
    <w:uiPriority w:val="0"/>
  </w:style>
  <w:style w:type="character" w:customStyle="1" w:styleId="110">
    <w:name w:val="Char Char12"/>
    <w:qFormat/>
    <w:uiPriority w:val="0"/>
    <w:rPr>
      <w:rFonts w:ascii="Arial" w:hAnsi="Arial" w:eastAsia="黑体"/>
      <w:sz w:val="21"/>
      <w:szCs w:val="21"/>
      <w:lang w:val="en-US" w:eastAsia="zh-CN" w:bidi="ar-SA"/>
    </w:rPr>
  </w:style>
  <w:style w:type="character" w:customStyle="1" w:styleId="111">
    <w:name w:val="正文文本缩进 2 Char1"/>
    <w:qFormat/>
    <w:uiPriority w:val="0"/>
    <w:rPr>
      <w:rFonts w:ascii="Times New Roman" w:hAnsi="Times New Roman" w:eastAsia="宋体" w:cs="Times New Roman"/>
      <w:kern w:val="0"/>
      <w:szCs w:val="20"/>
    </w:rPr>
  </w:style>
  <w:style w:type="character" w:customStyle="1" w:styleId="112">
    <w:name w:val="正文文本缩进 Char1"/>
    <w:qFormat/>
    <w:uiPriority w:val="0"/>
    <w:rPr>
      <w:rFonts w:ascii="Times New Roman" w:hAnsi="Times New Roman" w:eastAsia="宋体" w:cs="Times New Roman"/>
      <w:kern w:val="0"/>
      <w:szCs w:val="20"/>
    </w:rPr>
  </w:style>
  <w:style w:type="paragraph" w:customStyle="1" w:styleId="113">
    <w:name w:val="正文首行缩进1"/>
    <w:basedOn w:val="22"/>
    <w:qFormat/>
    <w:uiPriority w:val="0"/>
    <w:pPr>
      <w:ind w:firstLine="100" w:firstLineChars="100"/>
    </w:pPr>
  </w:style>
  <w:style w:type="character" w:customStyle="1" w:styleId="114">
    <w:name w:val="页脚 Char1"/>
    <w:qFormat/>
    <w:uiPriority w:val="0"/>
    <w:rPr>
      <w:rFonts w:ascii="Times New Roman" w:hAnsi="Times New Roman" w:eastAsia="宋体" w:cs="Times New Roman"/>
      <w:kern w:val="0"/>
      <w:sz w:val="18"/>
      <w:szCs w:val="18"/>
    </w:rPr>
  </w:style>
  <w:style w:type="character" w:customStyle="1" w:styleId="115">
    <w:name w:val="Char Char10"/>
    <w:qFormat/>
    <w:uiPriority w:val="0"/>
    <w:rPr>
      <w:rFonts w:eastAsia="仿宋_GB2312"/>
      <w:kern w:val="2"/>
      <w:sz w:val="32"/>
      <w:szCs w:val="24"/>
      <w:lang w:val="en-US" w:eastAsia="zh-CN" w:bidi="ar-SA"/>
    </w:rPr>
  </w:style>
  <w:style w:type="character" w:customStyle="1" w:styleId="116">
    <w:name w:val="纯文本 Char1"/>
    <w:qFormat/>
    <w:uiPriority w:val="0"/>
    <w:rPr>
      <w:rFonts w:ascii="宋体" w:hAnsi="Courier New" w:eastAsia="宋体" w:cs="Times New Roman"/>
      <w:szCs w:val="20"/>
    </w:rPr>
  </w:style>
  <w:style w:type="character" w:customStyle="1" w:styleId="117">
    <w:name w:val="正文文本缩进 3 Char1"/>
    <w:qFormat/>
    <w:uiPriority w:val="0"/>
    <w:rPr>
      <w:rFonts w:ascii="Times New Roman" w:hAnsi="Times New Roman" w:eastAsia="宋体" w:cs="Times New Roman"/>
      <w:kern w:val="0"/>
      <w:sz w:val="16"/>
      <w:szCs w:val="16"/>
    </w:rPr>
  </w:style>
  <w:style w:type="paragraph" w:customStyle="1" w:styleId="118">
    <w:name w:val="正文首行缩进 21"/>
    <w:basedOn w:val="3"/>
    <w:qFormat/>
    <w:uiPriority w:val="0"/>
    <w:pPr>
      <w:adjustRightInd w:val="0"/>
      <w:spacing w:line="312" w:lineRule="atLeast"/>
      <w:textAlignment w:val="baseline"/>
    </w:pPr>
  </w:style>
  <w:style w:type="paragraph" w:customStyle="1" w:styleId="119">
    <w:name w:val="样式4"/>
    <w:basedOn w:val="35"/>
    <w:qFormat/>
    <w:uiPriority w:val="0"/>
    <w:pPr>
      <w:pBdr>
        <w:bottom w:val="none" w:color="auto" w:sz="0" w:space="0"/>
      </w:pBdr>
      <w:autoSpaceDE w:val="0"/>
      <w:autoSpaceDN w:val="0"/>
      <w:adjustRightInd w:val="0"/>
      <w:snapToGrid/>
      <w:textAlignment w:val="baseline"/>
    </w:pPr>
    <w:rPr>
      <w:rFonts w:ascii="宋体"/>
    </w:rPr>
  </w:style>
  <w:style w:type="paragraph" w:customStyle="1" w:styleId="120">
    <w:name w:val="Char Char Char1"/>
    <w:basedOn w:val="1"/>
    <w:qFormat/>
    <w:uiPriority w:val="0"/>
    <w:rPr>
      <w:rFonts w:ascii="仿宋_GB2312" w:eastAsia="仿宋_GB2312"/>
      <w:b/>
      <w:sz w:val="32"/>
      <w:szCs w:val="32"/>
    </w:rPr>
  </w:style>
  <w:style w:type="character" w:customStyle="1" w:styleId="121">
    <w:name w:val="Char Char16"/>
    <w:qFormat/>
    <w:uiPriority w:val="0"/>
    <w:rPr>
      <w:rFonts w:eastAsia="宋体"/>
      <w:b/>
      <w:bCs/>
      <w:sz w:val="28"/>
      <w:szCs w:val="28"/>
      <w:lang w:val="en-US" w:eastAsia="zh-CN" w:bidi="ar-SA"/>
    </w:rPr>
  </w:style>
  <w:style w:type="character" w:customStyle="1" w:styleId="122">
    <w:name w:val="页眉 Char1"/>
    <w:qFormat/>
    <w:uiPriority w:val="0"/>
    <w:rPr>
      <w:rFonts w:ascii="Times New Roman" w:hAnsi="Times New Roman" w:eastAsia="宋体" w:cs="Times New Roman"/>
      <w:kern w:val="0"/>
      <w:sz w:val="18"/>
      <w:szCs w:val="18"/>
    </w:rPr>
  </w:style>
  <w:style w:type="paragraph" w:customStyle="1" w:styleId="123">
    <w:name w:val="列出段落2"/>
    <w:basedOn w:val="1"/>
    <w:qFormat/>
    <w:uiPriority w:val="0"/>
    <w:rPr>
      <w:rFonts w:ascii="Calibri" w:hAnsi="Calibri"/>
      <w:szCs w:val="22"/>
    </w:rPr>
  </w:style>
  <w:style w:type="character" w:customStyle="1" w:styleId="124">
    <w:name w:val="纯文本 Char2"/>
    <w:qFormat/>
    <w:uiPriority w:val="0"/>
    <w:rPr>
      <w:rFonts w:ascii="宋体" w:hAnsi="Courier New" w:eastAsia="宋体"/>
      <w:kern w:val="2"/>
      <w:sz w:val="21"/>
      <w:lang w:val="en-US" w:eastAsia="zh-CN"/>
    </w:rPr>
  </w:style>
  <w:style w:type="character" w:customStyle="1" w:styleId="125">
    <w:name w:val="font161"/>
    <w:qFormat/>
    <w:uiPriority w:val="0"/>
    <w:rPr>
      <w:b/>
      <w:bCs/>
      <w:sz w:val="32"/>
      <w:szCs w:val="32"/>
    </w:rPr>
  </w:style>
  <w:style w:type="character" w:customStyle="1" w:styleId="126">
    <w:name w:val="Char Char8"/>
    <w:qFormat/>
    <w:uiPriority w:val="0"/>
    <w:rPr>
      <w:rFonts w:ascii="宋体" w:hAnsi="宋体" w:eastAsia="宋体"/>
      <w:kern w:val="2"/>
      <w:sz w:val="21"/>
      <w:szCs w:val="24"/>
      <w:lang w:val="en-US" w:eastAsia="zh-CN" w:bidi="ar-SA"/>
    </w:rPr>
  </w:style>
  <w:style w:type="character" w:customStyle="1" w:styleId="127">
    <w:name w:val="样式 超链接 + 仿宋_GB2312 小四 加粗"/>
    <w:qFormat/>
    <w:uiPriority w:val="0"/>
    <w:rPr>
      <w:rFonts w:ascii="仿宋_GB2312" w:hAnsi="仿宋_GB2312" w:eastAsia="黑体"/>
      <w:b/>
      <w:bCs/>
      <w:color w:val="auto"/>
      <w:sz w:val="24"/>
      <w:u w:val="none"/>
    </w:rPr>
  </w:style>
  <w:style w:type="character" w:customStyle="1" w:styleId="128">
    <w:name w:val="批注文字 Char2"/>
    <w:qFormat/>
    <w:uiPriority w:val="0"/>
    <w:rPr>
      <w:kern w:val="2"/>
      <w:sz w:val="21"/>
      <w:szCs w:val="24"/>
    </w:rPr>
  </w:style>
  <w:style w:type="character" w:customStyle="1" w:styleId="129">
    <w:name w:val="标题 3 字符"/>
    <w:qFormat/>
    <w:uiPriority w:val="0"/>
    <w:rPr>
      <w:rFonts w:ascii="Times New Roman" w:hAnsi="Times New Roman" w:eastAsia="宋体" w:cs="Times New Roman"/>
      <w:b/>
      <w:bCs/>
      <w:sz w:val="32"/>
      <w:szCs w:val="32"/>
    </w:rPr>
  </w:style>
  <w:style w:type="character" w:customStyle="1" w:styleId="130">
    <w:name w:val="Char Char18"/>
    <w:qFormat/>
    <w:uiPriority w:val="0"/>
    <w:rPr>
      <w:rFonts w:eastAsia="华文细黑"/>
      <w:bCs/>
      <w:sz w:val="36"/>
      <w:szCs w:val="32"/>
      <w:lang w:val="en-US" w:eastAsia="zh-CN" w:bidi="ar-SA"/>
    </w:rPr>
  </w:style>
  <w:style w:type="character" w:customStyle="1" w:styleId="131">
    <w:name w:val="正文文本 Char1"/>
    <w:qFormat/>
    <w:uiPriority w:val="0"/>
    <w:rPr>
      <w:rFonts w:ascii="Times New Roman" w:hAnsi="Times New Roman" w:eastAsia="宋体" w:cs="Times New Roman"/>
      <w:kern w:val="0"/>
      <w:szCs w:val="20"/>
    </w:rPr>
  </w:style>
  <w:style w:type="character" w:customStyle="1" w:styleId="132">
    <w:name w:val="Char Char14"/>
    <w:qFormat/>
    <w:uiPriority w:val="0"/>
    <w:rPr>
      <w:rFonts w:eastAsia="宋体"/>
      <w:b/>
      <w:bCs/>
      <w:sz w:val="24"/>
      <w:szCs w:val="24"/>
      <w:lang w:val="en-US" w:eastAsia="zh-CN" w:bidi="ar-SA"/>
    </w:rPr>
  </w:style>
  <w:style w:type="character" w:customStyle="1" w:styleId="133">
    <w:name w:val="Char Char6"/>
    <w:qFormat/>
    <w:uiPriority w:val="0"/>
    <w:rPr>
      <w:rFonts w:eastAsia="宋体"/>
      <w:sz w:val="18"/>
      <w:szCs w:val="18"/>
      <w:lang w:bidi="ar-SA"/>
    </w:rPr>
  </w:style>
  <w:style w:type="character" w:customStyle="1" w:styleId="134">
    <w:name w:val="正文首行缩进 Char1"/>
    <w:qFormat/>
    <w:uiPriority w:val="0"/>
    <w:rPr>
      <w:rFonts w:ascii="Times New Roman" w:hAnsi="Times New Roman" w:eastAsia="宋体" w:cs="Times New Roman"/>
      <w:kern w:val="0"/>
      <w:szCs w:val="20"/>
    </w:rPr>
  </w:style>
  <w:style w:type="character" w:customStyle="1" w:styleId="135">
    <w:name w:val="Char Char20"/>
    <w:qFormat/>
    <w:uiPriority w:val="0"/>
    <w:rPr>
      <w:rFonts w:ascii="华文细黑" w:eastAsia="华文细黑"/>
      <w:b/>
      <w:bCs/>
      <w:snapToGrid w:val="0"/>
      <w:sz w:val="52"/>
      <w:szCs w:val="44"/>
      <w:lang w:val="en-US" w:eastAsia="zh-CN" w:bidi="ar-SA"/>
    </w:rPr>
  </w:style>
  <w:style w:type="character" w:customStyle="1" w:styleId="136">
    <w:name w:val="标题 1 字符"/>
    <w:qFormat/>
    <w:uiPriority w:val="0"/>
    <w:rPr>
      <w:rFonts w:ascii="Times New Roman" w:hAnsi="Times New Roman" w:eastAsia="宋体" w:cs="Times New Roman"/>
      <w:b/>
      <w:bCs/>
      <w:kern w:val="44"/>
      <w:sz w:val="44"/>
      <w:szCs w:val="44"/>
    </w:rPr>
  </w:style>
  <w:style w:type="character" w:customStyle="1" w:styleId="137">
    <w:name w:val="Char Char2"/>
    <w:qFormat/>
    <w:uiPriority w:val="0"/>
    <w:rPr>
      <w:rFonts w:ascii="楷体_GB2312" w:hAnsi="宋体" w:eastAsia="楷体_GB2312"/>
      <w:color w:val="000000"/>
      <w:sz w:val="21"/>
      <w:szCs w:val="21"/>
      <w:lang w:val="en-US" w:eastAsia="zh-CN" w:bidi="ar-SA"/>
    </w:rPr>
  </w:style>
  <w:style w:type="character" w:customStyle="1" w:styleId="138">
    <w:name w:val="Char Char9"/>
    <w:qFormat/>
    <w:uiPriority w:val="0"/>
    <w:rPr>
      <w:rFonts w:ascii="宋体" w:hAnsi="宋体" w:eastAsia="宋体"/>
      <w:kern w:val="2"/>
      <w:sz w:val="24"/>
      <w:lang w:val="en-US" w:eastAsia="zh-CN" w:bidi="ar-SA"/>
    </w:rPr>
  </w:style>
  <w:style w:type="character" w:customStyle="1" w:styleId="139">
    <w:name w:val="尾注文本 Char1"/>
    <w:qFormat/>
    <w:uiPriority w:val="0"/>
    <w:rPr>
      <w:kern w:val="2"/>
      <w:sz w:val="21"/>
      <w:szCs w:val="24"/>
    </w:rPr>
  </w:style>
  <w:style w:type="paragraph" w:customStyle="1" w:styleId="140">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41">
    <w:name w:val="No Spacing"/>
    <w:qFormat/>
    <w:uiPriority w:val="0"/>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42">
    <w:name w:val="USE 5"/>
    <w:basedOn w:val="1"/>
    <w:qFormat/>
    <w:uiPriority w:val="0"/>
    <w:pPr>
      <w:ind w:left="217"/>
      <w:jc w:val="left"/>
    </w:pPr>
    <w:rPr>
      <w:rFonts w:ascii="宋体" w:hAnsi="宋体"/>
      <w:sz w:val="24"/>
    </w:rPr>
  </w:style>
  <w:style w:type="paragraph" w:customStyle="1" w:styleId="143">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44">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45">
    <w:name w:val="cucd-4"/>
    <w:next w:val="1"/>
    <w:qFormat/>
    <w:uiPriority w:val="0"/>
    <w:pPr>
      <w:spacing w:line="360" w:lineRule="auto"/>
      <w:ind w:firstLine="200"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46">
    <w:name w:val="p0"/>
    <w:basedOn w:val="1"/>
    <w:qFormat/>
    <w:uiPriority w:val="0"/>
    <w:rPr>
      <w:kern w:val="0"/>
      <w:szCs w:val="21"/>
    </w:rPr>
  </w:style>
  <w:style w:type="paragraph" w:customStyle="1" w:styleId="147">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48">
    <w:name w:val="标题 21"/>
    <w:basedOn w:val="1"/>
    <w:qFormat/>
    <w:uiPriority w:val="0"/>
    <w:pPr>
      <w:ind w:left="100"/>
      <w:jc w:val="left"/>
      <w:outlineLvl w:val="2"/>
    </w:pPr>
    <w:rPr>
      <w:rFonts w:ascii="Microsoft JhengHei" w:hAnsi="Microsoft JhengHei" w:eastAsia="Microsoft JhengHei"/>
      <w:b/>
      <w:bCs/>
      <w:kern w:val="0"/>
      <w:sz w:val="32"/>
      <w:szCs w:val="32"/>
    </w:rPr>
  </w:style>
  <w:style w:type="paragraph" w:customStyle="1" w:styleId="149">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0">
    <w:name w:val="附件"/>
    <w:basedOn w:val="1"/>
    <w:qFormat/>
    <w:uiPriority w:val="0"/>
    <w:pPr>
      <w:spacing w:line="480" w:lineRule="auto"/>
    </w:pPr>
    <w:rPr>
      <w:rFonts w:ascii="黑体" w:eastAsia="黑体"/>
      <w:b/>
      <w:sz w:val="36"/>
      <w:szCs w:val="20"/>
    </w:rPr>
  </w:style>
  <w:style w:type="paragraph" w:customStyle="1" w:styleId="151">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52">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54">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rPr>
  </w:style>
  <w:style w:type="paragraph" w:customStyle="1" w:styleId="1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6">
    <w:name w:val="纯文本2"/>
    <w:basedOn w:val="1"/>
    <w:qFormat/>
    <w:uiPriority w:val="0"/>
    <w:rPr>
      <w:rFonts w:ascii="宋体" w:hAnsi="Courier New" w:cs="Courier New"/>
      <w:szCs w:val="21"/>
    </w:rPr>
  </w:style>
  <w:style w:type="paragraph" w:customStyle="1" w:styleId="157">
    <w:name w:val="1.1.1.1"/>
    <w:basedOn w:val="1"/>
    <w:qFormat/>
    <w:uiPriority w:val="0"/>
    <w:pPr>
      <w:tabs>
        <w:tab w:val="left" w:pos="900"/>
        <w:tab w:val="left" w:pos="1134"/>
      </w:tabs>
      <w:adjustRightInd w:val="0"/>
      <w:snapToGrid w:val="0"/>
      <w:spacing w:before="50" w:beforeLines="50" w:after="50" w:afterLines="50" w:line="400" w:lineRule="atLeast"/>
      <w:ind w:left="50" w:leftChars="50" w:right="200" w:rightChars="200"/>
      <w:textAlignment w:val="baseline"/>
    </w:pPr>
    <w:rPr>
      <w:rFonts w:ascii="Arial" w:hAnsi="Arial"/>
      <w:kern w:val="0"/>
      <w:sz w:val="24"/>
      <w:szCs w:val="20"/>
    </w:rPr>
  </w:style>
  <w:style w:type="paragraph" w:customStyle="1" w:styleId="158">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59">
    <w:name w:val="zhengwen"/>
    <w:basedOn w:val="1"/>
    <w:qFormat/>
    <w:uiPriority w:val="0"/>
    <w:pPr>
      <w:tabs>
        <w:tab w:val="left" w:pos="1145"/>
      </w:tabs>
      <w:adjustRightInd w:val="0"/>
      <w:snapToGrid w:val="0"/>
      <w:spacing w:line="520" w:lineRule="exact"/>
      <w:ind w:left="1145"/>
    </w:pPr>
    <w:rPr>
      <w:bCs/>
      <w:sz w:val="28"/>
    </w:rPr>
  </w:style>
  <w:style w:type="paragraph" w:customStyle="1" w:styleId="160">
    <w:name w:val="Char Char Char Char Char Char Char"/>
    <w:basedOn w:val="1"/>
    <w:qFormat/>
    <w:uiPriority w:val="0"/>
    <w:rPr>
      <w:rFonts w:ascii="仿宋_GB2312" w:eastAsia="仿宋_GB2312"/>
      <w:b/>
      <w:sz w:val="32"/>
      <w:szCs w:val="32"/>
    </w:rPr>
  </w:style>
  <w:style w:type="paragraph" w:customStyle="1" w:styleId="161">
    <w:name w:val="p8"/>
    <w:basedOn w:val="1"/>
    <w:qFormat/>
    <w:uiPriority w:val="0"/>
    <w:pPr>
      <w:spacing w:line="30" w:lineRule="atLeast"/>
      <w:jc w:val="left"/>
    </w:pPr>
    <w:rPr>
      <w:rFonts w:ascii="宋体" w:hAnsi="宋体" w:cs="宋体"/>
      <w:kern w:val="0"/>
      <w:szCs w:val="21"/>
    </w:rPr>
  </w:style>
  <w:style w:type="paragraph" w:customStyle="1" w:styleId="162">
    <w:name w:val="目录 11"/>
    <w:basedOn w:val="1"/>
    <w:next w:val="1"/>
    <w:qFormat/>
    <w:uiPriority w:val="0"/>
    <w:pPr>
      <w:tabs>
        <w:tab w:val="right" w:leader="dot" w:pos="8296"/>
      </w:tabs>
      <w:ind w:left="405" w:leftChars="1" w:hanging="404" w:hangingChars="404"/>
      <w:jc w:val="center"/>
    </w:pPr>
  </w:style>
  <w:style w:type="paragraph" w:customStyle="1" w:styleId="163">
    <w:name w:val="我的目录"/>
    <w:basedOn w:val="162"/>
    <w:qFormat/>
    <w:uiPriority w:val="0"/>
    <w:pPr>
      <w:tabs>
        <w:tab w:val="right" w:leader="dot" w:pos="8820"/>
      </w:tabs>
      <w:spacing w:before="120" w:after="120" w:line="240" w:lineRule="auto"/>
      <w:ind w:left="0" w:leftChars="0" w:firstLine="0" w:firstLineChars="0"/>
      <w:jc w:val="left"/>
    </w:pPr>
    <w:rPr>
      <w:b/>
      <w:caps/>
      <w:sz w:val="20"/>
      <w:szCs w:val="20"/>
    </w:rPr>
  </w:style>
  <w:style w:type="paragraph" w:customStyle="1" w:styleId="164">
    <w:name w:val="目录 51"/>
    <w:basedOn w:val="1"/>
    <w:next w:val="1"/>
    <w:qFormat/>
    <w:uiPriority w:val="0"/>
    <w:pPr>
      <w:ind w:left="800" w:leftChars="800"/>
    </w:pPr>
    <w:rPr>
      <w:rFonts w:ascii="Calibri" w:hAnsi="Calibri"/>
      <w:szCs w:val="22"/>
    </w:rPr>
  </w:style>
  <w:style w:type="paragraph" w:customStyle="1" w:styleId="16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66">
    <w:name w:val="CM255"/>
    <w:basedOn w:val="165"/>
    <w:next w:val="165"/>
    <w:qFormat/>
    <w:uiPriority w:val="0"/>
    <w:pPr>
      <w:spacing w:after="1728"/>
    </w:pPr>
    <w:rPr>
      <w:rFonts w:ascii="宋体" w:cs="宋体"/>
      <w:color w:val="auto"/>
    </w:rPr>
  </w:style>
  <w:style w:type="paragraph" w:customStyle="1" w:styleId="167">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68">
    <w:name w:val="标题 31"/>
    <w:basedOn w:val="1"/>
    <w:qFormat/>
    <w:uiPriority w:val="0"/>
    <w:pPr>
      <w:ind w:left="237"/>
      <w:jc w:val="left"/>
      <w:outlineLvl w:val="3"/>
    </w:pPr>
    <w:rPr>
      <w:rFonts w:ascii="宋体" w:hAnsi="宋体"/>
      <w:kern w:val="0"/>
      <w:sz w:val="28"/>
      <w:szCs w:val="28"/>
    </w:rPr>
  </w:style>
  <w:style w:type="paragraph" w:customStyle="1" w:styleId="169">
    <w:name w:val="font0"/>
    <w:basedOn w:val="1"/>
    <w:qFormat/>
    <w:uiPriority w:val="0"/>
    <w:pPr>
      <w:spacing w:before="100" w:beforeAutospacing="1" w:after="100" w:afterAutospacing="1"/>
      <w:jc w:val="left"/>
    </w:pPr>
    <w:rPr>
      <w:rFonts w:ascii="宋体" w:hAnsi="宋体"/>
      <w:kern w:val="0"/>
      <w:sz w:val="24"/>
    </w:rPr>
  </w:style>
  <w:style w:type="paragraph" w:customStyle="1" w:styleId="17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7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72">
    <w:name w:val="小标题"/>
    <w:basedOn w:val="1"/>
    <w:qFormat/>
    <w:uiPriority w:val="0"/>
    <w:pPr>
      <w:spacing w:line="440" w:lineRule="exact"/>
      <w:ind w:left="420"/>
    </w:pPr>
    <w:rPr>
      <w:sz w:val="24"/>
    </w:rPr>
  </w:style>
  <w:style w:type="paragraph" w:customStyle="1" w:styleId="173">
    <w:name w:val="样式 宋体 小四 段前: 5 磅 段后: 5 磅"/>
    <w:basedOn w:val="1"/>
    <w:qFormat/>
    <w:uiPriority w:val="0"/>
    <w:pPr>
      <w:spacing w:before="100" w:after="100"/>
      <w:ind w:left="200" w:leftChars="200"/>
    </w:pPr>
    <w:rPr>
      <w:rFonts w:ascii="宋体" w:cs="宋体"/>
      <w:sz w:val="24"/>
      <w:szCs w:val="20"/>
    </w:rPr>
  </w:style>
  <w:style w:type="paragraph" w:customStyle="1" w:styleId="174">
    <w:name w:val="样式 样式 首行缩进:  2 字符 段前: 4.65 磅 + 首行缩进:  2 字符"/>
    <w:basedOn w:val="1"/>
    <w:qFormat/>
    <w:uiPriority w:val="0"/>
    <w:pPr>
      <w:topLinePunct/>
      <w:spacing w:before="93"/>
    </w:pPr>
    <w:rPr>
      <w:rFonts w:cs="宋体"/>
      <w:sz w:val="24"/>
      <w:szCs w:val="20"/>
    </w:rPr>
  </w:style>
  <w:style w:type="paragraph" w:customStyle="1" w:styleId="175">
    <w:name w:val="USE 1"/>
    <w:basedOn w:val="1"/>
    <w:qFormat/>
    <w:uiPriority w:val="0"/>
    <w:pPr>
      <w:spacing w:line="200" w:lineRule="atLeast"/>
      <w:jc w:val="left"/>
    </w:pPr>
    <w:rPr>
      <w:rFonts w:ascii="宋体" w:hAnsi="宋体"/>
      <w:b/>
      <w:sz w:val="24"/>
      <w:szCs w:val="28"/>
    </w:rPr>
  </w:style>
  <w:style w:type="paragraph" w:customStyle="1" w:styleId="176">
    <w:name w:val="备注"/>
    <w:basedOn w:val="1"/>
    <w:qFormat/>
    <w:uiPriority w:val="0"/>
    <w:pPr>
      <w:tabs>
        <w:tab w:val="left" w:pos="547"/>
        <w:tab w:val="left" w:pos="990"/>
        <w:tab w:val="left" w:pos="1350"/>
      </w:tabs>
      <w:spacing w:line="400" w:lineRule="atLeast"/>
    </w:pPr>
    <w:rPr>
      <w:szCs w:val="21"/>
    </w:rPr>
  </w:style>
  <w:style w:type="paragraph" w:customStyle="1" w:styleId="177">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17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USE 3"/>
    <w:basedOn w:val="1"/>
    <w:qFormat/>
    <w:uiPriority w:val="0"/>
    <w:pPr>
      <w:ind w:left="710"/>
      <w:jc w:val="left"/>
    </w:pPr>
    <w:rPr>
      <w:rFonts w:ascii="宋体" w:hAnsi="宋体"/>
      <w:sz w:val="24"/>
      <w:szCs w:val="20"/>
    </w:rPr>
  </w:style>
  <w:style w:type="paragraph" w:customStyle="1" w:styleId="181">
    <w:name w:val="批注框文本 Char Char"/>
    <w:basedOn w:val="1"/>
    <w:qFormat/>
    <w:uiPriority w:val="0"/>
    <w:rPr>
      <w:sz w:val="18"/>
      <w:szCs w:val="20"/>
    </w:rPr>
  </w:style>
  <w:style w:type="paragraph" w:customStyle="1" w:styleId="182">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183">
    <w:name w:val="表格"/>
    <w:basedOn w:val="1"/>
    <w:qFormat/>
    <w:uiPriority w:val="0"/>
    <w:pPr>
      <w:jc w:val="center"/>
      <w:textAlignment w:val="center"/>
    </w:pPr>
    <w:rPr>
      <w:rFonts w:ascii="华文细黑" w:hAnsi="华文细黑"/>
      <w:kern w:val="0"/>
      <w:szCs w:val="20"/>
    </w:rPr>
  </w:style>
  <w:style w:type="paragraph" w:customStyle="1" w:styleId="18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8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6">
    <w:name w:val="retrait3"/>
    <w:basedOn w:val="1"/>
    <w:qFormat/>
    <w:uiPriority w:val="0"/>
    <w:pPr>
      <w:spacing w:before="20" w:after="20"/>
      <w:ind w:left="851"/>
      <w:jc w:val="left"/>
    </w:pPr>
    <w:rPr>
      <w:rFonts w:ascii="Arial" w:hAnsi="Arial"/>
      <w:kern w:val="0"/>
      <w:sz w:val="24"/>
      <w:szCs w:val="20"/>
      <w:lang w:val="en-GB"/>
    </w:rPr>
  </w:style>
  <w:style w:type="paragraph" w:customStyle="1" w:styleId="18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8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90">
    <w:name w:val="Table Paragraph"/>
    <w:basedOn w:val="1"/>
    <w:qFormat/>
    <w:uiPriority w:val="0"/>
    <w:pPr>
      <w:jc w:val="left"/>
    </w:pPr>
    <w:rPr>
      <w:rFonts w:ascii="Calibri" w:hAnsi="Calibri"/>
      <w:kern w:val="0"/>
      <w:sz w:val="22"/>
      <w:szCs w:val="22"/>
    </w:rPr>
  </w:style>
  <w:style w:type="paragraph" w:customStyle="1" w:styleId="191">
    <w:name w:val="标题333"/>
    <w:basedOn w:val="1"/>
    <w:qFormat/>
    <w:uiPriority w:val="0"/>
    <w:rPr>
      <w:rFonts w:ascii="宋体" w:hAnsi="宋体" w:cs="宋体"/>
      <w:b/>
      <w:bCs/>
      <w:sz w:val="24"/>
      <w:szCs w:val="20"/>
    </w:rPr>
  </w:style>
  <w:style w:type="paragraph" w:customStyle="1" w:styleId="192">
    <w:name w:val="表格文字图表文字"/>
    <w:basedOn w:val="1"/>
    <w:qFormat/>
    <w:uiPriority w:val="0"/>
    <w:pPr>
      <w:snapToGrid w:val="0"/>
      <w:jc w:val="center"/>
    </w:pPr>
    <w:rPr>
      <w:rFonts w:cs="宋体"/>
      <w:szCs w:val="20"/>
    </w:rPr>
  </w:style>
  <w:style w:type="paragraph" w:customStyle="1" w:styleId="19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9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195">
    <w:name w:val="样式 宋体 小四 黑色 左 行距: 1.5 倍行距1"/>
    <w:basedOn w:val="1"/>
    <w:qFormat/>
    <w:uiPriority w:val="0"/>
    <w:pPr>
      <w:jc w:val="left"/>
    </w:pPr>
    <w:rPr>
      <w:rFonts w:ascii="宋体" w:hAnsi="宋体" w:cs="宋体"/>
      <w:color w:val="000000"/>
      <w:sz w:val="24"/>
      <w:szCs w:val="20"/>
    </w:rPr>
  </w:style>
  <w:style w:type="paragraph" w:customStyle="1" w:styleId="19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97">
    <w:name w:val="USE 4"/>
    <w:basedOn w:val="1"/>
    <w:qFormat/>
    <w:uiPriority w:val="0"/>
    <w:pPr>
      <w:ind w:left="104"/>
      <w:jc w:val="left"/>
    </w:pPr>
    <w:rPr>
      <w:rFonts w:ascii="宋体" w:hAnsi="宋体"/>
      <w:sz w:val="24"/>
      <w:szCs w:val="20"/>
    </w:rPr>
  </w:style>
  <w:style w:type="paragraph" w:customStyle="1" w:styleId="198">
    <w:name w:val="Char Char Char Char Char Char Char Char Char Char Char Char1 Char"/>
    <w:basedOn w:val="18"/>
    <w:qFormat/>
    <w:uiPriority w:val="0"/>
    <w:pPr>
      <w:shd w:val="clear" w:color="auto" w:fill="000080"/>
    </w:pPr>
    <w:rPr>
      <w:rFonts w:ascii="Times New Roman" w:hAnsi="Times New Roman"/>
      <w:sz w:val="21"/>
      <w:szCs w:val="20"/>
    </w:rPr>
  </w:style>
  <w:style w:type="paragraph" w:customStyle="1" w:styleId="19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0">
    <w:name w:val="目录 91"/>
    <w:basedOn w:val="1"/>
    <w:next w:val="1"/>
    <w:qFormat/>
    <w:uiPriority w:val="0"/>
    <w:pPr>
      <w:ind w:left="1600" w:leftChars="1600"/>
    </w:pPr>
    <w:rPr>
      <w:rFonts w:ascii="Calibri" w:hAnsi="Calibri"/>
      <w:szCs w:val="22"/>
    </w:rPr>
  </w:style>
  <w:style w:type="paragraph" w:customStyle="1" w:styleId="201">
    <w:name w:val="retrait1"/>
    <w:basedOn w:val="1"/>
    <w:qFormat/>
    <w:uiPriority w:val="0"/>
    <w:pPr>
      <w:spacing w:before="20" w:after="20"/>
      <w:ind w:left="284"/>
      <w:jc w:val="left"/>
    </w:pPr>
    <w:rPr>
      <w:rFonts w:ascii="Arial" w:hAnsi="Arial"/>
      <w:kern w:val="0"/>
      <w:sz w:val="24"/>
      <w:szCs w:val="20"/>
      <w:lang w:val="en-GB"/>
    </w:rPr>
  </w:style>
  <w:style w:type="paragraph" w:customStyle="1" w:styleId="202">
    <w:name w:val="样式2"/>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03">
    <w:name w:val="条文 4"/>
    <w:next w:val="1"/>
    <w:qFormat/>
    <w:uiPriority w:val="0"/>
    <w:pPr>
      <w:spacing w:line="310" w:lineRule="exact"/>
      <w:ind w:left="2520" w:hanging="420"/>
      <w:jc w:val="both"/>
    </w:pPr>
    <w:rPr>
      <w:rFonts w:ascii="Times New Roman" w:hAnsi="Times New Roman" w:eastAsia="黑体" w:cs="Times New Roman"/>
      <w:sz w:val="21"/>
      <w:szCs w:val="20"/>
      <w:lang w:val="en-US" w:eastAsia="zh-CN" w:bidi="ar-SA"/>
    </w:rPr>
  </w:style>
  <w:style w:type="paragraph" w:customStyle="1" w:styleId="204">
    <w:name w:val="Char2 Char Char Char"/>
    <w:basedOn w:val="1"/>
    <w:qFormat/>
    <w:uiPriority w:val="0"/>
    <w:pPr>
      <w:spacing w:after="160" w:line="240" w:lineRule="exact"/>
      <w:jc w:val="left"/>
    </w:pPr>
    <w:rPr>
      <w:rFonts w:ascii="Verdana" w:hAnsi="Verdana" w:eastAsia="仿宋_GB2312"/>
      <w:kern w:val="0"/>
      <w:sz w:val="24"/>
      <w:szCs w:val="20"/>
    </w:rPr>
  </w:style>
  <w:style w:type="paragraph" w:customStyle="1" w:styleId="20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06">
    <w:name w:val="font14"/>
    <w:basedOn w:val="1"/>
    <w:qFormat/>
    <w:uiPriority w:val="0"/>
    <w:pPr>
      <w:spacing w:before="100" w:beforeAutospacing="1" w:after="100" w:afterAutospacing="1"/>
      <w:jc w:val="left"/>
    </w:pPr>
    <w:rPr>
      <w:rFonts w:ascii="宋体" w:hAnsi="宋体" w:cs="Arial Unicode MS"/>
      <w:b/>
      <w:bCs/>
      <w:color w:val="000000"/>
      <w:kern w:val="0"/>
      <w:sz w:val="18"/>
      <w:szCs w:val="18"/>
    </w:rPr>
  </w:style>
  <w:style w:type="paragraph" w:customStyle="1" w:styleId="207">
    <w:name w:val="Report Level 1"/>
    <w:basedOn w:val="1"/>
    <w:next w:val="83"/>
    <w:qFormat/>
    <w:uiPriority w:val="0"/>
    <w:pPr>
      <w:keepNext/>
      <w:tabs>
        <w:tab w:val="left" w:pos="1080"/>
      </w:tabs>
      <w:spacing w:before="50" w:beforeLines="50"/>
      <w:ind w:left="1077"/>
      <w:jc w:val="left"/>
      <w:outlineLvl w:val="0"/>
    </w:pPr>
    <w:rPr>
      <w:rFonts w:ascii="宋体" w:hAnsi="宋体"/>
      <w:b/>
      <w:caps/>
      <w:kern w:val="0"/>
      <w:szCs w:val="21"/>
      <w:lang w:val="en-GB"/>
    </w:rPr>
  </w:style>
  <w:style w:type="paragraph" w:customStyle="1" w:styleId="20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9">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10">
    <w:name w:val="font11"/>
    <w:basedOn w:val="1"/>
    <w:qFormat/>
    <w:uiPriority w:val="0"/>
    <w:pPr>
      <w:spacing w:before="100" w:beforeAutospacing="1" w:after="100" w:afterAutospacing="1"/>
      <w:jc w:val="left"/>
    </w:pPr>
    <w:rPr>
      <w:rFonts w:ascii="宋体" w:hAnsi="宋体" w:cs="Arial Unicode MS"/>
      <w:color w:val="000000"/>
      <w:kern w:val="0"/>
      <w:sz w:val="16"/>
      <w:szCs w:val="16"/>
    </w:rPr>
  </w:style>
  <w:style w:type="paragraph" w:customStyle="1" w:styleId="211">
    <w:name w:val="列表段落1"/>
    <w:basedOn w:val="1"/>
    <w:qFormat/>
    <w:uiPriority w:val="0"/>
  </w:style>
  <w:style w:type="paragraph" w:customStyle="1" w:styleId="21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0"/>
      <w:szCs w:val="20"/>
    </w:rPr>
  </w:style>
  <w:style w:type="paragraph" w:customStyle="1" w:styleId="21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5">
    <w:name w:val="font7"/>
    <w:basedOn w:val="1"/>
    <w:qFormat/>
    <w:uiPriority w:val="0"/>
    <w:pPr>
      <w:spacing w:before="100" w:beforeAutospacing="1" w:after="100" w:afterAutospacing="1"/>
      <w:jc w:val="left"/>
    </w:pPr>
    <w:rPr>
      <w:kern w:val="0"/>
      <w:sz w:val="20"/>
      <w:szCs w:val="20"/>
    </w:rPr>
  </w:style>
  <w:style w:type="paragraph" w:customStyle="1" w:styleId="216">
    <w:name w:val="二级标题"/>
    <w:basedOn w:val="1"/>
    <w:qFormat/>
    <w:uiPriority w:val="0"/>
    <w:pPr>
      <w:tabs>
        <w:tab w:val="left" w:pos="-1341"/>
      </w:tabs>
      <w:ind w:left="2686"/>
      <w:outlineLvl w:val="1"/>
    </w:pPr>
    <w:rPr>
      <w:rFonts w:ascii="宋体" w:hAnsi="宋体"/>
      <w:sz w:val="24"/>
      <w:szCs w:val="20"/>
    </w:rPr>
  </w:style>
  <w:style w:type="paragraph" w:customStyle="1" w:styleId="21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1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2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2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3">
    <w:name w:val="标题 11"/>
    <w:basedOn w:val="1"/>
    <w:qFormat/>
    <w:uiPriority w:val="0"/>
    <w:pPr>
      <w:ind w:left="3"/>
      <w:jc w:val="left"/>
      <w:outlineLvl w:val="1"/>
    </w:pPr>
    <w:rPr>
      <w:rFonts w:ascii="Microsoft JhengHei" w:hAnsi="Microsoft JhengHei" w:eastAsia="Microsoft JhengHei"/>
      <w:b/>
      <w:bCs/>
      <w:kern w:val="0"/>
      <w:sz w:val="44"/>
      <w:szCs w:val="44"/>
    </w:rPr>
  </w:style>
  <w:style w:type="paragraph" w:customStyle="1" w:styleId="224">
    <w:name w:val="标题2"/>
    <w:basedOn w:val="5"/>
    <w:qFormat/>
    <w:uiPriority w:val="0"/>
    <w:pPr>
      <w:spacing w:before="0" w:after="0" w:line="312" w:lineRule="auto"/>
      <w:jc w:val="center"/>
    </w:pPr>
    <w:rPr>
      <w:rFonts w:ascii="宋体"/>
      <w:bCs w:val="0"/>
      <w:sz w:val="30"/>
      <w:szCs w:val="20"/>
    </w:rPr>
  </w:style>
  <w:style w:type="paragraph" w:customStyle="1" w:styleId="225">
    <w:name w:val="P1"/>
    <w:qFormat/>
    <w:uiPriority w:val="0"/>
    <w:pPr>
      <w:widowControl w:val="0"/>
      <w:adjustRightInd w:val="0"/>
      <w:spacing w:after="240" w:line="0" w:lineRule="atLeast"/>
      <w:ind w:left="2303"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2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27">
    <w:name w:val="条文 5"/>
    <w:next w:val="1"/>
    <w:qFormat/>
    <w:uiPriority w:val="0"/>
    <w:pPr>
      <w:spacing w:line="310" w:lineRule="exact"/>
      <w:ind w:left="2940" w:hanging="420"/>
      <w:jc w:val="both"/>
    </w:pPr>
    <w:rPr>
      <w:rFonts w:ascii="Times New Roman" w:hAnsi="Times New Roman" w:eastAsia="黑体" w:cs="Times New Roman"/>
      <w:sz w:val="21"/>
      <w:szCs w:val="20"/>
      <w:lang w:val="en-US" w:eastAsia="zh-CN" w:bidi="ar-SA"/>
    </w:rPr>
  </w:style>
  <w:style w:type="paragraph" w:customStyle="1" w:styleId="22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29">
    <w:name w:val="条文 1"/>
    <w:next w:val="1"/>
    <w:qFormat/>
    <w:uiPriority w:val="0"/>
    <w:pPr>
      <w:spacing w:line="310" w:lineRule="exact"/>
      <w:ind w:left="840" w:hanging="420"/>
      <w:jc w:val="both"/>
    </w:pPr>
    <w:rPr>
      <w:rFonts w:ascii="Times New Roman" w:hAnsi="Times New Roman" w:eastAsia="黑体" w:cs="Times New Roman"/>
      <w:sz w:val="21"/>
      <w:szCs w:val="20"/>
      <w:lang w:val="en-US" w:eastAsia="zh-CN" w:bidi="ar-SA"/>
    </w:rPr>
  </w:style>
  <w:style w:type="paragraph" w:customStyle="1" w:styleId="230">
    <w:name w:val="需求书2"/>
    <w:basedOn w:val="1"/>
    <w:qFormat/>
    <w:uiPriority w:val="0"/>
    <w:pPr>
      <w:spacing w:line="500" w:lineRule="exact"/>
      <w:ind w:left="735"/>
    </w:pPr>
    <w:rPr>
      <w:rFonts w:ascii="黑体" w:eastAsia="黑体"/>
      <w:szCs w:val="20"/>
    </w:rPr>
  </w:style>
  <w:style w:type="paragraph" w:customStyle="1" w:styleId="231">
    <w:name w:val="wuff32"/>
    <w:basedOn w:val="28"/>
    <w:qFormat/>
    <w:uiPriority w:val="0"/>
    <w:pPr>
      <w:jc w:val="center"/>
    </w:pPr>
    <w:rPr>
      <w:rFonts w:ascii="黑体" w:eastAsia="黑体"/>
      <w:sz w:val="24"/>
      <w:szCs w:val="20"/>
    </w:rPr>
  </w:style>
  <w:style w:type="paragraph" w:customStyle="1" w:styleId="232">
    <w:name w:val="font9"/>
    <w:basedOn w:val="1"/>
    <w:qFormat/>
    <w:uiPriority w:val="0"/>
    <w:pPr>
      <w:spacing w:before="100" w:beforeAutospacing="1" w:after="100" w:afterAutospacing="1"/>
      <w:jc w:val="left"/>
    </w:pPr>
    <w:rPr>
      <w:rFonts w:ascii="宋体" w:hAnsi="宋体" w:cs="Arial Unicode MS"/>
      <w:color w:val="FF0000"/>
      <w:kern w:val="0"/>
      <w:sz w:val="20"/>
      <w:szCs w:val="20"/>
    </w:rPr>
  </w:style>
  <w:style w:type="paragraph" w:customStyle="1" w:styleId="233">
    <w:name w:val="Char Char Char"/>
    <w:basedOn w:val="1"/>
    <w:qFormat/>
    <w:uiPriority w:val="0"/>
    <w:rPr>
      <w:rFonts w:ascii="仿宋_GB2312" w:eastAsia="仿宋_GB2312"/>
      <w:b/>
      <w:sz w:val="32"/>
      <w:szCs w:val="32"/>
    </w:rPr>
  </w:style>
  <w:style w:type="paragraph" w:customStyle="1" w:styleId="234">
    <w:name w:val="目录 31"/>
    <w:basedOn w:val="1"/>
    <w:next w:val="1"/>
    <w:qFormat/>
    <w:uiPriority w:val="0"/>
    <w:pPr>
      <w:ind w:left="400" w:leftChars="400"/>
    </w:pPr>
  </w:style>
  <w:style w:type="paragraph" w:customStyle="1" w:styleId="23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6">
    <w:name w:val="样式 标题 2 + (西文) Times New Roman (中文) 仿宋_GB2312 居中 段前: 6 磅 段后:..."/>
    <w:basedOn w:val="6"/>
    <w:qFormat/>
    <w:uiPriority w:val="0"/>
    <w:pPr>
      <w:spacing w:before="120" w:after="120"/>
      <w:jc w:val="left"/>
    </w:pPr>
    <w:rPr>
      <w:rFonts w:ascii="Times New Roman" w:hAnsi="Times New Roman" w:eastAsia="仿宋_GB2312" w:cs="宋体"/>
      <w:szCs w:val="20"/>
    </w:rPr>
  </w:style>
  <w:style w:type="paragraph" w:customStyle="1" w:styleId="237">
    <w:name w:val="标题222"/>
    <w:basedOn w:val="1"/>
    <w:qFormat/>
    <w:uiPriority w:val="0"/>
    <w:rPr>
      <w:rFonts w:cs="宋体"/>
      <w:b/>
      <w:bCs/>
      <w:sz w:val="30"/>
      <w:szCs w:val="20"/>
    </w:rPr>
  </w:style>
  <w:style w:type="paragraph" w:customStyle="1" w:styleId="238">
    <w:name w:val="Char"/>
    <w:basedOn w:val="1"/>
    <w:qFormat/>
    <w:uiPriority w:val="0"/>
    <w:pPr>
      <w:tabs>
        <w:tab w:val="left" w:pos="360"/>
      </w:tabs>
    </w:pPr>
    <w:rPr>
      <w:sz w:val="24"/>
    </w:rPr>
  </w:style>
  <w:style w:type="paragraph" w:customStyle="1" w:styleId="239">
    <w:name w:val="一、"/>
    <w:next w:val="113"/>
    <w:qFormat/>
    <w:uiPriority w:val="0"/>
    <w:pPr>
      <w:tabs>
        <w:tab w:val="left" w:pos="360"/>
      </w:tabs>
      <w:spacing w:before="240" w:after="240" w:line="360" w:lineRule="auto"/>
      <w:ind w:firstLine="420"/>
      <w:jc w:val="both"/>
    </w:pPr>
    <w:rPr>
      <w:rFonts w:ascii="Times New Roman" w:hAnsi="Times New Roman" w:eastAsia="黑体" w:cs="Times New Roman"/>
      <w:sz w:val="28"/>
      <w:szCs w:val="20"/>
      <w:lang w:val="en-US" w:eastAsia="zh-CN" w:bidi="ar-SA"/>
    </w:rPr>
  </w:style>
  <w:style w:type="paragraph" w:customStyle="1" w:styleId="24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42">
    <w:name w:val="xl53"/>
    <w:basedOn w:val="1"/>
    <w:qFormat/>
    <w:uiPriority w:val="0"/>
    <w:pPr>
      <w:spacing w:before="100" w:beforeAutospacing="1" w:after="100" w:afterAutospacing="1"/>
      <w:jc w:val="left"/>
    </w:pPr>
    <w:rPr>
      <w:rFonts w:ascii="黑体" w:hAnsi="宋体" w:eastAsia="黑体"/>
      <w:kern w:val="0"/>
      <w:sz w:val="24"/>
    </w:rPr>
  </w:style>
  <w:style w:type="paragraph" w:customStyle="1" w:styleId="243">
    <w:name w:val="USE 2"/>
    <w:basedOn w:val="1"/>
    <w:qFormat/>
    <w:uiPriority w:val="0"/>
    <w:pPr>
      <w:ind w:left="4556"/>
      <w:jc w:val="left"/>
    </w:pPr>
    <w:rPr>
      <w:rFonts w:ascii="宋体" w:hAnsi="宋体"/>
      <w:sz w:val="24"/>
      <w:szCs w:val="20"/>
    </w:rPr>
  </w:style>
  <w:style w:type="paragraph" w:customStyle="1" w:styleId="244">
    <w:name w:val="表格文字"/>
    <w:basedOn w:val="1"/>
    <w:qFormat/>
    <w:uiPriority w:val="0"/>
    <w:pPr>
      <w:adjustRightInd w:val="0"/>
      <w:spacing w:line="420" w:lineRule="atLeast"/>
      <w:jc w:val="left"/>
      <w:textAlignment w:val="baseline"/>
    </w:pPr>
    <w:rPr>
      <w:kern w:val="0"/>
      <w:szCs w:val="20"/>
    </w:rPr>
  </w:style>
  <w:style w:type="paragraph" w:customStyle="1" w:styleId="245">
    <w:name w:val="1."/>
    <w:basedOn w:val="1"/>
    <w:qFormat/>
    <w:uiPriority w:val="0"/>
    <w:pPr>
      <w:tabs>
        <w:tab w:val="left" w:pos="425"/>
      </w:tabs>
    </w:pPr>
    <w:rPr>
      <w:sz w:val="28"/>
      <w:szCs w:val="20"/>
    </w:rPr>
  </w:style>
  <w:style w:type="paragraph" w:customStyle="1" w:styleId="246">
    <w:name w:val="font8"/>
    <w:basedOn w:val="1"/>
    <w:qFormat/>
    <w:uiPriority w:val="0"/>
    <w:pPr>
      <w:spacing w:before="100" w:beforeAutospacing="1" w:after="100" w:afterAutospacing="1"/>
      <w:jc w:val="left"/>
    </w:pPr>
    <w:rPr>
      <w:rFonts w:ascii="楷体_GB2312" w:hAnsi="宋体" w:eastAsia="楷体_GB2312"/>
      <w:kern w:val="0"/>
      <w:sz w:val="20"/>
      <w:szCs w:val="20"/>
    </w:rPr>
  </w:style>
  <w:style w:type="paragraph" w:customStyle="1" w:styleId="247">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248">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szCs w:val="20"/>
      <w:lang w:val="en-US" w:eastAsia="zh-CN" w:bidi="ar-SA"/>
    </w:rPr>
  </w:style>
  <w:style w:type="paragraph" w:customStyle="1" w:styleId="249">
    <w:name w:val="Body text 1"/>
    <w:basedOn w:val="248"/>
    <w:qFormat/>
    <w:uiPriority w:val="0"/>
    <w:pPr>
      <w:tabs>
        <w:tab w:val="left" w:pos="1134"/>
      </w:tabs>
      <w:ind w:left="1134" w:hanging="1134"/>
    </w:pPr>
  </w:style>
  <w:style w:type="paragraph" w:customStyle="1" w:styleId="250">
    <w:name w:val="_Style 10"/>
    <w:basedOn w:val="1"/>
    <w:next w:val="1"/>
    <w:qFormat/>
    <w:uiPriority w:val="0"/>
  </w:style>
  <w:style w:type="paragraph" w:customStyle="1" w:styleId="25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52">
    <w:name w:val="Char Char Char Char Char Char Char1"/>
    <w:basedOn w:val="1"/>
    <w:qFormat/>
    <w:uiPriority w:val="0"/>
    <w:pPr>
      <w:spacing w:after="160" w:line="240" w:lineRule="exact"/>
      <w:jc w:val="left"/>
    </w:pPr>
    <w:rPr>
      <w:rFonts w:ascii="Arial" w:hAnsi="Arial" w:eastAsia="Times New Roman" w:cs="Verdana"/>
      <w:b/>
      <w:kern w:val="0"/>
      <w:sz w:val="24"/>
    </w:rPr>
  </w:style>
  <w:style w:type="paragraph" w:customStyle="1" w:styleId="253">
    <w:name w:val="2册标题4"/>
    <w:basedOn w:val="1"/>
    <w:next w:val="1"/>
    <w:qFormat/>
    <w:uiPriority w:val="0"/>
    <w:pPr>
      <w:spacing w:before="50" w:beforeLines="50" w:after="50" w:afterLines="50" w:line="300" w:lineRule="auto"/>
      <w:ind w:left="200" w:leftChars="200"/>
      <w:outlineLvl w:val="3"/>
    </w:pPr>
    <w:rPr>
      <w:rFonts w:ascii="Arial" w:hAnsi="Arial" w:eastAsia="幼圆" w:cs="Arial"/>
      <w:b/>
      <w:sz w:val="24"/>
    </w:rPr>
  </w:style>
  <w:style w:type="paragraph" w:customStyle="1" w:styleId="254">
    <w:name w:val="Char Char Char Char"/>
    <w:basedOn w:val="1"/>
    <w:qFormat/>
    <w:uiPriority w:val="0"/>
    <w:pPr>
      <w:tabs>
        <w:tab w:val="left" w:pos="360"/>
      </w:tabs>
    </w:pPr>
    <w:rPr>
      <w:sz w:val="24"/>
    </w:rPr>
  </w:style>
  <w:style w:type="paragraph" w:customStyle="1" w:styleId="255">
    <w:name w:val="标题3"/>
    <w:basedOn w:val="5"/>
    <w:qFormat/>
    <w:uiPriority w:val="0"/>
    <w:pPr>
      <w:spacing w:before="50" w:beforeLines="50" w:after="0" w:line="312" w:lineRule="auto"/>
      <w:jc w:val="center"/>
    </w:pPr>
    <w:rPr>
      <w:rFonts w:ascii="宋体"/>
      <w:bCs w:val="0"/>
      <w:sz w:val="24"/>
      <w:szCs w:val="20"/>
    </w:rPr>
  </w:style>
  <w:style w:type="paragraph" w:customStyle="1" w:styleId="256">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5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8">
    <w:name w:val="Char1"/>
    <w:basedOn w:val="1"/>
    <w:qFormat/>
    <w:uiPriority w:val="0"/>
    <w:rPr>
      <w:rFonts w:ascii="仿宋_GB2312" w:eastAsia="仿宋_GB2312"/>
      <w:b/>
      <w:sz w:val="32"/>
      <w:szCs w:val="32"/>
    </w:rPr>
  </w:style>
  <w:style w:type="paragraph" w:customStyle="1" w:styleId="25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0">
    <w:name w:val="样式 纯文本 + 居中 行距: 最小值 9 磅"/>
    <w:basedOn w:val="28"/>
    <w:qFormat/>
    <w:uiPriority w:val="0"/>
    <w:pPr>
      <w:spacing w:line="180" w:lineRule="atLeast"/>
      <w:jc w:val="left"/>
    </w:pPr>
    <w:rPr>
      <w:rFonts w:cs="宋体"/>
      <w:sz w:val="24"/>
      <w:szCs w:val="20"/>
    </w:rPr>
  </w:style>
  <w:style w:type="paragraph" w:customStyle="1" w:styleId="261">
    <w:name w:val="Char Char Char Char Char Char Char Char Char Char Char Char Char"/>
    <w:basedOn w:val="1"/>
    <w:qFormat/>
    <w:uiPriority w:val="0"/>
    <w:rPr>
      <w:rFonts w:ascii="仿宋_GB2312" w:eastAsia="仿宋_GB2312"/>
      <w:b/>
      <w:sz w:val="32"/>
      <w:szCs w:val="32"/>
    </w:rPr>
  </w:style>
  <w:style w:type="paragraph" w:customStyle="1" w:styleId="26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4">
    <w:name w:val="Style 樣式 標題 3 + (中文) MS Gothic 10.5 點 + (Latin) Times New Roman (A..."/>
    <w:basedOn w:val="1"/>
    <w:qFormat/>
    <w:uiPriority w:val="0"/>
    <w:pPr>
      <w:keepNext/>
      <w:tabs>
        <w:tab w:val="left" w:pos="2098"/>
      </w:tabs>
      <w:ind w:left="1503"/>
      <w:outlineLvl w:val="2"/>
    </w:pPr>
    <w:rPr>
      <w:rFonts w:eastAsia="PMingLiU"/>
      <w:snapToGrid w:val="0"/>
      <w:sz w:val="24"/>
      <w:lang w:val="en-AU" w:eastAsia="zh-TW"/>
    </w:rPr>
  </w:style>
  <w:style w:type="paragraph" w:customStyle="1" w:styleId="265">
    <w:name w:val="tableau"/>
    <w:basedOn w:val="1"/>
    <w:qFormat/>
    <w:uiPriority w:val="0"/>
    <w:pPr>
      <w:spacing w:before="20" w:after="20"/>
      <w:jc w:val="center"/>
    </w:pPr>
    <w:rPr>
      <w:rFonts w:ascii="Arial" w:hAnsi="Arial"/>
      <w:kern w:val="0"/>
      <w:sz w:val="16"/>
      <w:szCs w:val="20"/>
      <w:lang w:val="en-GB"/>
    </w:rPr>
  </w:style>
  <w:style w:type="paragraph" w:customStyle="1" w:styleId="26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楷体_GB2312" w:hAnsi="宋体" w:eastAsia="楷体_GB2312"/>
      <w:kern w:val="0"/>
      <w:sz w:val="24"/>
    </w:rPr>
  </w:style>
  <w:style w:type="paragraph" w:customStyle="1" w:styleId="267">
    <w:name w:val="Char Char Char Char2"/>
    <w:basedOn w:val="1"/>
    <w:qFormat/>
    <w:uiPriority w:val="0"/>
    <w:pPr>
      <w:tabs>
        <w:tab w:val="left" w:pos="1080"/>
      </w:tabs>
      <w:ind w:left="492" w:leftChars="343" w:right="100" w:rightChars="100" w:hanging="149" w:hangingChars="149"/>
    </w:pPr>
    <w:rPr>
      <w:sz w:val="24"/>
      <w:szCs w:val="20"/>
    </w:rPr>
  </w:style>
  <w:style w:type="paragraph" w:customStyle="1" w:styleId="26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6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70">
    <w:name w:val="样式 宋体 小四 黑色 左 行距: 1.5 倍行距"/>
    <w:basedOn w:val="1"/>
    <w:qFormat/>
    <w:uiPriority w:val="0"/>
    <w:pPr>
      <w:jc w:val="left"/>
    </w:pPr>
    <w:rPr>
      <w:rFonts w:ascii="宋体" w:hAnsi="宋体" w:cs="宋体"/>
      <w:color w:val="000000"/>
      <w:sz w:val="24"/>
      <w:szCs w:val="20"/>
    </w:rPr>
  </w:style>
  <w:style w:type="paragraph" w:customStyle="1" w:styleId="27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273">
    <w:name w:val="Tétière"/>
    <w:basedOn w:val="1"/>
    <w:qFormat/>
    <w:uiPriority w:val="0"/>
    <w:pPr>
      <w:spacing w:before="60" w:after="60"/>
      <w:jc w:val="center"/>
    </w:pPr>
    <w:rPr>
      <w:rFonts w:ascii="Arial" w:hAnsi="Arial"/>
      <w:b/>
      <w:kern w:val="0"/>
      <w:sz w:val="16"/>
      <w:szCs w:val="20"/>
      <w:lang w:val="en-GB"/>
    </w:rPr>
  </w:style>
  <w:style w:type="paragraph" w:customStyle="1" w:styleId="274">
    <w:name w:val="目录 81"/>
    <w:basedOn w:val="1"/>
    <w:next w:val="1"/>
    <w:qFormat/>
    <w:uiPriority w:val="0"/>
    <w:pPr>
      <w:ind w:left="1400" w:leftChars="1400"/>
    </w:pPr>
    <w:rPr>
      <w:rFonts w:ascii="Calibri" w:hAnsi="Calibri"/>
      <w:szCs w:val="22"/>
    </w:rPr>
  </w:style>
  <w:style w:type="paragraph" w:customStyle="1" w:styleId="275">
    <w:name w:val="样式1"/>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76">
    <w:name w:val="Char Char Char Char Char Char Char Char Char Char"/>
    <w:basedOn w:val="1"/>
    <w:qFormat/>
    <w:uiPriority w:val="0"/>
    <w:rPr>
      <w:rFonts w:ascii="Tahoma" w:hAnsi="Tahoma" w:cs="仿宋_GB2312"/>
      <w:sz w:val="24"/>
      <w:szCs w:val="20"/>
    </w:rPr>
  </w:style>
  <w:style w:type="paragraph" w:customStyle="1" w:styleId="27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78">
    <w:name w:val="Char4"/>
    <w:basedOn w:val="1"/>
    <w:qFormat/>
    <w:uiPriority w:val="0"/>
  </w:style>
  <w:style w:type="paragraph" w:customStyle="1" w:styleId="279">
    <w:name w:val="目录 41"/>
    <w:basedOn w:val="1"/>
    <w:next w:val="1"/>
    <w:qFormat/>
    <w:uiPriority w:val="0"/>
    <w:pPr>
      <w:ind w:left="600" w:leftChars="600"/>
    </w:pPr>
    <w:rPr>
      <w:rFonts w:ascii="Calibri" w:hAnsi="Calibri"/>
      <w:szCs w:val="22"/>
    </w:rPr>
  </w:style>
  <w:style w:type="paragraph" w:customStyle="1" w:styleId="280">
    <w:name w:val="cucd-0"/>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8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82">
    <w:name w:val="1.1"/>
    <w:basedOn w:val="6"/>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28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84">
    <w:name w:val="文件正文"/>
    <w:basedOn w:val="1"/>
    <w:qFormat/>
    <w:uiPriority w:val="0"/>
    <w:rPr>
      <w:rFonts w:eastAsia="仿宋_GB2312"/>
      <w:sz w:val="24"/>
      <w:szCs w:val="20"/>
    </w:rPr>
  </w:style>
  <w:style w:type="paragraph" w:customStyle="1" w:styleId="285">
    <w:name w:val="333"/>
    <w:basedOn w:val="1"/>
    <w:qFormat/>
    <w:uiPriority w:val="0"/>
    <w:pPr>
      <w:tabs>
        <w:tab w:val="left" w:pos="9083"/>
      </w:tabs>
      <w:wordWrap w:val="0"/>
      <w:spacing w:before="50" w:beforeLines="50" w:after="50" w:afterLines="50"/>
      <w:ind w:right="1106"/>
    </w:pPr>
    <w:rPr>
      <w:rFonts w:ascii="宋体" w:hAnsi="宋体" w:cs="宋体"/>
      <w:sz w:val="24"/>
    </w:rPr>
  </w:style>
  <w:style w:type="paragraph" w:customStyle="1" w:styleId="28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8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28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0">
    <w:name w:val="通用专用"/>
    <w:basedOn w:val="1"/>
    <w:qFormat/>
    <w:uiPriority w:val="0"/>
    <w:pPr>
      <w:jc w:val="center"/>
    </w:pPr>
    <w:rPr>
      <w:rFonts w:ascii="宋体"/>
      <w:b/>
      <w:sz w:val="36"/>
      <w:szCs w:val="20"/>
    </w:rPr>
  </w:style>
  <w:style w:type="paragraph" w:customStyle="1" w:styleId="291">
    <w:name w:val="Char Char Char Char Char Char Char Char Char Char Char Char Char1"/>
    <w:basedOn w:val="1"/>
    <w:qFormat/>
    <w:uiPriority w:val="0"/>
    <w:rPr>
      <w:rFonts w:ascii="仿宋_GB2312" w:eastAsia="仿宋_GB2312"/>
      <w:b/>
      <w:sz w:val="32"/>
      <w:szCs w:val="32"/>
    </w:rPr>
  </w:style>
  <w:style w:type="paragraph" w:customStyle="1" w:styleId="29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3">
    <w:name w:val="TOC 标题1"/>
    <w:basedOn w:val="5"/>
    <w:next w:val="1"/>
    <w:qFormat/>
    <w:uiPriority w:val="0"/>
    <w:pPr>
      <w:spacing w:before="480" w:after="0" w:line="276" w:lineRule="auto"/>
      <w:jc w:val="left"/>
      <w:outlineLvl w:val="9"/>
    </w:pPr>
    <w:rPr>
      <w:rFonts w:ascii="Cambria" w:hAnsi="Cambria"/>
      <w:color w:val="365F91"/>
      <w:kern w:val="0"/>
      <w:sz w:val="28"/>
      <w:szCs w:val="28"/>
    </w:rPr>
  </w:style>
  <w:style w:type="paragraph" w:customStyle="1" w:styleId="294">
    <w:name w:val="需求书用目录1"/>
    <w:basedOn w:val="1"/>
    <w:qFormat/>
    <w:uiPriority w:val="0"/>
    <w:pPr>
      <w:spacing w:before="360" w:after="40" w:line="500" w:lineRule="exact"/>
      <w:ind w:left="256" w:leftChars="256" w:firstLine="1000" w:firstLineChars="1000"/>
    </w:pPr>
    <w:rPr>
      <w:rFonts w:ascii="宋体"/>
      <w:b/>
      <w:sz w:val="28"/>
      <w:szCs w:val="20"/>
    </w:rPr>
  </w:style>
  <w:style w:type="paragraph" w:customStyle="1" w:styleId="29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96">
    <w:name w:val="重点"/>
    <w:basedOn w:val="1"/>
    <w:qFormat/>
    <w:uiPriority w:val="0"/>
    <w:pPr>
      <w:tabs>
        <w:tab w:val="left" w:pos="0"/>
        <w:tab w:val="left" w:pos="420"/>
      </w:tabs>
      <w:adjustRightInd w:val="0"/>
      <w:snapToGrid w:val="0"/>
      <w:spacing w:line="560" w:lineRule="atLeast"/>
      <w:ind w:left="420"/>
    </w:pPr>
    <w:rPr>
      <w:kern w:val="24"/>
      <w:sz w:val="30"/>
      <w:szCs w:val="20"/>
    </w:rPr>
  </w:style>
  <w:style w:type="paragraph" w:customStyle="1" w:styleId="297">
    <w:name w:val="目录 61"/>
    <w:basedOn w:val="1"/>
    <w:next w:val="1"/>
    <w:qFormat/>
    <w:uiPriority w:val="0"/>
    <w:pPr>
      <w:ind w:left="1000" w:leftChars="1000"/>
    </w:pPr>
    <w:rPr>
      <w:rFonts w:ascii="Calibri" w:hAnsi="Calibri"/>
      <w:szCs w:val="22"/>
    </w:rPr>
  </w:style>
  <w:style w:type="paragraph" w:customStyle="1" w:styleId="29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0">
    <w:name w:val="样式 标题 3 + 仿宋_GB2312 小四 段前: 0 磅 段后: 0 磅"/>
    <w:basedOn w:val="7"/>
    <w:qFormat/>
    <w:uiPriority w:val="0"/>
    <w:pPr>
      <w:spacing w:before="50" w:beforeLines="50" w:after="0" w:line="413" w:lineRule="auto"/>
      <w:jc w:val="center"/>
    </w:pPr>
    <w:rPr>
      <w:rFonts w:ascii="仿宋_GB2312" w:eastAsia="仿宋_GB2312" w:cs="宋体"/>
      <w:kern w:val="0"/>
      <w:szCs w:val="20"/>
    </w:rPr>
  </w:style>
  <w:style w:type="paragraph" w:customStyle="1" w:styleId="301">
    <w:name w:val="样式 样式 标题 3 + 仿宋_GB2312 小四 段前: 0 磅 段后: 0 磅 + 段前: 0.5 行"/>
    <w:basedOn w:val="300"/>
    <w:qFormat/>
    <w:uiPriority w:val="0"/>
    <w:pPr>
      <w:spacing w:after="50" w:afterLines="50"/>
      <w:jc w:val="both"/>
    </w:pPr>
    <w:rPr>
      <w:rFonts w:ascii="宋体" w:eastAsia="宋体"/>
      <w:b w:val="0"/>
    </w:rPr>
  </w:style>
  <w:style w:type="paragraph" w:customStyle="1" w:styleId="30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03">
    <w:name w:val="青岛正文"/>
    <w:basedOn w:val="1"/>
    <w:qFormat/>
    <w:uiPriority w:val="0"/>
    <w:rPr>
      <w:sz w:val="28"/>
    </w:rPr>
  </w:style>
  <w:style w:type="paragraph" w:customStyle="1" w:styleId="30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05">
    <w:name w:val="样式 标题 3 + (中文) 黑体 小四 非加粗 段前: 7.8 磅 段后: 0 磅 行距: 固定值 20 磅"/>
    <w:basedOn w:val="7"/>
    <w:qFormat/>
    <w:uiPriority w:val="0"/>
    <w:pPr>
      <w:spacing w:before="0" w:after="0" w:line="400" w:lineRule="exact"/>
    </w:pPr>
    <w:rPr>
      <w:rFonts w:eastAsia="黑体" w:cs="宋体"/>
      <w:b w:val="0"/>
      <w:bCs w:val="0"/>
      <w:szCs w:val="20"/>
    </w:rPr>
  </w:style>
  <w:style w:type="paragraph" w:customStyle="1" w:styleId="30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07">
    <w:name w:val="font12"/>
    <w:basedOn w:val="1"/>
    <w:qFormat/>
    <w:uiPriority w:val="0"/>
    <w:pPr>
      <w:spacing w:before="100" w:beforeAutospacing="1" w:after="100" w:afterAutospacing="1"/>
      <w:jc w:val="left"/>
    </w:pPr>
    <w:rPr>
      <w:rFonts w:ascii="宋体" w:hAnsi="宋体" w:cs="Arial Unicode MS"/>
      <w:b/>
      <w:bCs/>
      <w:color w:val="000000"/>
      <w:kern w:val="0"/>
      <w:sz w:val="16"/>
      <w:szCs w:val="16"/>
    </w:rPr>
  </w:style>
  <w:style w:type="paragraph" w:customStyle="1" w:styleId="30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0">
    <w:name w:val="Report Level 2"/>
    <w:basedOn w:val="207"/>
    <w:next w:val="83"/>
    <w:qFormat/>
    <w:uiPriority w:val="0"/>
    <w:pPr>
      <w:ind w:left="0"/>
      <w:outlineLvl w:val="1"/>
    </w:pPr>
    <w:rPr>
      <w:caps w:val="0"/>
    </w:rPr>
  </w:style>
  <w:style w:type="paragraph" w:styleId="311">
    <w:name w:val="List Paragraph"/>
    <w:basedOn w:val="1"/>
    <w:qFormat/>
    <w:uiPriority w:val="0"/>
  </w:style>
  <w:style w:type="paragraph" w:customStyle="1" w:styleId="31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1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黑体" w:hAnsi="宋体" w:eastAsia="黑体"/>
      <w:kern w:val="0"/>
      <w:sz w:val="24"/>
    </w:rPr>
  </w:style>
  <w:style w:type="paragraph" w:customStyle="1" w:styleId="31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kern w:val="0"/>
      <w:sz w:val="24"/>
    </w:rPr>
  </w:style>
  <w:style w:type="paragraph" w:customStyle="1" w:styleId="315">
    <w:name w:val="样式 宋体 小四 首行缩进:  0.93 厘米 段前: 11.15 磅 段后: 11.15 磅1"/>
    <w:basedOn w:val="165"/>
    <w:next w:val="165"/>
    <w:qFormat/>
    <w:uiPriority w:val="0"/>
    <w:rPr>
      <w:rFonts w:ascii="宋体"/>
      <w:color w:val="auto"/>
    </w:rPr>
  </w:style>
  <w:style w:type="paragraph" w:customStyle="1" w:styleId="316">
    <w:name w:val="纯文本1"/>
    <w:basedOn w:val="1"/>
    <w:qFormat/>
    <w:uiPriority w:val="0"/>
    <w:rPr>
      <w:rFonts w:ascii="宋体" w:hAnsi="Courier New" w:cs="Courier New"/>
      <w:szCs w:val="21"/>
    </w:rPr>
  </w:style>
  <w:style w:type="paragraph" w:customStyle="1" w:styleId="31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8">
    <w:name w:val="目录 21"/>
    <w:basedOn w:val="1"/>
    <w:next w:val="1"/>
    <w:qFormat/>
    <w:uiPriority w:val="0"/>
    <w:pPr>
      <w:tabs>
        <w:tab w:val="right" w:leader="dot" w:pos="8295"/>
      </w:tabs>
      <w:ind w:left="205" w:leftChars="205"/>
    </w:pPr>
  </w:style>
  <w:style w:type="paragraph" w:customStyle="1" w:styleId="319">
    <w:name w:val="1册标题1"/>
    <w:basedOn w:val="1"/>
    <w:next w:val="1"/>
    <w:qFormat/>
    <w:uiPriority w:val="0"/>
    <w:pPr>
      <w:spacing w:before="50" w:beforeLines="50" w:after="50" w:afterLines="50" w:line="300" w:lineRule="auto"/>
      <w:jc w:val="center"/>
      <w:outlineLvl w:val="0"/>
    </w:pPr>
    <w:rPr>
      <w:rFonts w:ascii="Arial" w:hAnsi="Arial" w:eastAsia="黑体"/>
      <w:b/>
      <w:bCs/>
      <w:sz w:val="48"/>
      <w:szCs w:val="20"/>
    </w:rPr>
  </w:style>
  <w:style w:type="paragraph" w:customStyle="1" w:styleId="32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21">
    <w:name w:val="青岛标题4"/>
    <w:basedOn w:val="8"/>
    <w:qFormat/>
    <w:uiPriority w:val="0"/>
    <w:pPr>
      <w:spacing w:line="500" w:lineRule="atLeast"/>
      <w:jc w:val="left"/>
      <w:outlineLvl w:val="2"/>
    </w:pPr>
    <w:rPr>
      <w:rFonts w:eastAsia="宋体"/>
      <w:sz w:val="30"/>
    </w:rPr>
  </w:style>
  <w:style w:type="paragraph" w:customStyle="1" w:styleId="322">
    <w:name w:val="样式3"/>
    <w:basedOn w:val="35"/>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2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2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7">
    <w:name w:val="font13"/>
    <w:basedOn w:val="1"/>
    <w:qFormat/>
    <w:uiPriority w:val="0"/>
    <w:pPr>
      <w:spacing w:before="100" w:beforeAutospacing="1" w:after="100" w:afterAutospacing="1"/>
      <w:jc w:val="left"/>
    </w:pPr>
    <w:rPr>
      <w:rFonts w:ascii="宋体" w:hAnsi="宋体" w:cs="Arial Unicode MS"/>
      <w:color w:val="000000"/>
      <w:kern w:val="0"/>
      <w:sz w:val="18"/>
      <w:szCs w:val="18"/>
    </w:rPr>
  </w:style>
  <w:style w:type="paragraph" w:customStyle="1" w:styleId="328">
    <w:name w:val="样式 (西文) 宋体 行距: 1.5 倍行距"/>
    <w:basedOn w:val="1"/>
    <w:qFormat/>
    <w:uiPriority w:val="0"/>
    <w:rPr>
      <w:rFonts w:ascii="宋体" w:hAnsi="宋体" w:cs="宋体"/>
      <w:szCs w:val="20"/>
    </w:rPr>
  </w:style>
  <w:style w:type="paragraph" w:customStyle="1" w:styleId="329">
    <w:name w:val="Retrait 1"/>
    <w:basedOn w:val="16"/>
    <w:qFormat/>
    <w:uiPriority w:val="0"/>
    <w:pPr>
      <w:spacing w:after="240"/>
      <w:ind w:left="1134" w:firstLine="0" w:firstLineChars="0"/>
      <w:jc w:val="left"/>
    </w:pPr>
    <w:rPr>
      <w:rFonts w:ascii="Palatino" w:hAnsi="Palatino"/>
      <w:kern w:val="0"/>
      <w:sz w:val="24"/>
      <w:szCs w:val="20"/>
      <w:lang w:val="en-GB"/>
    </w:rPr>
  </w:style>
  <w:style w:type="paragraph" w:customStyle="1" w:styleId="330">
    <w:name w:val="Report Level 3"/>
    <w:basedOn w:val="207"/>
    <w:next w:val="83"/>
    <w:qFormat/>
    <w:uiPriority w:val="0"/>
    <w:pPr>
      <w:tabs>
        <w:tab w:val="clear" w:pos="1080"/>
      </w:tabs>
      <w:ind w:left="0"/>
      <w:jc w:val="both"/>
      <w:outlineLvl w:val="2"/>
    </w:pPr>
    <w:rPr>
      <w:b w:val="0"/>
      <w:caps w:val="0"/>
      <w:sz w:val="22"/>
    </w:rPr>
  </w:style>
  <w:style w:type="paragraph" w:customStyle="1" w:styleId="33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3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33">
    <w:name w:val="xl47"/>
    <w:basedOn w:val="1"/>
    <w:qFormat/>
    <w:uiPriority w:val="0"/>
    <w:pPr>
      <w:pBdr>
        <w:bottom w:val="single" w:color="auto" w:sz="8" w:space="0"/>
      </w:pBdr>
      <w:spacing w:before="100" w:beforeAutospacing="1" w:after="100" w:afterAutospacing="1"/>
      <w:jc w:val="center"/>
      <w:textAlignment w:val="center"/>
    </w:pPr>
    <w:rPr>
      <w:rFonts w:ascii="隶书" w:hAnsi="宋体" w:eastAsia="隶书"/>
      <w:kern w:val="0"/>
      <w:sz w:val="44"/>
      <w:szCs w:val="44"/>
    </w:rPr>
  </w:style>
  <w:style w:type="paragraph" w:customStyle="1" w:styleId="33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5">
    <w:name w:val="Char Char Char Char Char Char Char Char Char Char Char Char"/>
    <w:basedOn w:val="1"/>
    <w:qFormat/>
    <w:uiPriority w:val="0"/>
    <w:rPr>
      <w:rFonts w:ascii="Tahoma" w:hAnsi="Tahoma"/>
      <w:sz w:val="24"/>
      <w:szCs w:val="20"/>
    </w:rPr>
  </w:style>
  <w:style w:type="paragraph" w:customStyle="1" w:styleId="336">
    <w:name w:val="标题 41"/>
    <w:basedOn w:val="1"/>
    <w:qFormat/>
    <w:uiPriority w:val="0"/>
    <w:pPr>
      <w:ind w:left="522"/>
      <w:jc w:val="left"/>
      <w:outlineLvl w:val="4"/>
    </w:pPr>
    <w:rPr>
      <w:rFonts w:eastAsia="Times New Roman"/>
      <w:b/>
      <w:bCs/>
      <w:kern w:val="0"/>
      <w:szCs w:val="21"/>
    </w:rPr>
  </w:style>
  <w:style w:type="paragraph" w:customStyle="1" w:styleId="33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3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4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1">
    <w:name w:val="合同书"/>
    <w:basedOn w:val="1"/>
    <w:qFormat/>
    <w:uiPriority w:val="0"/>
    <w:pPr>
      <w:jc w:val="center"/>
    </w:pPr>
    <w:rPr>
      <w:b/>
      <w:sz w:val="36"/>
      <w:szCs w:val="20"/>
    </w:rPr>
  </w:style>
  <w:style w:type="paragraph" w:customStyle="1" w:styleId="342">
    <w:name w:val="修订1"/>
    <w:qFormat/>
    <w:uiPriority w:val="0"/>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43">
    <w:name w:val="条文 0"/>
    <w:next w:val="1"/>
    <w:qFormat/>
    <w:uiPriority w:val="0"/>
    <w:pPr>
      <w:spacing w:before="240" w:after="240" w:line="360" w:lineRule="auto"/>
      <w:ind w:left="420" w:hanging="420"/>
      <w:jc w:val="both"/>
    </w:pPr>
    <w:rPr>
      <w:rFonts w:ascii="Times New Roman" w:hAnsi="Times New Roman" w:eastAsia="黑体" w:cs="Times New Roman"/>
      <w:sz w:val="21"/>
      <w:szCs w:val="20"/>
      <w:lang w:val="en-US" w:eastAsia="zh-CN" w:bidi="ar-SA"/>
    </w:rPr>
  </w:style>
  <w:style w:type="paragraph" w:customStyle="1" w:styleId="344">
    <w:name w:val="条文 3"/>
    <w:next w:val="1"/>
    <w:qFormat/>
    <w:uiPriority w:val="0"/>
    <w:pPr>
      <w:spacing w:line="310" w:lineRule="exact"/>
      <w:ind w:left="1680" w:hanging="420"/>
      <w:jc w:val="both"/>
    </w:pPr>
    <w:rPr>
      <w:rFonts w:ascii="Times New Roman" w:hAnsi="Times New Roman" w:eastAsia="黑体" w:cs="Times New Roman"/>
      <w:sz w:val="21"/>
      <w:szCs w:val="20"/>
      <w:lang w:val="en-US" w:eastAsia="zh-CN" w:bidi="ar-SA"/>
    </w:rPr>
  </w:style>
  <w:style w:type="paragraph" w:customStyle="1" w:styleId="345">
    <w:name w:val="Char Char Char Char Char1 Char"/>
    <w:basedOn w:val="1"/>
    <w:qFormat/>
    <w:uiPriority w:val="0"/>
    <w:pPr>
      <w:adjustRightInd w:val="0"/>
    </w:pPr>
    <w:rPr>
      <w:rFonts w:eastAsia="黑体"/>
      <w:spacing w:val="20"/>
      <w:sz w:val="32"/>
      <w:szCs w:val="32"/>
    </w:rPr>
  </w:style>
  <w:style w:type="paragraph" w:customStyle="1" w:styleId="346">
    <w:name w:val="批注主题 Char Char"/>
    <w:basedOn w:val="20"/>
    <w:next w:val="20"/>
    <w:qFormat/>
    <w:uiPriority w:val="0"/>
    <w:rPr>
      <w:b/>
      <w:szCs w:val="20"/>
    </w:rPr>
  </w:style>
  <w:style w:type="paragraph" w:customStyle="1" w:styleId="347">
    <w:name w:val="正文段"/>
    <w:basedOn w:val="1"/>
    <w:qFormat/>
    <w:uiPriority w:val="0"/>
    <w:pPr>
      <w:snapToGrid w:val="0"/>
      <w:spacing w:after="50" w:afterLines="50"/>
    </w:pPr>
    <w:rPr>
      <w:kern w:val="0"/>
      <w:sz w:val="24"/>
      <w:szCs w:val="20"/>
    </w:rPr>
  </w:style>
  <w:style w:type="paragraph" w:customStyle="1" w:styleId="34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49">
    <w:name w:val="条文 表"/>
    <w:next w:val="1"/>
    <w:qFormat/>
    <w:uiPriority w:val="0"/>
    <w:pPr>
      <w:spacing w:line="360" w:lineRule="auto"/>
      <w:ind w:left="3360" w:hanging="420"/>
      <w:jc w:val="center"/>
    </w:pPr>
    <w:rPr>
      <w:rFonts w:ascii="Times New Roman" w:hAnsi="Times New Roman" w:eastAsia="黑体" w:cs="Times New Roman"/>
      <w:sz w:val="21"/>
      <w:szCs w:val="20"/>
      <w:lang w:val="en-US" w:eastAsia="zh-CN" w:bidi="ar-SA"/>
    </w:rPr>
  </w:style>
  <w:style w:type="paragraph" w:customStyle="1" w:styleId="35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目录 71"/>
    <w:basedOn w:val="1"/>
    <w:next w:val="1"/>
    <w:qFormat/>
    <w:uiPriority w:val="0"/>
    <w:pPr>
      <w:ind w:left="1200" w:leftChars="1200"/>
    </w:pPr>
    <w:rPr>
      <w:rFonts w:ascii="Calibri" w:hAnsi="Calibri"/>
      <w:szCs w:val="22"/>
    </w:rPr>
  </w:style>
  <w:style w:type="paragraph" w:customStyle="1" w:styleId="352">
    <w:name w:val="TOC 标题2"/>
    <w:basedOn w:val="5"/>
    <w:next w:val="1"/>
    <w:qFormat/>
    <w:uiPriority w:val="0"/>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53">
    <w:name w:val="青岛标题3"/>
    <w:basedOn w:val="7"/>
    <w:qFormat/>
    <w:uiPriority w:val="0"/>
    <w:pPr>
      <w:spacing w:line="500" w:lineRule="exact"/>
      <w:jc w:val="left"/>
      <w:outlineLvl w:val="1"/>
    </w:pPr>
  </w:style>
  <w:style w:type="paragraph" w:customStyle="1" w:styleId="35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55">
    <w:name w:val="样式5"/>
    <w:basedOn w:val="1"/>
    <w:qFormat/>
    <w:uiPriority w:val="0"/>
    <w:pPr>
      <w:tabs>
        <w:tab w:val="left" w:pos="547"/>
        <w:tab w:val="left" w:pos="1080"/>
      </w:tabs>
      <w:spacing w:line="480" w:lineRule="atLeast"/>
      <w:jc w:val="center"/>
    </w:pPr>
    <w:rPr>
      <w:b/>
      <w:sz w:val="24"/>
    </w:rPr>
  </w:style>
  <w:style w:type="paragraph" w:customStyle="1" w:styleId="356">
    <w:name w:val="字元 字元 Char Char Char Char Char Char Char"/>
    <w:basedOn w:val="1"/>
    <w:qFormat/>
    <w:uiPriority w:val="0"/>
    <w:rPr>
      <w:rFonts w:ascii="Tahoma" w:hAnsi="Tahoma" w:cs="仿宋_GB2312"/>
      <w:sz w:val="24"/>
      <w:szCs w:val="20"/>
    </w:rPr>
  </w:style>
  <w:style w:type="paragraph" w:customStyle="1" w:styleId="357">
    <w:name w:val="样式 表格 + 加粗"/>
    <w:basedOn w:val="81"/>
    <w:qFormat/>
    <w:uiPriority w:val="0"/>
    <w:rPr>
      <w:b/>
      <w:bCs/>
    </w:rPr>
  </w:style>
  <w:style w:type="paragraph" w:customStyle="1" w:styleId="35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ascii="楷体_GB2312" w:hAnsi="宋体" w:eastAsia="楷体_GB2312"/>
      <w:kern w:val="0"/>
      <w:sz w:val="24"/>
    </w:rPr>
  </w:style>
  <w:style w:type="paragraph" w:customStyle="1" w:styleId="359">
    <w:name w:val="WPSOffice手动目录 1"/>
    <w:qFormat/>
    <w:uiPriority w:val="0"/>
    <w:rPr>
      <w:rFonts w:ascii="Times New Roman" w:hAnsi="Times New Roman" w:eastAsia="宋体" w:cs="Times New Roman"/>
      <w:sz w:val="20"/>
      <w:szCs w:val="20"/>
      <w:lang w:val="en-US" w:eastAsia="zh-CN" w:bidi="ar-SA"/>
    </w:rPr>
  </w:style>
  <w:style w:type="paragraph" w:customStyle="1" w:styleId="360">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361">
    <w:name w:val="标题 22"/>
    <w:basedOn w:val="1"/>
    <w:qFormat/>
    <w:uiPriority w:val="0"/>
    <w:pPr>
      <w:autoSpaceDE w:val="0"/>
      <w:autoSpaceDN w:val="0"/>
      <w:adjustRightInd w:val="0"/>
      <w:ind w:left="144"/>
      <w:jc w:val="left"/>
      <w:outlineLvl w:val="1"/>
    </w:pPr>
    <w:rPr>
      <w:rFonts w:ascii="仿宋" w:eastAsia="仿宋" w:cs="仿宋"/>
      <w:kern w:val="0"/>
      <w:sz w:val="32"/>
      <w:szCs w:val="32"/>
    </w:rPr>
  </w:style>
  <w:style w:type="paragraph" w:customStyle="1" w:styleId="362">
    <w:name w:val="标题 42"/>
    <w:basedOn w:val="1"/>
    <w:qFormat/>
    <w:uiPriority w:val="0"/>
    <w:pPr>
      <w:autoSpaceDE w:val="0"/>
      <w:autoSpaceDN w:val="0"/>
      <w:adjustRightInd w:val="0"/>
      <w:spacing w:before="8"/>
      <w:ind w:left="144"/>
      <w:jc w:val="left"/>
      <w:outlineLvl w:val="3"/>
    </w:pPr>
    <w:rPr>
      <w:rFonts w:ascii="仿宋" w:eastAsia="仿宋" w:cs="仿宋"/>
      <w:kern w:val="0"/>
      <w:sz w:val="24"/>
    </w:rPr>
  </w:style>
  <w:style w:type="character" w:customStyle="1" w:styleId="363">
    <w:name w:val="font41"/>
    <w:qFormat/>
    <w:uiPriority w:val="0"/>
    <w:rPr>
      <w:rFonts w:ascii="微软雅黑" w:hAnsi="微软雅黑" w:eastAsia="微软雅黑" w:cs="微软雅黑"/>
      <w:b/>
      <w:bCs/>
      <w:color w:val="000000"/>
      <w:sz w:val="20"/>
      <w:szCs w:val="20"/>
      <w:u w:val="none"/>
    </w:rPr>
  </w:style>
  <w:style w:type="character" w:customStyle="1" w:styleId="364">
    <w:name w:val="font21"/>
    <w:qFormat/>
    <w:uiPriority w:val="0"/>
    <w:rPr>
      <w:rFonts w:ascii="微软雅黑" w:hAnsi="微软雅黑" w:eastAsia="微软雅黑" w:cs="微软雅黑"/>
      <w:b/>
      <w:bCs/>
      <w:color w:val="FF0000"/>
      <w:sz w:val="20"/>
      <w:szCs w:val="20"/>
      <w:u w:val="none"/>
    </w:rPr>
  </w:style>
  <w:style w:type="character" w:customStyle="1" w:styleId="365">
    <w:name w:val="font61"/>
    <w:basedOn w:val="53"/>
    <w:qFormat/>
    <w:uiPriority w:val="0"/>
    <w:rPr>
      <w:rFonts w:ascii="微软雅黑" w:hAnsi="微软雅黑" w:eastAsia="微软雅黑" w:cs="微软雅黑"/>
      <w:color w:val="000000"/>
      <w:sz w:val="20"/>
      <w:szCs w:val="20"/>
      <w:u w:val="none"/>
    </w:rPr>
  </w:style>
  <w:style w:type="character" w:customStyle="1" w:styleId="366">
    <w:name w:val="font112"/>
    <w:basedOn w:val="53"/>
    <w:qFormat/>
    <w:uiPriority w:val="0"/>
    <w:rPr>
      <w:rFonts w:ascii="微软雅黑" w:hAnsi="微软雅黑" w:eastAsia="微软雅黑" w:cs="微软雅黑"/>
      <w:color w:val="FF0000"/>
      <w:sz w:val="20"/>
      <w:szCs w:val="20"/>
      <w:u w:val="none"/>
    </w:rPr>
  </w:style>
  <w:style w:type="character" w:customStyle="1" w:styleId="367">
    <w:name w:val="font71"/>
    <w:basedOn w:val="53"/>
    <w:qFormat/>
    <w:uiPriority w:val="0"/>
    <w:rPr>
      <w:rFonts w:ascii="微软雅黑" w:hAnsi="微软雅黑" w:eastAsia="微软雅黑" w:cs="微软雅黑"/>
      <w:color w:val="000000"/>
      <w:sz w:val="20"/>
      <w:szCs w:val="20"/>
      <w:u w:val="none"/>
    </w:rPr>
  </w:style>
  <w:style w:type="character" w:customStyle="1" w:styleId="368">
    <w:name w:val="NormalCharacter"/>
    <w:qFormat/>
    <w:uiPriority w:val="0"/>
  </w:style>
  <w:style w:type="paragraph" w:customStyle="1" w:styleId="369">
    <w:name w:val="179"/>
    <w:basedOn w:val="1"/>
    <w:qFormat/>
    <w:uiPriority w:val="0"/>
    <w:pPr>
      <w:textAlignment w:val="baseline"/>
    </w:pPr>
    <w:rPr>
      <w:rFonts w:ascii="Calibri" w:hAnsi="Calibri"/>
      <w:szCs w:val="22"/>
    </w:rPr>
  </w:style>
  <w:style w:type="paragraph" w:customStyle="1" w:styleId="370">
    <w:name w:val="彩色列表1"/>
    <w:basedOn w:val="1"/>
    <w:qFormat/>
    <w:uiPriority w:val="0"/>
    <w:rPr>
      <w:rFonts w:ascii="Calibri" w:hAnsi="Calibri"/>
      <w:szCs w:val="22"/>
    </w:rPr>
  </w:style>
  <w:style w:type="paragraph" w:customStyle="1" w:styleId="371">
    <w:name w:val="_Style 415"/>
    <w:basedOn w:val="1"/>
    <w:next w:val="311"/>
    <w:qFormat/>
    <w:uiPriority w:val="0"/>
    <w:rPr>
      <w:rFonts w:ascii="Calibri" w:hAnsi="Calibri"/>
    </w:rPr>
  </w:style>
  <w:style w:type="paragraph" w:customStyle="1" w:styleId="372">
    <w:name w:val="修订2"/>
    <w:qFormat/>
    <w:uiPriority w:val="0"/>
    <w:rPr>
      <w:rFonts w:ascii="Times New Roman" w:hAnsi="Times New Roman" w:eastAsia="宋体" w:cs="Times New Roman"/>
      <w:kern w:val="2"/>
      <w:sz w:val="21"/>
      <w:szCs w:val="24"/>
      <w:lang w:val="en-US" w:eastAsia="zh-CN" w:bidi="ar-SA"/>
    </w:rPr>
  </w:style>
  <w:style w:type="character" w:customStyle="1" w:styleId="373">
    <w:name w:val="font01"/>
    <w:basedOn w:val="53"/>
    <w:qFormat/>
    <w:uiPriority w:val="0"/>
    <w:rPr>
      <w:rFonts w:ascii="宋体" w:hAnsi="宋体" w:eastAsia="宋体" w:cs="宋体"/>
      <w:b/>
      <w:bCs/>
      <w:color w:val="000000"/>
      <w:sz w:val="18"/>
      <w:szCs w:val="18"/>
      <w:u w:val="none"/>
    </w:rPr>
  </w:style>
  <w:style w:type="character" w:customStyle="1" w:styleId="374">
    <w:name w:val="font31"/>
    <w:basedOn w:val="53"/>
    <w:qFormat/>
    <w:uiPriority w:val="0"/>
    <w:rPr>
      <w:rFonts w:ascii="宋体" w:hAnsi="宋体" w:eastAsia="宋体" w:cs="宋体"/>
      <w:color w:val="000000"/>
      <w:sz w:val="18"/>
      <w:szCs w:val="18"/>
      <w:u w:val="none"/>
    </w:rPr>
  </w:style>
  <w:style w:type="character" w:customStyle="1" w:styleId="375">
    <w:name w:val="font91"/>
    <w:basedOn w:val="53"/>
    <w:qFormat/>
    <w:uiPriority w:val="0"/>
    <w:rPr>
      <w:rFonts w:ascii="宋体" w:hAnsi="宋体" w:eastAsia="宋体" w:cs="宋体"/>
      <w:color w:val="000000"/>
      <w:sz w:val="18"/>
      <w:szCs w:val="18"/>
      <w:u w:val="none"/>
    </w:rPr>
  </w:style>
  <w:style w:type="paragraph" w:customStyle="1" w:styleId="376">
    <w:name w:val="修订3"/>
    <w:qFormat/>
    <w:uiPriority w:val="0"/>
    <w:rPr>
      <w:rFonts w:ascii="Times New Roman" w:hAnsi="Times New Roman" w:eastAsia="宋体" w:cs="Times New Roman"/>
      <w:kern w:val="2"/>
      <w:sz w:val="21"/>
      <w:szCs w:val="24"/>
      <w:lang w:val="en-US" w:eastAsia="zh-CN" w:bidi="ar-SA"/>
    </w:rPr>
  </w:style>
  <w:style w:type="paragraph" w:customStyle="1" w:styleId="377">
    <w:name w:val="修订4"/>
    <w:qFormat/>
    <w:uiPriority w:val="0"/>
    <w:rPr>
      <w:rFonts w:ascii="Times New Roman" w:hAnsi="Times New Roman" w:eastAsia="宋体" w:cs="Times New Roman"/>
      <w:kern w:val="2"/>
      <w:sz w:val="21"/>
      <w:szCs w:val="24"/>
      <w:lang w:val="en-US" w:eastAsia="zh-CN" w:bidi="ar-SA"/>
    </w:rPr>
  </w:style>
  <w:style w:type="paragraph" w:customStyle="1" w:styleId="378">
    <w:name w:val="Revision"/>
    <w:qFormat/>
    <w:uiPriority w:val="0"/>
    <w:rPr>
      <w:rFonts w:ascii="Times New Roman" w:hAnsi="Times New Roman" w:eastAsia="宋体" w:cs="Times New Roman"/>
      <w:kern w:val="2"/>
      <w:sz w:val="21"/>
      <w:szCs w:val="24"/>
      <w:lang w:val="en-US" w:eastAsia="zh-CN" w:bidi="ar-SA"/>
    </w:rPr>
  </w:style>
  <w:style w:type="character" w:customStyle="1" w:styleId="379">
    <w:name w:val="font51"/>
    <w:basedOn w:val="5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63C09-9403-4F6F-BD4F-88EB60136C38}">
  <ds:schemaRefs/>
</ds:datastoreItem>
</file>

<file path=docProps/app.xml><?xml version="1.0" encoding="utf-8"?>
<Properties xmlns="http://schemas.openxmlformats.org/officeDocument/2006/extended-properties" xmlns:vt="http://schemas.openxmlformats.org/officeDocument/2006/docPropsVTypes">
  <Template>Normal.eit</Template>
  <Pages>82</Pages>
  <Words>1944</Words>
  <Characters>2884</Characters>
  <Lines>0</Lines>
  <Paragraphs>936</Paragraphs>
  <TotalTime>92</TotalTime>
  <ScaleCrop>false</ScaleCrop>
  <LinksUpToDate>false</LinksUpToDate>
  <CharactersWithSpaces>2995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2023-10-16T23:35:00Z</dcterms:created>
  <dc:creator>1</dc:creator>
  <cp:lastModifiedBy>WPS_1542872472</cp:lastModifiedBy>
  <cp:lastPrinted>2026-04-16T09:05:00Z</cp:lastPrinted>
  <dcterms:modified xsi:type="dcterms:W3CDTF">2026-07-14T02:20:03Z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A24CD84250094C1486225B087E3D346C_13</vt:lpwstr>
  </property>
  <property fmtid="{D5CDD505-2E9C-101B-9397-08002B2CF9AE}" pid="4" name="KSOTemplateDocerSaveRecord">
    <vt:lpwstr>eyJoZGlkIjoiOWUwOWY1OThjOTBmY2I1M2U5OGEyOWE4OWU3MTI0MDIiLCJ1c2VySWQiOiI0MzIyMzcxNDkifQ==</vt:lpwstr>
  </property>
</Properties>
</file>