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C911C">
      <w:pPr>
        <w:widowControl w:val="0"/>
        <w:wordWrap w:val="0"/>
        <w:autoSpaceDE w:val="0"/>
        <w:autoSpaceDN w:val="0"/>
        <w:adjustRightInd w:val="0"/>
        <w:snapToGrid w:val="0"/>
        <w:ind w:firstLine="0" w:firstLineChars="0"/>
        <w:jc w:val="right"/>
        <w:rPr>
          <w:rFonts w:hint="default" w:ascii="宋体" w:hAnsi="宋体" w:eastAsia="宋体"/>
          <w:color w:val="auto"/>
          <w:sz w:val="36"/>
          <w:szCs w:val="36"/>
          <w:lang w:val="en-US" w:eastAsia="zh-CN"/>
        </w:rPr>
      </w:pPr>
      <w:r>
        <w:rPr>
          <w:rFonts w:hint="eastAsia" w:ascii="宋体" w:hAnsi="宋体"/>
          <w:color w:val="auto"/>
          <w:sz w:val="36"/>
          <w:szCs w:val="36"/>
        </w:rPr>
        <w:t>项目编号：YG26ZG0042454</w:t>
      </w:r>
    </w:p>
    <w:p w14:paraId="5CC6D269">
      <w:pPr>
        <w:widowControl w:val="0"/>
        <w:autoSpaceDE w:val="0"/>
        <w:autoSpaceDN w:val="0"/>
        <w:adjustRightInd w:val="0"/>
        <w:snapToGrid w:val="0"/>
        <w:ind w:firstLine="0" w:firstLineChars="0"/>
        <w:rPr>
          <w:rFonts w:ascii="宋体" w:hAnsi="宋体"/>
          <w:color w:val="auto"/>
          <w:sz w:val="48"/>
          <w:szCs w:val="48"/>
        </w:rPr>
      </w:pPr>
    </w:p>
    <w:p w14:paraId="1B94996F">
      <w:pPr>
        <w:widowControl w:val="0"/>
        <w:autoSpaceDE w:val="0"/>
        <w:autoSpaceDN w:val="0"/>
        <w:adjustRightInd w:val="0"/>
        <w:snapToGrid w:val="0"/>
        <w:ind w:firstLine="0" w:firstLineChars="0"/>
        <w:rPr>
          <w:rFonts w:ascii="宋体" w:hAnsi="宋体"/>
          <w:color w:val="auto"/>
          <w:sz w:val="48"/>
          <w:szCs w:val="48"/>
        </w:rPr>
      </w:pPr>
    </w:p>
    <w:p w14:paraId="1F9F597C">
      <w:pPr>
        <w:ind w:firstLine="0" w:firstLineChars="0"/>
        <w:jc w:val="center"/>
        <w:rPr>
          <w:rFonts w:ascii="方正小标宋简体" w:hAnsi="方正小标宋简体" w:eastAsia="方正小标宋简体" w:cs="方正小标宋简体"/>
          <w:b/>
          <w:bCs/>
          <w:color w:val="auto"/>
          <w:sz w:val="52"/>
          <w:szCs w:val="52"/>
        </w:rPr>
      </w:pPr>
      <w:bookmarkStart w:id="0" w:name="_Toc23698"/>
      <w:bookmarkStart w:id="1" w:name="_Toc7503"/>
      <w:bookmarkStart w:id="2" w:name="_Toc25572"/>
    </w:p>
    <w:p w14:paraId="01756E2C">
      <w:pPr>
        <w:ind w:firstLine="0" w:firstLineChars="0"/>
        <w:jc w:val="center"/>
        <w:rPr>
          <w:rFonts w:ascii="方正小标宋简体" w:hAnsi="方正小标宋简体" w:eastAsia="方正小标宋简体" w:cs="方正小标宋简体"/>
          <w:b/>
          <w:bCs/>
          <w:color w:val="auto"/>
          <w:sz w:val="52"/>
          <w:szCs w:val="52"/>
        </w:rPr>
      </w:pPr>
    </w:p>
    <w:bookmarkEnd w:id="0"/>
    <w:bookmarkEnd w:id="1"/>
    <w:bookmarkEnd w:id="2"/>
    <w:p w14:paraId="70AC3232">
      <w:pPr>
        <w:ind w:firstLine="0" w:firstLineChars="0"/>
        <w:jc w:val="center"/>
        <w:rPr>
          <w:rFonts w:hint="eastAsia" w:ascii="微软雅黑" w:hAnsi="微软雅黑" w:eastAsia="微软雅黑" w:cs="微软雅黑"/>
          <w:b/>
          <w:bCs/>
          <w:color w:val="auto"/>
          <w:sz w:val="52"/>
          <w:szCs w:val="52"/>
          <w:highlight w:val="none"/>
        </w:rPr>
      </w:pPr>
      <w:bookmarkStart w:id="3" w:name="_Toc2672"/>
      <w:bookmarkStart w:id="4" w:name="_Toc26996"/>
      <w:bookmarkStart w:id="5" w:name="_Toc24371"/>
      <w:r>
        <w:rPr>
          <w:rFonts w:hint="eastAsia" w:ascii="微软雅黑" w:hAnsi="微软雅黑" w:eastAsia="微软雅黑" w:cs="微软雅黑"/>
          <w:b/>
          <w:bCs/>
          <w:color w:val="auto"/>
          <w:sz w:val="52"/>
          <w:szCs w:val="52"/>
          <w:highlight w:val="none"/>
        </w:rPr>
        <w:t>深圳市体育产业集团有限公司</w:t>
      </w:r>
    </w:p>
    <w:p w14:paraId="7634FAFB">
      <w:pPr>
        <w:ind w:firstLine="0" w:firstLineChars="0"/>
        <w:jc w:val="center"/>
        <w:rPr>
          <w:rFonts w:hint="eastAsia" w:ascii="微软雅黑" w:hAnsi="微软雅黑" w:eastAsia="微软雅黑" w:cs="微软雅黑"/>
          <w:b/>
          <w:color w:val="auto"/>
          <w:sz w:val="52"/>
          <w:szCs w:val="52"/>
          <w:highlight w:val="none"/>
        </w:rPr>
      </w:pPr>
      <w:r>
        <w:rPr>
          <w:rFonts w:hint="eastAsia" w:ascii="微软雅黑" w:hAnsi="微软雅黑" w:eastAsia="微软雅黑" w:cs="微软雅黑"/>
          <w:b/>
          <w:bCs/>
          <w:color w:val="auto"/>
          <w:sz w:val="52"/>
          <w:szCs w:val="52"/>
          <w:highlight w:val="none"/>
        </w:rPr>
        <w:t>服务类招标文件</w:t>
      </w:r>
      <w:bookmarkEnd w:id="3"/>
      <w:bookmarkEnd w:id="4"/>
      <w:bookmarkEnd w:id="5"/>
    </w:p>
    <w:p w14:paraId="65BE9E6D">
      <w:pPr>
        <w:widowControl w:val="0"/>
        <w:autoSpaceDE w:val="0"/>
        <w:autoSpaceDN w:val="0"/>
        <w:adjustRightInd w:val="0"/>
        <w:snapToGrid w:val="0"/>
        <w:ind w:firstLine="0" w:firstLineChars="0"/>
        <w:rPr>
          <w:rFonts w:ascii="宋体" w:hAnsi="宋体"/>
          <w:color w:val="auto"/>
          <w:sz w:val="48"/>
          <w:szCs w:val="48"/>
        </w:rPr>
      </w:pPr>
    </w:p>
    <w:p w14:paraId="57CCE800">
      <w:pPr>
        <w:widowControl w:val="0"/>
        <w:autoSpaceDE w:val="0"/>
        <w:autoSpaceDN w:val="0"/>
        <w:adjustRightInd w:val="0"/>
        <w:snapToGrid w:val="0"/>
        <w:ind w:firstLine="0" w:firstLineChars="0"/>
        <w:rPr>
          <w:rFonts w:ascii="宋体" w:hAnsi="宋体"/>
          <w:color w:val="auto"/>
          <w:sz w:val="48"/>
          <w:szCs w:val="48"/>
        </w:rPr>
      </w:pPr>
    </w:p>
    <w:tbl>
      <w:tblPr>
        <w:tblStyle w:val="52"/>
        <w:tblW w:w="8856" w:type="dxa"/>
        <w:tblInd w:w="0" w:type="dxa"/>
        <w:tblLayout w:type="fixed"/>
        <w:tblCellMar>
          <w:top w:w="0" w:type="dxa"/>
          <w:left w:w="108" w:type="dxa"/>
          <w:bottom w:w="0" w:type="dxa"/>
          <w:right w:w="108" w:type="dxa"/>
        </w:tblCellMar>
      </w:tblPr>
      <w:tblGrid>
        <w:gridCol w:w="2173"/>
        <w:gridCol w:w="6683"/>
      </w:tblGrid>
      <w:tr w14:paraId="76CB2507">
        <w:tblPrEx>
          <w:tblCellMar>
            <w:top w:w="0" w:type="dxa"/>
            <w:left w:w="108" w:type="dxa"/>
            <w:bottom w:w="0" w:type="dxa"/>
            <w:right w:w="108" w:type="dxa"/>
          </w:tblCellMar>
        </w:tblPrEx>
        <w:tc>
          <w:tcPr>
            <w:tcW w:w="2173" w:type="dxa"/>
            <w:vAlign w:val="center"/>
          </w:tcPr>
          <w:p w14:paraId="0027B9F0">
            <w:pPr>
              <w:widowControl w:val="0"/>
              <w:autoSpaceDE w:val="0"/>
              <w:autoSpaceDN w:val="0"/>
              <w:adjustRightInd w:val="0"/>
              <w:snapToGrid w:val="0"/>
              <w:ind w:firstLine="0" w:firstLineChars="0"/>
              <w:rPr>
                <w:rFonts w:ascii="宋体" w:hAnsi="宋体" w:cs="宋体"/>
                <w:bCs/>
                <w:color w:val="auto"/>
                <w:sz w:val="36"/>
                <w:szCs w:val="36"/>
              </w:rPr>
            </w:pPr>
            <w:r>
              <w:rPr>
                <w:rFonts w:hint="eastAsia" w:ascii="宋体" w:hAnsi="宋体" w:cs="宋体"/>
                <w:bCs/>
                <w:color w:val="auto"/>
                <w:sz w:val="36"/>
                <w:szCs w:val="36"/>
              </w:rPr>
              <w:t>项目名称：</w:t>
            </w:r>
          </w:p>
        </w:tc>
        <w:tc>
          <w:tcPr>
            <w:tcW w:w="6683" w:type="dxa"/>
            <w:vAlign w:val="center"/>
          </w:tcPr>
          <w:p w14:paraId="442E83D0">
            <w:pPr>
              <w:widowControl w:val="0"/>
              <w:autoSpaceDE w:val="0"/>
              <w:autoSpaceDN w:val="0"/>
              <w:adjustRightInd w:val="0"/>
              <w:snapToGrid w:val="0"/>
              <w:ind w:firstLine="0" w:firstLineChars="0"/>
              <w:jc w:val="left"/>
              <w:rPr>
                <w:rFonts w:ascii="宋体" w:hAnsi="宋体" w:cs="宋体"/>
                <w:bCs/>
                <w:color w:val="auto"/>
                <w:sz w:val="36"/>
                <w:szCs w:val="36"/>
                <w:u w:val="single"/>
              </w:rPr>
            </w:pPr>
            <w:bookmarkStart w:id="6" w:name="_Hlk159591032"/>
            <w:r>
              <w:rPr>
                <w:rFonts w:hint="eastAsia" w:ascii="宋体" w:hAnsi="宋体" w:cs="宋体"/>
                <w:bCs/>
                <w:color w:val="auto"/>
                <w:sz w:val="36"/>
                <w:szCs w:val="36"/>
                <w:u w:val="single"/>
                <w:lang w:eastAsia="zh-CN"/>
              </w:rPr>
              <w:t>2026-2027</w:t>
            </w:r>
            <w:r>
              <w:rPr>
                <w:rFonts w:hint="eastAsia" w:ascii="宋体" w:hAnsi="宋体" w:cs="宋体"/>
                <w:bCs/>
                <w:color w:val="auto"/>
                <w:sz w:val="36"/>
                <w:szCs w:val="36"/>
                <w:u w:val="single"/>
              </w:rPr>
              <w:t>年度小型工程全过程造价咨询服务</w:t>
            </w:r>
            <w:bookmarkEnd w:id="6"/>
          </w:p>
        </w:tc>
      </w:tr>
      <w:tr w14:paraId="0F7704BA">
        <w:tblPrEx>
          <w:tblCellMar>
            <w:top w:w="0" w:type="dxa"/>
            <w:left w:w="108" w:type="dxa"/>
            <w:bottom w:w="0" w:type="dxa"/>
            <w:right w:w="108" w:type="dxa"/>
          </w:tblCellMar>
        </w:tblPrEx>
        <w:tc>
          <w:tcPr>
            <w:tcW w:w="2173" w:type="dxa"/>
            <w:shd w:val="clear" w:color="auto" w:fill="auto"/>
            <w:vAlign w:val="center"/>
          </w:tcPr>
          <w:p w14:paraId="418CB6B4">
            <w:pPr>
              <w:widowControl w:val="0"/>
              <w:autoSpaceDE w:val="0"/>
              <w:autoSpaceDN w:val="0"/>
              <w:adjustRightInd w:val="0"/>
              <w:snapToGrid w:val="0"/>
              <w:ind w:firstLine="0" w:firstLineChars="0"/>
              <w:rPr>
                <w:rFonts w:hint="eastAsia" w:ascii="宋体" w:hAnsi="宋体" w:eastAsia="宋体" w:cs="宋体"/>
                <w:bCs/>
                <w:color w:val="auto"/>
                <w:kern w:val="2"/>
                <w:sz w:val="36"/>
                <w:szCs w:val="36"/>
                <w:highlight w:val="none"/>
                <w:lang w:val="en-US" w:eastAsia="zh-CN" w:bidi="ar-SA"/>
              </w:rPr>
            </w:pPr>
            <w:r>
              <w:rPr>
                <w:rFonts w:hint="eastAsia" w:ascii="宋体" w:hAnsi="宋体" w:cs="宋体"/>
                <w:bCs/>
                <w:color w:val="auto"/>
                <w:sz w:val="36"/>
                <w:szCs w:val="36"/>
                <w:highlight w:val="none"/>
              </w:rPr>
              <w:t>项目地点：</w:t>
            </w:r>
          </w:p>
        </w:tc>
        <w:tc>
          <w:tcPr>
            <w:tcW w:w="6683" w:type="dxa"/>
            <w:shd w:val="clear" w:color="auto" w:fill="auto"/>
            <w:vAlign w:val="center"/>
          </w:tcPr>
          <w:p w14:paraId="32FA5FC8">
            <w:pPr>
              <w:widowControl w:val="0"/>
              <w:autoSpaceDE w:val="0"/>
              <w:autoSpaceDN w:val="0"/>
              <w:adjustRightInd w:val="0"/>
              <w:snapToGrid w:val="0"/>
              <w:ind w:firstLine="0" w:firstLineChars="0"/>
              <w:rPr>
                <w:rFonts w:hint="eastAsia" w:ascii="宋体" w:hAnsi="宋体" w:eastAsia="宋体" w:cs="宋体"/>
                <w:bCs/>
                <w:color w:val="auto"/>
                <w:kern w:val="2"/>
                <w:sz w:val="36"/>
                <w:szCs w:val="36"/>
                <w:highlight w:val="none"/>
                <w:u w:val="single"/>
                <w:lang w:val="en-US" w:eastAsia="zh-CN" w:bidi="ar-SA"/>
              </w:rPr>
            </w:pPr>
            <w:r>
              <w:rPr>
                <w:rFonts w:hint="eastAsia" w:ascii="宋体" w:hAnsi="宋体" w:cs="宋体"/>
                <w:bCs/>
                <w:color w:val="auto"/>
                <w:sz w:val="36"/>
                <w:szCs w:val="36"/>
                <w:highlight w:val="none"/>
                <w:u w:val="single"/>
              </w:rPr>
              <w:t>深圳市</w:t>
            </w:r>
          </w:p>
        </w:tc>
      </w:tr>
      <w:tr w14:paraId="0AACA1E6">
        <w:tblPrEx>
          <w:tblCellMar>
            <w:top w:w="0" w:type="dxa"/>
            <w:left w:w="108" w:type="dxa"/>
            <w:bottom w:w="0" w:type="dxa"/>
            <w:right w:w="108" w:type="dxa"/>
          </w:tblCellMar>
        </w:tblPrEx>
        <w:tc>
          <w:tcPr>
            <w:tcW w:w="2173" w:type="dxa"/>
            <w:vAlign w:val="center"/>
          </w:tcPr>
          <w:p w14:paraId="02F9CAA7">
            <w:pPr>
              <w:widowControl w:val="0"/>
              <w:autoSpaceDE w:val="0"/>
              <w:autoSpaceDN w:val="0"/>
              <w:adjustRightInd w:val="0"/>
              <w:snapToGrid w:val="0"/>
              <w:ind w:firstLine="0" w:firstLineChars="0"/>
              <w:rPr>
                <w:rFonts w:ascii="宋体" w:hAnsi="宋体" w:cs="宋体"/>
                <w:bCs/>
                <w:color w:val="auto"/>
                <w:sz w:val="36"/>
                <w:szCs w:val="36"/>
              </w:rPr>
            </w:pPr>
            <w:r>
              <w:rPr>
                <w:rFonts w:hint="eastAsia" w:ascii="宋体" w:hAnsi="宋体" w:cs="宋体"/>
                <w:bCs/>
                <w:color w:val="auto"/>
                <w:sz w:val="36"/>
                <w:szCs w:val="36"/>
              </w:rPr>
              <w:t>招标人：</w:t>
            </w:r>
          </w:p>
        </w:tc>
        <w:tc>
          <w:tcPr>
            <w:tcW w:w="6683" w:type="dxa"/>
            <w:vAlign w:val="center"/>
          </w:tcPr>
          <w:p w14:paraId="5374C2BC">
            <w:pPr>
              <w:widowControl w:val="0"/>
              <w:autoSpaceDE w:val="0"/>
              <w:autoSpaceDN w:val="0"/>
              <w:adjustRightInd w:val="0"/>
              <w:snapToGrid w:val="0"/>
              <w:ind w:firstLine="0" w:firstLineChars="0"/>
              <w:rPr>
                <w:rFonts w:hint="eastAsia" w:ascii="宋体" w:hAnsi="宋体" w:eastAsia="宋体" w:cs="宋体"/>
                <w:bCs/>
                <w:color w:val="auto"/>
                <w:sz w:val="36"/>
                <w:szCs w:val="36"/>
                <w:u w:val="single"/>
                <w:lang w:eastAsia="zh-CN"/>
              </w:rPr>
            </w:pPr>
            <w:r>
              <w:rPr>
                <w:rFonts w:hint="eastAsia" w:ascii="宋体" w:hAnsi="宋体" w:cs="宋体"/>
                <w:bCs/>
                <w:color w:val="auto"/>
                <w:sz w:val="36"/>
                <w:szCs w:val="36"/>
                <w:u w:val="single"/>
                <w:lang w:eastAsia="zh-CN"/>
              </w:rPr>
              <w:t>深圳市体育产业集团有限公司</w:t>
            </w:r>
          </w:p>
        </w:tc>
      </w:tr>
    </w:tbl>
    <w:p w14:paraId="52CBEA67">
      <w:pPr>
        <w:widowControl w:val="0"/>
        <w:autoSpaceDE w:val="0"/>
        <w:autoSpaceDN w:val="0"/>
        <w:adjustRightInd w:val="0"/>
        <w:snapToGrid w:val="0"/>
        <w:ind w:firstLine="0" w:firstLineChars="0"/>
        <w:rPr>
          <w:rFonts w:ascii="宋体" w:hAnsi="宋体" w:cs="Courier New"/>
          <w:b/>
          <w:bCs/>
          <w:color w:val="auto"/>
          <w:sz w:val="32"/>
          <w:szCs w:val="32"/>
        </w:rPr>
      </w:pPr>
    </w:p>
    <w:p w14:paraId="782A2F3A">
      <w:pPr>
        <w:ind w:firstLine="420"/>
        <w:rPr>
          <w:color w:val="auto"/>
        </w:rPr>
      </w:pPr>
      <w:bookmarkStart w:id="7" w:name="_Toc152042286"/>
      <w:bookmarkStart w:id="8" w:name="_Toc144974478"/>
      <w:bookmarkStart w:id="9" w:name="_Hlk532133368"/>
    </w:p>
    <w:p w14:paraId="6B4EA632">
      <w:pPr>
        <w:ind w:firstLine="0" w:firstLineChars="0"/>
        <w:jc w:val="center"/>
        <w:rPr>
          <w:b/>
          <w:bCs/>
          <w:color w:val="auto"/>
          <w:sz w:val="28"/>
          <w:szCs w:val="36"/>
        </w:rPr>
      </w:pPr>
      <w:r>
        <w:rPr>
          <w:rFonts w:ascii="宋体" w:hAnsi="宋体" w:cs="Courier New"/>
          <w:b/>
          <w:bCs/>
          <w:color w:val="auto"/>
          <w:sz w:val="28"/>
          <w:szCs w:val="21"/>
        </w:rPr>
        <w:br w:type="page"/>
      </w:r>
      <w:bookmarkEnd w:id="7"/>
      <w:bookmarkEnd w:id="8"/>
      <w:r>
        <w:rPr>
          <w:rFonts w:ascii="宋体" w:hAnsi="宋体"/>
          <w:b/>
          <w:bCs/>
          <w:color w:val="auto"/>
          <w:sz w:val="28"/>
          <w:szCs w:val="36"/>
        </w:rPr>
        <w:t>目录</w:t>
      </w:r>
    </w:p>
    <w:p w14:paraId="4AA4450A">
      <w:pPr>
        <w:pStyle w:val="33"/>
        <w:tabs>
          <w:tab w:val="right" w:leader="dot" w:pos="8307"/>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"_Toc5568" </w:instrText>
      </w:r>
      <w:r>
        <w:rPr>
          <w:color w:val="auto"/>
        </w:rPr>
        <w:fldChar w:fldCharType="separate"/>
      </w:r>
      <w:r>
        <w:rPr>
          <w:rFonts w:hint="eastAsia"/>
          <w:bCs/>
          <w:color w:val="auto"/>
          <w:szCs w:val="52"/>
        </w:rPr>
        <w:t>第一章投标人须知</w:t>
      </w:r>
      <w:r>
        <w:rPr>
          <w:color w:val="auto"/>
        </w:rPr>
        <w:tab/>
      </w:r>
      <w:r>
        <w:rPr>
          <w:color w:val="auto"/>
        </w:rPr>
        <w:fldChar w:fldCharType="begin"/>
      </w:r>
      <w:r>
        <w:rPr>
          <w:color w:val="auto"/>
        </w:rPr>
        <w:instrText xml:space="preserve"> PAGEREF _Toc5568 \h </w:instrText>
      </w:r>
      <w:r>
        <w:rPr>
          <w:color w:val="auto"/>
        </w:rPr>
        <w:fldChar w:fldCharType="separate"/>
      </w:r>
      <w:r>
        <w:rPr>
          <w:color w:val="auto"/>
        </w:rPr>
        <w:t>3</w:t>
      </w:r>
      <w:r>
        <w:rPr>
          <w:color w:val="auto"/>
        </w:rPr>
        <w:fldChar w:fldCharType="end"/>
      </w:r>
      <w:r>
        <w:rPr>
          <w:color w:val="auto"/>
        </w:rPr>
        <w:fldChar w:fldCharType="end"/>
      </w:r>
    </w:p>
    <w:p w14:paraId="20D750B4">
      <w:pPr>
        <w:pStyle w:val="42"/>
        <w:tabs>
          <w:tab w:val="right" w:leader="dot" w:pos="8307"/>
        </w:tabs>
        <w:ind w:firstLine="420"/>
        <w:rPr>
          <w:color w:val="auto"/>
        </w:rPr>
      </w:pPr>
      <w:r>
        <w:rPr>
          <w:color w:val="auto"/>
        </w:rPr>
        <w:fldChar w:fldCharType="begin"/>
      </w:r>
      <w:r>
        <w:rPr>
          <w:color w:val="auto"/>
        </w:rPr>
        <w:instrText xml:space="preserve"> HYPERLINK \l "_Toc28933" </w:instrText>
      </w:r>
      <w:r>
        <w:rPr>
          <w:color w:val="auto"/>
        </w:rPr>
        <w:fldChar w:fldCharType="separate"/>
      </w:r>
      <w:r>
        <w:rPr>
          <w:rFonts w:hint="eastAsia"/>
          <w:color w:val="auto"/>
          <w:szCs w:val="32"/>
        </w:rPr>
        <w:t>第一节投标人须知前附表</w:t>
      </w:r>
      <w:r>
        <w:rPr>
          <w:color w:val="auto"/>
        </w:rPr>
        <w:tab/>
      </w:r>
      <w:r>
        <w:rPr>
          <w:color w:val="auto"/>
        </w:rPr>
        <w:fldChar w:fldCharType="begin"/>
      </w:r>
      <w:r>
        <w:rPr>
          <w:color w:val="auto"/>
        </w:rPr>
        <w:instrText xml:space="preserve"> PAGEREF _Toc28933 \h </w:instrText>
      </w:r>
      <w:r>
        <w:rPr>
          <w:color w:val="auto"/>
        </w:rPr>
        <w:fldChar w:fldCharType="separate"/>
      </w:r>
      <w:r>
        <w:rPr>
          <w:color w:val="auto"/>
        </w:rPr>
        <w:t>4</w:t>
      </w:r>
      <w:r>
        <w:rPr>
          <w:color w:val="auto"/>
        </w:rPr>
        <w:fldChar w:fldCharType="end"/>
      </w:r>
      <w:r>
        <w:rPr>
          <w:color w:val="auto"/>
        </w:rPr>
        <w:fldChar w:fldCharType="end"/>
      </w:r>
    </w:p>
    <w:p w14:paraId="14D9061D">
      <w:pPr>
        <w:pStyle w:val="42"/>
        <w:tabs>
          <w:tab w:val="right" w:leader="dot" w:pos="8307"/>
        </w:tabs>
        <w:ind w:firstLine="420"/>
        <w:rPr>
          <w:color w:val="auto"/>
        </w:rPr>
      </w:pPr>
      <w:r>
        <w:rPr>
          <w:color w:val="auto"/>
        </w:rPr>
        <w:fldChar w:fldCharType="begin"/>
      </w:r>
      <w:r>
        <w:rPr>
          <w:color w:val="auto"/>
        </w:rPr>
        <w:instrText xml:space="preserve"> HYPERLINK \l "_Toc23669" </w:instrText>
      </w:r>
      <w:r>
        <w:rPr>
          <w:color w:val="auto"/>
        </w:rPr>
        <w:fldChar w:fldCharType="separate"/>
      </w:r>
      <w:r>
        <w:rPr>
          <w:rFonts w:hint="eastAsia"/>
          <w:color w:val="auto"/>
          <w:szCs w:val="32"/>
        </w:rPr>
        <w:t>第二节否决性条款摘要</w:t>
      </w:r>
      <w:r>
        <w:rPr>
          <w:color w:val="auto"/>
        </w:rPr>
        <w:tab/>
      </w:r>
      <w:r>
        <w:rPr>
          <w:color w:val="auto"/>
        </w:rPr>
        <w:fldChar w:fldCharType="begin"/>
      </w:r>
      <w:r>
        <w:rPr>
          <w:color w:val="auto"/>
        </w:rPr>
        <w:instrText xml:space="preserve"> PAGEREF _Toc23669 \h </w:instrText>
      </w:r>
      <w:r>
        <w:rPr>
          <w:color w:val="auto"/>
        </w:rPr>
        <w:fldChar w:fldCharType="separate"/>
      </w:r>
      <w:r>
        <w:rPr>
          <w:color w:val="auto"/>
        </w:rPr>
        <w:t>14</w:t>
      </w:r>
      <w:r>
        <w:rPr>
          <w:color w:val="auto"/>
        </w:rPr>
        <w:fldChar w:fldCharType="end"/>
      </w:r>
      <w:r>
        <w:rPr>
          <w:color w:val="auto"/>
        </w:rPr>
        <w:fldChar w:fldCharType="end"/>
      </w:r>
    </w:p>
    <w:p w14:paraId="436FB70F">
      <w:pPr>
        <w:pStyle w:val="42"/>
        <w:tabs>
          <w:tab w:val="right" w:leader="dot" w:pos="8307"/>
        </w:tabs>
        <w:ind w:firstLine="420"/>
        <w:rPr>
          <w:color w:val="auto"/>
        </w:rPr>
      </w:pPr>
      <w:r>
        <w:rPr>
          <w:color w:val="auto"/>
        </w:rPr>
        <w:fldChar w:fldCharType="begin"/>
      </w:r>
      <w:r>
        <w:rPr>
          <w:color w:val="auto"/>
        </w:rPr>
        <w:instrText xml:space="preserve"> HYPERLINK \l "_Toc12122" </w:instrText>
      </w:r>
      <w:r>
        <w:rPr>
          <w:color w:val="auto"/>
        </w:rPr>
        <w:fldChar w:fldCharType="separate"/>
      </w:r>
      <w:r>
        <w:rPr>
          <w:rFonts w:hint="eastAsia"/>
          <w:color w:val="auto"/>
          <w:szCs w:val="32"/>
        </w:rPr>
        <w:t>第三节总则</w:t>
      </w:r>
      <w:r>
        <w:rPr>
          <w:color w:val="auto"/>
        </w:rPr>
        <w:tab/>
      </w:r>
      <w:r>
        <w:rPr>
          <w:color w:val="auto"/>
        </w:rPr>
        <w:fldChar w:fldCharType="begin"/>
      </w:r>
      <w:r>
        <w:rPr>
          <w:color w:val="auto"/>
        </w:rPr>
        <w:instrText xml:space="preserve"> PAGEREF _Toc12122 \h </w:instrText>
      </w:r>
      <w:r>
        <w:rPr>
          <w:color w:val="auto"/>
        </w:rPr>
        <w:fldChar w:fldCharType="separate"/>
      </w:r>
      <w:r>
        <w:rPr>
          <w:color w:val="auto"/>
        </w:rPr>
        <w:t>16</w:t>
      </w:r>
      <w:r>
        <w:rPr>
          <w:color w:val="auto"/>
        </w:rPr>
        <w:fldChar w:fldCharType="end"/>
      </w:r>
      <w:r>
        <w:rPr>
          <w:color w:val="auto"/>
        </w:rPr>
        <w:fldChar w:fldCharType="end"/>
      </w:r>
    </w:p>
    <w:p w14:paraId="63EA1F9F">
      <w:pPr>
        <w:pStyle w:val="33"/>
        <w:tabs>
          <w:tab w:val="right" w:leader="dot" w:pos="8307"/>
        </w:tabs>
        <w:rPr>
          <w:color w:val="auto"/>
        </w:rPr>
      </w:pPr>
      <w:r>
        <w:rPr>
          <w:color w:val="auto"/>
        </w:rPr>
        <w:fldChar w:fldCharType="begin"/>
      </w:r>
      <w:r>
        <w:rPr>
          <w:color w:val="auto"/>
        </w:rPr>
        <w:instrText xml:space="preserve"> HYPERLINK \l "_Toc4157" </w:instrText>
      </w:r>
      <w:r>
        <w:rPr>
          <w:color w:val="auto"/>
        </w:rPr>
        <w:fldChar w:fldCharType="separate"/>
      </w:r>
      <w:r>
        <w:rPr>
          <w:rFonts w:hint="eastAsia"/>
          <w:bCs/>
          <w:color w:val="auto"/>
          <w:szCs w:val="48"/>
        </w:rPr>
        <w:t>第二章评定标办法（</w:t>
      </w:r>
      <w:r>
        <w:rPr>
          <w:rFonts w:hint="eastAsia"/>
          <w:bCs/>
          <w:color w:val="auto"/>
          <w:szCs w:val="48"/>
          <w:u w:val="single"/>
          <w:lang w:eastAsia="zh-CN"/>
        </w:rPr>
        <w:t>综合评估法</w:t>
      </w:r>
      <w:r>
        <w:rPr>
          <w:rFonts w:hint="eastAsia"/>
          <w:bCs/>
          <w:color w:val="auto"/>
          <w:szCs w:val="48"/>
        </w:rPr>
        <w:t>）</w:t>
      </w:r>
      <w:r>
        <w:rPr>
          <w:color w:val="auto"/>
        </w:rPr>
        <w:tab/>
      </w:r>
      <w:r>
        <w:rPr>
          <w:color w:val="auto"/>
        </w:rPr>
        <w:fldChar w:fldCharType="begin"/>
      </w:r>
      <w:r>
        <w:rPr>
          <w:color w:val="auto"/>
        </w:rPr>
        <w:instrText xml:space="preserve"> PAGEREF _Toc4157 \h </w:instrText>
      </w:r>
      <w:r>
        <w:rPr>
          <w:color w:val="auto"/>
        </w:rPr>
        <w:fldChar w:fldCharType="separate"/>
      </w:r>
      <w:r>
        <w:rPr>
          <w:color w:val="auto"/>
        </w:rPr>
        <w:t>25</w:t>
      </w:r>
      <w:r>
        <w:rPr>
          <w:color w:val="auto"/>
        </w:rPr>
        <w:fldChar w:fldCharType="end"/>
      </w:r>
      <w:r>
        <w:rPr>
          <w:color w:val="auto"/>
        </w:rPr>
        <w:fldChar w:fldCharType="end"/>
      </w:r>
    </w:p>
    <w:p w14:paraId="28127487">
      <w:pPr>
        <w:pStyle w:val="42"/>
        <w:tabs>
          <w:tab w:val="right" w:leader="dot" w:pos="8307"/>
        </w:tabs>
        <w:ind w:firstLine="420"/>
        <w:rPr>
          <w:color w:val="auto"/>
        </w:rPr>
      </w:pPr>
      <w:r>
        <w:rPr>
          <w:color w:val="auto"/>
        </w:rPr>
        <w:fldChar w:fldCharType="begin"/>
      </w:r>
      <w:r>
        <w:rPr>
          <w:color w:val="auto"/>
        </w:rPr>
        <w:instrText xml:space="preserve"> HYPERLINK \l "_Toc21837" </w:instrText>
      </w:r>
      <w:r>
        <w:rPr>
          <w:color w:val="auto"/>
        </w:rPr>
        <w:fldChar w:fldCharType="separate"/>
      </w:r>
      <w:r>
        <w:rPr>
          <w:rFonts w:hint="eastAsia"/>
          <w:color w:val="auto"/>
          <w:szCs w:val="32"/>
        </w:rPr>
        <w:t>一、评标须知</w:t>
      </w:r>
      <w:r>
        <w:rPr>
          <w:color w:val="auto"/>
        </w:rPr>
        <w:tab/>
      </w:r>
      <w:r>
        <w:rPr>
          <w:color w:val="auto"/>
        </w:rPr>
        <w:fldChar w:fldCharType="begin"/>
      </w:r>
      <w:r>
        <w:rPr>
          <w:color w:val="auto"/>
        </w:rPr>
        <w:instrText xml:space="preserve"> PAGEREF _Toc21837 \h </w:instrText>
      </w:r>
      <w:r>
        <w:rPr>
          <w:color w:val="auto"/>
        </w:rPr>
        <w:fldChar w:fldCharType="separate"/>
      </w:r>
      <w:r>
        <w:rPr>
          <w:color w:val="auto"/>
        </w:rPr>
        <w:t>26</w:t>
      </w:r>
      <w:r>
        <w:rPr>
          <w:color w:val="auto"/>
        </w:rPr>
        <w:fldChar w:fldCharType="end"/>
      </w:r>
      <w:r>
        <w:rPr>
          <w:color w:val="auto"/>
        </w:rPr>
        <w:fldChar w:fldCharType="end"/>
      </w:r>
    </w:p>
    <w:p w14:paraId="5A961D25">
      <w:pPr>
        <w:pStyle w:val="42"/>
        <w:tabs>
          <w:tab w:val="right" w:leader="dot" w:pos="8307"/>
        </w:tabs>
        <w:ind w:firstLine="420"/>
        <w:rPr>
          <w:color w:val="auto"/>
        </w:rPr>
      </w:pPr>
      <w:r>
        <w:rPr>
          <w:color w:val="auto"/>
        </w:rPr>
        <w:fldChar w:fldCharType="begin"/>
      </w:r>
      <w:r>
        <w:rPr>
          <w:color w:val="auto"/>
        </w:rPr>
        <w:instrText xml:space="preserve"> HYPERLINK \l "_Toc12706" </w:instrText>
      </w:r>
      <w:r>
        <w:rPr>
          <w:color w:val="auto"/>
        </w:rPr>
        <w:fldChar w:fldCharType="separate"/>
      </w:r>
      <w:r>
        <w:rPr>
          <w:rFonts w:hint="eastAsia"/>
          <w:color w:val="auto"/>
          <w:szCs w:val="32"/>
        </w:rPr>
        <w:t>二、评标方法</w:t>
      </w:r>
      <w:r>
        <w:rPr>
          <w:rFonts w:hint="eastAsia"/>
          <w:color w:val="auto"/>
        </w:rPr>
        <w:t>（</w:t>
      </w:r>
      <w:r>
        <w:rPr>
          <w:rFonts w:hint="eastAsia"/>
          <w:bCs/>
          <w:color w:val="auto"/>
          <w:szCs w:val="48"/>
          <w:u w:val="single"/>
          <w:lang w:eastAsia="zh-CN"/>
        </w:rPr>
        <w:t>综合评估法</w:t>
      </w:r>
      <w:r>
        <w:rPr>
          <w:rFonts w:hint="eastAsia"/>
          <w:color w:val="auto"/>
        </w:rPr>
        <w:t>）</w:t>
      </w:r>
      <w:r>
        <w:rPr>
          <w:color w:val="auto"/>
        </w:rPr>
        <w:tab/>
      </w:r>
      <w:r>
        <w:rPr>
          <w:color w:val="auto"/>
        </w:rPr>
        <w:fldChar w:fldCharType="begin"/>
      </w:r>
      <w:r>
        <w:rPr>
          <w:color w:val="auto"/>
        </w:rPr>
        <w:instrText xml:space="preserve"> PAGEREF _Toc12706 \h </w:instrText>
      </w:r>
      <w:r>
        <w:rPr>
          <w:color w:val="auto"/>
        </w:rPr>
        <w:fldChar w:fldCharType="separate"/>
      </w:r>
      <w:r>
        <w:rPr>
          <w:color w:val="auto"/>
        </w:rPr>
        <w:t>28</w:t>
      </w:r>
      <w:r>
        <w:rPr>
          <w:color w:val="auto"/>
        </w:rPr>
        <w:fldChar w:fldCharType="end"/>
      </w:r>
      <w:r>
        <w:rPr>
          <w:color w:val="auto"/>
        </w:rPr>
        <w:fldChar w:fldCharType="end"/>
      </w:r>
    </w:p>
    <w:p w14:paraId="512F16A2">
      <w:pPr>
        <w:pStyle w:val="33"/>
        <w:tabs>
          <w:tab w:val="right" w:leader="dot" w:pos="8307"/>
        </w:tabs>
        <w:rPr>
          <w:color w:val="auto"/>
        </w:rPr>
      </w:pPr>
      <w:r>
        <w:rPr>
          <w:color w:val="auto"/>
        </w:rPr>
        <w:fldChar w:fldCharType="begin"/>
      </w:r>
      <w:r>
        <w:rPr>
          <w:color w:val="auto"/>
        </w:rPr>
        <w:instrText xml:space="preserve"> HYPERLINK \l "_Toc26859" </w:instrText>
      </w:r>
      <w:r>
        <w:rPr>
          <w:color w:val="auto"/>
        </w:rPr>
        <w:fldChar w:fldCharType="separate"/>
      </w:r>
      <w:r>
        <w:rPr>
          <w:rFonts w:hint="eastAsia"/>
          <w:bCs/>
          <w:color w:val="auto"/>
          <w:szCs w:val="52"/>
        </w:rPr>
        <w:t>第三章合同条款及格式</w:t>
      </w:r>
      <w:r>
        <w:rPr>
          <w:color w:val="auto"/>
        </w:rPr>
        <w:tab/>
      </w:r>
      <w:r>
        <w:rPr>
          <w:color w:val="auto"/>
        </w:rPr>
        <w:fldChar w:fldCharType="begin"/>
      </w:r>
      <w:r>
        <w:rPr>
          <w:color w:val="auto"/>
        </w:rPr>
        <w:instrText xml:space="preserve"> PAGEREF _Toc26859 \h </w:instrText>
      </w:r>
      <w:r>
        <w:rPr>
          <w:color w:val="auto"/>
        </w:rPr>
        <w:fldChar w:fldCharType="separate"/>
      </w:r>
      <w:r>
        <w:rPr>
          <w:color w:val="auto"/>
        </w:rPr>
        <w:t>36</w:t>
      </w:r>
      <w:r>
        <w:rPr>
          <w:color w:val="auto"/>
        </w:rPr>
        <w:fldChar w:fldCharType="end"/>
      </w:r>
      <w:r>
        <w:rPr>
          <w:color w:val="auto"/>
        </w:rPr>
        <w:fldChar w:fldCharType="end"/>
      </w:r>
    </w:p>
    <w:p w14:paraId="17EF9E16">
      <w:pPr>
        <w:pStyle w:val="33"/>
        <w:tabs>
          <w:tab w:val="right" w:leader="dot" w:pos="8307"/>
        </w:tabs>
        <w:rPr>
          <w:rFonts w:hint="default" w:eastAsia="宋体"/>
          <w:color w:val="auto"/>
          <w:lang w:val="en-US" w:eastAsia="zh-CN"/>
        </w:rPr>
      </w:pPr>
      <w:r>
        <w:rPr>
          <w:color w:val="auto"/>
        </w:rPr>
        <w:fldChar w:fldCharType="begin"/>
      </w:r>
      <w:r>
        <w:rPr>
          <w:color w:val="auto"/>
        </w:rPr>
        <w:instrText xml:space="preserve"> HYPERLINK \l "_Toc29564" </w:instrText>
      </w:r>
      <w:r>
        <w:rPr>
          <w:color w:val="auto"/>
        </w:rPr>
        <w:fldChar w:fldCharType="separate"/>
      </w:r>
      <w:r>
        <w:rPr>
          <w:rFonts w:hint="eastAsia"/>
          <w:color w:val="auto"/>
          <w:szCs w:val="52"/>
        </w:rPr>
        <w:t>第四章项目需求</w:t>
      </w:r>
      <w:r>
        <w:rPr>
          <w:color w:val="auto"/>
        </w:rPr>
        <w:tab/>
      </w:r>
      <w:r>
        <w:rPr>
          <w:color w:val="auto"/>
        </w:rPr>
        <w:fldChar w:fldCharType="end"/>
      </w:r>
      <w:r>
        <w:rPr>
          <w:rFonts w:hint="eastAsia"/>
          <w:color w:val="auto"/>
          <w:lang w:val="en-US" w:eastAsia="zh-CN"/>
        </w:rPr>
        <w:t>60</w:t>
      </w:r>
    </w:p>
    <w:p w14:paraId="6A97F1EB">
      <w:pPr>
        <w:pStyle w:val="33"/>
        <w:tabs>
          <w:tab w:val="right" w:leader="dot" w:pos="8307"/>
        </w:tabs>
        <w:rPr>
          <w:color w:val="auto"/>
        </w:rPr>
      </w:pPr>
      <w:r>
        <w:rPr>
          <w:color w:val="auto"/>
        </w:rPr>
        <w:fldChar w:fldCharType="begin"/>
      </w:r>
      <w:r>
        <w:rPr>
          <w:color w:val="auto"/>
        </w:rPr>
        <w:instrText xml:space="preserve"> HYPERLINK \l "_Toc18285" </w:instrText>
      </w:r>
      <w:r>
        <w:rPr>
          <w:color w:val="auto"/>
        </w:rPr>
        <w:fldChar w:fldCharType="separate"/>
      </w:r>
      <w:r>
        <w:rPr>
          <w:rFonts w:hint="eastAsia"/>
          <w:bCs/>
          <w:color w:val="auto"/>
          <w:szCs w:val="52"/>
        </w:rPr>
        <w:t>第五章投标文件格式</w:t>
      </w:r>
      <w:r>
        <w:rPr>
          <w:color w:val="auto"/>
        </w:rPr>
        <w:tab/>
      </w:r>
      <w:r>
        <w:rPr>
          <w:color w:val="auto"/>
        </w:rPr>
        <w:fldChar w:fldCharType="begin"/>
      </w:r>
      <w:r>
        <w:rPr>
          <w:color w:val="auto"/>
        </w:rPr>
        <w:instrText xml:space="preserve"> PAGEREF _Toc18285 \h </w:instrText>
      </w:r>
      <w:r>
        <w:rPr>
          <w:color w:val="auto"/>
        </w:rPr>
        <w:fldChar w:fldCharType="separate"/>
      </w:r>
      <w:r>
        <w:rPr>
          <w:color w:val="auto"/>
        </w:rPr>
        <w:t>64</w:t>
      </w:r>
      <w:r>
        <w:rPr>
          <w:color w:val="auto"/>
        </w:rPr>
        <w:fldChar w:fldCharType="end"/>
      </w:r>
      <w:r>
        <w:rPr>
          <w:color w:val="auto"/>
        </w:rPr>
        <w:fldChar w:fldCharType="end"/>
      </w:r>
    </w:p>
    <w:p w14:paraId="75B78876">
      <w:pPr>
        <w:pStyle w:val="42"/>
        <w:tabs>
          <w:tab w:val="right" w:leader="dot" w:pos="8307"/>
        </w:tabs>
        <w:ind w:firstLine="420"/>
        <w:rPr>
          <w:color w:val="auto"/>
        </w:rPr>
      </w:pPr>
      <w:r>
        <w:rPr>
          <w:color w:val="auto"/>
        </w:rPr>
        <w:fldChar w:fldCharType="begin"/>
      </w:r>
      <w:r>
        <w:rPr>
          <w:color w:val="auto"/>
        </w:rPr>
        <w:instrText xml:space="preserve"> HYPERLINK \l "_Toc19088" </w:instrText>
      </w:r>
      <w:r>
        <w:rPr>
          <w:color w:val="auto"/>
        </w:rPr>
        <w:fldChar w:fldCharType="separate"/>
      </w:r>
      <w:r>
        <w:rPr>
          <w:rFonts w:hint="eastAsia"/>
          <w:color w:val="auto"/>
          <w:szCs w:val="44"/>
        </w:rPr>
        <w:t>一</w:t>
      </w:r>
      <w:r>
        <w:rPr>
          <w:color w:val="auto"/>
          <w:szCs w:val="44"/>
        </w:rPr>
        <w:t>、</w:t>
      </w:r>
      <w:r>
        <w:rPr>
          <w:rFonts w:hint="eastAsia"/>
          <w:color w:val="auto"/>
          <w:szCs w:val="44"/>
        </w:rPr>
        <w:t>资格审查文件部分</w:t>
      </w:r>
      <w:r>
        <w:rPr>
          <w:color w:val="auto"/>
        </w:rPr>
        <w:tab/>
      </w:r>
      <w:r>
        <w:rPr>
          <w:color w:val="auto"/>
        </w:rPr>
        <w:fldChar w:fldCharType="begin"/>
      </w:r>
      <w:r>
        <w:rPr>
          <w:color w:val="auto"/>
        </w:rPr>
        <w:instrText xml:space="preserve"> PAGEREF _Toc19088 \h </w:instrText>
      </w:r>
      <w:r>
        <w:rPr>
          <w:color w:val="auto"/>
        </w:rPr>
        <w:fldChar w:fldCharType="separate"/>
      </w:r>
      <w:r>
        <w:rPr>
          <w:color w:val="auto"/>
        </w:rPr>
        <w:t>66</w:t>
      </w:r>
      <w:r>
        <w:rPr>
          <w:color w:val="auto"/>
        </w:rPr>
        <w:fldChar w:fldCharType="end"/>
      </w:r>
      <w:r>
        <w:rPr>
          <w:color w:val="auto"/>
        </w:rPr>
        <w:fldChar w:fldCharType="end"/>
      </w:r>
    </w:p>
    <w:p w14:paraId="424FFE2C">
      <w:pPr>
        <w:pStyle w:val="42"/>
        <w:tabs>
          <w:tab w:val="right" w:leader="dot" w:pos="8307"/>
        </w:tabs>
        <w:ind w:firstLine="420"/>
        <w:rPr>
          <w:color w:val="auto"/>
        </w:rPr>
      </w:pPr>
      <w:r>
        <w:rPr>
          <w:color w:val="auto"/>
        </w:rPr>
        <w:fldChar w:fldCharType="begin"/>
      </w:r>
      <w:r>
        <w:rPr>
          <w:color w:val="auto"/>
        </w:rPr>
        <w:instrText xml:space="preserve"> HYPERLINK \l "_Toc25175" </w:instrText>
      </w:r>
      <w:r>
        <w:rPr>
          <w:color w:val="auto"/>
        </w:rPr>
        <w:fldChar w:fldCharType="separate"/>
      </w:r>
      <w:r>
        <w:rPr>
          <w:rFonts w:hint="eastAsia"/>
          <w:color w:val="auto"/>
          <w:szCs w:val="44"/>
        </w:rPr>
        <w:t>二</w:t>
      </w:r>
      <w:r>
        <w:rPr>
          <w:color w:val="auto"/>
          <w:szCs w:val="44"/>
        </w:rPr>
        <w:t>、</w:t>
      </w:r>
      <w:r>
        <w:rPr>
          <w:rFonts w:hint="eastAsia"/>
          <w:color w:val="auto"/>
          <w:szCs w:val="44"/>
        </w:rPr>
        <w:t>商务标部分</w:t>
      </w:r>
      <w:r>
        <w:rPr>
          <w:color w:val="auto"/>
        </w:rPr>
        <w:tab/>
      </w:r>
      <w:r>
        <w:rPr>
          <w:color w:val="auto"/>
        </w:rPr>
        <w:fldChar w:fldCharType="begin"/>
      </w:r>
      <w:r>
        <w:rPr>
          <w:color w:val="auto"/>
        </w:rPr>
        <w:instrText xml:space="preserve"> PAGEREF _Toc25175 \h </w:instrText>
      </w:r>
      <w:r>
        <w:rPr>
          <w:color w:val="auto"/>
        </w:rPr>
        <w:fldChar w:fldCharType="separate"/>
      </w:r>
      <w:r>
        <w:rPr>
          <w:color w:val="auto"/>
        </w:rPr>
        <w:t>73</w:t>
      </w:r>
      <w:r>
        <w:rPr>
          <w:color w:val="auto"/>
        </w:rPr>
        <w:fldChar w:fldCharType="end"/>
      </w:r>
      <w:r>
        <w:rPr>
          <w:color w:val="auto"/>
        </w:rPr>
        <w:fldChar w:fldCharType="end"/>
      </w:r>
    </w:p>
    <w:p w14:paraId="19798647">
      <w:pPr>
        <w:pStyle w:val="42"/>
        <w:tabs>
          <w:tab w:val="right" w:leader="dot" w:pos="8307"/>
        </w:tabs>
        <w:ind w:firstLine="420"/>
        <w:rPr>
          <w:color w:val="auto"/>
        </w:rPr>
      </w:pPr>
      <w:r>
        <w:rPr>
          <w:color w:val="auto"/>
        </w:rPr>
        <w:fldChar w:fldCharType="begin"/>
      </w:r>
      <w:r>
        <w:rPr>
          <w:color w:val="auto"/>
        </w:rPr>
        <w:instrText xml:space="preserve"> HYPERLINK \l "_Toc16964" </w:instrText>
      </w:r>
      <w:r>
        <w:rPr>
          <w:color w:val="auto"/>
        </w:rPr>
        <w:fldChar w:fldCharType="separate"/>
      </w:r>
      <w:r>
        <w:rPr>
          <w:rFonts w:hint="eastAsia" w:cs="Courier New"/>
          <w:bCs/>
          <w:color w:val="auto"/>
          <w:szCs w:val="44"/>
        </w:rPr>
        <w:t>三、技术标部分</w:t>
      </w:r>
      <w:r>
        <w:rPr>
          <w:color w:val="auto"/>
        </w:rPr>
        <w:tab/>
      </w:r>
      <w:r>
        <w:rPr>
          <w:color w:val="auto"/>
        </w:rPr>
        <w:fldChar w:fldCharType="begin"/>
      </w:r>
      <w:r>
        <w:rPr>
          <w:color w:val="auto"/>
        </w:rPr>
        <w:instrText xml:space="preserve"> PAGEREF _Toc16964 \h </w:instrText>
      </w:r>
      <w:r>
        <w:rPr>
          <w:color w:val="auto"/>
        </w:rPr>
        <w:fldChar w:fldCharType="separate"/>
      </w:r>
      <w:r>
        <w:rPr>
          <w:color w:val="auto"/>
        </w:rPr>
        <w:t>79</w:t>
      </w:r>
      <w:r>
        <w:rPr>
          <w:color w:val="auto"/>
        </w:rPr>
        <w:fldChar w:fldCharType="end"/>
      </w:r>
      <w:r>
        <w:rPr>
          <w:color w:val="auto"/>
        </w:rPr>
        <w:fldChar w:fldCharType="end"/>
      </w:r>
    </w:p>
    <w:p w14:paraId="2C077FE6">
      <w:pPr>
        <w:pStyle w:val="42"/>
        <w:tabs>
          <w:tab w:val="right" w:leader="dot" w:pos="8307"/>
        </w:tabs>
        <w:ind w:firstLine="420"/>
        <w:rPr>
          <w:color w:val="auto"/>
        </w:rPr>
      </w:pPr>
      <w:r>
        <w:rPr>
          <w:color w:val="auto"/>
        </w:rPr>
        <w:fldChar w:fldCharType="begin"/>
      </w:r>
      <w:r>
        <w:rPr>
          <w:color w:val="auto"/>
        </w:rPr>
        <w:instrText xml:space="preserve"> HYPERLINK \l "_Toc17944" </w:instrText>
      </w:r>
      <w:r>
        <w:rPr>
          <w:color w:val="auto"/>
        </w:rPr>
        <w:fldChar w:fldCharType="separate"/>
      </w:r>
      <w:r>
        <w:rPr>
          <w:rFonts w:hint="eastAsia" w:cs="Courier New"/>
          <w:bCs/>
          <w:color w:val="auto"/>
          <w:szCs w:val="44"/>
        </w:rPr>
        <w:t>四</w:t>
      </w:r>
      <w:r>
        <w:rPr>
          <w:rFonts w:cs="Courier New"/>
          <w:bCs/>
          <w:color w:val="auto"/>
          <w:szCs w:val="44"/>
        </w:rPr>
        <w:t>、</w:t>
      </w:r>
      <w:r>
        <w:rPr>
          <w:rFonts w:hint="eastAsia" w:cs="Courier New"/>
          <w:bCs/>
          <w:color w:val="auto"/>
          <w:szCs w:val="44"/>
        </w:rPr>
        <w:t>价格标部分</w:t>
      </w:r>
      <w:r>
        <w:rPr>
          <w:color w:val="auto"/>
        </w:rPr>
        <w:tab/>
      </w:r>
      <w:r>
        <w:rPr>
          <w:color w:val="auto"/>
        </w:rPr>
        <w:fldChar w:fldCharType="begin"/>
      </w:r>
      <w:r>
        <w:rPr>
          <w:color w:val="auto"/>
        </w:rPr>
        <w:instrText xml:space="preserve"> PAGEREF _Toc17944 \h </w:instrText>
      </w:r>
      <w:r>
        <w:rPr>
          <w:color w:val="auto"/>
        </w:rPr>
        <w:fldChar w:fldCharType="separate"/>
      </w:r>
      <w:r>
        <w:rPr>
          <w:color w:val="auto"/>
        </w:rPr>
        <w:t>82</w:t>
      </w:r>
      <w:r>
        <w:rPr>
          <w:color w:val="auto"/>
        </w:rPr>
        <w:fldChar w:fldCharType="end"/>
      </w:r>
      <w:r>
        <w:rPr>
          <w:color w:val="auto"/>
        </w:rPr>
        <w:fldChar w:fldCharType="end"/>
      </w:r>
    </w:p>
    <w:p w14:paraId="489D4D5F">
      <w:pPr>
        <w:pStyle w:val="19"/>
        <w:ind w:firstLine="420"/>
        <w:rPr>
          <w:color w:val="auto"/>
        </w:rPr>
      </w:pPr>
      <w:r>
        <w:rPr>
          <w:color w:val="auto"/>
        </w:rPr>
        <w:fldChar w:fldCharType="end"/>
      </w:r>
    </w:p>
    <w:p w14:paraId="0B89C49C">
      <w:pPr>
        <w:spacing w:line="480" w:lineRule="auto"/>
        <w:ind w:firstLine="420"/>
        <w:rPr>
          <w:color w:val="auto"/>
        </w:rPr>
      </w:pPr>
    </w:p>
    <w:p w14:paraId="5A83CA06">
      <w:pPr>
        <w:ind w:firstLine="0" w:firstLineChars="0"/>
        <w:jc w:val="left"/>
        <w:rPr>
          <w:rFonts w:ascii="宋体" w:hAnsi="宋体"/>
          <w:color w:val="auto"/>
          <w:kern w:val="0"/>
          <w:szCs w:val="21"/>
          <w:lang w:eastAsia="en-US"/>
        </w:rPr>
      </w:pPr>
      <w:r>
        <w:rPr>
          <w:color w:val="auto"/>
        </w:rPr>
        <w:fldChar w:fldCharType="begin"/>
      </w:r>
      <w:r>
        <w:rPr>
          <w:color w:val="auto"/>
        </w:rPr>
        <w:instrText xml:space="preserve"> TOC \o "1-2" \h \z \u </w:instrText>
      </w:r>
      <w:r>
        <w:rPr>
          <w:color w:val="auto"/>
        </w:rPr>
        <w:fldChar w:fldCharType="separate"/>
      </w:r>
    </w:p>
    <w:p w14:paraId="1FB419B1">
      <w:pPr>
        <w:pStyle w:val="33"/>
        <w:tabs>
          <w:tab w:val="right" w:leader="dot" w:pos="8640"/>
        </w:tabs>
        <w:rPr>
          <w:rFonts w:cs="宋体"/>
          <w:b/>
          <w:bCs/>
          <w:color w:val="auto"/>
        </w:rPr>
      </w:pPr>
      <w:r>
        <w:rPr>
          <w:rFonts w:cs="宋体"/>
          <w:b/>
          <w:bCs/>
          <w:color w:val="auto"/>
        </w:rPr>
        <w:fldChar w:fldCharType="begin"/>
      </w:r>
      <w:r>
        <w:rPr>
          <w:rFonts w:cs="宋体"/>
          <w:b/>
          <w:bCs/>
          <w:color w:val="auto"/>
        </w:rPr>
        <w:instrText xml:space="preserve">TOC \o "1-2" \h \u </w:instrText>
      </w:r>
      <w:r>
        <w:rPr>
          <w:rFonts w:cs="宋体"/>
          <w:b/>
          <w:bCs/>
          <w:color w:val="auto"/>
        </w:rPr>
        <w:fldChar w:fldCharType="separate"/>
      </w:r>
    </w:p>
    <w:p w14:paraId="646FBD0E">
      <w:pPr>
        <w:pStyle w:val="33"/>
        <w:tabs>
          <w:tab w:val="right" w:leader="dot" w:pos="8640"/>
        </w:tabs>
        <w:rPr>
          <w:snapToGrid w:val="0"/>
          <w:color w:val="auto"/>
          <w:lang w:eastAsia="zh-CN"/>
        </w:rPr>
      </w:pPr>
      <w:r>
        <w:rPr>
          <w:rFonts w:cs="宋体"/>
          <w:b/>
          <w:bCs/>
          <w:color w:val="auto"/>
        </w:rPr>
        <w:fldChar w:fldCharType="end"/>
      </w:r>
      <w:r>
        <w:rPr>
          <w:color w:val="auto"/>
        </w:rPr>
        <w:fldChar w:fldCharType="end"/>
      </w:r>
    </w:p>
    <w:p w14:paraId="5A214189">
      <w:pPr>
        <w:widowControl w:val="0"/>
        <w:autoSpaceDE w:val="0"/>
        <w:autoSpaceDN w:val="0"/>
        <w:adjustRightInd w:val="0"/>
        <w:snapToGrid w:val="0"/>
        <w:ind w:firstLine="0" w:firstLineChars="0"/>
        <w:jc w:val="center"/>
        <w:rPr>
          <w:rFonts w:ascii="宋体" w:hAnsi="宋体"/>
          <w:snapToGrid w:val="0"/>
          <w:color w:val="auto"/>
          <w:kern w:val="0"/>
          <w:szCs w:val="21"/>
        </w:rPr>
        <w:sectPr>
          <w:headerReference r:id="rId7" w:type="first"/>
          <w:footerReference r:id="rId10" w:type="first"/>
          <w:headerReference r:id="rId5" w:type="default"/>
          <w:footerReference r:id="rId8" w:type="default"/>
          <w:headerReference r:id="rId6" w:type="even"/>
          <w:footerReference r:id="rId9" w:type="even"/>
          <w:pgSz w:w="11907" w:h="16840"/>
          <w:pgMar w:top="1440" w:right="1800" w:bottom="1440" w:left="1800" w:header="567" w:footer="567" w:gutter="0"/>
          <w:cols w:space="720" w:num="1"/>
          <w:docGrid w:linePitch="312" w:charSpace="0"/>
        </w:sectPr>
      </w:pPr>
    </w:p>
    <w:bookmarkEnd w:id="9"/>
    <w:p w14:paraId="12659037">
      <w:pPr>
        <w:widowControl w:val="0"/>
        <w:tabs>
          <w:tab w:val="left" w:pos="709"/>
        </w:tabs>
        <w:autoSpaceDE w:val="0"/>
        <w:autoSpaceDN w:val="0"/>
        <w:adjustRightInd w:val="0"/>
        <w:snapToGrid w:val="0"/>
        <w:ind w:firstLine="0" w:firstLineChars="0"/>
        <w:jc w:val="left"/>
        <w:rPr>
          <w:rFonts w:ascii="宋体" w:hAnsi="宋体"/>
          <w:b/>
          <w:bCs/>
          <w:color w:val="auto"/>
          <w:sz w:val="84"/>
          <w:szCs w:val="84"/>
        </w:rPr>
      </w:pPr>
      <w:bookmarkStart w:id="10" w:name="OLE_LINK2"/>
      <w:bookmarkEnd w:id="10"/>
      <w:bookmarkStart w:id="11" w:name="OLE_LINK1"/>
      <w:bookmarkEnd w:id="11"/>
      <w:bookmarkStart w:id="12" w:name="_Toc144974495"/>
      <w:bookmarkStart w:id="13" w:name="_Toc152045527"/>
      <w:bookmarkStart w:id="14" w:name="_Toc152042303"/>
      <w:bookmarkStart w:id="15" w:name="_Hlk532135443"/>
    </w:p>
    <w:p w14:paraId="2812C884">
      <w:pPr>
        <w:widowControl w:val="0"/>
        <w:tabs>
          <w:tab w:val="left" w:pos="709"/>
        </w:tabs>
        <w:autoSpaceDE w:val="0"/>
        <w:autoSpaceDN w:val="0"/>
        <w:adjustRightInd w:val="0"/>
        <w:snapToGrid w:val="0"/>
        <w:ind w:firstLine="0" w:firstLineChars="0"/>
        <w:jc w:val="left"/>
        <w:rPr>
          <w:rFonts w:ascii="宋体" w:hAnsi="宋体"/>
          <w:b/>
          <w:bCs/>
          <w:color w:val="auto"/>
          <w:sz w:val="84"/>
          <w:szCs w:val="84"/>
        </w:rPr>
      </w:pPr>
    </w:p>
    <w:p w14:paraId="34EC6043">
      <w:pPr>
        <w:widowControl w:val="0"/>
        <w:tabs>
          <w:tab w:val="left" w:pos="709"/>
        </w:tabs>
        <w:autoSpaceDE w:val="0"/>
        <w:autoSpaceDN w:val="0"/>
        <w:adjustRightInd w:val="0"/>
        <w:snapToGrid w:val="0"/>
        <w:ind w:firstLine="0" w:firstLineChars="0"/>
        <w:jc w:val="left"/>
        <w:rPr>
          <w:rFonts w:ascii="宋体" w:hAnsi="宋体"/>
          <w:b/>
          <w:bCs/>
          <w:color w:val="auto"/>
          <w:sz w:val="84"/>
          <w:szCs w:val="84"/>
        </w:rPr>
      </w:pPr>
    </w:p>
    <w:p w14:paraId="579DB4F9">
      <w:pPr>
        <w:widowControl w:val="0"/>
        <w:tabs>
          <w:tab w:val="left" w:pos="709"/>
        </w:tabs>
        <w:autoSpaceDE w:val="0"/>
        <w:autoSpaceDN w:val="0"/>
        <w:adjustRightInd w:val="0"/>
        <w:snapToGrid w:val="0"/>
        <w:ind w:firstLine="0" w:firstLineChars="0"/>
        <w:jc w:val="left"/>
        <w:rPr>
          <w:rFonts w:ascii="宋体" w:hAnsi="宋体"/>
          <w:b/>
          <w:bCs/>
          <w:color w:val="auto"/>
          <w:sz w:val="84"/>
          <w:szCs w:val="84"/>
        </w:rPr>
      </w:pPr>
    </w:p>
    <w:p w14:paraId="1F619064">
      <w:pPr>
        <w:widowControl w:val="0"/>
        <w:tabs>
          <w:tab w:val="left" w:pos="709"/>
        </w:tabs>
        <w:autoSpaceDE w:val="0"/>
        <w:autoSpaceDN w:val="0"/>
        <w:adjustRightInd w:val="0"/>
        <w:snapToGrid w:val="0"/>
        <w:ind w:firstLine="0" w:firstLineChars="0"/>
        <w:jc w:val="center"/>
        <w:outlineLvl w:val="0"/>
        <w:rPr>
          <w:rFonts w:ascii="宋体" w:hAnsi="宋体"/>
          <w:b/>
          <w:bCs/>
          <w:color w:val="auto"/>
          <w:sz w:val="52"/>
          <w:szCs w:val="52"/>
        </w:rPr>
      </w:pPr>
      <w:bookmarkStart w:id="16" w:name="_Toc2599"/>
      <w:bookmarkStart w:id="17" w:name="_Toc5568"/>
      <w:bookmarkStart w:id="18" w:name="_Toc28143"/>
      <w:bookmarkStart w:id="19" w:name="_Toc30237"/>
      <w:bookmarkStart w:id="20" w:name="_Toc21050"/>
      <w:bookmarkStart w:id="21" w:name="_Toc13906"/>
      <w:r>
        <w:rPr>
          <w:rFonts w:hint="eastAsia" w:ascii="宋体" w:hAnsi="宋体"/>
          <w:b/>
          <w:bCs/>
          <w:color w:val="auto"/>
          <w:sz w:val="52"/>
          <w:szCs w:val="52"/>
        </w:rPr>
        <w:t>第一章投标人须知</w:t>
      </w:r>
      <w:bookmarkEnd w:id="12"/>
      <w:bookmarkEnd w:id="13"/>
      <w:bookmarkEnd w:id="14"/>
      <w:bookmarkEnd w:id="15"/>
      <w:bookmarkEnd w:id="16"/>
      <w:bookmarkEnd w:id="17"/>
      <w:bookmarkEnd w:id="18"/>
      <w:bookmarkEnd w:id="19"/>
      <w:bookmarkEnd w:id="20"/>
      <w:bookmarkEnd w:id="21"/>
      <w:bookmarkStart w:id="22" w:name="_Toc152042304"/>
      <w:bookmarkStart w:id="23" w:name="_Toc152045528"/>
      <w:bookmarkStart w:id="24" w:name="_Toc144974496"/>
      <w:bookmarkStart w:id="25" w:name="_Toc379581309"/>
    </w:p>
    <w:p w14:paraId="33C406B2">
      <w:pPr>
        <w:widowControl w:val="0"/>
        <w:autoSpaceDE w:val="0"/>
        <w:autoSpaceDN w:val="0"/>
        <w:adjustRightInd w:val="0"/>
        <w:snapToGrid w:val="0"/>
        <w:ind w:firstLine="0" w:firstLineChars="0"/>
        <w:jc w:val="center"/>
        <w:outlineLvl w:val="1"/>
        <w:rPr>
          <w:rFonts w:ascii="宋体" w:hAnsi="宋体"/>
          <w:b/>
          <w:color w:val="auto"/>
          <w:sz w:val="32"/>
          <w:szCs w:val="32"/>
        </w:rPr>
      </w:pPr>
      <w:r>
        <w:rPr>
          <w:rFonts w:ascii="宋体" w:hAnsi="宋体"/>
          <w:color w:val="auto"/>
          <w:sz w:val="28"/>
        </w:rPr>
        <w:br w:type="page"/>
      </w:r>
      <w:bookmarkStart w:id="26" w:name="_Toc11509"/>
      <w:bookmarkStart w:id="27" w:name="_Toc3665"/>
      <w:bookmarkStart w:id="28" w:name="_Toc28933"/>
      <w:bookmarkStart w:id="29" w:name="_Toc21572"/>
      <w:r>
        <w:rPr>
          <w:rFonts w:hint="eastAsia" w:ascii="宋体" w:hAnsi="宋体"/>
          <w:b/>
          <w:color w:val="auto"/>
          <w:sz w:val="32"/>
          <w:szCs w:val="32"/>
        </w:rPr>
        <w:t>第一节投标人须知前附表</w:t>
      </w:r>
      <w:bookmarkEnd w:id="22"/>
      <w:bookmarkEnd w:id="23"/>
      <w:bookmarkEnd w:id="24"/>
      <w:bookmarkEnd w:id="25"/>
      <w:bookmarkEnd w:id="26"/>
      <w:bookmarkEnd w:id="27"/>
      <w:bookmarkEnd w:id="28"/>
      <w:bookmarkEnd w:id="29"/>
    </w:p>
    <w:p w14:paraId="6D681232">
      <w:pPr>
        <w:widowControl w:val="0"/>
        <w:autoSpaceDE w:val="0"/>
        <w:autoSpaceDN w:val="0"/>
        <w:adjustRightInd w:val="0"/>
        <w:snapToGrid w:val="0"/>
        <w:ind w:firstLine="0" w:firstLineChars="0"/>
        <w:rPr>
          <w:rFonts w:ascii="宋体" w:hAnsi="宋体"/>
          <w:b/>
          <w:color w:val="auto"/>
          <w:szCs w:val="21"/>
        </w:rPr>
      </w:pPr>
      <w:r>
        <w:rPr>
          <w:rFonts w:hint="eastAsia" w:ascii="宋体" w:hAnsi="宋体"/>
          <w:b/>
          <w:color w:val="auto"/>
          <w:szCs w:val="21"/>
        </w:rPr>
        <w:t>重要提示：</w:t>
      </w:r>
    </w:p>
    <w:p w14:paraId="4FD06FB5">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1.本表对项目情况、招标程序的主要时限、投标文件编制要求的有关信息，是对投标须知的具体补充。如出现前后不一致的表述以投标人须知前附表为准。</w:t>
      </w:r>
    </w:p>
    <w:p w14:paraId="57E091FB">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2.本文所示时间均为北京时间。</w:t>
      </w:r>
    </w:p>
    <w:p w14:paraId="50C41F2D">
      <w:pPr>
        <w:widowControl w:val="0"/>
        <w:autoSpaceDE w:val="0"/>
        <w:autoSpaceDN w:val="0"/>
        <w:adjustRightInd w:val="0"/>
        <w:snapToGrid w:val="0"/>
        <w:ind w:firstLine="0" w:firstLineChars="0"/>
        <w:rPr>
          <w:rFonts w:ascii="宋体" w:hAnsi="宋体"/>
          <w:color w:val="auto"/>
          <w:szCs w:val="21"/>
        </w:rPr>
      </w:pPr>
      <w:r>
        <w:rPr>
          <w:rFonts w:ascii="宋体" w:hAnsi="宋体"/>
          <w:color w:val="auto"/>
          <w:szCs w:val="21"/>
        </w:rPr>
        <w:t>3.</w:t>
      </w:r>
      <w:r>
        <w:rPr>
          <w:rFonts w:hint="eastAsia" w:ascii="宋体" w:hAnsi="宋体"/>
          <w:color w:val="auto"/>
          <w:szCs w:val="21"/>
        </w:rPr>
        <w:t>用“</w:t>
      </w:r>
      <w:r>
        <w:rPr>
          <w:rFonts w:ascii="Segoe UI Symbol" w:hAnsi="Segoe UI Symbol" w:cs="Segoe UI Symbol"/>
          <w:color w:val="auto"/>
          <w:szCs w:val="21"/>
        </w:rPr>
        <w:t>☑</w:t>
      </w:r>
      <w:r>
        <w:rPr>
          <w:rFonts w:ascii="宋体" w:hAnsi="宋体"/>
          <w:color w:val="auto"/>
          <w:szCs w:val="21"/>
        </w:rPr>
        <w:t>”</w:t>
      </w:r>
      <w:r>
        <w:rPr>
          <w:rFonts w:hint="eastAsia" w:ascii="宋体" w:hAnsi="宋体"/>
          <w:color w:val="auto"/>
          <w:szCs w:val="21"/>
        </w:rPr>
        <w:t>标识时表明该选项被招标人选用，用“□”标识时表明该选项未被招标人选用。本文件中对应模板性条款未被招标人选用的内容，自动不适用。</w:t>
      </w:r>
    </w:p>
    <w:p w14:paraId="4BF8D89A">
      <w:pPr>
        <w:widowControl w:val="0"/>
        <w:autoSpaceDE w:val="0"/>
        <w:autoSpaceDN w:val="0"/>
        <w:adjustRightInd w:val="0"/>
        <w:snapToGrid w:val="0"/>
        <w:ind w:firstLine="0" w:firstLineChars="0"/>
        <w:rPr>
          <w:rFonts w:ascii="宋体" w:hAnsi="宋体"/>
          <w:snapToGrid w:val="0"/>
          <w:color w:val="auto"/>
          <w:kern w:val="0"/>
          <w:szCs w:val="21"/>
        </w:rPr>
      </w:pPr>
      <w:r>
        <w:rPr>
          <w:rFonts w:hint="eastAsia" w:ascii="宋体" w:hAnsi="宋体"/>
          <w:snapToGrid w:val="0"/>
          <w:color w:val="auto"/>
          <w:kern w:val="0"/>
          <w:szCs w:val="21"/>
        </w:rPr>
        <w:t>4、招标人在编制招标文件时，示范文本中的空格部分应根据招标项目实际需求填写，无内容或不采用者应用</w:t>
      </w:r>
      <w:r>
        <w:rPr>
          <w:rFonts w:hint="eastAsia" w:ascii="宋体" w:hAnsi="宋体"/>
          <w:b/>
          <w:snapToGrid w:val="0"/>
          <w:color w:val="auto"/>
          <w:kern w:val="0"/>
          <w:szCs w:val="21"/>
        </w:rPr>
        <w:t>斜画线</w:t>
      </w:r>
      <w:r>
        <w:rPr>
          <w:rFonts w:hint="eastAsia" w:ascii="宋体" w:hAnsi="宋体"/>
          <w:snapToGrid w:val="0"/>
          <w:color w:val="auto"/>
          <w:kern w:val="0"/>
          <w:szCs w:val="21"/>
        </w:rPr>
        <w:t>表示或者注明“本项目不适用”。</w:t>
      </w:r>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2"/>
        <w:gridCol w:w="2036"/>
        <w:gridCol w:w="5299"/>
      </w:tblGrid>
      <w:tr w14:paraId="4BAB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9E2F3"/>
            <w:vAlign w:val="center"/>
          </w:tcPr>
          <w:p w14:paraId="6BBC8E38">
            <w:pPr>
              <w:widowControl w:val="0"/>
              <w:autoSpaceDE w:val="0"/>
              <w:autoSpaceDN w:val="0"/>
              <w:adjustRightInd w:val="0"/>
              <w:snapToGrid w:val="0"/>
              <w:ind w:firstLine="0" w:firstLineChars="0"/>
              <w:jc w:val="center"/>
              <w:rPr>
                <w:rFonts w:ascii="宋体" w:hAnsi="宋体"/>
                <w:b/>
                <w:color w:val="auto"/>
                <w:sz w:val="32"/>
                <w:szCs w:val="32"/>
              </w:rPr>
            </w:pPr>
            <w:bookmarkStart w:id="30" w:name="_Hlk532140181"/>
            <w:r>
              <w:rPr>
                <w:rFonts w:hint="eastAsia" w:ascii="宋体" w:hAnsi="宋体"/>
                <w:b/>
                <w:color w:val="auto"/>
                <w:sz w:val="32"/>
                <w:szCs w:val="32"/>
              </w:rPr>
              <w:t>投标人须知前附表（一）</w:t>
            </w:r>
          </w:p>
        </w:tc>
      </w:tr>
      <w:tr w14:paraId="4F49E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05C2ACC6">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条款号</w:t>
            </w:r>
          </w:p>
        </w:tc>
        <w:tc>
          <w:tcPr>
            <w:tcW w:w="1227" w:type="pct"/>
            <w:vAlign w:val="center"/>
          </w:tcPr>
          <w:p w14:paraId="7855E1EA">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名称</w:t>
            </w:r>
          </w:p>
        </w:tc>
        <w:tc>
          <w:tcPr>
            <w:tcW w:w="3191" w:type="pct"/>
            <w:vAlign w:val="center"/>
          </w:tcPr>
          <w:p w14:paraId="69B535B7">
            <w:pPr>
              <w:widowControl w:val="0"/>
              <w:autoSpaceDE w:val="0"/>
              <w:autoSpaceDN w:val="0"/>
              <w:adjustRightInd w:val="0"/>
              <w:snapToGrid w:val="0"/>
              <w:ind w:firstLine="0" w:firstLineChars="0"/>
              <w:jc w:val="center"/>
              <w:rPr>
                <w:rFonts w:ascii="宋体" w:hAnsi="宋体"/>
                <w:b/>
                <w:color w:val="auto"/>
                <w:szCs w:val="21"/>
              </w:rPr>
            </w:pPr>
            <w:r>
              <w:rPr>
                <w:rFonts w:ascii="宋体" w:hAnsi="宋体"/>
                <w:b/>
                <w:color w:val="auto"/>
                <w:szCs w:val="21"/>
              </w:rPr>
              <w:t>编列内容</w:t>
            </w:r>
          </w:p>
        </w:tc>
      </w:tr>
      <w:tr w14:paraId="530B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1CED0AF">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5E30DB5A">
            <w:pPr>
              <w:widowControl w:val="0"/>
              <w:autoSpaceDE w:val="0"/>
              <w:autoSpaceDN w:val="0"/>
              <w:adjustRightInd w:val="0"/>
              <w:snapToGrid w:val="0"/>
              <w:ind w:firstLine="0" w:firstLineChars="0"/>
              <w:jc w:val="center"/>
              <w:rPr>
                <w:rFonts w:ascii="宋体" w:hAnsi="宋体"/>
                <w:bCs/>
                <w:color w:val="auto"/>
                <w:szCs w:val="21"/>
              </w:rPr>
            </w:pPr>
            <w:r>
              <w:rPr>
                <w:rFonts w:hint="eastAsia" w:ascii="宋体" w:hAnsi="宋体"/>
                <w:bCs/>
                <w:color w:val="auto"/>
                <w:szCs w:val="21"/>
              </w:rPr>
              <w:t>招标人</w:t>
            </w:r>
          </w:p>
        </w:tc>
        <w:tc>
          <w:tcPr>
            <w:tcW w:w="3191" w:type="pct"/>
            <w:vAlign w:val="center"/>
          </w:tcPr>
          <w:p w14:paraId="34BA3DD0">
            <w:pPr>
              <w:widowControl w:val="0"/>
              <w:autoSpaceDE w:val="0"/>
              <w:autoSpaceDN w:val="0"/>
              <w:adjustRightInd w:val="0"/>
              <w:snapToGrid w:val="0"/>
              <w:ind w:firstLine="0" w:firstLineChars="0"/>
              <w:rPr>
                <w:rFonts w:hint="eastAsia" w:ascii="宋体" w:hAnsi="宋体" w:eastAsia="宋体"/>
                <w:color w:val="auto"/>
                <w:szCs w:val="21"/>
                <w:lang w:eastAsia="zh-CN"/>
              </w:rPr>
            </w:pPr>
            <w:r>
              <w:rPr>
                <w:rFonts w:ascii="宋体" w:hAnsi="宋体"/>
                <w:color w:val="auto"/>
                <w:szCs w:val="21"/>
              </w:rPr>
              <w:t>名称：</w:t>
            </w:r>
            <w:r>
              <w:rPr>
                <w:rFonts w:hint="eastAsia" w:ascii="宋体" w:hAnsi="宋体"/>
                <w:color w:val="auto"/>
                <w:szCs w:val="21"/>
                <w:lang w:eastAsia="zh-CN"/>
              </w:rPr>
              <w:t>深圳市体育产业集团有限公司</w:t>
            </w:r>
          </w:p>
          <w:p w14:paraId="01696B04">
            <w:pPr>
              <w:widowControl w:val="0"/>
              <w:autoSpaceDE w:val="0"/>
              <w:autoSpaceDN w:val="0"/>
              <w:adjustRightInd w:val="0"/>
              <w:snapToGrid w:val="0"/>
              <w:ind w:firstLine="0" w:firstLineChars="0"/>
              <w:rPr>
                <w:rFonts w:hint="eastAsia" w:ascii="宋体" w:hAnsi="宋体" w:eastAsia="宋体"/>
                <w:color w:val="auto"/>
                <w:szCs w:val="21"/>
                <w:lang w:val="en-US" w:eastAsia="zh-CN"/>
              </w:rPr>
            </w:pPr>
            <w:r>
              <w:rPr>
                <w:rFonts w:hint="eastAsia" w:ascii="宋体" w:hAnsi="宋体"/>
                <w:color w:val="auto"/>
                <w:szCs w:val="21"/>
              </w:rPr>
              <w:t>联系</w:t>
            </w:r>
            <w:r>
              <w:rPr>
                <w:rFonts w:ascii="宋体" w:hAnsi="宋体"/>
                <w:color w:val="auto"/>
                <w:szCs w:val="21"/>
              </w:rPr>
              <w:t>地址：</w:t>
            </w:r>
            <w:r>
              <w:rPr>
                <w:rFonts w:hint="eastAsia" w:ascii="宋体" w:hAnsi="宋体"/>
                <w:color w:val="auto"/>
                <w:szCs w:val="21"/>
                <w:highlight w:val="none"/>
                <w:shd w:val="clear"/>
              </w:rPr>
              <w:t>深圳市福田区笋岗西路2006号市体育中心体育场S11</w:t>
            </w:r>
            <w:r>
              <w:rPr>
                <w:rFonts w:hint="eastAsia" w:ascii="宋体" w:hAnsi="宋体"/>
                <w:color w:val="auto"/>
                <w:szCs w:val="21"/>
                <w:highlight w:val="none"/>
                <w:shd w:val="clear"/>
                <w:lang w:val="en-US" w:eastAsia="zh-CN"/>
              </w:rPr>
              <w:t>办公室</w:t>
            </w:r>
          </w:p>
          <w:p w14:paraId="5FF57C00">
            <w:pPr>
              <w:widowControl w:val="0"/>
              <w:autoSpaceDE w:val="0"/>
              <w:autoSpaceDN w:val="0"/>
              <w:adjustRightInd w:val="0"/>
              <w:snapToGrid w:val="0"/>
              <w:ind w:firstLine="0" w:firstLineChars="0"/>
              <w:rPr>
                <w:rFonts w:hint="eastAsia" w:ascii="宋体" w:hAnsi="宋体" w:eastAsia="宋体"/>
                <w:color w:val="auto"/>
                <w:szCs w:val="21"/>
                <w:lang w:val="en-US" w:eastAsia="zh-CN"/>
              </w:rPr>
            </w:pPr>
            <w:r>
              <w:rPr>
                <w:rFonts w:hint="eastAsia" w:ascii="宋体" w:hAnsi="宋体"/>
                <w:color w:val="auto"/>
                <w:szCs w:val="21"/>
              </w:rPr>
              <w:t>联系人：</w:t>
            </w:r>
            <w:r>
              <w:rPr>
                <w:rFonts w:hint="eastAsia" w:ascii="宋体" w:hAnsi="宋体"/>
                <w:color w:val="auto"/>
                <w:szCs w:val="21"/>
                <w:lang w:val="en-US" w:eastAsia="zh-CN"/>
              </w:rPr>
              <w:t>杨女士</w:t>
            </w:r>
          </w:p>
          <w:p w14:paraId="495068A6">
            <w:pPr>
              <w:widowControl w:val="0"/>
              <w:autoSpaceDE w:val="0"/>
              <w:autoSpaceDN w:val="0"/>
              <w:adjustRightInd w:val="0"/>
              <w:snapToGrid w:val="0"/>
              <w:ind w:firstLine="0" w:firstLineChars="0"/>
              <w:rPr>
                <w:rFonts w:hint="default" w:ascii="宋体" w:hAnsi="宋体" w:eastAsia="宋体"/>
                <w:color w:val="auto"/>
                <w:kern w:val="0"/>
                <w:szCs w:val="21"/>
                <w:u w:val="single"/>
                <w:lang w:val="en-US" w:eastAsia="zh-CN"/>
              </w:rPr>
            </w:pPr>
            <w:r>
              <w:rPr>
                <w:rFonts w:hint="eastAsia" w:ascii="宋体" w:hAnsi="宋体"/>
                <w:color w:val="auto"/>
                <w:szCs w:val="21"/>
              </w:rPr>
              <w:t>联系电话：</w:t>
            </w:r>
            <w:r>
              <w:rPr>
                <w:rFonts w:hint="eastAsia" w:ascii="宋体" w:hAnsi="宋体"/>
                <w:color w:val="auto"/>
                <w:szCs w:val="21"/>
                <w:lang w:val="en-US" w:eastAsia="zh-CN"/>
              </w:rPr>
              <w:t>13590338115</w:t>
            </w:r>
          </w:p>
        </w:tc>
      </w:tr>
      <w:tr w14:paraId="4BBA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68D27F81">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6B2548C3">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项目</w:t>
            </w:r>
            <w:r>
              <w:rPr>
                <w:rFonts w:ascii="宋体" w:hAnsi="宋体"/>
                <w:color w:val="auto"/>
                <w:szCs w:val="21"/>
              </w:rPr>
              <w:t>编号</w:t>
            </w:r>
          </w:p>
        </w:tc>
        <w:tc>
          <w:tcPr>
            <w:tcW w:w="3191" w:type="pct"/>
            <w:vAlign w:val="center"/>
          </w:tcPr>
          <w:p w14:paraId="40382317">
            <w:pPr>
              <w:widowControl w:val="0"/>
              <w:autoSpaceDE w:val="0"/>
              <w:autoSpaceDN w:val="0"/>
              <w:adjustRightInd w:val="0"/>
              <w:snapToGrid w:val="0"/>
              <w:ind w:firstLine="0" w:firstLineChars="0"/>
              <w:rPr>
                <w:rFonts w:ascii="宋体" w:hAnsi="宋体"/>
                <w:bCs/>
                <w:color w:val="auto"/>
                <w:szCs w:val="21"/>
              </w:rPr>
            </w:pPr>
            <w:r>
              <w:rPr>
                <w:rFonts w:ascii="宋体" w:hAnsi="宋体"/>
                <w:bCs/>
                <w:color w:val="auto"/>
                <w:szCs w:val="21"/>
              </w:rPr>
              <w:t>YG26ZG0042454</w:t>
            </w:r>
          </w:p>
        </w:tc>
      </w:tr>
      <w:tr w14:paraId="315A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60E16C01">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43C2380B">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项目</w:t>
            </w:r>
            <w:r>
              <w:rPr>
                <w:rFonts w:ascii="宋体" w:hAnsi="宋体"/>
                <w:color w:val="auto"/>
                <w:szCs w:val="21"/>
              </w:rPr>
              <w:t>名称</w:t>
            </w:r>
          </w:p>
        </w:tc>
        <w:tc>
          <w:tcPr>
            <w:tcW w:w="3191" w:type="pct"/>
            <w:vAlign w:val="center"/>
          </w:tcPr>
          <w:p w14:paraId="62B5D40B">
            <w:pPr>
              <w:widowControl w:val="0"/>
              <w:autoSpaceDE w:val="0"/>
              <w:autoSpaceDN w:val="0"/>
              <w:adjustRightInd w:val="0"/>
              <w:snapToGrid w:val="0"/>
              <w:ind w:firstLine="0" w:firstLineChars="0"/>
              <w:rPr>
                <w:rFonts w:ascii="宋体" w:hAnsi="宋体"/>
                <w:bCs/>
                <w:color w:val="auto"/>
                <w:szCs w:val="21"/>
              </w:rPr>
            </w:pPr>
            <w:r>
              <w:rPr>
                <w:rFonts w:hint="eastAsia" w:ascii="宋体" w:hAnsi="宋体"/>
                <w:bCs/>
                <w:color w:val="auto"/>
                <w:szCs w:val="21"/>
                <w:lang w:eastAsia="zh-CN"/>
              </w:rPr>
              <w:t>2026-2027</w:t>
            </w:r>
            <w:r>
              <w:rPr>
                <w:rFonts w:ascii="宋体" w:hAnsi="宋体"/>
                <w:bCs/>
                <w:color w:val="auto"/>
                <w:szCs w:val="21"/>
              </w:rPr>
              <w:t>年度小</w:t>
            </w:r>
            <w:r>
              <w:rPr>
                <w:rFonts w:hint="eastAsia" w:ascii="宋体" w:hAnsi="宋体"/>
                <w:bCs/>
                <w:color w:val="auto"/>
                <w:szCs w:val="21"/>
              </w:rPr>
              <w:t>型</w:t>
            </w:r>
            <w:r>
              <w:rPr>
                <w:rFonts w:ascii="宋体" w:hAnsi="宋体"/>
                <w:bCs/>
                <w:color w:val="auto"/>
                <w:szCs w:val="21"/>
              </w:rPr>
              <w:t>工程全过程造价咨询服务</w:t>
            </w:r>
          </w:p>
        </w:tc>
      </w:tr>
      <w:tr w14:paraId="1AB0C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2B1BFB4B">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411416DF">
            <w:pPr>
              <w:widowControl w:val="0"/>
              <w:autoSpaceDE w:val="0"/>
              <w:autoSpaceDN w:val="0"/>
              <w:adjustRightInd w:val="0"/>
              <w:snapToGrid w:val="0"/>
              <w:ind w:firstLine="0" w:firstLineChars="0"/>
              <w:jc w:val="center"/>
              <w:rPr>
                <w:rFonts w:ascii="宋体" w:hAnsi="宋体"/>
                <w:color w:val="auto"/>
                <w:szCs w:val="21"/>
              </w:rPr>
            </w:pPr>
            <w:r>
              <w:rPr>
                <w:rFonts w:ascii="宋体" w:hAnsi="宋体"/>
                <w:color w:val="auto"/>
                <w:szCs w:val="21"/>
              </w:rPr>
              <w:t>公告</w:t>
            </w:r>
            <w:r>
              <w:rPr>
                <w:rFonts w:hint="eastAsia" w:ascii="宋体" w:hAnsi="宋体"/>
                <w:color w:val="auto"/>
                <w:szCs w:val="21"/>
              </w:rPr>
              <w:t>日期</w:t>
            </w:r>
          </w:p>
        </w:tc>
        <w:tc>
          <w:tcPr>
            <w:tcW w:w="3191" w:type="pct"/>
            <w:vAlign w:val="center"/>
          </w:tcPr>
          <w:p w14:paraId="3572B626">
            <w:pPr>
              <w:widowControl w:val="0"/>
              <w:autoSpaceDE w:val="0"/>
              <w:autoSpaceDN w:val="0"/>
              <w:adjustRightInd w:val="0"/>
              <w:snapToGrid w:val="0"/>
              <w:ind w:firstLine="0" w:firstLineChars="0"/>
              <w:rPr>
                <w:rFonts w:ascii="宋体" w:hAnsi="宋体"/>
                <w:bCs/>
                <w:color w:val="auto"/>
                <w:szCs w:val="21"/>
              </w:rPr>
            </w:pPr>
            <w:r>
              <w:rPr>
                <w:rFonts w:hint="eastAsia" w:ascii="宋体" w:hAnsi="宋体"/>
                <w:color w:val="auto"/>
                <w:szCs w:val="21"/>
              </w:rPr>
              <w:t>详见招标公告</w:t>
            </w:r>
          </w:p>
        </w:tc>
      </w:tr>
      <w:tr w14:paraId="008A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67B207F3">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10FA2A39">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项目类别</w:t>
            </w:r>
          </w:p>
        </w:tc>
        <w:tc>
          <w:tcPr>
            <w:tcW w:w="3191" w:type="pct"/>
            <w:vAlign w:val="center"/>
          </w:tcPr>
          <w:p w14:paraId="0CD4DCD0">
            <w:pPr>
              <w:widowControl w:val="0"/>
              <w:autoSpaceDE w:val="0"/>
              <w:autoSpaceDN w:val="0"/>
              <w:adjustRightInd w:val="0"/>
              <w:snapToGrid w:val="0"/>
              <w:ind w:firstLine="0" w:firstLineChars="0"/>
              <w:rPr>
                <w:rFonts w:ascii="宋体" w:hAnsi="宋体"/>
                <w:bCs/>
                <w:color w:val="auto"/>
                <w:szCs w:val="21"/>
              </w:rPr>
            </w:pPr>
            <w:r>
              <w:rPr>
                <w:rFonts w:hint="eastAsia" w:ascii="宋体" w:hAnsi="宋体"/>
                <w:bCs/>
                <w:color w:val="auto"/>
                <w:szCs w:val="21"/>
              </w:rPr>
              <w:t>服务类</w:t>
            </w:r>
          </w:p>
        </w:tc>
      </w:tr>
      <w:tr w14:paraId="2D9F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80137EA">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tcPr>
          <w:p w14:paraId="53F2252D">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招标方式</w:t>
            </w:r>
          </w:p>
        </w:tc>
        <w:tc>
          <w:tcPr>
            <w:tcW w:w="3191" w:type="pct"/>
            <w:vAlign w:val="center"/>
          </w:tcPr>
          <w:p w14:paraId="68E88EDB">
            <w:pPr>
              <w:widowControl w:val="0"/>
              <w:autoSpaceDE w:val="0"/>
              <w:autoSpaceDN w:val="0"/>
              <w:adjustRightInd w:val="0"/>
              <w:snapToGrid w:val="0"/>
              <w:ind w:firstLine="0" w:firstLineChars="0"/>
              <w:rPr>
                <w:rFonts w:ascii="宋体" w:hAnsi="宋体"/>
                <w:bCs/>
                <w:color w:val="auto"/>
                <w:szCs w:val="21"/>
              </w:rPr>
            </w:pPr>
            <w:r>
              <w:rPr>
                <w:rFonts w:hint="eastAsia" w:ascii="宋体" w:hAnsi="宋体"/>
                <w:color w:val="auto"/>
                <w:szCs w:val="21"/>
              </w:rPr>
              <w:t>☑公开招标□邀请招标</w:t>
            </w:r>
          </w:p>
        </w:tc>
      </w:tr>
      <w:tr w14:paraId="6406B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2BFC70D8">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tcPr>
          <w:p w14:paraId="35873C3C">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资格审查方式</w:t>
            </w:r>
          </w:p>
        </w:tc>
        <w:tc>
          <w:tcPr>
            <w:tcW w:w="3191" w:type="pct"/>
            <w:vAlign w:val="center"/>
          </w:tcPr>
          <w:p w14:paraId="4C6A1425">
            <w:pPr>
              <w:widowControl w:val="0"/>
              <w:autoSpaceDE w:val="0"/>
              <w:autoSpaceDN w:val="0"/>
              <w:adjustRightInd w:val="0"/>
              <w:snapToGrid w:val="0"/>
              <w:ind w:firstLine="0" w:firstLineChars="0"/>
              <w:rPr>
                <w:rFonts w:hint="eastAsia" w:ascii="宋体" w:hAnsi="宋体" w:eastAsia="宋体" w:cs="Segoe UI Symbol"/>
                <w:color w:val="auto"/>
                <w:szCs w:val="21"/>
                <w:lang w:eastAsia="zh-CN"/>
              </w:rPr>
            </w:pPr>
            <w:r>
              <w:rPr>
                <w:rFonts w:hint="eastAsia" w:ascii="宋体" w:hAnsi="宋体"/>
                <w:color w:val="auto"/>
                <w:szCs w:val="21"/>
              </w:rPr>
              <w:t>资格后审</w:t>
            </w:r>
          </w:p>
        </w:tc>
      </w:tr>
      <w:tr w14:paraId="2E0A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4EBB595D">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1BCCFFBF">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招标文件</w:t>
            </w:r>
          </w:p>
          <w:p w14:paraId="0F94C689">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获取方式</w:t>
            </w:r>
          </w:p>
        </w:tc>
        <w:tc>
          <w:tcPr>
            <w:tcW w:w="3191" w:type="pct"/>
            <w:vAlign w:val="center"/>
          </w:tcPr>
          <w:p w14:paraId="1406068E">
            <w:pPr>
              <w:widowControl w:val="0"/>
              <w:autoSpaceDE w:val="0"/>
              <w:autoSpaceDN w:val="0"/>
              <w:adjustRightInd w:val="0"/>
              <w:snapToGrid w:val="0"/>
              <w:ind w:firstLine="0" w:firstLineChars="0"/>
              <w:rPr>
                <w:rFonts w:ascii="Segoe UI Symbol" w:hAnsi="Segoe UI Symbol" w:cs="Segoe UI Symbol"/>
                <w:color w:val="auto"/>
                <w:szCs w:val="21"/>
              </w:rPr>
            </w:pPr>
            <w:r>
              <w:rPr>
                <w:rFonts w:hint="eastAsia" w:ascii="宋体" w:hAnsi="宋体"/>
                <w:color w:val="auto"/>
                <w:szCs w:val="21"/>
                <w:highlight w:val="none"/>
              </w:rPr>
              <w:t>阳光采购平台线上获取</w:t>
            </w:r>
          </w:p>
        </w:tc>
      </w:tr>
      <w:tr w14:paraId="07FE9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80" w:type="pct"/>
            <w:vMerge w:val="continue"/>
            <w:vAlign w:val="center"/>
          </w:tcPr>
          <w:p w14:paraId="4E8DCBC9">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27D9EB00">
            <w:pPr>
              <w:widowControl w:val="0"/>
              <w:autoSpaceDE w:val="0"/>
              <w:autoSpaceDN w:val="0"/>
              <w:adjustRightInd w:val="0"/>
              <w:snapToGrid w:val="0"/>
              <w:spacing w:line="240" w:lineRule="auto"/>
              <w:ind w:firstLine="0" w:firstLineChars="0"/>
              <w:jc w:val="center"/>
              <w:rPr>
                <w:rFonts w:ascii="宋体" w:hAnsi="宋体"/>
                <w:color w:val="auto"/>
                <w:kern w:val="0"/>
                <w:szCs w:val="21"/>
              </w:rPr>
            </w:pPr>
            <w:r>
              <w:rPr>
                <w:rFonts w:hint="eastAsia" w:ascii="宋体" w:hAnsi="宋体"/>
                <w:color w:val="auto"/>
                <w:kern w:val="0"/>
                <w:szCs w:val="21"/>
              </w:rPr>
              <w:t>招标文件</w:t>
            </w:r>
          </w:p>
          <w:p w14:paraId="2D43D50D">
            <w:pPr>
              <w:widowControl w:val="0"/>
              <w:autoSpaceDE w:val="0"/>
              <w:autoSpaceDN w:val="0"/>
              <w:adjustRightInd w:val="0"/>
              <w:snapToGrid w:val="0"/>
              <w:spacing w:line="240" w:lineRule="auto"/>
              <w:ind w:firstLine="0" w:firstLineChars="0"/>
              <w:jc w:val="center"/>
              <w:rPr>
                <w:rFonts w:ascii="宋体" w:hAnsi="宋体"/>
                <w:color w:val="auto"/>
                <w:szCs w:val="21"/>
              </w:rPr>
            </w:pPr>
            <w:r>
              <w:rPr>
                <w:rFonts w:ascii="宋体" w:hAnsi="宋体"/>
                <w:color w:val="auto"/>
                <w:kern w:val="0"/>
                <w:szCs w:val="21"/>
              </w:rPr>
              <w:t>获取时间</w:t>
            </w:r>
          </w:p>
        </w:tc>
        <w:tc>
          <w:tcPr>
            <w:tcW w:w="3191" w:type="pct"/>
            <w:vAlign w:val="center"/>
          </w:tcPr>
          <w:p w14:paraId="2B1605A7">
            <w:pPr>
              <w:widowControl w:val="0"/>
              <w:autoSpaceDE w:val="0"/>
              <w:autoSpaceDN w:val="0"/>
              <w:adjustRightInd w:val="0"/>
              <w:snapToGrid w:val="0"/>
              <w:spacing w:line="240" w:lineRule="auto"/>
              <w:ind w:firstLine="0" w:firstLineChars="0"/>
              <w:rPr>
                <w:rFonts w:ascii="宋体" w:hAnsi="宋体"/>
                <w:color w:val="auto"/>
                <w:szCs w:val="21"/>
              </w:rPr>
            </w:pPr>
            <w:r>
              <w:rPr>
                <w:rFonts w:hint="eastAsia" w:ascii="宋体" w:hAnsi="宋体"/>
                <w:color w:val="auto"/>
                <w:szCs w:val="21"/>
              </w:rPr>
              <w:t>详见招标公告</w:t>
            </w:r>
          </w:p>
        </w:tc>
      </w:tr>
      <w:tr w14:paraId="6B47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76B5AE27">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02D7068C">
            <w:pPr>
              <w:widowControl w:val="0"/>
              <w:autoSpaceDE w:val="0"/>
              <w:autoSpaceDN w:val="0"/>
              <w:adjustRightInd w:val="0"/>
              <w:snapToGrid w:val="0"/>
              <w:spacing w:line="240" w:lineRule="auto"/>
              <w:ind w:firstLine="0" w:firstLineChars="0"/>
              <w:jc w:val="center"/>
              <w:rPr>
                <w:rFonts w:ascii="宋体" w:hAnsi="宋体"/>
                <w:color w:val="auto"/>
                <w:kern w:val="0"/>
                <w:szCs w:val="21"/>
              </w:rPr>
            </w:pPr>
            <w:r>
              <w:rPr>
                <w:rFonts w:hint="eastAsia" w:ascii="宋体" w:hAnsi="宋体"/>
                <w:color w:val="auto"/>
                <w:kern w:val="0"/>
                <w:szCs w:val="21"/>
              </w:rPr>
              <w:t>是否需要提交</w:t>
            </w:r>
          </w:p>
          <w:p w14:paraId="15D1E36A">
            <w:pPr>
              <w:widowControl w:val="0"/>
              <w:autoSpaceDE w:val="0"/>
              <w:autoSpaceDN w:val="0"/>
              <w:adjustRightInd w:val="0"/>
              <w:snapToGrid w:val="0"/>
              <w:spacing w:line="240" w:lineRule="auto"/>
              <w:ind w:firstLine="0" w:firstLineChars="0"/>
              <w:jc w:val="center"/>
              <w:rPr>
                <w:rFonts w:ascii="宋体" w:hAnsi="宋体"/>
                <w:color w:val="auto"/>
                <w:kern w:val="0"/>
                <w:szCs w:val="21"/>
              </w:rPr>
            </w:pPr>
            <w:r>
              <w:rPr>
                <w:rFonts w:hint="eastAsia" w:ascii="宋体" w:hAnsi="宋体"/>
                <w:color w:val="auto"/>
                <w:kern w:val="0"/>
                <w:szCs w:val="21"/>
              </w:rPr>
              <w:t>报名资料</w:t>
            </w:r>
          </w:p>
        </w:tc>
        <w:tc>
          <w:tcPr>
            <w:tcW w:w="3191" w:type="pct"/>
            <w:vAlign w:val="center"/>
          </w:tcPr>
          <w:p w14:paraId="434526E1">
            <w:pPr>
              <w:widowControl w:val="0"/>
              <w:autoSpaceDE w:val="0"/>
              <w:autoSpaceDN w:val="0"/>
              <w:adjustRightInd w:val="0"/>
              <w:snapToGrid w:val="0"/>
              <w:spacing w:line="240" w:lineRule="auto"/>
              <w:ind w:firstLine="0" w:firstLineChars="0"/>
              <w:rPr>
                <w:rFonts w:hint="eastAsia" w:ascii="宋体" w:hAnsi="宋体"/>
                <w:color w:val="auto"/>
                <w:szCs w:val="21"/>
                <w:highlight w:val="none"/>
              </w:rPr>
            </w:pPr>
            <w:r>
              <w:rPr>
                <w:rFonts w:hint="eastAsia" w:ascii="宋体" w:hAnsi="宋体"/>
                <w:b/>
                <w:bCs/>
                <w:color w:val="auto"/>
                <w:szCs w:val="21"/>
                <w:highlight w:val="none"/>
              </w:rPr>
              <w:t>☑是</w:t>
            </w:r>
            <w:r>
              <w:rPr>
                <w:rFonts w:hint="eastAsia" w:ascii="宋体" w:hAnsi="宋体"/>
                <w:color w:val="auto"/>
                <w:szCs w:val="21"/>
                <w:highlight w:val="none"/>
              </w:rPr>
              <w:t xml:space="preserve"> □</w:t>
            </w:r>
            <w:r>
              <w:rPr>
                <w:rFonts w:ascii="宋体" w:hAnsi="宋体"/>
                <w:color w:val="auto"/>
                <w:szCs w:val="21"/>
                <w:highlight w:val="none"/>
              </w:rPr>
              <w:t>否</w:t>
            </w:r>
          </w:p>
          <w:p w14:paraId="449BA5C1">
            <w:pPr>
              <w:widowControl w:val="0"/>
              <w:autoSpaceDE w:val="0"/>
              <w:autoSpaceDN w:val="0"/>
              <w:adjustRightInd w:val="0"/>
              <w:snapToGrid w:val="0"/>
              <w:spacing w:line="240" w:lineRule="auto"/>
              <w:ind w:firstLine="0" w:firstLineChars="0"/>
              <w:jc w:val="left"/>
              <w:rPr>
                <w:rFonts w:hint="eastAsia" w:ascii="宋体" w:hAnsi="宋体" w:eastAsia="宋体"/>
                <w:color w:val="auto"/>
                <w:szCs w:val="21"/>
                <w:highlight w:val="none"/>
                <w:lang w:eastAsia="zh-CN"/>
              </w:rPr>
            </w:pPr>
            <w:r>
              <w:rPr>
                <w:rFonts w:hint="eastAsia" w:ascii="宋体" w:hAnsi="宋体"/>
                <w:b/>
                <w:bCs/>
                <w:color w:val="auto"/>
                <w:szCs w:val="21"/>
                <w:highlight w:val="none"/>
                <w:shd w:val="clear"/>
                <w:lang w:val="en-US" w:eastAsia="zh-CN"/>
              </w:rPr>
              <w:t>请投标人于2026年7月2日（星期四）前18：00发</w:t>
            </w:r>
            <w:r>
              <w:rPr>
                <w:rFonts w:hint="eastAsia" w:ascii="宋体" w:hAnsi="宋体"/>
                <w:b/>
                <w:bCs/>
                <w:color w:val="auto"/>
                <w:szCs w:val="21"/>
                <w:highlight w:val="none"/>
                <w:lang w:val="en-US" w:eastAsia="zh-CN"/>
              </w:rPr>
              <w:t>送报名资料至招标人邮箱，邮箱地址为</w:t>
            </w:r>
            <w:r>
              <w:rPr>
                <w:rFonts w:hint="eastAsia" w:ascii="宋体" w:hAnsi="宋体"/>
                <w:b/>
                <w:bCs/>
                <w:color w:val="auto"/>
                <w:szCs w:val="21"/>
                <w:highlight w:val="none"/>
              </w:rPr>
              <w:fldChar w:fldCharType="begin"/>
            </w:r>
            <w:r>
              <w:rPr>
                <w:rFonts w:hint="eastAsia" w:ascii="宋体" w:hAnsi="宋体"/>
                <w:b/>
                <w:bCs/>
                <w:color w:val="auto"/>
                <w:szCs w:val="21"/>
                <w:highlight w:val="none"/>
              </w:rPr>
              <w:instrText xml:space="preserve"> HYPERLINK "mailto:lemanli@szsc.sihc.com.cn" </w:instrText>
            </w:r>
            <w:r>
              <w:rPr>
                <w:rFonts w:hint="eastAsia" w:ascii="宋体" w:hAnsi="宋体"/>
                <w:b/>
                <w:bCs/>
                <w:color w:val="auto"/>
                <w:szCs w:val="21"/>
                <w:highlight w:val="none"/>
              </w:rPr>
              <w:fldChar w:fldCharType="separate"/>
            </w:r>
            <w:r>
              <w:rPr>
                <w:rStyle w:val="58"/>
                <w:rFonts w:hint="eastAsia" w:ascii="宋体" w:hAnsi="宋体"/>
                <w:b/>
                <w:bCs/>
                <w:color w:val="auto"/>
                <w:szCs w:val="21"/>
                <w:highlight w:val="none"/>
                <w:lang w:val="en-US" w:eastAsia="zh-CN"/>
              </w:rPr>
              <w:t>yangjiaxin</w:t>
            </w:r>
            <w:r>
              <w:rPr>
                <w:rStyle w:val="58"/>
                <w:rFonts w:hint="eastAsia" w:ascii="宋体" w:hAnsi="宋体"/>
                <w:b/>
                <w:bCs/>
                <w:color w:val="auto"/>
                <w:szCs w:val="21"/>
                <w:highlight w:val="none"/>
              </w:rPr>
              <w:t>@szsc.sihc.com.cn</w:t>
            </w:r>
            <w:r>
              <w:rPr>
                <w:rFonts w:hint="eastAsia" w:ascii="宋体" w:hAnsi="宋体"/>
                <w:b/>
                <w:bCs/>
                <w:color w:val="auto"/>
                <w:szCs w:val="21"/>
                <w:highlight w:val="none"/>
              </w:rPr>
              <w:fldChar w:fldCharType="end"/>
            </w:r>
            <w:r>
              <w:rPr>
                <w:rFonts w:hint="eastAsia" w:ascii="宋体" w:hAnsi="宋体"/>
                <w:b/>
                <w:bCs/>
                <w:color w:val="auto"/>
                <w:szCs w:val="21"/>
                <w:highlight w:val="none"/>
                <w:lang w:eastAsia="zh-CN"/>
              </w:rPr>
              <w:t>。</w:t>
            </w:r>
          </w:p>
          <w:p w14:paraId="590C0BC3">
            <w:pPr>
              <w:widowControl w:val="0"/>
              <w:autoSpaceDE w:val="0"/>
              <w:autoSpaceDN w:val="0"/>
              <w:adjustRightInd w:val="0"/>
              <w:snapToGrid w:val="0"/>
              <w:spacing w:line="24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报名资料包括以下文件：</w:t>
            </w:r>
          </w:p>
          <w:p w14:paraId="273688F9">
            <w:pPr>
              <w:widowControl w:val="0"/>
              <w:numPr>
                <w:ilvl w:val="0"/>
                <w:numId w:val="0"/>
              </w:numPr>
              <w:autoSpaceDE w:val="0"/>
              <w:autoSpaceDN w:val="0"/>
              <w:adjustRightInd w:val="0"/>
              <w:snapToGrid w:val="0"/>
              <w:spacing w:line="240" w:lineRule="auto"/>
              <w:ind w:firstLine="0" w:firstLineChars="0"/>
              <w:jc w:val="left"/>
              <w:rPr>
                <w:rFonts w:hint="default" w:ascii="宋体" w:hAnsi="宋体"/>
                <w:color w:val="auto"/>
                <w:szCs w:val="21"/>
                <w:highlight w:val="none"/>
                <w:lang w:val="en-US" w:eastAsia="zh-CN"/>
              </w:rPr>
            </w:pPr>
            <w:r>
              <w:rPr>
                <w:rFonts w:hint="eastAsia" w:ascii="宋体" w:hAnsi="宋体" w:eastAsia="宋体" w:cs="Times New Roman"/>
                <w:color w:val="auto"/>
                <w:kern w:val="2"/>
                <w:sz w:val="21"/>
                <w:szCs w:val="21"/>
                <w:highlight w:val="none"/>
                <w:lang w:val="en-US" w:eastAsia="zh-CN" w:bidi="ar-SA"/>
              </w:rPr>
              <w:t>1.</w:t>
            </w:r>
            <w:r>
              <w:rPr>
                <w:rFonts w:hint="eastAsia" w:ascii="宋体" w:hAnsi="宋体"/>
                <w:color w:val="auto"/>
                <w:szCs w:val="21"/>
                <w:highlight w:val="none"/>
                <w:lang w:val="en-US" w:eastAsia="zh-CN"/>
              </w:rPr>
              <w:t>营业执照扫描件；</w:t>
            </w:r>
          </w:p>
          <w:p w14:paraId="0891DB1E">
            <w:pPr>
              <w:widowControl w:val="0"/>
              <w:numPr>
                <w:ilvl w:val="0"/>
                <w:numId w:val="0"/>
              </w:numPr>
              <w:autoSpaceDE w:val="0"/>
              <w:autoSpaceDN w:val="0"/>
              <w:adjustRightInd w:val="0"/>
              <w:snapToGrid w:val="0"/>
              <w:spacing w:line="240" w:lineRule="auto"/>
              <w:ind w:firstLine="0" w:firstLineChars="0"/>
              <w:jc w:val="left"/>
              <w:rPr>
                <w:rFonts w:hint="default" w:ascii="宋体" w:hAnsi="宋体"/>
                <w:color w:val="auto"/>
                <w:szCs w:val="21"/>
                <w:highlight w:val="none"/>
                <w:lang w:val="en-US" w:eastAsia="zh-CN"/>
              </w:rPr>
            </w:pPr>
            <w:r>
              <w:rPr>
                <w:rFonts w:hint="default" w:ascii="宋体" w:hAnsi="宋体" w:eastAsia="宋体" w:cs="Times New Roman"/>
                <w:color w:val="auto"/>
                <w:kern w:val="2"/>
                <w:sz w:val="21"/>
                <w:szCs w:val="21"/>
                <w:highlight w:val="none"/>
                <w:lang w:val="en-US" w:eastAsia="zh-CN" w:bidi="ar-SA"/>
              </w:rPr>
              <w:t>2.</w:t>
            </w:r>
            <w:r>
              <w:rPr>
                <w:rFonts w:hint="eastAsia" w:ascii="宋体" w:hAnsi="宋体"/>
                <w:color w:val="auto"/>
                <w:szCs w:val="21"/>
                <w:highlight w:val="none"/>
                <w:lang w:val="en-US" w:eastAsia="zh-CN"/>
              </w:rPr>
              <w:t>法定代表人资格证明书；</w:t>
            </w:r>
          </w:p>
          <w:p w14:paraId="7914BA06">
            <w:pPr>
              <w:widowControl w:val="0"/>
              <w:numPr>
                <w:ilvl w:val="0"/>
                <w:numId w:val="0"/>
              </w:numPr>
              <w:autoSpaceDE w:val="0"/>
              <w:autoSpaceDN w:val="0"/>
              <w:adjustRightInd w:val="0"/>
              <w:snapToGrid w:val="0"/>
              <w:spacing w:line="240" w:lineRule="auto"/>
              <w:ind w:firstLine="0" w:firstLineChars="0"/>
              <w:jc w:val="left"/>
              <w:rPr>
                <w:rFonts w:hint="eastAsia" w:ascii="宋体" w:hAnsi="宋体"/>
                <w:color w:val="auto"/>
                <w:szCs w:val="21"/>
                <w:highlight w:val="none"/>
                <w:lang w:val="en-US" w:eastAsia="zh-CN"/>
              </w:rPr>
            </w:pPr>
            <w:r>
              <w:rPr>
                <w:rFonts w:hint="default" w:ascii="宋体" w:hAnsi="宋体" w:eastAsia="宋体" w:cs="Times New Roman"/>
                <w:color w:val="auto"/>
                <w:kern w:val="2"/>
                <w:sz w:val="21"/>
                <w:szCs w:val="21"/>
                <w:highlight w:val="none"/>
                <w:lang w:val="en-US" w:eastAsia="zh-CN" w:bidi="ar-SA"/>
              </w:rPr>
              <w:t>3.</w:t>
            </w:r>
            <w:r>
              <w:rPr>
                <w:rFonts w:hint="eastAsia" w:ascii="宋体" w:hAnsi="宋体"/>
                <w:color w:val="auto"/>
                <w:szCs w:val="21"/>
                <w:highlight w:val="none"/>
                <w:lang w:val="en-US" w:eastAsia="zh-CN"/>
              </w:rPr>
              <w:t>法定代表人授权委托书；</w:t>
            </w:r>
          </w:p>
          <w:p w14:paraId="084A1631">
            <w:pPr>
              <w:widowControl w:val="0"/>
              <w:numPr>
                <w:ilvl w:val="0"/>
                <w:numId w:val="0"/>
              </w:numPr>
              <w:autoSpaceDE w:val="0"/>
              <w:autoSpaceDN w:val="0"/>
              <w:adjustRightInd w:val="0"/>
              <w:snapToGrid w:val="0"/>
              <w:spacing w:line="240" w:lineRule="auto"/>
              <w:ind w:firstLine="0" w:firstLineChars="0"/>
              <w:jc w:val="lef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4.项目联系人及联系方式（含联系电话及邮箱）。</w:t>
            </w:r>
          </w:p>
          <w:p w14:paraId="0433792E">
            <w:pPr>
              <w:pStyle w:val="51"/>
              <w:ind w:left="0" w:leftChars="0" w:firstLine="0" w:firstLineChars="0"/>
              <w:rPr>
                <w:rFonts w:hint="eastAsia"/>
                <w:color w:val="auto"/>
                <w:sz w:val="24"/>
                <w:szCs w:val="32"/>
                <w:highlight w:val="none"/>
                <w:lang w:val="en-US" w:eastAsia="zh-CN"/>
              </w:rPr>
            </w:pPr>
            <w:r>
              <w:rPr>
                <w:rFonts w:hint="eastAsia" w:ascii="宋体" w:hAnsi="宋体"/>
                <w:b/>
                <w:bCs/>
                <w:color w:val="auto"/>
                <w:sz w:val="24"/>
                <w:szCs w:val="24"/>
                <w:highlight w:val="none"/>
                <w:lang w:val="en-US" w:eastAsia="zh-CN"/>
              </w:rPr>
              <w:t>（以上文件均需要加盖企业公章。）</w:t>
            </w:r>
          </w:p>
          <w:p w14:paraId="66C229A6">
            <w:pPr>
              <w:widowControl w:val="0"/>
              <w:autoSpaceDE w:val="0"/>
              <w:autoSpaceDN w:val="0"/>
              <w:adjustRightInd w:val="0"/>
              <w:snapToGrid w:val="0"/>
              <w:spacing w:line="240" w:lineRule="auto"/>
              <w:ind w:firstLine="0" w:firstLineChars="0"/>
              <w:rPr>
                <w:rFonts w:ascii="宋体" w:hAnsi="宋体"/>
                <w:color w:val="auto"/>
                <w:kern w:val="0"/>
                <w:szCs w:val="21"/>
                <w:u w:val="single"/>
                <w:shd w:val="clear" w:color="auto" w:fill="FFFFFF"/>
              </w:rPr>
            </w:pPr>
            <w:r>
              <w:rPr>
                <w:rFonts w:hint="eastAsia" w:ascii="宋体" w:hAnsi="宋体"/>
                <w:b/>
                <w:bCs/>
                <w:color w:val="auto"/>
                <w:kern w:val="0"/>
                <w:sz w:val="24"/>
                <w:szCs w:val="24"/>
                <w:highlight w:val="none"/>
                <w:u w:val="single"/>
                <w:shd w:val="clear" w:color="auto" w:fill="FFFFFF"/>
                <w:lang w:val="en-US" w:eastAsia="zh-CN"/>
              </w:rPr>
              <w:t>特别注意：意向投标人未在规定时间内发送邮件报名，投标文件将不予以受理。邮件发送成功视为报名成功。</w:t>
            </w:r>
          </w:p>
        </w:tc>
      </w:tr>
      <w:tr w14:paraId="07F0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5AD30309">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3C39866D">
            <w:pPr>
              <w:widowControl w:val="0"/>
              <w:autoSpaceDE w:val="0"/>
              <w:autoSpaceDN w:val="0"/>
              <w:adjustRightInd w:val="0"/>
              <w:snapToGrid w:val="0"/>
              <w:ind w:firstLine="0" w:firstLineChars="0"/>
              <w:jc w:val="center"/>
              <w:rPr>
                <w:rFonts w:ascii="宋体" w:hAnsi="宋体"/>
                <w:color w:val="auto"/>
                <w:szCs w:val="21"/>
                <w:shd w:val="clear" w:color="auto" w:fill="FFFFFF"/>
              </w:rPr>
            </w:pPr>
            <w:r>
              <w:rPr>
                <w:rFonts w:hint="eastAsia" w:ascii="宋体" w:hAnsi="宋体"/>
                <w:color w:val="auto"/>
                <w:szCs w:val="21"/>
                <w:shd w:val="clear" w:color="auto" w:fill="FFFFFF"/>
              </w:rPr>
              <w:t>投标人提出</w:t>
            </w:r>
          </w:p>
          <w:p w14:paraId="59A94974">
            <w:pPr>
              <w:widowControl w:val="0"/>
              <w:autoSpaceDE w:val="0"/>
              <w:autoSpaceDN w:val="0"/>
              <w:adjustRightInd w:val="0"/>
              <w:snapToGrid w:val="0"/>
              <w:ind w:firstLine="0" w:firstLineChars="0"/>
              <w:jc w:val="center"/>
              <w:rPr>
                <w:rFonts w:ascii="宋体" w:hAnsi="宋体"/>
                <w:color w:val="auto"/>
                <w:szCs w:val="21"/>
                <w:shd w:val="clear" w:color="auto" w:fill="FFFFFF"/>
              </w:rPr>
            </w:pPr>
            <w:r>
              <w:rPr>
                <w:rFonts w:hint="eastAsia" w:ascii="宋体" w:hAnsi="宋体"/>
                <w:color w:val="auto"/>
                <w:szCs w:val="21"/>
                <w:shd w:val="clear" w:color="auto" w:fill="FFFFFF"/>
              </w:rPr>
              <w:t>质疑截止时间</w:t>
            </w:r>
          </w:p>
        </w:tc>
        <w:tc>
          <w:tcPr>
            <w:tcW w:w="3191" w:type="pct"/>
            <w:vAlign w:val="center"/>
          </w:tcPr>
          <w:p w14:paraId="5327803B">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详见招标公告</w:t>
            </w:r>
          </w:p>
        </w:tc>
      </w:tr>
      <w:tr w14:paraId="7CBE6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80" w:type="pct"/>
            <w:vAlign w:val="center"/>
          </w:tcPr>
          <w:p w14:paraId="1437E784">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73CB4A8C">
            <w:pPr>
              <w:widowControl w:val="0"/>
              <w:autoSpaceDE w:val="0"/>
              <w:autoSpaceDN w:val="0"/>
              <w:adjustRightInd w:val="0"/>
              <w:snapToGrid w:val="0"/>
              <w:spacing w:line="240" w:lineRule="auto"/>
              <w:ind w:firstLine="0" w:firstLineChars="0"/>
              <w:jc w:val="center"/>
              <w:rPr>
                <w:rFonts w:ascii="宋体" w:hAnsi="宋体"/>
                <w:color w:val="auto"/>
                <w:szCs w:val="21"/>
                <w:shd w:val="clear" w:color="auto" w:fill="FFFFFF"/>
              </w:rPr>
            </w:pPr>
            <w:r>
              <w:rPr>
                <w:rFonts w:hint="eastAsia" w:ascii="宋体" w:hAnsi="宋体" w:cs="宋体"/>
                <w:color w:val="auto"/>
                <w:szCs w:val="21"/>
                <w:shd w:val="clear" w:color="auto" w:fill="FFFFFF"/>
              </w:rPr>
              <w:t>招标人澄清、修改、</w:t>
            </w:r>
            <w:r>
              <w:rPr>
                <w:rFonts w:ascii="宋体" w:hAnsi="宋体" w:cs="宋体"/>
                <w:color w:val="auto"/>
                <w:szCs w:val="21"/>
                <w:shd w:val="clear" w:color="auto" w:fill="FFFFFF"/>
              </w:rPr>
              <w:t>答疑</w:t>
            </w:r>
            <w:r>
              <w:rPr>
                <w:rFonts w:hint="eastAsia" w:ascii="宋体" w:hAnsi="宋体" w:cs="宋体"/>
                <w:color w:val="auto"/>
                <w:szCs w:val="21"/>
                <w:shd w:val="clear" w:color="auto" w:fill="FFFFFF"/>
              </w:rPr>
              <w:t>截止时间</w:t>
            </w:r>
          </w:p>
        </w:tc>
        <w:tc>
          <w:tcPr>
            <w:tcW w:w="3191" w:type="pct"/>
            <w:vAlign w:val="center"/>
          </w:tcPr>
          <w:p w14:paraId="71F979CF">
            <w:pPr>
              <w:widowControl w:val="0"/>
              <w:autoSpaceDE w:val="0"/>
              <w:autoSpaceDN w:val="0"/>
              <w:adjustRightInd w:val="0"/>
              <w:snapToGrid w:val="0"/>
              <w:spacing w:line="240" w:lineRule="auto"/>
              <w:ind w:firstLine="0" w:firstLineChars="0"/>
              <w:rPr>
                <w:rFonts w:ascii="宋体" w:hAnsi="宋体"/>
                <w:color w:val="auto"/>
                <w:szCs w:val="21"/>
              </w:rPr>
            </w:pPr>
            <w:r>
              <w:rPr>
                <w:rFonts w:hint="eastAsia" w:ascii="宋体" w:hAnsi="宋体"/>
                <w:color w:val="auto"/>
                <w:szCs w:val="21"/>
              </w:rPr>
              <w:t>详见招标公告</w:t>
            </w:r>
          </w:p>
        </w:tc>
      </w:tr>
      <w:tr w14:paraId="3EE5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37C12A72">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3D018956">
            <w:pPr>
              <w:widowControl w:val="0"/>
              <w:autoSpaceDE w:val="0"/>
              <w:autoSpaceDN w:val="0"/>
              <w:adjustRightInd w:val="0"/>
              <w:snapToGrid w:val="0"/>
              <w:ind w:firstLine="0" w:firstLineChars="0"/>
              <w:jc w:val="center"/>
              <w:rPr>
                <w:rFonts w:ascii="宋体" w:hAnsi="宋体"/>
                <w:color w:val="auto"/>
                <w:szCs w:val="21"/>
                <w:shd w:val="clear" w:color="auto" w:fill="FFFFFF"/>
              </w:rPr>
            </w:pPr>
            <w:r>
              <w:rPr>
                <w:rFonts w:ascii="宋体" w:hAnsi="宋体"/>
                <w:color w:val="auto"/>
                <w:szCs w:val="21"/>
                <w:shd w:val="clear" w:color="auto" w:fill="FFFFFF"/>
              </w:rPr>
              <w:t>投标截止时间</w:t>
            </w:r>
          </w:p>
        </w:tc>
        <w:tc>
          <w:tcPr>
            <w:tcW w:w="3191" w:type="pct"/>
            <w:vAlign w:val="center"/>
          </w:tcPr>
          <w:p w14:paraId="722C196A">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详见招标公告</w:t>
            </w:r>
          </w:p>
        </w:tc>
      </w:tr>
      <w:tr w14:paraId="23444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1C009E36">
            <w:pPr>
              <w:widowControl w:val="0"/>
              <w:autoSpaceDE w:val="0"/>
              <w:autoSpaceDN w:val="0"/>
              <w:adjustRightInd w:val="0"/>
              <w:snapToGrid w:val="0"/>
              <w:ind w:firstLineChars="0"/>
              <w:jc w:val="center"/>
              <w:rPr>
                <w:rFonts w:ascii="宋体" w:hAnsi="宋体"/>
                <w:bCs/>
                <w:color w:val="auto"/>
                <w:szCs w:val="21"/>
              </w:rPr>
            </w:pPr>
          </w:p>
        </w:tc>
        <w:tc>
          <w:tcPr>
            <w:tcW w:w="1227" w:type="pct"/>
            <w:vAlign w:val="center"/>
          </w:tcPr>
          <w:p w14:paraId="295E6681">
            <w:pPr>
              <w:widowControl w:val="0"/>
              <w:autoSpaceDE w:val="0"/>
              <w:autoSpaceDN w:val="0"/>
              <w:adjustRightInd w:val="0"/>
              <w:snapToGrid w:val="0"/>
              <w:ind w:firstLine="0" w:firstLineChars="0"/>
              <w:jc w:val="center"/>
              <w:rPr>
                <w:rFonts w:ascii="宋体" w:hAnsi="宋体"/>
                <w:color w:val="auto"/>
                <w:szCs w:val="21"/>
                <w:shd w:val="clear" w:color="auto" w:fill="FFFFFF"/>
              </w:rPr>
            </w:pPr>
            <w:r>
              <w:rPr>
                <w:rFonts w:hint="eastAsia" w:ascii="宋体" w:hAnsi="宋体"/>
                <w:color w:val="auto"/>
                <w:szCs w:val="21"/>
                <w:shd w:val="clear" w:color="auto" w:fill="FFFFFF"/>
              </w:rPr>
              <w:t>开标时间</w:t>
            </w:r>
          </w:p>
        </w:tc>
        <w:tc>
          <w:tcPr>
            <w:tcW w:w="3191" w:type="pct"/>
            <w:vAlign w:val="center"/>
          </w:tcPr>
          <w:p w14:paraId="23D2A44E">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详见招标公告</w:t>
            </w:r>
          </w:p>
        </w:tc>
      </w:tr>
      <w:tr w14:paraId="5074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2D24E765">
            <w:pPr>
              <w:widowControl w:val="0"/>
              <w:autoSpaceDE w:val="0"/>
              <w:autoSpaceDN w:val="0"/>
              <w:adjustRightInd w:val="0"/>
              <w:snapToGrid w:val="0"/>
              <w:ind w:firstLineChars="0"/>
              <w:jc w:val="center"/>
              <w:rPr>
                <w:rFonts w:ascii="宋体" w:hAnsi="宋体"/>
                <w:bCs/>
                <w:color w:val="auto"/>
                <w:szCs w:val="21"/>
              </w:rPr>
            </w:pPr>
          </w:p>
        </w:tc>
        <w:tc>
          <w:tcPr>
            <w:tcW w:w="1227" w:type="pct"/>
            <w:vAlign w:val="center"/>
          </w:tcPr>
          <w:p w14:paraId="067FD641">
            <w:pPr>
              <w:widowControl w:val="0"/>
              <w:autoSpaceDE w:val="0"/>
              <w:autoSpaceDN w:val="0"/>
              <w:adjustRightInd w:val="0"/>
              <w:snapToGrid w:val="0"/>
              <w:ind w:firstLine="0" w:firstLineChars="0"/>
              <w:jc w:val="center"/>
              <w:rPr>
                <w:rFonts w:ascii="宋体" w:hAnsi="宋体"/>
                <w:color w:val="auto"/>
              </w:rPr>
            </w:pPr>
            <w:r>
              <w:rPr>
                <w:rFonts w:hint="eastAsia" w:ascii="宋体" w:hAnsi="宋体"/>
                <w:color w:val="auto"/>
              </w:rPr>
              <w:t>投标文件</w:t>
            </w:r>
          </w:p>
          <w:p w14:paraId="365359A6">
            <w:pPr>
              <w:widowControl w:val="0"/>
              <w:autoSpaceDE w:val="0"/>
              <w:autoSpaceDN w:val="0"/>
              <w:adjustRightInd w:val="0"/>
              <w:snapToGrid w:val="0"/>
              <w:ind w:firstLine="0" w:firstLineChars="0"/>
              <w:jc w:val="center"/>
              <w:rPr>
                <w:rFonts w:ascii="宋体" w:hAnsi="宋体"/>
                <w:color w:val="auto"/>
                <w:shd w:val="clear" w:color="auto" w:fill="FFFFFF"/>
              </w:rPr>
            </w:pPr>
            <w:r>
              <w:rPr>
                <w:rFonts w:hint="eastAsia" w:ascii="宋体" w:hAnsi="宋体"/>
                <w:color w:val="auto"/>
              </w:rPr>
              <w:t>递交地点</w:t>
            </w:r>
          </w:p>
        </w:tc>
        <w:tc>
          <w:tcPr>
            <w:tcW w:w="3191" w:type="pct"/>
            <w:vAlign w:val="center"/>
          </w:tcPr>
          <w:p w14:paraId="714D322E">
            <w:pPr>
              <w:widowControl w:val="0"/>
              <w:autoSpaceDE w:val="0"/>
              <w:autoSpaceDN w:val="0"/>
              <w:adjustRightInd w:val="0"/>
              <w:snapToGrid w:val="0"/>
              <w:ind w:firstLine="0" w:firstLineChars="0"/>
              <w:rPr>
                <w:rFonts w:ascii="宋体" w:hAnsi="宋体"/>
                <w:color w:val="auto"/>
                <w:kern w:val="0"/>
                <w:szCs w:val="21"/>
                <w:highlight w:val="none"/>
                <w:u w:val="single"/>
                <w:shd w:val="clear" w:color="auto" w:fill="FFFFFF"/>
              </w:rPr>
            </w:pPr>
            <w:r>
              <w:rPr>
                <w:rFonts w:hint="eastAsia" w:ascii="宋体" w:hAnsi="宋体"/>
                <w:color w:val="auto"/>
                <w:szCs w:val="21"/>
                <w:highlight w:val="none"/>
              </w:rPr>
              <w:t>☑纸质投标文件递交地点：深圳市福田区笋岗西路2006号市体育中心体育场S11</w:t>
            </w:r>
            <w:r>
              <w:rPr>
                <w:rFonts w:hint="eastAsia" w:ascii="宋体" w:hAnsi="宋体"/>
                <w:color w:val="auto"/>
                <w:szCs w:val="21"/>
                <w:highlight w:val="none"/>
                <w:lang w:val="en-US" w:eastAsia="zh-CN"/>
              </w:rPr>
              <w:t>办公室</w:t>
            </w:r>
          </w:p>
        </w:tc>
      </w:tr>
      <w:tr w14:paraId="331A1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41CE38E4">
            <w:pPr>
              <w:widowControl w:val="0"/>
              <w:autoSpaceDE w:val="0"/>
              <w:autoSpaceDN w:val="0"/>
              <w:adjustRightInd w:val="0"/>
              <w:snapToGrid w:val="0"/>
              <w:ind w:firstLineChars="0"/>
              <w:jc w:val="center"/>
              <w:rPr>
                <w:rFonts w:ascii="宋体" w:hAnsi="宋体"/>
                <w:bCs/>
                <w:color w:val="auto"/>
                <w:szCs w:val="21"/>
              </w:rPr>
            </w:pPr>
          </w:p>
        </w:tc>
        <w:tc>
          <w:tcPr>
            <w:tcW w:w="1227" w:type="pct"/>
            <w:vAlign w:val="center"/>
          </w:tcPr>
          <w:p w14:paraId="37109E38">
            <w:pPr>
              <w:widowControl w:val="0"/>
              <w:autoSpaceDE w:val="0"/>
              <w:autoSpaceDN w:val="0"/>
              <w:adjustRightInd w:val="0"/>
              <w:snapToGrid w:val="0"/>
              <w:ind w:firstLine="0" w:firstLineChars="0"/>
              <w:jc w:val="center"/>
              <w:rPr>
                <w:rFonts w:ascii="宋体" w:hAnsi="宋体"/>
                <w:color w:val="auto"/>
              </w:rPr>
            </w:pPr>
            <w:r>
              <w:rPr>
                <w:rFonts w:hint="eastAsia" w:ascii="宋体" w:hAnsi="宋体"/>
                <w:color w:val="auto"/>
              </w:rPr>
              <w:t>开标地点</w:t>
            </w:r>
          </w:p>
        </w:tc>
        <w:tc>
          <w:tcPr>
            <w:tcW w:w="3191" w:type="pct"/>
            <w:vAlign w:val="center"/>
          </w:tcPr>
          <w:p w14:paraId="55501996">
            <w:pPr>
              <w:widowControl w:val="0"/>
              <w:autoSpaceDE w:val="0"/>
              <w:autoSpaceDN w:val="0"/>
              <w:adjustRightInd w:val="0"/>
              <w:snapToGrid w:val="0"/>
              <w:ind w:firstLine="0" w:firstLineChars="0"/>
              <w:rPr>
                <w:rFonts w:ascii="Segoe UI Symbol" w:hAnsi="Segoe UI Symbol" w:cs="Segoe UI Symbol"/>
                <w:color w:val="auto"/>
                <w:kern w:val="0"/>
                <w:szCs w:val="21"/>
                <w:highlight w:val="none"/>
              </w:rPr>
            </w:pPr>
            <w:r>
              <w:rPr>
                <w:rFonts w:hint="eastAsia" w:ascii="宋体" w:hAnsi="宋体"/>
                <w:color w:val="auto"/>
                <w:szCs w:val="21"/>
                <w:highlight w:val="none"/>
              </w:rPr>
              <w:t>☑</w:t>
            </w:r>
            <w:r>
              <w:rPr>
                <w:rFonts w:hint="eastAsia" w:ascii="宋体" w:hAnsi="宋体"/>
                <w:color w:val="auto"/>
                <w:kern w:val="0"/>
                <w:szCs w:val="21"/>
                <w:highlight w:val="none"/>
              </w:rPr>
              <w:t>进行现场开标，地址：</w:t>
            </w:r>
            <w:r>
              <w:rPr>
                <w:rFonts w:hint="eastAsia" w:ascii="宋体" w:hAnsi="宋体"/>
                <w:color w:val="auto"/>
                <w:szCs w:val="21"/>
                <w:highlight w:val="none"/>
              </w:rPr>
              <w:t>深圳市福田区笋岗西路2006号市体育中心体育场S11</w:t>
            </w:r>
            <w:r>
              <w:rPr>
                <w:rFonts w:hint="eastAsia" w:ascii="宋体" w:hAnsi="宋体"/>
                <w:color w:val="auto"/>
                <w:szCs w:val="21"/>
                <w:highlight w:val="none"/>
                <w:lang w:val="en-US" w:eastAsia="zh-CN"/>
              </w:rPr>
              <w:t>办公室</w:t>
            </w:r>
          </w:p>
        </w:tc>
      </w:tr>
      <w:tr w14:paraId="10FC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8D119BA">
            <w:pPr>
              <w:widowControl w:val="0"/>
              <w:autoSpaceDE w:val="0"/>
              <w:autoSpaceDN w:val="0"/>
              <w:adjustRightInd w:val="0"/>
              <w:snapToGrid w:val="0"/>
              <w:ind w:firstLineChars="0"/>
              <w:jc w:val="center"/>
              <w:rPr>
                <w:rFonts w:ascii="宋体" w:hAnsi="宋体"/>
                <w:bCs/>
                <w:color w:val="auto"/>
                <w:szCs w:val="21"/>
              </w:rPr>
            </w:pPr>
          </w:p>
        </w:tc>
        <w:tc>
          <w:tcPr>
            <w:tcW w:w="1227" w:type="pct"/>
            <w:vAlign w:val="center"/>
          </w:tcPr>
          <w:p w14:paraId="66266B6B">
            <w:pPr>
              <w:widowControl w:val="0"/>
              <w:autoSpaceDE w:val="0"/>
              <w:autoSpaceDN w:val="0"/>
              <w:adjustRightInd w:val="0"/>
              <w:snapToGrid w:val="0"/>
              <w:ind w:firstLine="0" w:firstLineChars="0"/>
              <w:jc w:val="center"/>
              <w:rPr>
                <w:rFonts w:ascii="宋体" w:hAnsi="宋体"/>
                <w:color w:val="auto"/>
              </w:rPr>
            </w:pPr>
            <w:r>
              <w:rPr>
                <w:rFonts w:hint="eastAsia" w:ascii="宋体" w:hAnsi="宋体"/>
                <w:color w:val="auto"/>
                <w:szCs w:val="21"/>
              </w:rPr>
              <w:t>投标人是否需要参加开标</w:t>
            </w:r>
          </w:p>
        </w:tc>
        <w:tc>
          <w:tcPr>
            <w:tcW w:w="3191" w:type="pct"/>
            <w:vAlign w:val="center"/>
          </w:tcPr>
          <w:p w14:paraId="76AC1D36">
            <w:pPr>
              <w:ind w:firstLine="0" w:firstLineChars="0"/>
              <w:rPr>
                <w:rFonts w:ascii="宋体" w:hAnsi="宋体"/>
                <w:color w:val="auto"/>
                <w:kern w:val="0"/>
                <w:szCs w:val="21"/>
              </w:rPr>
            </w:pPr>
            <w:r>
              <w:rPr>
                <w:rFonts w:hint="eastAsia" w:ascii="宋体" w:hAnsi="宋体"/>
                <w:color w:val="auto"/>
                <w:szCs w:val="21"/>
              </w:rPr>
              <w:sym w:font="Wingdings 2" w:char="00A3"/>
            </w:r>
            <w:r>
              <w:rPr>
                <w:rFonts w:hint="eastAsia" w:ascii="宋体" w:hAnsi="宋体"/>
                <w:color w:val="auto"/>
                <w:kern w:val="0"/>
                <w:szCs w:val="21"/>
              </w:rPr>
              <w:t>是，投标人需派授权代表参加开标会议简要</w:t>
            </w:r>
            <w:r>
              <w:rPr>
                <w:rFonts w:ascii="宋体" w:hAnsi="宋体"/>
                <w:color w:val="auto"/>
                <w:kern w:val="0"/>
                <w:szCs w:val="21"/>
              </w:rPr>
              <w:t>述标</w:t>
            </w:r>
            <w:r>
              <w:rPr>
                <w:rFonts w:hint="eastAsia" w:ascii="宋体" w:hAnsi="宋体"/>
                <w:color w:val="auto"/>
                <w:kern w:val="0"/>
                <w:szCs w:val="21"/>
              </w:rPr>
              <w:t>，并签字确认。</w:t>
            </w:r>
          </w:p>
          <w:p w14:paraId="40A77537">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sym w:font="Wingdings 2" w:char="0052"/>
            </w:r>
            <w:r>
              <w:rPr>
                <w:rFonts w:hint="eastAsia" w:ascii="宋体" w:hAnsi="宋体"/>
                <w:color w:val="auto"/>
                <w:szCs w:val="21"/>
              </w:rPr>
              <w:t>投标人自愿参加开标会议；未参加开标会议的，视为其认可招标程序。</w:t>
            </w:r>
          </w:p>
        </w:tc>
      </w:tr>
      <w:tr w14:paraId="6CBC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0609A387">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Merge w:val="restart"/>
            <w:vAlign w:val="center"/>
          </w:tcPr>
          <w:p w14:paraId="1B305394">
            <w:pPr>
              <w:widowControl w:val="0"/>
              <w:autoSpaceDE w:val="0"/>
              <w:autoSpaceDN w:val="0"/>
              <w:adjustRightInd w:val="0"/>
              <w:snapToGrid w:val="0"/>
              <w:ind w:firstLine="0" w:firstLineChars="0"/>
              <w:jc w:val="center"/>
              <w:rPr>
                <w:rFonts w:ascii="宋体" w:hAnsi="宋体"/>
                <w:color w:val="auto"/>
                <w:kern w:val="0"/>
                <w:szCs w:val="21"/>
                <w:highlight w:val="none"/>
              </w:rPr>
            </w:pPr>
            <w:r>
              <w:rPr>
                <w:rFonts w:hint="eastAsia" w:ascii="宋体" w:hAnsi="宋体"/>
                <w:b/>
                <w:bCs/>
                <w:color w:val="auto"/>
                <w:szCs w:val="21"/>
                <w:highlight w:val="none"/>
              </w:rPr>
              <w:t>★</w:t>
            </w:r>
            <w:r>
              <w:rPr>
                <w:rFonts w:hint="eastAsia" w:ascii="宋体" w:hAnsi="宋体"/>
                <w:color w:val="auto"/>
                <w:kern w:val="0"/>
                <w:szCs w:val="21"/>
                <w:highlight w:val="none"/>
              </w:rPr>
              <w:t>最高限价</w:t>
            </w:r>
          </w:p>
          <w:p w14:paraId="305C22CB">
            <w:pPr>
              <w:widowControl w:val="0"/>
              <w:autoSpaceDE w:val="0"/>
              <w:autoSpaceDN w:val="0"/>
              <w:adjustRightInd w:val="0"/>
              <w:snapToGrid w:val="0"/>
              <w:ind w:firstLine="0" w:firstLineChars="0"/>
              <w:jc w:val="center"/>
              <w:rPr>
                <w:rFonts w:ascii="宋体" w:hAnsi="宋体"/>
                <w:color w:val="auto"/>
                <w:kern w:val="0"/>
                <w:szCs w:val="21"/>
              </w:rPr>
            </w:pPr>
            <w:r>
              <w:rPr>
                <w:rFonts w:hint="eastAsia" w:ascii="宋体" w:hAnsi="宋体"/>
                <w:color w:val="auto"/>
                <w:kern w:val="0"/>
                <w:szCs w:val="21"/>
                <w:highlight w:val="none"/>
              </w:rPr>
              <w:t>或其计算方法</w:t>
            </w:r>
          </w:p>
        </w:tc>
        <w:tc>
          <w:tcPr>
            <w:tcW w:w="3191" w:type="pct"/>
            <w:tcBorders>
              <w:bottom w:val="single" w:color="auto" w:sz="2" w:space="0"/>
            </w:tcBorders>
            <w:vAlign w:val="center"/>
          </w:tcPr>
          <w:p w14:paraId="2E7D7CEF">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t>设置最高限价：</w:t>
            </w:r>
          </w:p>
          <w:p w14:paraId="4B0F21A1">
            <w:pPr>
              <w:widowControl w:val="0"/>
              <w:autoSpaceDE w:val="0"/>
              <w:autoSpaceDN w:val="0"/>
              <w:adjustRightInd w:val="0"/>
              <w:snapToGrid w:val="0"/>
              <w:ind w:firstLine="0" w:firstLineChars="0"/>
              <w:rPr>
                <w:rFonts w:hint="eastAsia" w:ascii="宋体" w:hAnsi="宋体" w:cs="Segoe UI Symbol"/>
                <w:b/>
                <w:bCs/>
                <w:kern w:val="0"/>
                <w:szCs w:val="21"/>
                <w:highlight w:val="none"/>
                <w:u w:val="single"/>
                <w:lang w:eastAsia="zh-CN"/>
              </w:rPr>
            </w:pPr>
            <w:r>
              <w:rPr>
                <w:rFonts w:hint="eastAsia" w:ascii="宋体" w:hAnsi="宋体"/>
                <w:color w:val="auto"/>
                <w:szCs w:val="21"/>
              </w:rPr>
              <w:t>☑</w:t>
            </w:r>
            <w:r>
              <w:rPr>
                <w:rFonts w:hint="eastAsia" w:ascii="宋体" w:hAnsi="宋体" w:cs="Segoe UI Symbol"/>
                <w:color w:val="auto"/>
                <w:kern w:val="0"/>
                <w:szCs w:val="21"/>
              </w:rPr>
              <w:t>最高限价（</w:t>
            </w:r>
            <w:r>
              <w:rPr>
                <w:rFonts w:hint="eastAsia" w:ascii="宋体" w:hAnsi="宋体" w:cs="Segoe UI Symbol"/>
                <w:color w:val="auto"/>
                <w:kern w:val="0"/>
                <w:szCs w:val="21"/>
                <w:lang w:val="en-US" w:eastAsia="zh-CN"/>
              </w:rPr>
              <w:t>下浮率</w:t>
            </w:r>
            <w:r>
              <w:rPr>
                <w:rFonts w:hint="eastAsia" w:ascii="宋体" w:hAnsi="宋体" w:cs="Segoe UI Symbol"/>
                <w:color w:val="auto"/>
                <w:kern w:val="0"/>
                <w:szCs w:val="21"/>
              </w:rPr>
              <w:t>）：</w:t>
            </w:r>
            <w:r>
              <w:rPr>
                <w:rFonts w:hint="eastAsia" w:ascii="宋体" w:hAnsi="宋体"/>
                <w:color w:val="auto"/>
                <w:szCs w:val="21"/>
                <w:lang w:val="en-US" w:eastAsia="zh-CN"/>
              </w:rPr>
              <w:t>下浮率框架协议</w:t>
            </w:r>
            <w:r>
              <w:rPr>
                <w:rFonts w:hint="eastAsia" w:ascii="宋体" w:hAnsi="宋体"/>
                <w:color w:val="auto"/>
                <w:szCs w:val="21"/>
              </w:rPr>
              <w:t>，单个项目</w:t>
            </w:r>
            <w:r>
              <w:rPr>
                <w:rFonts w:hint="eastAsia" w:ascii="宋体" w:hAnsi="宋体"/>
                <w:color w:val="auto"/>
                <w:szCs w:val="21"/>
                <w:lang w:eastAsia="zh-CN"/>
              </w:rPr>
              <w:t>造价咨询</w:t>
            </w:r>
            <w:r>
              <w:rPr>
                <w:rFonts w:hint="eastAsia" w:ascii="宋体" w:hAnsi="宋体"/>
                <w:color w:val="auto"/>
                <w:szCs w:val="21"/>
              </w:rPr>
              <w:t>费按照《深圳市建设工程造价咨询业收费市场价格表》(2017)中施工阶段全过程造价控制</w:t>
            </w:r>
            <w:r>
              <w:rPr>
                <w:rFonts w:hint="eastAsia" w:ascii="宋体" w:hAnsi="宋体"/>
                <w:color w:val="auto"/>
                <w:szCs w:val="21"/>
                <w:lang w:val="en-US" w:eastAsia="zh-CN"/>
              </w:rPr>
              <w:t>收费标准，以</w:t>
            </w:r>
            <w:r>
              <w:rPr>
                <w:rFonts w:hint="eastAsia" w:ascii="宋体" w:hAnsi="宋体"/>
                <w:b/>
                <w:bCs/>
                <w:color w:val="auto"/>
                <w:szCs w:val="21"/>
                <w:lang w:val="en-US" w:eastAsia="zh-CN"/>
              </w:rPr>
              <w:t>结算</w:t>
            </w:r>
            <w:r>
              <w:rPr>
                <w:rFonts w:hint="eastAsia" w:ascii="宋体" w:hAnsi="宋体"/>
                <w:b/>
                <w:bCs/>
                <w:color w:val="auto"/>
                <w:szCs w:val="21"/>
              </w:rPr>
              <w:t>审核成果中的建安费</w:t>
            </w:r>
            <w:r>
              <w:rPr>
                <w:rFonts w:hint="eastAsia" w:ascii="宋体" w:hAnsi="宋体"/>
                <w:color w:val="auto"/>
                <w:szCs w:val="21"/>
              </w:rPr>
              <w:t>(不含设备及工器具购置费)作为计费基数，采用差额定率累进法计算</w:t>
            </w:r>
            <w:r>
              <w:rPr>
                <w:rFonts w:hint="eastAsia" w:ascii="宋体" w:hAnsi="宋体"/>
                <w:color w:val="auto"/>
                <w:szCs w:val="21"/>
                <w:lang w:val="en-US" w:eastAsia="zh-CN"/>
              </w:rPr>
              <w:t>的取费标准下浮：</w:t>
            </w:r>
            <w:r>
              <w:rPr>
                <w:rFonts w:hint="eastAsia" w:ascii="宋体" w:hAnsi="宋体" w:cs="Segoe UI Symbol"/>
                <w:b/>
                <w:bCs/>
                <w:kern w:val="0"/>
                <w:szCs w:val="21"/>
                <w:highlight w:val="none"/>
                <w:u w:val="single"/>
              </w:rPr>
              <w:t>投标人报价下浮率须≥</w:t>
            </w:r>
            <w:r>
              <w:rPr>
                <w:rFonts w:hint="eastAsia" w:ascii="宋体" w:hAnsi="宋体" w:cs="Segoe UI Symbol"/>
                <w:b/>
                <w:bCs/>
                <w:kern w:val="0"/>
                <w:szCs w:val="21"/>
                <w:highlight w:val="none"/>
                <w:u w:val="single"/>
                <w:lang w:val="en-US" w:eastAsia="zh-CN"/>
              </w:rPr>
              <w:t>1</w:t>
            </w:r>
            <w:r>
              <w:rPr>
                <w:rFonts w:hint="eastAsia" w:ascii="宋体" w:hAnsi="宋体" w:cs="Segoe UI Symbol"/>
                <w:b/>
                <w:bCs/>
                <w:kern w:val="0"/>
                <w:szCs w:val="21"/>
                <w:highlight w:val="none"/>
                <w:u w:val="single"/>
              </w:rPr>
              <w:t>0%</w:t>
            </w:r>
            <w:r>
              <w:rPr>
                <w:rFonts w:hint="eastAsia" w:ascii="宋体" w:hAnsi="宋体" w:cs="Segoe UI Symbol"/>
                <w:b/>
                <w:bCs/>
                <w:kern w:val="0"/>
                <w:szCs w:val="21"/>
                <w:highlight w:val="none"/>
                <w:u w:val="single"/>
                <w:lang w:eastAsia="zh-CN"/>
              </w:rPr>
              <w:t>。</w:t>
            </w:r>
          </w:p>
          <w:p w14:paraId="4AE242D7">
            <w:pPr>
              <w:widowControl w:val="0"/>
              <w:autoSpaceDE w:val="0"/>
              <w:autoSpaceDN w:val="0"/>
              <w:adjustRightInd w:val="0"/>
              <w:snapToGrid w:val="0"/>
              <w:ind w:firstLine="0" w:firstLineChars="0"/>
              <w:rPr>
                <w:rFonts w:hint="eastAsia" w:ascii="宋体" w:hAnsi="宋体" w:eastAsia="宋体" w:cs="Segoe UI Symbol"/>
                <w:color w:val="auto"/>
                <w:kern w:val="0"/>
                <w:szCs w:val="21"/>
                <w:lang w:eastAsia="zh-CN"/>
              </w:rPr>
            </w:pPr>
            <w:r>
              <w:rPr>
                <w:rFonts w:hint="eastAsia" w:ascii="宋体" w:hAnsi="宋体" w:cs="Segoe UI Symbol"/>
                <w:color w:val="auto"/>
                <w:kern w:val="0"/>
                <w:szCs w:val="21"/>
              </w:rPr>
              <w:t>□最高限价说明或其计算方法：</w:t>
            </w:r>
          </w:p>
        </w:tc>
      </w:tr>
      <w:tr w14:paraId="771C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0" w:type="pct"/>
            <w:vMerge w:val="continue"/>
            <w:vAlign w:val="center"/>
          </w:tcPr>
          <w:p w14:paraId="761C9830">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Merge w:val="continue"/>
            <w:vAlign w:val="center"/>
          </w:tcPr>
          <w:p w14:paraId="0E5CA094">
            <w:pPr>
              <w:widowControl w:val="0"/>
              <w:autoSpaceDE w:val="0"/>
              <w:autoSpaceDN w:val="0"/>
              <w:adjustRightInd w:val="0"/>
              <w:snapToGrid w:val="0"/>
              <w:ind w:firstLine="0" w:firstLineChars="0"/>
              <w:jc w:val="center"/>
              <w:rPr>
                <w:rFonts w:ascii="宋体" w:hAnsi="宋体"/>
                <w:color w:val="auto"/>
                <w:kern w:val="0"/>
                <w:szCs w:val="21"/>
              </w:rPr>
            </w:pPr>
          </w:p>
        </w:tc>
        <w:tc>
          <w:tcPr>
            <w:tcW w:w="3191" w:type="pct"/>
            <w:tcBorders>
              <w:top w:val="single" w:color="auto" w:sz="2" w:space="0"/>
            </w:tcBorders>
            <w:vAlign w:val="center"/>
          </w:tcPr>
          <w:p w14:paraId="777EF365">
            <w:pPr>
              <w:widowControl w:val="0"/>
              <w:autoSpaceDE w:val="0"/>
              <w:autoSpaceDN w:val="0"/>
              <w:adjustRightInd w:val="0"/>
              <w:snapToGrid w:val="0"/>
              <w:ind w:firstLine="0" w:firstLineChars="0"/>
              <w:rPr>
                <w:rFonts w:ascii="宋体" w:hAnsi="宋体" w:cs="Segoe UI Symbol"/>
                <w:color w:val="auto"/>
                <w:kern w:val="0"/>
                <w:szCs w:val="21"/>
              </w:rPr>
            </w:pPr>
            <w:r>
              <w:rPr>
                <w:rFonts w:hint="eastAsia" w:ascii="宋体" w:hAnsi="宋体" w:cs="Segoe UI Symbol"/>
                <w:color w:val="auto"/>
                <w:kern w:val="0"/>
                <w:szCs w:val="21"/>
              </w:rPr>
              <w:t>□不设置最高限价</w:t>
            </w:r>
          </w:p>
        </w:tc>
      </w:tr>
      <w:tr w14:paraId="0F7A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4F726A2E">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4DFC3378">
            <w:pPr>
              <w:widowControl w:val="0"/>
              <w:autoSpaceDE w:val="0"/>
              <w:autoSpaceDN w:val="0"/>
              <w:adjustRightInd w:val="0"/>
              <w:snapToGrid w:val="0"/>
              <w:ind w:firstLine="0" w:firstLineChars="0"/>
              <w:jc w:val="center"/>
              <w:rPr>
                <w:rFonts w:ascii="宋体" w:hAnsi="宋体"/>
                <w:color w:val="auto"/>
                <w:szCs w:val="21"/>
                <w:shd w:val="clear" w:color="auto" w:fill="FFFFFF"/>
              </w:rPr>
            </w:pPr>
            <w:r>
              <w:rPr>
                <w:rFonts w:hint="eastAsia" w:ascii="宋体" w:hAnsi="宋体"/>
                <w:color w:val="auto"/>
                <w:szCs w:val="21"/>
                <w:shd w:val="clear" w:color="auto" w:fill="FFFFFF"/>
              </w:rPr>
              <w:t>投标有效期</w:t>
            </w:r>
          </w:p>
        </w:tc>
        <w:tc>
          <w:tcPr>
            <w:tcW w:w="3191" w:type="pct"/>
            <w:vAlign w:val="center"/>
          </w:tcPr>
          <w:p w14:paraId="03856795">
            <w:pPr>
              <w:widowControl w:val="0"/>
              <w:autoSpaceDE w:val="0"/>
              <w:autoSpaceDN w:val="0"/>
              <w:adjustRightInd w:val="0"/>
              <w:snapToGrid w:val="0"/>
              <w:ind w:firstLine="0" w:firstLineChars="0"/>
              <w:rPr>
                <w:rFonts w:ascii="宋体" w:hAnsi="宋体"/>
                <w:color w:val="auto"/>
                <w:szCs w:val="21"/>
                <w:shd w:val="clear" w:color="auto" w:fill="FFFFFF"/>
              </w:rPr>
            </w:pPr>
            <w:r>
              <w:rPr>
                <w:rFonts w:hint="eastAsia" w:ascii="宋体" w:hAnsi="宋体"/>
                <w:color w:val="auto"/>
                <w:kern w:val="0"/>
                <w:szCs w:val="21"/>
                <w:u w:val="single"/>
                <w:shd w:val="clear" w:color="auto" w:fill="FFFFFF"/>
              </w:rPr>
              <w:t>120</w:t>
            </w:r>
            <w:r>
              <w:rPr>
                <w:rFonts w:hint="eastAsia" w:ascii="宋体" w:hAnsi="宋体"/>
                <w:color w:val="auto"/>
                <w:szCs w:val="21"/>
                <w:shd w:val="clear" w:color="auto" w:fill="FFFFFF"/>
              </w:rPr>
              <w:t>个日历日（自投标截止之日起算）</w:t>
            </w:r>
          </w:p>
        </w:tc>
      </w:tr>
      <w:tr w14:paraId="5B8C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7F6BC64C">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0237398A">
            <w:pPr>
              <w:widowControl w:val="0"/>
              <w:autoSpaceDE w:val="0"/>
              <w:autoSpaceDN w:val="0"/>
              <w:adjustRightInd w:val="0"/>
              <w:snapToGrid w:val="0"/>
              <w:ind w:firstLine="0" w:firstLineChars="0"/>
              <w:jc w:val="center"/>
              <w:rPr>
                <w:rFonts w:ascii="宋体" w:hAnsi="宋体"/>
                <w:color w:val="auto"/>
                <w:kern w:val="0"/>
                <w:szCs w:val="21"/>
              </w:rPr>
            </w:pPr>
            <w:r>
              <w:rPr>
                <w:rFonts w:hint="eastAsia" w:ascii="宋体" w:hAnsi="宋体"/>
                <w:color w:val="auto"/>
                <w:kern w:val="0"/>
                <w:szCs w:val="21"/>
              </w:rPr>
              <w:t>评标方法</w:t>
            </w:r>
          </w:p>
        </w:tc>
        <w:tc>
          <w:tcPr>
            <w:tcW w:w="3191" w:type="pct"/>
            <w:vAlign w:val="center"/>
          </w:tcPr>
          <w:p w14:paraId="1B2EB07D">
            <w:pPr>
              <w:widowControl w:val="0"/>
              <w:autoSpaceDE w:val="0"/>
              <w:autoSpaceDN w:val="0"/>
              <w:adjustRightInd w:val="0"/>
              <w:snapToGrid w:val="0"/>
              <w:ind w:firstLine="0" w:firstLineChars="0"/>
              <w:rPr>
                <w:rFonts w:ascii="宋体" w:hAnsi="宋体" w:cs="Segoe UI Symbol"/>
                <w:color w:val="auto"/>
                <w:kern w:val="0"/>
                <w:szCs w:val="21"/>
              </w:rPr>
            </w:pPr>
            <w:r>
              <w:rPr>
                <w:rFonts w:hint="eastAsia" w:ascii="宋体" w:hAnsi="宋体"/>
                <w:color w:val="auto"/>
                <w:szCs w:val="21"/>
              </w:rPr>
              <w:t>☑</w:t>
            </w:r>
            <w:r>
              <w:rPr>
                <w:rFonts w:hint="eastAsia" w:ascii="宋体" w:hAnsi="宋体" w:cs="Segoe UI Symbol"/>
                <w:color w:val="auto"/>
                <w:kern w:val="0"/>
                <w:szCs w:val="21"/>
              </w:rPr>
              <w:t>综合评估法</w:t>
            </w:r>
          </w:p>
          <w:p w14:paraId="203D38FF">
            <w:pPr>
              <w:widowControl w:val="0"/>
              <w:autoSpaceDE w:val="0"/>
              <w:autoSpaceDN w:val="0"/>
              <w:adjustRightInd w:val="0"/>
              <w:snapToGrid w:val="0"/>
              <w:ind w:firstLine="0" w:firstLineChars="0"/>
              <w:rPr>
                <w:rFonts w:ascii="宋体" w:hAnsi="宋体" w:cs="Segoe UI Symbol"/>
                <w:color w:val="auto"/>
                <w:kern w:val="0"/>
                <w:szCs w:val="21"/>
              </w:rPr>
            </w:pPr>
            <w:r>
              <w:rPr>
                <w:rFonts w:hint="eastAsia" w:ascii="宋体" w:hAnsi="宋体" w:cs="Segoe UI Symbol"/>
                <w:color w:val="auto"/>
                <w:kern w:val="0"/>
                <w:szCs w:val="21"/>
              </w:rPr>
              <w:t>□</w:t>
            </w:r>
            <w:r>
              <w:rPr>
                <w:rFonts w:hint="eastAsia" w:ascii="宋体" w:hAnsi="宋体"/>
                <w:color w:val="auto"/>
                <w:szCs w:val="21"/>
              </w:rPr>
              <w:t>经评审的最低投标价法</w:t>
            </w:r>
          </w:p>
          <w:p w14:paraId="23C63C32">
            <w:pPr>
              <w:widowControl w:val="0"/>
              <w:autoSpaceDE w:val="0"/>
              <w:autoSpaceDN w:val="0"/>
              <w:adjustRightInd w:val="0"/>
              <w:snapToGrid w:val="0"/>
              <w:ind w:firstLine="0" w:firstLineChars="0"/>
              <w:rPr>
                <w:rFonts w:ascii="宋体" w:hAnsi="宋体" w:cs="Segoe UI Symbol"/>
                <w:color w:val="auto"/>
                <w:kern w:val="0"/>
                <w:szCs w:val="21"/>
              </w:rPr>
            </w:pPr>
            <w:r>
              <w:rPr>
                <w:rFonts w:hint="eastAsia" w:ascii="宋体" w:hAnsi="宋体" w:cs="Segoe UI Symbol"/>
                <w:color w:val="auto"/>
                <w:kern w:val="0"/>
                <w:szCs w:val="21"/>
              </w:rPr>
              <w:t>□定性评审法</w:t>
            </w:r>
          </w:p>
          <w:p w14:paraId="7949DF26">
            <w:pPr>
              <w:widowControl w:val="0"/>
              <w:autoSpaceDE w:val="0"/>
              <w:autoSpaceDN w:val="0"/>
              <w:adjustRightInd w:val="0"/>
              <w:snapToGrid w:val="0"/>
              <w:ind w:firstLine="0" w:firstLineChars="0"/>
              <w:rPr>
                <w:rFonts w:hint="eastAsia" w:ascii="宋体" w:hAnsi="宋体" w:eastAsia="宋体" w:cs="Segoe UI Symbol"/>
                <w:color w:val="auto"/>
                <w:kern w:val="0"/>
                <w:szCs w:val="21"/>
                <w:lang w:eastAsia="zh-CN"/>
              </w:rPr>
            </w:pPr>
            <w:r>
              <w:rPr>
                <w:rFonts w:hint="eastAsia" w:ascii="宋体" w:hAnsi="宋体" w:cs="Segoe UI Symbol"/>
                <w:color w:val="auto"/>
                <w:kern w:val="0"/>
                <w:szCs w:val="21"/>
              </w:rPr>
              <w:t>□其他：</w:t>
            </w:r>
          </w:p>
        </w:tc>
      </w:tr>
      <w:tr w14:paraId="449A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3F5ACF5A">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49474B01">
            <w:pPr>
              <w:widowControl w:val="0"/>
              <w:autoSpaceDE w:val="0"/>
              <w:autoSpaceDN w:val="0"/>
              <w:adjustRightInd w:val="0"/>
              <w:snapToGrid w:val="0"/>
              <w:ind w:firstLine="0" w:firstLineChars="0"/>
              <w:jc w:val="center"/>
              <w:rPr>
                <w:rFonts w:ascii="宋体" w:hAnsi="宋体"/>
                <w:color w:val="auto"/>
              </w:rPr>
            </w:pPr>
            <w:r>
              <w:rPr>
                <w:rFonts w:hint="eastAsia" w:ascii="宋体" w:hAnsi="宋体"/>
                <w:color w:val="auto"/>
              </w:rPr>
              <w:t>推荐中标</w:t>
            </w:r>
          </w:p>
          <w:p w14:paraId="5E7DAED5">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rPr>
              <w:t>候选人数量</w:t>
            </w:r>
          </w:p>
        </w:tc>
        <w:tc>
          <w:tcPr>
            <w:tcW w:w="3191" w:type="pct"/>
            <w:tcBorders>
              <w:bottom w:val="single" w:color="auto" w:sz="2" w:space="0"/>
            </w:tcBorders>
            <w:vAlign w:val="center"/>
          </w:tcPr>
          <w:p w14:paraId="4471038B">
            <w:pPr>
              <w:widowControl w:val="0"/>
              <w:autoSpaceDE w:val="0"/>
              <w:autoSpaceDN w:val="0"/>
              <w:adjustRightInd w:val="0"/>
              <w:snapToGrid w:val="0"/>
              <w:ind w:firstLine="0" w:firstLineChars="0"/>
              <w:rPr>
                <w:rFonts w:ascii="宋体" w:hAnsi="宋体" w:cs="宋体"/>
                <w:color w:val="auto"/>
                <w:szCs w:val="21"/>
              </w:rPr>
            </w:pPr>
            <w:r>
              <w:rPr>
                <w:rFonts w:hint="eastAsia" w:ascii="宋体" w:hAnsi="宋体"/>
                <w:color w:val="auto"/>
                <w:szCs w:val="21"/>
              </w:rPr>
              <w:t>☑</w:t>
            </w:r>
            <w:r>
              <w:rPr>
                <w:rFonts w:hint="eastAsia" w:ascii="宋体" w:hAnsi="宋体" w:cs="Segoe UI Symbol"/>
                <w:color w:val="auto"/>
                <w:kern w:val="0"/>
                <w:szCs w:val="21"/>
              </w:rPr>
              <w:t>评标委员会</w:t>
            </w:r>
            <w:r>
              <w:rPr>
                <w:rFonts w:ascii="宋体" w:hAnsi="宋体" w:cs="Segoe UI Symbol"/>
                <w:color w:val="auto"/>
                <w:kern w:val="0"/>
                <w:szCs w:val="21"/>
              </w:rPr>
              <w:t>推荐的中标候选人数</w:t>
            </w:r>
            <w:r>
              <w:rPr>
                <w:rFonts w:hint="eastAsia" w:ascii="宋体" w:hAnsi="宋体" w:cs="Segoe UI Symbol"/>
                <w:color w:val="auto"/>
                <w:kern w:val="0"/>
                <w:szCs w:val="21"/>
              </w:rPr>
              <w:t>：</w:t>
            </w:r>
            <w:r>
              <w:rPr>
                <w:rFonts w:ascii="宋体" w:hAnsi="宋体" w:cs="Segoe UI Symbol"/>
                <w:color w:val="auto"/>
                <w:kern w:val="0"/>
                <w:szCs w:val="21"/>
                <w:u w:val="single"/>
              </w:rPr>
              <w:t>1</w:t>
            </w:r>
            <w:r>
              <w:rPr>
                <w:rFonts w:hint="eastAsia" w:ascii="宋体" w:hAnsi="宋体" w:cs="Segoe UI Symbol"/>
                <w:color w:val="auto"/>
                <w:kern w:val="0"/>
                <w:szCs w:val="21"/>
              </w:rPr>
              <w:t>个。</w:t>
            </w:r>
          </w:p>
          <w:p w14:paraId="0598986F">
            <w:pPr>
              <w:widowControl w:val="0"/>
              <w:autoSpaceDE w:val="0"/>
              <w:autoSpaceDN w:val="0"/>
              <w:adjustRightInd w:val="0"/>
              <w:snapToGrid w:val="0"/>
              <w:ind w:firstLine="0" w:firstLineChars="0"/>
              <w:rPr>
                <w:rFonts w:ascii="宋体" w:hAnsi="宋体" w:cs="Segoe UI Symbol"/>
                <w:color w:val="auto"/>
                <w:kern w:val="0"/>
                <w:szCs w:val="21"/>
              </w:rPr>
            </w:pPr>
            <w:r>
              <w:rPr>
                <w:rFonts w:hint="eastAsia" w:ascii="宋体" w:hAnsi="宋体" w:cs="Segoe UI Symbol"/>
                <w:color w:val="auto"/>
                <w:kern w:val="0"/>
                <w:szCs w:val="21"/>
              </w:rPr>
              <w:t>（</w:t>
            </w:r>
            <w:r>
              <w:rPr>
                <w:rFonts w:hint="eastAsia" w:ascii="宋体" w:hAnsi="宋体" w:cs="宋体"/>
                <w:color w:val="auto"/>
                <w:szCs w:val="21"/>
              </w:rPr>
              <w:t>适用于采用</w:t>
            </w:r>
            <w:r>
              <w:rPr>
                <w:rFonts w:hint="eastAsia" w:ascii="宋体" w:hAnsi="宋体" w:cs="宋体"/>
                <w:b/>
                <w:bCs/>
                <w:color w:val="auto"/>
                <w:szCs w:val="21"/>
              </w:rPr>
              <w:t>综合评估法</w:t>
            </w:r>
            <w:r>
              <w:rPr>
                <w:rFonts w:hint="eastAsia" w:ascii="宋体" w:hAnsi="宋体" w:cs="宋体"/>
                <w:color w:val="auto"/>
                <w:szCs w:val="21"/>
              </w:rPr>
              <w:t>、</w:t>
            </w:r>
            <w:r>
              <w:rPr>
                <w:rFonts w:hint="eastAsia" w:ascii="宋体" w:hAnsi="宋体" w:cs="宋体"/>
                <w:b/>
                <w:bCs/>
                <w:color w:val="auto"/>
                <w:szCs w:val="21"/>
              </w:rPr>
              <w:t>经评审的最低投标价法）</w:t>
            </w:r>
          </w:p>
        </w:tc>
      </w:tr>
      <w:tr w14:paraId="292D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72608353">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44D88566">
            <w:pPr>
              <w:widowControl w:val="0"/>
              <w:autoSpaceDE w:val="0"/>
              <w:autoSpaceDN w:val="0"/>
              <w:adjustRightInd w:val="0"/>
              <w:snapToGrid w:val="0"/>
              <w:ind w:firstLine="0" w:firstLineChars="0"/>
              <w:jc w:val="center"/>
              <w:rPr>
                <w:rFonts w:ascii="宋体" w:hAnsi="宋体" w:cs="宋体"/>
                <w:color w:val="auto"/>
                <w:szCs w:val="21"/>
              </w:rPr>
            </w:pPr>
            <w:r>
              <w:rPr>
                <w:rFonts w:hint="eastAsia" w:ascii="宋体" w:hAnsi="宋体" w:cs="宋体"/>
                <w:color w:val="auto"/>
                <w:szCs w:val="21"/>
              </w:rPr>
              <w:t>中标人数量</w:t>
            </w:r>
          </w:p>
        </w:tc>
        <w:tc>
          <w:tcPr>
            <w:tcW w:w="3191" w:type="pct"/>
            <w:tcBorders>
              <w:top w:val="single" w:color="auto" w:sz="2" w:space="0"/>
            </w:tcBorders>
            <w:vAlign w:val="center"/>
          </w:tcPr>
          <w:p w14:paraId="2BFF2A02">
            <w:pPr>
              <w:widowControl w:val="0"/>
              <w:autoSpaceDE w:val="0"/>
              <w:autoSpaceDN w:val="0"/>
              <w:adjustRightInd w:val="0"/>
              <w:snapToGrid w:val="0"/>
              <w:ind w:firstLine="0" w:firstLineChars="0"/>
              <w:rPr>
                <w:rFonts w:ascii="宋体" w:hAnsi="宋体"/>
                <w:color w:val="auto"/>
                <w:szCs w:val="21"/>
              </w:rPr>
            </w:pPr>
            <w:r>
              <w:rPr>
                <w:rFonts w:hint="eastAsia" w:ascii="宋体" w:hAnsi="宋体" w:cs="Segoe UI Symbol"/>
                <w:color w:val="auto"/>
                <w:kern w:val="0"/>
                <w:szCs w:val="21"/>
                <w:u w:val="single"/>
              </w:rPr>
              <w:t>1</w:t>
            </w:r>
            <w:r>
              <w:rPr>
                <w:rFonts w:hint="eastAsia" w:ascii="宋体" w:hAnsi="宋体" w:cs="Segoe UI Symbol"/>
                <w:color w:val="auto"/>
                <w:kern w:val="0"/>
                <w:szCs w:val="21"/>
              </w:rPr>
              <w:t>个</w:t>
            </w:r>
          </w:p>
        </w:tc>
      </w:tr>
      <w:tr w14:paraId="74B3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2EEBA27E">
            <w:pPr>
              <w:widowControl w:val="0"/>
              <w:numPr>
                <w:ilvl w:val="0"/>
                <w:numId w:val="1"/>
              </w:numPr>
              <w:autoSpaceDE w:val="0"/>
              <w:autoSpaceDN w:val="0"/>
              <w:adjustRightInd w:val="0"/>
              <w:snapToGrid w:val="0"/>
              <w:ind w:firstLineChars="0"/>
              <w:jc w:val="center"/>
              <w:rPr>
                <w:rFonts w:ascii="宋体" w:hAnsi="宋体"/>
                <w:color w:val="auto"/>
                <w:szCs w:val="21"/>
              </w:rPr>
            </w:pPr>
          </w:p>
        </w:tc>
        <w:tc>
          <w:tcPr>
            <w:tcW w:w="1227" w:type="pct"/>
            <w:vAlign w:val="center"/>
          </w:tcPr>
          <w:p w14:paraId="2C9A68B1">
            <w:pPr>
              <w:widowControl w:val="0"/>
              <w:autoSpaceDE w:val="0"/>
              <w:autoSpaceDN w:val="0"/>
              <w:adjustRightInd w:val="0"/>
              <w:snapToGrid w:val="0"/>
              <w:ind w:firstLine="0" w:firstLineChars="0"/>
              <w:jc w:val="center"/>
              <w:rPr>
                <w:rFonts w:ascii="宋体" w:hAnsi="宋体" w:cs="宋体"/>
                <w:color w:val="auto"/>
                <w:szCs w:val="21"/>
              </w:rPr>
            </w:pPr>
            <w:r>
              <w:rPr>
                <w:rFonts w:hint="eastAsia" w:ascii="宋体" w:hAnsi="宋体"/>
                <w:color w:val="auto"/>
                <w:szCs w:val="21"/>
              </w:rPr>
              <w:t>定标</w:t>
            </w:r>
            <w:r>
              <w:rPr>
                <w:rFonts w:hint="eastAsia" w:ascii="宋体" w:hAnsi="宋体" w:cs="宋体"/>
                <w:color w:val="auto"/>
                <w:szCs w:val="21"/>
              </w:rPr>
              <w:t>方式</w:t>
            </w:r>
          </w:p>
        </w:tc>
        <w:tc>
          <w:tcPr>
            <w:tcW w:w="3191" w:type="pct"/>
            <w:tcBorders>
              <w:top w:val="single" w:color="auto" w:sz="2" w:space="0"/>
            </w:tcBorders>
            <w:vAlign w:val="center"/>
          </w:tcPr>
          <w:p w14:paraId="4657366A">
            <w:pPr>
              <w:widowControl w:val="0"/>
              <w:autoSpaceDE w:val="0"/>
              <w:autoSpaceDN w:val="0"/>
              <w:adjustRightInd w:val="0"/>
              <w:snapToGrid w:val="0"/>
              <w:ind w:firstLine="0" w:firstLineChars="0"/>
              <w:rPr>
                <w:rFonts w:ascii="宋体" w:hAnsi="宋体"/>
                <w:color w:val="auto"/>
                <w:kern w:val="0"/>
              </w:rPr>
            </w:pPr>
            <w:r>
              <w:rPr>
                <w:rFonts w:hint="eastAsia" w:ascii="宋体" w:hAnsi="宋体"/>
                <w:color w:val="auto"/>
                <w:szCs w:val="21"/>
              </w:rPr>
              <w:t>☑</w:t>
            </w:r>
            <w:r>
              <w:rPr>
                <w:rFonts w:hint="eastAsia" w:ascii="宋体" w:hAnsi="宋体" w:cs="Courier New"/>
                <w:color w:val="auto"/>
                <w:kern w:val="0"/>
                <w:szCs w:val="21"/>
              </w:rPr>
              <w:t>由评标委员会直接确定第一中标候选人为</w:t>
            </w:r>
            <w:r>
              <w:rPr>
                <w:rFonts w:hint="eastAsia" w:ascii="宋体" w:hAnsi="宋体"/>
                <w:color w:val="auto"/>
                <w:kern w:val="0"/>
              </w:rPr>
              <w:t>中标人</w:t>
            </w:r>
          </w:p>
        </w:tc>
      </w:tr>
      <w:tr w14:paraId="6A24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301CED45">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227" w:type="pct"/>
            <w:vAlign w:val="center"/>
          </w:tcPr>
          <w:p w14:paraId="10A87A21">
            <w:pPr>
              <w:widowControl w:val="0"/>
              <w:autoSpaceDE w:val="0"/>
              <w:autoSpaceDN w:val="0"/>
              <w:adjustRightInd w:val="0"/>
              <w:snapToGrid w:val="0"/>
              <w:ind w:firstLine="0" w:firstLineChars="0"/>
              <w:jc w:val="center"/>
              <w:rPr>
                <w:rFonts w:ascii="宋体" w:hAnsi="宋体"/>
                <w:color w:val="auto"/>
                <w:szCs w:val="21"/>
                <w:shd w:val="clear" w:color="auto" w:fill="FFFFFF"/>
              </w:rPr>
            </w:pPr>
            <w:r>
              <w:rPr>
                <w:rFonts w:hint="eastAsia" w:ascii="宋体" w:hAnsi="宋体"/>
                <w:color w:val="auto"/>
                <w:szCs w:val="21"/>
                <w:shd w:val="clear" w:color="auto" w:fill="FFFFFF"/>
              </w:rPr>
              <w:t>签订</w:t>
            </w:r>
            <w:r>
              <w:rPr>
                <w:rFonts w:ascii="宋体" w:hAnsi="宋体"/>
                <w:color w:val="auto"/>
                <w:szCs w:val="21"/>
                <w:shd w:val="clear" w:color="auto" w:fill="FFFFFF"/>
              </w:rPr>
              <w:t>合同</w:t>
            </w:r>
            <w:r>
              <w:rPr>
                <w:rFonts w:hint="eastAsia" w:ascii="宋体" w:hAnsi="宋体"/>
                <w:color w:val="auto"/>
                <w:szCs w:val="21"/>
                <w:shd w:val="clear" w:color="auto" w:fill="FFFFFF"/>
              </w:rPr>
              <w:t>时间</w:t>
            </w:r>
          </w:p>
        </w:tc>
        <w:tc>
          <w:tcPr>
            <w:tcW w:w="3191" w:type="pct"/>
            <w:vAlign w:val="center"/>
          </w:tcPr>
          <w:p w14:paraId="0F8FC43D">
            <w:pPr>
              <w:widowControl w:val="0"/>
              <w:autoSpaceDE w:val="0"/>
              <w:autoSpaceDN w:val="0"/>
              <w:adjustRightInd w:val="0"/>
              <w:snapToGrid w:val="0"/>
              <w:ind w:firstLine="0" w:firstLineChars="0"/>
              <w:rPr>
                <w:rFonts w:ascii="宋体" w:hAnsi="宋体"/>
                <w:color w:val="auto"/>
                <w:szCs w:val="21"/>
                <w:shd w:val="clear" w:color="auto" w:fill="FFFFFF"/>
              </w:rPr>
            </w:pPr>
            <w:r>
              <w:rPr>
                <w:rFonts w:hint="eastAsia" w:ascii="宋体" w:hAnsi="宋体"/>
                <w:color w:val="auto"/>
                <w:szCs w:val="21"/>
                <w:shd w:val="clear" w:color="auto" w:fill="FFFFFF"/>
              </w:rPr>
              <w:t>中标通知书发出之日起</w:t>
            </w:r>
            <w:r>
              <w:rPr>
                <w:rFonts w:hint="eastAsia" w:ascii="宋体" w:hAnsi="宋体"/>
                <w:color w:val="auto"/>
                <w:szCs w:val="21"/>
                <w:u w:val="single"/>
                <w:shd w:val="clear" w:color="auto" w:fill="FFFFFF"/>
              </w:rPr>
              <w:t>30</w:t>
            </w:r>
            <w:r>
              <w:rPr>
                <w:rFonts w:hint="eastAsia" w:ascii="宋体" w:hAnsi="宋体"/>
                <w:color w:val="auto"/>
                <w:szCs w:val="21"/>
                <w:shd w:val="clear" w:color="auto" w:fill="FFFFFF"/>
              </w:rPr>
              <w:t>日内。</w:t>
            </w:r>
          </w:p>
        </w:tc>
      </w:tr>
    </w:tbl>
    <w:p w14:paraId="64A269EE">
      <w:pPr>
        <w:widowControl w:val="0"/>
        <w:autoSpaceDE w:val="0"/>
        <w:autoSpaceDN w:val="0"/>
        <w:adjustRightInd w:val="0"/>
        <w:snapToGrid w:val="0"/>
        <w:ind w:firstLine="0" w:firstLineChars="0"/>
        <w:jc w:val="left"/>
        <w:rPr>
          <w:rFonts w:ascii="宋体" w:hAnsi="宋体"/>
          <w:color w:val="auto"/>
        </w:rPr>
      </w:pPr>
    </w:p>
    <w:p w14:paraId="16FA33B8">
      <w:pPr>
        <w:ind w:firstLine="420"/>
        <w:rPr>
          <w:color w:val="auto"/>
        </w:rPr>
      </w:pPr>
      <w:r>
        <w:rPr>
          <w:color w:val="auto"/>
        </w:rPr>
        <w:br w:type="page"/>
      </w:r>
    </w:p>
    <w:tbl>
      <w:tblPr>
        <w:tblStyle w:val="52"/>
        <w:tblW w:w="4710" w:type="pct"/>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793"/>
        <w:gridCol w:w="1699"/>
        <w:gridCol w:w="5324"/>
      </w:tblGrid>
      <w:tr w14:paraId="66A22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82" w:hRule="atLeast"/>
        </w:trPr>
        <w:tc>
          <w:tcPr>
            <w:tcW w:w="5000" w:type="pct"/>
            <w:gridSpan w:val="3"/>
            <w:shd w:val="clear" w:color="auto" w:fill="D9E2F3"/>
            <w:vAlign w:val="center"/>
          </w:tcPr>
          <w:p w14:paraId="18C33E55">
            <w:pPr>
              <w:widowControl w:val="0"/>
              <w:autoSpaceDE w:val="0"/>
              <w:autoSpaceDN w:val="0"/>
              <w:adjustRightInd w:val="0"/>
              <w:snapToGrid w:val="0"/>
              <w:spacing w:line="240" w:lineRule="auto"/>
              <w:ind w:firstLine="0" w:firstLineChars="0"/>
              <w:jc w:val="center"/>
              <w:rPr>
                <w:rFonts w:ascii="宋体" w:hAnsi="宋体"/>
                <w:color w:val="auto"/>
                <w:sz w:val="32"/>
                <w:szCs w:val="32"/>
                <w:shd w:val="clear" w:color="auto" w:fill="FFFFFF"/>
              </w:rPr>
            </w:pPr>
            <w:r>
              <w:rPr>
                <w:color w:val="auto"/>
              </w:rPr>
              <w:br w:type="page"/>
            </w:r>
            <w:r>
              <w:rPr>
                <w:rFonts w:ascii="宋体" w:hAnsi="宋体"/>
                <w:color w:val="auto"/>
              </w:rPr>
              <w:br w:type="page"/>
            </w:r>
            <w:r>
              <w:rPr>
                <w:rFonts w:hint="eastAsia" w:ascii="宋体" w:hAnsi="宋体"/>
                <w:b/>
                <w:color w:val="auto"/>
                <w:sz w:val="32"/>
                <w:szCs w:val="32"/>
              </w:rPr>
              <w:t>投标人须知前附表（二）</w:t>
            </w:r>
          </w:p>
        </w:tc>
      </w:tr>
      <w:tr w14:paraId="7DFB1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507" w:type="pct"/>
            <w:shd w:val="clear" w:color="auto" w:fill="FFFFFF"/>
            <w:vAlign w:val="center"/>
          </w:tcPr>
          <w:p w14:paraId="5FF7876E">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条款号</w:t>
            </w:r>
          </w:p>
        </w:tc>
        <w:tc>
          <w:tcPr>
            <w:tcW w:w="1087" w:type="pct"/>
            <w:shd w:val="clear" w:color="auto" w:fill="FFFFFF"/>
            <w:vAlign w:val="center"/>
          </w:tcPr>
          <w:p w14:paraId="419059B6">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名称</w:t>
            </w:r>
          </w:p>
        </w:tc>
        <w:tc>
          <w:tcPr>
            <w:tcW w:w="3405" w:type="pct"/>
            <w:shd w:val="clear" w:color="auto" w:fill="FFFFFF"/>
            <w:vAlign w:val="center"/>
          </w:tcPr>
          <w:p w14:paraId="031E49D6">
            <w:pPr>
              <w:widowControl w:val="0"/>
              <w:autoSpaceDE w:val="0"/>
              <w:autoSpaceDN w:val="0"/>
              <w:adjustRightInd w:val="0"/>
              <w:snapToGrid w:val="0"/>
              <w:ind w:firstLine="0" w:firstLineChars="0"/>
              <w:jc w:val="center"/>
              <w:rPr>
                <w:rFonts w:ascii="宋体" w:hAnsi="宋体"/>
                <w:b/>
                <w:color w:val="auto"/>
                <w:szCs w:val="21"/>
                <w:shd w:val="clear" w:color="auto" w:fill="FFFFFF"/>
              </w:rPr>
            </w:pPr>
            <w:r>
              <w:rPr>
                <w:rFonts w:ascii="宋体" w:hAnsi="宋体"/>
                <w:b/>
                <w:color w:val="auto"/>
                <w:szCs w:val="21"/>
              </w:rPr>
              <w:t>编列内容</w:t>
            </w:r>
          </w:p>
        </w:tc>
      </w:tr>
      <w:tr w14:paraId="40F19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507" w:type="pct"/>
            <w:shd w:val="clear" w:color="auto" w:fill="FFFFFF"/>
            <w:vAlign w:val="center"/>
          </w:tcPr>
          <w:p w14:paraId="7FB0FDC9">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54E23AD7">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资金来源</w:t>
            </w:r>
          </w:p>
          <w:p w14:paraId="5194EC8C">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和落实情况</w:t>
            </w:r>
          </w:p>
        </w:tc>
        <w:tc>
          <w:tcPr>
            <w:tcW w:w="3405" w:type="pct"/>
            <w:shd w:val="clear" w:color="auto" w:fill="FFFFFF"/>
            <w:vAlign w:val="center"/>
          </w:tcPr>
          <w:p w14:paraId="1662F423">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资金来源：</w:t>
            </w:r>
            <w:r>
              <w:rPr>
                <w:rFonts w:hint="eastAsia" w:ascii="宋体" w:hAnsi="宋体" w:cs="宋体"/>
                <w:color w:val="auto"/>
                <w:szCs w:val="21"/>
              </w:rPr>
              <w:t>企业自筹</w:t>
            </w:r>
          </w:p>
          <w:p w14:paraId="13421D17">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出资比例：100%</w:t>
            </w:r>
          </w:p>
          <w:p w14:paraId="5592E700">
            <w:pPr>
              <w:widowControl w:val="0"/>
              <w:autoSpaceDE w:val="0"/>
              <w:autoSpaceDN w:val="0"/>
              <w:adjustRightInd w:val="0"/>
              <w:snapToGrid w:val="0"/>
              <w:ind w:firstLine="0" w:firstLineChars="0"/>
              <w:rPr>
                <w:rFonts w:hint="eastAsia" w:ascii="宋体" w:hAnsi="宋体" w:eastAsia="宋体"/>
                <w:color w:val="auto"/>
                <w:szCs w:val="21"/>
                <w:u w:val="single"/>
                <w:lang w:eastAsia="zh-CN"/>
              </w:rPr>
            </w:pPr>
            <w:r>
              <w:rPr>
                <w:rFonts w:hint="eastAsia" w:ascii="宋体" w:hAnsi="宋体"/>
                <w:color w:val="auto"/>
                <w:szCs w:val="21"/>
              </w:rPr>
              <w:t>资金落实情况：☑已落实 □未落实 □其他：</w:t>
            </w:r>
          </w:p>
        </w:tc>
      </w:tr>
      <w:tr w14:paraId="3153A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38" w:hRule="atLeast"/>
        </w:trPr>
        <w:tc>
          <w:tcPr>
            <w:tcW w:w="507" w:type="pct"/>
            <w:shd w:val="clear" w:color="auto" w:fill="FFFFFF"/>
            <w:vAlign w:val="center"/>
          </w:tcPr>
          <w:p w14:paraId="4C7CF3BE">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7CA03DB1">
            <w:pPr>
              <w:widowControl w:val="0"/>
              <w:autoSpaceDE w:val="0"/>
              <w:autoSpaceDN w:val="0"/>
              <w:adjustRightInd w:val="0"/>
              <w:snapToGrid w:val="0"/>
              <w:ind w:firstLine="0" w:firstLineChars="0"/>
              <w:jc w:val="center"/>
              <w:rPr>
                <w:rFonts w:hint="default" w:ascii="宋体" w:hAnsi="宋体" w:eastAsia="宋体"/>
                <w:color w:val="auto"/>
                <w:szCs w:val="21"/>
                <w:lang w:val="en-US" w:eastAsia="zh-CN"/>
              </w:rPr>
            </w:pPr>
            <w:r>
              <w:rPr>
                <w:rFonts w:ascii="宋体" w:hAnsi="宋体"/>
                <w:color w:val="auto"/>
                <w:szCs w:val="21"/>
              </w:rPr>
              <w:t>招标范围</w:t>
            </w:r>
            <w:r>
              <w:rPr>
                <w:rFonts w:hint="eastAsia" w:ascii="宋体" w:hAnsi="宋体"/>
                <w:color w:val="auto"/>
                <w:szCs w:val="21"/>
                <w:lang w:val="en-US" w:eastAsia="zh-CN"/>
              </w:rPr>
              <w:t>及项目概况</w:t>
            </w:r>
          </w:p>
        </w:tc>
        <w:tc>
          <w:tcPr>
            <w:tcW w:w="3405" w:type="pct"/>
            <w:shd w:val="clear" w:color="auto" w:fill="FFFFFF"/>
            <w:vAlign w:val="center"/>
          </w:tcPr>
          <w:p w14:paraId="286102D0">
            <w:pPr>
              <w:keepNext w:val="0"/>
              <w:keepLines w:val="0"/>
              <w:widowControl/>
              <w:suppressLineNumbers w:val="0"/>
              <w:jc w:val="left"/>
              <w:rPr>
                <w:rFonts w:hint="eastAsia" w:ascii="宋体" w:hAnsi="宋体"/>
                <w:color w:val="auto"/>
                <w:sz w:val="21"/>
                <w:szCs w:val="21"/>
                <w:highlight w:val="none"/>
              </w:rPr>
            </w:pPr>
            <w:bookmarkStart w:id="31" w:name="_Hlk160542670"/>
            <w:r>
              <w:rPr>
                <w:rFonts w:hint="eastAsia" w:ascii="宋体" w:hAnsi="宋体" w:eastAsia="宋体" w:cs="Times New Roman"/>
                <w:b/>
                <w:bCs/>
                <w:color w:val="auto"/>
                <w:kern w:val="2"/>
                <w:sz w:val="21"/>
                <w:szCs w:val="21"/>
                <w:highlight w:val="none"/>
                <w:lang w:val="en-US" w:eastAsia="zh-CN" w:bidi="ar"/>
              </w:rPr>
              <w:t>本项目为年度框架协议服务，</w:t>
            </w:r>
            <w:r>
              <w:rPr>
                <w:rFonts w:hint="eastAsia" w:ascii="宋体" w:hAnsi="宋体" w:cs="Times New Roman"/>
                <w:b/>
                <w:bCs/>
                <w:color w:val="auto"/>
                <w:szCs w:val="21"/>
                <w:highlight w:val="none"/>
                <w:lang w:val="en-US" w:eastAsia="zh-CN"/>
              </w:rPr>
              <w:t>为</w:t>
            </w:r>
            <w:r>
              <w:rPr>
                <w:rFonts w:hint="eastAsia" w:ascii="宋体" w:hAnsi="宋体" w:eastAsia="宋体" w:cs="Times New Roman"/>
                <w:b/>
                <w:bCs/>
                <w:color w:val="auto"/>
                <w:szCs w:val="21"/>
                <w:highlight w:val="none"/>
                <w:lang w:val="en-US" w:eastAsia="zh-CN"/>
              </w:rPr>
              <w:t>深圳市体育产业集团有限公司及所属全资、控股企业提供年度内小型工程项目</w:t>
            </w:r>
            <w:r>
              <w:rPr>
                <w:rFonts w:hint="eastAsia" w:ascii="宋体" w:hAnsi="宋体" w:cs="Times New Roman"/>
                <w:b/>
                <w:bCs/>
                <w:color w:val="auto"/>
                <w:szCs w:val="21"/>
                <w:highlight w:val="none"/>
                <w:lang w:val="en-US" w:eastAsia="zh-CN"/>
              </w:rPr>
              <w:t>（</w:t>
            </w:r>
            <w:r>
              <w:rPr>
                <w:rFonts w:hint="eastAsia" w:ascii="宋体" w:hAnsi="宋体"/>
                <w:b/>
                <w:bCs/>
                <w:color w:val="auto"/>
                <w:szCs w:val="21"/>
              </w:rPr>
              <w:t>小型工程指总概算在</w:t>
            </w:r>
            <w:r>
              <w:rPr>
                <w:rFonts w:hint="eastAsia" w:ascii="宋体" w:hAnsi="宋体"/>
                <w:b/>
                <w:bCs/>
                <w:color w:val="auto"/>
                <w:szCs w:val="21"/>
                <w:lang w:val="en-US" w:eastAsia="zh-CN"/>
              </w:rPr>
              <w:t>1000</w:t>
            </w:r>
            <w:r>
              <w:rPr>
                <w:rFonts w:hint="eastAsia" w:ascii="宋体" w:hAnsi="宋体"/>
                <w:b/>
                <w:bCs/>
                <w:color w:val="auto"/>
                <w:szCs w:val="21"/>
              </w:rPr>
              <w:t>万元以下项目</w:t>
            </w:r>
            <w:r>
              <w:rPr>
                <w:rFonts w:hint="eastAsia" w:ascii="宋体" w:hAnsi="宋体" w:cs="Times New Roman"/>
                <w:b/>
                <w:bCs/>
                <w:color w:val="auto"/>
                <w:szCs w:val="21"/>
                <w:highlight w:val="none"/>
                <w:lang w:val="en-US" w:eastAsia="zh-CN"/>
              </w:rPr>
              <w:t>）</w:t>
            </w:r>
            <w:r>
              <w:rPr>
                <w:rFonts w:hint="eastAsia" w:ascii="宋体" w:hAnsi="宋体" w:eastAsia="宋体" w:cs="Times New Roman"/>
                <w:b/>
                <w:bCs/>
                <w:color w:val="auto"/>
                <w:szCs w:val="21"/>
                <w:highlight w:val="none"/>
                <w:lang w:val="en-US" w:eastAsia="zh-CN"/>
              </w:rPr>
              <w:t>的全过程工程造价咨询服务,内容包括但不限于：</w:t>
            </w:r>
          </w:p>
          <w:sdt>
            <w:sdtPr>
              <w:rPr>
                <w:rStyle w:val="411"/>
                <w:color w:val="auto"/>
                <w:sz w:val="21"/>
                <w:szCs w:val="21"/>
              </w:rPr>
              <w:alias w:val="招标范围"/>
              <w:tag w:val="招标范围"/>
              <w:id w:val="-1031568587"/>
              <w:lock w:val="sdtLocked"/>
              <w:placeholder>
                <w:docPart w:val="{4e42bd35-8385-4261-b031-1c0bd507ad21}"/>
              </w:placeholder>
              <w15:color w:val="808080"/>
            </w:sdtPr>
            <w:sdtEndPr>
              <w:rPr>
                <w:rStyle w:val="411"/>
                <w:color w:val="auto"/>
                <w:sz w:val="21"/>
                <w:szCs w:val="21"/>
              </w:rPr>
            </w:sdtEndPr>
            <w:sdtContent>
              <w:p w14:paraId="29938163">
                <w:pPr>
                  <w:spacing w:line="360" w:lineRule="auto"/>
                  <w:rPr>
                    <w:rStyle w:val="411"/>
                    <w:rFonts w:hint="eastAsia"/>
                    <w:color w:val="auto"/>
                    <w:sz w:val="21"/>
                    <w:szCs w:val="21"/>
                  </w:rPr>
                </w:pPr>
                <w:r>
                  <w:rPr>
                    <w:rStyle w:val="411"/>
                    <w:color w:val="auto"/>
                    <w:sz w:val="21"/>
                    <w:szCs w:val="21"/>
                  </w:rPr>
                  <w:t>1.负责编制审核概算、协助完成概算评审工作（具体工作内容根据具体项目情况调整，可能无此项内容，也可能根据项目需要编制设计概算）以及项目实施过程中的概算调整工作；建立经济技术指标库，对项目概算进行经济技术指标分析对比；</w:t>
                </w:r>
              </w:p>
              <w:p w14:paraId="1AD78EE8">
                <w:pPr>
                  <w:spacing w:line="360" w:lineRule="auto"/>
                  <w:rPr>
                    <w:rStyle w:val="411"/>
                    <w:rFonts w:hint="eastAsia"/>
                    <w:color w:val="auto"/>
                    <w:sz w:val="21"/>
                    <w:szCs w:val="21"/>
                  </w:rPr>
                </w:pPr>
                <w:r>
                  <w:rPr>
                    <w:rStyle w:val="411"/>
                    <w:color w:val="auto"/>
                    <w:sz w:val="21"/>
                    <w:szCs w:val="21"/>
                  </w:rPr>
                  <w:t>2.协助甲方进行限额设计工作，提出造价控制建议；</w:t>
                </w:r>
              </w:p>
              <w:p w14:paraId="5A9208E3">
                <w:pPr>
                  <w:spacing w:line="360" w:lineRule="auto"/>
                  <w:rPr>
                    <w:rStyle w:val="411"/>
                    <w:rFonts w:hint="eastAsia"/>
                    <w:color w:val="auto"/>
                    <w:sz w:val="21"/>
                    <w:szCs w:val="21"/>
                  </w:rPr>
                </w:pPr>
                <w:r>
                  <w:rPr>
                    <w:rStyle w:val="411"/>
                    <w:color w:val="auto"/>
                    <w:sz w:val="21"/>
                    <w:szCs w:val="21"/>
                  </w:rPr>
                  <w:t>3.编制和审核工程预算，并对预算和概算进行对比分析，建立项目全过程动态投资控制台帐；</w:t>
                </w:r>
              </w:p>
              <w:p w14:paraId="2F6BC58E">
                <w:pPr>
                  <w:spacing w:line="360" w:lineRule="auto"/>
                  <w:rPr>
                    <w:rStyle w:val="411"/>
                    <w:rFonts w:hint="eastAsia"/>
                    <w:color w:val="auto"/>
                    <w:sz w:val="21"/>
                    <w:szCs w:val="21"/>
                  </w:rPr>
                </w:pPr>
                <w:r>
                  <w:rPr>
                    <w:rStyle w:val="411"/>
                    <w:color w:val="auto"/>
                    <w:sz w:val="21"/>
                    <w:szCs w:val="21"/>
                  </w:rPr>
                  <w:t>4.协助甲方编制招标文件，特别是招标文件中投标报价规定和特别条款；在造价工程师的指导下负责完成招标过程中商务标文件、工程控制价文件的编制和电子生成工作；</w:t>
                </w:r>
              </w:p>
              <w:p w14:paraId="5486B14D">
                <w:pPr>
                  <w:spacing w:line="360" w:lineRule="auto"/>
                  <w:rPr>
                    <w:rStyle w:val="411"/>
                    <w:rFonts w:hint="eastAsia"/>
                    <w:color w:val="auto"/>
                    <w:sz w:val="21"/>
                    <w:szCs w:val="21"/>
                  </w:rPr>
                </w:pPr>
                <w:r>
                  <w:rPr>
                    <w:rStyle w:val="411"/>
                    <w:color w:val="auto"/>
                    <w:sz w:val="21"/>
                    <w:szCs w:val="21"/>
                  </w:rPr>
                  <w:t>5.编制工程量清单及招标控制价，并提供综合单价分析表；在工程量清单和招标控制价的编制过程中书面提出设计和招标文件的问题，提醒甲方工程中采用的新材料、新工艺，并拟定计价方案供甲方决策；</w:t>
                </w:r>
              </w:p>
              <w:p w14:paraId="4E4CB335">
                <w:pPr>
                  <w:spacing w:line="360" w:lineRule="auto"/>
                  <w:rPr>
                    <w:rStyle w:val="411"/>
                    <w:rFonts w:hint="eastAsia"/>
                    <w:color w:val="auto"/>
                    <w:sz w:val="21"/>
                    <w:szCs w:val="21"/>
                  </w:rPr>
                </w:pPr>
                <w:r>
                  <w:rPr>
                    <w:rStyle w:val="411"/>
                    <w:color w:val="auto"/>
                    <w:sz w:val="21"/>
                    <w:szCs w:val="21"/>
                  </w:rPr>
                  <w:t>6.提供主要材料、设备数量及价格清单，并提交询价或计价依据；</w:t>
                </w:r>
              </w:p>
              <w:p w14:paraId="6F83E918">
                <w:pPr>
                  <w:spacing w:line="360" w:lineRule="auto"/>
                  <w:rPr>
                    <w:rStyle w:val="411"/>
                    <w:rFonts w:hint="eastAsia"/>
                    <w:color w:val="auto"/>
                    <w:sz w:val="21"/>
                    <w:szCs w:val="21"/>
                  </w:rPr>
                </w:pPr>
                <w:r>
                  <w:rPr>
                    <w:rStyle w:val="411"/>
                    <w:color w:val="auto"/>
                    <w:sz w:val="21"/>
                    <w:szCs w:val="21"/>
                  </w:rPr>
                  <w:t>7.复核中标候选人的商务标，并提出详细的造价分析报告；</w:t>
                </w:r>
              </w:p>
              <w:p w14:paraId="32922CB0">
                <w:pPr>
                  <w:spacing w:line="360" w:lineRule="auto"/>
                  <w:rPr>
                    <w:rStyle w:val="411"/>
                    <w:rFonts w:hint="eastAsia"/>
                    <w:color w:val="auto"/>
                    <w:sz w:val="21"/>
                    <w:szCs w:val="21"/>
                  </w:rPr>
                </w:pPr>
                <w:r>
                  <w:rPr>
                    <w:rStyle w:val="411"/>
                    <w:color w:val="auto"/>
                    <w:sz w:val="21"/>
                    <w:szCs w:val="21"/>
                  </w:rPr>
                  <w:t>8.协助甲方签订合同；</w:t>
                </w:r>
              </w:p>
              <w:p w14:paraId="2CC9363A">
                <w:pPr>
                  <w:spacing w:line="360" w:lineRule="auto"/>
                  <w:rPr>
                    <w:rStyle w:val="411"/>
                    <w:rFonts w:hint="eastAsia"/>
                    <w:color w:val="auto"/>
                    <w:sz w:val="21"/>
                    <w:szCs w:val="21"/>
                  </w:rPr>
                </w:pPr>
                <w:r>
                  <w:rPr>
                    <w:rStyle w:val="411"/>
                    <w:color w:val="auto"/>
                    <w:sz w:val="21"/>
                    <w:szCs w:val="21"/>
                  </w:rPr>
                  <w:t>9.编制投资控制形象进度表，按支付节点分解投标报价；</w:t>
                </w:r>
              </w:p>
              <w:p w14:paraId="3E322430">
                <w:pPr>
                  <w:spacing w:line="360" w:lineRule="auto"/>
                  <w:rPr>
                    <w:rStyle w:val="411"/>
                    <w:rFonts w:hint="eastAsia"/>
                    <w:color w:val="auto"/>
                    <w:sz w:val="21"/>
                    <w:szCs w:val="21"/>
                  </w:rPr>
                </w:pPr>
                <w:r>
                  <w:rPr>
                    <w:rStyle w:val="411"/>
                    <w:color w:val="auto"/>
                    <w:sz w:val="21"/>
                    <w:szCs w:val="21"/>
                  </w:rPr>
                  <w:t>10.施工过程中，参与工程量及工程进度款支付的复核工作；</w:t>
                </w:r>
              </w:p>
              <w:p w14:paraId="24A32C77">
                <w:pPr>
                  <w:spacing w:line="360" w:lineRule="auto"/>
                  <w:rPr>
                    <w:rStyle w:val="411"/>
                    <w:rFonts w:hint="eastAsia"/>
                    <w:color w:val="auto"/>
                    <w:sz w:val="21"/>
                    <w:szCs w:val="21"/>
                  </w:rPr>
                </w:pPr>
                <w:r>
                  <w:rPr>
                    <w:rStyle w:val="411"/>
                    <w:color w:val="auto"/>
                    <w:sz w:val="21"/>
                    <w:szCs w:val="21"/>
                  </w:rPr>
                  <w:t>11.参与工程变更及现场签证的计量、计价复核工作，及时按甲方要求编制工程变更概算、工程变更预算、现场签证概算、现场签证预算及其他方案的工程造价工作；</w:t>
                </w:r>
              </w:p>
              <w:p w14:paraId="22EDA1B5">
                <w:pPr>
                  <w:spacing w:line="360" w:lineRule="auto"/>
                  <w:rPr>
                    <w:rStyle w:val="411"/>
                    <w:rFonts w:hint="eastAsia"/>
                    <w:color w:val="auto"/>
                    <w:sz w:val="21"/>
                    <w:szCs w:val="21"/>
                  </w:rPr>
                </w:pPr>
                <w:r>
                  <w:rPr>
                    <w:rStyle w:val="411"/>
                    <w:color w:val="auto"/>
                    <w:sz w:val="21"/>
                    <w:szCs w:val="21"/>
                  </w:rPr>
                  <w:t>12.按甲方要求按时保质保量完成分阶段结算工作；</w:t>
                </w:r>
              </w:p>
              <w:p w14:paraId="11615361">
                <w:pPr>
                  <w:spacing w:line="360" w:lineRule="auto"/>
                  <w:rPr>
                    <w:rStyle w:val="411"/>
                    <w:rFonts w:hint="eastAsia"/>
                    <w:color w:val="auto"/>
                    <w:sz w:val="21"/>
                    <w:szCs w:val="21"/>
                  </w:rPr>
                </w:pPr>
                <w:r>
                  <w:rPr>
                    <w:rStyle w:val="411"/>
                    <w:color w:val="auto"/>
                    <w:sz w:val="21"/>
                    <w:szCs w:val="21"/>
                  </w:rPr>
                  <w:t>13.编制审核工程竣工结算，协助完成结算审计工作；</w:t>
                </w:r>
              </w:p>
              <w:p w14:paraId="5DC873AC">
                <w:pPr>
                  <w:spacing w:line="360" w:lineRule="auto"/>
                  <w:rPr>
                    <w:rStyle w:val="411"/>
                    <w:rFonts w:hint="eastAsia"/>
                    <w:color w:val="auto"/>
                    <w:sz w:val="21"/>
                    <w:szCs w:val="21"/>
                  </w:rPr>
                </w:pPr>
                <w:r>
                  <w:rPr>
                    <w:rStyle w:val="411"/>
                    <w:color w:val="auto"/>
                    <w:sz w:val="21"/>
                    <w:szCs w:val="21"/>
                  </w:rPr>
                  <w:t>14.按需要与甲方一起到工地现场解决有关造价事宜（包含材料询价等工作）；全过程成本控制，主动、及时地发现并向甲方汇报任何可能影响成本的事项，提出相关改善建议；</w:t>
                </w:r>
              </w:p>
              <w:p w14:paraId="6E0A799A">
                <w:pPr>
                  <w:spacing w:line="360" w:lineRule="auto"/>
                  <w:rPr>
                    <w:rStyle w:val="411"/>
                    <w:rFonts w:hint="eastAsia"/>
                    <w:color w:val="auto"/>
                    <w:sz w:val="21"/>
                    <w:szCs w:val="21"/>
                  </w:rPr>
                </w:pPr>
                <w:r>
                  <w:rPr>
                    <w:rStyle w:val="411"/>
                    <w:color w:val="auto"/>
                    <w:sz w:val="21"/>
                    <w:szCs w:val="21"/>
                  </w:rPr>
                  <w:t>15.结算完成后，协助甲方进行经济技术指标分析和完成项目财务决算；</w:t>
                </w:r>
              </w:p>
              <w:p w14:paraId="22E80D45">
                <w:pPr>
                  <w:spacing w:line="360" w:lineRule="auto"/>
                  <w:rPr>
                    <w:rStyle w:val="411"/>
                    <w:rFonts w:hint="eastAsia"/>
                    <w:color w:val="auto"/>
                    <w:sz w:val="21"/>
                    <w:szCs w:val="21"/>
                  </w:rPr>
                </w:pPr>
                <w:r>
                  <w:rPr>
                    <w:rStyle w:val="411"/>
                    <w:color w:val="auto"/>
                    <w:sz w:val="21"/>
                    <w:szCs w:val="21"/>
                  </w:rPr>
                  <w:t>16.结算完成后，协助完成甲方、甲方委托的其他第三方、上级主管部门的造价审核；</w:t>
                </w:r>
              </w:p>
              <w:p w14:paraId="3B51E184">
                <w:pPr>
                  <w:spacing w:line="360" w:lineRule="auto"/>
                  <w:rPr>
                    <w:rStyle w:val="411"/>
                    <w:rFonts w:hint="eastAsia"/>
                    <w:color w:val="auto"/>
                    <w:sz w:val="21"/>
                    <w:szCs w:val="21"/>
                  </w:rPr>
                </w:pPr>
                <w:r>
                  <w:rPr>
                    <w:rStyle w:val="411"/>
                    <w:color w:val="auto"/>
                    <w:sz w:val="21"/>
                    <w:szCs w:val="21"/>
                  </w:rPr>
                  <w:t>17.配合甲方对施工、设计、监理等各参建单位进行履约考评，并出具书面的评价意见；</w:t>
                </w:r>
              </w:p>
              <w:p w14:paraId="4F454970">
                <w:pPr>
                  <w:spacing w:line="360" w:lineRule="auto"/>
                  <w:rPr>
                    <w:rStyle w:val="411"/>
                    <w:rFonts w:hint="eastAsia"/>
                    <w:color w:val="auto"/>
                    <w:sz w:val="21"/>
                    <w:szCs w:val="21"/>
                  </w:rPr>
                </w:pPr>
                <w:r>
                  <w:rPr>
                    <w:rStyle w:val="411"/>
                    <w:color w:val="auto"/>
                    <w:sz w:val="21"/>
                    <w:szCs w:val="21"/>
                  </w:rPr>
                  <w:t>18.根据甲方安排，配合对设计、监理单位进行绩效评价，并及时提交书面的绩效意见；</w:t>
                </w:r>
              </w:p>
              <w:p w14:paraId="301F2847">
                <w:pPr>
                  <w:spacing w:line="360" w:lineRule="auto"/>
                  <w:rPr>
                    <w:rStyle w:val="411"/>
                    <w:rFonts w:hint="eastAsia"/>
                    <w:color w:val="auto"/>
                    <w:sz w:val="21"/>
                    <w:szCs w:val="21"/>
                  </w:rPr>
                </w:pPr>
                <w:r>
                  <w:rPr>
                    <w:rStyle w:val="411"/>
                    <w:color w:val="auto"/>
                    <w:sz w:val="21"/>
                    <w:szCs w:val="21"/>
                  </w:rPr>
                  <w:t>19.乙方应按甲方要求派责任心及沟通、组织协调能力均较强的造价咨询人员按时参加甲方组织的相关会议，具体时间根据甲方要求执行；</w:t>
                </w:r>
              </w:p>
              <w:p w14:paraId="3658F66C">
                <w:pPr>
                  <w:spacing w:line="360" w:lineRule="auto"/>
                  <w:rPr>
                    <w:rStyle w:val="411"/>
                    <w:rFonts w:hint="eastAsia"/>
                    <w:color w:val="auto"/>
                    <w:sz w:val="21"/>
                    <w:szCs w:val="21"/>
                  </w:rPr>
                </w:pPr>
                <w:r>
                  <w:rPr>
                    <w:rStyle w:val="411"/>
                    <w:color w:val="auto"/>
                    <w:sz w:val="21"/>
                    <w:szCs w:val="21"/>
                  </w:rPr>
                  <w:t>20.工程建设其他费用中的设计、监理、勘察等所有合同的造价咨询工作；</w:t>
                </w:r>
              </w:p>
              <w:p w14:paraId="0DF263C8">
                <w:pPr>
                  <w:spacing w:line="360" w:lineRule="auto"/>
                  <w:rPr>
                    <w:rStyle w:val="411"/>
                    <w:rFonts w:hint="eastAsia"/>
                    <w:color w:val="auto"/>
                    <w:sz w:val="21"/>
                    <w:szCs w:val="21"/>
                  </w:rPr>
                </w:pPr>
                <w:r>
                  <w:rPr>
                    <w:rStyle w:val="411"/>
                    <w:color w:val="auto"/>
                    <w:sz w:val="21"/>
                    <w:szCs w:val="21"/>
                  </w:rPr>
                  <w:t>21.项目所有工程结算完毕后，出具项目投资控制总结报告，报告中应包含履约情况自我评价、投资控制情况汇报、造价指标分析、投资控制存在的问题及建议等。</w:t>
                </w:r>
              </w:p>
              <w:p w14:paraId="26EA9B44">
                <w:pPr>
                  <w:spacing w:line="360" w:lineRule="auto"/>
                  <w:rPr>
                    <w:rStyle w:val="411"/>
                    <w:rFonts w:hint="eastAsia"/>
                    <w:color w:val="auto"/>
                    <w:sz w:val="21"/>
                    <w:szCs w:val="21"/>
                  </w:rPr>
                </w:pPr>
                <w:r>
                  <w:rPr>
                    <w:rStyle w:val="411"/>
                    <w:color w:val="auto"/>
                    <w:sz w:val="21"/>
                    <w:szCs w:val="21"/>
                  </w:rPr>
                  <w:t>22.其他造价咨询服务相关内容。</w:t>
                </w:r>
              </w:p>
              <w:p w14:paraId="75D40D97">
                <w:pPr>
                  <w:numPr>
                    <w:ilvl w:val="0"/>
                    <w:numId w:val="0"/>
                  </w:numPr>
                  <w:ind w:firstLine="420"/>
                  <w:rPr>
                    <w:rFonts w:ascii="宋体" w:hAnsi="宋体"/>
                    <w:color w:val="auto"/>
                    <w:szCs w:val="21"/>
                  </w:rPr>
                </w:pPr>
                <w:r>
                  <w:rPr>
                    <w:rFonts w:hint="eastAsia" w:ascii="宋体" w:hAnsi="宋体" w:eastAsia="宋体" w:cs="Times New Roman"/>
                    <w:b/>
                    <w:bCs/>
                    <w:color w:val="auto"/>
                    <w:kern w:val="2"/>
                    <w:sz w:val="21"/>
                    <w:szCs w:val="21"/>
                    <w:highlight w:val="none"/>
                    <w:lang w:val="en-US" w:eastAsia="zh-CN" w:bidi="ar"/>
                  </w:rPr>
                  <w:t>预计年度小型工程项目建安费总计约2000万元,最终实际金额以我方单次正式委托《造价咨询服务委托合同》为准。</w:t>
                </w:r>
                <w:bookmarkEnd w:id="31"/>
                <w:r>
                  <w:rPr>
                    <w:rFonts w:hint="eastAsia" w:ascii="宋体" w:hAnsi="宋体"/>
                    <w:b/>
                    <w:bCs/>
                    <w:color w:val="auto"/>
                    <w:szCs w:val="21"/>
                    <w:highlight w:val="none"/>
                  </w:rPr>
                  <w:t>双方确认，本项目招标文件及</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框架协议</w:t>
                </w:r>
                <w:r>
                  <w:rPr>
                    <w:rFonts w:hint="eastAsia" w:ascii="宋体" w:hAnsi="宋体"/>
                    <w:b/>
                    <w:bCs/>
                    <w:color w:val="auto"/>
                    <w:szCs w:val="21"/>
                    <w:highlight w:val="none"/>
                    <w:lang w:eastAsia="zh-CN"/>
                  </w:rPr>
                  <w:t>》</w:t>
                </w:r>
                <w:r>
                  <w:rPr>
                    <w:rFonts w:hint="eastAsia" w:ascii="宋体" w:hAnsi="宋体"/>
                    <w:b/>
                    <w:bCs/>
                    <w:color w:val="auto"/>
                    <w:szCs w:val="21"/>
                    <w:highlight w:val="none"/>
                  </w:rPr>
                  <w:t>所载“预计年度小型工程项目建安费总计约2000万元”之信息，仅为</w:t>
                </w:r>
                <w:r>
                  <w:rPr>
                    <w:rFonts w:hint="eastAsia" w:ascii="宋体" w:hAnsi="宋体"/>
                    <w:b/>
                    <w:bCs/>
                    <w:color w:val="auto"/>
                    <w:szCs w:val="21"/>
                    <w:highlight w:val="none"/>
                    <w:lang w:val="en-US" w:eastAsia="zh-CN"/>
                  </w:rPr>
                  <w:t>我</w:t>
                </w:r>
                <w:r>
                  <w:rPr>
                    <w:rFonts w:hint="eastAsia" w:ascii="宋体" w:hAnsi="宋体"/>
                    <w:b/>
                    <w:bCs/>
                    <w:color w:val="auto"/>
                    <w:szCs w:val="21"/>
                    <w:highlight w:val="none"/>
                  </w:rPr>
                  <w:t>方基于当前情况作出的非约束性、粗略性预估，供乙方</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投标人</w:t>
                </w:r>
                <w:r>
                  <w:rPr>
                    <w:rFonts w:hint="eastAsia" w:ascii="宋体" w:hAnsi="宋体"/>
                    <w:b/>
                    <w:bCs/>
                    <w:color w:val="auto"/>
                    <w:szCs w:val="21"/>
                    <w:highlight w:val="none"/>
                    <w:lang w:eastAsia="zh-CN"/>
                  </w:rPr>
                  <w:t>）</w:t>
                </w:r>
                <w:r>
                  <w:rPr>
                    <w:rFonts w:hint="eastAsia" w:ascii="宋体" w:hAnsi="宋体"/>
                    <w:b/>
                    <w:bCs/>
                    <w:color w:val="auto"/>
                    <w:szCs w:val="21"/>
                    <w:highlight w:val="none"/>
                  </w:rPr>
                  <w:t>参考，不作为双方权利义务的依据。乙方确认其报价及投入系基于其自身的商业判断，并未依赖或信赖上述预估金额。最终实际发生的服务费用以双方另行签署的《造价咨询服务委托合同》等书面材料为准。在任何情况下，甲方均不因实际委托金额与预估金额之间的差异而对乙方承担任何性质的责任。</w:t>
                </w:r>
              </w:p>
            </w:sdtContent>
          </w:sdt>
        </w:tc>
      </w:tr>
      <w:tr w14:paraId="346A5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21" w:hRule="atLeast"/>
        </w:trPr>
        <w:tc>
          <w:tcPr>
            <w:tcW w:w="507" w:type="pct"/>
            <w:shd w:val="clear" w:color="auto" w:fill="FFFFFF"/>
            <w:vAlign w:val="center"/>
          </w:tcPr>
          <w:p w14:paraId="4694B0D1">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1B6FE5D0">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b/>
                <w:bCs/>
                <w:color w:val="auto"/>
                <w:szCs w:val="21"/>
              </w:rPr>
              <w:t>★</w:t>
            </w:r>
            <w:r>
              <w:rPr>
                <w:rFonts w:hint="eastAsia" w:ascii="宋体" w:hAnsi="宋体"/>
                <w:color w:val="auto"/>
                <w:szCs w:val="21"/>
              </w:rPr>
              <w:t>服务期</w:t>
            </w:r>
          </w:p>
        </w:tc>
        <w:tc>
          <w:tcPr>
            <w:tcW w:w="3405" w:type="pct"/>
            <w:shd w:val="clear" w:color="auto" w:fill="FFFFFF"/>
            <w:vAlign w:val="center"/>
          </w:tcPr>
          <w:p w14:paraId="67B73FB2">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highlight w:val="none"/>
                <w:lang w:val="en-US" w:eastAsia="zh-CN"/>
              </w:rPr>
              <w:t>合同签订之日</w:t>
            </w:r>
            <w:r>
              <w:rPr>
                <w:rFonts w:hint="eastAsia" w:ascii="宋体" w:hAnsi="宋体"/>
                <w:color w:val="auto"/>
                <w:szCs w:val="21"/>
                <w:highlight w:val="none"/>
              </w:rPr>
              <w:t>起的</w:t>
            </w:r>
            <w:r>
              <w:rPr>
                <w:rFonts w:hint="eastAsia" w:ascii="宋体" w:hAnsi="宋体"/>
                <w:color w:val="auto"/>
                <w:szCs w:val="21"/>
                <w:highlight w:val="none"/>
                <w:lang w:val="en-US" w:eastAsia="zh-CN"/>
              </w:rPr>
              <w:t>1</w:t>
            </w:r>
            <w:r>
              <w:rPr>
                <w:rFonts w:hint="eastAsia" w:ascii="宋体" w:hAnsi="宋体"/>
                <w:color w:val="auto"/>
                <w:szCs w:val="21"/>
                <w:highlight w:val="none"/>
              </w:rPr>
              <w:t>年</w:t>
            </w:r>
            <w:r>
              <w:rPr>
                <w:rFonts w:hint="eastAsia" w:ascii="宋体" w:hAnsi="宋体"/>
                <w:color w:val="auto"/>
                <w:szCs w:val="21"/>
                <w:highlight w:val="none"/>
                <w:lang w:eastAsia="zh-CN"/>
              </w:rPr>
              <w:t>，</w:t>
            </w:r>
            <w:r>
              <w:rPr>
                <w:rFonts w:hint="eastAsia" w:ascii="宋体" w:hAnsi="宋体" w:cs="Times New Roman"/>
                <w:color w:val="auto"/>
                <w:szCs w:val="21"/>
                <w:highlight w:val="none"/>
                <w:lang w:val="en-US" w:eastAsia="zh-CN"/>
              </w:rPr>
              <w:t>年度评价优秀方可续签，最多续签2次，单次不超过12个月，总服务期不超过36个月。</w:t>
            </w:r>
          </w:p>
        </w:tc>
      </w:tr>
      <w:tr w14:paraId="071B1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26" w:hRule="atLeast"/>
        </w:trPr>
        <w:tc>
          <w:tcPr>
            <w:tcW w:w="507" w:type="pct"/>
            <w:shd w:val="clear" w:color="auto" w:fill="FFFFFF"/>
            <w:vAlign w:val="center"/>
          </w:tcPr>
          <w:p w14:paraId="098C387C">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1D90BBBC">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服务</w:t>
            </w:r>
            <w:r>
              <w:rPr>
                <w:rFonts w:ascii="宋体" w:hAnsi="宋体"/>
                <w:color w:val="auto"/>
                <w:szCs w:val="21"/>
              </w:rPr>
              <w:t>地点</w:t>
            </w:r>
          </w:p>
        </w:tc>
        <w:tc>
          <w:tcPr>
            <w:tcW w:w="3405" w:type="pct"/>
            <w:shd w:val="clear" w:color="auto" w:fill="FFFFFF"/>
            <w:vAlign w:val="center"/>
          </w:tcPr>
          <w:p w14:paraId="328EFA14">
            <w:pPr>
              <w:widowControl w:val="0"/>
              <w:autoSpaceDE w:val="0"/>
              <w:autoSpaceDN w:val="0"/>
              <w:adjustRightInd w:val="0"/>
              <w:snapToGrid w:val="0"/>
              <w:ind w:firstLine="0" w:firstLineChars="0"/>
              <w:rPr>
                <w:rFonts w:ascii="宋体" w:hAnsi="宋体"/>
                <w:color w:val="auto"/>
                <w:szCs w:val="21"/>
              </w:rPr>
            </w:pPr>
            <w:r>
              <w:rPr>
                <w:rFonts w:hint="eastAsia" w:ascii="宋体" w:hAnsi="宋体" w:eastAsia="宋体" w:cs="Times New Roman"/>
                <w:color w:val="auto"/>
                <w:szCs w:val="21"/>
                <w:highlight w:val="none"/>
                <w:lang w:val="en-US" w:eastAsia="zh-CN"/>
              </w:rPr>
              <w:t>深圳市体育产业集团有限公司及所属全资、控股企业</w:t>
            </w:r>
            <w:r>
              <w:rPr>
                <w:rFonts w:hint="eastAsia" w:ascii="宋体" w:hAnsi="宋体" w:cs="Times New Roman"/>
                <w:color w:val="auto"/>
                <w:szCs w:val="21"/>
                <w:highlight w:val="none"/>
                <w:lang w:val="en-US" w:eastAsia="zh-CN"/>
              </w:rPr>
              <w:t>所在地。</w:t>
            </w:r>
          </w:p>
        </w:tc>
      </w:tr>
      <w:tr w14:paraId="094D7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91" w:hRule="atLeast"/>
        </w:trPr>
        <w:tc>
          <w:tcPr>
            <w:tcW w:w="507" w:type="pct"/>
            <w:shd w:val="clear" w:color="auto" w:fill="FFFFFF"/>
            <w:vAlign w:val="center"/>
          </w:tcPr>
          <w:p w14:paraId="73AC2024">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007BE3D4">
            <w:pPr>
              <w:widowControl w:val="0"/>
              <w:autoSpaceDE w:val="0"/>
              <w:autoSpaceDN w:val="0"/>
              <w:adjustRightInd w:val="0"/>
              <w:snapToGrid w:val="0"/>
              <w:ind w:firstLine="0" w:firstLineChars="0"/>
              <w:jc w:val="center"/>
              <w:rPr>
                <w:rFonts w:ascii="宋体" w:hAnsi="宋体"/>
                <w:color w:val="auto"/>
                <w:szCs w:val="21"/>
              </w:rPr>
            </w:pPr>
            <w:r>
              <w:rPr>
                <w:rFonts w:ascii="宋体" w:hAnsi="宋体"/>
                <w:color w:val="auto"/>
                <w:szCs w:val="21"/>
              </w:rPr>
              <w:t>投标人资格要求</w:t>
            </w:r>
          </w:p>
        </w:tc>
        <w:tc>
          <w:tcPr>
            <w:tcW w:w="3405" w:type="pct"/>
            <w:shd w:val="clear" w:color="auto" w:fill="FFFFFF"/>
            <w:vAlign w:val="center"/>
          </w:tcPr>
          <w:p w14:paraId="19C462DA">
            <w:pPr>
              <w:widowControl/>
              <w:autoSpaceDE/>
              <w:autoSpaceDN/>
              <w:adjustRightInd/>
              <w:snapToGrid/>
              <w:ind w:firstLine="0" w:firstLineChars="0"/>
              <w:jc w:val="left"/>
              <w:rPr>
                <w:rFonts w:hint="eastAsia" w:ascii="宋体" w:hAnsi="宋体"/>
                <w:color w:val="auto"/>
                <w:szCs w:val="21"/>
                <w:highlight w:val="none"/>
              </w:rPr>
            </w:pPr>
            <w:r>
              <w:rPr>
                <w:rFonts w:hint="eastAsia" w:ascii="宋体" w:hAnsi="宋体"/>
                <w:color w:val="auto"/>
                <w:szCs w:val="21"/>
                <w:highlight w:val="none"/>
              </w:rPr>
              <w:t>（一）投标人是在中华人民共和国境内注册的</w:t>
            </w:r>
            <w:r>
              <w:rPr>
                <w:rFonts w:hint="eastAsia" w:ascii="宋体" w:hAnsi="宋体"/>
                <w:color w:val="auto"/>
                <w:szCs w:val="21"/>
                <w:highlight w:val="none"/>
                <w:lang w:eastAsia="zh-CN"/>
              </w:rPr>
              <w:t>独立法人或其他组织</w:t>
            </w:r>
            <w:r>
              <w:rPr>
                <w:rFonts w:hint="eastAsia" w:ascii="宋体" w:hAnsi="宋体"/>
                <w:color w:val="auto"/>
                <w:szCs w:val="21"/>
                <w:highlight w:val="none"/>
              </w:rPr>
              <w:t>，提供下列证明材料：</w:t>
            </w:r>
            <w:r>
              <w:rPr>
                <w:rFonts w:hint="eastAsia" w:ascii="宋体" w:hAnsi="宋体" w:eastAsia="宋体" w:cs="Times New Roman"/>
                <w:color w:val="auto"/>
                <w:kern w:val="2"/>
                <w:sz w:val="21"/>
                <w:szCs w:val="21"/>
                <w:highlight w:val="none"/>
                <w:lang w:val="en-US" w:eastAsia="zh-CN" w:bidi="ar"/>
              </w:rPr>
              <w:t>营业执照、事业单位法人证书或政府部门颁发的其他商业登记材料，复印件加盖投标人公章</w:t>
            </w:r>
            <w:r>
              <w:rPr>
                <w:rFonts w:hint="eastAsia" w:ascii="宋体" w:hAnsi="宋体"/>
                <w:color w:val="auto"/>
                <w:szCs w:val="21"/>
                <w:highlight w:val="none"/>
              </w:rPr>
              <w:t>。</w:t>
            </w:r>
          </w:p>
          <w:p w14:paraId="699933D5">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（二）投标人单位负责人为同一人或者存在控股、管理关系的不同单位，不得参加同一标段投标或者未划分标段的同一招标项目投标，否则相关投标均无效。【提供承诺书（格式详见第五章投标文件格式—</w:t>
            </w:r>
            <w:r>
              <w:rPr>
                <w:rFonts w:hint="eastAsia" w:ascii="宋体" w:hAnsi="宋体"/>
                <w:color w:val="auto"/>
                <w:szCs w:val="21"/>
                <w:highlight w:val="none"/>
                <w:lang w:val="en-US" w:eastAsia="zh-CN"/>
              </w:rPr>
              <w:t>A4</w:t>
            </w:r>
            <w:r>
              <w:rPr>
                <w:rFonts w:hint="eastAsia" w:ascii="宋体" w:hAnsi="宋体"/>
                <w:color w:val="auto"/>
                <w:szCs w:val="21"/>
                <w:highlight w:val="none"/>
              </w:rPr>
              <w:t>、承诺书）】</w:t>
            </w:r>
          </w:p>
          <w:p w14:paraId="44403D57">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（三）参与本项目投标前三年内（投标截止时间止, 成立不足三年的可从成立之日起算），在经营活动中没有重大违法记录。【提供承诺书（格式详见第五章投标文件格式—</w:t>
            </w:r>
            <w:r>
              <w:rPr>
                <w:rFonts w:hint="eastAsia" w:ascii="宋体" w:hAnsi="宋体"/>
                <w:color w:val="auto"/>
                <w:szCs w:val="21"/>
                <w:highlight w:val="none"/>
                <w:lang w:val="en-US" w:eastAsia="zh-CN"/>
              </w:rPr>
              <w:t>A4</w:t>
            </w:r>
            <w:r>
              <w:rPr>
                <w:rFonts w:hint="eastAsia" w:ascii="宋体" w:hAnsi="宋体"/>
                <w:color w:val="auto"/>
                <w:szCs w:val="21"/>
                <w:highlight w:val="none"/>
              </w:rPr>
              <w:t>、承诺书）】</w:t>
            </w:r>
          </w:p>
          <w:p w14:paraId="7C53AFA9">
            <w:pPr>
              <w:widowControl w:val="0"/>
              <w:autoSpaceDE w:val="0"/>
              <w:autoSpaceDN w:val="0"/>
              <w:adjustRightInd w:val="0"/>
              <w:snapToGrid w:val="0"/>
              <w:ind w:firstLine="0" w:firstLineChars="0"/>
              <w:rPr>
                <w:color w:val="auto"/>
              </w:rPr>
            </w:pPr>
            <w:r>
              <w:rPr>
                <w:rFonts w:hint="eastAsia" w:ascii="宋体" w:hAnsi="宋体"/>
                <w:color w:val="auto"/>
                <w:szCs w:val="21"/>
                <w:highlight w:val="none"/>
              </w:rPr>
              <w:t>（四）本项目不接受联合体投标。</w:t>
            </w:r>
          </w:p>
        </w:tc>
      </w:tr>
      <w:tr w14:paraId="73439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shd w:val="clear" w:color="auto" w:fill="FFFFFF"/>
            <w:vAlign w:val="center"/>
          </w:tcPr>
          <w:p w14:paraId="474D5B72">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24F4FC38">
            <w:pPr>
              <w:widowControl w:val="0"/>
              <w:autoSpaceDE w:val="0"/>
              <w:autoSpaceDN w:val="0"/>
              <w:adjustRightInd w:val="0"/>
              <w:snapToGrid w:val="0"/>
              <w:ind w:firstLine="0" w:firstLineChars="0"/>
              <w:jc w:val="center"/>
              <w:rPr>
                <w:rFonts w:ascii="宋体" w:hAnsi="宋体"/>
                <w:color w:val="auto"/>
                <w:kern w:val="0"/>
                <w:szCs w:val="21"/>
              </w:rPr>
            </w:pPr>
            <w:r>
              <w:rPr>
                <w:rFonts w:hint="eastAsia" w:ascii="宋体" w:hAnsi="宋体"/>
                <w:color w:val="auto"/>
                <w:kern w:val="0"/>
                <w:szCs w:val="21"/>
              </w:rPr>
              <w:t>是否接受</w:t>
            </w:r>
          </w:p>
          <w:p w14:paraId="35401342">
            <w:pPr>
              <w:widowControl w:val="0"/>
              <w:autoSpaceDE w:val="0"/>
              <w:autoSpaceDN w:val="0"/>
              <w:adjustRightInd w:val="0"/>
              <w:snapToGrid w:val="0"/>
              <w:ind w:firstLine="0" w:firstLineChars="0"/>
              <w:jc w:val="center"/>
              <w:rPr>
                <w:rFonts w:ascii="宋体" w:hAnsi="宋体"/>
                <w:color w:val="auto"/>
                <w:kern w:val="0"/>
                <w:szCs w:val="21"/>
              </w:rPr>
            </w:pPr>
            <w:r>
              <w:rPr>
                <w:rFonts w:hint="eastAsia" w:ascii="宋体" w:hAnsi="宋体"/>
                <w:color w:val="auto"/>
                <w:kern w:val="0"/>
                <w:szCs w:val="21"/>
              </w:rPr>
              <w:t>联合体投标</w:t>
            </w:r>
          </w:p>
        </w:tc>
        <w:tc>
          <w:tcPr>
            <w:tcW w:w="3405" w:type="pct"/>
            <w:shd w:val="clear" w:color="auto" w:fill="FFFFFF"/>
            <w:vAlign w:val="center"/>
          </w:tcPr>
          <w:p w14:paraId="044CDFAD">
            <w:pPr>
              <w:widowControl w:val="0"/>
              <w:autoSpaceDE w:val="0"/>
              <w:autoSpaceDN w:val="0"/>
              <w:adjustRightInd w:val="0"/>
              <w:snapToGrid w:val="0"/>
              <w:ind w:firstLine="0" w:firstLineChars="0"/>
              <w:rPr>
                <w:rFonts w:ascii="宋体" w:hAnsi="宋体"/>
                <w:color w:val="auto"/>
                <w:kern w:val="0"/>
                <w:szCs w:val="21"/>
              </w:rPr>
            </w:pPr>
            <w:r>
              <w:rPr>
                <w:rFonts w:hint="eastAsia" w:ascii="宋体" w:hAnsi="宋体"/>
                <w:color w:val="auto"/>
                <w:szCs w:val="21"/>
              </w:rPr>
              <w:t>☑</w:t>
            </w:r>
            <w:r>
              <w:rPr>
                <w:rFonts w:hint="eastAsia" w:ascii="宋体" w:hAnsi="宋体"/>
                <w:color w:val="auto"/>
                <w:kern w:val="0"/>
                <w:szCs w:val="21"/>
              </w:rPr>
              <w:t>不接受</w:t>
            </w:r>
          </w:p>
          <w:p w14:paraId="3B0D2AFB">
            <w:pPr>
              <w:widowControl w:val="0"/>
              <w:autoSpaceDE w:val="0"/>
              <w:autoSpaceDN w:val="0"/>
              <w:adjustRightInd w:val="0"/>
              <w:snapToGrid w:val="0"/>
              <w:ind w:firstLine="0" w:firstLineChars="0"/>
              <w:rPr>
                <w:rFonts w:hint="eastAsia" w:ascii="宋体" w:hAnsi="宋体" w:eastAsia="宋体"/>
                <w:color w:val="auto"/>
                <w:kern w:val="0"/>
                <w:szCs w:val="21"/>
                <w:u w:val="single"/>
                <w:lang w:eastAsia="zh-CN"/>
              </w:rPr>
            </w:pPr>
            <w:r>
              <w:rPr>
                <w:rFonts w:hint="eastAsia" w:ascii="宋体" w:hAnsi="宋体"/>
                <w:color w:val="auto"/>
                <w:kern w:val="0"/>
                <w:szCs w:val="21"/>
              </w:rPr>
              <w:t>□接受，应满足下列要求：</w:t>
            </w:r>
          </w:p>
        </w:tc>
      </w:tr>
      <w:tr w14:paraId="7CF45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shd w:val="clear" w:color="auto" w:fill="FFFFFF"/>
            <w:vAlign w:val="center"/>
          </w:tcPr>
          <w:p w14:paraId="37919714">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65BB2B17">
            <w:pPr>
              <w:widowControl w:val="0"/>
              <w:autoSpaceDE w:val="0"/>
              <w:autoSpaceDN w:val="0"/>
              <w:adjustRightInd w:val="0"/>
              <w:snapToGrid w:val="0"/>
              <w:ind w:firstLine="0" w:firstLineChars="0"/>
              <w:jc w:val="center"/>
              <w:rPr>
                <w:rFonts w:ascii="宋体" w:hAnsi="宋体"/>
                <w:color w:val="auto"/>
                <w:szCs w:val="21"/>
                <w:shd w:val="clear" w:color="auto" w:fill="FFFFFF"/>
              </w:rPr>
            </w:pPr>
            <w:r>
              <w:rPr>
                <w:rFonts w:ascii="宋体" w:hAnsi="宋体"/>
                <w:color w:val="auto"/>
                <w:szCs w:val="21"/>
                <w:shd w:val="clear" w:color="auto" w:fill="FFFFFF"/>
              </w:rPr>
              <w:t>踏勘</w:t>
            </w:r>
            <w:r>
              <w:rPr>
                <w:rFonts w:hint="eastAsia" w:ascii="宋体" w:hAnsi="宋体"/>
                <w:color w:val="auto"/>
                <w:szCs w:val="21"/>
                <w:shd w:val="clear" w:color="auto" w:fill="FFFFFF"/>
              </w:rPr>
              <w:t>现场</w:t>
            </w:r>
          </w:p>
        </w:tc>
        <w:tc>
          <w:tcPr>
            <w:tcW w:w="3405" w:type="pct"/>
            <w:shd w:val="clear" w:color="auto" w:fill="FFFFFF"/>
            <w:vAlign w:val="center"/>
          </w:tcPr>
          <w:p w14:paraId="0D0ADA9D">
            <w:pPr>
              <w:widowControl w:val="0"/>
              <w:autoSpaceDE w:val="0"/>
              <w:autoSpaceDN w:val="0"/>
              <w:adjustRightInd w:val="0"/>
              <w:snapToGrid w:val="0"/>
              <w:ind w:firstLine="0" w:firstLineChars="0"/>
              <w:rPr>
                <w:rFonts w:ascii="宋体" w:hAnsi="宋体"/>
                <w:color w:val="auto"/>
                <w:kern w:val="0"/>
                <w:szCs w:val="21"/>
                <w:shd w:val="clear" w:color="auto" w:fill="FFFFFF"/>
              </w:rPr>
            </w:pPr>
            <w:r>
              <w:rPr>
                <w:rFonts w:hint="eastAsia" w:ascii="宋体" w:hAnsi="宋体"/>
                <w:color w:val="auto"/>
                <w:szCs w:val="21"/>
              </w:rPr>
              <w:t>☑</w:t>
            </w:r>
            <w:r>
              <w:rPr>
                <w:rFonts w:hint="eastAsia" w:ascii="宋体" w:hAnsi="宋体"/>
                <w:color w:val="auto"/>
                <w:kern w:val="0"/>
                <w:szCs w:val="21"/>
                <w:shd w:val="clear" w:color="auto" w:fill="FFFFFF"/>
              </w:rPr>
              <w:t>不组织。</w:t>
            </w:r>
          </w:p>
          <w:p w14:paraId="72B714E8">
            <w:pPr>
              <w:widowControl w:val="0"/>
              <w:autoSpaceDE w:val="0"/>
              <w:autoSpaceDN w:val="0"/>
              <w:adjustRightInd w:val="0"/>
              <w:snapToGrid w:val="0"/>
              <w:ind w:firstLine="0" w:firstLineChars="0"/>
              <w:rPr>
                <w:rFonts w:ascii="宋体" w:hAnsi="宋体"/>
                <w:color w:val="auto"/>
                <w:kern w:val="0"/>
                <w:szCs w:val="21"/>
                <w:shd w:val="clear" w:color="auto" w:fill="FFFFFF"/>
              </w:rPr>
            </w:pPr>
            <w:r>
              <w:rPr>
                <w:rFonts w:hint="eastAsia" w:ascii="宋体" w:hAnsi="宋体"/>
                <w:color w:val="auto"/>
                <w:szCs w:val="21"/>
              </w:rPr>
              <w:t>□</w:t>
            </w:r>
            <w:r>
              <w:rPr>
                <w:rFonts w:hint="eastAsia" w:ascii="宋体" w:hAnsi="宋体"/>
                <w:color w:val="auto"/>
                <w:kern w:val="0"/>
                <w:szCs w:val="21"/>
                <w:shd w:val="clear" w:color="auto" w:fill="FFFFFF"/>
              </w:rPr>
              <w:t>组织：</w:t>
            </w:r>
          </w:p>
          <w:p w14:paraId="7F2F9908">
            <w:pPr>
              <w:widowControl w:val="0"/>
              <w:wordWrap w:val="0"/>
              <w:autoSpaceDE w:val="0"/>
              <w:autoSpaceDN w:val="0"/>
              <w:adjustRightInd w:val="0"/>
              <w:snapToGrid w:val="0"/>
              <w:ind w:firstLine="0" w:firstLineChars="0"/>
              <w:rPr>
                <w:rFonts w:hint="eastAsia" w:ascii="宋体" w:hAnsi="宋体" w:eastAsia="宋体"/>
                <w:color w:val="auto"/>
                <w:kern w:val="0"/>
                <w:szCs w:val="21"/>
                <w:u w:val="single"/>
                <w:lang w:eastAsia="zh-CN"/>
              </w:rPr>
            </w:pPr>
            <w:r>
              <w:rPr>
                <w:rFonts w:hint="eastAsia" w:ascii="宋体" w:hAnsi="宋体"/>
                <w:color w:val="auto"/>
                <w:kern w:val="0"/>
                <w:szCs w:val="21"/>
              </w:rPr>
              <w:t>踏勘时间：</w:t>
            </w:r>
          </w:p>
          <w:p w14:paraId="2ACD8B65">
            <w:pPr>
              <w:widowControl w:val="0"/>
              <w:wordWrap w:val="0"/>
              <w:autoSpaceDE w:val="0"/>
              <w:autoSpaceDN w:val="0"/>
              <w:adjustRightInd w:val="0"/>
              <w:snapToGrid w:val="0"/>
              <w:ind w:firstLine="0" w:firstLineChars="0"/>
              <w:rPr>
                <w:rFonts w:hint="eastAsia" w:ascii="宋体" w:hAnsi="宋体" w:eastAsia="宋体"/>
                <w:color w:val="auto"/>
                <w:kern w:val="0"/>
                <w:szCs w:val="21"/>
                <w:u w:val="single"/>
                <w:shd w:val="clear" w:color="auto" w:fill="FFFFFF"/>
                <w:lang w:eastAsia="zh-CN"/>
              </w:rPr>
            </w:pPr>
            <w:r>
              <w:rPr>
                <w:rFonts w:hint="eastAsia" w:ascii="宋体" w:hAnsi="宋体"/>
                <w:color w:val="auto"/>
                <w:kern w:val="0"/>
                <w:szCs w:val="21"/>
              </w:rPr>
              <w:t>集合地点：</w:t>
            </w:r>
          </w:p>
        </w:tc>
      </w:tr>
      <w:tr w14:paraId="6A7F0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7" w:type="pct"/>
            <w:shd w:val="clear" w:color="auto" w:fill="FFFFFF"/>
            <w:vAlign w:val="center"/>
          </w:tcPr>
          <w:p w14:paraId="54E55786">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1DE32942">
            <w:pPr>
              <w:widowControl w:val="0"/>
              <w:autoSpaceDE w:val="0"/>
              <w:autoSpaceDN w:val="0"/>
              <w:adjustRightInd w:val="0"/>
              <w:snapToGrid w:val="0"/>
              <w:ind w:firstLine="0" w:firstLineChars="0"/>
              <w:jc w:val="center"/>
              <w:rPr>
                <w:rFonts w:ascii="宋体" w:hAnsi="宋体"/>
                <w:color w:val="auto"/>
                <w:kern w:val="0"/>
                <w:szCs w:val="21"/>
              </w:rPr>
            </w:pPr>
            <w:r>
              <w:rPr>
                <w:rFonts w:hint="eastAsia" w:ascii="宋体" w:hAnsi="宋体"/>
                <w:color w:val="auto"/>
                <w:szCs w:val="21"/>
              </w:rPr>
              <w:t>响应和偏离</w:t>
            </w:r>
          </w:p>
        </w:tc>
        <w:tc>
          <w:tcPr>
            <w:tcW w:w="3405" w:type="pct"/>
            <w:shd w:val="clear" w:color="auto" w:fill="FFFFFF"/>
            <w:vAlign w:val="center"/>
          </w:tcPr>
          <w:p w14:paraId="6CBE924D">
            <w:pPr>
              <w:widowControl w:val="0"/>
              <w:autoSpaceDE w:val="0"/>
              <w:autoSpaceDN w:val="0"/>
              <w:adjustRightInd w:val="0"/>
              <w:snapToGrid w:val="0"/>
              <w:ind w:firstLine="0" w:firstLineChars="0"/>
              <w:rPr>
                <w:rFonts w:ascii="宋体" w:hAnsi="宋体" w:cs="Segoe UI Symbol"/>
                <w:color w:val="auto"/>
                <w:kern w:val="0"/>
                <w:szCs w:val="21"/>
              </w:rPr>
            </w:pPr>
            <w:r>
              <w:rPr>
                <w:rFonts w:hint="eastAsia" w:ascii="宋体" w:hAnsi="宋体" w:cs="Segoe UI Symbol"/>
                <w:color w:val="auto"/>
                <w:kern w:val="0"/>
                <w:szCs w:val="21"/>
              </w:rPr>
              <w:t>商务、技术条款响应和偏离说明如下：</w:t>
            </w:r>
          </w:p>
          <w:p w14:paraId="6718979D">
            <w:pPr>
              <w:widowControl w:val="0"/>
              <w:autoSpaceDE w:val="0"/>
              <w:autoSpaceDN w:val="0"/>
              <w:adjustRightInd w:val="0"/>
              <w:snapToGrid w:val="0"/>
              <w:ind w:firstLine="0" w:firstLineChars="0"/>
              <w:rPr>
                <w:rFonts w:ascii="宋体" w:hAnsi="宋体" w:cs="Segoe UI Symbol"/>
                <w:color w:val="auto"/>
                <w:kern w:val="0"/>
                <w:szCs w:val="21"/>
              </w:rPr>
            </w:pPr>
            <w:r>
              <w:rPr>
                <w:rFonts w:hint="eastAsia" w:ascii="宋体" w:hAnsi="宋体" w:cs="Segoe UI Symbol"/>
                <w:color w:val="auto"/>
                <w:kern w:val="0"/>
                <w:szCs w:val="21"/>
              </w:rPr>
              <w:t>严重偏离：本招标文件中标注“★”的条款未实质性响应（发生负偏离），将导致投标被否决；</w:t>
            </w:r>
          </w:p>
          <w:p w14:paraId="06902DE8">
            <w:pPr>
              <w:widowControl w:val="0"/>
              <w:autoSpaceDE w:val="0"/>
              <w:autoSpaceDN w:val="0"/>
              <w:adjustRightInd w:val="0"/>
              <w:snapToGrid w:val="0"/>
              <w:ind w:firstLine="0" w:firstLineChars="0"/>
              <w:rPr>
                <w:rFonts w:ascii="宋体" w:hAnsi="宋体" w:cs="Segoe UI Symbol"/>
                <w:color w:val="auto"/>
                <w:kern w:val="0"/>
                <w:szCs w:val="21"/>
              </w:rPr>
            </w:pPr>
            <w:r>
              <w:rPr>
                <w:rFonts w:hint="eastAsia" w:ascii="宋体" w:hAnsi="宋体" w:cs="Segoe UI Symbol"/>
                <w:color w:val="auto"/>
                <w:kern w:val="0"/>
                <w:szCs w:val="21"/>
              </w:rPr>
              <w:t>一般偏离：本招标文件中标注“▲”的条款未实质性响应（发生负偏离），将可能导致在评、定标时产生不利于投标人的影响；</w:t>
            </w:r>
          </w:p>
        </w:tc>
      </w:tr>
      <w:tr w14:paraId="145E3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7" w:type="pct"/>
            <w:vMerge w:val="restart"/>
            <w:shd w:val="clear" w:color="auto" w:fill="FFFFFF"/>
            <w:vAlign w:val="center"/>
          </w:tcPr>
          <w:p w14:paraId="12566F07">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2014A5A1">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投标货币</w:t>
            </w:r>
          </w:p>
        </w:tc>
        <w:tc>
          <w:tcPr>
            <w:tcW w:w="3405" w:type="pct"/>
            <w:shd w:val="clear" w:color="auto" w:fill="FFFFFF"/>
            <w:vAlign w:val="center"/>
          </w:tcPr>
          <w:p w14:paraId="340250B1">
            <w:pPr>
              <w:widowControl w:val="0"/>
              <w:autoSpaceDE w:val="0"/>
              <w:autoSpaceDN w:val="0"/>
              <w:adjustRightInd w:val="0"/>
              <w:snapToGrid w:val="0"/>
              <w:ind w:firstLine="0" w:firstLineChars="0"/>
              <w:rPr>
                <w:rFonts w:hint="eastAsia" w:ascii="宋体" w:hAnsi="宋体" w:eastAsia="宋体" w:cs="Segoe UI Symbol"/>
                <w:color w:val="auto"/>
                <w:kern w:val="0"/>
                <w:szCs w:val="21"/>
                <w:u w:val="single"/>
                <w:lang w:eastAsia="zh-CN"/>
              </w:rPr>
            </w:pPr>
            <w:r>
              <w:rPr>
                <w:rFonts w:hint="eastAsia" w:ascii="宋体" w:hAnsi="宋体"/>
                <w:color w:val="auto"/>
                <w:szCs w:val="21"/>
              </w:rPr>
              <w:t>☑</w:t>
            </w:r>
            <w:r>
              <w:rPr>
                <w:rFonts w:hint="eastAsia" w:ascii="宋体" w:hAnsi="宋体" w:cs="Segoe UI Symbol"/>
                <w:color w:val="auto"/>
                <w:kern w:val="0"/>
                <w:szCs w:val="21"/>
              </w:rPr>
              <w:t>人民币□其他：</w:t>
            </w:r>
          </w:p>
        </w:tc>
      </w:tr>
      <w:tr w14:paraId="170D0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7" w:type="pct"/>
            <w:vMerge w:val="continue"/>
            <w:shd w:val="clear" w:color="auto" w:fill="FFFFFF"/>
            <w:vAlign w:val="center"/>
          </w:tcPr>
          <w:p w14:paraId="3F669302">
            <w:pPr>
              <w:widowControl w:val="0"/>
              <w:autoSpaceDE w:val="0"/>
              <w:autoSpaceDN w:val="0"/>
              <w:adjustRightInd w:val="0"/>
              <w:snapToGrid w:val="0"/>
              <w:ind w:firstLine="0" w:firstLineChars="0"/>
              <w:jc w:val="center"/>
              <w:rPr>
                <w:rFonts w:ascii="宋体" w:hAnsi="宋体"/>
                <w:color w:val="auto"/>
                <w:szCs w:val="21"/>
              </w:rPr>
            </w:pPr>
          </w:p>
        </w:tc>
        <w:tc>
          <w:tcPr>
            <w:tcW w:w="1087" w:type="pct"/>
            <w:shd w:val="clear" w:color="auto" w:fill="FFFFFF"/>
            <w:vAlign w:val="center"/>
          </w:tcPr>
          <w:p w14:paraId="58BE5217">
            <w:pPr>
              <w:widowControl w:val="0"/>
              <w:autoSpaceDE w:val="0"/>
              <w:autoSpaceDN w:val="0"/>
              <w:adjustRightInd w:val="0"/>
              <w:snapToGrid w:val="0"/>
              <w:ind w:firstLine="0" w:firstLineChars="0"/>
              <w:jc w:val="center"/>
              <w:rPr>
                <w:rFonts w:ascii="宋体" w:hAnsi="宋体"/>
                <w:color w:val="auto"/>
                <w:szCs w:val="21"/>
                <w:shd w:val="clear" w:color="auto" w:fill="FFFFFF"/>
              </w:rPr>
            </w:pPr>
            <w:r>
              <w:rPr>
                <w:rFonts w:hint="eastAsia" w:ascii="宋体" w:hAnsi="宋体"/>
                <w:color w:val="auto"/>
                <w:szCs w:val="21"/>
              </w:rPr>
              <w:t>报价方式和内容</w:t>
            </w:r>
          </w:p>
        </w:tc>
        <w:tc>
          <w:tcPr>
            <w:tcW w:w="3405" w:type="pct"/>
            <w:shd w:val="clear" w:color="auto" w:fill="FFFFFF"/>
            <w:vAlign w:val="center"/>
          </w:tcPr>
          <w:p w14:paraId="08A0B4EA">
            <w:pPr>
              <w:widowControl w:val="0"/>
              <w:autoSpaceDE w:val="0"/>
              <w:autoSpaceDN w:val="0"/>
              <w:adjustRightInd w:val="0"/>
              <w:snapToGrid w:val="0"/>
              <w:ind w:firstLine="0" w:firstLineChars="0"/>
              <w:rPr>
                <w:rFonts w:ascii="宋体" w:hAnsi="宋体" w:cs="Segoe UI Symbol"/>
                <w:color w:val="auto"/>
                <w:kern w:val="0"/>
                <w:szCs w:val="21"/>
              </w:rPr>
            </w:pPr>
            <w:r>
              <w:rPr>
                <w:rFonts w:hint="eastAsia" w:ascii="宋体" w:hAnsi="宋体" w:cs="Segoe UI Symbol"/>
                <w:color w:val="auto"/>
                <w:kern w:val="0"/>
                <w:szCs w:val="21"/>
              </w:rPr>
              <w:t>1）投标报价：招标人指定服务的报价。</w:t>
            </w:r>
          </w:p>
          <w:p w14:paraId="10B7A43A">
            <w:pPr>
              <w:widowControl w:val="0"/>
              <w:autoSpaceDE w:val="0"/>
              <w:autoSpaceDN w:val="0"/>
              <w:adjustRightInd w:val="0"/>
              <w:snapToGrid w:val="0"/>
              <w:ind w:firstLine="0" w:firstLineChars="0"/>
              <w:rPr>
                <w:rFonts w:ascii="宋体" w:hAnsi="宋体"/>
                <w:color w:val="auto"/>
                <w:szCs w:val="21"/>
                <w:shd w:val="clear" w:color="auto" w:fill="FFFFFF"/>
              </w:rPr>
            </w:pPr>
            <w:r>
              <w:rPr>
                <w:rFonts w:ascii="宋体" w:hAnsi="宋体" w:cs="Segoe UI Symbol"/>
                <w:color w:val="auto"/>
                <w:kern w:val="0"/>
                <w:szCs w:val="21"/>
              </w:rPr>
              <w:t>2</w:t>
            </w:r>
            <w:r>
              <w:rPr>
                <w:rFonts w:hint="eastAsia" w:ascii="宋体" w:hAnsi="宋体" w:cs="Segoe UI Symbol"/>
                <w:color w:val="auto"/>
                <w:kern w:val="0"/>
                <w:szCs w:val="21"/>
              </w:rPr>
              <w:t>）投标报价应包含的相关费用包括但不限于：服务期内应含所投服务的费用、税费（包括但不限于增值税等）、人工费、售后服务等工作所发生的费用。本次投标产生的一切费用由投标人自理。投标报价为最终报价，投标人不得要求追加任何费用。</w:t>
            </w:r>
          </w:p>
        </w:tc>
      </w:tr>
      <w:tr w14:paraId="2FADE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57" w:hRule="atLeast"/>
        </w:trPr>
        <w:tc>
          <w:tcPr>
            <w:tcW w:w="507" w:type="pct"/>
            <w:shd w:val="clear" w:color="auto" w:fill="FFFFFF"/>
            <w:vAlign w:val="center"/>
          </w:tcPr>
          <w:p w14:paraId="627A9A3E">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6B7A41B5">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招标公告</w:t>
            </w:r>
          </w:p>
        </w:tc>
        <w:tc>
          <w:tcPr>
            <w:tcW w:w="3405" w:type="pct"/>
            <w:vMerge w:val="restart"/>
            <w:shd w:val="clear" w:color="auto" w:fill="FFFFFF"/>
            <w:vAlign w:val="center"/>
          </w:tcPr>
          <w:p w14:paraId="666A9C4F">
            <w:pPr>
              <w:widowControl w:val="0"/>
              <w:autoSpaceDE w:val="0"/>
              <w:autoSpaceDN w:val="0"/>
              <w:adjustRightInd w:val="0"/>
              <w:snapToGrid w:val="0"/>
              <w:spacing w:line="360" w:lineRule="auto"/>
              <w:ind w:firstLine="0" w:firstLineChars="0"/>
              <w:rPr>
                <w:rFonts w:ascii="宋体" w:hAnsi="宋体" w:cs="宋体"/>
                <w:color w:val="auto"/>
                <w:szCs w:val="21"/>
              </w:rPr>
            </w:pPr>
            <w:r>
              <w:rPr>
                <w:rFonts w:hint="eastAsia" w:ascii="宋体" w:hAnsi="宋体" w:cs="宋体"/>
                <w:color w:val="auto"/>
                <w:szCs w:val="21"/>
              </w:rPr>
              <w:t>公告/公示媒介：</w:t>
            </w:r>
          </w:p>
          <w:p w14:paraId="0345FE7B">
            <w:pPr>
              <w:widowControl w:val="0"/>
              <w:autoSpaceDE w:val="0"/>
              <w:autoSpaceDN w:val="0"/>
              <w:adjustRightInd w:val="0"/>
              <w:snapToGrid w:val="0"/>
              <w:spacing w:line="360" w:lineRule="auto"/>
              <w:ind w:firstLine="0" w:firstLineChars="0"/>
              <w:rPr>
                <w:rFonts w:ascii="宋体" w:hAnsi="宋体" w:cs="宋体"/>
                <w:color w:val="auto"/>
                <w:szCs w:val="21"/>
              </w:rPr>
            </w:pPr>
            <w:r>
              <w:rPr>
                <w:rFonts w:hint="eastAsia" w:ascii="宋体" w:hAnsi="宋体" w:cs="宋体"/>
                <w:color w:val="auto"/>
                <w:szCs w:val="21"/>
              </w:rPr>
              <w:t>1.深圳阳光采购平台（www.szygcgpt.com）</w:t>
            </w:r>
          </w:p>
          <w:p w14:paraId="7D286EDF">
            <w:pPr>
              <w:pStyle w:val="19"/>
              <w:spacing w:line="360" w:lineRule="auto"/>
              <w:ind w:firstLine="0" w:firstLineChars="0"/>
              <w:rPr>
                <w:color w:val="auto"/>
              </w:rPr>
            </w:pPr>
            <w:r>
              <w:rPr>
                <w:rFonts w:hint="eastAsia" w:ascii="宋体" w:hAnsi="宋体" w:cs="宋体"/>
                <w:color w:val="auto"/>
                <w:szCs w:val="21"/>
              </w:rPr>
              <w:t>2.中标候选人公示期：3天</w:t>
            </w:r>
          </w:p>
        </w:tc>
      </w:tr>
      <w:tr w14:paraId="21C98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407" w:hRule="atLeast"/>
        </w:trPr>
        <w:tc>
          <w:tcPr>
            <w:tcW w:w="507" w:type="pct"/>
            <w:shd w:val="clear" w:color="auto" w:fill="FFFFFF"/>
            <w:vAlign w:val="center"/>
          </w:tcPr>
          <w:p w14:paraId="55031F28">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54FDA2F2">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中标候选人公示</w:t>
            </w:r>
          </w:p>
        </w:tc>
        <w:tc>
          <w:tcPr>
            <w:tcW w:w="3405" w:type="pct"/>
            <w:vMerge w:val="continue"/>
            <w:shd w:val="clear" w:color="auto" w:fill="FFFFFF"/>
            <w:vAlign w:val="center"/>
          </w:tcPr>
          <w:p w14:paraId="394F3174">
            <w:pPr>
              <w:widowControl w:val="0"/>
              <w:autoSpaceDE w:val="0"/>
              <w:autoSpaceDN w:val="0"/>
              <w:adjustRightInd w:val="0"/>
              <w:snapToGrid w:val="0"/>
              <w:ind w:firstLine="0" w:firstLineChars="0"/>
              <w:rPr>
                <w:rFonts w:ascii="宋体" w:hAnsi="宋体" w:cs="Segoe UI Symbol"/>
                <w:color w:val="auto"/>
                <w:kern w:val="0"/>
                <w:szCs w:val="21"/>
              </w:rPr>
            </w:pPr>
          </w:p>
        </w:tc>
      </w:tr>
      <w:tr w14:paraId="2176F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507" w:type="pct"/>
            <w:shd w:val="clear" w:color="auto" w:fill="FFFFFF"/>
            <w:vAlign w:val="center"/>
          </w:tcPr>
          <w:p w14:paraId="622F88EB">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7FB1A654">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中标结果公示</w:t>
            </w:r>
          </w:p>
        </w:tc>
        <w:tc>
          <w:tcPr>
            <w:tcW w:w="3405" w:type="pct"/>
            <w:vMerge w:val="continue"/>
            <w:shd w:val="clear" w:color="auto" w:fill="FFFFFF"/>
            <w:vAlign w:val="center"/>
          </w:tcPr>
          <w:p w14:paraId="31101551">
            <w:pPr>
              <w:widowControl w:val="0"/>
              <w:autoSpaceDE w:val="0"/>
              <w:autoSpaceDN w:val="0"/>
              <w:adjustRightInd w:val="0"/>
              <w:snapToGrid w:val="0"/>
              <w:ind w:firstLine="0" w:firstLineChars="0"/>
              <w:rPr>
                <w:rFonts w:ascii="宋体" w:hAnsi="宋体"/>
                <w:color w:val="auto"/>
                <w:kern w:val="0"/>
                <w:szCs w:val="21"/>
              </w:rPr>
            </w:pPr>
          </w:p>
        </w:tc>
      </w:tr>
      <w:tr w14:paraId="1CEE80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7" w:type="pct"/>
            <w:vMerge w:val="restart"/>
            <w:shd w:val="clear" w:color="auto" w:fill="FFFFFF"/>
            <w:vAlign w:val="center"/>
          </w:tcPr>
          <w:p w14:paraId="059BAF64">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vMerge w:val="restart"/>
            <w:shd w:val="clear" w:color="auto" w:fill="FFFFFF"/>
            <w:vAlign w:val="center"/>
          </w:tcPr>
          <w:p w14:paraId="5107F33E">
            <w:pPr>
              <w:widowControl w:val="0"/>
              <w:autoSpaceDE w:val="0"/>
              <w:autoSpaceDN w:val="0"/>
              <w:adjustRightInd w:val="0"/>
              <w:snapToGrid w:val="0"/>
              <w:ind w:firstLine="0" w:firstLineChars="0"/>
              <w:jc w:val="center"/>
              <w:rPr>
                <w:rFonts w:ascii="宋体" w:hAnsi="宋体"/>
                <w:color w:val="auto"/>
                <w:szCs w:val="21"/>
              </w:rPr>
            </w:pPr>
            <w:r>
              <w:rPr>
                <w:rFonts w:ascii="宋体" w:hAnsi="宋体"/>
                <w:color w:val="auto"/>
                <w:szCs w:val="21"/>
              </w:rPr>
              <w:t>履约担保</w:t>
            </w:r>
          </w:p>
        </w:tc>
        <w:tc>
          <w:tcPr>
            <w:tcW w:w="3405" w:type="pct"/>
            <w:shd w:val="clear" w:color="auto" w:fill="FFFFFF"/>
            <w:vAlign w:val="center"/>
          </w:tcPr>
          <w:p w14:paraId="39E68044">
            <w:pPr>
              <w:widowControl w:val="0"/>
              <w:autoSpaceDE w:val="0"/>
              <w:autoSpaceDN w:val="0"/>
              <w:adjustRightInd w:val="0"/>
              <w:snapToGrid w:val="0"/>
              <w:ind w:firstLine="0" w:firstLineChars="0"/>
              <w:rPr>
                <w:rFonts w:ascii="宋体" w:hAnsi="宋体" w:cs="Segoe UI Symbol"/>
                <w:color w:val="auto"/>
                <w:kern w:val="0"/>
                <w:szCs w:val="21"/>
              </w:rPr>
            </w:pPr>
            <w:r>
              <w:rPr>
                <w:rFonts w:ascii="宋体" w:hAnsi="宋体" w:cs="Segoe UI Symbol"/>
                <w:color w:val="auto"/>
                <w:kern w:val="0"/>
                <w:szCs w:val="21"/>
              </w:rPr>
              <w:t>是否要求中标人提交履约</w:t>
            </w:r>
            <w:r>
              <w:rPr>
                <w:rFonts w:hint="eastAsia" w:ascii="宋体" w:hAnsi="宋体" w:cs="Segoe UI Symbol"/>
                <w:color w:val="auto"/>
                <w:kern w:val="0"/>
                <w:szCs w:val="21"/>
              </w:rPr>
              <w:t>担保</w:t>
            </w:r>
            <w:r>
              <w:rPr>
                <w:rFonts w:ascii="宋体" w:hAnsi="宋体" w:cs="Segoe UI Symbol"/>
                <w:color w:val="auto"/>
                <w:kern w:val="0"/>
                <w:szCs w:val="21"/>
              </w:rPr>
              <w:t>：</w:t>
            </w:r>
            <w:r>
              <w:rPr>
                <w:rFonts w:hint="eastAsia" w:ascii="宋体" w:hAnsi="宋体"/>
                <w:color w:val="auto"/>
                <w:szCs w:val="21"/>
              </w:rPr>
              <w:t>□</w:t>
            </w:r>
            <w:r>
              <w:rPr>
                <w:rFonts w:hint="eastAsia" w:ascii="宋体" w:hAnsi="宋体" w:cs="Segoe UI Symbol"/>
                <w:color w:val="auto"/>
                <w:kern w:val="0"/>
                <w:szCs w:val="21"/>
              </w:rPr>
              <w:t>要求</w:t>
            </w:r>
            <w:r>
              <w:rPr>
                <w:rFonts w:hint="eastAsia" w:ascii="宋体" w:hAnsi="宋体"/>
                <w:color w:val="auto"/>
                <w:szCs w:val="21"/>
              </w:rPr>
              <w:t>☑</w:t>
            </w:r>
            <w:r>
              <w:rPr>
                <w:rFonts w:hint="eastAsia" w:ascii="宋体" w:hAnsi="宋体" w:cs="Segoe UI Symbol"/>
                <w:color w:val="auto"/>
                <w:kern w:val="0"/>
                <w:szCs w:val="21"/>
              </w:rPr>
              <w:t>不要求</w:t>
            </w:r>
          </w:p>
        </w:tc>
      </w:tr>
      <w:tr w14:paraId="5D444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7" w:type="pct"/>
            <w:vMerge w:val="continue"/>
            <w:shd w:val="clear" w:color="auto" w:fill="FFFFFF"/>
            <w:vAlign w:val="center"/>
          </w:tcPr>
          <w:p w14:paraId="68D9E992">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vMerge w:val="continue"/>
            <w:shd w:val="clear" w:color="auto" w:fill="FFFFFF"/>
            <w:vAlign w:val="center"/>
          </w:tcPr>
          <w:p w14:paraId="2289D31E">
            <w:pPr>
              <w:widowControl w:val="0"/>
              <w:autoSpaceDE w:val="0"/>
              <w:autoSpaceDN w:val="0"/>
              <w:adjustRightInd w:val="0"/>
              <w:snapToGrid w:val="0"/>
              <w:ind w:firstLine="0" w:firstLineChars="0"/>
              <w:jc w:val="center"/>
              <w:rPr>
                <w:rFonts w:ascii="宋体" w:hAnsi="宋体"/>
                <w:color w:val="auto"/>
                <w:szCs w:val="21"/>
              </w:rPr>
            </w:pPr>
          </w:p>
        </w:tc>
        <w:tc>
          <w:tcPr>
            <w:tcW w:w="3405" w:type="pct"/>
            <w:shd w:val="clear" w:color="auto" w:fill="FFFFFF"/>
            <w:vAlign w:val="center"/>
          </w:tcPr>
          <w:p w14:paraId="4656BF1C">
            <w:pPr>
              <w:widowControl w:val="0"/>
              <w:autoSpaceDE w:val="0"/>
              <w:autoSpaceDN w:val="0"/>
              <w:adjustRightInd w:val="0"/>
              <w:snapToGrid w:val="0"/>
              <w:ind w:firstLine="0" w:firstLineChars="0"/>
              <w:rPr>
                <w:rFonts w:ascii="宋体" w:hAnsi="宋体" w:cs="Segoe UI Symbol"/>
                <w:color w:val="auto"/>
                <w:kern w:val="0"/>
                <w:szCs w:val="21"/>
              </w:rPr>
            </w:pPr>
            <w:r>
              <w:rPr>
                <w:rFonts w:ascii="宋体" w:hAnsi="宋体" w:cs="Segoe UI Symbol"/>
                <w:color w:val="auto"/>
                <w:kern w:val="0"/>
                <w:szCs w:val="21"/>
              </w:rPr>
              <w:t>履约担保的形式</w:t>
            </w:r>
            <w:r>
              <w:rPr>
                <w:rFonts w:hint="eastAsia" w:ascii="宋体" w:hAnsi="宋体" w:cs="Segoe UI Symbol"/>
                <w:color w:val="auto"/>
                <w:kern w:val="0"/>
                <w:szCs w:val="21"/>
              </w:rPr>
              <w:t>：</w:t>
            </w:r>
            <w:r>
              <w:rPr>
                <w:rFonts w:hint="eastAsia" w:ascii="宋体" w:hAnsi="宋体"/>
                <w:color w:val="auto"/>
                <w:szCs w:val="21"/>
              </w:rPr>
              <w:t>□</w:t>
            </w:r>
            <w:r>
              <w:rPr>
                <w:rFonts w:hint="eastAsia" w:ascii="宋体" w:hAnsi="宋体" w:cs="Segoe UI Symbol"/>
                <w:color w:val="auto"/>
                <w:kern w:val="0"/>
                <w:szCs w:val="21"/>
              </w:rPr>
              <w:t>现金、转账</w:t>
            </w:r>
            <w:r>
              <w:rPr>
                <w:rFonts w:hint="eastAsia" w:ascii="宋体" w:hAnsi="宋体"/>
                <w:color w:val="auto"/>
                <w:szCs w:val="21"/>
              </w:rPr>
              <w:t>□</w:t>
            </w:r>
            <w:r>
              <w:rPr>
                <w:rFonts w:hint="eastAsia" w:ascii="宋体" w:hAnsi="宋体" w:cs="Segoe UI Symbol"/>
                <w:color w:val="auto"/>
                <w:kern w:val="0"/>
                <w:szCs w:val="21"/>
              </w:rPr>
              <w:t>银行保函</w:t>
            </w:r>
          </w:p>
          <w:p w14:paraId="69C408C8">
            <w:pPr>
              <w:widowControl w:val="0"/>
              <w:autoSpaceDE w:val="0"/>
              <w:autoSpaceDN w:val="0"/>
              <w:adjustRightInd w:val="0"/>
              <w:snapToGrid w:val="0"/>
              <w:ind w:firstLine="0" w:firstLineChars="0"/>
              <w:rPr>
                <w:rFonts w:hint="eastAsia" w:ascii="宋体" w:hAnsi="宋体" w:eastAsia="宋体" w:cs="Segoe UI Symbol"/>
                <w:color w:val="auto"/>
                <w:kern w:val="0"/>
                <w:szCs w:val="21"/>
                <w:lang w:val="en-US" w:eastAsia="zh-CN"/>
              </w:rPr>
            </w:pPr>
            <w:r>
              <w:rPr>
                <w:rFonts w:ascii="宋体" w:hAnsi="宋体" w:cs="Segoe UI Symbol"/>
                <w:color w:val="auto"/>
                <w:kern w:val="0"/>
                <w:szCs w:val="21"/>
              </w:rPr>
              <w:t>履约担保的金额：</w:t>
            </w:r>
            <w:r>
              <w:rPr>
                <w:rFonts w:hint="eastAsia" w:ascii="宋体" w:hAnsi="宋体" w:cs="Segoe UI Symbol"/>
                <w:color w:val="auto"/>
                <w:kern w:val="0"/>
                <w:szCs w:val="21"/>
                <w:lang w:val="en-US" w:eastAsia="zh-CN"/>
              </w:rPr>
              <w:t>/</w:t>
            </w:r>
          </w:p>
        </w:tc>
      </w:tr>
      <w:tr w14:paraId="7E7C4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507" w:type="pct"/>
            <w:shd w:val="clear" w:color="auto" w:fill="FFFFFF"/>
            <w:vAlign w:val="center"/>
          </w:tcPr>
          <w:p w14:paraId="05B755E7">
            <w:pPr>
              <w:widowControl w:val="0"/>
              <w:numPr>
                <w:ilvl w:val="0"/>
                <w:numId w:val="1"/>
              </w:numPr>
              <w:autoSpaceDE w:val="0"/>
              <w:autoSpaceDN w:val="0"/>
              <w:adjustRightInd w:val="0"/>
              <w:snapToGrid w:val="0"/>
              <w:ind w:firstLineChars="0"/>
              <w:jc w:val="center"/>
              <w:rPr>
                <w:rFonts w:ascii="宋体" w:hAnsi="宋体"/>
                <w:bCs/>
                <w:color w:val="auto"/>
                <w:szCs w:val="21"/>
              </w:rPr>
            </w:pPr>
          </w:p>
        </w:tc>
        <w:tc>
          <w:tcPr>
            <w:tcW w:w="1087" w:type="pct"/>
            <w:shd w:val="clear" w:color="auto" w:fill="FFFFFF"/>
            <w:vAlign w:val="center"/>
          </w:tcPr>
          <w:p w14:paraId="2ABE8868">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招标失败的</w:t>
            </w:r>
          </w:p>
          <w:p w14:paraId="14183418">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其他情形</w:t>
            </w:r>
          </w:p>
        </w:tc>
        <w:tc>
          <w:tcPr>
            <w:tcW w:w="3405" w:type="pct"/>
            <w:shd w:val="clear" w:color="auto" w:fill="FFFFFF"/>
            <w:vAlign w:val="center"/>
          </w:tcPr>
          <w:p w14:paraId="5AA58B39">
            <w:pPr>
              <w:widowControl w:val="0"/>
              <w:autoSpaceDE w:val="0"/>
              <w:autoSpaceDN w:val="0"/>
              <w:adjustRightInd w:val="0"/>
              <w:snapToGrid w:val="0"/>
              <w:ind w:firstLine="0" w:firstLineChars="0"/>
              <w:rPr>
                <w:rFonts w:ascii="宋体" w:cs="Segoe UI Symbol"/>
                <w:color w:val="auto"/>
                <w:kern w:val="0"/>
                <w:szCs w:val="21"/>
                <w:highlight w:val="none"/>
              </w:rPr>
            </w:pPr>
            <w:r>
              <w:rPr>
                <w:rFonts w:hint="eastAsia" w:ascii="宋体" w:cs="Segoe UI Symbol"/>
                <w:color w:val="auto"/>
                <w:kern w:val="0"/>
                <w:szCs w:val="21"/>
                <w:highlight w:val="none"/>
              </w:rPr>
              <w:t>（一）当出现以下情形之一时，若招标文件公布期间无异议或者异议不成立（进入评审环节时，有效投标人不足三家，招标文件须经评审委员会判定是否无歧视性条款），招标人应重新组织第二次招标，二次招标公告后有效投标人仍不足三家，可按以下约定直接转为非公开的采购方式：</w:t>
            </w:r>
          </w:p>
          <w:p w14:paraId="45B4BB4B">
            <w:pPr>
              <w:widowControl w:val="0"/>
              <w:autoSpaceDE w:val="0"/>
              <w:autoSpaceDN w:val="0"/>
              <w:adjustRightInd w:val="0"/>
              <w:snapToGrid w:val="0"/>
              <w:ind w:firstLine="0" w:firstLineChars="0"/>
              <w:rPr>
                <w:rFonts w:ascii="宋体" w:cs="Segoe UI Symbol"/>
                <w:color w:val="auto"/>
                <w:kern w:val="0"/>
                <w:szCs w:val="21"/>
                <w:highlight w:val="none"/>
              </w:rPr>
            </w:pPr>
            <w:r>
              <w:rPr>
                <w:rFonts w:hint="eastAsia" w:ascii="宋体" w:cs="Segoe UI Symbol"/>
                <w:color w:val="auto"/>
                <w:kern w:val="0"/>
                <w:szCs w:val="21"/>
                <w:highlight w:val="none"/>
              </w:rPr>
              <w:t>1.递交投标文件家数不足三家；</w:t>
            </w:r>
          </w:p>
          <w:p w14:paraId="1CD7443B">
            <w:pPr>
              <w:widowControl w:val="0"/>
              <w:autoSpaceDE w:val="0"/>
              <w:autoSpaceDN w:val="0"/>
              <w:adjustRightInd w:val="0"/>
              <w:snapToGrid w:val="0"/>
              <w:ind w:firstLine="0" w:firstLineChars="0"/>
              <w:rPr>
                <w:rFonts w:ascii="宋体" w:cs="Segoe UI Symbol"/>
                <w:color w:val="auto"/>
                <w:kern w:val="0"/>
                <w:szCs w:val="21"/>
                <w:highlight w:val="none"/>
              </w:rPr>
            </w:pPr>
            <w:r>
              <w:rPr>
                <w:rFonts w:hint="eastAsia" w:ascii="宋体" w:cs="Segoe UI Symbol"/>
                <w:color w:val="auto"/>
                <w:kern w:val="0"/>
                <w:szCs w:val="21"/>
                <w:highlight w:val="none"/>
              </w:rPr>
              <w:t>2.通过初步评审的投标人数量不足三家。</w:t>
            </w:r>
          </w:p>
          <w:p w14:paraId="26A9AB43">
            <w:pPr>
              <w:widowControl w:val="0"/>
              <w:autoSpaceDE w:val="0"/>
              <w:autoSpaceDN w:val="0"/>
              <w:adjustRightInd w:val="0"/>
              <w:snapToGrid w:val="0"/>
              <w:ind w:firstLine="0" w:firstLineChars="0"/>
              <w:rPr>
                <w:rFonts w:ascii="宋体" w:cs="Segoe UI Symbol"/>
                <w:color w:val="auto"/>
                <w:kern w:val="0"/>
                <w:szCs w:val="21"/>
                <w:highlight w:val="none"/>
              </w:rPr>
            </w:pPr>
            <w:r>
              <w:rPr>
                <w:rFonts w:hint="eastAsia" w:ascii="宋体" w:cs="Segoe UI Symbol"/>
                <w:color w:val="auto"/>
                <w:kern w:val="0"/>
                <w:szCs w:val="21"/>
                <w:highlight w:val="none"/>
              </w:rPr>
              <w:t>（二）具体处理方式：</w:t>
            </w:r>
          </w:p>
          <w:p w14:paraId="023A69BA">
            <w:pPr>
              <w:widowControl w:val="0"/>
              <w:autoSpaceDE w:val="0"/>
              <w:autoSpaceDN w:val="0"/>
              <w:adjustRightInd w:val="0"/>
              <w:snapToGrid w:val="0"/>
              <w:ind w:firstLine="0" w:firstLineChars="0"/>
              <w:rPr>
                <w:rFonts w:ascii="宋体" w:cs="Segoe UI Symbol"/>
                <w:color w:val="auto"/>
                <w:kern w:val="0"/>
                <w:szCs w:val="21"/>
                <w:highlight w:val="none"/>
              </w:rPr>
            </w:pPr>
            <w:r>
              <w:rPr>
                <w:rFonts w:hint="eastAsia" w:ascii="宋体" w:cs="Segoe UI Symbol"/>
                <w:color w:val="auto"/>
                <w:kern w:val="0"/>
                <w:szCs w:val="21"/>
                <w:highlight w:val="none"/>
              </w:rPr>
              <w:t>①当递交投标文件的投标人数量不足三家时，本项目继续根据招标公告中的开标时间举行开标仪式；开标期间无异议或异议不成立，进入评审环节，评标委员会根据招标文件要求及投标人的数量按以下②或③项进行评审；</w:t>
            </w:r>
          </w:p>
          <w:p w14:paraId="026C20E2">
            <w:pPr>
              <w:widowControl w:val="0"/>
              <w:autoSpaceDE w:val="0"/>
              <w:autoSpaceDN w:val="0"/>
              <w:adjustRightInd w:val="0"/>
              <w:snapToGrid w:val="0"/>
              <w:ind w:firstLine="0" w:firstLineChars="0"/>
              <w:rPr>
                <w:rFonts w:ascii="宋体" w:cs="Segoe UI Symbol"/>
                <w:color w:val="auto"/>
                <w:kern w:val="0"/>
                <w:szCs w:val="21"/>
                <w:highlight w:val="none"/>
              </w:rPr>
            </w:pPr>
            <w:r>
              <w:rPr>
                <w:rFonts w:hint="eastAsia" w:ascii="宋体" w:cs="Segoe UI Symbol"/>
                <w:color w:val="auto"/>
                <w:kern w:val="0"/>
                <w:szCs w:val="21"/>
                <w:highlight w:val="none"/>
              </w:rPr>
              <w:t>②当有效投标人为两家投标人时，本项目转为竞争性谈判继续完成采购；</w:t>
            </w:r>
          </w:p>
          <w:p w14:paraId="4E422D93">
            <w:pPr>
              <w:widowControl w:val="0"/>
              <w:autoSpaceDE w:val="0"/>
              <w:autoSpaceDN w:val="0"/>
              <w:adjustRightInd w:val="0"/>
              <w:snapToGrid w:val="0"/>
              <w:ind w:firstLine="0" w:firstLineChars="0"/>
              <w:rPr>
                <w:rFonts w:ascii="宋体" w:cs="Segoe UI Symbol"/>
                <w:color w:val="auto"/>
                <w:kern w:val="0"/>
                <w:szCs w:val="21"/>
                <w:highlight w:val="none"/>
              </w:rPr>
            </w:pPr>
            <w:r>
              <w:rPr>
                <w:rFonts w:hint="eastAsia" w:ascii="宋体" w:cs="Segoe UI Symbol"/>
                <w:color w:val="auto"/>
                <w:kern w:val="0"/>
                <w:szCs w:val="21"/>
                <w:highlight w:val="none"/>
              </w:rPr>
              <w:t>继续完成采购的具体操作程序：继续进行并沿用招标文件规定的评审方式进行评审，但在价格评审过程中，投标人应根据要求进行最终报价，并以该最终报价进行价格评审。评标委员会根据综合评分推荐得分最高的为候选成交供应商，并后续由采购人确认。</w:t>
            </w:r>
          </w:p>
          <w:p w14:paraId="29B1FC80">
            <w:pPr>
              <w:widowControl w:val="0"/>
              <w:autoSpaceDE w:val="0"/>
              <w:autoSpaceDN w:val="0"/>
              <w:adjustRightInd w:val="0"/>
              <w:snapToGrid w:val="0"/>
              <w:ind w:firstLine="0" w:firstLineChars="0"/>
              <w:rPr>
                <w:rFonts w:ascii="宋体" w:cs="Segoe UI Symbol"/>
                <w:color w:val="auto"/>
                <w:kern w:val="0"/>
                <w:szCs w:val="21"/>
                <w:highlight w:val="none"/>
              </w:rPr>
            </w:pPr>
            <w:r>
              <w:rPr>
                <w:rFonts w:hint="eastAsia" w:ascii="宋体" w:cs="Segoe UI Symbol"/>
                <w:color w:val="auto"/>
                <w:kern w:val="0"/>
                <w:szCs w:val="21"/>
                <w:highlight w:val="none"/>
              </w:rPr>
              <w:t>③当有效投标人为一家投标人时，本项目转为单一来源采购；</w:t>
            </w:r>
          </w:p>
          <w:p w14:paraId="1015E7C4">
            <w:pPr>
              <w:widowControl w:val="0"/>
              <w:autoSpaceDE w:val="0"/>
              <w:autoSpaceDN w:val="0"/>
              <w:adjustRightInd w:val="0"/>
              <w:snapToGrid w:val="0"/>
              <w:ind w:firstLine="0" w:firstLineChars="0"/>
              <w:rPr>
                <w:rFonts w:ascii="宋体" w:hAnsi="宋体" w:cs="Segoe UI Symbol"/>
                <w:color w:val="auto"/>
                <w:kern w:val="0"/>
                <w:szCs w:val="21"/>
              </w:rPr>
            </w:pPr>
            <w:r>
              <w:rPr>
                <w:rFonts w:hint="eastAsia" w:ascii="宋体" w:cs="Segoe UI Symbol"/>
                <w:color w:val="auto"/>
                <w:kern w:val="0"/>
                <w:szCs w:val="21"/>
                <w:highlight w:val="none"/>
              </w:rPr>
              <w:t>继续完成采购的具体操作程序：继续进行并沿用招标文件规定的评审方式进行评审（转为单一来源采购的情形不进行商务技术和价格标的评分），但在价格评审过程中，投标人应根据要求进行最终报价，并以该最终报价进行价格评审。评标委员会推荐该名供应商为候选成交供应商，并后续由采购人确认。</w:t>
            </w:r>
          </w:p>
        </w:tc>
      </w:tr>
    </w:tbl>
    <w:p w14:paraId="0959FD50">
      <w:pPr>
        <w:ind w:firstLine="420"/>
        <w:rPr>
          <w:color w:val="auto"/>
        </w:rPr>
      </w:pPr>
    </w:p>
    <w:p w14:paraId="5FCAF032">
      <w:pPr>
        <w:pStyle w:val="13"/>
        <w:ind w:firstLine="420"/>
        <w:rPr>
          <w:color w:val="auto"/>
        </w:rPr>
      </w:pPr>
      <w:r>
        <w:rPr>
          <w:color w:val="auto"/>
        </w:rPr>
        <w:br w:type="page"/>
      </w:r>
    </w:p>
    <w:tbl>
      <w:tblPr>
        <w:tblStyle w:val="52"/>
        <w:tblW w:w="5000" w:type="pct"/>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928"/>
        <w:gridCol w:w="1842"/>
        <w:gridCol w:w="5527"/>
      </w:tblGrid>
      <w:tr w14:paraId="3A632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50" w:hRule="atLeast"/>
        </w:trPr>
        <w:tc>
          <w:tcPr>
            <w:tcW w:w="5000" w:type="pct"/>
            <w:gridSpan w:val="3"/>
            <w:shd w:val="clear" w:color="auto" w:fill="D9E2F3"/>
            <w:vAlign w:val="center"/>
          </w:tcPr>
          <w:p w14:paraId="4C56B7D7">
            <w:pPr>
              <w:widowControl w:val="0"/>
              <w:autoSpaceDE w:val="0"/>
              <w:autoSpaceDN w:val="0"/>
              <w:adjustRightInd w:val="0"/>
              <w:snapToGrid w:val="0"/>
              <w:spacing w:line="240" w:lineRule="auto"/>
              <w:ind w:firstLine="0" w:firstLineChars="0"/>
              <w:jc w:val="center"/>
              <w:rPr>
                <w:rFonts w:ascii="宋体" w:hAnsi="宋体"/>
                <w:color w:val="auto"/>
                <w:sz w:val="32"/>
                <w:szCs w:val="32"/>
              </w:rPr>
            </w:pPr>
            <w:r>
              <w:rPr>
                <w:rFonts w:hint="eastAsia" w:ascii="宋体" w:hAnsi="宋体"/>
                <w:b/>
                <w:color w:val="auto"/>
                <w:sz w:val="32"/>
                <w:szCs w:val="32"/>
              </w:rPr>
              <w:t>投标人须知前附表（三）</w:t>
            </w:r>
          </w:p>
        </w:tc>
      </w:tr>
      <w:tr w14:paraId="4DFE8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shd w:val="clear" w:color="auto" w:fill="FFFFFF"/>
            <w:vAlign w:val="center"/>
          </w:tcPr>
          <w:p w14:paraId="7A6DC581">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条款号</w:t>
            </w:r>
          </w:p>
        </w:tc>
        <w:tc>
          <w:tcPr>
            <w:tcW w:w="1110" w:type="pct"/>
            <w:shd w:val="clear" w:color="auto" w:fill="FFFFFF"/>
            <w:vAlign w:val="center"/>
          </w:tcPr>
          <w:p w14:paraId="107CD696">
            <w:pPr>
              <w:widowControl w:val="0"/>
              <w:autoSpaceDE w:val="0"/>
              <w:autoSpaceDN w:val="0"/>
              <w:adjustRightInd w:val="0"/>
              <w:snapToGrid w:val="0"/>
              <w:ind w:firstLine="0" w:firstLineChars="0"/>
              <w:jc w:val="center"/>
              <w:rPr>
                <w:rFonts w:ascii="宋体" w:hAnsi="宋体"/>
                <w:b/>
                <w:color w:val="auto"/>
                <w:szCs w:val="21"/>
              </w:rPr>
            </w:pPr>
            <w:r>
              <w:rPr>
                <w:rFonts w:ascii="宋体" w:hAnsi="宋体"/>
                <w:b/>
                <w:color w:val="auto"/>
                <w:szCs w:val="21"/>
              </w:rPr>
              <w:t>名称</w:t>
            </w:r>
          </w:p>
        </w:tc>
        <w:tc>
          <w:tcPr>
            <w:tcW w:w="3331" w:type="pct"/>
            <w:shd w:val="clear" w:color="auto" w:fill="FFFFFF"/>
            <w:vAlign w:val="center"/>
          </w:tcPr>
          <w:p w14:paraId="0F822AB3">
            <w:pPr>
              <w:widowControl w:val="0"/>
              <w:autoSpaceDE w:val="0"/>
              <w:autoSpaceDN w:val="0"/>
              <w:adjustRightInd w:val="0"/>
              <w:snapToGrid w:val="0"/>
              <w:ind w:firstLine="0" w:firstLineChars="0"/>
              <w:jc w:val="center"/>
              <w:rPr>
                <w:rFonts w:ascii="宋体" w:hAnsi="宋体"/>
                <w:b/>
                <w:color w:val="auto"/>
                <w:szCs w:val="21"/>
              </w:rPr>
            </w:pPr>
            <w:r>
              <w:rPr>
                <w:rFonts w:ascii="宋体" w:hAnsi="宋体"/>
                <w:b/>
                <w:color w:val="auto"/>
                <w:szCs w:val="21"/>
              </w:rPr>
              <w:t>编列内容</w:t>
            </w:r>
          </w:p>
        </w:tc>
      </w:tr>
      <w:tr w14:paraId="7A94C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shd w:val="clear" w:color="auto" w:fill="FFFFFF"/>
            <w:vAlign w:val="center"/>
          </w:tcPr>
          <w:p w14:paraId="68694831">
            <w:pPr>
              <w:widowControl w:val="0"/>
              <w:autoSpaceDE w:val="0"/>
              <w:autoSpaceDN w:val="0"/>
              <w:adjustRightInd w:val="0"/>
              <w:snapToGrid w:val="0"/>
              <w:ind w:firstLine="0" w:firstLineChars="0"/>
              <w:jc w:val="center"/>
              <w:rPr>
                <w:rFonts w:ascii="宋体" w:hAnsi="宋体"/>
                <w:color w:val="auto"/>
                <w:szCs w:val="21"/>
              </w:rPr>
            </w:pPr>
            <w:r>
              <w:rPr>
                <w:rFonts w:ascii="宋体" w:hAnsi="宋体"/>
                <w:color w:val="auto"/>
                <w:szCs w:val="21"/>
              </w:rPr>
              <w:t>28</w:t>
            </w:r>
          </w:p>
        </w:tc>
        <w:tc>
          <w:tcPr>
            <w:tcW w:w="1110" w:type="pct"/>
            <w:shd w:val="clear" w:color="auto" w:fill="FFFFFF"/>
            <w:vAlign w:val="center"/>
          </w:tcPr>
          <w:p w14:paraId="258C9AFF">
            <w:pPr>
              <w:widowControl w:val="0"/>
              <w:wordWrap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投标样品</w:t>
            </w:r>
          </w:p>
        </w:tc>
        <w:tc>
          <w:tcPr>
            <w:tcW w:w="3331" w:type="pct"/>
            <w:shd w:val="clear" w:color="auto" w:fill="FFFFFF"/>
            <w:vAlign w:val="center"/>
          </w:tcPr>
          <w:p w14:paraId="3F832784">
            <w:pPr>
              <w:widowControl w:val="0"/>
              <w:wordWrap w:val="0"/>
              <w:autoSpaceDE w:val="0"/>
              <w:autoSpaceDN w:val="0"/>
              <w:adjustRightInd w:val="0"/>
              <w:snapToGrid w:val="0"/>
              <w:ind w:firstLine="0" w:firstLineChars="0"/>
              <w:jc w:val="left"/>
              <w:rPr>
                <w:rFonts w:ascii="宋体" w:hAnsi="宋体"/>
                <w:color w:val="auto"/>
                <w:szCs w:val="21"/>
              </w:rPr>
            </w:pPr>
            <w:r>
              <w:rPr>
                <w:rFonts w:hint="eastAsia" w:ascii="Segoe UI Symbol" w:hAnsi="Segoe UI Symbol" w:cs="Segoe UI Symbol"/>
                <w:color w:val="auto"/>
                <w:kern w:val="0"/>
                <w:szCs w:val="21"/>
              </w:rPr>
              <w:t>☑</w:t>
            </w:r>
            <w:r>
              <w:rPr>
                <w:rFonts w:hint="eastAsia" w:ascii="宋体" w:hAnsi="宋体"/>
                <w:color w:val="auto"/>
                <w:szCs w:val="21"/>
              </w:rPr>
              <w:t>不要求递交投标样品</w:t>
            </w:r>
          </w:p>
          <w:p w14:paraId="5E2FC487">
            <w:pPr>
              <w:widowControl w:val="0"/>
              <w:wordWrap w:val="0"/>
              <w:autoSpaceDE w:val="0"/>
              <w:autoSpaceDN w:val="0"/>
              <w:adjustRightInd w:val="0"/>
              <w:snapToGrid w:val="0"/>
              <w:ind w:firstLine="0" w:firstLineChars="0"/>
              <w:jc w:val="left"/>
              <w:rPr>
                <w:rFonts w:hint="eastAsia" w:ascii="宋体" w:hAnsi="宋体" w:eastAsia="宋体"/>
                <w:color w:val="auto"/>
                <w:szCs w:val="21"/>
                <w:u w:val="single"/>
                <w:lang w:eastAsia="zh-CN"/>
              </w:rPr>
            </w:pPr>
            <w:r>
              <w:rPr>
                <w:rFonts w:hint="eastAsia" w:ascii="宋体" w:hAnsi="宋体"/>
                <w:color w:val="auto"/>
                <w:szCs w:val="21"/>
              </w:rPr>
              <w:t>□递交投标样品，具体要求：</w:t>
            </w:r>
          </w:p>
        </w:tc>
      </w:tr>
      <w:tr w14:paraId="53695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37E29B7A">
            <w:pPr>
              <w:widowControl w:val="0"/>
              <w:autoSpaceDE w:val="0"/>
              <w:autoSpaceDN w:val="0"/>
              <w:adjustRightInd w:val="0"/>
              <w:snapToGrid w:val="0"/>
              <w:ind w:firstLine="0" w:firstLineChars="0"/>
              <w:jc w:val="center"/>
              <w:rPr>
                <w:rFonts w:ascii="宋体" w:hAnsi="宋体"/>
                <w:color w:val="auto"/>
                <w:szCs w:val="21"/>
              </w:rPr>
            </w:pPr>
            <w:r>
              <w:rPr>
                <w:rFonts w:ascii="宋体" w:hAnsi="宋体"/>
                <w:color w:val="auto"/>
                <w:szCs w:val="21"/>
              </w:rPr>
              <w:t>29</w:t>
            </w:r>
          </w:p>
        </w:tc>
        <w:tc>
          <w:tcPr>
            <w:tcW w:w="1110" w:type="pct"/>
            <w:shd w:val="clear" w:color="auto" w:fill="FFFFFF"/>
            <w:vAlign w:val="center"/>
          </w:tcPr>
          <w:p w14:paraId="6E85C67C">
            <w:pPr>
              <w:widowControl w:val="0"/>
              <w:autoSpaceDE w:val="0"/>
              <w:autoSpaceDN w:val="0"/>
              <w:adjustRightInd w:val="0"/>
              <w:snapToGrid w:val="0"/>
              <w:ind w:firstLine="0" w:firstLineChars="0"/>
              <w:jc w:val="center"/>
              <w:rPr>
                <w:rFonts w:ascii="宋体" w:hAnsi="宋体"/>
                <w:b/>
                <w:color w:val="auto"/>
              </w:rPr>
            </w:pPr>
            <w:r>
              <w:rPr>
                <w:rFonts w:hint="eastAsia" w:ascii="宋体" w:hAnsi="宋体"/>
                <w:b/>
                <w:color w:val="auto"/>
              </w:rPr>
              <w:t>投标文件</w:t>
            </w:r>
            <w:r>
              <w:rPr>
                <w:rFonts w:hint="eastAsia" w:ascii="宋体" w:hAnsi="宋体"/>
                <w:b/>
                <w:color w:val="auto"/>
              </w:rPr>
              <w:br w:type="textWrapping"/>
            </w:r>
            <w:r>
              <w:rPr>
                <w:rFonts w:hint="eastAsia" w:ascii="宋体" w:hAnsi="宋体"/>
                <w:b/>
                <w:color w:val="auto"/>
              </w:rPr>
              <w:t>递交要求</w:t>
            </w:r>
          </w:p>
          <w:p w14:paraId="722C1D47">
            <w:pPr>
              <w:pStyle w:val="25"/>
              <w:ind w:firstLine="0" w:firstLineChars="0"/>
              <w:rPr>
                <w:color w:val="auto"/>
              </w:rPr>
            </w:pPr>
            <w:r>
              <w:rPr>
                <w:rFonts w:hint="eastAsia"/>
                <w:color w:val="auto"/>
              </w:rPr>
              <w:t>（现场或邮寄）</w:t>
            </w:r>
          </w:p>
        </w:tc>
        <w:tc>
          <w:tcPr>
            <w:tcW w:w="3331" w:type="pct"/>
            <w:shd w:val="clear" w:color="auto" w:fill="FFFFFF"/>
            <w:vAlign w:val="center"/>
          </w:tcPr>
          <w:p w14:paraId="063F413B">
            <w:pPr>
              <w:pStyle w:val="388"/>
              <w:numPr>
                <w:ilvl w:val="0"/>
                <w:numId w:val="2"/>
              </w:numPr>
              <w:tabs>
                <w:tab w:val="clear" w:pos="547"/>
                <w:tab w:val="clear" w:pos="1080"/>
              </w:tabs>
              <w:kinsoku/>
              <w:overflowPunct/>
              <w:topLinePunct/>
              <w:bidi w:val="0"/>
              <w:jc w:val="left"/>
              <w:rPr>
                <w:rFonts w:ascii="Times New Roman" w:hAnsi="Times New Roman"/>
                <w:b/>
                <w:bCs/>
                <w:color w:val="auto"/>
                <w:kern w:val="2"/>
                <w:sz w:val="21"/>
                <w:szCs w:val="21"/>
                <w:highlight w:val="none"/>
              </w:rPr>
            </w:pPr>
            <w:r>
              <w:rPr>
                <w:rFonts w:hint="eastAsia" w:cs="宋体"/>
                <w:b/>
                <w:bCs/>
                <w:color w:val="auto"/>
                <w:kern w:val="2"/>
                <w:sz w:val="21"/>
                <w:szCs w:val="21"/>
                <w:highlight w:val="none"/>
              </w:rPr>
              <w:t>本项目采用线下开标，纸质评标、电子档案留存。需提供纸质投标文件</w:t>
            </w:r>
            <w:r>
              <w:rPr>
                <w:rFonts w:hint="eastAsia" w:cs="宋体"/>
                <w:b/>
                <w:bCs/>
                <w:color w:val="auto"/>
                <w:kern w:val="2"/>
                <w:sz w:val="21"/>
                <w:szCs w:val="21"/>
                <w:highlight w:val="none"/>
                <w:lang w:val="en-US" w:eastAsia="zh-CN"/>
              </w:rPr>
              <w:t>2份</w:t>
            </w:r>
            <w:r>
              <w:rPr>
                <w:rFonts w:hint="eastAsia" w:cs="宋体"/>
                <w:b/>
                <w:bCs/>
                <w:color w:val="auto"/>
                <w:kern w:val="2"/>
                <w:sz w:val="21"/>
                <w:szCs w:val="21"/>
                <w:highlight w:val="none"/>
              </w:rPr>
              <w:t>，正本1份、副本</w:t>
            </w:r>
            <w:r>
              <w:rPr>
                <w:rFonts w:hint="eastAsia" w:cs="宋体"/>
                <w:b/>
                <w:bCs/>
                <w:color w:val="auto"/>
                <w:kern w:val="2"/>
                <w:sz w:val="21"/>
                <w:szCs w:val="21"/>
                <w:highlight w:val="none"/>
                <w:lang w:val="en-US" w:eastAsia="zh-CN"/>
              </w:rPr>
              <w:t>1</w:t>
            </w:r>
            <w:r>
              <w:rPr>
                <w:rFonts w:hint="eastAsia" w:cs="宋体"/>
                <w:b/>
                <w:bCs/>
                <w:color w:val="auto"/>
                <w:kern w:val="2"/>
                <w:sz w:val="21"/>
                <w:szCs w:val="21"/>
                <w:highlight w:val="none"/>
              </w:rPr>
              <w:t>份</w:t>
            </w:r>
            <w:r>
              <w:rPr>
                <w:rFonts w:hint="eastAsia" w:cs="宋体"/>
                <w:b w:val="0"/>
                <w:bCs w:val="0"/>
                <w:color w:val="auto"/>
                <w:kern w:val="2"/>
                <w:sz w:val="21"/>
                <w:szCs w:val="21"/>
                <w:highlight w:val="none"/>
              </w:rPr>
              <w:t>（副本内容须与正本完全一致，可以是正本的复印件）</w:t>
            </w:r>
            <w:r>
              <w:rPr>
                <w:rFonts w:hint="eastAsia" w:cs="宋体"/>
                <w:b/>
                <w:bCs/>
                <w:color w:val="auto"/>
                <w:kern w:val="2"/>
                <w:sz w:val="21"/>
                <w:szCs w:val="21"/>
                <w:highlight w:val="none"/>
                <w:lang w:eastAsia="zh-CN"/>
              </w:rPr>
              <w:t>；</w:t>
            </w:r>
            <w:r>
              <w:rPr>
                <w:rFonts w:hint="eastAsia" w:cs="宋体"/>
                <w:b/>
                <w:bCs/>
                <w:color w:val="auto"/>
                <w:kern w:val="2"/>
                <w:sz w:val="21"/>
                <w:szCs w:val="21"/>
                <w:highlight w:val="none"/>
              </w:rPr>
              <w:t>“投标报价一览表”信封1份；电子投标文件 1 份</w:t>
            </w:r>
            <w:r>
              <w:rPr>
                <w:rFonts w:hint="eastAsia" w:cs="宋体"/>
                <w:b w:val="0"/>
                <w:bCs w:val="0"/>
                <w:color w:val="auto"/>
                <w:kern w:val="2"/>
                <w:sz w:val="21"/>
                <w:szCs w:val="21"/>
                <w:highlight w:val="none"/>
              </w:rPr>
              <w:t>（用U盘储存，需含word可编制版、盖章版扫描件，内容须与纸质投标文件完全一致（以纸质投标文件为准）</w:t>
            </w:r>
            <w:r>
              <w:rPr>
                <w:rFonts w:hint="eastAsia" w:cs="宋体"/>
                <w:b/>
                <w:bCs/>
                <w:color w:val="auto"/>
                <w:kern w:val="2"/>
                <w:sz w:val="21"/>
                <w:szCs w:val="21"/>
                <w:highlight w:val="none"/>
              </w:rPr>
              <w:t>。</w:t>
            </w:r>
          </w:p>
          <w:p w14:paraId="773A9179">
            <w:pPr>
              <w:spacing w:before="156" w:beforeLines="50" w:after="156" w:afterLines="50"/>
              <w:ind w:firstLine="0" w:firstLineChars="0"/>
              <w:jc w:val="left"/>
              <w:rPr>
                <w:color w:val="auto"/>
                <w:szCs w:val="21"/>
                <w:highlight w:val="none"/>
              </w:rPr>
            </w:pPr>
            <w:r>
              <w:rPr>
                <w:color w:val="auto"/>
                <w:szCs w:val="21"/>
                <w:highlight w:val="none"/>
              </w:rPr>
              <w:t>2</w:t>
            </w:r>
            <w:r>
              <w:rPr>
                <w:rFonts w:hint="eastAsia"/>
                <w:color w:val="auto"/>
                <w:szCs w:val="21"/>
                <w:highlight w:val="none"/>
                <w:lang w:eastAsia="zh-CN"/>
              </w:rPr>
              <w:t>.</w:t>
            </w:r>
            <w:r>
              <w:rPr>
                <w:rFonts w:hint="eastAsia" w:ascii="宋体" w:hAnsi="宋体" w:cs="宋体"/>
                <w:color w:val="auto"/>
                <w:szCs w:val="21"/>
                <w:highlight w:val="none"/>
              </w:rPr>
              <w:t>投标文件封面应标明</w:t>
            </w:r>
            <w:r>
              <w:rPr>
                <w:color w:val="auto"/>
                <w:szCs w:val="21"/>
                <w:highlight w:val="none"/>
              </w:rPr>
              <w:t>“</w:t>
            </w:r>
            <w:r>
              <w:rPr>
                <w:rFonts w:hint="eastAsia" w:ascii="宋体" w:hAnsi="宋体" w:cs="宋体"/>
                <w:color w:val="auto"/>
                <w:szCs w:val="21"/>
                <w:highlight w:val="none"/>
              </w:rPr>
              <w:t>正本</w:t>
            </w:r>
            <w:r>
              <w:rPr>
                <w:color w:val="auto"/>
                <w:szCs w:val="21"/>
                <w:highlight w:val="none"/>
              </w:rPr>
              <w:t>”“</w:t>
            </w:r>
            <w:r>
              <w:rPr>
                <w:rFonts w:hint="eastAsia" w:ascii="宋体" w:hAnsi="宋体" w:cs="宋体"/>
                <w:color w:val="auto"/>
                <w:szCs w:val="21"/>
                <w:highlight w:val="none"/>
              </w:rPr>
              <w:t>副本</w:t>
            </w:r>
            <w:r>
              <w:rPr>
                <w:color w:val="auto"/>
                <w:szCs w:val="21"/>
                <w:highlight w:val="none"/>
              </w:rPr>
              <w:t>”</w:t>
            </w:r>
            <w:r>
              <w:rPr>
                <w:rFonts w:hint="eastAsia" w:ascii="宋体" w:hAnsi="宋体" w:cs="宋体"/>
                <w:color w:val="auto"/>
                <w:szCs w:val="21"/>
                <w:highlight w:val="none"/>
              </w:rPr>
              <w:t>字样，并将投标文件正本、副本</w:t>
            </w:r>
            <w:r>
              <w:rPr>
                <w:rFonts w:hint="eastAsia" w:ascii="宋体" w:hAnsi="宋体" w:cs="宋体"/>
                <w:color w:val="auto"/>
                <w:szCs w:val="21"/>
                <w:highlight w:val="none"/>
                <w:lang w:val="en-US" w:eastAsia="zh-CN"/>
              </w:rPr>
              <w:t>及电子投标文件</w:t>
            </w:r>
            <w:r>
              <w:rPr>
                <w:rFonts w:hint="eastAsia" w:ascii="宋体" w:hAnsi="宋体" w:cs="宋体"/>
                <w:color w:val="auto"/>
                <w:szCs w:val="21"/>
                <w:highlight w:val="none"/>
              </w:rPr>
              <w:t>密封装在同一信封中。投标文件密封封口处须加盖投标单位公章。</w:t>
            </w:r>
          </w:p>
          <w:p w14:paraId="24F9D782">
            <w:pPr>
              <w:pStyle w:val="46"/>
              <w:spacing w:before="156" w:beforeLines="50" w:beforeAutospacing="0" w:after="156" w:afterLines="50" w:afterAutospacing="0" w:line="360" w:lineRule="auto"/>
              <w:ind w:firstLine="0" w:firstLineChars="0"/>
              <w:rPr>
                <w:rFonts w:ascii="Times New Roman" w:hAnsi="Times New Roman"/>
                <w:color w:val="auto"/>
                <w:kern w:val="2"/>
                <w:sz w:val="21"/>
                <w:szCs w:val="21"/>
                <w:highlight w:val="none"/>
              </w:rPr>
            </w:pPr>
            <w:r>
              <w:rPr>
                <w:rFonts w:ascii="Times New Roman" w:hAnsi="Times New Roman"/>
                <w:color w:val="auto"/>
                <w:kern w:val="2"/>
                <w:sz w:val="21"/>
                <w:szCs w:val="21"/>
                <w:highlight w:val="none"/>
              </w:rPr>
              <w:t>3</w:t>
            </w:r>
            <w:r>
              <w:rPr>
                <w:rFonts w:hint="eastAsia" w:ascii="Times New Roman" w:hAnsi="Times New Roman"/>
                <w:color w:val="auto"/>
                <w:kern w:val="2"/>
                <w:sz w:val="21"/>
                <w:szCs w:val="21"/>
                <w:highlight w:val="none"/>
                <w:lang w:eastAsia="zh-CN"/>
              </w:rPr>
              <w:t>.</w:t>
            </w:r>
            <w:r>
              <w:rPr>
                <w:rFonts w:hint="eastAsia" w:cs="宋体"/>
                <w:color w:val="auto"/>
                <w:kern w:val="2"/>
                <w:sz w:val="21"/>
                <w:szCs w:val="21"/>
                <w:highlight w:val="none"/>
              </w:rPr>
              <w:t>为方便开标唱标，投标人应将</w:t>
            </w:r>
            <w:r>
              <w:rPr>
                <w:rFonts w:ascii="Times New Roman" w:hAnsi="Times New Roman"/>
                <w:color w:val="auto"/>
                <w:kern w:val="2"/>
                <w:sz w:val="21"/>
                <w:szCs w:val="21"/>
                <w:highlight w:val="none"/>
              </w:rPr>
              <w:t>“D</w:t>
            </w:r>
            <w:r>
              <w:rPr>
                <w:rFonts w:hint="eastAsia" w:ascii="Times New Roman" w:hAnsi="Times New Roman"/>
                <w:color w:val="auto"/>
                <w:kern w:val="2"/>
                <w:sz w:val="21"/>
                <w:szCs w:val="21"/>
                <w:highlight w:val="none"/>
              </w:rPr>
              <w:t>1</w:t>
            </w:r>
            <w:r>
              <w:rPr>
                <w:rFonts w:hint="eastAsia" w:cs="宋体"/>
                <w:color w:val="auto"/>
                <w:kern w:val="2"/>
                <w:sz w:val="21"/>
                <w:szCs w:val="21"/>
                <w:highlight w:val="none"/>
              </w:rPr>
              <w:t>、投标报价一览表（加盖公章）</w:t>
            </w:r>
            <w:r>
              <w:rPr>
                <w:rFonts w:ascii="Times New Roman" w:hAnsi="Times New Roman"/>
                <w:color w:val="auto"/>
                <w:kern w:val="2"/>
                <w:sz w:val="21"/>
                <w:szCs w:val="21"/>
                <w:highlight w:val="none"/>
              </w:rPr>
              <w:t>”1</w:t>
            </w:r>
            <w:r>
              <w:rPr>
                <w:rFonts w:hint="eastAsia" w:cs="宋体"/>
                <w:color w:val="auto"/>
                <w:kern w:val="2"/>
                <w:sz w:val="21"/>
                <w:szCs w:val="21"/>
                <w:highlight w:val="none"/>
              </w:rPr>
              <w:t>份，装入一个密封信封内，信封上标明</w:t>
            </w:r>
            <w:r>
              <w:rPr>
                <w:rFonts w:ascii="Times New Roman" w:hAnsi="Times New Roman"/>
                <w:color w:val="auto"/>
                <w:kern w:val="2"/>
                <w:sz w:val="21"/>
                <w:szCs w:val="21"/>
                <w:highlight w:val="none"/>
              </w:rPr>
              <w:t>“</w:t>
            </w:r>
            <w:r>
              <w:rPr>
                <w:rFonts w:hint="eastAsia" w:cs="宋体"/>
                <w:color w:val="auto"/>
                <w:kern w:val="2"/>
                <w:sz w:val="21"/>
                <w:szCs w:val="21"/>
                <w:highlight w:val="none"/>
              </w:rPr>
              <w:t>投标报价一览表</w:t>
            </w:r>
            <w:r>
              <w:rPr>
                <w:rFonts w:ascii="Times New Roman" w:hAnsi="Times New Roman"/>
                <w:color w:val="auto"/>
                <w:kern w:val="2"/>
                <w:sz w:val="21"/>
                <w:szCs w:val="21"/>
                <w:highlight w:val="none"/>
              </w:rPr>
              <w:t>”</w:t>
            </w:r>
            <w:r>
              <w:rPr>
                <w:rFonts w:hint="eastAsia" w:cs="宋体"/>
                <w:color w:val="auto"/>
                <w:kern w:val="2"/>
                <w:sz w:val="21"/>
                <w:szCs w:val="21"/>
                <w:highlight w:val="none"/>
              </w:rPr>
              <w:t>字样，在投标时单独提交。</w:t>
            </w:r>
          </w:p>
          <w:p w14:paraId="790E555E">
            <w:pPr>
              <w:pStyle w:val="46"/>
              <w:spacing w:before="156" w:beforeLines="50" w:beforeAutospacing="0" w:after="156" w:afterLines="50" w:afterAutospacing="0" w:line="360" w:lineRule="auto"/>
              <w:ind w:firstLine="0" w:firstLineChars="0"/>
              <w:rPr>
                <w:rFonts w:ascii="Times New Roman" w:hAnsi="Times New Roman"/>
                <w:color w:val="auto"/>
                <w:kern w:val="2"/>
                <w:sz w:val="21"/>
                <w:szCs w:val="21"/>
                <w:highlight w:val="none"/>
              </w:rPr>
            </w:pPr>
            <w:r>
              <w:rPr>
                <w:rFonts w:hint="eastAsia" w:ascii="Times New Roman" w:hAnsi="Times New Roman" w:cs="宋体"/>
                <w:color w:val="auto"/>
                <w:kern w:val="2"/>
                <w:sz w:val="21"/>
                <w:szCs w:val="21"/>
                <w:highlight w:val="none"/>
              </w:rPr>
              <w:t>4</w:t>
            </w:r>
            <w:r>
              <w:rPr>
                <w:rFonts w:hint="eastAsia" w:ascii="Times New Roman" w:hAnsi="Times New Roman" w:cs="宋体"/>
                <w:color w:val="auto"/>
                <w:kern w:val="2"/>
                <w:sz w:val="21"/>
                <w:szCs w:val="21"/>
                <w:highlight w:val="none"/>
                <w:lang w:eastAsia="zh-CN"/>
              </w:rPr>
              <w:t>.</w:t>
            </w:r>
            <w:r>
              <w:rPr>
                <w:rFonts w:hint="eastAsia" w:ascii="Times New Roman" w:hAnsi="Times New Roman" w:cs="宋体"/>
                <w:color w:val="auto"/>
                <w:kern w:val="2"/>
                <w:sz w:val="21"/>
                <w:szCs w:val="21"/>
                <w:highlight w:val="none"/>
              </w:rPr>
              <w:t>递交投标文件时将核查法定代表人资格证明书</w:t>
            </w:r>
            <w:r>
              <w:rPr>
                <w:rFonts w:hint="eastAsia" w:ascii="Times New Roman" w:hAnsi="Times New Roman" w:cs="宋体"/>
                <w:color w:val="auto"/>
                <w:kern w:val="2"/>
                <w:sz w:val="21"/>
                <w:szCs w:val="21"/>
                <w:highlight w:val="none"/>
                <w:lang w:eastAsia="zh-CN"/>
              </w:rPr>
              <w:t>、</w:t>
            </w:r>
            <w:r>
              <w:rPr>
                <w:rFonts w:hint="eastAsia" w:ascii="Times New Roman" w:hAnsi="Times New Roman" w:cs="宋体"/>
                <w:color w:val="auto"/>
                <w:kern w:val="2"/>
                <w:sz w:val="21"/>
                <w:szCs w:val="21"/>
                <w:highlight w:val="none"/>
              </w:rPr>
              <w:t>法定代表人授权委托书</w:t>
            </w:r>
            <w:r>
              <w:rPr>
                <w:rFonts w:hint="eastAsia" w:ascii="Times New Roman" w:hAnsi="Times New Roman" w:cs="宋体"/>
                <w:color w:val="auto"/>
                <w:kern w:val="2"/>
                <w:sz w:val="21"/>
                <w:szCs w:val="21"/>
                <w:highlight w:val="none"/>
                <w:lang w:eastAsia="zh-CN"/>
              </w:rPr>
              <w:t>及本人身份证复印件加盖投标人公章</w:t>
            </w:r>
            <w:r>
              <w:rPr>
                <w:rFonts w:hint="eastAsia" w:ascii="Times New Roman" w:hAnsi="Times New Roman" w:cs="宋体"/>
                <w:color w:val="auto"/>
                <w:kern w:val="2"/>
                <w:sz w:val="21"/>
                <w:szCs w:val="21"/>
                <w:highlight w:val="none"/>
              </w:rPr>
              <w:t>，请将此文件另行不密封准备，递交文件时交由工作人员进行身份核查。</w:t>
            </w:r>
          </w:p>
          <w:p w14:paraId="7329718A">
            <w:pPr>
              <w:widowControl w:val="0"/>
              <w:kinsoku w:val="0"/>
              <w:wordWrap w:val="0"/>
              <w:overflowPunct w:val="0"/>
              <w:autoSpaceDE w:val="0"/>
              <w:autoSpaceDN w:val="0"/>
              <w:adjustRightInd w:val="0"/>
              <w:snapToGrid w:val="0"/>
              <w:spacing w:before="120" w:beforeLines="50" w:after="120" w:afterLines="50"/>
              <w:ind w:firstLine="0" w:firstLineChars="0"/>
              <w:jc w:val="left"/>
              <w:rPr>
                <w:color w:val="auto"/>
                <w:szCs w:val="21"/>
              </w:rPr>
            </w:pPr>
            <w:r>
              <w:rPr>
                <w:rFonts w:hint="eastAsia" w:ascii="宋体" w:hAnsi="宋体" w:cs="宋体"/>
                <w:color w:val="auto"/>
                <w:szCs w:val="21"/>
              </w:rPr>
              <w:t>注意：</w:t>
            </w:r>
          </w:p>
          <w:p w14:paraId="599F29B9">
            <w:pPr>
              <w:spacing w:before="120" w:beforeLines="50" w:after="120" w:afterLines="50"/>
              <w:ind w:firstLine="0" w:firstLineChars="0"/>
              <w:jc w:val="left"/>
              <w:rPr>
                <w:color w:val="auto"/>
                <w:szCs w:val="21"/>
              </w:rPr>
            </w:pPr>
            <w:r>
              <w:rPr>
                <w:rFonts w:hint="eastAsia" w:ascii="宋体" w:hAnsi="宋体" w:cs="宋体"/>
                <w:color w:val="auto"/>
                <w:szCs w:val="21"/>
              </w:rPr>
              <w:t>投标文件</w:t>
            </w:r>
            <w:r>
              <w:rPr>
                <w:color w:val="auto"/>
                <w:szCs w:val="21"/>
              </w:rPr>
              <w:t>“</w:t>
            </w:r>
            <w:r>
              <w:rPr>
                <w:rFonts w:hint="eastAsia" w:ascii="宋体" w:hAnsi="宋体" w:cs="宋体"/>
                <w:color w:val="auto"/>
                <w:szCs w:val="21"/>
              </w:rPr>
              <w:t>正本、副本</w:t>
            </w:r>
            <w:r>
              <w:rPr>
                <w:color w:val="auto"/>
                <w:szCs w:val="21"/>
              </w:rPr>
              <w:t>”“</w:t>
            </w:r>
            <w:r>
              <w:rPr>
                <w:rFonts w:hint="eastAsia" w:ascii="宋体" w:hAnsi="宋体" w:cs="宋体"/>
                <w:color w:val="auto"/>
                <w:szCs w:val="21"/>
              </w:rPr>
              <w:t>投标报价一览表</w:t>
            </w:r>
            <w:r>
              <w:rPr>
                <w:color w:val="auto"/>
                <w:szCs w:val="21"/>
              </w:rPr>
              <w:t>”</w:t>
            </w:r>
            <w:r>
              <w:rPr>
                <w:rFonts w:hint="eastAsia" w:ascii="宋体" w:hAnsi="宋体" w:cs="宋体"/>
                <w:color w:val="auto"/>
                <w:szCs w:val="21"/>
              </w:rPr>
              <w:t>信封均应注明：</w:t>
            </w:r>
          </w:p>
          <w:p w14:paraId="1CC2D01B">
            <w:pPr>
              <w:spacing w:before="120" w:beforeLines="50" w:after="120" w:afterLines="50"/>
              <w:ind w:firstLine="0" w:firstLineChars="0"/>
              <w:jc w:val="left"/>
              <w:rPr>
                <w:rFonts w:hint="eastAsia"/>
                <w:color w:val="auto"/>
                <w:szCs w:val="21"/>
              </w:rPr>
            </w:pPr>
            <w:r>
              <w:rPr>
                <w:rFonts w:hint="eastAsia" w:ascii="宋体" w:hAnsi="宋体" w:cs="宋体"/>
                <w:color w:val="auto"/>
                <w:szCs w:val="21"/>
              </w:rPr>
              <w:t>递交</w:t>
            </w:r>
            <w:r>
              <w:rPr>
                <w:color w:val="auto"/>
                <w:szCs w:val="21"/>
              </w:rPr>
              <w:t>至：</w:t>
            </w:r>
            <w:r>
              <w:rPr>
                <w:rFonts w:hint="eastAsia" w:ascii="宋体" w:hAnsi="宋体"/>
                <w:color w:val="auto"/>
                <w:szCs w:val="21"/>
                <w:highlight w:val="none"/>
                <w:u w:val="single"/>
              </w:rPr>
              <w:t>深圳市福田区笋岗西路2006号市体育中心体育场S11</w:t>
            </w:r>
            <w:r>
              <w:rPr>
                <w:rFonts w:hint="eastAsia" w:ascii="宋体" w:hAnsi="宋体"/>
                <w:color w:val="auto"/>
                <w:szCs w:val="21"/>
                <w:highlight w:val="none"/>
                <w:u w:val="single"/>
                <w:lang w:val="en-US" w:eastAsia="zh-CN"/>
              </w:rPr>
              <w:t>办公室</w:t>
            </w:r>
          </w:p>
          <w:p w14:paraId="056A67EA">
            <w:pPr>
              <w:spacing w:before="120" w:beforeLines="50" w:after="120" w:afterLines="50"/>
              <w:ind w:firstLine="0" w:firstLineChars="0"/>
              <w:jc w:val="left"/>
              <w:rPr>
                <w:rFonts w:hint="default" w:eastAsia="宋体"/>
                <w:color w:val="auto"/>
                <w:szCs w:val="21"/>
                <w:lang w:val="en-US" w:eastAsia="zh-CN"/>
              </w:rPr>
            </w:pPr>
            <w:r>
              <w:rPr>
                <w:rFonts w:hint="eastAsia" w:ascii="宋体" w:hAnsi="宋体" w:cs="宋体"/>
                <w:color w:val="auto"/>
                <w:szCs w:val="21"/>
              </w:rPr>
              <w:t>项目编号</w:t>
            </w:r>
            <w:r>
              <w:rPr>
                <w:rFonts w:hint="eastAsia" w:ascii="宋体" w:hAnsi="宋体" w:cs="宋体"/>
                <w:color w:val="auto"/>
                <w:szCs w:val="21"/>
                <w:u w:val="single"/>
                <w:lang w:eastAsia="zh-CN"/>
              </w:rPr>
              <w:t>：YG26ZG0042454</w:t>
            </w:r>
            <w:r>
              <w:rPr>
                <w:rFonts w:hint="eastAsia" w:ascii="宋体" w:hAnsi="宋体" w:cs="宋体"/>
                <w:color w:val="auto"/>
                <w:szCs w:val="21"/>
                <w:u w:val="single"/>
                <w:lang w:val="en-US" w:eastAsia="zh-CN"/>
              </w:rPr>
              <w:t xml:space="preserve"> </w:t>
            </w:r>
          </w:p>
          <w:p w14:paraId="19808519">
            <w:pPr>
              <w:spacing w:before="120" w:beforeLines="50" w:after="120" w:afterLines="50"/>
              <w:ind w:firstLine="0" w:firstLineChars="0"/>
              <w:jc w:val="left"/>
              <w:rPr>
                <w:rFonts w:ascii="宋体" w:hAnsi="宋体" w:cs="宋体"/>
                <w:color w:val="auto"/>
                <w:szCs w:val="21"/>
                <w:u w:val="single"/>
              </w:rPr>
            </w:pPr>
            <w:r>
              <w:rPr>
                <w:rFonts w:hint="eastAsia" w:ascii="宋体" w:hAnsi="宋体" w:cs="宋体"/>
                <w:color w:val="auto"/>
                <w:szCs w:val="21"/>
              </w:rPr>
              <w:t>项目名称：</w:t>
            </w:r>
            <w:r>
              <w:rPr>
                <w:rFonts w:hint="eastAsia" w:ascii="宋体" w:hAnsi="宋体" w:cs="宋体"/>
                <w:color w:val="auto"/>
                <w:szCs w:val="21"/>
                <w:u w:val="single"/>
                <w:lang w:eastAsia="zh-CN"/>
              </w:rPr>
              <w:t>2026-2027</w:t>
            </w:r>
            <w:r>
              <w:rPr>
                <w:rFonts w:ascii="宋体" w:hAnsi="宋体" w:cs="宋体"/>
                <w:color w:val="auto"/>
                <w:szCs w:val="21"/>
                <w:u w:val="single"/>
              </w:rPr>
              <w:t>年度小</w:t>
            </w:r>
            <w:r>
              <w:rPr>
                <w:rFonts w:hint="eastAsia" w:ascii="宋体" w:hAnsi="宋体" w:cs="宋体"/>
                <w:color w:val="auto"/>
                <w:szCs w:val="21"/>
                <w:u w:val="single"/>
              </w:rPr>
              <w:t>型</w:t>
            </w:r>
            <w:r>
              <w:rPr>
                <w:rFonts w:ascii="宋体" w:hAnsi="宋体" w:cs="宋体"/>
                <w:color w:val="auto"/>
                <w:szCs w:val="21"/>
                <w:u w:val="single"/>
              </w:rPr>
              <w:t>工程全过程造价咨询服务</w:t>
            </w:r>
          </w:p>
          <w:p w14:paraId="67AF7024">
            <w:pPr>
              <w:pStyle w:val="46"/>
              <w:spacing w:before="0" w:beforeAutospacing="0" w:after="0" w:afterAutospacing="0" w:line="360" w:lineRule="auto"/>
              <w:ind w:firstLine="420"/>
              <w:rPr>
                <w:rFonts w:cs="Segoe UI Symbol"/>
                <w:color w:val="auto"/>
                <w:szCs w:val="21"/>
              </w:rPr>
            </w:pPr>
            <w:r>
              <w:rPr>
                <w:rFonts w:hint="eastAsia" w:cs="宋体"/>
                <w:color w:val="auto"/>
                <w:kern w:val="2"/>
                <w:sz w:val="21"/>
                <w:szCs w:val="21"/>
              </w:rPr>
              <w:t>并备注：</w:t>
            </w:r>
            <w:r>
              <w:rPr>
                <w:rFonts w:ascii="Times New Roman" w:hAnsi="Times New Roman"/>
                <w:color w:val="auto"/>
                <w:kern w:val="2"/>
                <w:sz w:val="21"/>
                <w:szCs w:val="21"/>
              </w:rPr>
              <w:t>“</w:t>
            </w:r>
            <w:r>
              <w:rPr>
                <w:rFonts w:hint="eastAsia" w:ascii="宋体" w:hAnsi="宋体" w:eastAsia="宋体" w:cs="宋体"/>
                <w:color w:val="auto"/>
                <w:kern w:val="2"/>
                <w:sz w:val="21"/>
                <w:szCs w:val="21"/>
                <w:u w:val="single"/>
                <w:lang w:val="en-US" w:eastAsia="zh-CN" w:bidi="ar-SA"/>
              </w:rPr>
              <w:t>2026-2027年度小型工程全过程造价咨询服务</w:t>
            </w:r>
            <w:r>
              <w:rPr>
                <w:rFonts w:hint="eastAsia" w:cs="宋体"/>
                <w:color w:val="auto"/>
                <w:kern w:val="2"/>
                <w:sz w:val="21"/>
                <w:szCs w:val="21"/>
              </w:rPr>
              <w:t>在</w:t>
            </w:r>
            <w:r>
              <w:rPr>
                <w:rFonts w:hint="eastAsia" w:ascii="Times New Roman" w:hAnsi="Times New Roman"/>
                <w:color w:val="auto"/>
                <w:kern w:val="2"/>
                <w:sz w:val="21"/>
                <w:szCs w:val="21"/>
                <w:u w:val="single"/>
                <w:lang w:eastAsia="zh-CN"/>
              </w:rPr>
              <w:t>2026</w:t>
            </w:r>
            <w:r>
              <w:rPr>
                <w:rFonts w:hint="eastAsia" w:cs="宋体"/>
                <w:color w:val="auto"/>
                <w:kern w:val="2"/>
                <w:sz w:val="21"/>
                <w:szCs w:val="21"/>
                <w:u w:val="single"/>
              </w:rPr>
              <w:t>年</w:t>
            </w:r>
            <w:r>
              <w:rPr>
                <w:rFonts w:hint="eastAsia" w:cs="宋体"/>
                <w:color w:val="auto"/>
                <w:kern w:val="2"/>
                <w:sz w:val="21"/>
                <w:szCs w:val="21"/>
                <w:u w:val="single"/>
                <w:lang w:val="en-US" w:eastAsia="zh-CN"/>
              </w:rPr>
              <w:t>7</w:t>
            </w:r>
            <w:r>
              <w:rPr>
                <w:rFonts w:hint="eastAsia" w:cs="宋体"/>
                <w:color w:val="auto"/>
                <w:kern w:val="2"/>
                <w:sz w:val="21"/>
                <w:szCs w:val="21"/>
                <w:u w:val="single"/>
              </w:rPr>
              <w:t>月</w:t>
            </w:r>
            <w:r>
              <w:rPr>
                <w:rFonts w:hint="eastAsia" w:cs="宋体"/>
                <w:color w:val="auto"/>
                <w:kern w:val="2"/>
                <w:sz w:val="21"/>
                <w:szCs w:val="21"/>
                <w:u w:val="single"/>
                <w:lang w:val="en-US" w:eastAsia="zh-CN"/>
              </w:rPr>
              <w:t>3</w:t>
            </w:r>
            <w:r>
              <w:rPr>
                <w:rFonts w:hint="eastAsia" w:cs="宋体"/>
                <w:color w:val="auto"/>
                <w:kern w:val="2"/>
                <w:sz w:val="21"/>
                <w:szCs w:val="21"/>
                <w:u w:val="single"/>
              </w:rPr>
              <w:t>日</w:t>
            </w:r>
            <w:r>
              <w:rPr>
                <w:rFonts w:hint="eastAsia" w:cs="宋体"/>
                <w:color w:val="auto"/>
                <w:kern w:val="2"/>
                <w:sz w:val="21"/>
                <w:szCs w:val="21"/>
                <w:u w:val="single"/>
                <w:lang w:val="en-US" w:eastAsia="zh-CN"/>
              </w:rPr>
              <w:t>10：00</w:t>
            </w:r>
            <w:r>
              <w:rPr>
                <w:rFonts w:hint="eastAsia" w:cs="宋体"/>
                <w:color w:val="auto"/>
                <w:kern w:val="2"/>
                <w:sz w:val="21"/>
                <w:szCs w:val="21"/>
              </w:rPr>
              <w:t>（北京时间）之前不得启封</w:t>
            </w:r>
            <w:r>
              <w:rPr>
                <w:rFonts w:ascii="Times New Roman" w:hAnsi="Times New Roman"/>
                <w:color w:val="auto"/>
                <w:kern w:val="2"/>
                <w:sz w:val="21"/>
                <w:szCs w:val="21"/>
              </w:rPr>
              <w:t>”</w:t>
            </w:r>
            <w:r>
              <w:rPr>
                <w:rFonts w:hint="eastAsia" w:cs="宋体"/>
                <w:color w:val="auto"/>
                <w:kern w:val="2"/>
                <w:sz w:val="21"/>
                <w:szCs w:val="21"/>
              </w:rPr>
              <w:t>的字样。</w:t>
            </w:r>
          </w:p>
        </w:tc>
      </w:tr>
      <w:tr w14:paraId="47B4E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shd w:val="clear" w:color="auto" w:fill="FFFFFF"/>
            <w:vAlign w:val="center"/>
          </w:tcPr>
          <w:p w14:paraId="2405350B">
            <w:pPr>
              <w:widowControl w:val="0"/>
              <w:autoSpaceDE w:val="0"/>
              <w:autoSpaceDN w:val="0"/>
              <w:adjustRightInd w:val="0"/>
              <w:snapToGrid w:val="0"/>
              <w:ind w:firstLine="0" w:firstLineChars="0"/>
              <w:jc w:val="center"/>
              <w:rPr>
                <w:rFonts w:ascii="宋体" w:hAnsi="宋体"/>
                <w:color w:val="auto"/>
                <w:szCs w:val="21"/>
              </w:rPr>
            </w:pPr>
            <w:r>
              <w:rPr>
                <w:rFonts w:ascii="宋体" w:hAnsi="宋体"/>
                <w:color w:val="auto"/>
                <w:szCs w:val="21"/>
              </w:rPr>
              <w:t>30</w:t>
            </w:r>
          </w:p>
        </w:tc>
        <w:tc>
          <w:tcPr>
            <w:tcW w:w="1110" w:type="pct"/>
            <w:shd w:val="clear" w:color="auto" w:fill="FFFFFF"/>
            <w:vAlign w:val="center"/>
          </w:tcPr>
          <w:p w14:paraId="41A3AF50">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s="宋体"/>
                <w:color w:val="auto"/>
                <w:szCs w:val="21"/>
              </w:rPr>
              <w:t>投标文件签字或盖章要求</w:t>
            </w:r>
          </w:p>
        </w:tc>
        <w:tc>
          <w:tcPr>
            <w:tcW w:w="3331" w:type="pct"/>
            <w:shd w:val="clear" w:color="auto" w:fill="FFFFFF"/>
            <w:vAlign w:val="center"/>
          </w:tcPr>
          <w:p w14:paraId="67C422F1">
            <w:pPr>
              <w:pStyle w:val="46"/>
              <w:spacing w:before="0" w:beforeAutospacing="0" w:after="0" w:afterAutospacing="0" w:line="360" w:lineRule="auto"/>
              <w:ind w:firstLine="420"/>
              <w:rPr>
                <w:rFonts w:cs="MS Mincho"/>
                <w:color w:val="auto"/>
                <w:szCs w:val="21"/>
              </w:rPr>
            </w:pPr>
            <w:r>
              <w:rPr>
                <w:rFonts w:hint="eastAsia" w:cs="宋体"/>
                <w:color w:val="auto"/>
                <w:kern w:val="2"/>
                <w:sz w:val="21"/>
                <w:szCs w:val="21"/>
              </w:rPr>
              <w:t>投标文件必须有投标人盖章（投标文件每页加盖公章，骑缝章，特殊规定位置加盖法人章（签字）或授权代理人签字）方为合法的投标文件。</w:t>
            </w:r>
            <w:r>
              <w:rPr>
                <w:rFonts w:hint="eastAsia" w:cs="宋体"/>
                <w:b/>
                <w:bCs/>
                <w:color w:val="auto"/>
                <w:kern w:val="2"/>
                <w:sz w:val="21"/>
                <w:szCs w:val="21"/>
              </w:rPr>
              <w:t>对文件未盖章的资料，相应资料无效；相应资料无效致使投标文件无效的，由投标人自行负责。</w:t>
            </w:r>
          </w:p>
        </w:tc>
      </w:tr>
      <w:tr w14:paraId="2B6A1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000" w:type="pct"/>
            <w:gridSpan w:val="3"/>
            <w:shd w:val="clear" w:color="auto" w:fill="D9E2F3"/>
            <w:vAlign w:val="center"/>
          </w:tcPr>
          <w:p w14:paraId="1C8CF68B">
            <w:pPr>
              <w:widowControl w:val="0"/>
              <w:autoSpaceDE w:val="0"/>
              <w:autoSpaceDN w:val="0"/>
              <w:adjustRightInd w:val="0"/>
              <w:snapToGrid w:val="0"/>
              <w:ind w:firstLine="0" w:firstLineChars="0"/>
              <w:jc w:val="center"/>
              <w:rPr>
                <w:rFonts w:ascii="宋体" w:hAnsi="宋体"/>
                <w:b/>
                <w:color w:val="auto"/>
                <w:sz w:val="32"/>
                <w:szCs w:val="32"/>
              </w:rPr>
            </w:pPr>
            <w:r>
              <w:rPr>
                <w:rFonts w:hint="eastAsia" w:ascii="宋体" w:hAnsi="宋体"/>
                <w:b/>
                <w:color w:val="auto"/>
                <w:sz w:val="32"/>
                <w:szCs w:val="32"/>
              </w:rPr>
              <w:t>投标文件的编制内容</w:t>
            </w:r>
          </w:p>
        </w:tc>
      </w:tr>
      <w:tr w14:paraId="2B201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559" w:type="pct"/>
            <w:shd w:val="clear" w:color="auto" w:fill="FFFFFF"/>
            <w:vAlign w:val="center"/>
          </w:tcPr>
          <w:p w14:paraId="37E88941">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条款</w:t>
            </w:r>
            <w:r>
              <w:rPr>
                <w:rFonts w:ascii="宋体" w:hAnsi="宋体"/>
                <w:b/>
                <w:color w:val="auto"/>
                <w:szCs w:val="21"/>
              </w:rPr>
              <w:t>号</w:t>
            </w:r>
          </w:p>
        </w:tc>
        <w:tc>
          <w:tcPr>
            <w:tcW w:w="1110" w:type="pct"/>
            <w:shd w:val="clear" w:color="auto" w:fill="FFFFFF"/>
            <w:vAlign w:val="center"/>
          </w:tcPr>
          <w:p w14:paraId="233D1BE6">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内容</w:t>
            </w:r>
          </w:p>
        </w:tc>
        <w:tc>
          <w:tcPr>
            <w:tcW w:w="3331" w:type="pct"/>
            <w:shd w:val="clear" w:color="auto" w:fill="FFFFFF"/>
            <w:vAlign w:val="center"/>
          </w:tcPr>
          <w:p w14:paraId="1E94AB9C">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规定</w:t>
            </w:r>
          </w:p>
        </w:tc>
      </w:tr>
      <w:tr w14:paraId="13BE4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92" w:hRule="atLeast"/>
        </w:trPr>
        <w:tc>
          <w:tcPr>
            <w:tcW w:w="559" w:type="pct"/>
            <w:vMerge w:val="restart"/>
            <w:shd w:val="clear" w:color="auto" w:fill="FFFFFF"/>
            <w:vAlign w:val="center"/>
          </w:tcPr>
          <w:p w14:paraId="727C6611">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3.1.1</w:t>
            </w:r>
          </w:p>
        </w:tc>
        <w:tc>
          <w:tcPr>
            <w:tcW w:w="1110" w:type="pct"/>
            <w:tcBorders>
              <w:bottom w:val="single" w:color="auto" w:sz="4" w:space="0"/>
            </w:tcBorders>
            <w:shd w:val="clear" w:color="auto" w:fill="FFFFFF"/>
            <w:vAlign w:val="center"/>
          </w:tcPr>
          <w:p w14:paraId="730FCCD4">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s="Courier New"/>
                <w:color w:val="auto"/>
                <w:kern w:val="0"/>
                <w:szCs w:val="21"/>
              </w:rPr>
              <w:t>投标文件组成</w:t>
            </w:r>
          </w:p>
        </w:tc>
        <w:tc>
          <w:tcPr>
            <w:tcW w:w="3331" w:type="pct"/>
            <w:shd w:val="clear" w:color="auto" w:fill="FFFFFF"/>
            <w:vAlign w:val="center"/>
          </w:tcPr>
          <w:p w14:paraId="5E8D0E67">
            <w:pPr>
              <w:widowControl w:val="0"/>
              <w:autoSpaceDE w:val="0"/>
              <w:autoSpaceDN w:val="0"/>
              <w:adjustRightInd w:val="0"/>
              <w:snapToGrid w:val="0"/>
              <w:ind w:firstLine="0" w:firstLineChars="0"/>
              <w:jc w:val="left"/>
              <w:rPr>
                <w:rFonts w:ascii="宋体" w:hAnsi="宋体" w:cs="Courier New"/>
                <w:b/>
                <w:color w:val="auto"/>
                <w:kern w:val="0"/>
                <w:szCs w:val="21"/>
              </w:rPr>
            </w:pPr>
            <w:r>
              <w:rPr>
                <w:rFonts w:hint="eastAsia" w:ascii="宋体" w:hAnsi="宋体" w:cs="Courier New"/>
                <w:color w:val="auto"/>
                <w:kern w:val="0"/>
                <w:szCs w:val="21"/>
              </w:rPr>
              <w:t>投标文件包含以下组成部分</w:t>
            </w:r>
            <w:r>
              <w:rPr>
                <w:rFonts w:hint="eastAsia" w:ascii="宋体" w:hAnsi="宋体" w:cs="Courier New"/>
                <w:b/>
                <w:color w:val="auto"/>
                <w:kern w:val="0"/>
                <w:szCs w:val="21"/>
              </w:rPr>
              <w:t>：</w:t>
            </w:r>
          </w:p>
          <w:p w14:paraId="5EAA9BE6">
            <w:pPr>
              <w:widowControl w:val="0"/>
              <w:autoSpaceDE w:val="0"/>
              <w:autoSpaceDN w:val="0"/>
              <w:adjustRightInd w:val="0"/>
              <w:snapToGrid w:val="0"/>
              <w:ind w:firstLine="0" w:firstLineChars="0"/>
              <w:jc w:val="left"/>
              <w:rPr>
                <w:rFonts w:ascii="宋体" w:hAnsi="宋体" w:cs="Courier New"/>
                <w:color w:val="auto"/>
                <w:kern w:val="0"/>
                <w:szCs w:val="21"/>
              </w:rPr>
            </w:pPr>
            <w:r>
              <w:rPr>
                <w:rFonts w:hint="eastAsia" w:ascii="宋体" w:hAnsi="宋体"/>
                <w:color w:val="auto"/>
                <w:szCs w:val="21"/>
              </w:rPr>
              <w:t>☑</w:t>
            </w:r>
            <w:r>
              <w:rPr>
                <w:rFonts w:hint="eastAsia" w:ascii="宋体" w:hAnsi="宋体" w:cs="Courier New"/>
                <w:color w:val="auto"/>
                <w:kern w:val="0"/>
                <w:szCs w:val="21"/>
              </w:rPr>
              <w:t>资格审查文件</w:t>
            </w:r>
          </w:p>
          <w:p w14:paraId="7E2AA542">
            <w:pPr>
              <w:widowControl w:val="0"/>
              <w:autoSpaceDE w:val="0"/>
              <w:autoSpaceDN w:val="0"/>
              <w:adjustRightInd w:val="0"/>
              <w:snapToGrid w:val="0"/>
              <w:ind w:firstLine="0" w:firstLineChars="0"/>
              <w:jc w:val="left"/>
              <w:rPr>
                <w:rFonts w:ascii="宋体" w:hAnsi="宋体" w:cs="Courier New"/>
                <w:color w:val="auto"/>
                <w:kern w:val="0"/>
                <w:szCs w:val="21"/>
              </w:rPr>
            </w:pPr>
            <w:r>
              <w:rPr>
                <w:rFonts w:hint="eastAsia" w:ascii="宋体" w:hAnsi="宋体"/>
                <w:color w:val="auto"/>
                <w:szCs w:val="21"/>
              </w:rPr>
              <w:t>☑</w:t>
            </w:r>
            <w:r>
              <w:rPr>
                <w:rFonts w:hint="eastAsia" w:ascii="宋体" w:hAnsi="宋体" w:cs="Courier New"/>
                <w:color w:val="auto"/>
                <w:kern w:val="0"/>
                <w:szCs w:val="21"/>
              </w:rPr>
              <w:t>商务标部分</w:t>
            </w:r>
          </w:p>
          <w:p w14:paraId="5C742F23">
            <w:pPr>
              <w:widowControl w:val="0"/>
              <w:autoSpaceDE w:val="0"/>
              <w:autoSpaceDN w:val="0"/>
              <w:adjustRightInd w:val="0"/>
              <w:snapToGrid w:val="0"/>
              <w:ind w:firstLine="0" w:firstLineChars="0"/>
              <w:jc w:val="left"/>
              <w:rPr>
                <w:rFonts w:ascii="宋体" w:hAnsi="宋体" w:cs="Courier New"/>
                <w:color w:val="auto"/>
                <w:kern w:val="0"/>
                <w:szCs w:val="21"/>
              </w:rPr>
            </w:pPr>
            <w:r>
              <w:rPr>
                <w:rFonts w:hint="eastAsia" w:ascii="宋体" w:hAnsi="宋体"/>
                <w:color w:val="auto"/>
                <w:szCs w:val="21"/>
              </w:rPr>
              <w:t>☑</w:t>
            </w:r>
            <w:r>
              <w:rPr>
                <w:rFonts w:hint="eastAsia" w:ascii="宋体" w:hAnsi="宋体" w:cs="Courier New"/>
                <w:color w:val="auto"/>
                <w:kern w:val="0"/>
                <w:szCs w:val="21"/>
              </w:rPr>
              <w:t>技术标部分</w:t>
            </w:r>
          </w:p>
          <w:p w14:paraId="7B63C03B">
            <w:pPr>
              <w:widowControl w:val="0"/>
              <w:autoSpaceDE w:val="0"/>
              <w:autoSpaceDN w:val="0"/>
              <w:adjustRightInd w:val="0"/>
              <w:snapToGrid w:val="0"/>
              <w:ind w:firstLine="0" w:firstLineChars="0"/>
              <w:jc w:val="left"/>
              <w:rPr>
                <w:rFonts w:ascii="宋体" w:hAnsi="宋体" w:cs="Courier New"/>
                <w:color w:val="auto"/>
                <w:kern w:val="0"/>
                <w:szCs w:val="21"/>
              </w:rPr>
            </w:pPr>
            <w:r>
              <w:rPr>
                <w:rFonts w:hint="eastAsia" w:ascii="宋体" w:hAnsi="宋体"/>
                <w:color w:val="auto"/>
                <w:szCs w:val="21"/>
              </w:rPr>
              <w:t>☑</w:t>
            </w:r>
            <w:r>
              <w:rPr>
                <w:rFonts w:hint="eastAsia" w:ascii="宋体" w:hAnsi="宋体" w:cs="Courier New"/>
                <w:color w:val="auto"/>
                <w:kern w:val="0"/>
                <w:szCs w:val="21"/>
              </w:rPr>
              <w:t>价格标部分</w:t>
            </w:r>
          </w:p>
        </w:tc>
      </w:tr>
      <w:tr w14:paraId="7D42F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06ACD3B5">
            <w:pPr>
              <w:widowControl w:val="0"/>
              <w:autoSpaceDE w:val="0"/>
              <w:autoSpaceDN w:val="0"/>
              <w:adjustRightInd w:val="0"/>
              <w:snapToGrid w:val="0"/>
              <w:ind w:firstLine="0" w:firstLineChars="0"/>
              <w:jc w:val="center"/>
              <w:rPr>
                <w:rFonts w:ascii="宋体" w:hAnsi="宋体"/>
                <w:color w:val="auto"/>
                <w:szCs w:val="21"/>
              </w:rPr>
            </w:pPr>
          </w:p>
        </w:tc>
        <w:tc>
          <w:tcPr>
            <w:tcW w:w="1110" w:type="pct"/>
            <w:tcBorders>
              <w:bottom w:val="single" w:color="auto" w:sz="4" w:space="0"/>
            </w:tcBorders>
            <w:shd w:val="clear" w:color="auto" w:fill="FFFFFF"/>
            <w:vAlign w:val="center"/>
          </w:tcPr>
          <w:p w14:paraId="1429B704">
            <w:pPr>
              <w:widowControl w:val="0"/>
              <w:autoSpaceDE w:val="0"/>
              <w:autoSpaceDN w:val="0"/>
              <w:adjustRightInd w:val="0"/>
              <w:snapToGrid w:val="0"/>
              <w:ind w:firstLine="0" w:firstLineChars="0"/>
              <w:jc w:val="center"/>
              <w:rPr>
                <w:rFonts w:ascii="宋体" w:hAnsi="宋体" w:cs="Courier New"/>
                <w:color w:val="auto"/>
                <w:kern w:val="0"/>
                <w:szCs w:val="21"/>
              </w:rPr>
            </w:pPr>
            <w:r>
              <w:rPr>
                <w:rFonts w:hint="eastAsia" w:ascii="宋体" w:hAnsi="宋体" w:cs="Courier New"/>
                <w:color w:val="auto"/>
                <w:kern w:val="0"/>
                <w:szCs w:val="21"/>
              </w:rPr>
              <w:t>资格审查文件</w:t>
            </w:r>
          </w:p>
        </w:tc>
        <w:tc>
          <w:tcPr>
            <w:tcW w:w="3331" w:type="pct"/>
            <w:shd w:val="clear" w:color="auto" w:fill="FFFFFF"/>
            <w:vAlign w:val="center"/>
          </w:tcPr>
          <w:p w14:paraId="45ECD7F0">
            <w:pPr>
              <w:widowControl w:val="0"/>
              <w:wordWrap w:val="0"/>
              <w:autoSpaceDE w:val="0"/>
              <w:autoSpaceDN w:val="0"/>
              <w:adjustRightInd w:val="0"/>
              <w:snapToGrid w:val="0"/>
              <w:ind w:firstLine="0" w:firstLineChars="0"/>
              <w:rPr>
                <w:rFonts w:ascii="宋体" w:hAnsi="宋体"/>
                <w:b/>
                <w:bCs/>
                <w:snapToGrid w:val="0"/>
                <w:color w:val="auto"/>
                <w:kern w:val="0"/>
                <w:szCs w:val="21"/>
              </w:rPr>
            </w:pPr>
            <w:r>
              <w:rPr>
                <w:rFonts w:hint="eastAsia" w:ascii="宋体" w:hAnsi="宋体"/>
                <w:b/>
                <w:bCs/>
                <w:snapToGrid w:val="0"/>
                <w:color w:val="auto"/>
                <w:kern w:val="0"/>
                <w:szCs w:val="21"/>
              </w:rPr>
              <w:t>编制内容：</w:t>
            </w:r>
          </w:p>
          <w:p w14:paraId="2A956F7B">
            <w:pPr>
              <w:widowControl w:val="0"/>
              <w:wordWrap w:val="0"/>
              <w:autoSpaceDE w:val="0"/>
              <w:autoSpaceDN w:val="0"/>
              <w:adjustRightInd w:val="0"/>
              <w:snapToGrid w:val="0"/>
              <w:ind w:firstLine="0" w:firstLineChars="0"/>
              <w:rPr>
                <w:rFonts w:ascii="宋体" w:hAnsi="宋体" w:cs="Courier New"/>
                <w:color w:val="auto"/>
                <w:kern w:val="0"/>
                <w:szCs w:val="21"/>
                <w:u w:val="single"/>
              </w:rPr>
            </w:pPr>
            <w:r>
              <w:rPr>
                <w:rFonts w:hint="eastAsia" w:ascii="宋体" w:hAnsi="宋体" w:cs="Courier New"/>
                <w:color w:val="auto"/>
                <w:kern w:val="0"/>
                <w:szCs w:val="21"/>
              </w:rPr>
              <w:t>详见第五章</w:t>
            </w:r>
          </w:p>
        </w:tc>
      </w:tr>
      <w:tr w14:paraId="17A6C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2264673D">
            <w:pPr>
              <w:widowControl w:val="0"/>
              <w:autoSpaceDE w:val="0"/>
              <w:autoSpaceDN w:val="0"/>
              <w:adjustRightInd w:val="0"/>
              <w:snapToGrid w:val="0"/>
              <w:ind w:firstLine="0" w:firstLineChars="0"/>
              <w:jc w:val="center"/>
              <w:rPr>
                <w:rFonts w:ascii="宋体" w:hAnsi="宋体"/>
                <w:color w:val="auto"/>
                <w:szCs w:val="21"/>
              </w:rPr>
            </w:pPr>
          </w:p>
        </w:tc>
        <w:tc>
          <w:tcPr>
            <w:tcW w:w="1110" w:type="pct"/>
            <w:tcBorders>
              <w:top w:val="single" w:color="auto" w:sz="4" w:space="0"/>
            </w:tcBorders>
            <w:shd w:val="clear" w:color="auto" w:fill="FFFFFF"/>
            <w:vAlign w:val="center"/>
          </w:tcPr>
          <w:p w14:paraId="46B6FD24">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商务标部分</w:t>
            </w:r>
          </w:p>
        </w:tc>
        <w:tc>
          <w:tcPr>
            <w:tcW w:w="3331" w:type="pct"/>
            <w:shd w:val="clear" w:color="auto" w:fill="FFFFFF"/>
            <w:vAlign w:val="center"/>
          </w:tcPr>
          <w:p w14:paraId="1C407872">
            <w:pPr>
              <w:widowControl w:val="0"/>
              <w:wordWrap w:val="0"/>
              <w:autoSpaceDE w:val="0"/>
              <w:autoSpaceDN w:val="0"/>
              <w:adjustRightInd w:val="0"/>
              <w:snapToGrid w:val="0"/>
              <w:ind w:firstLine="0" w:firstLineChars="0"/>
              <w:rPr>
                <w:rFonts w:ascii="宋体" w:hAnsi="宋体"/>
                <w:b/>
                <w:bCs/>
                <w:snapToGrid w:val="0"/>
                <w:color w:val="auto"/>
                <w:kern w:val="0"/>
                <w:szCs w:val="21"/>
              </w:rPr>
            </w:pPr>
            <w:r>
              <w:rPr>
                <w:rFonts w:hint="eastAsia" w:ascii="宋体" w:hAnsi="宋体"/>
                <w:b/>
                <w:bCs/>
                <w:snapToGrid w:val="0"/>
                <w:color w:val="auto"/>
                <w:kern w:val="0"/>
                <w:szCs w:val="21"/>
              </w:rPr>
              <w:t>编制内容：</w:t>
            </w:r>
          </w:p>
          <w:p w14:paraId="1D076F0A">
            <w:pPr>
              <w:widowControl w:val="0"/>
              <w:wordWrap w:val="0"/>
              <w:autoSpaceDE w:val="0"/>
              <w:autoSpaceDN w:val="0"/>
              <w:adjustRightInd w:val="0"/>
              <w:snapToGrid w:val="0"/>
              <w:ind w:firstLine="0" w:firstLineChars="0"/>
              <w:rPr>
                <w:rFonts w:ascii="宋体" w:hAnsi="宋体" w:cs="Courier New"/>
                <w:color w:val="auto"/>
                <w:kern w:val="0"/>
                <w:szCs w:val="21"/>
              </w:rPr>
            </w:pPr>
            <w:r>
              <w:rPr>
                <w:rFonts w:hint="eastAsia" w:ascii="宋体" w:hAnsi="宋体" w:cs="Courier New"/>
                <w:color w:val="auto"/>
                <w:kern w:val="0"/>
                <w:szCs w:val="21"/>
              </w:rPr>
              <w:t>详见第五章</w:t>
            </w:r>
          </w:p>
        </w:tc>
      </w:tr>
      <w:tr w14:paraId="4BA54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5E90D22C">
            <w:pPr>
              <w:widowControl w:val="0"/>
              <w:autoSpaceDE w:val="0"/>
              <w:autoSpaceDN w:val="0"/>
              <w:adjustRightInd w:val="0"/>
              <w:snapToGrid w:val="0"/>
              <w:ind w:firstLine="0" w:firstLineChars="0"/>
              <w:jc w:val="center"/>
              <w:rPr>
                <w:rFonts w:ascii="宋体" w:hAnsi="宋体"/>
                <w:color w:val="auto"/>
                <w:szCs w:val="21"/>
              </w:rPr>
            </w:pPr>
          </w:p>
        </w:tc>
        <w:tc>
          <w:tcPr>
            <w:tcW w:w="1110" w:type="pct"/>
            <w:shd w:val="clear" w:color="auto" w:fill="FFFFFF"/>
            <w:vAlign w:val="center"/>
          </w:tcPr>
          <w:p w14:paraId="0408AA01">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技术标部分</w:t>
            </w:r>
          </w:p>
        </w:tc>
        <w:tc>
          <w:tcPr>
            <w:tcW w:w="3331" w:type="pct"/>
            <w:shd w:val="clear" w:color="auto" w:fill="FFFFFF"/>
            <w:vAlign w:val="center"/>
          </w:tcPr>
          <w:p w14:paraId="06DB8CF1">
            <w:pPr>
              <w:widowControl w:val="0"/>
              <w:wordWrap w:val="0"/>
              <w:autoSpaceDE w:val="0"/>
              <w:autoSpaceDN w:val="0"/>
              <w:adjustRightInd w:val="0"/>
              <w:snapToGrid w:val="0"/>
              <w:ind w:firstLine="0" w:firstLineChars="0"/>
              <w:rPr>
                <w:rFonts w:ascii="宋体" w:hAnsi="宋体"/>
                <w:b/>
                <w:bCs/>
                <w:snapToGrid w:val="0"/>
                <w:color w:val="auto"/>
                <w:kern w:val="0"/>
                <w:szCs w:val="21"/>
              </w:rPr>
            </w:pPr>
            <w:r>
              <w:rPr>
                <w:rFonts w:hint="eastAsia" w:ascii="宋体" w:hAnsi="宋体"/>
                <w:b/>
                <w:bCs/>
                <w:snapToGrid w:val="0"/>
                <w:color w:val="auto"/>
                <w:kern w:val="0"/>
                <w:szCs w:val="21"/>
              </w:rPr>
              <w:t>编制内容：</w:t>
            </w:r>
          </w:p>
          <w:p w14:paraId="46636659">
            <w:pPr>
              <w:widowControl w:val="0"/>
              <w:wordWrap w:val="0"/>
              <w:autoSpaceDE w:val="0"/>
              <w:autoSpaceDN w:val="0"/>
              <w:adjustRightInd w:val="0"/>
              <w:snapToGrid w:val="0"/>
              <w:ind w:firstLine="0" w:firstLineChars="0"/>
              <w:rPr>
                <w:rFonts w:ascii="宋体" w:hAnsi="宋体"/>
                <w:color w:val="auto"/>
                <w:szCs w:val="21"/>
              </w:rPr>
            </w:pPr>
            <w:r>
              <w:rPr>
                <w:rFonts w:hint="eastAsia" w:ascii="宋体" w:hAnsi="宋体" w:cs="Courier New"/>
                <w:color w:val="auto"/>
                <w:kern w:val="0"/>
                <w:szCs w:val="21"/>
              </w:rPr>
              <w:t>详见第五章</w:t>
            </w:r>
          </w:p>
        </w:tc>
      </w:tr>
      <w:tr w14:paraId="4D35D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6B24F9D3">
            <w:pPr>
              <w:widowControl w:val="0"/>
              <w:autoSpaceDE w:val="0"/>
              <w:autoSpaceDN w:val="0"/>
              <w:adjustRightInd w:val="0"/>
              <w:snapToGrid w:val="0"/>
              <w:ind w:firstLine="0" w:firstLineChars="0"/>
              <w:jc w:val="center"/>
              <w:rPr>
                <w:rFonts w:ascii="宋体" w:hAnsi="宋体"/>
                <w:color w:val="auto"/>
                <w:szCs w:val="21"/>
              </w:rPr>
            </w:pPr>
          </w:p>
        </w:tc>
        <w:tc>
          <w:tcPr>
            <w:tcW w:w="1110" w:type="pct"/>
            <w:shd w:val="clear" w:color="auto" w:fill="FFFFFF"/>
            <w:vAlign w:val="center"/>
          </w:tcPr>
          <w:p w14:paraId="35DB5F44">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价格标部分</w:t>
            </w:r>
          </w:p>
        </w:tc>
        <w:tc>
          <w:tcPr>
            <w:tcW w:w="3331" w:type="pct"/>
            <w:shd w:val="clear" w:color="auto" w:fill="FFFFFF"/>
            <w:vAlign w:val="center"/>
          </w:tcPr>
          <w:p w14:paraId="32D01B2D">
            <w:pPr>
              <w:widowControl w:val="0"/>
              <w:wordWrap w:val="0"/>
              <w:autoSpaceDE w:val="0"/>
              <w:autoSpaceDN w:val="0"/>
              <w:adjustRightInd w:val="0"/>
              <w:snapToGrid w:val="0"/>
              <w:ind w:firstLine="0" w:firstLineChars="0"/>
              <w:rPr>
                <w:rFonts w:ascii="宋体" w:hAnsi="宋体"/>
                <w:b/>
                <w:bCs/>
                <w:snapToGrid w:val="0"/>
                <w:color w:val="auto"/>
                <w:kern w:val="0"/>
                <w:szCs w:val="21"/>
              </w:rPr>
            </w:pPr>
            <w:r>
              <w:rPr>
                <w:rFonts w:hint="eastAsia" w:ascii="宋体" w:hAnsi="宋体"/>
                <w:b/>
                <w:bCs/>
                <w:snapToGrid w:val="0"/>
                <w:color w:val="auto"/>
                <w:kern w:val="0"/>
                <w:szCs w:val="21"/>
              </w:rPr>
              <w:t>编制内容：</w:t>
            </w:r>
          </w:p>
          <w:p w14:paraId="49C76438">
            <w:pPr>
              <w:widowControl w:val="0"/>
              <w:wordWrap w:val="0"/>
              <w:autoSpaceDE w:val="0"/>
              <w:autoSpaceDN w:val="0"/>
              <w:adjustRightInd w:val="0"/>
              <w:snapToGrid w:val="0"/>
              <w:ind w:firstLine="0" w:firstLineChars="0"/>
              <w:rPr>
                <w:rFonts w:ascii="宋体" w:hAnsi="宋体"/>
                <w:snapToGrid w:val="0"/>
                <w:color w:val="auto"/>
                <w:kern w:val="0"/>
                <w:szCs w:val="21"/>
              </w:rPr>
            </w:pPr>
            <w:r>
              <w:rPr>
                <w:rFonts w:hint="eastAsia" w:ascii="宋体" w:hAnsi="宋体" w:cs="Courier New"/>
                <w:color w:val="auto"/>
                <w:kern w:val="0"/>
                <w:szCs w:val="21"/>
              </w:rPr>
              <w:t>详见第五章</w:t>
            </w:r>
          </w:p>
        </w:tc>
      </w:tr>
      <w:tr w14:paraId="5EA5C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rPr>
        <w:tc>
          <w:tcPr>
            <w:tcW w:w="5000" w:type="pct"/>
            <w:gridSpan w:val="3"/>
            <w:shd w:val="clear" w:color="auto" w:fill="FFFFFF"/>
            <w:vAlign w:val="center"/>
          </w:tcPr>
          <w:p w14:paraId="57212514">
            <w:pPr>
              <w:widowControl w:val="0"/>
              <w:autoSpaceDE w:val="0"/>
              <w:autoSpaceDN w:val="0"/>
              <w:adjustRightInd w:val="0"/>
              <w:snapToGrid w:val="0"/>
              <w:ind w:firstLine="0" w:firstLineChars="0"/>
              <w:jc w:val="left"/>
              <w:rPr>
                <w:rFonts w:ascii="宋体" w:hAnsi="宋体"/>
                <w:b/>
                <w:bCs/>
                <w:snapToGrid w:val="0"/>
                <w:color w:val="auto"/>
                <w:kern w:val="0"/>
                <w:szCs w:val="21"/>
              </w:rPr>
            </w:pPr>
            <w:r>
              <w:rPr>
                <w:rFonts w:hint="eastAsia" w:ascii="宋体" w:hAnsi="宋体"/>
                <w:b/>
                <w:bCs/>
                <w:snapToGrid w:val="0"/>
                <w:color w:val="auto"/>
                <w:kern w:val="0"/>
                <w:szCs w:val="21"/>
              </w:rPr>
              <w:t>备注：</w:t>
            </w:r>
          </w:p>
          <w:p w14:paraId="7CB44ABC">
            <w:pPr>
              <w:widowControl w:val="0"/>
              <w:autoSpaceDE w:val="0"/>
              <w:autoSpaceDN w:val="0"/>
              <w:adjustRightInd w:val="0"/>
              <w:snapToGrid w:val="0"/>
              <w:ind w:firstLine="0" w:firstLineChars="0"/>
              <w:jc w:val="left"/>
              <w:rPr>
                <w:rFonts w:ascii="宋体" w:hAnsi="宋体"/>
                <w:bCs/>
                <w:snapToGrid w:val="0"/>
                <w:color w:val="auto"/>
                <w:kern w:val="0"/>
                <w:szCs w:val="21"/>
              </w:rPr>
            </w:pPr>
            <w:r>
              <w:rPr>
                <w:rFonts w:hint="eastAsia" w:ascii="宋体" w:hAnsi="宋体"/>
                <w:bCs/>
                <w:snapToGrid w:val="0"/>
                <w:color w:val="auto"/>
                <w:kern w:val="0"/>
                <w:szCs w:val="21"/>
              </w:rPr>
              <w:t>本表如出现前后不一的缺漏情况，以招标文件中列明较多的为准，如出现名称不一致的情况以投标文件格式的名称为准。</w:t>
            </w:r>
          </w:p>
        </w:tc>
      </w:tr>
      <w:bookmarkEnd w:id="30"/>
    </w:tbl>
    <w:p w14:paraId="79A405DB">
      <w:pPr>
        <w:pStyle w:val="19"/>
        <w:ind w:firstLine="0" w:firstLineChars="0"/>
        <w:rPr>
          <w:rFonts w:ascii="宋体" w:hAnsi="宋体"/>
          <w:color w:val="auto"/>
          <w:shd w:val="clear" w:color="auto" w:fill="FFFFFF"/>
        </w:rPr>
      </w:pPr>
      <w:bookmarkStart w:id="32" w:name="_Hlk532140390"/>
      <w:bookmarkStart w:id="33" w:name="_Toc152042305"/>
      <w:bookmarkStart w:id="34" w:name="_Toc144974497"/>
      <w:bookmarkStart w:id="35" w:name="_Toc152045529"/>
    </w:p>
    <w:p w14:paraId="236860DD">
      <w:pPr>
        <w:pStyle w:val="13"/>
        <w:ind w:firstLine="420"/>
        <w:rPr>
          <w:color w:val="auto"/>
        </w:rPr>
      </w:pPr>
      <w:r>
        <w:rPr>
          <w:color w:val="auto"/>
          <w:shd w:val="clear" w:color="auto" w:fill="FFFFFF"/>
        </w:rPr>
        <w:br w:type="page"/>
      </w:r>
    </w:p>
    <w:p w14:paraId="1CCDC97F">
      <w:pPr>
        <w:widowControl w:val="0"/>
        <w:autoSpaceDE w:val="0"/>
        <w:autoSpaceDN w:val="0"/>
        <w:adjustRightInd w:val="0"/>
        <w:snapToGrid w:val="0"/>
        <w:ind w:firstLine="0" w:firstLineChars="0"/>
        <w:jc w:val="center"/>
        <w:outlineLvl w:val="1"/>
        <w:rPr>
          <w:rFonts w:ascii="宋体" w:hAnsi="宋体"/>
          <w:color w:val="auto"/>
          <w:sz w:val="28"/>
        </w:rPr>
      </w:pPr>
      <w:bookmarkStart w:id="36" w:name="_Toc11206"/>
      <w:bookmarkStart w:id="37" w:name="_Toc23669"/>
      <w:bookmarkStart w:id="38" w:name="_Toc21763"/>
      <w:bookmarkStart w:id="39" w:name="_Toc22623"/>
      <w:r>
        <w:rPr>
          <w:rFonts w:hint="eastAsia" w:ascii="宋体" w:hAnsi="宋体"/>
          <w:b/>
          <w:color w:val="auto"/>
          <w:sz w:val="32"/>
          <w:szCs w:val="32"/>
        </w:rPr>
        <w:t>第二节否决性条款摘要</w:t>
      </w:r>
      <w:bookmarkEnd w:id="36"/>
      <w:bookmarkEnd w:id="37"/>
      <w:bookmarkEnd w:id="38"/>
      <w:bookmarkEnd w:id="39"/>
    </w:p>
    <w:p w14:paraId="2F19A227">
      <w:pPr>
        <w:widowControl w:val="0"/>
        <w:autoSpaceDE w:val="0"/>
        <w:autoSpaceDN w:val="0"/>
        <w:adjustRightInd w:val="0"/>
        <w:snapToGrid w:val="0"/>
        <w:ind w:firstLine="0" w:firstLineChars="0"/>
        <w:jc w:val="left"/>
        <w:rPr>
          <w:rFonts w:ascii="宋体" w:hAnsi="宋体"/>
          <w:bCs/>
          <w:color w:val="auto"/>
          <w:szCs w:val="21"/>
        </w:rPr>
      </w:pPr>
      <w:r>
        <w:rPr>
          <w:rFonts w:hint="eastAsia" w:ascii="宋体" w:hAnsi="宋体"/>
          <w:b/>
          <w:bCs/>
          <w:color w:val="auto"/>
          <w:szCs w:val="21"/>
        </w:rPr>
        <w:t>提示投标人和评标委员会</w:t>
      </w:r>
      <w:r>
        <w:rPr>
          <w:rFonts w:hint="eastAsia" w:ascii="宋体" w:hAnsi="宋体"/>
          <w:bCs/>
          <w:color w:val="auto"/>
          <w:szCs w:val="21"/>
        </w:rPr>
        <w:t>：本部分内容是本项目招标文件中涉及的所有否决性条款的汇总，否决性条款包括：投标文件不予受理的情形和废标条款。招标文件中有关否决性条款的阐述与本节不一致的，以本节内容为准。除出现以下情形外，投标文件的其他任何情形均不得作否决处理。</w:t>
      </w:r>
    </w:p>
    <w:p w14:paraId="0C720941">
      <w:pPr>
        <w:widowControl w:val="0"/>
        <w:autoSpaceDE w:val="0"/>
        <w:autoSpaceDN w:val="0"/>
        <w:adjustRightInd w:val="0"/>
        <w:snapToGrid w:val="0"/>
        <w:ind w:firstLine="0" w:firstLineChars="0"/>
        <w:jc w:val="left"/>
        <w:rPr>
          <w:rFonts w:ascii="宋体" w:hAnsi="宋体"/>
          <w:bCs/>
          <w:color w:val="auto"/>
          <w:szCs w:val="21"/>
        </w:rPr>
      </w:pPr>
    </w:p>
    <w:p w14:paraId="6977394A">
      <w:pPr>
        <w:pStyle w:val="344"/>
        <w:widowControl w:val="0"/>
        <w:numPr>
          <w:ilvl w:val="0"/>
          <w:numId w:val="3"/>
        </w:numPr>
        <w:autoSpaceDE w:val="0"/>
        <w:autoSpaceDN w:val="0"/>
        <w:adjustRightInd w:val="0"/>
        <w:snapToGrid w:val="0"/>
        <w:ind w:left="0" w:firstLine="0" w:firstLineChars="0"/>
        <w:jc w:val="left"/>
        <w:rPr>
          <w:rFonts w:ascii="宋体" w:hAnsi="宋体"/>
          <w:b/>
          <w:bCs/>
          <w:color w:val="auto"/>
          <w:szCs w:val="21"/>
        </w:rPr>
      </w:pPr>
      <w:r>
        <w:rPr>
          <w:rFonts w:hint="eastAsia" w:ascii="宋体" w:hAnsi="宋体"/>
          <w:b/>
          <w:color w:val="auto"/>
          <w:szCs w:val="21"/>
        </w:rPr>
        <w:t>投标文件有下列情形之一的，其投标将不予受理的情形（由招标人负责判定）：</w:t>
      </w:r>
    </w:p>
    <w:p w14:paraId="3A900A5D">
      <w:pPr>
        <w:pStyle w:val="344"/>
        <w:widowControl w:val="0"/>
        <w:numPr>
          <w:ilvl w:val="1"/>
          <w:numId w:val="3"/>
        </w:numPr>
        <w:autoSpaceDE w:val="0"/>
        <w:autoSpaceDN w:val="0"/>
        <w:adjustRightInd w:val="0"/>
        <w:snapToGrid w:val="0"/>
        <w:ind w:left="0" w:firstLine="0" w:firstLineChars="0"/>
        <w:jc w:val="left"/>
        <w:rPr>
          <w:rFonts w:ascii="宋体" w:hAnsi="宋体"/>
          <w:color w:val="auto"/>
        </w:rPr>
      </w:pPr>
      <w:bookmarkStart w:id="40" w:name="_Toc246221337"/>
      <w:bookmarkStart w:id="41" w:name="_Toc246144208"/>
      <w:bookmarkStart w:id="42" w:name="_Toc246133765"/>
      <w:r>
        <w:rPr>
          <w:rFonts w:hint="eastAsia" w:ascii="宋体" w:hAnsi="宋体"/>
          <w:color w:val="auto"/>
        </w:rPr>
        <w:t>在投标人须知前附表规定的投标截止时间以后逾期送达的或者未送达指定地点的投标文件；</w:t>
      </w:r>
    </w:p>
    <w:p w14:paraId="75B4CF33">
      <w:pPr>
        <w:pStyle w:val="344"/>
        <w:widowControl w:val="0"/>
        <w:numPr>
          <w:ilvl w:val="1"/>
          <w:numId w:val="3"/>
        </w:numPr>
        <w:autoSpaceDE w:val="0"/>
        <w:autoSpaceDN w:val="0"/>
        <w:adjustRightInd w:val="0"/>
        <w:snapToGrid w:val="0"/>
        <w:ind w:left="0" w:firstLine="0" w:firstLineChars="0"/>
        <w:jc w:val="left"/>
        <w:rPr>
          <w:rFonts w:ascii="宋体" w:hAnsi="宋体"/>
          <w:color w:val="auto"/>
        </w:rPr>
      </w:pPr>
      <w:r>
        <w:rPr>
          <w:rFonts w:hint="eastAsia" w:ascii="宋体" w:hAnsi="宋体"/>
          <w:color w:val="auto"/>
        </w:rPr>
        <w:t>投标人名称和购买（获取）文件时登记不一致的。</w:t>
      </w:r>
    </w:p>
    <w:p w14:paraId="158D0C98">
      <w:pPr>
        <w:widowControl w:val="0"/>
        <w:autoSpaceDE w:val="0"/>
        <w:autoSpaceDN w:val="0"/>
        <w:adjustRightInd w:val="0"/>
        <w:snapToGrid w:val="0"/>
        <w:ind w:firstLine="0" w:firstLineChars="0"/>
        <w:jc w:val="left"/>
        <w:rPr>
          <w:rFonts w:ascii="宋体" w:hAnsi="宋体"/>
          <w:color w:val="auto"/>
        </w:rPr>
      </w:pPr>
    </w:p>
    <w:p w14:paraId="4614CF24">
      <w:pPr>
        <w:pStyle w:val="344"/>
        <w:widowControl w:val="0"/>
        <w:numPr>
          <w:ilvl w:val="0"/>
          <w:numId w:val="3"/>
        </w:numPr>
        <w:autoSpaceDE w:val="0"/>
        <w:autoSpaceDN w:val="0"/>
        <w:adjustRightInd w:val="0"/>
        <w:snapToGrid w:val="0"/>
        <w:ind w:left="0" w:firstLine="0" w:firstLineChars="0"/>
        <w:jc w:val="left"/>
        <w:rPr>
          <w:rFonts w:ascii="宋体" w:hAnsi="宋体"/>
          <w:b/>
          <w:color w:val="auto"/>
          <w:szCs w:val="21"/>
        </w:rPr>
      </w:pPr>
      <w:r>
        <w:rPr>
          <w:rFonts w:hint="eastAsia" w:ascii="宋体" w:hAnsi="宋体"/>
          <w:b/>
          <w:color w:val="auto"/>
          <w:szCs w:val="21"/>
        </w:rPr>
        <w:t>围标、串标与废标的判定与处理</w:t>
      </w:r>
      <w:bookmarkEnd w:id="40"/>
      <w:bookmarkEnd w:id="41"/>
      <w:bookmarkEnd w:id="42"/>
      <w:r>
        <w:rPr>
          <w:rFonts w:hint="eastAsia" w:ascii="宋体" w:hAnsi="宋体"/>
          <w:b/>
          <w:color w:val="auto"/>
          <w:szCs w:val="21"/>
        </w:rPr>
        <w:t>（初步评审由评标委员会负责判定）</w:t>
      </w:r>
    </w:p>
    <w:p w14:paraId="2ABD6307">
      <w:pPr>
        <w:pStyle w:val="344"/>
        <w:widowControl w:val="0"/>
        <w:numPr>
          <w:ilvl w:val="1"/>
          <w:numId w:val="3"/>
        </w:numPr>
        <w:autoSpaceDE w:val="0"/>
        <w:autoSpaceDN w:val="0"/>
        <w:adjustRightInd w:val="0"/>
        <w:snapToGrid w:val="0"/>
        <w:ind w:left="0" w:firstLine="0" w:firstLineChars="0"/>
        <w:jc w:val="left"/>
        <w:rPr>
          <w:rFonts w:ascii="宋体" w:hAnsi="宋体"/>
          <w:b/>
          <w:color w:val="auto"/>
          <w:szCs w:val="21"/>
        </w:rPr>
      </w:pPr>
      <w:r>
        <w:rPr>
          <w:rFonts w:hint="eastAsia" w:ascii="宋体" w:hAnsi="宋体"/>
          <w:b/>
          <w:color w:val="auto"/>
          <w:szCs w:val="21"/>
        </w:rPr>
        <w:t>围标、串标的判定与处理</w:t>
      </w:r>
    </w:p>
    <w:p w14:paraId="07DE5E71">
      <w:pPr>
        <w:widowControl w:val="0"/>
        <w:autoSpaceDE w:val="0"/>
        <w:autoSpaceDN w:val="0"/>
        <w:adjustRightInd w:val="0"/>
        <w:snapToGrid w:val="0"/>
        <w:ind w:firstLine="0" w:firstLineChars="0"/>
        <w:jc w:val="left"/>
        <w:rPr>
          <w:rFonts w:ascii="宋体" w:hAnsi="宋体"/>
          <w:color w:val="auto"/>
        </w:rPr>
      </w:pPr>
      <w:r>
        <w:rPr>
          <w:rFonts w:hint="eastAsia" w:ascii="宋体" w:hAnsi="宋体"/>
          <w:color w:val="auto"/>
        </w:rPr>
        <w:t>有下列情形之一的，经评标委员会遵循少数服从多数的原则集体表决认定后，按围标、串标行为对待，除按废标处理外，招标人将提请有关主管部门或者有关行政管理部门根据情况依法做出处罚：</w:t>
      </w:r>
    </w:p>
    <w:p w14:paraId="72A9065A">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hint="eastAsia" w:ascii="宋体" w:hAnsi="宋体"/>
          <w:color w:val="auto"/>
        </w:rPr>
        <w:t>不同投标人的投标文件由同一单位或者个人编制；</w:t>
      </w:r>
    </w:p>
    <w:p w14:paraId="359B5D23">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hint="eastAsia" w:ascii="宋体" w:hAnsi="宋体"/>
          <w:color w:val="auto"/>
        </w:rPr>
        <w:t>不同投标人委托同一单位或者个人办理投标事宜；</w:t>
      </w:r>
    </w:p>
    <w:p w14:paraId="3F807503">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hint="eastAsia" w:ascii="宋体" w:hAnsi="宋体"/>
          <w:color w:val="auto"/>
        </w:rPr>
        <w:t>不同投标人的投标文件载明的项目管理成员为同一人；</w:t>
      </w:r>
    </w:p>
    <w:p w14:paraId="43302853">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hint="eastAsia" w:ascii="宋体" w:hAnsi="宋体"/>
          <w:color w:val="auto"/>
        </w:rPr>
        <w:t>不同投标人的投标文件异常一致或者投标报价呈规律性差异；</w:t>
      </w:r>
    </w:p>
    <w:p w14:paraId="2E20A31A">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hint="eastAsia" w:ascii="宋体" w:hAnsi="宋体"/>
          <w:color w:val="auto"/>
        </w:rPr>
        <w:t>不同投标人的投标文件相互混装；</w:t>
      </w:r>
    </w:p>
    <w:p w14:paraId="5FBCFF5D">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hint="eastAsia" w:ascii="宋体" w:hAnsi="宋体"/>
          <w:color w:val="auto"/>
        </w:rPr>
        <w:t>不同投标人的投标保证金从同一单位或者个人的账户转出；</w:t>
      </w:r>
    </w:p>
    <w:p w14:paraId="743821CC">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ascii="宋体" w:hAnsi="宋体"/>
          <w:color w:val="auto"/>
        </w:rPr>
        <w:t>投标人以他人名义投标，串通投标，以行贿手段谋取中标或者以其他弄虚作假方式投标</w:t>
      </w:r>
      <w:r>
        <w:rPr>
          <w:rFonts w:hint="eastAsia" w:ascii="宋体" w:hAnsi="宋体"/>
          <w:color w:val="auto"/>
        </w:rPr>
        <w:t>。</w:t>
      </w:r>
    </w:p>
    <w:p w14:paraId="5C02CCB1">
      <w:pPr>
        <w:pStyle w:val="344"/>
        <w:widowControl w:val="0"/>
        <w:numPr>
          <w:ilvl w:val="1"/>
          <w:numId w:val="3"/>
        </w:numPr>
        <w:autoSpaceDE w:val="0"/>
        <w:autoSpaceDN w:val="0"/>
        <w:adjustRightInd w:val="0"/>
        <w:snapToGrid w:val="0"/>
        <w:ind w:left="0" w:firstLine="0" w:firstLineChars="0"/>
        <w:jc w:val="left"/>
        <w:rPr>
          <w:rFonts w:ascii="宋体" w:hAnsi="宋体"/>
          <w:b/>
          <w:color w:val="auto"/>
          <w:szCs w:val="21"/>
        </w:rPr>
      </w:pPr>
      <w:r>
        <w:rPr>
          <w:rFonts w:hint="eastAsia" w:ascii="宋体" w:hAnsi="宋体"/>
          <w:b/>
          <w:color w:val="auto"/>
          <w:szCs w:val="21"/>
        </w:rPr>
        <w:t>废标的判定与处理</w:t>
      </w:r>
    </w:p>
    <w:p w14:paraId="7CE76D85">
      <w:pPr>
        <w:widowControl w:val="0"/>
        <w:autoSpaceDE w:val="0"/>
        <w:autoSpaceDN w:val="0"/>
        <w:adjustRightInd w:val="0"/>
        <w:snapToGrid w:val="0"/>
        <w:ind w:firstLine="0" w:firstLineChars="0"/>
        <w:jc w:val="left"/>
        <w:rPr>
          <w:rFonts w:ascii="宋体" w:hAnsi="宋体"/>
          <w:color w:val="auto"/>
        </w:rPr>
      </w:pPr>
      <w:r>
        <w:rPr>
          <w:rFonts w:hint="eastAsia" w:ascii="宋体" w:hAnsi="宋体"/>
          <w:color w:val="auto"/>
        </w:rPr>
        <w:t>有下列情形之一的，经评标委员会遵循少数服从多数的原则集体表决认定后，按废标处理让该投标文件退出评标程序。</w:t>
      </w:r>
    </w:p>
    <w:p w14:paraId="675727A6">
      <w:pPr>
        <w:pStyle w:val="344"/>
        <w:widowControl w:val="0"/>
        <w:numPr>
          <w:ilvl w:val="2"/>
          <w:numId w:val="3"/>
        </w:numPr>
        <w:autoSpaceDE w:val="0"/>
        <w:autoSpaceDN w:val="0"/>
        <w:adjustRightInd w:val="0"/>
        <w:snapToGrid w:val="0"/>
        <w:ind w:left="0" w:firstLine="0" w:firstLineChars="0"/>
        <w:jc w:val="left"/>
        <w:rPr>
          <w:rFonts w:ascii="宋体" w:hAnsi="宋体"/>
          <w:snapToGrid w:val="0"/>
          <w:color w:val="auto"/>
          <w:kern w:val="0"/>
        </w:rPr>
      </w:pPr>
      <w:r>
        <w:rPr>
          <w:rFonts w:hint="eastAsia" w:ascii="宋体" w:hAnsi="宋体"/>
          <w:snapToGrid w:val="0"/>
          <w:color w:val="auto"/>
          <w:kern w:val="0"/>
        </w:rPr>
        <w:t>投标报价超出招标控制价或最高限价的或按第一章第三节3.2条规定的调整方法确定的调整后价格超出最高限价的；</w:t>
      </w:r>
    </w:p>
    <w:p w14:paraId="52D73033">
      <w:pPr>
        <w:pStyle w:val="344"/>
        <w:widowControl w:val="0"/>
        <w:numPr>
          <w:ilvl w:val="2"/>
          <w:numId w:val="3"/>
        </w:numPr>
        <w:autoSpaceDE w:val="0"/>
        <w:autoSpaceDN w:val="0"/>
        <w:adjustRightInd w:val="0"/>
        <w:snapToGrid w:val="0"/>
        <w:ind w:left="0" w:firstLine="0" w:firstLineChars="0"/>
        <w:jc w:val="left"/>
        <w:rPr>
          <w:rFonts w:ascii="宋体" w:hAnsi="宋体"/>
          <w:snapToGrid w:val="0"/>
          <w:color w:val="auto"/>
          <w:kern w:val="0"/>
        </w:rPr>
      </w:pPr>
      <w:r>
        <w:rPr>
          <w:rFonts w:ascii="宋体" w:hAnsi="宋体"/>
          <w:snapToGrid w:val="0"/>
          <w:color w:val="auto"/>
          <w:kern w:val="0"/>
        </w:rPr>
        <w:t>投标人资格条件不符合国家</w:t>
      </w:r>
      <w:r>
        <w:rPr>
          <w:rFonts w:hint="eastAsia" w:ascii="宋体" w:hAnsi="宋体"/>
          <w:snapToGrid w:val="0"/>
          <w:color w:val="auto"/>
          <w:kern w:val="0"/>
        </w:rPr>
        <w:t>有关</w:t>
      </w:r>
      <w:r>
        <w:rPr>
          <w:rFonts w:ascii="宋体" w:hAnsi="宋体"/>
          <w:snapToGrid w:val="0"/>
          <w:color w:val="auto"/>
          <w:kern w:val="0"/>
        </w:rPr>
        <w:t>规定和招标文件要求的</w:t>
      </w:r>
      <w:r>
        <w:rPr>
          <w:rFonts w:hint="eastAsia" w:ascii="宋体" w:hAnsi="宋体"/>
          <w:snapToGrid w:val="0"/>
          <w:color w:val="auto"/>
          <w:kern w:val="0"/>
        </w:rPr>
        <w:t>；</w:t>
      </w:r>
    </w:p>
    <w:p w14:paraId="769DFA9C">
      <w:pPr>
        <w:pStyle w:val="344"/>
        <w:widowControl w:val="0"/>
        <w:numPr>
          <w:ilvl w:val="2"/>
          <w:numId w:val="3"/>
        </w:numPr>
        <w:autoSpaceDE w:val="0"/>
        <w:autoSpaceDN w:val="0"/>
        <w:adjustRightInd w:val="0"/>
        <w:snapToGrid w:val="0"/>
        <w:ind w:left="0" w:firstLine="0" w:firstLineChars="0"/>
        <w:jc w:val="left"/>
        <w:rPr>
          <w:rFonts w:ascii="宋体" w:hAnsi="宋体"/>
          <w:snapToGrid w:val="0"/>
          <w:color w:val="auto"/>
          <w:kern w:val="0"/>
        </w:rPr>
      </w:pPr>
      <w:r>
        <w:rPr>
          <w:rFonts w:hint="eastAsia" w:ascii="宋体" w:hAnsi="宋体"/>
          <w:snapToGrid w:val="0"/>
          <w:color w:val="auto"/>
          <w:kern w:val="0"/>
        </w:rPr>
        <w:t>未按招标文件的规定提交投标保证金的，或投标保函的内容不符合招标文件要求的；</w:t>
      </w:r>
    </w:p>
    <w:p w14:paraId="24E15B38">
      <w:pPr>
        <w:pStyle w:val="344"/>
        <w:widowControl w:val="0"/>
        <w:numPr>
          <w:ilvl w:val="2"/>
          <w:numId w:val="3"/>
        </w:numPr>
        <w:autoSpaceDE w:val="0"/>
        <w:autoSpaceDN w:val="0"/>
        <w:adjustRightInd w:val="0"/>
        <w:snapToGrid w:val="0"/>
        <w:ind w:left="0" w:firstLine="0" w:firstLineChars="0"/>
        <w:jc w:val="left"/>
        <w:rPr>
          <w:rFonts w:ascii="宋体" w:hAnsi="宋体"/>
          <w:snapToGrid w:val="0"/>
          <w:color w:val="auto"/>
          <w:kern w:val="0"/>
        </w:rPr>
      </w:pPr>
      <w:r>
        <w:rPr>
          <w:rFonts w:hint="eastAsia" w:ascii="宋体" w:hAnsi="宋体"/>
          <w:snapToGrid w:val="0"/>
          <w:color w:val="auto"/>
          <w:kern w:val="0"/>
        </w:rPr>
        <w:t>未按招标文件规定提交《投标函》的，或《投标函》未按招标文件规定填写、漏填或内容填写错误，可能</w:t>
      </w:r>
      <w:r>
        <w:rPr>
          <w:rFonts w:ascii="宋体" w:hAnsi="宋体"/>
          <w:snapToGrid w:val="0"/>
          <w:color w:val="auto"/>
          <w:kern w:val="0"/>
        </w:rPr>
        <w:t>导致</w:t>
      </w:r>
      <w:r>
        <w:rPr>
          <w:rFonts w:hint="eastAsia" w:ascii="宋体" w:hAnsi="宋体"/>
          <w:snapToGrid w:val="0"/>
          <w:color w:val="auto"/>
          <w:kern w:val="0"/>
        </w:rPr>
        <w:t>影响</w:t>
      </w:r>
      <w:r>
        <w:rPr>
          <w:rFonts w:ascii="宋体" w:hAnsi="宋体"/>
          <w:snapToGrid w:val="0"/>
          <w:color w:val="auto"/>
          <w:kern w:val="0"/>
        </w:rPr>
        <w:t>项目实施，损害招标人利益的</w:t>
      </w:r>
      <w:r>
        <w:rPr>
          <w:rFonts w:hint="eastAsia" w:ascii="宋体" w:hAnsi="宋体"/>
          <w:snapToGrid w:val="0"/>
          <w:color w:val="auto"/>
          <w:kern w:val="0"/>
        </w:rPr>
        <w:t>；</w:t>
      </w:r>
    </w:p>
    <w:p w14:paraId="13C29EB4">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hint="eastAsia" w:ascii="宋体" w:hAnsi="宋体"/>
          <w:color w:val="auto"/>
        </w:rPr>
        <w:t>组成联合体投标的，投标文件中未按规定提交联合体所有成员共同投标协议的；</w:t>
      </w:r>
    </w:p>
    <w:p w14:paraId="2214D393">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ascii="宋体" w:hAnsi="宋体"/>
          <w:color w:val="auto"/>
        </w:rPr>
        <w:t>投标人递交两份或多份内容不同的投标文件，或在一份投标文件中，有两个或多个报价且</w:t>
      </w:r>
      <w:r>
        <w:rPr>
          <w:rFonts w:hint="eastAsia" w:ascii="宋体" w:hAnsi="宋体"/>
          <w:color w:val="auto"/>
        </w:rPr>
        <w:t>根据招标文件评定标办法规定的修正原则无法确定</w:t>
      </w:r>
      <w:r>
        <w:rPr>
          <w:rFonts w:ascii="宋体" w:hAnsi="宋体"/>
          <w:color w:val="auto"/>
        </w:rPr>
        <w:t>哪一个有效的</w:t>
      </w:r>
      <w:r>
        <w:rPr>
          <w:rFonts w:hint="eastAsia" w:ascii="宋体" w:hAnsi="宋体"/>
          <w:color w:val="auto"/>
        </w:rPr>
        <w:t>。</w:t>
      </w:r>
      <w:r>
        <w:rPr>
          <w:rFonts w:ascii="宋体" w:hAnsi="宋体"/>
          <w:color w:val="auto"/>
        </w:rPr>
        <w:t>按招标文件规定提供可选择性方案报价的除外；</w:t>
      </w:r>
    </w:p>
    <w:p w14:paraId="7AD520E2">
      <w:pPr>
        <w:pStyle w:val="344"/>
        <w:widowControl w:val="0"/>
        <w:numPr>
          <w:ilvl w:val="2"/>
          <w:numId w:val="3"/>
        </w:numPr>
        <w:autoSpaceDE w:val="0"/>
        <w:autoSpaceDN w:val="0"/>
        <w:adjustRightInd w:val="0"/>
        <w:snapToGrid w:val="0"/>
        <w:ind w:left="0" w:firstLine="0" w:firstLineChars="0"/>
        <w:jc w:val="left"/>
        <w:rPr>
          <w:rFonts w:ascii="宋体" w:hAnsi="宋体"/>
          <w:snapToGrid w:val="0"/>
          <w:color w:val="auto"/>
          <w:kern w:val="0"/>
        </w:rPr>
      </w:pPr>
      <w:r>
        <w:rPr>
          <w:rFonts w:hint="eastAsia" w:ascii="宋体" w:hAnsi="宋体"/>
          <w:snapToGrid w:val="0"/>
          <w:color w:val="auto"/>
          <w:kern w:val="0"/>
        </w:rPr>
        <w:t>参加联合体的各成员再以自己的名义单独投标的，或同时参加两个（含两个）以上的联合体投标的；</w:t>
      </w:r>
    </w:p>
    <w:p w14:paraId="5FE19C92">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ascii="宋体" w:hAnsi="宋体"/>
          <w:color w:val="auto"/>
        </w:rPr>
        <w:t>对招标文件提出的实质性要求和条件未作出响应的</w:t>
      </w:r>
      <w:r>
        <w:rPr>
          <w:rFonts w:hint="eastAsia" w:ascii="宋体" w:hAnsi="宋体"/>
          <w:color w:val="auto"/>
        </w:rPr>
        <w:t>或不满足的，对招标文件实质性条款为招标文件中所有标注“★”号的条款以及初步评审表要求的内容未作出响应的或不满足的</w:t>
      </w:r>
      <w:r>
        <w:rPr>
          <w:rFonts w:ascii="宋体" w:hAnsi="宋体"/>
          <w:color w:val="auto"/>
        </w:rPr>
        <w:t>；</w:t>
      </w:r>
    </w:p>
    <w:p w14:paraId="0E5AB291">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ascii="宋体" w:hAnsi="宋体"/>
          <w:color w:val="auto"/>
        </w:rPr>
        <w:t>投标人未能按照评标委员会要求，对其投标文件进行澄清、说明和补正的</w:t>
      </w:r>
      <w:r>
        <w:rPr>
          <w:rFonts w:hint="eastAsia" w:ascii="宋体" w:hAnsi="宋体"/>
          <w:color w:val="auto"/>
        </w:rPr>
        <w:t>，或投标人不接受根据招标文件规定对投标报价进行算术修正的；</w:t>
      </w:r>
    </w:p>
    <w:p w14:paraId="415E3B42">
      <w:pPr>
        <w:pStyle w:val="344"/>
        <w:widowControl w:val="0"/>
        <w:numPr>
          <w:ilvl w:val="2"/>
          <w:numId w:val="3"/>
        </w:numPr>
        <w:autoSpaceDE w:val="0"/>
        <w:autoSpaceDN w:val="0"/>
        <w:adjustRightInd w:val="0"/>
        <w:snapToGrid w:val="0"/>
        <w:ind w:left="0" w:firstLine="0" w:firstLineChars="0"/>
        <w:jc w:val="left"/>
        <w:rPr>
          <w:rFonts w:ascii="宋体" w:hAnsi="宋体"/>
          <w:color w:val="auto"/>
        </w:rPr>
      </w:pPr>
      <w:r>
        <w:rPr>
          <w:rFonts w:hint="eastAsia" w:ascii="宋体" w:hAnsi="宋体"/>
          <w:color w:val="auto"/>
        </w:rPr>
        <w:t>单位负责人为同一人或者存在控股、管理关系的不同单位，参加同一标段投标或者未划分标段的同一招标项目投标；</w:t>
      </w:r>
    </w:p>
    <w:p w14:paraId="6E4050D0">
      <w:pPr>
        <w:pStyle w:val="344"/>
        <w:widowControl w:val="0"/>
        <w:numPr>
          <w:ilvl w:val="2"/>
          <w:numId w:val="3"/>
        </w:numPr>
        <w:autoSpaceDE w:val="0"/>
        <w:autoSpaceDN w:val="0"/>
        <w:adjustRightInd w:val="0"/>
        <w:snapToGrid w:val="0"/>
        <w:ind w:left="0" w:firstLine="0" w:firstLineChars="0"/>
        <w:jc w:val="left"/>
        <w:rPr>
          <w:rFonts w:ascii="宋体" w:hAnsi="宋体"/>
          <w:snapToGrid w:val="0"/>
          <w:color w:val="auto"/>
          <w:kern w:val="0"/>
        </w:rPr>
      </w:pPr>
      <w:r>
        <w:rPr>
          <w:rFonts w:hint="eastAsia" w:ascii="宋体" w:hAnsi="宋体"/>
          <w:snapToGrid w:val="0"/>
          <w:color w:val="auto"/>
          <w:kern w:val="0"/>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29E617EB">
      <w:pPr>
        <w:pStyle w:val="344"/>
        <w:widowControl w:val="0"/>
        <w:numPr>
          <w:ilvl w:val="2"/>
          <w:numId w:val="3"/>
        </w:numPr>
        <w:autoSpaceDE w:val="0"/>
        <w:autoSpaceDN w:val="0"/>
        <w:adjustRightInd w:val="0"/>
        <w:snapToGrid w:val="0"/>
        <w:ind w:left="0" w:firstLine="0" w:firstLineChars="0"/>
        <w:jc w:val="left"/>
        <w:rPr>
          <w:rFonts w:ascii="宋体" w:hAnsi="宋体"/>
          <w:snapToGrid w:val="0"/>
          <w:color w:val="auto"/>
          <w:kern w:val="0"/>
        </w:rPr>
      </w:pPr>
      <w:r>
        <w:rPr>
          <w:rFonts w:hint="eastAsia" w:ascii="宋体" w:hAnsi="宋体"/>
          <w:color w:val="auto"/>
        </w:rPr>
        <w:t>符合法律法规或主管部门规范性文件规定废标情形的。</w:t>
      </w:r>
    </w:p>
    <w:p w14:paraId="26B03C01">
      <w:pPr>
        <w:widowControl w:val="0"/>
        <w:autoSpaceDE w:val="0"/>
        <w:autoSpaceDN w:val="0"/>
        <w:adjustRightInd w:val="0"/>
        <w:snapToGrid w:val="0"/>
        <w:ind w:firstLine="0" w:firstLineChars="0"/>
        <w:jc w:val="left"/>
        <w:rPr>
          <w:rFonts w:ascii="宋体" w:hAnsi="宋体"/>
          <w:color w:val="auto"/>
        </w:rPr>
      </w:pPr>
      <w:r>
        <w:rPr>
          <w:rFonts w:hint="eastAsia" w:ascii="宋体" w:hAnsi="宋体"/>
          <w:b/>
          <w:color w:val="auto"/>
        </w:rPr>
        <w:t>注：</w:t>
      </w:r>
      <w:r>
        <w:rPr>
          <w:rFonts w:hint="eastAsia" w:ascii="宋体" w:hAnsi="宋体"/>
          <w:color w:val="auto"/>
        </w:rPr>
        <w:t>招标人对上述内容有修改或补充的，以下述条款为准。</w:t>
      </w:r>
    </w:p>
    <w:p w14:paraId="76EAD3E6">
      <w:pPr>
        <w:widowControl w:val="0"/>
        <w:autoSpaceDE w:val="0"/>
        <w:autoSpaceDN w:val="0"/>
        <w:adjustRightInd w:val="0"/>
        <w:snapToGrid w:val="0"/>
        <w:ind w:firstLine="0" w:firstLineChars="0"/>
        <w:jc w:val="left"/>
        <w:rPr>
          <w:rFonts w:ascii="宋体" w:hAnsi="宋体"/>
          <w:color w:val="auto"/>
        </w:rPr>
      </w:pPr>
    </w:p>
    <w:p w14:paraId="7BACD2FE">
      <w:pPr>
        <w:pStyle w:val="344"/>
        <w:widowControl w:val="0"/>
        <w:numPr>
          <w:ilvl w:val="0"/>
          <w:numId w:val="3"/>
        </w:numPr>
        <w:autoSpaceDE w:val="0"/>
        <w:autoSpaceDN w:val="0"/>
        <w:adjustRightInd w:val="0"/>
        <w:snapToGrid w:val="0"/>
        <w:ind w:left="0" w:firstLine="0" w:firstLineChars="0"/>
        <w:jc w:val="left"/>
        <w:rPr>
          <w:rFonts w:ascii="宋体" w:hAnsi="宋体"/>
          <w:b/>
          <w:color w:val="auto"/>
          <w:szCs w:val="21"/>
        </w:rPr>
      </w:pPr>
      <w:r>
        <w:rPr>
          <w:rFonts w:hint="eastAsia" w:ascii="宋体" w:hAnsi="宋体"/>
          <w:b/>
          <w:color w:val="auto"/>
          <w:szCs w:val="21"/>
        </w:rPr>
        <w:t>招标人修改或补充的投标文件不予受理的情形：</w:t>
      </w:r>
      <w:r>
        <w:rPr>
          <w:rFonts w:hint="eastAsia" w:ascii="宋体" w:hAnsi="宋体"/>
          <w:b/>
          <w:color w:val="auto"/>
          <w:szCs w:val="21"/>
          <w:u w:val="single"/>
        </w:rPr>
        <w:t>无</w:t>
      </w:r>
    </w:p>
    <w:p w14:paraId="1F2C022D">
      <w:pPr>
        <w:widowControl w:val="0"/>
        <w:autoSpaceDE w:val="0"/>
        <w:autoSpaceDN w:val="0"/>
        <w:adjustRightInd w:val="0"/>
        <w:snapToGrid w:val="0"/>
        <w:ind w:firstLine="0" w:firstLineChars="0"/>
        <w:jc w:val="left"/>
        <w:rPr>
          <w:rFonts w:ascii="宋体" w:hAnsi="宋体"/>
          <w:b/>
          <w:color w:val="auto"/>
          <w:szCs w:val="21"/>
        </w:rPr>
      </w:pPr>
    </w:p>
    <w:p w14:paraId="69F6EFD0">
      <w:pPr>
        <w:pStyle w:val="344"/>
        <w:widowControl w:val="0"/>
        <w:numPr>
          <w:ilvl w:val="0"/>
          <w:numId w:val="3"/>
        </w:numPr>
        <w:autoSpaceDE w:val="0"/>
        <w:autoSpaceDN w:val="0"/>
        <w:adjustRightInd w:val="0"/>
        <w:snapToGrid w:val="0"/>
        <w:ind w:left="0" w:firstLine="0" w:firstLineChars="0"/>
        <w:jc w:val="left"/>
        <w:rPr>
          <w:rFonts w:ascii="宋体" w:hAnsi="宋体"/>
          <w:b/>
          <w:snapToGrid w:val="0"/>
          <w:color w:val="auto"/>
          <w:kern w:val="0"/>
          <w:szCs w:val="21"/>
        </w:rPr>
      </w:pPr>
      <w:r>
        <w:rPr>
          <w:rFonts w:hint="eastAsia" w:ascii="宋体" w:hAnsi="宋体"/>
          <w:b/>
          <w:color w:val="auto"/>
          <w:szCs w:val="21"/>
        </w:rPr>
        <w:t>招标人修改或补充的废标情形：</w:t>
      </w:r>
      <w:r>
        <w:rPr>
          <w:rStyle w:val="411"/>
          <w:b/>
          <w:bCs/>
          <w:color w:val="auto"/>
          <w:sz w:val="21"/>
          <w:szCs w:val="21"/>
        </w:rPr>
        <w:t>投标文件的投标</w:t>
      </w:r>
      <w:r>
        <w:rPr>
          <w:rStyle w:val="411"/>
          <w:rFonts w:hint="eastAsia"/>
          <w:b/>
          <w:bCs/>
          <w:color w:val="auto"/>
          <w:sz w:val="21"/>
          <w:szCs w:val="21"/>
        </w:rPr>
        <w:t>下浮率数值低</w:t>
      </w:r>
      <w:r>
        <w:rPr>
          <w:rStyle w:val="411"/>
          <w:b/>
          <w:bCs/>
          <w:color w:val="auto"/>
          <w:sz w:val="21"/>
          <w:szCs w:val="21"/>
        </w:rPr>
        <w:t>于</w:t>
      </w:r>
      <w:r>
        <w:rPr>
          <w:rStyle w:val="411"/>
          <w:rFonts w:hint="eastAsia"/>
          <w:b/>
          <w:bCs/>
          <w:color w:val="auto"/>
          <w:sz w:val="21"/>
          <w:szCs w:val="21"/>
          <w:lang w:val="en-US" w:eastAsia="zh-CN"/>
        </w:rPr>
        <w:t>10</w:t>
      </w:r>
      <w:r>
        <w:rPr>
          <w:rStyle w:val="411"/>
          <w:b/>
          <w:bCs/>
          <w:color w:val="auto"/>
          <w:sz w:val="21"/>
          <w:szCs w:val="21"/>
        </w:rPr>
        <w:t>%</w:t>
      </w:r>
      <w:r>
        <w:rPr>
          <w:rStyle w:val="411"/>
          <w:rFonts w:hint="eastAsia"/>
          <w:b/>
          <w:bCs/>
          <w:color w:val="auto"/>
          <w:sz w:val="21"/>
          <w:szCs w:val="21"/>
        </w:rPr>
        <w:t>的</w:t>
      </w:r>
    </w:p>
    <w:bookmarkEnd w:id="32"/>
    <w:p w14:paraId="00865AFC">
      <w:pPr>
        <w:widowControl w:val="0"/>
        <w:autoSpaceDE w:val="0"/>
        <w:autoSpaceDN w:val="0"/>
        <w:adjustRightInd w:val="0"/>
        <w:snapToGrid w:val="0"/>
        <w:ind w:firstLine="0" w:firstLineChars="0"/>
        <w:jc w:val="center"/>
        <w:outlineLvl w:val="1"/>
        <w:rPr>
          <w:rFonts w:ascii="宋体" w:hAnsi="宋体"/>
          <w:b/>
          <w:bCs/>
          <w:color w:val="auto"/>
          <w:sz w:val="28"/>
          <w:szCs w:val="32"/>
        </w:rPr>
      </w:pPr>
      <w:r>
        <w:rPr>
          <w:rFonts w:ascii="宋体" w:hAnsi="宋体"/>
          <w:color w:val="auto"/>
          <w:sz w:val="28"/>
        </w:rPr>
        <w:br w:type="page"/>
      </w:r>
      <w:bookmarkStart w:id="43" w:name="_Toc12122"/>
      <w:bookmarkStart w:id="44" w:name="_Toc1625"/>
      <w:bookmarkStart w:id="45" w:name="_Toc31350"/>
      <w:bookmarkStart w:id="46" w:name="_Toc27945"/>
      <w:r>
        <w:rPr>
          <w:rFonts w:hint="eastAsia" w:ascii="宋体" w:hAnsi="宋体"/>
          <w:b/>
          <w:color w:val="auto"/>
          <w:sz w:val="32"/>
          <w:szCs w:val="32"/>
        </w:rPr>
        <w:t>第三节总则</w:t>
      </w:r>
      <w:bookmarkEnd w:id="33"/>
      <w:bookmarkEnd w:id="34"/>
      <w:bookmarkEnd w:id="35"/>
      <w:bookmarkEnd w:id="43"/>
      <w:bookmarkEnd w:id="44"/>
      <w:bookmarkEnd w:id="45"/>
      <w:bookmarkEnd w:id="46"/>
    </w:p>
    <w:p w14:paraId="2D505800">
      <w:pPr>
        <w:pStyle w:val="344"/>
        <w:widowControl w:val="0"/>
        <w:numPr>
          <w:ilvl w:val="0"/>
          <w:numId w:val="4"/>
        </w:numPr>
        <w:autoSpaceDE w:val="0"/>
        <w:autoSpaceDN w:val="0"/>
        <w:adjustRightInd w:val="0"/>
        <w:snapToGrid w:val="0"/>
        <w:ind w:firstLineChars="0"/>
        <w:jc w:val="left"/>
        <w:rPr>
          <w:rFonts w:ascii="宋体" w:hAnsi="宋体"/>
          <w:b/>
          <w:color w:val="auto"/>
          <w:szCs w:val="21"/>
        </w:rPr>
      </w:pPr>
      <w:bookmarkStart w:id="47" w:name="_Hlk532141677"/>
      <w:r>
        <w:rPr>
          <w:rFonts w:hint="eastAsia" w:ascii="宋体" w:hAnsi="宋体"/>
          <w:b/>
          <w:color w:val="auto"/>
          <w:szCs w:val="21"/>
        </w:rPr>
        <w:t>说明</w:t>
      </w:r>
    </w:p>
    <w:p w14:paraId="7DB1BD87">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48" w:name="_Toc332121715"/>
      <w:bookmarkStart w:id="49" w:name="_Toc403513495"/>
      <w:bookmarkStart w:id="50" w:name="_Toc152045530"/>
      <w:bookmarkStart w:id="51" w:name="_Toc330213947"/>
      <w:bookmarkStart w:id="52" w:name="_Toc144974498"/>
      <w:bookmarkStart w:id="53" w:name="_Toc152042306"/>
      <w:r>
        <w:rPr>
          <w:rFonts w:hint="eastAsia" w:ascii="宋体" w:hAnsi="宋体"/>
          <w:b/>
          <w:color w:val="auto"/>
          <w:szCs w:val="21"/>
        </w:rPr>
        <w:t>项目概况</w:t>
      </w:r>
      <w:bookmarkEnd w:id="48"/>
      <w:bookmarkEnd w:id="49"/>
      <w:bookmarkEnd w:id="50"/>
      <w:bookmarkEnd w:id="51"/>
      <w:bookmarkEnd w:id="52"/>
      <w:bookmarkEnd w:id="53"/>
    </w:p>
    <w:p w14:paraId="489882A5">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根据《中华人民共和国招标投标法》、《中华人民共和国招标投标法实施条例》等有关法律、法规和规章的规定，本招标项目已具备招标条件，现对本项目进行招标。</w:t>
      </w:r>
    </w:p>
    <w:p w14:paraId="1981B38E">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54" w:name="_Toc152042310"/>
      <w:bookmarkStart w:id="55" w:name="_Toc330213950"/>
      <w:bookmarkStart w:id="56" w:name="_Toc152045534"/>
      <w:bookmarkStart w:id="57" w:name="_Toc144974502"/>
      <w:bookmarkStart w:id="58" w:name="_Toc403513498"/>
      <w:bookmarkStart w:id="59" w:name="_Toc332121718"/>
      <w:r>
        <w:rPr>
          <w:rFonts w:hint="eastAsia" w:ascii="宋体" w:hAnsi="宋体"/>
          <w:b/>
          <w:color w:val="auto"/>
          <w:szCs w:val="21"/>
        </w:rPr>
        <w:t>投标人资格要求</w:t>
      </w:r>
      <w:bookmarkEnd w:id="54"/>
      <w:bookmarkEnd w:id="55"/>
      <w:bookmarkEnd w:id="56"/>
      <w:bookmarkEnd w:id="57"/>
      <w:bookmarkEnd w:id="58"/>
      <w:bookmarkEnd w:id="59"/>
    </w:p>
    <w:p w14:paraId="124F7C41">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投标人应具备承担本次招标项目的资质条件、能力和信誉。</w:t>
      </w:r>
    </w:p>
    <w:p w14:paraId="69457BA1">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ascii="宋体" w:hAnsi="宋体"/>
          <w:color w:val="auto"/>
          <w:spacing w:val="-1"/>
          <w:szCs w:val="21"/>
        </w:rPr>
        <w:t>联合体各方应按招标文件提供的格式签订联合体协议书，明确联合体牵头人和各方权</w:t>
      </w:r>
      <w:r>
        <w:rPr>
          <w:rFonts w:ascii="宋体" w:hAnsi="宋体"/>
          <w:color w:val="auto"/>
          <w:szCs w:val="21"/>
        </w:rPr>
        <w:t>利义务，并承诺就中标项目向招标人承担连带责任；</w:t>
      </w:r>
    </w:p>
    <w:p w14:paraId="7C8FE5E9">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由同一专业的单位组成的联合体，按照资质等级较低的单位确定资质等级；</w:t>
      </w:r>
    </w:p>
    <w:p w14:paraId="03947575">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联合体各方不得再以自己名义单独或参加其他联合体在本次招标项目中投标，否则各相关投标均无效。</w:t>
      </w:r>
    </w:p>
    <w:p w14:paraId="04567173">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投标人不得存在下列情形之一：</w:t>
      </w:r>
    </w:p>
    <w:p w14:paraId="2B3066A1">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与招标人存在利害关系且可能影响招标公正性；</w:t>
      </w:r>
    </w:p>
    <w:p w14:paraId="347DBBBD">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与本次招标项目的其他投标人为同一个单位负责人；</w:t>
      </w:r>
    </w:p>
    <w:p w14:paraId="6E36FD6B">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与本次招标项目的其他投标人存在控股、管理关系；</w:t>
      </w:r>
    </w:p>
    <w:p w14:paraId="20038862">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投标人须知前附表规定的其他情形。</w:t>
      </w:r>
    </w:p>
    <w:p w14:paraId="0C5B2102">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60" w:name="_Toc330213951"/>
      <w:bookmarkStart w:id="61" w:name="_Toc152042311"/>
      <w:bookmarkStart w:id="62" w:name="_Toc403513499"/>
      <w:bookmarkStart w:id="63" w:name="_Toc332121719"/>
      <w:bookmarkStart w:id="64" w:name="_Toc152045535"/>
      <w:bookmarkStart w:id="65" w:name="_Toc144974503"/>
      <w:r>
        <w:rPr>
          <w:rFonts w:hint="eastAsia" w:ascii="宋体" w:hAnsi="宋体"/>
          <w:b/>
          <w:color w:val="auto"/>
          <w:szCs w:val="21"/>
        </w:rPr>
        <w:t>费用承担</w:t>
      </w:r>
      <w:bookmarkEnd w:id="60"/>
      <w:bookmarkEnd w:id="61"/>
      <w:bookmarkEnd w:id="62"/>
      <w:bookmarkEnd w:id="63"/>
      <w:bookmarkEnd w:id="64"/>
      <w:bookmarkEnd w:id="65"/>
    </w:p>
    <w:p w14:paraId="437B5D06">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投标人准备和参加投标活动发生的费用由投标人自理。</w:t>
      </w:r>
    </w:p>
    <w:p w14:paraId="2C760A80">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66" w:name="_Toc152042312"/>
      <w:bookmarkStart w:id="67" w:name="_Toc332121720"/>
      <w:bookmarkStart w:id="68" w:name="_Toc403513500"/>
      <w:bookmarkStart w:id="69" w:name="_Toc330213952"/>
      <w:bookmarkStart w:id="70" w:name="_Toc144974504"/>
      <w:bookmarkStart w:id="71" w:name="_Toc152045536"/>
      <w:r>
        <w:rPr>
          <w:rFonts w:hint="eastAsia" w:ascii="宋体" w:hAnsi="宋体"/>
          <w:b/>
          <w:color w:val="auto"/>
          <w:szCs w:val="21"/>
        </w:rPr>
        <w:t>保密</w:t>
      </w:r>
      <w:bookmarkEnd w:id="66"/>
      <w:bookmarkEnd w:id="67"/>
      <w:bookmarkEnd w:id="68"/>
      <w:bookmarkEnd w:id="69"/>
      <w:bookmarkEnd w:id="70"/>
      <w:bookmarkEnd w:id="71"/>
    </w:p>
    <w:p w14:paraId="03FCFE09">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参与招标投标活动的各方应对招标文件和投标文件中的商业和技术等秘密保密，违者应对由此造成的后果承担法律责任。</w:t>
      </w:r>
    </w:p>
    <w:p w14:paraId="52292CF1">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72" w:name="_Toc144974505"/>
      <w:bookmarkStart w:id="73" w:name="_Toc152042313"/>
      <w:bookmarkStart w:id="74" w:name="_Toc152045537"/>
      <w:bookmarkStart w:id="75" w:name="_Toc403513501"/>
      <w:bookmarkStart w:id="76" w:name="_Toc332121721"/>
      <w:bookmarkStart w:id="77" w:name="_Toc330213953"/>
      <w:r>
        <w:rPr>
          <w:rFonts w:hint="eastAsia" w:ascii="宋体" w:hAnsi="宋体"/>
          <w:b/>
          <w:color w:val="auto"/>
          <w:szCs w:val="21"/>
        </w:rPr>
        <w:t>语言</w:t>
      </w:r>
      <w:bookmarkEnd w:id="72"/>
      <w:r>
        <w:rPr>
          <w:rFonts w:hint="eastAsia" w:ascii="宋体" w:hAnsi="宋体"/>
          <w:b/>
          <w:color w:val="auto"/>
          <w:szCs w:val="21"/>
        </w:rPr>
        <w:t>文字</w:t>
      </w:r>
      <w:bookmarkEnd w:id="73"/>
      <w:bookmarkEnd w:id="74"/>
      <w:bookmarkEnd w:id="75"/>
      <w:bookmarkEnd w:id="76"/>
      <w:bookmarkEnd w:id="77"/>
    </w:p>
    <w:p w14:paraId="3667CE78">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除专用术语外，与招标投标有关的语言均使用中文。必要时专用术语应附有中文注释。</w:t>
      </w:r>
    </w:p>
    <w:p w14:paraId="282BE7A8">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78" w:name="_Toc332121722"/>
      <w:bookmarkStart w:id="79" w:name="_Toc152045538"/>
      <w:bookmarkStart w:id="80" w:name="_Toc330213954"/>
      <w:bookmarkStart w:id="81" w:name="_Toc152042314"/>
      <w:bookmarkStart w:id="82" w:name="_Toc403513502"/>
      <w:bookmarkStart w:id="83" w:name="_Toc144974506"/>
      <w:r>
        <w:rPr>
          <w:rFonts w:hint="eastAsia" w:ascii="宋体" w:hAnsi="宋体"/>
          <w:b/>
          <w:color w:val="auto"/>
          <w:szCs w:val="21"/>
        </w:rPr>
        <w:t>计量单位</w:t>
      </w:r>
      <w:bookmarkEnd w:id="78"/>
      <w:bookmarkEnd w:id="79"/>
      <w:bookmarkEnd w:id="80"/>
      <w:bookmarkEnd w:id="81"/>
      <w:bookmarkEnd w:id="82"/>
      <w:bookmarkEnd w:id="83"/>
    </w:p>
    <w:p w14:paraId="1B9E47F4">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所有计量均采用中华人民共和国法定计量单位。</w:t>
      </w:r>
    </w:p>
    <w:p w14:paraId="7A3BDB75">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84" w:name="_Toc144974507"/>
      <w:bookmarkStart w:id="85" w:name="_Toc330213955"/>
      <w:bookmarkStart w:id="86" w:name="_Toc403513503"/>
      <w:bookmarkStart w:id="87" w:name="_Toc152042315"/>
      <w:bookmarkStart w:id="88" w:name="_Toc332121723"/>
      <w:bookmarkStart w:id="89" w:name="_Toc152045539"/>
      <w:r>
        <w:rPr>
          <w:rFonts w:hint="eastAsia" w:ascii="宋体" w:hAnsi="宋体"/>
          <w:b/>
          <w:color w:val="auto"/>
          <w:szCs w:val="21"/>
        </w:rPr>
        <w:t>踏勘现场</w:t>
      </w:r>
      <w:bookmarkEnd w:id="84"/>
      <w:bookmarkEnd w:id="85"/>
      <w:bookmarkEnd w:id="86"/>
      <w:bookmarkEnd w:id="87"/>
      <w:bookmarkEnd w:id="88"/>
      <w:bookmarkEnd w:id="89"/>
    </w:p>
    <w:p w14:paraId="4CA7903A">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投标人须知前附表规定组织踏勘现场的，招标人按投标人须知前附表规定的时间、地点组织投标人踏勘项目现场。</w:t>
      </w:r>
    </w:p>
    <w:p w14:paraId="6FB2BEA4">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投标人踏勘现场发生的费用由投标人自理。</w:t>
      </w:r>
    </w:p>
    <w:p w14:paraId="3B3E0197">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除招标人的原因外，投标人自行负责在踏勘现场中所发生的人员伤亡和财产损失。</w:t>
      </w:r>
    </w:p>
    <w:p w14:paraId="7179BC5E">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招标人在踏勘现场中介绍的使用场地和相关的周边环境情况，供投标人在编制投标文件时参考，招标人不对投标人据此作出的判断和决策负责。</w:t>
      </w:r>
    </w:p>
    <w:p w14:paraId="70BEA93F">
      <w:pPr>
        <w:pStyle w:val="344"/>
        <w:widowControl w:val="0"/>
        <w:numPr>
          <w:ilvl w:val="1"/>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分包</w:t>
      </w:r>
    </w:p>
    <w:p w14:paraId="7EFB8862">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中标人应当按照合同约定履行义务，完成中标项目。中标人不得向他人转让中标项目，也不得将中标项目肢解后分别向他人转让。</w:t>
      </w:r>
    </w:p>
    <w:p w14:paraId="722CB2F2">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14:paraId="090DC122">
      <w:pPr>
        <w:pStyle w:val="344"/>
        <w:widowControl w:val="0"/>
        <w:numPr>
          <w:ilvl w:val="1"/>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响应和偏离</w:t>
      </w:r>
    </w:p>
    <w:p w14:paraId="134BF832">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投标文件应当对招标文件的实质性要求和条件作出满足性或更有利于招标人的响应，否则，投标人的投标将被否决。</w:t>
      </w:r>
      <w:r>
        <w:rPr>
          <w:rFonts w:hint="eastAsia" w:ascii="宋体" w:hAnsi="宋体"/>
          <w:color w:val="auto"/>
          <w:szCs w:val="21"/>
        </w:rPr>
        <w:t>响应和</w:t>
      </w:r>
      <w:r>
        <w:rPr>
          <w:rFonts w:ascii="宋体" w:hAnsi="宋体"/>
          <w:color w:val="auto"/>
          <w:szCs w:val="21"/>
        </w:rPr>
        <w:t>偏离的</w:t>
      </w:r>
      <w:r>
        <w:rPr>
          <w:rFonts w:hint="eastAsia" w:ascii="宋体" w:hAnsi="宋体"/>
          <w:color w:val="auto"/>
          <w:szCs w:val="21"/>
        </w:rPr>
        <w:t>说明</w:t>
      </w:r>
      <w:r>
        <w:rPr>
          <w:rFonts w:ascii="宋体" w:hAnsi="宋体"/>
          <w:color w:val="auto"/>
          <w:szCs w:val="21"/>
        </w:rPr>
        <w:t>详见投标人须知前附表。</w:t>
      </w:r>
    </w:p>
    <w:p w14:paraId="205998C2">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投标人应根据招标文件的要求提供投标设备技术性能指标的详细描述、技术支持资料及技术服务和质保期服务计划等内容</w:t>
      </w:r>
      <w:r>
        <w:rPr>
          <w:rFonts w:hint="eastAsia" w:ascii="宋体" w:hAnsi="宋体"/>
          <w:color w:val="auto"/>
          <w:szCs w:val="21"/>
        </w:rPr>
        <w:t>，</w:t>
      </w:r>
      <w:r>
        <w:rPr>
          <w:rFonts w:ascii="宋体" w:hAnsi="宋体"/>
          <w:color w:val="auto"/>
          <w:szCs w:val="21"/>
        </w:rPr>
        <w:t>以对招标文件作出响应。</w:t>
      </w:r>
    </w:p>
    <w:p w14:paraId="052B2A22">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投标文件中应针对实质性要求和条件中列明的技术要求提供技术支持资料。技术支</w:t>
      </w:r>
      <w:r>
        <w:rPr>
          <w:rFonts w:ascii="宋体" w:hAnsi="宋体"/>
          <w:color w:val="auto"/>
          <w:spacing w:val="-1"/>
          <w:szCs w:val="21"/>
        </w:rPr>
        <w:t>持资料以制造商公开发布的印刷资料，或检测机构出具的检测报告或投标人须知前附表允许的</w:t>
      </w:r>
      <w:r>
        <w:rPr>
          <w:rFonts w:ascii="宋体" w:hAnsi="宋体"/>
          <w:color w:val="auto"/>
          <w:szCs w:val="21"/>
        </w:rPr>
        <w:t>其他形式为准，不符合前述要求的，视为无技术支持资料。</w:t>
      </w:r>
    </w:p>
    <w:p w14:paraId="39DE5DC5">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投标文件对招标文件的全部偏离，均应在投标文件中列明，除列明的内容外，视为投标人响应招标文件的全部要求</w:t>
      </w:r>
      <w:r>
        <w:rPr>
          <w:rFonts w:hint="eastAsia" w:ascii="宋体" w:hAnsi="宋体"/>
          <w:color w:val="auto"/>
          <w:szCs w:val="21"/>
        </w:rPr>
        <w:t>。</w:t>
      </w:r>
    </w:p>
    <w:p w14:paraId="2569C4F0">
      <w:pPr>
        <w:pStyle w:val="344"/>
        <w:widowControl w:val="0"/>
        <w:autoSpaceDE w:val="0"/>
        <w:autoSpaceDN w:val="0"/>
        <w:adjustRightInd w:val="0"/>
        <w:snapToGrid w:val="0"/>
        <w:ind w:firstLine="0" w:firstLineChars="0"/>
        <w:jc w:val="left"/>
        <w:rPr>
          <w:rFonts w:ascii="宋体" w:hAnsi="宋体"/>
          <w:color w:val="auto"/>
          <w:szCs w:val="21"/>
        </w:rPr>
      </w:pPr>
    </w:p>
    <w:p w14:paraId="763201C4">
      <w:pPr>
        <w:pStyle w:val="344"/>
        <w:widowControl w:val="0"/>
        <w:numPr>
          <w:ilvl w:val="0"/>
          <w:numId w:val="4"/>
        </w:numPr>
        <w:autoSpaceDE w:val="0"/>
        <w:autoSpaceDN w:val="0"/>
        <w:adjustRightInd w:val="0"/>
        <w:snapToGrid w:val="0"/>
        <w:ind w:firstLineChars="0"/>
        <w:jc w:val="left"/>
        <w:rPr>
          <w:rFonts w:ascii="宋体" w:hAnsi="宋体"/>
          <w:b/>
          <w:color w:val="auto"/>
          <w:szCs w:val="21"/>
        </w:rPr>
      </w:pPr>
      <w:bookmarkStart w:id="90" w:name="_Toc152042318"/>
      <w:bookmarkStart w:id="91" w:name="_Toc144974510"/>
      <w:bookmarkStart w:id="92" w:name="_Toc152045542"/>
      <w:r>
        <w:rPr>
          <w:rFonts w:hint="eastAsia" w:ascii="宋体" w:hAnsi="宋体"/>
          <w:b/>
          <w:color w:val="auto"/>
          <w:szCs w:val="21"/>
        </w:rPr>
        <w:t>招标文件</w:t>
      </w:r>
      <w:bookmarkEnd w:id="90"/>
      <w:bookmarkEnd w:id="91"/>
      <w:bookmarkEnd w:id="92"/>
    </w:p>
    <w:p w14:paraId="764103E6">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93" w:name="_Toc144974511"/>
      <w:bookmarkStart w:id="94" w:name="_Toc152045543"/>
      <w:bookmarkStart w:id="95" w:name="_Toc403513506"/>
      <w:bookmarkStart w:id="96" w:name="_Toc152042319"/>
      <w:bookmarkStart w:id="97" w:name="_Toc332121727"/>
      <w:bookmarkStart w:id="98" w:name="_Toc330213959"/>
      <w:r>
        <w:rPr>
          <w:rFonts w:hint="eastAsia" w:ascii="宋体" w:hAnsi="宋体"/>
          <w:b/>
          <w:color w:val="auto"/>
          <w:szCs w:val="21"/>
        </w:rPr>
        <w:t>招标文件的组成</w:t>
      </w:r>
      <w:bookmarkEnd w:id="93"/>
      <w:bookmarkEnd w:id="94"/>
      <w:bookmarkEnd w:id="95"/>
      <w:bookmarkEnd w:id="96"/>
      <w:bookmarkEnd w:id="97"/>
      <w:bookmarkEnd w:id="98"/>
    </w:p>
    <w:p w14:paraId="6BEF7169">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本招标文件包括：</w:t>
      </w:r>
    </w:p>
    <w:p w14:paraId="550C5A42">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投标人须知；</w:t>
      </w:r>
    </w:p>
    <w:p w14:paraId="66E24913">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评定标办法；</w:t>
      </w:r>
    </w:p>
    <w:p w14:paraId="41603875">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合同条款及格式；</w:t>
      </w:r>
    </w:p>
    <w:p w14:paraId="5A1117CA">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项目需求；</w:t>
      </w:r>
    </w:p>
    <w:p w14:paraId="4810574E">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投标文件格式。</w:t>
      </w:r>
    </w:p>
    <w:p w14:paraId="11B4F3F4">
      <w:pPr>
        <w:pStyle w:val="344"/>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注：根据本章第1.10款、第2.2款和第2.3款对招标文件所作的澄清、修改，构成招标文件的组成部分。</w:t>
      </w:r>
    </w:p>
    <w:p w14:paraId="4DA6D4AB">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招标文件获取时间及方式：见投标人须知前附表</w:t>
      </w:r>
    </w:p>
    <w:p w14:paraId="1CB88EA4">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99" w:name="_Toc403513507"/>
      <w:bookmarkStart w:id="100" w:name="_Toc330213960"/>
      <w:bookmarkStart w:id="101" w:name="_Toc152042320"/>
      <w:bookmarkStart w:id="102" w:name="_Toc332121728"/>
      <w:bookmarkStart w:id="103" w:name="_Toc144974512"/>
      <w:bookmarkStart w:id="104" w:name="_Toc152045544"/>
      <w:r>
        <w:rPr>
          <w:rFonts w:hint="eastAsia" w:ascii="宋体" w:hAnsi="宋体"/>
          <w:b/>
          <w:color w:val="auto"/>
          <w:szCs w:val="21"/>
        </w:rPr>
        <w:t>招标文件的澄清</w:t>
      </w:r>
      <w:bookmarkEnd w:id="99"/>
      <w:bookmarkEnd w:id="100"/>
      <w:bookmarkEnd w:id="101"/>
      <w:bookmarkEnd w:id="102"/>
      <w:bookmarkEnd w:id="103"/>
      <w:bookmarkEnd w:id="104"/>
    </w:p>
    <w:p w14:paraId="51856320">
      <w:pPr>
        <w:pStyle w:val="344"/>
        <w:widowControl w:val="0"/>
        <w:numPr>
          <w:ilvl w:val="2"/>
          <w:numId w:val="4"/>
        </w:numPr>
        <w:autoSpaceDE w:val="0"/>
        <w:autoSpaceDN w:val="0"/>
        <w:adjustRightInd w:val="0"/>
        <w:snapToGrid w:val="0"/>
        <w:ind w:firstLineChars="0"/>
        <w:jc w:val="left"/>
        <w:rPr>
          <w:rFonts w:ascii="宋体" w:hAnsi="宋体" w:cs="宋体"/>
          <w:color w:val="auto"/>
          <w:kern w:val="0"/>
          <w:szCs w:val="21"/>
        </w:rPr>
      </w:pPr>
      <w:r>
        <w:rPr>
          <w:rFonts w:ascii="宋体" w:hAnsi="宋体"/>
          <w:color w:val="auto"/>
          <w:szCs w:val="21"/>
        </w:rPr>
        <w:t>投标人应仔细阅读和检查招标文件的全部内容。如发现缺页或附件不全，应及时向招标人提出，以便补齐。</w:t>
      </w:r>
    </w:p>
    <w:p w14:paraId="03FD6DEC">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招标文件的澄清将在投标人须知前附表规定的时间内以数据电文形式或书面形式发给所有获取招标文件的投标人，但不指明澄清问题的来源。如果澄清发出的时间和内容明显影响投标文件编制的，应当相应延长投标截止时间。</w:t>
      </w:r>
    </w:p>
    <w:p w14:paraId="0AE88848">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105" w:name="_Toc152045545"/>
      <w:bookmarkStart w:id="106" w:name="_Toc144974513"/>
      <w:bookmarkStart w:id="107" w:name="_Toc152042321"/>
      <w:bookmarkStart w:id="108" w:name="_Toc330213961"/>
      <w:bookmarkStart w:id="109" w:name="_Toc403513508"/>
      <w:bookmarkStart w:id="110" w:name="_Toc332121729"/>
      <w:r>
        <w:rPr>
          <w:rFonts w:hint="eastAsia" w:ascii="宋体" w:hAnsi="宋体"/>
          <w:b/>
          <w:color w:val="auto"/>
          <w:szCs w:val="21"/>
        </w:rPr>
        <w:t>招标文件的修改</w:t>
      </w:r>
      <w:bookmarkEnd w:id="105"/>
      <w:bookmarkEnd w:id="106"/>
      <w:bookmarkEnd w:id="107"/>
      <w:bookmarkEnd w:id="108"/>
      <w:bookmarkEnd w:id="109"/>
      <w:bookmarkEnd w:id="110"/>
    </w:p>
    <w:p w14:paraId="6ABA5491">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在投标截止时间前，招标人可以数据电文（或书面形式）修改招标文件，并通知所有已获取招标文件的投标人。</w:t>
      </w:r>
    </w:p>
    <w:p w14:paraId="1D685C59">
      <w:pPr>
        <w:pStyle w:val="344"/>
        <w:widowControl w:val="0"/>
        <w:numPr>
          <w:ilvl w:val="0"/>
          <w:numId w:val="4"/>
        </w:numPr>
        <w:autoSpaceDE w:val="0"/>
        <w:autoSpaceDN w:val="0"/>
        <w:adjustRightInd w:val="0"/>
        <w:snapToGrid w:val="0"/>
        <w:ind w:firstLineChars="0"/>
        <w:jc w:val="left"/>
        <w:rPr>
          <w:rFonts w:ascii="宋体" w:hAnsi="宋体"/>
          <w:b/>
          <w:color w:val="auto"/>
          <w:szCs w:val="21"/>
        </w:rPr>
      </w:pPr>
      <w:bookmarkStart w:id="111" w:name="_Toc152042322"/>
      <w:bookmarkStart w:id="112" w:name="_Toc152045546"/>
      <w:bookmarkStart w:id="113" w:name="_Toc144974514"/>
      <w:r>
        <w:rPr>
          <w:rFonts w:hint="eastAsia" w:ascii="宋体" w:hAnsi="宋体"/>
          <w:b/>
          <w:color w:val="auto"/>
          <w:szCs w:val="21"/>
        </w:rPr>
        <w:t>投标文件</w:t>
      </w:r>
      <w:bookmarkEnd w:id="111"/>
      <w:bookmarkEnd w:id="112"/>
      <w:bookmarkEnd w:id="113"/>
    </w:p>
    <w:p w14:paraId="54DF059B">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114" w:name="_Toc152045547"/>
      <w:bookmarkStart w:id="115" w:name="_Toc330213963"/>
      <w:bookmarkStart w:id="116" w:name="_Toc332121731"/>
      <w:bookmarkStart w:id="117" w:name="_Toc403513510"/>
      <w:bookmarkStart w:id="118" w:name="_Toc144974515"/>
      <w:bookmarkStart w:id="119" w:name="_Toc152042323"/>
      <w:r>
        <w:rPr>
          <w:rFonts w:hint="eastAsia" w:ascii="宋体" w:hAnsi="宋体"/>
          <w:b/>
          <w:color w:val="auto"/>
          <w:szCs w:val="21"/>
        </w:rPr>
        <w:t>投标文件的组成</w:t>
      </w:r>
      <w:bookmarkEnd w:id="114"/>
      <w:bookmarkEnd w:id="115"/>
      <w:bookmarkEnd w:id="116"/>
      <w:bookmarkEnd w:id="117"/>
      <w:bookmarkEnd w:id="118"/>
      <w:bookmarkEnd w:id="119"/>
    </w:p>
    <w:p w14:paraId="57AA2372">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投标文件组成及格式见本招标文件第五章。</w:t>
      </w:r>
      <w:r>
        <w:rPr>
          <w:rFonts w:ascii="宋体" w:hAnsi="宋体"/>
          <w:color w:val="auto"/>
          <w:spacing w:val="-1"/>
          <w:szCs w:val="21"/>
        </w:rPr>
        <w:t>投标人在评标过程中作出的符合法律法规和招标文件规定的澄清确认，构成投标文件的组</w:t>
      </w:r>
      <w:r>
        <w:rPr>
          <w:rFonts w:ascii="宋体" w:hAnsi="宋体"/>
          <w:color w:val="auto"/>
          <w:szCs w:val="21"/>
        </w:rPr>
        <w:t>成部分。</w:t>
      </w:r>
    </w:p>
    <w:p w14:paraId="2F7DD7DA">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投标人须知前附表规定不接受联合体投标的，或投标人没有组成联合体的，投标文件不包括</w:t>
      </w:r>
      <w:r>
        <w:rPr>
          <w:rFonts w:hint="eastAsia" w:ascii="宋体" w:hAnsi="宋体"/>
          <w:color w:val="auto"/>
          <w:szCs w:val="21"/>
        </w:rPr>
        <w:t>投标人须知前附表</w:t>
      </w:r>
      <w:r>
        <w:rPr>
          <w:rFonts w:ascii="宋体" w:hAnsi="宋体"/>
          <w:color w:val="auto"/>
          <w:szCs w:val="21"/>
        </w:rPr>
        <w:t>所指的联合体协议书。</w:t>
      </w:r>
    </w:p>
    <w:p w14:paraId="1C20539A">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投标人须知前附表未要求提交投标保证金的，投标文件不包括</w:t>
      </w:r>
      <w:r>
        <w:rPr>
          <w:rFonts w:hint="eastAsia" w:ascii="宋体" w:hAnsi="宋体"/>
          <w:color w:val="auto"/>
          <w:szCs w:val="21"/>
        </w:rPr>
        <w:t>投标人须知前附表</w:t>
      </w:r>
      <w:r>
        <w:rPr>
          <w:rFonts w:ascii="宋体" w:hAnsi="宋体"/>
          <w:color w:val="auto"/>
          <w:szCs w:val="21"/>
        </w:rPr>
        <w:t>所指的投标保证金。</w:t>
      </w:r>
    </w:p>
    <w:p w14:paraId="6D677CDA">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120" w:name="_Toc152042324"/>
      <w:bookmarkStart w:id="121" w:name="_Toc152045548"/>
      <w:bookmarkStart w:id="122" w:name="_Toc403513511"/>
      <w:bookmarkStart w:id="123" w:name="_Toc144974516"/>
      <w:bookmarkStart w:id="124" w:name="_Toc332121732"/>
      <w:bookmarkStart w:id="125" w:name="_Toc330213964"/>
      <w:r>
        <w:rPr>
          <w:rFonts w:hint="eastAsia" w:ascii="宋体" w:hAnsi="宋体"/>
          <w:b/>
          <w:color w:val="auto"/>
          <w:szCs w:val="21"/>
        </w:rPr>
        <w:t>投标报价</w:t>
      </w:r>
      <w:bookmarkEnd w:id="120"/>
      <w:bookmarkEnd w:id="121"/>
      <w:bookmarkEnd w:id="122"/>
      <w:bookmarkEnd w:id="123"/>
      <w:bookmarkEnd w:id="124"/>
      <w:bookmarkEnd w:id="125"/>
    </w:p>
    <w:p w14:paraId="38CA322A">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pacing w:val="-4"/>
          <w:szCs w:val="21"/>
        </w:rPr>
        <w:t>投标报价应包括国家规定的增值税税金，除投标人须知前附表另有规定外，增值税税</w:t>
      </w:r>
      <w:r>
        <w:rPr>
          <w:rFonts w:ascii="宋体" w:hAnsi="宋体"/>
          <w:color w:val="auto"/>
          <w:szCs w:val="21"/>
        </w:rPr>
        <w:t>金按一般计税方法计算。</w:t>
      </w:r>
    </w:p>
    <w:p w14:paraId="1E85332E">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投标人应充分了解该项目的总体情况以及影响投标报价的其他要素。</w:t>
      </w:r>
    </w:p>
    <w:p w14:paraId="72BDA315">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投标报价算术修正原则详见第二章评定标办法。</w:t>
      </w:r>
    </w:p>
    <w:p w14:paraId="64694370">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pacing w:val="-4"/>
          <w:szCs w:val="21"/>
        </w:rPr>
        <w:t>招标人设有最高投标限价的，投标人的投标报价不得超过最高投标限价，最高投标限</w:t>
      </w:r>
      <w:r>
        <w:rPr>
          <w:rFonts w:ascii="宋体" w:hAnsi="宋体"/>
          <w:color w:val="auto"/>
          <w:szCs w:val="21"/>
        </w:rPr>
        <w:t>价在投标人须知前附表中载明。</w:t>
      </w:r>
    </w:p>
    <w:p w14:paraId="06DB8E62">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投标报价的其他要求见投标人须知前附表。</w:t>
      </w:r>
      <w:r>
        <w:rPr>
          <w:rFonts w:hint="eastAsia" w:ascii="宋体" w:hAnsi="宋体"/>
          <w:color w:val="auto"/>
          <w:szCs w:val="21"/>
        </w:rPr>
        <w:t>　</w:t>
      </w:r>
    </w:p>
    <w:p w14:paraId="0C8F9B17">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126" w:name="_Toc332121733"/>
      <w:bookmarkStart w:id="127" w:name="_Toc144974517"/>
      <w:bookmarkStart w:id="128" w:name="_Toc403513512"/>
      <w:bookmarkStart w:id="129" w:name="_Toc330213965"/>
      <w:bookmarkStart w:id="130" w:name="_Toc152045549"/>
      <w:bookmarkStart w:id="131" w:name="_Toc152042325"/>
      <w:r>
        <w:rPr>
          <w:rFonts w:hint="eastAsia" w:ascii="宋体" w:hAnsi="宋体"/>
          <w:b/>
          <w:color w:val="auto"/>
          <w:szCs w:val="21"/>
        </w:rPr>
        <w:t>投标有效期</w:t>
      </w:r>
      <w:bookmarkEnd w:id="126"/>
      <w:bookmarkEnd w:id="127"/>
      <w:bookmarkEnd w:id="128"/>
      <w:bookmarkEnd w:id="129"/>
      <w:bookmarkEnd w:id="130"/>
      <w:bookmarkEnd w:id="131"/>
    </w:p>
    <w:p w14:paraId="295182D5">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详见</w:t>
      </w:r>
      <w:r>
        <w:rPr>
          <w:rFonts w:ascii="宋体" w:hAnsi="宋体"/>
          <w:color w:val="auto"/>
          <w:szCs w:val="21"/>
        </w:rPr>
        <w:t>投标人须知前附表。</w:t>
      </w:r>
    </w:p>
    <w:p w14:paraId="6DA294D2">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在投标有效期内，投标人撤销</w:t>
      </w:r>
      <w:r>
        <w:rPr>
          <w:rFonts w:hint="eastAsia" w:ascii="宋体" w:hAnsi="宋体"/>
          <w:color w:val="auto"/>
          <w:szCs w:val="21"/>
        </w:rPr>
        <w:t>或修改</w:t>
      </w:r>
      <w:r>
        <w:rPr>
          <w:rFonts w:ascii="宋体" w:hAnsi="宋体"/>
          <w:color w:val="auto"/>
          <w:szCs w:val="21"/>
        </w:rPr>
        <w:t>投标文件的，应承担招标文件和法律规定的责任。</w:t>
      </w:r>
    </w:p>
    <w:p w14:paraId="0205E9AB">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pacing w:val="-4"/>
          <w:szCs w:val="21"/>
        </w:rPr>
        <w:t>出现特殊情况需要延长投标有效期的，招标人以</w:t>
      </w:r>
      <w:r>
        <w:rPr>
          <w:rFonts w:hint="eastAsia" w:ascii="宋体" w:hAnsi="宋体"/>
          <w:color w:val="auto"/>
          <w:spacing w:val="-4"/>
          <w:szCs w:val="21"/>
        </w:rPr>
        <w:t>数据</w:t>
      </w:r>
      <w:r>
        <w:rPr>
          <w:rFonts w:ascii="宋体" w:hAnsi="宋体"/>
          <w:color w:val="auto"/>
          <w:spacing w:val="-4"/>
          <w:szCs w:val="21"/>
        </w:rPr>
        <w:t>电文形式</w:t>
      </w:r>
      <w:r>
        <w:rPr>
          <w:rFonts w:hint="eastAsia" w:ascii="宋体" w:hAnsi="宋体"/>
          <w:color w:val="auto"/>
          <w:spacing w:val="-4"/>
          <w:szCs w:val="21"/>
        </w:rPr>
        <w:t>（或书面形式）</w:t>
      </w:r>
      <w:r>
        <w:rPr>
          <w:rFonts w:ascii="宋体" w:hAnsi="宋体"/>
          <w:color w:val="auto"/>
          <w:spacing w:val="-4"/>
          <w:szCs w:val="21"/>
        </w:rPr>
        <w:t>通知所有投标人延长投标有</w:t>
      </w:r>
      <w:r>
        <w:rPr>
          <w:rFonts w:ascii="宋体" w:hAnsi="宋体"/>
          <w:color w:val="auto"/>
          <w:spacing w:val="-1"/>
          <w:szCs w:val="21"/>
        </w:rPr>
        <w:t>效期。投标人应予以书面答复，同意延长的，应相应延长其投标保证金的有效期，但不得要求或被允许</w:t>
      </w:r>
      <w:r>
        <w:rPr>
          <w:rFonts w:hint="eastAsia" w:ascii="宋体" w:hAnsi="宋体"/>
          <w:color w:val="auto"/>
          <w:spacing w:val="-1"/>
          <w:szCs w:val="21"/>
        </w:rPr>
        <w:t>撤销或</w:t>
      </w:r>
      <w:r>
        <w:rPr>
          <w:rFonts w:ascii="宋体" w:hAnsi="宋体"/>
          <w:color w:val="auto"/>
          <w:spacing w:val="-1"/>
          <w:szCs w:val="21"/>
        </w:rPr>
        <w:t>修改其投标文件；投标人拒绝延长的，其投标失效，但投标人有权收回其投标保证金</w:t>
      </w:r>
      <w:r>
        <w:rPr>
          <w:rFonts w:ascii="宋体" w:hAnsi="宋体"/>
          <w:color w:val="auto"/>
          <w:szCs w:val="21"/>
        </w:rPr>
        <w:t>。</w:t>
      </w:r>
    </w:p>
    <w:p w14:paraId="10A174FF">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132" w:name="_Toc332121734"/>
      <w:bookmarkStart w:id="133" w:name="_Toc403513513"/>
      <w:bookmarkStart w:id="134" w:name="_Toc152042326"/>
      <w:bookmarkStart w:id="135" w:name="_Toc144974518"/>
      <w:bookmarkStart w:id="136" w:name="_Toc330213966"/>
      <w:bookmarkStart w:id="137" w:name="_Toc152045550"/>
      <w:r>
        <w:rPr>
          <w:rFonts w:hint="eastAsia" w:ascii="宋体" w:hAnsi="宋体"/>
          <w:b/>
          <w:color w:val="auto"/>
          <w:szCs w:val="21"/>
        </w:rPr>
        <w:t>投标保证金</w:t>
      </w:r>
      <w:bookmarkEnd w:id="132"/>
      <w:bookmarkEnd w:id="133"/>
      <w:bookmarkEnd w:id="134"/>
      <w:bookmarkEnd w:id="135"/>
      <w:bookmarkEnd w:id="136"/>
      <w:bookmarkEnd w:id="137"/>
    </w:p>
    <w:p w14:paraId="6ED4A3A5">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投标人在递交投标文件的同时，应按投标人须知前附表规定的金额、形式等提交投标保证金证明，并作为其投标文件的组成部分。</w:t>
      </w:r>
      <w:r>
        <w:rPr>
          <w:rFonts w:ascii="宋体" w:hAnsi="宋体"/>
          <w:color w:val="auto"/>
          <w:spacing w:val="-3"/>
          <w:szCs w:val="21"/>
        </w:rPr>
        <w:t>境内投标</w:t>
      </w:r>
      <w:r>
        <w:rPr>
          <w:rFonts w:ascii="宋体" w:hAnsi="宋体"/>
          <w:color w:val="auto"/>
          <w:spacing w:val="-1"/>
          <w:szCs w:val="21"/>
        </w:rPr>
        <w:t>人应当从其账户转出。</w:t>
      </w:r>
      <w:r>
        <w:rPr>
          <w:rFonts w:hint="eastAsia" w:ascii="宋体" w:hAnsi="宋体"/>
          <w:color w:val="auto"/>
          <w:szCs w:val="21"/>
        </w:rPr>
        <w:t>联合体投标的，其投标保证金可以由牵头人递交，并应符合投标人须知前附表的规定。</w:t>
      </w:r>
    </w:p>
    <w:p w14:paraId="61C834B5">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投标人不按本章第3.4.1项要求提交投标保证金的，其投标文件作废标处理。</w:t>
      </w:r>
    </w:p>
    <w:p w14:paraId="3683D889">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招标结束后向未中标的投标人退还投标保证金；招标人与中标人签订合同后向中标人退还投标保证金。</w:t>
      </w:r>
    </w:p>
    <w:p w14:paraId="0C905279">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有下列情形之一的，投标保证金将不予退还：</w:t>
      </w:r>
    </w:p>
    <w:p w14:paraId="1D4324DB">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在投标</w:t>
      </w:r>
      <w:r>
        <w:rPr>
          <w:rFonts w:ascii="宋体" w:hAnsi="宋体"/>
          <w:color w:val="auto"/>
          <w:szCs w:val="21"/>
        </w:rPr>
        <w:t>截止时间后，</w:t>
      </w:r>
      <w:r>
        <w:rPr>
          <w:rFonts w:hint="eastAsia" w:ascii="宋体" w:hAnsi="宋体"/>
          <w:color w:val="auto"/>
          <w:szCs w:val="21"/>
        </w:rPr>
        <w:t>投标人在规定的投标有效期内撤销或修改投标文件；</w:t>
      </w:r>
    </w:p>
    <w:p w14:paraId="6A9819D9">
      <w:pPr>
        <w:pStyle w:val="344"/>
        <w:widowControl w:val="0"/>
        <w:numPr>
          <w:ilvl w:val="3"/>
          <w:numId w:val="4"/>
        </w:numPr>
        <w:autoSpaceDE w:val="0"/>
        <w:autoSpaceDN w:val="0"/>
        <w:adjustRightInd w:val="0"/>
        <w:snapToGrid w:val="0"/>
        <w:ind w:firstLineChars="0"/>
        <w:jc w:val="left"/>
        <w:rPr>
          <w:rFonts w:ascii="宋体" w:hAnsi="宋体"/>
          <w:color w:val="auto"/>
          <w:szCs w:val="21"/>
        </w:rPr>
      </w:pPr>
      <w:bookmarkStart w:id="138" w:name="_Toc332121735"/>
      <w:bookmarkStart w:id="139" w:name="_Toc152045552"/>
      <w:bookmarkStart w:id="140" w:name="_Toc403513514"/>
      <w:bookmarkStart w:id="141" w:name="_Toc152042328"/>
      <w:bookmarkStart w:id="142" w:name="_Toc330213967"/>
      <w:bookmarkStart w:id="143" w:name="_Toc144974520"/>
      <w:r>
        <w:rPr>
          <w:rFonts w:ascii="宋体" w:hAnsi="宋体"/>
          <w:color w:val="auto"/>
          <w:spacing w:val="-1"/>
          <w:szCs w:val="21"/>
        </w:rPr>
        <w:t>中标人在收到中标通知书后，无正当理由不与招标人订立合同，在签订合同时向招标</w:t>
      </w:r>
      <w:r>
        <w:rPr>
          <w:rFonts w:ascii="宋体" w:hAnsi="宋体"/>
          <w:color w:val="auto"/>
          <w:szCs w:val="21"/>
        </w:rPr>
        <w:t>人提出附加条件，或者不按照招标文件要求提交履约</w:t>
      </w:r>
      <w:r>
        <w:rPr>
          <w:rFonts w:hint="eastAsia" w:ascii="宋体" w:hAnsi="宋体"/>
          <w:color w:val="auto"/>
          <w:szCs w:val="21"/>
        </w:rPr>
        <w:t>担保</w:t>
      </w:r>
      <w:r>
        <w:rPr>
          <w:rFonts w:ascii="宋体" w:hAnsi="宋体"/>
          <w:color w:val="auto"/>
          <w:szCs w:val="21"/>
        </w:rPr>
        <w:t>；</w:t>
      </w:r>
    </w:p>
    <w:p w14:paraId="3B1B97E0">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发生投标人须知前附表规定的其他可以不予退还投标保证金的情形</w:t>
      </w:r>
      <w:r>
        <w:rPr>
          <w:rFonts w:hint="eastAsia" w:ascii="宋体" w:hAnsi="宋体"/>
          <w:color w:val="auto"/>
          <w:szCs w:val="21"/>
        </w:rPr>
        <w:t>。</w:t>
      </w:r>
    </w:p>
    <w:p w14:paraId="496E5CCB">
      <w:pPr>
        <w:pStyle w:val="344"/>
        <w:widowControl w:val="0"/>
        <w:numPr>
          <w:ilvl w:val="1"/>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资格审查资料</w:t>
      </w:r>
      <w:bookmarkEnd w:id="138"/>
      <w:bookmarkEnd w:id="139"/>
      <w:bookmarkEnd w:id="140"/>
      <w:bookmarkEnd w:id="141"/>
      <w:bookmarkEnd w:id="142"/>
      <w:bookmarkEnd w:id="143"/>
      <w:r>
        <w:rPr>
          <w:rFonts w:hint="eastAsia" w:ascii="宋体" w:hAnsi="宋体"/>
          <w:b/>
          <w:color w:val="auto"/>
          <w:szCs w:val="21"/>
        </w:rPr>
        <w:t>（适用于资格后审的）</w:t>
      </w:r>
    </w:p>
    <w:p w14:paraId="4C4566D4">
      <w:pPr>
        <w:pStyle w:val="344"/>
        <w:widowControl w:val="0"/>
        <w:numPr>
          <w:ilvl w:val="2"/>
          <w:numId w:val="4"/>
        </w:numPr>
        <w:autoSpaceDE w:val="0"/>
        <w:autoSpaceDN w:val="0"/>
        <w:adjustRightInd w:val="0"/>
        <w:snapToGrid w:val="0"/>
        <w:ind w:firstLineChars="0"/>
        <w:jc w:val="left"/>
        <w:rPr>
          <w:rFonts w:ascii="宋体" w:hAnsi="宋体"/>
          <w:color w:val="auto"/>
          <w:szCs w:val="21"/>
        </w:rPr>
      </w:pPr>
      <w:bookmarkStart w:id="144" w:name="_Toc330213968"/>
      <w:bookmarkStart w:id="145" w:name="_Toc332121736"/>
      <w:bookmarkStart w:id="146" w:name="_Toc152042329"/>
      <w:bookmarkStart w:id="147" w:name="_Toc144974521"/>
      <w:bookmarkStart w:id="148" w:name="_Toc403513515"/>
      <w:bookmarkStart w:id="149" w:name="_Toc152045553"/>
      <w:r>
        <w:rPr>
          <w:rFonts w:ascii="宋体" w:hAnsi="宋体"/>
          <w:color w:val="auto"/>
          <w:szCs w:val="21"/>
        </w:rPr>
        <w:t>除投标人须知前附表另有规定外，投标人应按下列规定提供资格审查资料，以证明其满足本</w:t>
      </w:r>
      <w:r>
        <w:rPr>
          <w:rFonts w:hint="eastAsia" w:ascii="宋体" w:hAnsi="宋体"/>
          <w:color w:val="auto"/>
          <w:szCs w:val="21"/>
        </w:rPr>
        <w:t>项目</w:t>
      </w:r>
      <w:r>
        <w:rPr>
          <w:rFonts w:ascii="宋体" w:hAnsi="宋体"/>
          <w:color w:val="auto"/>
          <w:szCs w:val="21"/>
        </w:rPr>
        <w:t>规定的</w:t>
      </w:r>
      <w:r>
        <w:rPr>
          <w:rFonts w:hint="eastAsia" w:ascii="宋体" w:hAnsi="宋体"/>
          <w:color w:val="auto"/>
          <w:szCs w:val="21"/>
        </w:rPr>
        <w:t>资格</w:t>
      </w:r>
      <w:r>
        <w:rPr>
          <w:rFonts w:ascii="宋体" w:hAnsi="宋体"/>
          <w:color w:val="auto"/>
          <w:szCs w:val="21"/>
        </w:rPr>
        <w:t>要求。</w:t>
      </w:r>
    </w:p>
    <w:p w14:paraId="4EFDCD96">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w:t>
      </w:r>
      <w:r>
        <w:rPr>
          <w:rFonts w:ascii="宋体" w:hAnsi="宋体"/>
          <w:color w:val="auto"/>
          <w:szCs w:val="21"/>
        </w:rPr>
        <w:t>投标人基本情况表</w:t>
      </w:r>
      <w:r>
        <w:rPr>
          <w:rFonts w:hint="eastAsia" w:ascii="宋体" w:hAnsi="宋体"/>
          <w:color w:val="auto"/>
          <w:szCs w:val="21"/>
        </w:rPr>
        <w:t>”</w:t>
      </w:r>
      <w:r>
        <w:rPr>
          <w:rFonts w:ascii="宋体" w:hAnsi="宋体"/>
          <w:color w:val="auto"/>
          <w:szCs w:val="21"/>
        </w:rPr>
        <w:t>应附</w:t>
      </w:r>
      <w:r>
        <w:rPr>
          <w:rFonts w:hint="eastAsia" w:ascii="宋体" w:hAnsi="宋体"/>
          <w:color w:val="auto"/>
          <w:szCs w:val="21"/>
        </w:rPr>
        <w:t>以下证明材料：</w:t>
      </w:r>
    </w:p>
    <w:p w14:paraId="4E8E970D">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投标人为企业的，应提交营业执照和组织机构代码证（按照“三证合一”或“五证合一”登记制度进行登记的，可仅提供营业执照）；</w:t>
      </w:r>
    </w:p>
    <w:p w14:paraId="45C2F7D8">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投标人为依法允许经营的事业单位的，应提交事业单位法人证书和组织机构代码证的</w:t>
      </w:r>
      <w:r>
        <w:rPr>
          <w:rFonts w:hint="eastAsia" w:ascii="宋体" w:hAnsi="宋体"/>
          <w:color w:val="auto"/>
          <w:szCs w:val="21"/>
        </w:rPr>
        <w:t>；</w:t>
      </w:r>
    </w:p>
    <w:p w14:paraId="03925277">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投标人须知前附表要求的其他证明材料。</w:t>
      </w:r>
    </w:p>
    <w:p w14:paraId="244B0A29">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投标人须知前附表规定接受联合体投标的，本章第</w:t>
      </w:r>
      <w:r>
        <w:rPr>
          <w:rFonts w:hint="eastAsia" w:ascii="宋体" w:hAnsi="宋体"/>
          <w:color w:val="auto"/>
          <w:szCs w:val="21"/>
        </w:rPr>
        <w:t>3.</w:t>
      </w:r>
      <w:r>
        <w:rPr>
          <w:rFonts w:ascii="宋体" w:hAnsi="宋体"/>
          <w:color w:val="auto"/>
          <w:szCs w:val="21"/>
        </w:rPr>
        <w:t>6</w:t>
      </w:r>
      <w:r>
        <w:rPr>
          <w:rFonts w:hint="eastAsia" w:ascii="宋体" w:hAnsi="宋体"/>
          <w:color w:val="auto"/>
          <w:szCs w:val="21"/>
        </w:rPr>
        <w:t>.1</w:t>
      </w:r>
      <w:r>
        <w:rPr>
          <w:rFonts w:ascii="宋体" w:hAnsi="宋体"/>
          <w:color w:val="auto"/>
          <w:szCs w:val="21"/>
        </w:rPr>
        <w:t>规定的表格和资料应包括联合体各方相关情况。</w:t>
      </w:r>
    </w:p>
    <w:p w14:paraId="392CB6E6">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150" w:name="_Toc403513516"/>
      <w:bookmarkStart w:id="151" w:name="_Toc332121737"/>
      <w:bookmarkStart w:id="152" w:name="_Toc152045554"/>
      <w:bookmarkStart w:id="153" w:name="_Toc330213969"/>
      <w:bookmarkStart w:id="154" w:name="_Toc144974522"/>
      <w:bookmarkStart w:id="155" w:name="_Toc152042330"/>
      <w:r>
        <w:rPr>
          <w:rFonts w:hint="eastAsia" w:ascii="宋体" w:hAnsi="宋体"/>
          <w:b/>
          <w:color w:val="auto"/>
          <w:szCs w:val="21"/>
        </w:rPr>
        <w:t>投标文件的编制</w:t>
      </w:r>
      <w:bookmarkEnd w:id="150"/>
      <w:bookmarkEnd w:id="151"/>
      <w:bookmarkEnd w:id="152"/>
      <w:bookmarkEnd w:id="153"/>
      <w:bookmarkEnd w:id="154"/>
      <w:bookmarkEnd w:id="155"/>
    </w:p>
    <w:p w14:paraId="03CBCE4D">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投标文件应按第</w:t>
      </w:r>
      <w:r>
        <w:rPr>
          <w:rFonts w:hint="eastAsia" w:ascii="宋体" w:hAnsi="宋体"/>
          <w:color w:val="auto"/>
          <w:szCs w:val="21"/>
        </w:rPr>
        <w:t>五</w:t>
      </w:r>
      <w:r>
        <w:rPr>
          <w:rFonts w:ascii="宋体" w:hAnsi="宋体"/>
          <w:color w:val="auto"/>
          <w:szCs w:val="21"/>
        </w:rPr>
        <w:t>章“投标文件格式”进行编写，如有必要，可以增加附页，作为投标文件的组成部分。</w:t>
      </w:r>
      <w:r>
        <w:rPr>
          <w:rFonts w:hint="eastAsia" w:ascii="宋体" w:hAnsi="宋体"/>
          <w:color w:val="auto"/>
          <w:szCs w:val="21"/>
        </w:rPr>
        <w:t>其中，投标函在满足招标文件实质性要求的基础上，可以提出比招标文件要求更有利于招标人的承诺。</w:t>
      </w:r>
    </w:p>
    <w:p w14:paraId="5B7898FD">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投标文件应当对招标文件</w:t>
      </w:r>
      <w:r>
        <w:rPr>
          <w:rFonts w:hint="eastAsia" w:ascii="宋体" w:hAnsi="宋体"/>
          <w:color w:val="auto"/>
          <w:szCs w:val="21"/>
        </w:rPr>
        <w:t>中的</w:t>
      </w:r>
      <w:r>
        <w:rPr>
          <w:rFonts w:ascii="宋体" w:hAnsi="宋体"/>
          <w:color w:val="auto"/>
          <w:szCs w:val="21"/>
        </w:rPr>
        <w:t>有关</w:t>
      </w:r>
      <w:r>
        <w:rPr>
          <w:rFonts w:hint="eastAsia" w:ascii="宋体" w:hAnsi="宋体"/>
          <w:color w:val="auto"/>
          <w:szCs w:val="21"/>
        </w:rPr>
        <w:t>服务</w:t>
      </w:r>
      <w:r>
        <w:rPr>
          <w:rFonts w:ascii="宋体" w:hAnsi="宋体"/>
          <w:color w:val="auto"/>
          <w:szCs w:val="21"/>
        </w:rPr>
        <w:t>期、投标有效期、</w:t>
      </w:r>
      <w:r>
        <w:rPr>
          <w:rFonts w:hint="eastAsia" w:ascii="宋体" w:hAnsi="宋体"/>
          <w:color w:val="auto"/>
          <w:szCs w:val="21"/>
        </w:rPr>
        <w:t>服务</w:t>
      </w:r>
      <w:r>
        <w:rPr>
          <w:rFonts w:ascii="宋体" w:hAnsi="宋体"/>
          <w:color w:val="auto"/>
          <w:szCs w:val="21"/>
        </w:rPr>
        <w:t>要求、招标范围</w:t>
      </w:r>
      <w:r>
        <w:rPr>
          <w:rFonts w:hint="eastAsia" w:ascii="宋体" w:hAnsi="宋体"/>
          <w:color w:val="auto"/>
          <w:szCs w:val="21"/>
        </w:rPr>
        <w:t>等或带“</w:t>
      </w:r>
      <w:r>
        <w:rPr>
          <w:rFonts w:hint="eastAsia" w:ascii="宋体" w:hAnsi="宋体"/>
          <w:color w:val="auto"/>
          <w:szCs w:val="21"/>
        </w:rPr>
        <w:sym w:font="Wingdings 2" w:char="F0EA"/>
      </w:r>
      <w:r>
        <w:rPr>
          <w:rFonts w:hint="eastAsia" w:ascii="宋体" w:hAnsi="宋体"/>
          <w:color w:val="auto"/>
          <w:szCs w:val="21"/>
        </w:rPr>
        <w:t>”的相关商务、技术条款</w:t>
      </w:r>
      <w:r>
        <w:rPr>
          <w:rFonts w:ascii="宋体" w:hAnsi="宋体"/>
          <w:color w:val="auto"/>
          <w:szCs w:val="21"/>
        </w:rPr>
        <w:t>等实质性内容作出响应。投标文件在满足招标文件实质性要求的基础上，可以提出比招标文件要求更有利于招标人的承诺。</w:t>
      </w:r>
    </w:p>
    <w:p w14:paraId="3FECE97B">
      <w:pPr>
        <w:pStyle w:val="344"/>
        <w:widowControl w:val="0"/>
        <w:numPr>
          <w:ilvl w:val="0"/>
          <w:numId w:val="4"/>
        </w:numPr>
        <w:autoSpaceDE w:val="0"/>
        <w:autoSpaceDN w:val="0"/>
        <w:adjustRightInd w:val="0"/>
        <w:snapToGrid w:val="0"/>
        <w:ind w:firstLineChars="0"/>
        <w:jc w:val="left"/>
        <w:rPr>
          <w:rFonts w:ascii="宋体" w:hAnsi="宋体"/>
          <w:b/>
          <w:color w:val="auto"/>
          <w:szCs w:val="21"/>
        </w:rPr>
      </w:pPr>
      <w:bookmarkStart w:id="156" w:name="_Toc152045555"/>
      <w:bookmarkStart w:id="157" w:name="_Toc152042331"/>
      <w:bookmarkStart w:id="158" w:name="_Toc144974523"/>
      <w:r>
        <w:rPr>
          <w:rFonts w:hint="eastAsia" w:ascii="宋体" w:hAnsi="宋体"/>
          <w:b/>
          <w:color w:val="auto"/>
          <w:szCs w:val="21"/>
        </w:rPr>
        <w:t>投标</w:t>
      </w:r>
      <w:bookmarkEnd w:id="156"/>
      <w:bookmarkEnd w:id="157"/>
      <w:bookmarkEnd w:id="158"/>
    </w:p>
    <w:p w14:paraId="369DC061">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159" w:name="_Toc152045556"/>
      <w:bookmarkStart w:id="160" w:name="_Toc330213971"/>
      <w:bookmarkStart w:id="161" w:name="_Toc144974524"/>
      <w:bookmarkStart w:id="162" w:name="_Toc332121739"/>
      <w:bookmarkStart w:id="163" w:name="_Toc403513518"/>
      <w:bookmarkStart w:id="164" w:name="_Toc152042332"/>
      <w:r>
        <w:rPr>
          <w:rFonts w:hint="eastAsia" w:ascii="宋体" w:hAnsi="宋体"/>
          <w:b/>
          <w:color w:val="auto"/>
          <w:szCs w:val="21"/>
        </w:rPr>
        <w:t>投标文件的</w:t>
      </w:r>
      <w:bookmarkEnd w:id="159"/>
      <w:bookmarkEnd w:id="160"/>
      <w:bookmarkEnd w:id="161"/>
      <w:bookmarkEnd w:id="162"/>
      <w:bookmarkEnd w:id="163"/>
      <w:bookmarkEnd w:id="164"/>
      <w:r>
        <w:rPr>
          <w:rFonts w:hint="eastAsia" w:ascii="宋体" w:hAnsi="宋体"/>
          <w:b/>
          <w:color w:val="auto"/>
          <w:szCs w:val="21"/>
        </w:rPr>
        <w:t>密封</w:t>
      </w:r>
    </w:p>
    <w:p w14:paraId="7D1C6CA0">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投标人应当按照招标文件</w:t>
      </w:r>
      <w:r>
        <w:rPr>
          <w:rFonts w:hint="eastAsia" w:ascii="宋体" w:hAnsi="宋体"/>
          <w:color w:val="auto"/>
          <w:szCs w:val="21"/>
        </w:rPr>
        <w:t>的</w:t>
      </w:r>
      <w:r>
        <w:rPr>
          <w:rFonts w:ascii="宋体" w:hAnsi="宋体"/>
          <w:color w:val="auto"/>
          <w:szCs w:val="21"/>
        </w:rPr>
        <w:t>要求</w:t>
      </w:r>
      <w:r>
        <w:rPr>
          <w:rFonts w:hint="eastAsia" w:ascii="宋体" w:hAnsi="宋体"/>
          <w:color w:val="auto"/>
          <w:szCs w:val="21"/>
        </w:rPr>
        <w:t>密封</w:t>
      </w:r>
      <w:r>
        <w:rPr>
          <w:rFonts w:ascii="宋体" w:hAnsi="宋体"/>
          <w:color w:val="auto"/>
          <w:szCs w:val="21"/>
        </w:rPr>
        <w:t>投标文件，具体要求见投标人须知前附表。</w:t>
      </w:r>
    </w:p>
    <w:p w14:paraId="43388BE4">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165" w:name="_Toc152042333"/>
      <w:bookmarkStart w:id="166" w:name="_Toc330213972"/>
      <w:bookmarkStart w:id="167" w:name="_Toc332121740"/>
      <w:bookmarkStart w:id="168" w:name="_Toc152045557"/>
      <w:bookmarkStart w:id="169" w:name="_Toc403513519"/>
      <w:bookmarkStart w:id="170" w:name="_Toc144974525"/>
      <w:r>
        <w:rPr>
          <w:rFonts w:hint="eastAsia" w:ascii="宋体" w:hAnsi="宋体"/>
          <w:b/>
          <w:color w:val="auto"/>
          <w:szCs w:val="21"/>
        </w:rPr>
        <w:t>投标文件的递交</w:t>
      </w:r>
      <w:bookmarkEnd w:id="165"/>
      <w:bookmarkEnd w:id="166"/>
      <w:bookmarkEnd w:id="167"/>
      <w:bookmarkEnd w:id="168"/>
      <w:bookmarkEnd w:id="169"/>
      <w:bookmarkEnd w:id="170"/>
    </w:p>
    <w:p w14:paraId="7A308A44">
      <w:pPr>
        <w:pStyle w:val="344"/>
        <w:widowControl w:val="0"/>
        <w:numPr>
          <w:ilvl w:val="2"/>
          <w:numId w:val="4"/>
        </w:numPr>
        <w:wordWrap w:val="0"/>
        <w:autoSpaceDE w:val="0"/>
        <w:autoSpaceDN w:val="0"/>
        <w:adjustRightInd w:val="0"/>
        <w:snapToGrid w:val="0"/>
        <w:ind w:firstLineChars="0"/>
        <w:jc w:val="left"/>
        <w:rPr>
          <w:rFonts w:ascii="宋体" w:hAnsi="宋体"/>
          <w:color w:val="auto"/>
          <w:szCs w:val="21"/>
        </w:rPr>
      </w:pPr>
      <w:bookmarkStart w:id="171" w:name="_Toc403513520"/>
      <w:bookmarkStart w:id="172" w:name="_Toc152042334"/>
      <w:bookmarkStart w:id="173" w:name="_Toc144974526"/>
      <w:bookmarkStart w:id="174" w:name="_Toc332121741"/>
      <w:bookmarkStart w:id="175" w:name="_Toc330213973"/>
      <w:bookmarkStart w:id="176" w:name="_Toc152045558"/>
      <w:r>
        <w:rPr>
          <w:rFonts w:ascii="宋体" w:hAnsi="宋体"/>
          <w:color w:val="auto"/>
          <w:szCs w:val="21"/>
        </w:rPr>
        <w:t>投标人应在投标人须知前附表规定的投标截止时间前递交投标文件。</w:t>
      </w:r>
    </w:p>
    <w:p w14:paraId="387E22CF">
      <w:pPr>
        <w:pStyle w:val="344"/>
        <w:widowControl w:val="0"/>
        <w:numPr>
          <w:ilvl w:val="2"/>
          <w:numId w:val="4"/>
        </w:numPr>
        <w:wordWrap w:val="0"/>
        <w:autoSpaceDE w:val="0"/>
        <w:autoSpaceDN w:val="0"/>
        <w:adjustRightInd w:val="0"/>
        <w:snapToGrid w:val="0"/>
        <w:ind w:firstLineChars="0"/>
        <w:jc w:val="left"/>
        <w:rPr>
          <w:rFonts w:ascii="宋体" w:hAnsi="宋体"/>
          <w:color w:val="auto"/>
          <w:szCs w:val="21"/>
        </w:rPr>
      </w:pPr>
      <w:r>
        <w:rPr>
          <w:rFonts w:ascii="宋体" w:hAnsi="宋体"/>
          <w:color w:val="auto"/>
          <w:szCs w:val="21"/>
        </w:rPr>
        <w:t>除投标人须知前附表另有规定外，投标人所递交的投标文件不予退还。</w:t>
      </w:r>
    </w:p>
    <w:p w14:paraId="78D91893">
      <w:pPr>
        <w:pStyle w:val="344"/>
        <w:widowControl w:val="0"/>
        <w:numPr>
          <w:ilvl w:val="2"/>
          <w:numId w:val="4"/>
        </w:numPr>
        <w:wordWrap w:val="0"/>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投标截标时间后，招标人不再接收任何投标文件。</w:t>
      </w:r>
    </w:p>
    <w:p w14:paraId="27B44AF6">
      <w:pPr>
        <w:pStyle w:val="344"/>
        <w:widowControl w:val="0"/>
        <w:numPr>
          <w:ilvl w:val="1"/>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投标文件的修改与撤回</w:t>
      </w:r>
      <w:bookmarkEnd w:id="171"/>
      <w:bookmarkEnd w:id="172"/>
      <w:bookmarkEnd w:id="173"/>
      <w:bookmarkEnd w:id="174"/>
      <w:bookmarkEnd w:id="175"/>
      <w:bookmarkEnd w:id="176"/>
    </w:p>
    <w:p w14:paraId="3BEBC59B">
      <w:pPr>
        <w:pStyle w:val="344"/>
        <w:widowControl w:val="0"/>
        <w:numPr>
          <w:ilvl w:val="2"/>
          <w:numId w:val="4"/>
        </w:numPr>
        <w:wordWrap w:val="0"/>
        <w:autoSpaceDE w:val="0"/>
        <w:autoSpaceDN w:val="0"/>
        <w:adjustRightInd w:val="0"/>
        <w:snapToGrid w:val="0"/>
        <w:ind w:firstLineChars="0"/>
        <w:jc w:val="left"/>
        <w:rPr>
          <w:rFonts w:ascii="宋体" w:hAnsi="宋体"/>
          <w:color w:val="auto"/>
          <w:szCs w:val="21"/>
        </w:rPr>
      </w:pPr>
      <w:r>
        <w:rPr>
          <w:rFonts w:ascii="宋体" w:hAnsi="宋体"/>
          <w:color w:val="auto"/>
          <w:szCs w:val="21"/>
        </w:rPr>
        <w:t>在本投标截止时间前，投标人可以先撤销投标文件</w:t>
      </w:r>
      <w:r>
        <w:rPr>
          <w:rFonts w:hint="eastAsia" w:ascii="宋体" w:hAnsi="宋体"/>
          <w:color w:val="auto"/>
          <w:szCs w:val="21"/>
        </w:rPr>
        <w:t>，修改后，重新按招标文件要求递交投标文件</w:t>
      </w:r>
      <w:r>
        <w:rPr>
          <w:rFonts w:ascii="宋体" w:hAnsi="宋体"/>
          <w:color w:val="auto"/>
          <w:szCs w:val="21"/>
        </w:rPr>
        <w:t>。</w:t>
      </w:r>
    </w:p>
    <w:p w14:paraId="5ACB0651">
      <w:pPr>
        <w:pStyle w:val="344"/>
        <w:widowControl w:val="0"/>
        <w:numPr>
          <w:ilvl w:val="0"/>
          <w:numId w:val="4"/>
        </w:numPr>
        <w:wordWrap w:val="0"/>
        <w:autoSpaceDE w:val="0"/>
        <w:autoSpaceDN w:val="0"/>
        <w:adjustRightInd w:val="0"/>
        <w:snapToGrid w:val="0"/>
        <w:ind w:firstLineChars="0"/>
        <w:jc w:val="left"/>
        <w:rPr>
          <w:rFonts w:ascii="宋体" w:hAnsi="宋体"/>
          <w:b/>
          <w:color w:val="auto"/>
          <w:szCs w:val="21"/>
        </w:rPr>
      </w:pPr>
      <w:bookmarkStart w:id="177" w:name="_Toc144974527"/>
      <w:bookmarkStart w:id="178" w:name="_Toc152045559"/>
      <w:bookmarkStart w:id="179" w:name="_Toc152042335"/>
      <w:r>
        <w:rPr>
          <w:rFonts w:hint="eastAsia" w:ascii="宋体" w:hAnsi="宋体"/>
          <w:b/>
          <w:color w:val="auto"/>
          <w:szCs w:val="21"/>
        </w:rPr>
        <w:t>开标</w:t>
      </w:r>
      <w:bookmarkEnd w:id="177"/>
      <w:bookmarkEnd w:id="178"/>
      <w:bookmarkEnd w:id="179"/>
    </w:p>
    <w:p w14:paraId="6EB106DF">
      <w:pPr>
        <w:pStyle w:val="244"/>
        <w:widowControl w:val="0"/>
        <w:numPr>
          <w:ilvl w:val="1"/>
          <w:numId w:val="4"/>
        </w:numPr>
        <w:autoSpaceDE w:val="0"/>
        <w:autoSpaceDN w:val="0"/>
        <w:adjustRightInd w:val="0"/>
        <w:snapToGrid w:val="0"/>
        <w:ind w:firstLineChars="0"/>
        <w:jc w:val="left"/>
        <w:rPr>
          <w:rFonts w:ascii="宋体" w:hAnsi="宋体"/>
          <w:b/>
          <w:color w:val="auto"/>
          <w:szCs w:val="21"/>
        </w:rPr>
      </w:pPr>
      <w:bookmarkStart w:id="180" w:name="_Toc152045560"/>
      <w:bookmarkStart w:id="181" w:name="_Toc152042336"/>
      <w:bookmarkStart w:id="182" w:name="_Toc403513522"/>
      <w:bookmarkStart w:id="183" w:name="_Toc332121743"/>
      <w:bookmarkStart w:id="184" w:name="_Toc144974528"/>
      <w:bookmarkStart w:id="185" w:name="_Toc330213975"/>
      <w:r>
        <w:rPr>
          <w:rFonts w:hint="eastAsia" w:ascii="宋体" w:hAnsi="宋体"/>
          <w:b/>
          <w:color w:val="auto"/>
          <w:szCs w:val="21"/>
        </w:rPr>
        <w:t>开标时间和地点</w:t>
      </w:r>
      <w:bookmarkEnd w:id="180"/>
      <w:bookmarkEnd w:id="181"/>
      <w:bookmarkEnd w:id="182"/>
      <w:bookmarkEnd w:id="183"/>
      <w:bookmarkEnd w:id="184"/>
      <w:bookmarkEnd w:id="185"/>
    </w:p>
    <w:p w14:paraId="18CEAC4A">
      <w:pPr>
        <w:pStyle w:val="344"/>
        <w:widowControl w:val="0"/>
        <w:numPr>
          <w:ilvl w:val="2"/>
          <w:numId w:val="4"/>
        </w:numPr>
        <w:wordWrap w:val="0"/>
        <w:autoSpaceDE w:val="0"/>
        <w:autoSpaceDN w:val="0"/>
        <w:adjustRightInd w:val="0"/>
        <w:snapToGrid w:val="0"/>
        <w:ind w:firstLineChars="0"/>
        <w:jc w:val="left"/>
        <w:rPr>
          <w:rFonts w:ascii="宋体" w:hAnsi="宋体"/>
          <w:color w:val="auto"/>
          <w:szCs w:val="21"/>
        </w:rPr>
      </w:pPr>
      <w:bookmarkStart w:id="186" w:name="_Toc330213976"/>
      <w:bookmarkStart w:id="187" w:name="_Toc144974529"/>
      <w:bookmarkStart w:id="188" w:name="_Toc152042337"/>
      <w:bookmarkStart w:id="189" w:name="_Toc332121744"/>
      <w:bookmarkStart w:id="190" w:name="_Toc403513523"/>
      <w:bookmarkStart w:id="191" w:name="_Toc152045561"/>
      <w:r>
        <w:rPr>
          <w:rFonts w:ascii="宋体" w:hAnsi="宋体"/>
          <w:color w:val="auto"/>
          <w:szCs w:val="21"/>
        </w:rPr>
        <w:t>招标人在规定的投标截止时间（开标时间）,按规定的时间和地点公开开标，</w:t>
      </w:r>
      <w:r>
        <w:rPr>
          <w:rFonts w:hint="eastAsia" w:ascii="宋体" w:hAnsi="宋体"/>
          <w:color w:val="auto"/>
          <w:szCs w:val="21"/>
        </w:rPr>
        <w:t>投标人的法定代表人或其委托代理人自愿参加开标会议；未参加开标会议的，视为其认可招标程序。</w:t>
      </w:r>
    </w:p>
    <w:p w14:paraId="62AB8D8D">
      <w:pPr>
        <w:pStyle w:val="244"/>
        <w:widowControl w:val="0"/>
        <w:numPr>
          <w:ilvl w:val="1"/>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开标程序</w:t>
      </w:r>
      <w:bookmarkEnd w:id="186"/>
      <w:bookmarkEnd w:id="187"/>
      <w:bookmarkEnd w:id="188"/>
      <w:bookmarkEnd w:id="189"/>
      <w:bookmarkEnd w:id="190"/>
      <w:bookmarkEnd w:id="191"/>
    </w:p>
    <w:p w14:paraId="3ED921A9">
      <w:pPr>
        <w:ind w:firstLine="420"/>
        <w:rPr>
          <w:rFonts w:ascii="宋体" w:hAnsi="宋体"/>
          <w:color w:val="auto"/>
          <w:szCs w:val="21"/>
        </w:rPr>
      </w:pPr>
      <w:r>
        <w:rPr>
          <w:rFonts w:ascii="宋体" w:hAnsi="宋体"/>
          <w:color w:val="auto"/>
          <w:szCs w:val="21"/>
        </w:rPr>
        <w:t>招标人按投标人须知前附表规定的时间和地点公开开标，开标由招标人主持。</w:t>
      </w:r>
    </w:p>
    <w:p w14:paraId="12D528CB">
      <w:pPr>
        <w:ind w:firstLine="420"/>
        <w:rPr>
          <w:rFonts w:ascii="宋体" w:hAnsi="宋体"/>
          <w:color w:val="auto"/>
          <w:szCs w:val="21"/>
        </w:rPr>
      </w:pPr>
      <w:r>
        <w:rPr>
          <w:rFonts w:ascii="宋体" w:hAnsi="宋体"/>
          <w:color w:val="auto"/>
          <w:szCs w:val="21"/>
        </w:rPr>
        <w:t>5.2.1主持人宣布开标纪律、开标程序；</w:t>
      </w:r>
    </w:p>
    <w:p w14:paraId="22C5250F">
      <w:pPr>
        <w:ind w:firstLine="420"/>
        <w:rPr>
          <w:rFonts w:ascii="宋体" w:hAnsi="宋体"/>
          <w:color w:val="auto"/>
          <w:szCs w:val="21"/>
        </w:rPr>
      </w:pPr>
      <w:r>
        <w:rPr>
          <w:rFonts w:ascii="宋体" w:hAnsi="宋体"/>
          <w:color w:val="auto"/>
          <w:szCs w:val="21"/>
        </w:rPr>
        <w:t>5.2.2公布在投标截止时间前提交有效投标文件的投标人名称；</w:t>
      </w:r>
    </w:p>
    <w:p w14:paraId="3C00C543">
      <w:pPr>
        <w:ind w:firstLine="420"/>
        <w:rPr>
          <w:rFonts w:ascii="宋体" w:hAnsi="宋体"/>
          <w:color w:val="auto"/>
          <w:szCs w:val="21"/>
        </w:rPr>
      </w:pPr>
      <w:r>
        <w:rPr>
          <w:rFonts w:ascii="宋体" w:hAnsi="宋体"/>
          <w:color w:val="auto"/>
          <w:szCs w:val="21"/>
        </w:rPr>
        <w:t>5.2.3宣布主持人、唱标人、记录人、监标人等有关人员姓名；</w:t>
      </w:r>
    </w:p>
    <w:p w14:paraId="1BD627B6">
      <w:pPr>
        <w:ind w:firstLine="420"/>
        <w:rPr>
          <w:rFonts w:ascii="宋体" w:hAnsi="宋体"/>
          <w:color w:val="auto"/>
          <w:szCs w:val="21"/>
        </w:rPr>
      </w:pPr>
      <w:r>
        <w:rPr>
          <w:rFonts w:ascii="宋体" w:hAnsi="宋体"/>
          <w:color w:val="auto"/>
          <w:szCs w:val="21"/>
        </w:rPr>
        <w:t>5.2.4宣布对投标文件的密封情况验查结果；</w:t>
      </w:r>
    </w:p>
    <w:p w14:paraId="2B441F6A">
      <w:pPr>
        <w:ind w:firstLine="420"/>
        <w:rPr>
          <w:rFonts w:ascii="宋体" w:hAnsi="宋体"/>
          <w:color w:val="auto"/>
          <w:szCs w:val="21"/>
        </w:rPr>
      </w:pPr>
      <w:r>
        <w:rPr>
          <w:rFonts w:ascii="宋体" w:hAnsi="宋体"/>
          <w:color w:val="auto"/>
          <w:szCs w:val="21"/>
        </w:rPr>
        <w:t>5.2.5按照投标人须知前附表规定宣布投标文件的拆封顺序；</w:t>
      </w:r>
    </w:p>
    <w:p w14:paraId="64A229B0">
      <w:pPr>
        <w:ind w:firstLine="420"/>
        <w:rPr>
          <w:rFonts w:ascii="宋体" w:hAnsi="宋体"/>
          <w:color w:val="auto"/>
          <w:szCs w:val="21"/>
        </w:rPr>
      </w:pPr>
      <w:r>
        <w:rPr>
          <w:rFonts w:ascii="宋体" w:hAnsi="宋体"/>
          <w:color w:val="auto"/>
          <w:szCs w:val="21"/>
        </w:rPr>
        <w:t>5.2.6按照宣布的开标顺序当众开标并记录在案；</w:t>
      </w:r>
    </w:p>
    <w:p w14:paraId="12F1641D">
      <w:pPr>
        <w:ind w:firstLine="420"/>
        <w:rPr>
          <w:rFonts w:ascii="宋体" w:hAnsi="宋体"/>
          <w:color w:val="auto"/>
          <w:szCs w:val="21"/>
        </w:rPr>
      </w:pPr>
      <w:r>
        <w:rPr>
          <w:rFonts w:ascii="宋体" w:hAnsi="宋体"/>
          <w:color w:val="auto"/>
          <w:szCs w:val="21"/>
        </w:rPr>
        <w:t>5.2.7投标人代表、招标人代表、监标人、记录人等有关人员在开标记录上签字确认；</w:t>
      </w:r>
    </w:p>
    <w:p w14:paraId="182DA985">
      <w:pPr>
        <w:ind w:firstLine="420"/>
        <w:rPr>
          <w:rFonts w:ascii="宋体" w:hAnsi="宋体"/>
          <w:color w:val="auto"/>
          <w:szCs w:val="21"/>
        </w:rPr>
      </w:pPr>
      <w:r>
        <w:rPr>
          <w:rFonts w:ascii="宋体" w:hAnsi="宋体"/>
          <w:color w:val="auto"/>
          <w:szCs w:val="21"/>
        </w:rPr>
        <w:t>5.2.8开标结束。</w:t>
      </w:r>
    </w:p>
    <w:p w14:paraId="633CCEA5">
      <w:pPr>
        <w:pStyle w:val="344"/>
        <w:widowControl w:val="0"/>
        <w:autoSpaceDE w:val="0"/>
        <w:autoSpaceDN w:val="0"/>
        <w:adjustRightInd w:val="0"/>
        <w:snapToGrid w:val="0"/>
        <w:ind w:firstLine="0" w:firstLineChars="0"/>
        <w:jc w:val="left"/>
        <w:rPr>
          <w:rFonts w:ascii="宋体" w:hAnsi="宋体"/>
          <w:color w:val="auto"/>
          <w:szCs w:val="21"/>
        </w:rPr>
      </w:pPr>
    </w:p>
    <w:p w14:paraId="1FF2B817">
      <w:pPr>
        <w:pStyle w:val="344"/>
        <w:widowControl w:val="0"/>
        <w:numPr>
          <w:ilvl w:val="0"/>
          <w:numId w:val="4"/>
        </w:numPr>
        <w:autoSpaceDE w:val="0"/>
        <w:autoSpaceDN w:val="0"/>
        <w:adjustRightInd w:val="0"/>
        <w:snapToGrid w:val="0"/>
        <w:ind w:firstLineChars="0"/>
        <w:jc w:val="left"/>
        <w:rPr>
          <w:rFonts w:ascii="宋体" w:hAnsi="宋体"/>
          <w:b/>
          <w:color w:val="auto"/>
          <w:szCs w:val="21"/>
        </w:rPr>
      </w:pPr>
      <w:bookmarkStart w:id="192" w:name="_Toc152045562"/>
      <w:bookmarkStart w:id="193" w:name="_Toc144974530"/>
      <w:bookmarkStart w:id="194" w:name="_Toc152042338"/>
      <w:r>
        <w:rPr>
          <w:rFonts w:hint="eastAsia" w:ascii="宋体" w:hAnsi="宋体"/>
          <w:b/>
          <w:color w:val="auto"/>
          <w:szCs w:val="21"/>
        </w:rPr>
        <w:t>评标</w:t>
      </w:r>
      <w:bookmarkEnd w:id="192"/>
      <w:bookmarkEnd w:id="193"/>
      <w:bookmarkEnd w:id="194"/>
    </w:p>
    <w:p w14:paraId="09606518">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195" w:name="_Toc144974531"/>
      <w:bookmarkStart w:id="196" w:name="_Toc332121746"/>
      <w:bookmarkStart w:id="197" w:name="_Toc152042339"/>
      <w:bookmarkStart w:id="198" w:name="_Toc330213978"/>
      <w:bookmarkStart w:id="199" w:name="_Toc152045563"/>
      <w:bookmarkStart w:id="200" w:name="_Toc403513525"/>
      <w:r>
        <w:rPr>
          <w:rFonts w:hint="eastAsia" w:ascii="宋体" w:hAnsi="宋体"/>
          <w:b/>
          <w:color w:val="auto"/>
          <w:szCs w:val="21"/>
        </w:rPr>
        <w:t>评标委员会</w:t>
      </w:r>
      <w:bookmarkEnd w:id="195"/>
      <w:bookmarkEnd w:id="196"/>
      <w:bookmarkEnd w:id="197"/>
      <w:bookmarkEnd w:id="198"/>
      <w:bookmarkEnd w:id="199"/>
      <w:bookmarkEnd w:id="200"/>
    </w:p>
    <w:p w14:paraId="678C7DB8">
      <w:pPr>
        <w:pStyle w:val="344"/>
        <w:widowControl w:val="0"/>
        <w:numPr>
          <w:ilvl w:val="2"/>
          <w:numId w:val="4"/>
        </w:numPr>
        <w:autoSpaceDE w:val="0"/>
        <w:autoSpaceDN w:val="0"/>
        <w:adjustRightInd w:val="0"/>
        <w:snapToGrid w:val="0"/>
        <w:ind w:firstLineChars="0"/>
        <w:jc w:val="left"/>
        <w:rPr>
          <w:rFonts w:ascii="宋体" w:hAnsi="宋体"/>
          <w:color w:val="auto"/>
          <w:szCs w:val="21"/>
          <w:highlight w:val="none"/>
        </w:rPr>
      </w:pPr>
      <w:r>
        <w:rPr>
          <w:rFonts w:ascii="宋体" w:hAnsi="宋体"/>
          <w:color w:val="auto"/>
          <w:szCs w:val="21"/>
          <w:highlight w:val="none"/>
        </w:rPr>
        <w:t>招标人</w:t>
      </w:r>
      <w:r>
        <w:rPr>
          <w:rFonts w:hint="eastAsia" w:ascii="宋体" w:hAnsi="宋体"/>
          <w:color w:val="auto"/>
          <w:szCs w:val="21"/>
          <w:highlight w:val="none"/>
        </w:rPr>
        <w:t>将</w:t>
      </w:r>
      <w:r>
        <w:rPr>
          <w:rFonts w:ascii="宋体" w:hAnsi="宋体"/>
          <w:color w:val="auto"/>
          <w:szCs w:val="21"/>
          <w:highlight w:val="none"/>
        </w:rPr>
        <w:t>依法组</w:t>
      </w:r>
      <w:r>
        <w:rPr>
          <w:rFonts w:hint="eastAsia" w:ascii="宋体" w:hAnsi="宋体"/>
          <w:color w:val="auto"/>
          <w:szCs w:val="21"/>
          <w:highlight w:val="none"/>
        </w:rPr>
        <w:t>建</w:t>
      </w:r>
      <w:r>
        <w:rPr>
          <w:rFonts w:ascii="宋体" w:hAnsi="宋体"/>
          <w:color w:val="auto"/>
          <w:szCs w:val="21"/>
          <w:highlight w:val="none"/>
        </w:rPr>
        <w:t>评标委员会，</w:t>
      </w:r>
      <w:r>
        <w:rPr>
          <w:rFonts w:hint="eastAsia" w:ascii="宋体" w:hAnsi="宋体"/>
          <w:color w:val="auto"/>
          <w:szCs w:val="21"/>
          <w:highlight w:val="none"/>
        </w:rPr>
        <w:t>通常情况下，</w:t>
      </w:r>
      <w:r>
        <w:rPr>
          <w:rFonts w:ascii="宋体" w:hAnsi="宋体"/>
          <w:color w:val="auto"/>
          <w:szCs w:val="21"/>
          <w:highlight w:val="none"/>
        </w:rPr>
        <w:t>评标委员会为</w:t>
      </w:r>
      <w:r>
        <w:rPr>
          <w:rFonts w:hint="eastAsia" w:ascii="宋体" w:hAnsi="宋体"/>
          <w:color w:val="auto"/>
          <w:szCs w:val="21"/>
          <w:highlight w:val="none"/>
        </w:rPr>
        <w:t>五</w:t>
      </w:r>
      <w:r>
        <w:rPr>
          <w:rFonts w:ascii="宋体" w:hAnsi="宋体"/>
          <w:color w:val="auto"/>
          <w:szCs w:val="21"/>
          <w:highlight w:val="none"/>
        </w:rPr>
        <w:t>人</w:t>
      </w:r>
      <w:r>
        <w:rPr>
          <w:rFonts w:hint="eastAsia" w:ascii="宋体" w:hAnsi="宋体"/>
          <w:color w:val="auto"/>
          <w:szCs w:val="21"/>
          <w:highlight w:val="none"/>
        </w:rPr>
        <w:t>（含）以上单数。</w:t>
      </w:r>
      <w:r>
        <w:rPr>
          <w:rFonts w:ascii="宋体" w:hAnsi="宋体"/>
          <w:color w:val="auto"/>
          <w:szCs w:val="21"/>
          <w:highlight w:val="none"/>
        </w:rPr>
        <w:t>与投标人有利害关系的</w:t>
      </w:r>
      <w:r>
        <w:rPr>
          <w:rFonts w:hint="eastAsia" w:ascii="宋体" w:hAnsi="宋体"/>
          <w:color w:val="auto"/>
          <w:szCs w:val="21"/>
          <w:highlight w:val="none"/>
        </w:rPr>
        <w:t>成员应当回避</w:t>
      </w:r>
      <w:r>
        <w:rPr>
          <w:rFonts w:ascii="宋体" w:hAnsi="宋体"/>
          <w:color w:val="auto"/>
          <w:szCs w:val="21"/>
          <w:highlight w:val="none"/>
        </w:rPr>
        <w:t>。</w:t>
      </w:r>
    </w:p>
    <w:p w14:paraId="1CB7E682">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评标委员会成员有下列情形之一的，应当回避：</w:t>
      </w:r>
    </w:p>
    <w:p w14:paraId="15F7F66C">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招标人或投标人的主要负责人的近亲属；</w:t>
      </w:r>
    </w:p>
    <w:p w14:paraId="5A85740C">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项目主管部门或者行政监督部门的人员；</w:t>
      </w:r>
    </w:p>
    <w:p w14:paraId="072AD74D">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与投标人有经济利益关系，可能影响对投标公正评审的；</w:t>
      </w:r>
    </w:p>
    <w:p w14:paraId="6DBE9CF5">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曾因在招标、评标以及其他与招标投标有关活动中从事违法行为而受过行政处罚或刑事处罚的；</w:t>
      </w:r>
    </w:p>
    <w:p w14:paraId="42EF7575">
      <w:pPr>
        <w:pStyle w:val="344"/>
        <w:widowControl w:val="0"/>
        <w:numPr>
          <w:ilvl w:val="3"/>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与投标人有其他利害关系。</w:t>
      </w:r>
    </w:p>
    <w:p w14:paraId="5176A2D6">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pacing w:val="-4"/>
          <w:szCs w:val="21"/>
        </w:rPr>
        <w:t>评标过程中，评标委员会成员有回避事由、擅离职守或者因健康等原因不能继续评标</w:t>
      </w:r>
      <w:r>
        <w:rPr>
          <w:rFonts w:ascii="宋体" w:hAnsi="宋体"/>
          <w:color w:val="auto"/>
          <w:spacing w:val="-1"/>
          <w:szCs w:val="21"/>
        </w:rPr>
        <w:t>的，招标人有权更换。被更换的评标委员会成员作出的评审结论无效，由更换后的评标委员会</w:t>
      </w:r>
      <w:r>
        <w:rPr>
          <w:rFonts w:ascii="宋体" w:hAnsi="宋体"/>
          <w:color w:val="auto"/>
          <w:szCs w:val="21"/>
        </w:rPr>
        <w:t>成员重新进行评审。</w:t>
      </w:r>
    </w:p>
    <w:p w14:paraId="36761581">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201" w:name="_Toc403513526"/>
      <w:bookmarkStart w:id="202" w:name="_Toc330213979"/>
      <w:bookmarkStart w:id="203" w:name="_Toc144974532"/>
      <w:bookmarkStart w:id="204" w:name="_Toc332121747"/>
      <w:bookmarkStart w:id="205" w:name="_Toc152042340"/>
      <w:bookmarkStart w:id="206" w:name="_Toc152045564"/>
      <w:r>
        <w:rPr>
          <w:rFonts w:hint="eastAsia" w:ascii="宋体" w:hAnsi="宋体"/>
          <w:b/>
          <w:color w:val="auto"/>
          <w:szCs w:val="21"/>
        </w:rPr>
        <w:t>评标原则</w:t>
      </w:r>
      <w:bookmarkEnd w:id="201"/>
      <w:bookmarkEnd w:id="202"/>
      <w:bookmarkEnd w:id="203"/>
      <w:bookmarkEnd w:id="204"/>
      <w:bookmarkEnd w:id="205"/>
      <w:bookmarkEnd w:id="206"/>
      <w:r>
        <w:rPr>
          <w:rFonts w:ascii="宋体" w:hAnsi="宋体"/>
          <w:b/>
          <w:color w:val="auto"/>
          <w:szCs w:val="21"/>
        </w:rPr>
        <w:tab/>
      </w:r>
    </w:p>
    <w:p w14:paraId="5A358F58">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评标活动遵循公平、公正、科学和择优的原则。</w:t>
      </w:r>
    </w:p>
    <w:p w14:paraId="42E29763">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207" w:name="_Toc144974533"/>
      <w:bookmarkStart w:id="208" w:name="_Toc152042341"/>
      <w:bookmarkStart w:id="209" w:name="_Toc403513527"/>
      <w:bookmarkStart w:id="210" w:name="_Toc332121748"/>
      <w:bookmarkStart w:id="211" w:name="_Toc152045565"/>
      <w:bookmarkStart w:id="212" w:name="_Toc330213980"/>
      <w:r>
        <w:rPr>
          <w:rFonts w:hint="eastAsia" w:ascii="宋体" w:hAnsi="宋体"/>
          <w:b/>
          <w:color w:val="auto"/>
          <w:szCs w:val="21"/>
        </w:rPr>
        <w:t>评标</w:t>
      </w:r>
      <w:bookmarkEnd w:id="207"/>
      <w:bookmarkEnd w:id="208"/>
      <w:bookmarkEnd w:id="209"/>
      <w:bookmarkEnd w:id="210"/>
      <w:bookmarkEnd w:id="211"/>
      <w:bookmarkEnd w:id="212"/>
    </w:p>
    <w:p w14:paraId="2D5C7629">
      <w:pPr>
        <w:pStyle w:val="344"/>
        <w:widowControl w:val="0"/>
        <w:numPr>
          <w:ilvl w:val="2"/>
          <w:numId w:val="4"/>
        </w:numPr>
        <w:autoSpaceDE w:val="0"/>
        <w:autoSpaceDN w:val="0"/>
        <w:adjustRightInd w:val="0"/>
        <w:snapToGrid w:val="0"/>
        <w:ind w:firstLineChars="0"/>
        <w:jc w:val="left"/>
        <w:rPr>
          <w:rFonts w:ascii="宋体" w:hAnsi="宋体"/>
          <w:color w:val="auto"/>
          <w:spacing w:val="-2"/>
          <w:szCs w:val="21"/>
        </w:rPr>
      </w:pPr>
      <w:bookmarkStart w:id="213" w:name="_Toc152045566"/>
      <w:bookmarkStart w:id="214" w:name="_Toc144974534"/>
      <w:bookmarkStart w:id="215" w:name="_Toc152042342"/>
      <w:r>
        <w:rPr>
          <w:rFonts w:ascii="宋体" w:hAnsi="宋体"/>
          <w:color w:val="auto"/>
          <w:szCs w:val="21"/>
        </w:rPr>
        <w:t>评标委员会按照投标人须知前附表</w:t>
      </w:r>
      <w:r>
        <w:rPr>
          <w:rFonts w:hint="eastAsia" w:ascii="宋体" w:hAnsi="宋体"/>
          <w:color w:val="auto"/>
          <w:szCs w:val="21"/>
        </w:rPr>
        <w:t>和</w:t>
      </w:r>
      <w:r>
        <w:rPr>
          <w:rFonts w:ascii="宋体" w:hAnsi="宋体"/>
          <w:color w:val="auto"/>
          <w:szCs w:val="21"/>
        </w:rPr>
        <w:t>第</w:t>
      </w:r>
      <w:r>
        <w:rPr>
          <w:rFonts w:hint="eastAsia" w:ascii="宋体" w:hAnsi="宋体"/>
          <w:color w:val="auto"/>
          <w:szCs w:val="21"/>
        </w:rPr>
        <w:t>二</w:t>
      </w:r>
      <w:r>
        <w:rPr>
          <w:rFonts w:ascii="宋体" w:hAnsi="宋体"/>
          <w:color w:val="auto"/>
          <w:szCs w:val="21"/>
        </w:rPr>
        <w:t>章“评</w:t>
      </w:r>
      <w:r>
        <w:rPr>
          <w:rFonts w:hint="eastAsia" w:ascii="宋体" w:hAnsi="宋体"/>
          <w:color w:val="auto"/>
          <w:szCs w:val="21"/>
        </w:rPr>
        <w:t>定</w:t>
      </w:r>
      <w:r>
        <w:rPr>
          <w:rFonts w:ascii="宋体" w:hAnsi="宋体"/>
          <w:color w:val="auto"/>
          <w:szCs w:val="21"/>
        </w:rPr>
        <w:t>标办法”规定的方法、评审因素、标准和程序对投标文</w:t>
      </w:r>
      <w:r>
        <w:rPr>
          <w:rFonts w:ascii="宋体" w:hAnsi="宋体"/>
          <w:color w:val="auto"/>
          <w:spacing w:val="-2"/>
          <w:szCs w:val="21"/>
        </w:rPr>
        <w:t>件进行评审。第</w:t>
      </w:r>
      <w:r>
        <w:rPr>
          <w:rFonts w:hint="eastAsia" w:ascii="宋体" w:hAnsi="宋体"/>
          <w:color w:val="auto"/>
          <w:spacing w:val="-2"/>
          <w:szCs w:val="21"/>
        </w:rPr>
        <w:t>二</w:t>
      </w:r>
      <w:r>
        <w:rPr>
          <w:rFonts w:ascii="宋体" w:hAnsi="宋体"/>
          <w:color w:val="auto"/>
          <w:spacing w:val="-2"/>
          <w:szCs w:val="21"/>
        </w:rPr>
        <w:t>章“评</w:t>
      </w:r>
      <w:r>
        <w:rPr>
          <w:rFonts w:hint="eastAsia" w:ascii="宋体" w:hAnsi="宋体"/>
          <w:color w:val="auto"/>
          <w:spacing w:val="-2"/>
          <w:szCs w:val="21"/>
        </w:rPr>
        <w:t>定</w:t>
      </w:r>
      <w:r>
        <w:rPr>
          <w:rFonts w:ascii="宋体" w:hAnsi="宋体"/>
          <w:color w:val="auto"/>
          <w:spacing w:val="-2"/>
          <w:szCs w:val="21"/>
        </w:rPr>
        <w:t>标办法”没有规定的方法、评审因素和标准，不作为评标依据。</w:t>
      </w:r>
    </w:p>
    <w:p w14:paraId="49F15009">
      <w:pPr>
        <w:pStyle w:val="344"/>
        <w:widowControl w:val="0"/>
        <w:numPr>
          <w:ilvl w:val="2"/>
          <w:numId w:val="4"/>
        </w:numPr>
        <w:autoSpaceDE w:val="0"/>
        <w:autoSpaceDN w:val="0"/>
        <w:adjustRightInd w:val="0"/>
        <w:snapToGrid w:val="0"/>
        <w:ind w:firstLineChars="0"/>
        <w:jc w:val="left"/>
        <w:rPr>
          <w:rFonts w:ascii="宋体" w:hAnsi="宋体"/>
          <w:color w:val="auto"/>
          <w:spacing w:val="-2"/>
          <w:szCs w:val="21"/>
        </w:rPr>
      </w:pPr>
      <w:r>
        <w:rPr>
          <w:rFonts w:ascii="宋体" w:hAnsi="宋体"/>
          <w:color w:val="auto"/>
          <w:szCs w:val="21"/>
        </w:rPr>
        <w:t>评标完成后，评标委员会评标报告和中标候选人名单。评标</w:t>
      </w:r>
      <w:r>
        <w:rPr>
          <w:rFonts w:ascii="宋体" w:hAnsi="宋体"/>
          <w:color w:val="auto"/>
          <w:spacing w:val="-2"/>
          <w:szCs w:val="21"/>
        </w:rPr>
        <w:t>委员会推荐中标候选人的人数见投标人须知前附表。</w:t>
      </w:r>
    </w:p>
    <w:p w14:paraId="1D74623F">
      <w:pPr>
        <w:pStyle w:val="344"/>
        <w:widowControl w:val="0"/>
        <w:autoSpaceDE w:val="0"/>
        <w:autoSpaceDN w:val="0"/>
        <w:adjustRightInd w:val="0"/>
        <w:snapToGrid w:val="0"/>
        <w:ind w:firstLine="0" w:firstLineChars="0"/>
        <w:jc w:val="left"/>
        <w:rPr>
          <w:rFonts w:ascii="宋体" w:hAnsi="宋体"/>
          <w:color w:val="auto"/>
          <w:spacing w:val="-2"/>
          <w:szCs w:val="21"/>
        </w:rPr>
      </w:pPr>
    </w:p>
    <w:bookmarkEnd w:id="213"/>
    <w:bookmarkEnd w:id="214"/>
    <w:bookmarkEnd w:id="215"/>
    <w:p w14:paraId="62A16F0D">
      <w:pPr>
        <w:pStyle w:val="344"/>
        <w:widowControl w:val="0"/>
        <w:numPr>
          <w:ilvl w:val="0"/>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定标</w:t>
      </w:r>
    </w:p>
    <w:p w14:paraId="5A0008EB">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216" w:name="_Toc403513529"/>
      <w:bookmarkStart w:id="217" w:name="_Toc152045567"/>
      <w:bookmarkStart w:id="218" w:name="_Toc152042343"/>
      <w:bookmarkStart w:id="219" w:name="_Toc330213982"/>
      <w:bookmarkStart w:id="220" w:name="_Toc332121750"/>
      <w:bookmarkStart w:id="221" w:name="_Toc144974535"/>
      <w:r>
        <w:rPr>
          <w:rFonts w:hint="eastAsia" w:ascii="宋体" w:hAnsi="宋体"/>
          <w:b/>
          <w:color w:val="auto"/>
          <w:szCs w:val="21"/>
        </w:rPr>
        <w:t>定标方式</w:t>
      </w:r>
      <w:bookmarkEnd w:id="216"/>
      <w:bookmarkEnd w:id="217"/>
      <w:bookmarkEnd w:id="218"/>
      <w:bookmarkEnd w:id="219"/>
      <w:bookmarkEnd w:id="220"/>
      <w:bookmarkEnd w:id="221"/>
    </w:p>
    <w:p w14:paraId="428E36EB">
      <w:pPr>
        <w:pStyle w:val="344"/>
        <w:widowControl w:val="0"/>
        <w:numPr>
          <w:ilvl w:val="2"/>
          <w:numId w:val="4"/>
        </w:numPr>
        <w:autoSpaceDE w:val="0"/>
        <w:autoSpaceDN w:val="0"/>
        <w:adjustRightInd w:val="0"/>
        <w:snapToGrid w:val="0"/>
        <w:ind w:firstLineChars="0"/>
        <w:jc w:val="left"/>
        <w:rPr>
          <w:rFonts w:ascii="宋体" w:hAnsi="宋体"/>
          <w:b/>
          <w:color w:val="auto"/>
          <w:szCs w:val="21"/>
        </w:rPr>
      </w:pPr>
      <w:r>
        <w:rPr>
          <w:rFonts w:hint="eastAsia" w:ascii="宋体" w:hAnsi="宋体"/>
          <w:color w:val="auto"/>
          <w:szCs w:val="21"/>
        </w:rPr>
        <w:t>除投标人须知前附表规定评标委员会直接确定中标人外，招标人依据评标委员会推荐的中标候选人确定中标人。定标方法及定标程序详见投标人须知前附表。</w:t>
      </w:r>
    </w:p>
    <w:p w14:paraId="1E3AD95E">
      <w:pPr>
        <w:pStyle w:val="344"/>
        <w:widowControl w:val="0"/>
        <w:numPr>
          <w:ilvl w:val="1"/>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中标公示</w:t>
      </w:r>
    </w:p>
    <w:p w14:paraId="346C9580">
      <w:pPr>
        <w:pStyle w:val="344"/>
        <w:widowControl w:val="0"/>
        <w:numPr>
          <w:ilvl w:val="2"/>
          <w:numId w:val="4"/>
        </w:numPr>
        <w:autoSpaceDE w:val="0"/>
        <w:autoSpaceDN w:val="0"/>
        <w:adjustRightInd w:val="0"/>
        <w:snapToGrid w:val="0"/>
        <w:ind w:firstLineChars="0"/>
        <w:jc w:val="left"/>
        <w:rPr>
          <w:rFonts w:ascii="宋体" w:hAnsi="宋体"/>
          <w:color w:val="auto"/>
          <w:szCs w:val="21"/>
        </w:rPr>
      </w:pPr>
      <w:bookmarkStart w:id="222" w:name="_Hlk46483503"/>
      <w:r>
        <w:rPr>
          <w:rFonts w:hint="eastAsia" w:ascii="宋体" w:hAnsi="宋体"/>
          <w:color w:val="auto"/>
          <w:szCs w:val="21"/>
        </w:rPr>
        <w:t>招标人在确定中标结果后，按照投标人须知前附表规定的媒介公示中标候选人，公示期不得少于3天。</w:t>
      </w:r>
    </w:p>
    <w:p w14:paraId="47FFAFDD">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中标候选人公示期满且无异议，按照投标人须知前附表规定的媒介公告中标结果。</w:t>
      </w:r>
      <w:bookmarkEnd w:id="222"/>
    </w:p>
    <w:p w14:paraId="38FF52F5">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223" w:name="_Toc152045568"/>
      <w:bookmarkStart w:id="224" w:name="_Toc144974536"/>
      <w:bookmarkStart w:id="225" w:name="_Toc152042344"/>
      <w:r>
        <w:rPr>
          <w:rFonts w:ascii="宋体" w:hAnsi="宋体"/>
          <w:b/>
          <w:color w:val="auto"/>
          <w:szCs w:val="21"/>
        </w:rPr>
        <w:t>评标结果异议</w:t>
      </w:r>
    </w:p>
    <w:p w14:paraId="77DDFF56">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投标人或者其他利害关系人对</w:t>
      </w:r>
      <w:bookmarkStart w:id="226" w:name="_Hlk46483513"/>
      <w:r>
        <w:rPr>
          <w:rFonts w:ascii="宋体" w:hAnsi="宋体"/>
          <w:color w:val="auto"/>
          <w:szCs w:val="21"/>
        </w:rPr>
        <w:t>评</w:t>
      </w:r>
      <w:r>
        <w:rPr>
          <w:rFonts w:hint="eastAsia" w:ascii="宋体" w:hAnsi="宋体"/>
          <w:color w:val="auto"/>
          <w:szCs w:val="21"/>
        </w:rPr>
        <w:t>标或定</w:t>
      </w:r>
      <w:r>
        <w:rPr>
          <w:rFonts w:ascii="宋体" w:hAnsi="宋体"/>
          <w:color w:val="auto"/>
          <w:szCs w:val="21"/>
        </w:rPr>
        <w:t>标</w:t>
      </w:r>
      <w:bookmarkEnd w:id="226"/>
      <w:r>
        <w:rPr>
          <w:rFonts w:ascii="宋体" w:hAnsi="宋体"/>
          <w:color w:val="auto"/>
          <w:szCs w:val="21"/>
        </w:rPr>
        <w:t>结果有异议的，应当在中标候选人公示期间提出。</w:t>
      </w:r>
    </w:p>
    <w:p w14:paraId="0E38BAB8">
      <w:pPr>
        <w:pStyle w:val="344"/>
        <w:widowControl w:val="0"/>
        <w:autoSpaceDE w:val="0"/>
        <w:autoSpaceDN w:val="0"/>
        <w:adjustRightInd w:val="0"/>
        <w:snapToGrid w:val="0"/>
        <w:ind w:firstLine="0" w:firstLineChars="0"/>
        <w:jc w:val="left"/>
        <w:rPr>
          <w:rFonts w:ascii="宋体" w:hAnsi="宋体"/>
          <w:color w:val="auto"/>
          <w:szCs w:val="21"/>
        </w:rPr>
      </w:pPr>
    </w:p>
    <w:p w14:paraId="6AB48413">
      <w:pPr>
        <w:pStyle w:val="344"/>
        <w:widowControl w:val="0"/>
        <w:numPr>
          <w:ilvl w:val="0"/>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合同授予</w:t>
      </w:r>
      <w:bookmarkStart w:id="227" w:name="_Toc403513530"/>
      <w:bookmarkStart w:id="228" w:name="_Toc332121751"/>
      <w:bookmarkStart w:id="229" w:name="_Toc330213983"/>
    </w:p>
    <w:p w14:paraId="60172386">
      <w:pPr>
        <w:pStyle w:val="344"/>
        <w:widowControl w:val="0"/>
        <w:numPr>
          <w:ilvl w:val="1"/>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履约能力的审查</w:t>
      </w:r>
      <w:bookmarkEnd w:id="227"/>
      <w:bookmarkEnd w:id="228"/>
      <w:bookmarkEnd w:id="229"/>
    </w:p>
    <w:p w14:paraId="1163291E">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招标人在发出中标通知书之前的任何时候，均有对中标候选人履约能力进行审查的权利，包括审查中标候选人资信情况的有关原件、经营状况、服务能力等招标人认为可能影响投标人履约的相关材料，投标人须无条件配合招标人的相关审查工作。审查不合格的或不配合审查的，原评标委员会将重新审查其中标候选人资格。</w:t>
      </w:r>
    </w:p>
    <w:p w14:paraId="30D94BFA">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230" w:name="_Toc403513531"/>
      <w:bookmarkStart w:id="231" w:name="_Toc330213984"/>
      <w:bookmarkStart w:id="232" w:name="_Toc332121752"/>
      <w:r>
        <w:rPr>
          <w:rFonts w:hint="eastAsia" w:ascii="宋体" w:hAnsi="宋体"/>
          <w:b/>
          <w:color w:val="auto"/>
          <w:szCs w:val="21"/>
        </w:rPr>
        <w:t>中标通知</w:t>
      </w:r>
      <w:bookmarkEnd w:id="223"/>
      <w:bookmarkEnd w:id="224"/>
      <w:bookmarkEnd w:id="225"/>
      <w:bookmarkEnd w:id="230"/>
      <w:bookmarkEnd w:id="231"/>
      <w:bookmarkEnd w:id="232"/>
    </w:p>
    <w:p w14:paraId="0BAC3EE5">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在投标有效期内，招标人向中标人发出中标通知书，同时将中标结果通知未中标的投标人。</w:t>
      </w:r>
    </w:p>
    <w:p w14:paraId="3D9C6DF5">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233" w:name="_Toc330213985"/>
      <w:bookmarkStart w:id="234" w:name="_Toc152045569"/>
      <w:bookmarkStart w:id="235" w:name="_Toc144974537"/>
      <w:bookmarkStart w:id="236" w:name="_Toc332121753"/>
      <w:bookmarkStart w:id="237" w:name="_Toc152042345"/>
      <w:bookmarkStart w:id="238" w:name="_Toc403513532"/>
      <w:r>
        <w:rPr>
          <w:rFonts w:hint="eastAsia" w:ascii="宋体" w:hAnsi="宋体"/>
          <w:b/>
          <w:color w:val="auto"/>
          <w:szCs w:val="21"/>
        </w:rPr>
        <w:t>履约担保</w:t>
      </w:r>
      <w:bookmarkEnd w:id="233"/>
      <w:bookmarkEnd w:id="234"/>
      <w:bookmarkEnd w:id="235"/>
      <w:bookmarkEnd w:id="236"/>
      <w:bookmarkEnd w:id="237"/>
      <w:bookmarkEnd w:id="238"/>
    </w:p>
    <w:p w14:paraId="02378C1D">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在签订合同前，中标人应按投标人须知前附表规定的金额、担保形式和招标文件第三章“合同条款及格式”规定的履约担保格式向招标人提交履约担保。联合体中标的，其履约担保由牵头人递交，并应符合投标人须知前附表规定的金额、担保形式和招标文件第三章“合同条款及格式”规定的履约担保格式要求。</w:t>
      </w:r>
    </w:p>
    <w:p w14:paraId="580E9F40">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中标人不能按本章第8.3.1项要求提交履约担保的，视为放弃中标，其投标保证金不予退还，给招标人造成的损失超过投标保证金数额的，中标人还应当对超过部分予以赔偿。</w:t>
      </w:r>
    </w:p>
    <w:p w14:paraId="6FA91960">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239" w:name="_Toc11464"/>
      <w:bookmarkStart w:id="240" w:name="_Toc152042346"/>
      <w:bookmarkStart w:id="241" w:name="_Toc332121754"/>
      <w:bookmarkStart w:id="242" w:name="_Toc524169011"/>
      <w:bookmarkStart w:id="243" w:name="_Toc144974538"/>
      <w:bookmarkStart w:id="244" w:name="_Toc152045570"/>
      <w:bookmarkStart w:id="245" w:name="_Toc403513533"/>
      <w:bookmarkStart w:id="246" w:name="_Toc525476150"/>
      <w:bookmarkStart w:id="247" w:name="_Toc330213986"/>
      <w:r>
        <w:rPr>
          <w:rFonts w:hint="eastAsia" w:ascii="宋体" w:hAnsi="宋体"/>
          <w:b/>
          <w:color w:val="auto"/>
          <w:szCs w:val="21"/>
        </w:rPr>
        <w:t>签订合同</w:t>
      </w:r>
      <w:bookmarkEnd w:id="239"/>
      <w:bookmarkEnd w:id="240"/>
      <w:bookmarkEnd w:id="241"/>
      <w:bookmarkEnd w:id="242"/>
      <w:bookmarkEnd w:id="243"/>
      <w:bookmarkEnd w:id="244"/>
      <w:bookmarkEnd w:id="245"/>
      <w:bookmarkEnd w:id="246"/>
      <w:bookmarkEnd w:id="247"/>
    </w:p>
    <w:p w14:paraId="1CFA05D0">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招标人和中标人应当在中标通知书发出之日起30日内，根据招标文件和中标人的投标文件订立书面合同。中标人无正当理由</w:t>
      </w:r>
      <w:r>
        <w:rPr>
          <w:rFonts w:hint="eastAsia" w:ascii="宋体" w:hAnsi="宋体"/>
          <w:color w:val="auto"/>
          <w:szCs w:val="21"/>
        </w:rPr>
        <w:t>不与招标人订立</w:t>
      </w:r>
      <w:r>
        <w:rPr>
          <w:rFonts w:ascii="宋体" w:hAnsi="宋体"/>
          <w:color w:val="auto"/>
          <w:szCs w:val="21"/>
        </w:rPr>
        <w:t>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16BFBAF0">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联合体中标的，联合体各方应当共同与招标人签订合同，就中标项目向招标人承担连带责任。</w:t>
      </w:r>
    </w:p>
    <w:p w14:paraId="59A8E02B">
      <w:pPr>
        <w:pStyle w:val="344"/>
        <w:widowControl w:val="0"/>
        <w:numPr>
          <w:ilvl w:val="0"/>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招标失败的情形</w:t>
      </w:r>
    </w:p>
    <w:p w14:paraId="0BE21D4D">
      <w:pPr>
        <w:pStyle w:val="344"/>
        <w:widowControl w:val="0"/>
        <w:autoSpaceDE w:val="0"/>
        <w:autoSpaceDN w:val="0"/>
        <w:adjustRightInd w:val="0"/>
        <w:snapToGrid w:val="0"/>
        <w:ind w:firstLine="0" w:firstLineChars="0"/>
        <w:jc w:val="left"/>
        <w:rPr>
          <w:rFonts w:ascii="宋体" w:hAnsi="宋体"/>
          <w:color w:val="auto"/>
          <w:szCs w:val="21"/>
        </w:rPr>
      </w:pPr>
      <w:bookmarkStart w:id="248" w:name="_Toc144974542"/>
      <w:bookmarkStart w:id="249" w:name="_Toc152045574"/>
      <w:bookmarkStart w:id="250" w:name="_Toc152042350"/>
      <w:r>
        <w:rPr>
          <w:rFonts w:hint="eastAsia" w:ascii="宋体" w:hAnsi="宋体"/>
          <w:color w:val="auto"/>
          <w:szCs w:val="21"/>
        </w:rPr>
        <w:t>发生以下情形的，招标人应当宣布本次招标失败：</w:t>
      </w:r>
    </w:p>
    <w:p w14:paraId="4D1344CC">
      <w:pPr>
        <w:pStyle w:val="344"/>
        <w:widowControl w:val="0"/>
        <w:numPr>
          <w:ilvl w:val="1"/>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因投标人数量不足三家未能达到开标条件的；</w:t>
      </w:r>
    </w:p>
    <w:p w14:paraId="165E056C">
      <w:pPr>
        <w:pStyle w:val="344"/>
        <w:widowControl w:val="0"/>
        <w:numPr>
          <w:ilvl w:val="1"/>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或者评标委员会否决所有投标的；</w:t>
      </w:r>
    </w:p>
    <w:p w14:paraId="162354B0">
      <w:pPr>
        <w:pStyle w:val="344"/>
        <w:widowControl w:val="0"/>
        <w:numPr>
          <w:ilvl w:val="1"/>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或者评标委员会否决一部分投标后其他有效投标不足三个使得投标明显缺乏竞争而否决所有投标的；</w:t>
      </w:r>
    </w:p>
    <w:p w14:paraId="52688BCF">
      <w:pPr>
        <w:pStyle w:val="344"/>
        <w:widowControl w:val="0"/>
        <w:numPr>
          <w:ilvl w:val="1"/>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招标项目发生重大变化，招标人取消采购任务；</w:t>
      </w:r>
    </w:p>
    <w:p w14:paraId="722B39BB">
      <w:pPr>
        <w:pStyle w:val="344"/>
        <w:widowControl w:val="0"/>
        <w:numPr>
          <w:ilvl w:val="1"/>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投标人须知前附表规定的其他情形。</w:t>
      </w:r>
    </w:p>
    <w:p w14:paraId="384E444C">
      <w:pPr>
        <w:pStyle w:val="344"/>
        <w:widowControl w:val="0"/>
        <w:numPr>
          <w:ilvl w:val="0"/>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纪律和监督</w:t>
      </w:r>
      <w:bookmarkEnd w:id="248"/>
      <w:bookmarkEnd w:id="249"/>
      <w:bookmarkEnd w:id="250"/>
    </w:p>
    <w:p w14:paraId="2D31FE30">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251" w:name="_Toc332121759"/>
      <w:bookmarkStart w:id="252" w:name="_Toc403513538"/>
      <w:bookmarkStart w:id="253" w:name="_Toc152045575"/>
      <w:bookmarkStart w:id="254" w:name="_Toc330213991"/>
      <w:bookmarkStart w:id="255" w:name="_Toc144974543"/>
      <w:bookmarkStart w:id="256" w:name="_Toc152042351"/>
      <w:r>
        <w:rPr>
          <w:rFonts w:hint="eastAsia" w:ascii="宋体" w:hAnsi="宋体"/>
          <w:b/>
          <w:color w:val="auto"/>
          <w:szCs w:val="21"/>
        </w:rPr>
        <w:t>对招标人的纪律要求</w:t>
      </w:r>
      <w:bookmarkEnd w:id="251"/>
      <w:bookmarkEnd w:id="252"/>
      <w:bookmarkEnd w:id="253"/>
      <w:bookmarkEnd w:id="254"/>
      <w:bookmarkEnd w:id="255"/>
      <w:bookmarkEnd w:id="256"/>
    </w:p>
    <w:p w14:paraId="56FE08CA">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招标人不得泄漏招标投标活动中应当保密的情况和资料，不得与投标人串通损害国家利益、社会公共利益或者他人合法权益。</w:t>
      </w:r>
    </w:p>
    <w:p w14:paraId="7F14BD48">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257" w:name="_Toc330213992"/>
      <w:bookmarkStart w:id="258" w:name="_Toc152045576"/>
      <w:bookmarkStart w:id="259" w:name="_Toc152042352"/>
      <w:bookmarkStart w:id="260" w:name="_Toc144974544"/>
      <w:bookmarkStart w:id="261" w:name="_Toc403513539"/>
      <w:bookmarkStart w:id="262" w:name="_Toc332121760"/>
      <w:r>
        <w:rPr>
          <w:rFonts w:hint="eastAsia" w:ascii="宋体" w:hAnsi="宋体"/>
          <w:b/>
          <w:color w:val="auto"/>
          <w:szCs w:val="21"/>
        </w:rPr>
        <w:t>对投标人的纪律要求</w:t>
      </w:r>
      <w:bookmarkEnd w:id="257"/>
      <w:bookmarkEnd w:id="258"/>
      <w:bookmarkEnd w:id="259"/>
      <w:bookmarkEnd w:id="260"/>
      <w:bookmarkEnd w:id="261"/>
      <w:bookmarkEnd w:id="262"/>
    </w:p>
    <w:p w14:paraId="3177AF52">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F6234FA">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263" w:name="_Toc403513540"/>
      <w:bookmarkStart w:id="264" w:name="_Toc332121761"/>
      <w:bookmarkStart w:id="265" w:name="_Toc330213993"/>
      <w:bookmarkStart w:id="266" w:name="_Toc144974545"/>
      <w:bookmarkStart w:id="267" w:name="_Toc152045577"/>
      <w:bookmarkStart w:id="268" w:name="_Toc152042353"/>
      <w:r>
        <w:rPr>
          <w:rFonts w:hint="eastAsia" w:ascii="宋体" w:hAnsi="宋体"/>
          <w:b/>
          <w:color w:val="auto"/>
          <w:szCs w:val="21"/>
        </w:rPr>
        <w:t>对评标委员会成员的纪律要求</w:t>
      </w:r>
      <w:bookmarkEnd w:id="263"/>
      <w:bookmarkEnd w:id="264"/>
      <w:bookmarkEnd w:id="265"/>
      <w:bookmarkEnd w:id="266"/>
      <w:bookmarkEnd w:id="267"/>
      <w:bookmarkEnd w:id="268"/>
    </w:p>
    <w:p w14:paraId="2DCDC77B">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二章“评定标办法”没有规定的评审因素和标准进行评标。</w:t>
      </w:r>
    </w:p>
    <w:p w14:paraId="2A0FFA15">
      <w:pPr>
        <w:pStyle w:val="344"/>
        <w:widowControl w:val="0"/>
        <w:numPr>
          <w:ilvl w:val="1"/>
          <w:numId w:val="4"/>
        </w:numPr>
        <w:autoSpaceDE w:val="0"/>
        <w:autoSpaceDN w:val="0"/>
        <w:adjustRightInd w:val="0"/>
        <w:snapToGrid w:val="0"/>
        <w:ind w:firstLineChars="0"/>
        <w:jc w:val="left"/>
        <w:rPr>
          <w:rFonts w:ascii="宋体" w:hAnsi="宋体"/>
          <w:b/>
          <w:color w:val="auto"/>
          <w:szCs w:val="21"/>
        </w:rPr>
      </w:pPr>
      <w:bookmarkStart w:id="269" w:name="_Toc332121762"/>
      <w:bookmarkStart w:id="270" w:name="_Toc403513541"/>
      <w:bookmarkStart w:id="271" w:name="_Toc330213994"/>
      <w:bookmarkStart w:id="272" w:name="_Toc152045578"/>
      <w:bookmarkStart w:id="273" w:name="_Toc152042354"/>
      <w:bookmarkStart w:id="274" w:name="_Toc144974546"/>
      <w:r>
        <w:rPr>
          <w:rFonts w:hint="eastAsia" w:ascii="宋体" w:hAnsi="宋体"/>
          <w:b/>
          <w:color w:val="auto"/>
          <w:szCs w:val="21"/>
        </w:rPr>
        <w:t>对与评标活动有关的工作人员的纪律要求</w:t>
      </w:r>
      <w:bookmarkEnd w:id="269"/>
      <w:bookmarkEnd w:id="270"/>
      <w:bookmarkEnd w:id="271"/>
      <w:bookmarkEnd w:id="272"/>
      <w:bookmarkEnd w:id="273"/>
    </w:p>
    <w:p w14:paraId="0BE8B988">
      <w:pPr>
        <w:pStyle w:val="344"/>
        <w:widowControl w:val="0"/>
        <w:numPr>
          <w:ilvl w:val="2"/>
          <w:numId w:val="4"/>
        </w:numPr>
        <w:autoSpaceDE w:val="0"/>
        <w:autoSpaceDN w:val="0"/>
        <w:adjustRightInd w:val="0"/>
        <w:snapToGrid w:val="0"/>
        <w:ind w:firstLineChars="0"/>
        <w:jc w:val="left"/>
        <w:rPr>
          <w:rFonts w:ascii="宋体" w:hAnsi="宋体"/>
          <w:color w:val="auto"/>
          <w:szCs w:val="21"/>
        </w:rPr>
      </w:pPr>
      <w:bookmarkStart w:id="275" w:name="_Toc152042355"/>
      <w:r>
        <w:rPr>
          <w:rFonts w:hint="eastAsia" w:ascii="宋体" w:hAnsi="宋体"/>
          <w:color w:val="auto"/>
          <w:szCs w:val="21"/>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bookmarkEnd w:id="275"/>
    </w:p>
    <w:p w14:paraId="7363744E">
      <w:pPr>
        <w:pStyle w:val="344"/>
        <w:widowControl w:val="0"/>
        <w:numPr>
          <w:ilvl w:val="1"/>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投诉</w:t>
      </w:r>
    </w:p>
    <w:p w14:paraId="4461680A">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投标人或者其他利害关系人认为招标投标活动不符合法律、行政法规规定的，可以自知道或者应当知道</w:t>
      </w:r>
      <w:r>
        <w:rPr>
          <w:rFonts w:hint="eastAsia" w:ascii="宋体" w:hAnsi="宋体"/>
          <w:color w:val="auto"/>
          <w:szCs w:val="21"/>
        </w:rPr>
        <w:t>之日起</w:t>
      </w:r>
      <w:r>
        <w:rPr>
          <w:rFonts w:ascii="宋体" w:hAnsi="宋体"/>
          <w:color w:val="auto"/>
          <w:szCs w:val="21"/>
        </w:rPr>
        <w:t>10</w:t>
      </w:r>
      <w:r>
        <w:rPr>
          <w:rFonts w:hint="eastAsia" w:ascii="宋体" w:hAnsi="宋体"/>
          <w:color w:val="auto"/>
          <w:szCs w:val="21"/>
        </w:rPr>
        <w:t>日内向</w:t>
      </w:r>
      <w:r>
        <w:rPr>
          <w:rFonts w:ascii="宋体" w:hAnsi="宋体"/>
          <w:color w:val="auto"/>
          <w:szCs w:val="21"/>
        </w:rPr>
        <w:t>投诉</w:t>
      </w:r>
      <w:r>
        <w:rPr>
          <w:rFonts w:hint="eastAsia" w:ascii="宋体" w:hAnsi="宋体"/>
          <w:color w:val="auto"/>
          <w:szCs w:val="21"/>
        </w:rPr>
        <w:t>受理部门提出</w:t>
      </w:r>
      <w:r>
        <w:rPr>
          <w:rFonts w:ascii="宋体" w:hAnsi="宋体"/>
          <w:color w:val="auto"/>
          <w:szCs w:val="21"/>
        </w:rPr>
        <w:t>。投诉应当有明确的请求和必要的证明材料。</w:t>
      </w:r>
    </w:p>
    <w:p w14:paraId="3456888B">
      <w:pPr>
        <w:pStyle w:val="344"/>
        <w:widowControl w:val="0"/>
        <w:numPr>
          <w:ilvl w:val="2"/>
          <w:numId w:val="4"/>
        </w:numPr>
        <w:autoSpaceDE w:val="0"/>
        <w:autoSpaceDN w:val="0"/>
        <w:adjustRightInd w:val="0"/>
        <w:snapToGrid w:val="0"/>
        <w:ind w:firstLineChars="0"/>
        <w:jc w:val="left"/>
        <w:rPr>
          <w:rFonts w:ascii="宋体" w:hAnsi="宋体"/>
          <w:color w:val="auto"/>
          <w:szCs w:val="21"/>
        </w:rPr>
      </w:pPr>
      <w:r>
        <w:rPr>
          <w:rFonts w:ascii="宋体" w:hAnsi="宋体"/>
          <w:color w:val="auto"/>
          <w:szCs w:val="21"/>
        </w:rPr>
        <w:t>投标人或者其他利害关系人对招标文件、开标和评标结果提出投诉的，应当按照投标人须</w:t>
      </w:r>
      <w:r>
        <w:rPr>
          <w:rFonts w:ascii="宋体" w:hAnsi="宋体"/>
          <w:color w:val="auto"/>
          <w:spacing w:val="-3"/>
          <w:szCs w:val="21"/>
        </w:rPr>
        <w:t>知</w:t>
      </w:r>
      <w:r>
        <w:rPr>
          <w:rFonts w:ascii="宋体" w:hAnsi="宋体"/>
          <w:color w:val="auto"/>
          <w:szCs w:val="21"/>
        </w:rPr>
        <w:t>的</w:t>
      </w:r>
      <w:r>
        <w:rPr>
          <w:rFonts w:ascii="宋体" w:hAnsi="宋体"/>
          <w:color w:val="auto"/>
          <w:spacing w:val="-3"/>
          <w:szCs w:val="21"/>
        </w:rPr>
        <w:t>规</w:t>
      </w:r>
      <w:r>
        <w:rPr>
          <w:rFonts w:ascii="宋体" w:hAnsi="宋体"/>
          <w:color w:val="auto"/>
          <w:szCs w:val="21"/>
        </w:rPr>
        <w:t>定</w:t>
      </w:r>
      <w:r>
        <w:rPr>
          <w:rFonts w:ascii="宋体" w:hAnsi="宋体"/>
          <w:color w:val="auto"/>
          <w:spacing w:val="-3"/>
          <w:szCs w:val="21"/>
        </w:rPr>
        <w:t>先</w:t>
      </w:r>
      <w:r>
        <w:rPr>
          <w:rFonts w:ascii="宋体" w:hAnsi="宋体"/>
          <w:color w:val="auto"/>
          <w:szCs w:val="21"/>
        </w:rPr>
        <w:t>向</w:t>
      </w:r>
      <w:r>
        <w:rPr>
          <w:rFonts w:ascii="宋体" w:hAnsi="宋体"/>
          <w:color w:val="auto"/>
          <w:spacing w:val="-3"/>
          <w:szCs w:val="21"/>
        </w:rPr>
        <w:t>招标</w:t>
      </w:r>
      <w:r>
        <w:rPr>
          <w:rFonts w:ascii="宋体" w:hAnsi="宋体"/>
          <w:color w:val="auto"/>
          <w:szCs w:val="21"/>
        </w:rPr>
        <w:t>人提</w:t>
      </w:r>
      <w:r>
        <w:rPr>
          <w:rFonts w:ascii="宋体" w:hAnsi="宋体"/>
          <w:color w:val="auto"/>
          <w:spacing w:val="-3"/>
          <w:szCs w:val="21"/>
        </w:rPr>
        <w:t>出</w:t>
      </w:r>
      <w:r>
        <w:rPr>
          <w:rFonts w:ascii="宋体" w:hAnsi="宋体"/>
          <w:color w:val="auto"/>
          <w:szCs w:val="21"/>
        </w:rPr>
        <w:t>异</w:t>
      </w:r>
      <w:r>
        <w:rPr>
          <w:rFonts w:ascii="宋体" w:hAnsi="宋体"/>
          <w:color w:val="auto"/>
          <w:spacing w:val="-3"/>
          <w:szCs w:val="21"/>
        </w:rPr>
        <w:t>议</w:t>
      </w:r>
      <w:r>
        <w:rPr>
          <w:rFonts w:ascii="宋体" w:hAnsi="宋体"/>
          <w:color w:val="auto"/>
          <w:spacing w:val="-106"/>
          <w:szCs w:val="21"/>
        </w:rPr>
        <w:t>。</w:t>
      </w:r>
      <w:r>
        <w:rPr>
          <w:rFonts w:hint="eastAsia" w:ascii="宋体" w:hAnsi="宋体"/>
          <w:color w:val="auto"/>
          <w:spacing w:val="-3"/>
          <w:szCs w:val="21"/>
        </w:rPr>
        <w:t>。</w:t>
      </w:r>
      <w:bookmarkEnd w:id="274"/>
    </w:p>
    <w:p w14:paraId="23981DB3">
      <w:pPr>
        <w:pStyle w:val="344"/>
        <w:widowControl w:val="0"/>
        <w:autoSpaceDE w:val="0"/>
        <w:autoSpaceDN w:val="0"/>
        <w:adjustRightInd w:val="0"/>
        <w:snapToGrid w:val="0"/>
        <w:ind w:firstLine="0" w:firstLineChars="0"/>
        <w:jc w:val="left"/>
        <w:rPr>
          <w:rFonts w:ascii="宋体" w:hAnsi="宋体"/>
          <w:color w:val="auto"/>
          <w:szCs w:val="21"/>
        </w:rPr>
      </w:pPr>
    </w:p>
    <w:p w14:paraId="71BD3E4C">
      <w:pPr>
        <w:pStyle w:val="344"/>
        <w:widowControl w:val="0"/>
        <w:numPr>
          <w:ilvl w:val="0"/>
          <w:numId w:val="4"/>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需要补充的其他内容</w:t>
      </w:r>
    </w:p>
    <w:p w14:paraId="21F6F9D4">
      <w:pPr>
        <w:pStyle w:val="344"/>
        <w:widowControl w:val="0"/>
        <w:numPr>
          <w:ilvl w:val="1"/>
          <w:numId w:val="4"/>
        </w:numPr>
        <w:autoSpaceDE w:val="0"/>
        <w:autoSpaceDN w:val="0"/>
        <w:adjustRightInd w:val="0"/>
        <w:snapToGrid w:val="0"/>
        <w:ind w:firstLineChars="0"/>
        <w:jc w:val="left"/>
        <w:rPr>
          <w:rFonts w:ascii="宋体" w:hAnsi="宋体"/>
          <w:color w:val="auto"/>
          <w:szCs w:val="21"/>
          <w:shd w:val="clear" w:color="auto" w:fill="FFFF00"/>
        </w:rPr>
      </w:pPr>
      <w:r>
        <w:rPr>
          <w:rFonts w:hint="eastAsia" w:ascii="宋体" w:hAnsi="宋体"/>
          <w:color w:val="auto"/>
          <w:szCs w:val="21"/>
        </w:rPr>
        <w:t>其他内容见投标人须知前附表。</w:t>
      </w:r>
    </w:p>
    <w:bookmarkEnd w:id="47"/>
    <w:bookmarkEnd w:id="144"/>
    <w:bookmarkEnd w:id="145"/>
    <w:bookmarkEnd w:id="146"/>
    <w:bookmarkEnd w:id="147"/>
    <w:bookmarkEnd w:id="148"/>
    <w:bookmarkEnd w:id="149"/>
    <w:p w14:paraId="30040D91">
      <w:pPr>
        <w:widowControl w:val="0"/>
        <w:autoSpaceDE w:val="0"/>
        <w:autoSpaceDN w:val="0"/>
        <w:adjustRightInd w:val="0"/>
        <w:snapToGrid w:val="0"/>
        <w:ind w:firstLine="0" w:firstLineChars="0"/>
        <w:jc w:val="center"/>
        <w:rPr>
          <w:rFonts w:ascii="宋体" w:hAnsi="宋体"/>
          <w:b/>
          <w:color w:val="auto"/>
          <w:sz w:val="32"/>
          <w:szCs w:val="32"/>
        </w:rPr>
      </w:pPr>
      <w:bookmarkStart w:id="276" w:name="_Hlk532141743"/>
      <w:r>
        <w:rPr>
          <w:rFonts w:ascii="宋体" w:hAnsi="宋体"/>
          <w:color w:val="auto"/>
          <w:szCs w:val="21"/>
        </w:rPr>
        <w:br w:type="page"/>
      </w:r>
      <w:r>
        <w:rPr>
          <w:rFonts w:hint="eastAsia" w:ascii="宋体" w:hAnsi="宋体"/>
          <w:b/>
          <w:color w:val="auto"/>
          <w:sz w:val="32"/>
          <w:szCs w:val="32"/>
        </w:rPr>
        <w:t>附件一特别说明</w:t>
      </w:r>
    </w:p>
    <w:p w14:paraId="28BDFE80">
      <w:pPr>
        <w:widowControl w:val="0"/>
        <w:autoSpaceDE w:val="0"/>
        <w:autoSpaceDN w:val="0"/>
        <w:adjustRightInd w:val="0"/>
        <w:snapToGrid w:val="0"/>
        <w:ind w:firstLine="0" w:firstLineChars="0"/>
        <w:jc w:val="left"/>
        <w:rPr>
          <w:rFonts w:ascii="宋体" w:hAnsi="宋体"/>
          <w:color w:val="auto"/>
        </w:rPr>
      </w:pPr>
      <w:r>
        <w:rPr>
          <w:rFonts w:hint="eastAsia" w:ascii="宋体" w:hAnsi="宋体"/>
          <w:color w:val="auto"/>
        </w:rPr>
        <w:t>招标投标分段限时异议的规定：</w:t>
      </w:r>
    </w:p>
    <w:p w14:paraId="7F6D161D">
      <w:pPr>
        <w:widowControl w:val="0"/>
        <w:autoSpaceDE w:val="0"/>
        <w:autoSpaceDN w:val="0"/>
        <w:adjustRightInd w:val="0"/>
        <w:snapToGrid w:val="0"/>
        <w:ind w:firstLine="0" w:firstLineChars="0"/>
        <w:jc w:val="left"/>
        <w:rPr>
          <w:rFonts w:ascii="宋体" w:hAnsi="宋体"/>
          <w:color w:val="auto"/>
        </w:rPr>
      </w:pPr>
      <w:r>
        <w:rPr>
          <w:rFonts w:hint="eastAsia" w:ascii="宋体" w:hAnsi="宋体"/>
          <w:color w:val="auto"/>
        </w:rPr>
        <w:t>（1）为提高招标投标活动效率，本次招标投标各阶段的异议处理按“分段限时异议”原则进行。异议人在知道或者应当知道其权益受到侵害之日起</w:t>
      </w:r>
      <w:r>
        <w:rPr>
          <w:rFonts w:hint="eastAsia" w:ascii="宋体" w:hAnsi="宋体"/>
          <w:color w:val="auto"/>
          <w:lang w:val="en-US" w:eastAsia="zh-CN"/>
        </w:rPr>
        <w:t>五</w:t>
      </w:r>
      <w:r>
        <w:rPr>
          <w:rFonts w:hint="eastAsia" w:ascii="宋体" w:hAnsi="宋体"/>
          <w:color w:val="auto"/>
        </w:rPr>
        <w:t>日内未提出书面异议或超过本规定要求投诉时效的，可以不受理该异议。</w:t>
      </w:r>
    </w:p>
    <w:p w14:paraId="3761242F">
      <w:pPr>
        <w:widowControl w:val="0"/>
        <w:autoSpaceDE w:val="0"/>
        <w:autoSpaceDN w:val="0"/>
        <w:adjustRightInd w:val="0"/>
        <w:snapToGrid w:val="0"/>
        <w:ind w:firstLine="0" w:firstLineChars="0"/>
        <w:jc w:val="left"/>
        <w:rPr>
          <w:rFonts w:ascii="宋体" w:hAnsi="宋体"/>
          <w:color w:val="auto"/>
        </w:rPr>
      </w:pPr>
      <w:r>
        <w:rPr>
          <w:rFonts w:hint="eastAsia" w:ascii="宋体" w:hAnsi="宋体"/>
          <w:color w:val="auto"/>
        </w:rPr>
        <w:t>（2）对招标公告内容的质疑时限：公告发布首日起五日内。</w:t>
      </w:r>
    </w:p>
    <w:p w14:paraId="26FB435C">
      <w:pPr>
        <w:widowControl w:val="0"/>
        <w:autoSpaceDE w:val="0"/>
        <w:autoSpaceDN w:val="0"/>
        <w:adjustRightInd w:val="0"/>
        <w:snapToGrid w:val="0"/>
        <w:ind w:firstLine="0" w:firstLineChars="0"/>
        <w:jc w:val="left"/>
        <w:rPr>
          <w:rFonts w:ascii="宋体" w:hAnsi="宋体"/>
          <w:color w:val="auto"/>
        </w:rPr>
      </w:pPr>
      <w:r>
        <w:rPr>
          <w:rFonts w:hint="eastAsia" w:ascii="宋体" w:hAnsi="宋体"/>
          <w:color w:val="auto"/>
        </w:rPr>
        <w:t>（3）对招标文件内容的质疑时限：提交投标文件截止五日前提出；补遗或答疑文件发出后的下一个工作日内。</w:t>
      </w:r>
    </w:p>
    <w:p w14:paraId="180B8866">
      <w:pPr>
        <w:widowControl w:val="0"/>
        <w:autoSpaceDE w:val="0"/>
        <w:autoSpaceDN w:val="0"/>
        <w:adjustRightInd w:val="0"/>
        <w:snapToGrid w:val="0"/>
        <w:ind w:firstLine="0" w:firstLineChars="0"/>
        <w:jc w:val="left"/>
        <w:rPr>
          <w:rFonts w:ascii="宋体" w:hAnsi="宋体"/>
          <w:color w:val="auto"/>
        </w:rPr>
      </w:pPr>
      <w:r>
        <w:rPr>
          <w:rFonts w:hint="eastAsia" w:ascii="宋体" w:hAnsi="宋体"/>
          <w:color w:val="auto"/>
        </w:rPr>
        <w:t>（4）对开标过程的异议时限：开标结束前提出。</w:t>
      </w:r>
    </w:p>
    <w:p w14:paraId="09359DB8">
      <w:pPr>
        <w:widowControl w:val="0"/>
        <w:autoSpaceDE w:val="0"/>
        <w:autoSpaceDN w:val="0"/>
        <w:adjustRightInd w:val="0"/>
        <w:snapToGrid w:val="0"/>
        <w:ind w:firstLine="0" w:firstLineChars="0"/>
        <w:jc w:val="left"/>
        <w:rPr>
          <w:rFonts w:ascii="宋体" w:hAnsi="宋体"/>
          <w:color w:val="auto"/>
        </w:rPr>
      </w:pPr>
      <w:bookmarkStart w:id="277" w:name="_Hlk46484013"/>
      <w:r>
        <w:rPr>
          <w:rFonts w:hint="eastAsia" w:ascii="宋体" w:hAnsi="宋体"/>
          <w:color w:val="auto"/>
        </w:rPr>
        <w:t>（5）对评标或定标结果异议时限：</w:t>
      </w:r>
      <w:r>
        <w:rPr>
          <w:rFonts w:hint="eastAsia" w:ascii="宋体" w:hAnsi="宋体"/>
          <w:color w:val="auto"/>
          <w:szCs w:val="21"/>
        </w:rPr>
        <w:t>中标候选人公示</w:t>
      </w:r>
      <w:r>
        <w:rPr>
          <w:rFonts w:hint="eastAsia" w:ascii="宋体" w:hAnsi="宋体"/>
          <w:color w:val="auto"/>
        </w:rPr>
        <w:t>期间。</w:t>
      </w:r>
      <w:bookmarkEnd w:id="277"/>
    </w:p>
    <w:bookmarkEnd w:id="276"/>
    <w:p w14:paraId="66DFD2AA">
      <w:pPr>
        <w:widowControl w:val="0"/>
        <w:autoSpaceDE w:val="0"/>
        <w:autoSpaceDN w:val="0"/>
        <w:adjustRightInd w:val="0"/>
        <w:snapToGrid w:val="0"/>
        <w:ind w:firstLine="0" w:firstLineChars="0"/>
        <w:jc w:val="left"/>
        <w:rPr>
          <w:rFonts w:ascii="宋体" w:hAnsi="宋体"/>
          <w:color w:val="auto"/>
          <w:sz w:val="84"/>
          <w:szCs w:val="84"/>
        </w:rPr>
      </w:pPr>
      <w:r>
        <w:rPr>
          <w:rFonts w:ascii="宋体" w:hAnsi="宋体"/>
          <w:color w:val="auto"/>
        </w:rPr>
        <w:br w:type="page"/>
      </w:r>
      <w:bookmarkStart w:id="278" w:name="_Toc144974565"/>
      <w:bookmarkStart w:id="279" w:name="_Toc152045598"/>
      <w:bookmarkStart w:id="280" w:name="_Toc152042375"/>
      <w:bookmarkStart w:id="281" w:name="_Hlk532142035"/>
    </w:p>
    <w:p w14:paraId="727CEE84">
      <w:pPr>
        <w:widowControl w:val="0"/>
        <w:autoSpaceDE w:val="0"/>
        <w:autoSpaceDN w:val="0"/>
        <w:adjustRightInd w:val="0"/>
        <w:snapToGrid w:val="0"/>
        <w:ind w:firstLine="0" w:firstLineChars="0"/>
        <w:jc w:val="left"/>
        <w:rPr>
          <w:rFonts w:ascii="宋体" w:hAnsi="宋体"/>
          <w:color w:val="auto"/>
          <w:sz w:val="84"/>
          <w:szCs w:val="84"/>
        </w:rPr>
      </w:pPr>
    </w:p>
    <w:p w14:paraId="0ECE191C">
      <w:pPr>
        <w:widowControl w:val="0"/>
        <w:autoSpaceDE w:val="0"/>
        <w:autoSpaceDN w:val="0"/>
        <w:adjustRightInd w:val="0"/>
        <w:snapToGrid w:val="0"/>
        <w:ind w:firstLine="0" w:firstLineChars="0"/>
        <w:jc w:val="left"/>
        <w:rPr>
          <w:rFonts w:ascii="宋体" w:hAnsi="宋体"/>
          <w:color w:val="auto"/>
          <w:sz w:val="84"/>
          <w:szCs w:val="84"/>
        </w:rPr>
      </w:pPr>
    </w:p>
    <w:p w14:paraId="00AE7C32">
      <w:pPr>
        <w:widowControl w:val="0"/>
        <w:autoSpaceDE w:val="0"/>
        <w:autoSpaceDN w:val="0"/>
        <w:adjustRightInd w:val="0"/>
        <w:snapToGrid w:val="0"/>
        <w:ind w:firstLine="0" w:firstLineChars="0"/>
        <w:jc w:val="left"/>
        <w:rPr>
          <w:rFonts w:ascii="宋体" w:hAnsi="宋体"/>
          <w:color w:val="auto"/>
          <w:sz w:val="84"/>
          <w:szCs w:val="84"/>
        </w:rPr>
      </w:pPr>
    </w:p>
    <w:p w14:paraId="200FC9A2">
      <w:pPr>
        <w:widowControl w:val="0"/>
        <w:autoSpaceDE w:val="0"/>
        <w:autoSpaceDN w:val="0"/>
        <w:adjustRightInd w:val="0"/>
        <w:snapToGrid w:val="0"/>
        <w:ind w:firstLine="0" w:firstLineChars="0"/>
        <w:jc w:val="center"/>
        <w:outlineLvl w:val="0"/>
        <w:rPr>
          <w:rFonts w:ascii="宋体" w:hAnsi="宋体"/>
          <w:color w:val="auto"/>
        </w:rPr>
      </w:pPr>
      <w:bookmarkStart w:id="282" w:name="_Toc7734"/>
      <w:bookmarkStart w:id="283" w:name="_Toc4157"/>
      <w:bookmarkStart w:id="284" w:name="_Toc4473"/>
      <w:bookmarkStart w:id="285" w:name="_Toc23212"/>
      <w:bookmarkStart w:id="286" w:name="_Toc14196"/>
      <w:bookmarkStart w:id="287" w:name="_Toc12297"/>
      <w:r>
        <w:rPr>
          <w:rFonts w:hint="eastAsia" w:ascii="宋体" w:hAnsi="宋体"/>
          <w:b/>
          <w:bCs/>
          <w:color w:val="auto"/>
          <w:sz w:val="48"/>
          <w:szCs w:val="48"/>
        </w:rPr>
        <w:t>第二章评定标办法（</w:t>
      </w:r>
      <w:r>
        <w:rPr>
          <w:rFonts w:hint="eastAsia" w:ascii="宋体" w:hAnsi="宋体"/>
          <w:b/>
          <w:bCs/>
          <w:color w:val="auto"/>
          <w:sz w:val="48"/>
          <w:szCs w:val="48"/>
          <w:u w:val="single"/>
        </w:rPr>
        <w:t>综合评</w:t>
      </w:r>
      <w:r>
        <w:rPr>
          <w:rFonts w:hint="eastAsia" w:ascii="宋体" w:hAnsi="宋体"/>
          <w:b/>
          <w:bCs/>
          <w:color w:val="auto"/>
          <w:sz w:val="48"/>
          <w:szCs w:val="48"/>
          <w:u w:val="single"/>
          <w:lang w:val="en-US" w:eastAsia="zh-CN"/>
        </w:rPr>
        <w:t>分</w:t>
      </w:r>
      <w:r>
        <w:rPr>
          <w:rFonts w:hint="eastAsia" w:ascii="宋体" w:hAnsi="宋体"/>
          <w:b/>
          <w:bCs/>
          <w:color w:val="auto"/>
          <w:sz w:val="48"/>
          <w:szCs w:val="48"/>
        </w:rPr>
        <w:t>法）</w:t>
      </w:r>
      <w:bookmarkEnd w:id="278"/>
      <w:bookmarkEnd w:id="279"/>
      <w:bookmarkEnd w:id="280"/>
      <w:bookmarkEnd w:id="282"/>
      <w:bookmarkEnd w:id="283"/>
      <w:bookmarkEnd w:id="284"/>
      <w:bookmarkEnd w:id="285"/>
      <w:bookmarkEnd w:id="286"/>
      <w:bookmarkEnd w:id="287"/>
      <w:bookmarkStart w:id="288" w:name="_Toc152042377"/>
      <w:bookmarkStart w:id="289" w:name="_Toc379581361"/>
      <w:bookmarkStart w:id="290" w:name="_Toc144974567"/>
      <w:bookmarkStart w:id="291" w:name="_Toc152045600"/>
      <w:bookmarkStart w:id="292" w:name="_Toc330213998"/>
    </w:p>
    <w:p w14:paraId="66334880">
      <w:pPr>
        <w:widowControl w:val="0"/>
        <w:autoSpaceDE w:val="0"/>
        <w:autoSpaceDN w:val="0"/>
        <w:adjustRightInd w:val="0"/>
        <w:snapToGrid w:val="0"/>
        <w:ind w:firstLine="0" w:firstLineChars="0"/>
        <w:jc w:val="center"/>
        <w:outlineLvl w:val="1"/>
        <w:rPr>
          <w:rFonts w:ascii="宋体" w:hAnsi="宋体"/>
          <w:b/>
          <w:color w:val="auto"/>
          <w:sz w:val="32"/>
          <w:szCs w:val="32"/>
        </w:rPr>
      </w:pPr>
      <w:r>
        <w:rPr>
          <w:rFonts w:ascii="宋体" w:hAnsi="宋体"/>
          <w:color w:val="auto"/>
        </w:rPr>
        <w:br w:type="page"/>
      </w:r>
      <w:bookmarkStart w:id="293" w:name="_Toc32699"/>
      <w:bookmarkStart w:id="294" w:name="_Toc21837"/>
      <w:bookmarkStart w:id="295" w:name="_Toc8431"/>
      <w:bookmarkStart w:id="296" w:name="_Toc13474"/>
      <w:r>
        <w:rPr>
          <w:rFonts w:hint="eastAsia" w:ascii="宋体" w:hAnsi="宋体"/>
          <w:b/>
          <w:color w:val="auto"/>
          <w:sz w:val="32"/>
          <w:szCs w:val="32"/>
        </w:rPr>
        <w:t>一、评标须知</w:t>
      </w:r>
      <w:bookmarkEnd w:id="293"/>
      <w:bookmarkEnd w:id="294"/>
      <w:bookmarkEnd w:id="295"/>
      <w:bookmarkEnd w:id="296"/>
    </w:p>
    <w:p w14:paraId="5A3191D3">
      <w:pPr>
        <w:widowControl w:val="0"/>
        <w:numPr>
          <w:ilvl w:val="0"/>
          <w:numId w:val="5"/>
        </w:numPr>
        <w:autoSpaceDE w:val="0"/>
        <w:autoSpaceDN w:val="0"/>
        <w:adjustRightInd w:val="0"/>
        <w:snapToGrid w:val="0"/>
        <w:ind w:firstLineChars="0"/>
        <w:jc w:val="left"/>
        <w:rPr>
          <w:rFonts w:ascii="宋体" w:hAnsi="宋体"/>
          <w:b/>
          <w:color w:val="auto"/>
        </w:rPr>
      </w:pPr>
      <w:bookmarkStart w:id="297" w:name="_Toc351032831"/>
      <w:bookmarkStart w:id="298" w:name="_Toc350872399"/>
      <w:bookmarkStart w:id="299" w:name="_Toc291178115"/>
      <w:bookmarkStart w:id="300" w:name="_Toc290992891"/>
      <w:bookmarkStart w:id="301" w:name="_Toc523252723"/>
      <w:bookmarkStart w:id="302" w:name="_Toc361737576"/>
      <w:r>
        <w:rPr>
          <w:rFonts w:hint="eastAsia" w:ascii="宋体" w:hAnsi="宋体"/>
          <w:b/>
          <w:color w:val="auto"/>
        </w:rPr>
        <w:t>评标人员守则</w:t>
      </w:r>
      <w:bookmarkEnd w:id="297"/>
      <w:bookmarkEnd w:id="298"/>
      <w:bookmarkEnd w:id="299"/>
      <w:bookmarkEnd w:id="300"/>
      <w:bookmarkEnd w:id="301"/>
      <w:bookmarkEnd w:id="302"/>
    </w:p>
    <w:p w14:paraId="46F75279">
      <w:pPr>
        <w:widowControl w:val="0"/>
        <w:numPr>
          <w:ilvl w:val="1"/>
          <w:numId w:val="5"/>
        </w:numPr>
        <w:autoSpaceDE w:val="0"/>
        <w:autoSpaceDN w:val="0"/>
        <w:adjustRightInd w:val="0"/>
        <w:snapToGrid w:val="0"/>
        <w:ind w:firstLineChars="0"/>
        <w:jc w:val="left"/>
        <w:rPr>
          <w:rFonts w:ascii="宋体" w:hAnsi="宋体"/>
          <w:b/>
          <w:color w:val="auto"/>
        </w:rPr>
      </w:pPr>
      <w:r>
        <w:rPr>
          <w:rFonts w:hint="eastAsia" w:ascii="宋体" w:hAnsi="宋体"/>
          <w:color w:val="auto"/>
        </w:rPr>
        <w:t>所有参加评标人员必须遵守国家及有关地方制定的有关招标投标的法则、规定，遵守有关采购招标投标的保密制度；如果发现评委徇私，违反纪律，则招标人有权取消其评标资格，并报直管部门或有关监督部门备案；情节严重，构成犯罪的，由司法机关依法追究其刑事责任。</w:t>
      </w:r>
    </w:p>
    <w:p w14:paraId="56B50930">
      <w:pPr>
        <w:widowControl w:val="0"/>
        <w:numPr>
          <w:ilvl w:val="1"/>
          <w:numId w:val="5"/>
        </w:numPr>
        <w:autoSpaceDE w:val="0"/>
        <w:autoSpaceDN w:val="0"/>
        <w:adjustRightInd w:val="0"/>
        <w:snapToGrid w:val="0"/>
        <w:ind w:firstLineChars="0"/>
        <w:jc w:val="left"/>
        <w:rPr>
          <w:rFonts w:ascii="宋体" w:hAnsi="宋体"/>
          <w:b/>
          <w:color w:val="auto"/>
        </w:rPr>
      </w:pPr>
      <w:r>
        <w:rPr>
          <w:rFonts w:hint="eastAsia" w:ascii="宋体" w:hAnsi="宋体"/>
          <w:color w:val="auto"/>
        </w:rPr>
        <w:t>全体参与评标人员：</w:t>
      </w:r>
    </w:p>
    <w:p w14:paraId="466C52D8">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必须遵守评标纪律、不得泄密；</w:t>
      </w:r>
    </w:p>
    <w:p w14:paraId="2157280E">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必须公正、不得</w:t>
      </w:r>
      <w:r>
        <w:rPr>
          <w:rFonts w:hint="eastAsia" w:ascii="宋体" w:hAnsi="宋体"/>
          <w:color w:val="auto"/>
        </w:rPr>
        <w:t>徇</w:t>
      </w:r>
      <w:r>
        <w:rPr>
          <w:rFonts w:hint="eastAsia" w:ascii="宋体" w:hAnsi="宋体"/>
          <w:color w:val="auto"/>
          <w:szCs w:val="21"/>
        </w:rPr>
        <w:t>私；</w:t>
      </w:r>
    </w:p>
    <w:p w14:paraId="1E0A4EF1">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必须科学、不得草率；</w:t>
      </w:r>
    </w:p>
    <w:p w14:paraId="5472601C">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必须客观、不得带有成见；</w:t>
      </w:r>
    </w:p>
    <w:p w14:paraId="0C19D2DC">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必须平等、不得强加于人；</w:t>
      </w:r>
    </w:p>
    <w:p w14:paraId="007D4DE3">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必须严谨、不得随意马虎。</w:t>
      </w:r>
    </w:p>
    <w:p w14:paraId="46FB1A2A">
      <w:pPr>
        <w:widowControl w:val="0"/>
        <w:autoSpaceDE w:val="0"/>
        <w:autoSpaceDN w:val="0"/>
        <w:adjustRightInd w:val="0"/>
        <w:snapToGrid w:val="0"/>
        <w:ind w:firstLine="0" w:firstLineChars="0"/>
        <w:jc w:val="left"/>
        <w:rPr>
          <w:rFonts w:ascii="宋体" w:hAnsi="宋体"/>
          <w:color w:val="auto"/>
          <w:szCs w:val="21"/>
        </w:rPr>
      </w:pPr>
    </w:p>
    <w:p w14:paraId="3AF4E424">
      <w:pPr>
        <w:widowControl w:val="0"/>
        <w:numPr>
          <w:ilvl w:val="0"/>
          <w:numId w:val="5"/>
        </w:numPr>
        <w:autoSpaceDE w:val="0"/>
        <w:autoSpaceDN w:val="0"/>
        <w:adjustRightInd w:val="0"/>
        <w:snapToGrid w:val="0"/>
        <w:ind w:firstLineChars="0"/>
        <w:jc w:val="left"/>
        <w:rPr>
          <w:rFonts w:ascii="宋体" w:hAnsi="宋体"/>
          <w:b/>
          <w:color w:val="auto"/>
        </w:rPr>
      </w:pPr>
      <w:r>
        <w:rPr>
          <w:rFonts w:hint="eastAsia" w:ascii="宋体" w:hAnsi="宋体"/>
          <w:b/>
          <w:color w:val="auto"/>
        </w:rPr>
        <w:t>评标步骤</w:t>
      </w:r>
    </w:p>
    <w:p w14:paraId="5E981670">
      <w:pPr>
        <w:widowControl w:val="0"/>
        <w:numPr>
          <w:ilvl w:val="1"/>
          <w:numId w:val="5"/>
        </w:numPr>
        <w:autoSpaceDE w:val="0"/>
        <w:autoSpaceDN w:val="0"/>
        <w:adjustRightInd w:val="0"/>
        <w:snapToGrid w:val="0"/>
        <w:ind w:firstLineChars="0"/>
        <w:jc w:val="left"/>
        <w:rPr>
          <w:rFonts w:ascii="宋体" w:hAnsi="宋体"/>
          <w:b/>
          <w:color w:val="auto"/>
        </w:rPr>
      </w:pPr>
      <w:r>
        <w:rPr>
          <w:rFonts w:hint="eastAsia" w:ascii="宋体" w:hAnsi="宋体"/>
          <w:color w:val="auto"/>
        </w:rPr>
        <w:t>全部评标过程将按以下步骤进行：</w:t>
      </w:r>
    </w:p>
    <w:p w14:paraId="0532C936">
      <w:pPr>
        <w:widowControl w:val="0"/>
        <w:numPr>
          <w:ilvl w:val="2"/>
          <w:numId w:val="5"/>
        </w:numPr>
        <w:autoSpaceDE w:val="0"/>
        <w:autoSpaceDN w:val="0"/>
        <w:adjustRightInd w:val="0"/>
        <w:snapToGrid w:val="0"/>
        <w:ind w:firstLineChars="0"/>
        <w:jc w:val="left"/>
        <w:rPr>
          <w:rFonts w:ascii="宋体" w:hAnsi="宋体"/>
          <w:color w:val="auto"/>
          <w:szCs w:val="21"/>
        </w:rPr>
      </w:pPr>
      <w:r>
        <w:rPr>
          <w:rFonts w:ascii="宋体" w:hAnsi="宋体"/>
          <w:color w:val="auto"/>
          <w:szCs w:val="21"/>
        </w:rPr>
        <w:t>评标准备</w:t>
      </w:r>
      <w:r>
        <w:rPr>
          <w:rFonts w:hint="eastAsia" w:ascii="宋体" w:hAnsi="宋体"/>
          <w:color w:val="auto"/>
          <w:szCs w:val="21"/>
        </w:rPr>
        <w:t>；</w:t>
      </w:r>
    </w:p>
    <w:p w14:paraId="502BE736">
      <w:pPr>
        <w:widowControl w:val="0"/>
        <w:numPr>
          <w:ilvl w:val="2"/>
          <w:numId w:val="5"/>
        </w:numPr>
        <w:autoSpaceDE w:val="0"/>
        <w:autoSpaceDN w:val="0"/>
        <w:adjustRightInd w:val="0"/>
        <w:snapToGrid w:val="0"/>
        <w:ind w:firstLineChars="0"/>
        <w:jc w:val="left"/>
        <w:rPr>
          <w:rFonts w:ascii="宋体" w:hAnsi="宋体"/>
          <w:bCs/>
          <w:color w:val="auto"/>
        </w:rPr>
      </w:pPr>
      <w:r>
        <w:rPr>
          <w:rFonts w:hint="eastAsia" w:ascii="宋体" w:hAnsi="宋体"/>
          <w:bCs/>
          <w:color w:val="auto"/>
        </w:rPr>
        <w:t>否决性评审</w:t>
      </w:r>
      <w:r>
        <w:rPr>
          <w:rFonts w:ascii="宋体" w:hAnsi="宋体"/>
          <w:bCs/>
          <w:color w:val="auto"/>
        </w:rPr>
        <w:t>；</w:t>
      </w:r>
    </w:p>
    <w:p w14:paraId="1991574C">
      <w:pPr>
        <w:widowControl w:val="0"/>
        <w:numPr>
          <w:ilvl w:val="2"/>
          <w:numId w:val="5"/>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初步评审；</w:t>
      </w:r>
    </w:p>
    <w:p w14:paraId="52206830">
      <w:pPr>
        <w:widowControl w:val="0"/>
        <w:numPr>
          <w:ilvl w:val="2"/>
          <w:numId w:val="5"/>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详细评审；</w:t>
      </w:r>
    </w:p>
    <w:p w14:paraId="1C2E5D22">
      <w:pPr>
        <w:widowControl w:val="0"/>
        <w:numPr>
          <w:ilvl w:val="2"/>
          <w:numId w:val="5"/>
        </w:numPr>
        <w:autoSpaceDE w:val="0"/>
        <w:autoSpaceDN w:val="0"/>
        <w:adjustRightInd w:val="0"/>
        <w:snapToGrid w:val="0"/>
        <w:ind w:firstLineChars="0"/>
        <w:jc w:val="left"/>
        <w:rPr>
          <w:rFonts w:ascii="宋体" w:hAnsi="宋体"/>
          <w:color w:val="auto"/>
          <w:szCs w:val="21"/>
        </w:rPr>
      </w:pPr>
      <w:r>
        <w:rPr>
          <w:rFonts w:ascii="宋体" w:hAnsi="宋体"/>
          <w:color w:val="auto"/>
          <w:szCs w:val="21"/>
        </w:rPr>
        <w:t>评标报告</w:t>
      </w:r>
      <w:r>
        <w:rPr>
          <w:rFonts w:hint="eastAsia" w:ascii="宋体" w:hAnsi="宋体"/>
          <w:color w:val="auto"/>
          <w:szCs w:val="21"/>
        </w:rPr>
        <w:t>。</w:t>
      </w:r>
    </w:p>
    <w:p w14:paraId="5FA7A169">
      <w:pPr>
        <w:widowControl w:val="0"/>
        <w:autoSpaceDE w:val="0"/>
        <w:autoSpaceDN w:val="0"/>
        <w:adjustRightInd w:val="0"/>
        <w:snapToGrid w:val="0"/>
        <w:ind w:firstLine="0" w:firstLineChars="0"/>
        <w:jc w:val="left"/>
        <w:rPr>
          <w:rFonts w:ascii="宋体" w:hAnsi="宋体"/>
          <w:color w:val="auto"/>
          <w:szCs w:val="21"/>
        </w:rPr>
      </w:pPr>
    </w:p>
    <w:p w14:paraId="65BDA06B">
      <w:pPr>
        <w:widowControl w:val="0"/>
        <w:numPr>
          <w:ilvl w:val="0"/>
          <w:numId w:val="5"/>
        </w:numPr>
        <w:autoSpaceDE w:val="0"/>
        <w:autoSpaceDN w:val="0"/>
        <w:adjustRightInd w:val="0"/>
        <w:snapToGrid w:val="0"/>
        <w:ind w:firstLineChars="0"/>
        <w:jc w:val="left"/>
        <w:rPr>
          <w:rFonts w:ascii="宋体" w:hAnsi="宋体"/>
          <w:b/>
          <w:color w:val="auto"/>
        </w:rPr>
      </w:pPr>
      <w:bookmarkStart w:id="303" w:name="_Toc523252725"/>
      <w:r>
        <w:rPr>
          <w:rFonts w:ascii="宋体" w:hAnsi="宋体"/>
          <w:b/>
          <w:color w:val="auto"/>
        </w:rPr>
        <w:t>评标准备</w:t>
      </w:r>
      <w:bookmarkEnd w:id="303"/>
    </w:p>
    <w:p w14:paraId="57CB00EA">
      <w:pPr>
        <w:widowControl w:val="0"/>
        <w:numPr>
          <w:ilvl w:val="1"/>
          <w:numId w:val="5"/>
        </w:numPr>
        <w:autoSpaceDE w:val="0"/>
        <w:autoSpaceDN w:val="0"/>
        <w:adjustRightInd w:val="0"/>
        <w:snapToGrid w:val="0"/>
        <w:ind w:firstLineChars="0"/>
        <w:jc w:val="left"/>
        <w:rPr>
          <w:rFonts w:ascii="宋体" w:hAnsi="宋体"/>
          <w:b/>
          <w:color w:val="auto"/>
        </w:rPr>
      </w:pPr>
      <w:r>
        <w:rPr>
          <w:rFonts w:ascii="宋体" w:hAnsi="宋体"/>
          <w:color w:val="auto"/>
        </w:rPr>
        <w:t>评标委员会</w:t>
      </w:r>
      <w:r>
        <w:rPr>
          <w:rFonts w:hint="eastAsia" w:ascii="宋体" w:hAnsi="宋体"/>
          <w:color w:val="auto"/>
        </w:rPr>
        <w:t>人员</w:t>
      </w:r>
      <w:r>
        <w:rPr>
          <w:rFonts w:ascii="宋体" w:hAnsi="宋体"/>
          <w:color w:val="auto"/>
        </w:rPr>
        <w:t>进入评标室后，首先推选</w:t>
      </w:r>
      <w:r>
        <w:rPr>
          <w:rFonts w:hint="eastAsia" w:ascii="宋体" w:hAnsi="宋体"/>
          <w:color w:val="auto"/>
        </w:rPr>
        <w:t>一名专家担任</w:t>
      </w:r>
      <w:r>
        <w:rPr>
          <w:rFonts w:ascii="宋体" w:hAnsi="宋体"/>
          <w:color w:val="auto"/>
        </w:rPr>
        <w:t>评标委员会</w:t>
      </w:r>
      <w:r>
        <w:rPr>
          <w:rFonts w:hint="eastAsia" w:ascii="宋体" w:hAnsi="宋体"/>
          <w:color w:val="auto"/>
        </w:rPr>
        <w:t>组长</w:t>
      </w:r>
      <w:r>
        <w:rPr>
          <w:rFonts w:ascii="宋体" w:hAnsi="宋体"/>
          <w:color w:val="auto"/>
        </w:rPr>
        <w:t>。评标委员会</w:t>
      </w:r>
      <w:r>
        <w:rPr>
          <w:rFonts w:hint="eastAsia" w:ascii="宋体" w:hAnsi="宋体"/>
          <w:color w:val="auto"/>
        </w:rPr>
        <w:t>组长</w:t>
      </w:r>
      <w:r>
        <w:rPr>
          <w:rFonts w:ascii="宋体" w:hAnsi="宋体"/>
          <w:color w:val="auto"/>
        </w:rPr>
        <w:t>负责评标过程中的组织工作，引导评标委员会按约定的程序</w:t>
      </w:r>
      <w:r>
        <w:rPr>
          <w:rFonts w:hint="eastAsia" w:ascii="宋体" w:hAnsi="宋体"/>
          <w:color w:val="auto"/>
        </w:rPr>
        <w:t>进行</w:t>
      </w:r>
      <w:r>
        <w:rPr>
          <w:rFonts w:ascii="宋体" w:hAnsi="宋体"/>
          <w:color w:val="auto"/>
        </w:rPr>
        <w:t>评标。</w:t>
      </w:r>
    </w:p>
    <w:p w14:paraId="3030F69B">
      <w:pPr>
        <w:widowControl w:val="0"/>
        <w:numPr>
          <w:ilvl w:val="1"/>
          <w:numId w:val="5"/>
        </w:numPr>
        <w:autoSpaceDE w:val="0"/>
        <w:autoSpaceDN w:val="0"/>
        <w:adjustRightInd w:val="0"/>
        <w:snapToGrid w:val="0"/>
        <w:ind w:firstLineChars="0"/>
        <w:jc w:val="left"/>
        <w:rPr>
          <w:rFonts w:ascii="宋体" w:hAnsi="宋体"/>
          <w:b/>
          <w:color w:val="auto"/>
        </w:rPr>
      </w:pPr>
      <w:r>
        <w:rPr>
          <w:rFonts w:ascii="宋体" w:hAnsi="宋体"/>
          <w:color w:val="auto"/>
        </w:rPr>
        <w:t>评标委员会</w:t>
      </w:r>
      <w:r>
        <w:rPr>
          <w:rFonts w:hint="eastAsia" w:ascii="宋体" w:hAnsi="宋体"/>
          <w:color w:val="auto"/>
        </w:rPr>
        <w:t>人员应当</w:t>
      </w:r>
      <w:r>
        <w:rPr>
          <w:rFonts w:ascii="宋体" w:hAnsi="宋体"/>
          <w:color w:val="auto"/>
        </w:rPr>
        <w:t>熟悉</w:t>
      </w:r>
      <w:r>
        <w:rPr>
          <w:rFonts w:hint="eastAsia" w:ascii="宋体" w:hAnsi="宋体"/>
          <w:color w:val="auto"/>
        </w:rPr>
        <w:t>招标文件、评标方法等有关文件，</w:t>
      </w:r>
      <w:r>
        <w:rPr>
          <w:rFonts w:ascii="宋体" w:hAnsi="宋体"/>
          <w:color w:val="auto"/>
        </w:rPr>
        <w:t>包括</w:t>
      </w:r>
      <w:r>
        <w:rPr>
          <w:rFonts w:hint="eastAsia" w:ascii="宋体" w:hAnsi="宋体"/>
          <w:color w:val="auto"/>
        </w:rPr>
        <w:t>项目概</w:t>
      </w:r>
      <w:r>
        <w:rPr>
          <w:rFonts w:ascii="宋体" w:hAnsi="宋体"/>
          <w:color w:val="auto"/>
        </w:rPr>
        <w:t>况</w:t>
      </w:r>
      <w:r>
        <w:rPr>
          <w:rFonts w:hint="eastAsia" w:ascii="宋体" w:hAnsi="宋体"/>
          <w:color w:val="auto"/>
        </w:rPr>
        <w:t>、</w:t>
      </w:r>
      <w:r>
        <w:rPr>
          <w:rFonts w:ascii="宋体" w:hAnsi="宋体"/>
          <w:color w:val="auto"/>
        </w:rPr>
        <w:t>招标范围</w:t>
      </w:r>
      <w:r>
        <w:rPr>
          <w:rFonts w:hint="eastAsia" w:ascii="宋体" w:hAnsi="宋体"/>
          <w:color w:val="auto"/>
        </w:rPr>
        <w:t>、</w:t>
      </w:r>
      <w:r>
        <w:rPr>
          <w:rFonts w:ascii="宋体" w:hAnsi="宋体"/>
          <w:color w:val="auto"/>
        </w:rPr>
        <w:t>招标目的</w:t>
      </w:r>
      <w:r>
        <w:rPr>
          <w:rFonts w:hint="eastAsia" w:ascii="宋体" w:hAnsi="宋体"/>
          <w:color w:val="auto"/>
        </w:rPr>
        <w:t>、</w:t>
      </w:r>
      <w:r>
        <w:rPr>
          <w:rFonts w:ascii="宋体" w:hAnsi="宋体"/>
          <w:color w:val="auto"/>
        </w:rPr>
        <w:t>评标方法</w:t>
      </w:r>
      <w:r>
        <w:rPr>
          <w:rFonts w:hint="eastAsia" w:ascii="宋体" w:hAnsi="宋体"/>
          <w:color w:val="auto"/>
        </w:rPr>
        <w:t>、</w:t>
      </w:r>
      <w:r>
        <w:rPr>
          <w:rFonts w:ascii="宋体" w:hAnsi="宋体"/>
          <w:color w:val="auto"/>
        </w:rPr>
        <w:t>评标</w:t>
      </w:r>
      <w:r>
        <w:rPr>
          <w:rFonts w:hint="eastAsia" w:ascii="宋体" w:hAnsi="宋体"/>
          <w:color w:val="auto"/>
        </w:rPr>
        <w:t>所</w:t>
      </w:r>
      <w:r>
        <w:rPr>
          <w:rFonts w:ascii="宋体" w:hAnsi="宋体"/>
          <w:color w:val="auto"/>
        </w:rPr>
        <w:t>用表格等。</w:t>
      </w:r>
    </w:p>
    <w:p w14:paraId="1E24966C">
      <w:pPr>
        <w:pStyle w:val="19"/>
        <w:ind w:firstLine="420"/>
        <w:rPr>
          <w:color w:val="auto"/>
        </w:rPr>
      </w:pPr>
    </w:p>
    <w:p w14:paraId="5213BEBF">
      <w:pPr>
        <w:widowControl w:val="0"/>
        <w:numPr>
          <w:ilvl w:val="0"/>
          <w:numId w:val="5"/>
        </w:numPr>
        <w:autoSpaceDE w:val="0"/>
        <w:autoSpaceDN w:val="0"/>
        <w:adjustRightInd w:val="0"/>
        <w:snapToGrid w:val="0"/>
        <w:ind w:firstLineChars="0"/>
        <w:jc w:val="left"/>
        <w:rPr>
          <w:rFonts w:ascii="宋体" w:hAnsi="宋体"/>
          <w:b/>
          <w:color w:val="auto"/>
        </w:rPr>
      </w:pPr>
      <w:r>
        <w:rPr>
          <w:rFonts w:hint="eastAsia" w:ascii="宋体" w:hAnsi="宋体"/>
          <w:b/>
          <w:color w:val="auto"/>
        </w:rPr>
        <w:t>否决性评审</w:t>
      </w:r>
    </w:p>
    <w:p w14:paraId="08FCB898">
      <w:pPr>
        <w:widowControl w:val="0"/>
        <w:numPr>
          <w:ilvl w:val="1"/>
          <w:numId w:val="5"/>
        </w:numPr>
        <w:autoSpaceDE w:val="0"/>
        <w:autoSpaceDN w:val="0"/>
        <w:adjustRightInd w:val="0"/>
        <w:snapToGrid w:val="0"/>
        <w:ind w:firstLineChars="0"/>
        <w:jc w:val="left"/>
        <w:rPr>
          <w:rFonts w:ascii="宋体" w:hAnsi="宋体"/>
          <w:b/>
          <w:color w:val="auto"/>
        </w:rPr>
      </w:pPr>
      <w:r>
        <w:rPr>
          <w:rFonts w:hint="eastAsia" w:ascii="宋体" w:hAnsi="宋体"/>
          <w:color w:val="auto"/>
        </w:rPr>
        <w:t>投标人的投标文件是否由同一单位或者个人编制；</w:t>
      </w:r>
    </w:p>
    <w:p w14:paraId="5D4C8000">
      <w:pPr>
        <w:widowControl w:val="0"/>
        <w:numPr>
          <w:ilvl w:val="1"/>
          <w:numId w:val="5"/>
        </w:numPr>
        <w:autoSpaceDE w:val="0"/>
        <w:autoSpaceDN w:val="0"/>
        <w:adjustRightInd w:val="0"/>
        <w:snapToGrid w:val="0"/>
        <w:ind w:firstLineChars="0"/>
        <w:jc w:val="left"/>
        <w:rPr>
          <w:rFonts w:ascii="宋体" w:hAnsi="宋体"/>
          <w:b/>
          <w:color w:val="auto"/>
        </w:rPr>
      </w:pPr>
      <w:r>
        <w:rPr>
          <w:rFonts w:hint="eastAsia" w:ascii="宋体" w:hAnsi="宋体"/>
          <w:snapToGrid w:val="0"/>
          <w:color w:val="auto"/>
          <w:kern w:val="0"/>
        </w:rPr>
        <w:t>投标人的投标文件是否由同一家投标单位编制</w:t>
      </w:r>
      <w:r>
        <w:rPr>
          <w:rFonts w:hint="eastAsia" w:ascii="宋体" w:hAnsi="宋体"/>
          <w:color w:val="auto"/>
        </w:rPr>
        <w:t>。</w:t>
      </w:r>
    </w:p>
    <w:p w14:paraId="1B3C8381">
      <w:pPr>
        <w:widowControl w:val="0"/>
        <w:numPr>
          <w:ilvl w:val="0"/>
          <w:numId w:val="5"/>
        </w:numPr>
        <w:autoSpaceDE w:val="0"/>
        <w:autoSpaceDN w:val="0"/>
        <w:adjustRightInd w:val="0"/>
        <w:snapToGrid w:val="0"/>
        <w:ind w:firstLineChars="0"/>
        <w:jc w:val="left"/>
        <w:rPr>
          <w:rFonts w:ascii="宋体" w:hAnsi="宋体"/>
          <w:b/>
          <w:color w:val="auto"/>
        </w:rPr>
      </w:pPr>
      <w:r>
        <w:rPr>
          <w:rFonts w:ascii="宋体" w:hAnsi="宋体"/>
          <w:b/>
          <w:color w:val="auto"/>
        </w:rPr>
        <w:t>废标条件</w:t>
      </w:r>
    </w:p>
    <w:p w14:paraId="7C9AC64B">
      <w:pPr>
        <w:widowControl w:val="0"/>
        <w:numPr>
          <w:ilvl w:val="1"/>
          <w:numId w:val="5"/>
        </w:numPr>
        <w:autoSpaceDE w:val="0"/>
        <w:autoSpaceDN w:val="0"/>
        <w:adjustRightInd w:val="0"/>
        <w:snapToGrid w:val="0"/>
        <w:ind w:firstLineChars="0"/>
        <w:jc w:val="left"/>
        <w:rPr>
          <w:rFonts w:ascii="宋体" w:hAnsi="宋体"/>
          <w:b/>
          <w:color w:val="auto"/>
        </w:rPr>
      </w:pPr>
      <w:r>
        <w:rPr>
          <w:rFonts w:hint="eastAsia" w:ascii="宋体" w:hAnsi="宋体"/>
          <w:color w:val="auto"/>
          <w:szCs w:val="21"/>
        </w:rPr>
        <w:t>详见投标人须知：否决性条款摘要。</w:t>
      </w:r>
    </w:p>
    <w:p w14:paraId="228DF1ED">
      <w:pPr>
        <w:widowControl w:val="0"/>
        <w:numPr>
          <w:ilvl w:val="0"/>
          <w:numId w:val="5"/>
        </w:numPr>
        <w:autoSpaceDE w:val="0"/>
        <w:autoSpaceDN w:val="0"/>
        <w:adjustRightInd w:val="0"/>
        <w:snapToGrid w:val="0"/>
        <w:ind w:firstLineChars="0"/>
        <w:jc w:val="left"/>
        <w:rPr>
          <w:rFonts w:ascii="宋体" w:hAnsi="宋体"/>
          <w:b/>
          <w:color w:val="auto"/>
        </w:rPr>
      </w:pPr>
      <w:bookmarkStart w:id="304" w:name="_Toc351032833"/>
      <w:bookmarkStart w:id="305" w:name="_Toc350872401"/>
      <w:bookmarkStart w:id="306" w:name="_Toc291178117"/>
      <w:bookmarkStart w:id="307" w:name="_Toc290992893"/>
      <w:bookmarkStart w:id="308" w:name="_Toc361737578"/>
      <w:bookmarkStart w:id="309" w:name="_Toc523252730"/>
      <w:r>
        <w:rPr>
          <w:rFonts w:hint="eastAsia" w:ascii="宋体" w:hAnsi="宋体"/>
          <w:b/>
          <w:color w:val="auto"/>
        </w:rPr>
        <w:t>附则</w:t>
      </w:r>
      <w:bookmarkEnd w:id="304"/>
      <w:bookmarkEnd w:id="305"/>
      <w:bookmarkEnd w:id="306"/>
      <w:bookmarkEnd w:id="307"/>
      <w:bookmarkEnd w:id="308"/>
      <w:bookmarkEnd w:id="309"/>
    </w:p>
    <w:p w14:paraId="7D29F12E">
      <w:pPr>
        <w:widowControl w:val="0"/>
        <w:numPr>
          <w:ilvl w:val="1"/>
          <w:numId w:val="5"/>
        </w:numPr>
        <w:autoSpaceDE w:val="0"/>
        <w:autoSpaceDN w:val="0"/>
        <w:adjustRightInd w:val="0"/>
        <w:snapToGrid w:val="0"/>
        <w:ind w:firstLineChars="0"/>
        <w:jc w:val="left"/>
        <w:rPr>
          <w:rFonts w:ascii="宋体" w:hAnsi="宋体"/>
          <w:b/>
          <w:color w:val="auto"/>
        </w:rPr>
      </w:pPr>
      <w:r>
        <w:rPr>
          <w:rFonts w:ascii="宋体" w:hAnsi="宋体"/>
          <w:color w:val="auto"/>
          <w:szCs w:val="21"/>
        </w:rPr>
        <w:t>本评</w:t>
      </w:r>
      <w:r>
        <w:rPr>
          <w:rFonts w:hint="eastAsia" w:ascii="宋体" w:hAnsi="宋体"/>
          <w:color w:val="auto"/>
          <w:szCs w:val="21"/>
        </w:rPr>
        <w:t>定</w:t>
      </w:r>
      <w:r>
        <w:rPr>
          <w:rFonts w:ascii="宋体" w:hAnsi="宋体"/>
          <w:color w:val="auto"/>
          <w:szCs w:val="21"/>
        </w:rPr>
        <w:t>标办法由</w:t>
      </w:r>
      <w:r>
        <w:rPr>
          <w:rFonts w:hint="eastAsia" w:ascii="宋体" w:hAnsi="宋体"/>
          <w:color w:val="auto"/>
          <w:szCs w:val="21"/>
        </w:rPr>
        <w:t>招标人</w:t>
      </w:r>
      <w:r>
        <w:rPr>
          <w:rFonts w:ascii="宋体" w:hAnsi="宋体"/>
          <w:color w:val="auto"/>
          <w:szCs w:val="21"/>
        </w:rPr>
        <w:t>负责解释。</w:t>
      </w:r>
    </w:p>
    <w:p w14:paraId="7655F706">
      <w:pPr>
        <w:widowControl w:val="0"/>
        <w:numPr>
          <w:ilvl w:val="0"/>
          <w:numId w:val="5"/>
        </w:numPr>
        <w:autoSpaceDE w:val="0"/>
        <w:autoSpaceDN w:val="0"/>
        <w:adjustRightInd w:val="0"/>
        <w:snapToGrid w:val="0"/>
        <w:ind w:firstLineChars="0"/>
        <w:jc w:val="left"/>
        <w:rPr>
          <w:rFonts w:ascii="宋体" w:hAnsi="宋体"/>
          <w:b/>
          <w:color w:val="auto"/>
        </w:rPr>
      </w:pPr>
      <w:r>
        <w:rPr>
          <w:rFonts w:hint="eastAsia" w:ascii="宋体" w:hAnsi="宋体"/>
          <w:b/>
          <w:color w:val="auto"/>
        </w:rPr>
        <w:t>附件一</w:t>
      </w:r>
    </w:p>
    <w:tbl>
      <w:tblPr>
        <w:tblStyle w:val="5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108"/>
        <w:gridCol w:w="1514"/>
        <w:gridCol w:w="3862"/>
        <w:gridCol w:w="1514"/>
      </w:tblGrid>
      <w:tr w14:paraId="252F4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529" w:type="dxa"/>
            <w:gridSpan w:val="5"/>
            <w:shd w:val="clear" w:color="auto" w:fill="D9E2F3"/>
            <w:vAlign w:val="center"/>
          </w:tcPr>
          <w:p w14:paraId="16CCD91D">
            <w:pPr>
              <w:widowControl w:val="0"/>
              <w:autoSpaceDE w:val="0"/>
              <w:autoSpaceDN w:val="0"/>
              <w:adjustRightInd w:val="0"/>
              <w:snapToGrid w:val="0"/>
              <w:ind w:firstLine="0" w:firstLineChars="0"/>
              <w:jc w:val="center"/>
              <w:rPr>
                <w:rFonts w:ascii="宋体" w:hAnsi="宋体" w:cs="宋体"/>
                <w:b/>
                <w:color w:val="auto"/>
                <w:sz w:val="28"/>
                <w:szCs w:val="28"/>
              </w:rPr>
            </w:pPr>
            <w:r>
              <w:rPr>
                <w:rFonts w:hint="eastAsia" w:ascii="宋体" w:hAnsi="宋体" w:cs="宋体"/>
                <w:b/>
                <w:color w:val="auto"/>
                <w:sz w:val="28"/>
                <w:szCs w:val="28"/>
              </w:rPr>
              <w:t>《初步评审审查标准》</w:t>
            </w:r>
          </w:p>
        </w:tc>
      </w:tr>
      <w:tr w14:paraId="1F53C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639" w:type="dxa"/>
            <w:gridSpan w:val="2"/>
            <w:vAlign w:val="center"/>
          </w:tcPr>
          <w:p w14:paraId="4FB81536">
            <w:pPr>
              <w:widowControl w:val="0"/>
              <w:autoSpaceDE w:val="0"/>
              <w:autoSpaceDN w:val="0"/>
              <w:adjustRightInd w:val="0"/>
              <w:snapToGrid w:val="0"/>
              <w:ind w:firstLine="0" w:firstLineChars="0"/>
              <w:jc w:val="center"/>
              <w:rPr>
                <w:rFonts w:ascii="宋体" w:hAnsi="宋体" w:cs="宋体"/>
                <w:b/>
                <w:color w:val="auto"/>
                <w:szCs w:val="21"/>
              </w:rPr>
            </w:pPr>
            <w:r>
              <w:rPr>
                <w:rFonts w:ascii="宋体" w:hAnsi="宋体" w:cs="宋体"/>
                <w:b/>
                <w:color w:val="auto"/>
                <w:szCs w:val="21"/>
              </w:rPr>
              <w:t>条款号</w:t>
            </w:r>
          </w:p>
        </w:tc>
        <w:tc>
          <w:tcPr>
            <w:tcW w:w="1514" w:type="dxa"/>
            <w:vAlign w:val="center"/>
          </w:tcPr>
          <w:p w14:paraId="583185F2">
            <w:pPr>
              <w:widowControl w:val="0"/>
              <w:autoSpaceDE w:val="0"/>
              <w:autoSpaceDN w:val="0"/>
              <w:adjustRightInd w:val="0"/>
              <w:snapToGrid w:val="0"/>
              <w:ind w:firstLine="0" w:firstLineChars="0"/>
              <w:jc w:val="center"/>
              <w:rPr>
                <w:rFonts w:ascii="宋体" w:hAnsi="宋体" w:cs="宋体"/>
                <w:b/>
                <w:color w:val="auto"/>
                <w:szCs w:val="21"/>
              </w:rPr>
            </w:pPr>
            <w:r>
              <w:rPr>
                <w:rFonts w:ascii="宋体" w:hAnsi="宋体" w:cs="宋体"/>
                <w:b/>
                <w:color w:val="auto"/>
                <w:szCs w:val="21"/>
              </w:rPr>
              <w:t>评审因素</w:t>
            </w:r>
          </w:p>
        </w:tc>
        <w:tc>
          <w:tcPr>
            <w:tcW w:w="3862" w:type="dxa"/>
            <w:vAlign w:val="center"/>
          </w:tcPr>
          <w:p w14:paraId="4ACF8641">
            <w:pPr>
              <w:widowControl w:val="0"/>
              <w:autoSpaceDE w:val="0"/>
              <w:autoSpaceDN w:val="0"/>
              <w:adjustRightInd w:val="0"/>
              <w:snapToGrid w:val="0"/>
              <w:ind w:firstLine="0" w:firstLineChars="0"/>
              <w:jc w:val="center"/>
              <w:rPr>
                <w:rFonts w:ascii="宋体" w:hAnsi="宋体" w:cs="宋体"/>
                <w:b/>
                <w:color w:val="auto"/>
                <w:szCs w:val="21"/>
              </w:rPr>
            </w:pPr>
            <w:r>
              <w:rPr>
                <w:rFonts w:ascii="宋体" w:hAnsi="宋体" w:cs="宋体"/>
                <w:b/>
                <w:color w:val="auto"/>
                <w:szCs w:val="21"/>
              </w:rPr>
              <w:t>评审</w:t>
            </w:r>
            <w:r>
              <w:rPr>
                <w:rFonts w:hint="eastAsia" w:ascii="宋体" w:hAnsi="宋体" w:cs="宋体"/>
                <w:b/>
                <w:color w:val="auto"/>
                <w:szCs w:val="21"/>
              </w:rPr>
              <w:t>内容</w:t>
            </w:r>
          </w:p>
        </w:tc>
        <w:tc>
          <w:tcPr>
            <w:tcW w:w="1514" w:type="dxa"/>
            <w:vAlign w:val="center"/>
          </w:tcPr>
          <w:p w14:paraId="6C629358">
            <w:pPr>
              <w:widowControl w:val="0"/>
              <w:autoSpaceDE w:val="0"/>
              <w:autoSpaceDN w:val="0"/>
              <w:adjustRightInd w:val="0"/>
              <w:snapToGrid w:val="0"/>
              <w:ind w:firstLine="0" w:firstLineChars="0"/>
              <w:jc w:val="center"/>
              <w:rPr>
                <w:rFonts w:ascii="宋体" w:hAnsi="宋体" w:cs="宋体"/>
                <w:b/>
                <w:color w:val="auto"/>
                <w:szCs w:val="21"/>
              </w:rPr>
            </w:pPr>
            <w:r>
              <w:rPr>
                <w:rFonts w:hint="eastAsia" w:ascii="宋体" w:hAnsi="宋体" w:cs="宋体"/>
                <w:b/>
                <w:color w:val="auto"/>
                <w:szCs w:val="21"/>
              </w:rPr>
              <w:t>审查标准</w:t>
            </w:r>
          </w:p>
        </w:tc>
      </w:tr>
      <w:tr w14:paraId="47A57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6199A438">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1</w:t>
            </w:r>
          </w:p>
        </w:tc>
        <w:tc>
          <w:tcPr>
            <w:tcW w:w="1108" w:type="dxa"/>
            <w:vMerge w:val="restart"/>
            <w:vAlign w:val="center"/>
          </w:tcPr>
          <w:p w14:paraId="59F03968">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形式评审标准</w:t>
            </w:r>
          </w:p>
        </w:tc>
        <w:tc>
          <w:tcPr>
            <w:tcW w:w="1514" w:type="dxa"/>
            <w:vAlign w:val="center"/>
          </w:tcPr>
          <w:p w14:paraId="3F9B153B">
            <w:pPr>
              <w:widowControl w:val="0"/>
              <w:autoSpaceDE w:val="0"/>
              <w:autoSpaceDN w:val="0"/>
              <w:adjustRightInd w:val="0"/>
              <w:snapToGrid w:val="0"/>
              <w:ind w:firstLine="0" w:firstLineChars="0"/>
              <w:jc w:val="left"/>
              <w:rPr>
                <w:rFonts w:ascii="宋体" w:hAnsi="宋体" w:cs="宋体"/>
                <w:color w:val="auto"/>
                <w:szCs w:val="21"/>
              </w:rPr>
            </w:pPr>
            <w:r>
              <w:rPr>
                <w:rFonts w:ascii="宋体" w:hAnsi="宋体" w:cs="宋体"/>
                <w:color w:val="auto"/>
                <w:szCs w:val="21"/>
              </w:rPr>
              <w:t>投标人名称</w:t>
            </w:r>
          </w:p>
        </w:tc>
        <w:tc>
          <w:tcPr>
            <w:tcW w:w="3862" w:type="dxa"/>
            <w:vAlign w:val="center"/>
          </w:tcPr>
          <w:p w14:paraId="2F7AC331">
            <w:pPr>
              <w:widowControl w:val="0"/>
              <w:autoSpaceDE w:val="0"/>
              <w:autoSpaceDN w:val="0"/>
              <w:adjustRightInd w:val="0"/>
              <w:snapToGrid w:val="0"/>
              <w:ind w:firstLine="0" w:firstLineChars="0"/>
              <w:jc w:val="left"/>
              <w:rPr>
                <w:rFonts w:ascii="宋体" w:hAnsi="宋体" w:cs="宋体"/>
                <w:color w:val="auto"/>
                <w:szCs w:val="21"/>
              </w:rPr>
            </w:pPr>
            <w:r>
              <w:rPr>
                <w:rFonts w:ascii="宋体" w:hAnsi="宋体" w:cs="宋体"/>
                <w:color w:val="auto"/>
                <w:szCs w:val="21"/>
              </w:rPr>
              <w:t>与营业执照</w:t>
            </w:r>
            <w:r>
              <w:rPr>
                <w:rFonts w:hint="eastAsia" w:ascii="宋体" w:hAnsi="宋体" w:cs="宋体"/>
                <w:color w:val="auto"/>
                <w:szCs w:val="21"/>
              </w:rPr>
              <w:t>（事业单位</w:t>
            </w:r>
            <w:r>
              <w:rPr>
                <w:rFonts w:ascii="宋体" w:hAnsi="宋体" w:cs="宋体"/>
                <w:color w:val="auto"/>
                <w:szCs w:val="21"/>
              </w:rPr>
              <w:t>法人证书或</w:t>
            </w:r>
            <w:r>
              <w:rPr>
                <w:rFonts w:hint="eastAsia" w:ascii="宋体" w:hAnsi="宋体" w:cs="宋体"/>
                <w:color w:val="auto"/>
                <w:szCs w:val="21"/>
              </w:rPr>
              <w:t>其他主体开办</w:t>
            </w:r>
            <w:r>
              <w:rPr>
                <w:rFonts w:ascii="宋体" w:hAnsi="宋体" w:cs="宋体"/>
                <w:color w:val="auto"/>
                <w:szCs w:val="21"/>
              </w:rPr>
              <w:t>证明</w:t>
            </w:r>
            <w:r>
              <w:rPr>
                <w:rFonts w:hint="eastAsia" w:ascii="宋体" w:hAnsi="宋体" w:cs="宋体"/>
                <w:color w:val="auto"/>
                <w:szCs w:val="21"/>
              </w:rPr>
              <w:t>）</w:t>
            </w:r>
            <w:r>
              <w:rPr>
                <w:rFonts w:ascii="宋体" w:hAnsi="宋体" w:cs="宋体"/>
                <w:color w:val="auto"/>
                <w:szCs w:val="21"/>
              </w:rPr>
              <w:t>、资质证书一致</w:t>
            </w:r>
          </w:p>
        </w:tc>
        <w:tc>
          <w:tcPr>
            <w:tcW w:w="1514" w:type="dxa"/>
            <w:vAlign w:val="center"/>
          </w:tcPr>
          <w:p w14:paraId="3901BD6E">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是否符合要求</w:t>
            </w:r>
          </w:p>
        </w:tc>
      </w:tr>
      <w:tr w14:paraId="27DDD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199144CD">
            <w:pPr>
              <w:widowControl w:val="0"/>
              <w:autoSpaceDE w:val="0"/>
              <w:autoSpaceDN w:val="0"/>
              <w:adjustRightInd w:val="0"/>
              <w:snapToGrid w:val="0"/>
              <w:ind w:firstLine="0" w:firstLineChars="0"/>
              <w:jc w:val="center"/>
              <w:rPr>
                <w:rFonts w:ascii="宋体" w:hAnsi="宋体"/>
                <w:color w:val="auto"/>
                <w:szCs w:val="21"/>
              </w:rPr>
            </w:pPr>
          </w:p>
        </w:tc>
        <w:tc>
          <w:tcPr>
            <w:tcW w:w="1108" w:type="dxa"/>
            <w:vMerge w:val="continue"/>
            <w:vAlign w:val="center"/>
          </w:tcPr>
          <w:p w14:paraId="7A393D51">
            <w:pPr>
              <w:widowControl w:val="0"/>
              <w:autoSpaceDE w:val="0"/>
              <w:autoSpaceDN w:val="0"/>
              <w:adjustRightInd w:val="0"/>
              <w:snapToGrid w:val="0"/>
              <w:ind w:firstLine="0" w:firstLineChars="0"/>
              <w:jc w:val="center"/>
              <w:rPr>
                <w:rFonts w:ascii="宋体" w:hAnsi="宋体"/>
                <w:color w:val="auto"/>
                <w:szCs w:val="21"/>
              </w:rPr>
            </w:pPr>
          </w:p>
        </w:tc>
        <w:tc>
          <w:tcPr>
            <w:tcW w:w="1514" w:type="dxa"/>
            <w:vAlign w:val="center"/>
          </w:tcPr>
          <w:p w14:paraId="3DAF1728">
            <w:pPr>
              <w:widowControl w:val="0"/>
              <w:autoSpaceDE w:val="0"/>
              <w:autoSpaceDN w:val="0"/>
              <w:adjustRightInd w:val="0"/>
              <w:snapToGrid w:val="0"/>
              <w:ind w:firstLine="0" w:firstLineChars="0"/>
              <w:jc w:val="left"/>
              <w:rPr>
                <w:rFonts w:ascii="宋体" w:hAnsi="宋体" w:cs="宋体"/>
                <w:color w:val="auto"/>
                <w:szCs w:val="21"/>
              </w:rPr>
            </w:pPr>
            <w:r>
              <w:rPr>
                <w:rFonts w:ascii="宋体" w:hAnsi="宋体" w:cs="宋体"/>
                <w:color w:val="auto"/>
                <w:szCs w:val="21"/>
              </w:rPr>
              <w:t>报价唯一</w:t>
            </w:r>
          </w:p>
        </w:tc>
        <w:tc>
          <w:tcPr>
            <w:tcW w:w="3862" w:type="dxa"/>
            <w:vAlign w:val="center"/>
          </w:tcPr>
          <w:p w14:paraId="2D8D6B4A">
            <w:pPr>
              <w:widowControl w:val="0"/>
              <w:autoSpaceDE w:val="0"/>
              <w:autoSpaceDN w:val="0"/>
              <w:adjustRightInd w:val="0"/>
              <w:snapToGrid w:val="0"/>
              <w:ind w:firstLine="0" w:firstLineChars="0"/>
              <w:jc w:val="left"/>
              <w:rPr>
                <w:rFonts w:ascii="宋体" w:hAnsi="宋体" w:cs="宋体"/>
                <w:color w:val="auto"/>
                <w:szCs w:val="21"/>
              </w:rPr>
            </w:pPr>
            <w:r>
              <w:rPr>
                <w:rFonts w:ascii="宋体" w:hAnsi="宋体"/>
                <w:color w:val="auto"/>
                <w:szCs w:val="21"/>
              </w:rPr>
              <w:t>只能有一个有效报价</w:t>
            </w:r>
          </w:p>
        </w:tc>
        <w:tc>
          <w:tcPr>
            <w:tcW w:w="1514" w:type="dxa"/>
            <w:vAlign w:val="center"/>
          </w:tcPr>
          <w:p w14:paraId="12628269">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是否符合要求</w:t>
            </w:r>
          </w:p>
        </w:tc>
      </w:tr>
      <w:tr w14:paraId="15C14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0BEE5F90">
            <w:pPr>
              <w:widowControl w:val="0"/>
              <w:autoSpaceDE w:val="0"/>
              <w:autoSpaceDN w:val="0"/>
              <w:adjustRightInd w:val="0"/>
              <w:snapToGrid w:val="0"/>
              <w:ind w:firstLine="0" w:firstLineChars="0"/>
              <w:jc w:val="center"/>
              <w:rPr>
                <w:rFonts w:ascii="宋体" w:hAnsi="宋体"/>
                <w:color w:val="auto"/>
                <w:szCs w:val="21"/>
              </w:rPr>
            </w:pPr>
          </w:p>
        </w:tc>
        <w:tc>
          <w:tcPr>
            <w:tcW w:w="1108" w:type="dxa"/>
            <w:vMerge w:val="continue"/>
          </w:tcPr>
          <w:p w14:paraId="47D3F342">
            <w:pPr>
              <w:widowControl w:val="0"/>
              <w:autoSpaceDE w:val="0"/>
              <w:autoSpaceDN w:val="0"/>
              <w:adjustRightInd w:val="0"/>
              <w:snapToGrid w:val="0"/>
              <w:ind w:firstLine="0" w:firstLineChars="0"/>
              <w:jc w:val="center"/>
              <w:rPr>
                <w:rFonts w:ascii="宋体" w:hAnsi="宋体"/>
                <w:color w:val="auto"/>
                <w:szCs w:val="21"/>
              </w:rPr>
            </w:pPr>
          </w:p>
        </w:tc>
        <w:tc>
          <w:tcPr>
            <w:tcW w:w="1514" w:type="dxa"/>
            <w:vAlign w:val="center"/>
          </w:tcPr>
          <w:p w14:paraId="09CDAD4E">
            <w:pPr>
              <w:widowControl w:val="0"/>
              <w:autoSpaceDE w:val="0"/>
              <w:autoSpaceDN w:val="0"/>
              <w:adjustRightInd w:val="0"/>
              <w:snapToGrid w:val="0"/>
              <w:ind w:firstLine="0" w:firstLineChars="0"/>
              <w:jc w:val="left"/>
              <w:rPr>
                <w:rFonts w:ascii="宋体" w:hAnsi="宋体" w:cs="宋体"/>
                <w:color w:val="auto"/>
                <w:szCs w:val="21"/>
              </w:rPr>
            </w:pPr>
            <w:r>
              <w:rPr>
                <w:rFonts w:hint="eastAsia" w:ascii="宋体" w:hAnsi="宋体" w:cs="宋体"/>
                <w:color w:val="auto"/>
                <w:szCs w:val="21"/>
              </w:rPr>
              <w:t>投标保证金</w:t>
            </w:r>
          </w:p>
        </w:tc>
        <w:tc>
          <w:tcPr>
            <w:tcW w:w="3862" w:type="dxa"/>
            <w:vAlign w:val="center"/>
          </w:tcPr>
          <w:p w14:paraId="614F3F7A">
            <w:pPr>
              <w:widowControl w:val="0"/>
              <w:autoSpaceDE w:val="0"/>
              <w:autoSpaceDN w:val="0"/>
              <w:adjustRightInd w:val="0"/>
              <w:snapToGrid w:val="0"/>
              <w:ind w:firstLine="0" w:firstLineChars="0"/>
              <w:jc w:val="left"/>
              <w:rPr>
                <w:rFonts w:ascii="宋体" w:hAnsi="宋体" w:cs="宋体"/>
                <w:color w:val="auto"/>
                <w:szCs w:val="21"/>
              </w:rPr>
            </w:pPr>
            <w:r>
              <w:rPr>
                <w:rFonts w:ascii="宋体" w:hAnsi="宋体" w:cs="宋体"/>
                <w:color w:val="auto"/>
                <w:szCs w:val="21"/>
              </w:rPr>
              <w:t>符合第</w:t>
            </w:r>
            <w:r>
              <w:rPr>
                <w:rFonts w:hint="eastAsia" w:ascii="宋体" w:hAnsi="宋体" w:cs="宋体"/>
                <w:color w:val="auto"/>
                <w:szCs w:val="21"/>
              </w:rPr>
              <w:t>一</w:t>
            </w:r>
            <w:r>
              <w:rPr>
                <w:rFonts w:ascii="宋体" w:hAnsi="宋体" w:cs="宋体"/>
                <w:color w:val="auto"/>
                <w:szCs w:val="21"/>
              </w:rPr>
              <w:t>章</w:t>
            </w:r>
            <w:r>
              <w:rPr>
                <w:rFonts w:hint="eastAsia" w:ascii="宋体" w:hAnsi="宋体" w:cs="宋体"/>
                <w:color w:val="auto"/>
                <w:szCs w:val="21"/>
              </w:rPr>
              <w:t>投标人须知前附表的要求</w:t>
            </w:r>
          </w:p>
        </w:tc>
        <w:tc>
          <w:tcPr>
            <w:tcW w:w="1514" w:type="dxa"/>
            <w:vAlign w:val="center"/>
          </w:tcPr>
          <w:p w14:paraId="3F28AAB0">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是否符合要求</w:t>
            </w:r>
          </w:p>
        </w:tc>
      </w:tr>
      <w:tr w14:paraId="4548F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17E163A2">
            <w:pPr>
              <w:widowControl w:val="0"/>
              <w:autoSpaceDE w:val="0"/>
              <w:autoSpaceDN w:val="0"/>
              <w:adjustRightInd w:val="0"/>
              <w:snapToGrid w:val="0"/>
              <w:ind w:firstLine="0" w:firstLineChars="0"/>
              <w:jc w:val="center"/>
              <w:rPr>
                <w:rFonts w:ascii="宋体" w:hAnsi="宋体"/>
                <w:color w:val="auto"/>
                <w:szCs w:val="21"/>
              </w:rPr>
            </w:pPr>
          </w:p>
        </w:tc>
        <w:tc>
          <w:tcPr>
            <w:tcW w:w="1108" w:type="dxa"/>
            <w:vMerge w:val="continue"/>
          </w:tcPr>
          <w:p w14:paraId="13C6B173">
            <w:pPr>
              <w:widowControl w:val="0"/>
              <w:autoSpaceDE w:val="0"/>
              <w:autoSpaceDN w:val="0"/>
              <w:adjustRightInd w:val="0"/>
              <w:snapToGrid w:val="0"/>
              <w:ind w:firstLine="0" w:firstLineChars="0"/>
              <w:jc w:val="center"/>
              <w:rPr>
                <w:rFonts w:ascii="宋体" w:hAnsi="宋体"/>
                <w:color w:val="auto"/>
                <w:szCs w:val="21"/>
              </w:rPr>
            </w:pPr>
          </w:p>
        </w:tc>
        <w:tc>
          <w:tcPr>
            <w:tcW w:w="1514" w:type="dxa"/>
            <w:vAlign w:val="center"/>
          </w:tcPr>
          <w:p w14:paraId="3FE56874">
            <w:pPr>
              <w:widowControl w:val="0"/>
              <w:autoSpaceDE w:val="0"/>
              <w:autoSpaceDN w:val="0"/>
              <w:adjustRightInd w:val="0"/>
              <w:snapToGrid w:val="0"/>
              <w:ind w:firstLine="0" w:firstLineChars="0"/>
              <w:jc w:val="left"/>
              <w:rPr>
                <w:rFonts w:ascii="宋体" w:hAnsi="宋体" w:cs="宋体"/>
                <w:color w:val="auto"/>
                <w:szCs w:val="21"/>
              </w:rPr>
            </w:pPr>
            <w:r>
              <w:rPr>
                <w:rFonts w:hint="eastAsia" w:ascii="宋体" w:hAnsi="宋体" w:cs="宋体"/>
                <w:color w:val="auto"/>
                <w:szCs w:val="21"/>
              </w:rPr>
              <w:t>否决性条款判定</w:t>
            </w:r>
          </w:p>
        </w:tc>
        <w:tc>
          <w:tcPr>
            <w:tcW w:w="3862" w:type="dxa"/>
            <w:vAlign w:val="center"/>
          </w:tcPr>
          <w:p w14:paraId="1467911C">
            <w:pPr>
              <w:widowControl w:val="0"/>
              <w:autoSpaceDE w:val="0"/>
              <w:autoSpaceDN w:val="0"/>
              <w:adjustRightInd w:val="0"/>
              <w:snapToGrid w:val="0"/>
              <w:ind w:firstLine="0" w:firstLineChars="0"/>
              <w:jc w:val="left"/>
              <w:rPr>
                <w:rFonts w:ascii="宋体" w:hAnsi="宋体" w:cs="宋体"/>
                <w:color w:val="auto"/>
                <w:szCs w:val="21"/>
              </w:rPr>
            </w:pPr>
            <w:r>
              <w:rPr>
                <w:rFonts w:hint="eastAsia" w:ascii="宋体" w:hAnsi="宋体" w:cs="宋体"/>
                <w:color w:val="auto"/>
                <w:szCs w:val="21"/>
              </w:rPr>
              <w:t>招标文件否决性条款摘要中列明的情形</w:t>
            </w:r>
          </w:p>
        </w:tc>
        <w:tc>
          <w:tcPr>
            <w:tcW w:w="1514" w:type="dxa"/>
            <w:vAlign w:val="center"/>
          </w:tcPr>
          <w:p w14:paraId="37BEBDDB">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是否符合要求</w:t>
            </w:r>
          </w:p>
        </w:tc>
      </w:tr>
      <w:tr w14:paraId="12018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6579D902">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2</w:t>
            </w:r>
          </w:p>
        </w:tc>
        <w:tc>
          <w:tcPr>
            <w:tcW w:w="1108" w:type="dxa"/>
            <w:vMerge w:val="restart"/>
            <w:vAlign w:val="center"/>
          </w:tcPr>
          <w:p w14:paraId="126EFCD1">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资格评审标准</w:t>
            </w:r>
          </w:p>
        </w:tc>
        <w:tc>
          <w:tcPr>
            <w:tcW w:w="1514" w:type="dxa"/>
            <w:vAlign w:val="center"/>
          </w:tcPr>
          <w:p w14:paraId="6D8D95F1">
            <w:pPr>
              <w:widowControl w:val="0"/>
              <w:autoSpaceDE w:val="0"/>
              <w:autoSpaceDN w:val="0"/>
              <w:adjustRightInd w:val="0"/>
              <w:snapToGrid w:val="0"/>
              <w:ind w:firstLine="0" w:firstLineChars="0"/>
              <w:jc w:val="left"/>
              <w:rPr>
                <w:rFonts w:ascii="宋体" w:hAnsi="宋体" w:cs="宋体"/>
                <w:color w:val="auto"/>
                <w:szCs w:val="21"/>
              </w:rPr>
            </w:pPr>
            <w:r>
              <w:rPr>
                <w:rFonts w:ascii="宋体" w:hAnsi="宋体" w:cs="宋体"/>
                <w:color w:val="auto"/>
                <w:szCs w:val="21"/>
              </w:rPr>
              <w:t>营业执照</w:t>
            </w:r>
          </w:p>
        </w:tc>
        <w:tc>
          <w:tcPr>
            <w:tcW w:w="3862" w:type="dxa"/>
            <w:vAlign w:val="center"/>
          </w:tcPr>
          <w:p w14:paraId="2EE14655">
            <w:pPr>
              <w:widowControl w:val="0"/>
              <w:autoSpaceDE w:val="0"/>
              <w:autoSpaceDN w:val="0"/>
              <w:adjustRightInd w:val="0"/>
              <w:snapToGrid w:val="0"/>
              <w:ind w:firstLine="0" w:firstLineChars="0"/>
              <w:jc w:val="left"/>
              <w:rPr>
                <w:rFonts w:ascii="宋体" w:hAnsi="宋体" w:cs="宋体"/>
                <w:color w:val="auto"/>
                <w:szCs w:val="21"/>
              </w:rPr>
            </w:pPr>
            <w:r>
              <w:rPr>
                <w:rFonts w:hint="eastAsia" w:ascii="宋体" w:hAnsi="宋体" w:cs="宋体"/>
                <w:color w:val="auto"/>
                <w:szCs w:val="21"/>
              </w:rPr>
              <w:t>具备有效的营业执照（事业单位</w:t>
            </w:r>
            <w:r>
              <w:rPr>
                <w:rFonts w:ascii="宋体" w:hAnsi="宋体" w:cs="宋体"/>
                <w:color w:val="auto"/>
                <w:szCs w:val="21"/>
              </w:rPr>
              <w:t>法人证书或</w:t>
            </w:r>
            <w:r>
              <w:rPr>
                <w:rFonts w:hint="eastAsia" w:ascii="宋体" w:hAnsi="宋体" w:cs="宋体"/>
                <w:color w:val="auto"/>
                <w:szCs w:val="21"/>
              </w:rPr>
              <w:t>其他主体开办</w:t>
            </w:r>
            <w:r>
              <w:rPr>
                <w:rFonts w:ascii="宋体" w:hAnsi="宋体" w:cs="宋体"/>
                <w:color w:val="auto"/>
                <w:szCs w:val="21"/>
              </w:rPr>
              <w:t>证明</w:t>
            </w:r>
            <w:r>
              <w:rPr>
                <w:rFonts w:hint="eastAsia" w:ascii="宋体" w:hAnsi="宋体" w:cs="宋体"/>
                <w:color w:val="auto"/>
                <w:szCs w:val="21"/>
              </w:rPr>
              <w:t>）</w:t>
            </w:r>
          </w:p>
        </w:tc>
        <w:tc>
          <w:tcPr>
            <w:tcW w:w="1514" w:type="dxa"/>
            <w:vAlign w:val="center"/>
          </w:tcPr>
          <w:p w14:paraId="0BFE8BCA">
            <w:pPr>
              <w:widowControl w:val="0"/>
              <w:autoSpaceDE w:val="0"/>
              <w:autoSpaceDN w:val="0"/>
              <w:adjustRightInd w:val="0"/>
              <w:snapToGrid w:val="0"/>
              <w:ind w:firstLine="0" w:firstLineChars="0"/>
              <w:jc w:val="left"/>
              <w:rPr>
                <w:rFonts w:ascii="宋体" w:hAnsi="宋体"/>
                <w:color w:val="auto"/>
                <w:szCs w:val="21"/>
              </w:rPr>
            </w:pPr>
            <w:r>
              <w:rPr>
                <w:rFonts w:ascii="宋体" w:hAnsi="宋体"/>
                <w:color w:val="auto"/>
                <w:szCs w:val="21"/>
              </w:rPr>
              <w:t>是否符合要求</w:t>
            </w:r>
          </w:p>
        </w:tc>
      </w:tr>
      <w:tr w14:paraId="6158D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0E3F7BDA">
            <w:pPr>
              <w:widowControl w:val="0"/>
              <w:autoSpaceDE w:val="0"/>
              <w:autoSpaceDN w:val="0"/>
              <w:adjustRightInd w:val="0"/>
              <w:snapToGrid w:val="0"/>
              <w:ind w:firstLine="0" w:firstLineChars="0"/>
              <w:jc w:val="center"/>
              <w:rPr>
                <w:rFonts w:ascii="宋体" w:hAnsi="宋体"/>
                <w:color w:val="auto"/>
                <w:szCs w:val="21"/>
              </w:rPr>
            </w:pPr>
          </w:p>
        </w:tc>
        <w:tc>
          <w:tcPr>
            <w:tcW w:w="1108" w:type="dxa"/>
            <w:vMerge w:val="continue"/>
            <w:vAlign w:val="center"/>
          </w:tcPr>
          <w:p w14:paraId="02EF6B9A">
            <w:pPr>
              <w:widowControl w:val="0"/>
              <w:autoSpaceDE w:val="0"/>
              <w:autoSpaceDN w:val="0"/>
              <w:adjustRightInd w:val="0"/>
              <w:snapToGrid w:val="0"/>
              <w:ind w:firstLine="0" w:firstLineChars="0"/>
              <w:jc w:val="center"/>
              <w:rPr>
                <w:rFonts w:ascii="宋体" w:hAnsi="宋体"/>
                <w:color w:val="auto"/>
                <w:szCs w:val="21"/>
              </w:rPr>
            </w:pPr>
          </w:p>
        </w:tc>
        <w:tc>
          <w:tcPr>
            <w:tcW w:w="1514" w:type="dxa"/>
            <w:vAlign w:val="center"/>
          </w:tcPr>
          <w:p w14:paraId="615851C9">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其他资格要求</w:t>
            </w:r>
          </w:p>
        </w:tc>
        <w:tc>
          <w:tcPr>
            <w:tcW w:w="3862" w:type="dxa"/>
            <w:vAlign w:val="center"/>
          </w:tcPr>
          <w:p w14:paraId="31CDF81F">
            <w:pPr>
              <w:widowControl w:val="0"/>
              <w:autoSpaceDE w:val="0"/>
              <w:autoSpaceDN w:val="0"/>
              <w:adjustRightInd w:val="0"/>
              <w:snapToGrid w:val="0"/>
              <w:ind w:firstLine="0" w:firstLineChars="0"/>
              <w:jc w:val="left"/>
              <w:rPr>
                <w:rFonts w:ascii="宋体" w:hAnsi="宋体"/>
                <w:color w:val="auto"/>
                <w:szCs w:val="21"/>
              </w:rPr>
            </w:pPr>
            <w:r>
              <w:rPr>
                <w:rFonts w:ascii="宋体" w:hAnsi="宋体"/>
                <w:color w:val="auto"/>
                <w:szCs w:val="21"/>
              </w:rPr>
              <w:t>符合</w:t>
            </w:r>
            <w:r>
              <w:rPr>
                <w:rFonts w:hint="eastAsia" w:ascii="宋体" w:hAnsi="宋体"/>
                <w:color w:val="auto"/>
                <w:szCs w:val="21"/>
              </w:rPr>
              <w:t>招标文件要求</w:t>
            </w:r>
          </w:p>
        </w:tc>
        <w:tc>
          <w:tcPr>
            <w:tcW w:w="1514" w:type="dxa"/>
            <w:vAlign w:val="center"/>
          </w:tcPr>
          <w:p w14:paraId="637B820F">
            <w:pPr>
              <w:widowControl w:val="0"/>
              <w:autoSpaceDE w:val="0"/>
              <w:autoSpaceDN w:val="0"/>
              <w:adjustRightInd w:val="0"/>
              <w:snapToGrid w:val="0"/>
              <w:ind w:firstLine="0" w:firstLineChars="0"/>
              <w:jc w:val="left"/>
              <w:rPr>
                <w:rFonts w:ascii="宋体" w:hAnsi="宋体"/>
                <w:color w:val="auto"/>
                <w:szCs w:val="21"/>
              </w:rPr>
            </w:pPr>
            <w:r>
              <w:rPr>
                <w:rFonts w:ascii="宋体" w:hAnsi="宋体"/>
                <w:color w:val="auto"/>
                <w:szCs w:val="21"/>
              </w:rPr>
              <w:t>是否符合要求</w:t>
            </w:r>
          </w:p>
        </w:tc>
      </w:tr>
      <w:tr w14:paraId="692C0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373D7232">
            <w:pPr>
              <w:widowControl w:val="0"/>
              <w:autoSpaceDE w:val="0"/>
              <w:autoSpaceDN w:val="0"/>
              <w:adjustRightInd w:val="0"/>
              <w:snapToGrid w:val="0"/>
              <w:ind w:firstLine="0" w:firstLineChars="0"/>
              <w:jc w:val="center"/>
              <w:rPr>
                <w:rFonts w:ascii="宋体" w:hAnsi="宋体"/>
                <w:color w:val="auto"/>
                <w:szCs w:val="21"/>
              </w:rPr>
            </w:pPr>
          </w:p>
        </w:tc>
        <w:tc>
          <w:tcPr>
            <w:tcW w:w="1108" w:type="dxa"/>
            <w:vMerge w:val="continue"/>
            <w:vAlign w:val="center"/>
          </w:tcPr>
          <w:p w14:paraId="7E3CB22A">
            <w:pPr>
              <w:widowControl w:val="0"/>
              <w:autoSpaceDE w:val="0"/>
              <w:autoSpaceDN w:val="0"/>
              <w:adjustRightInd w:val="0"/>
              <w:snapToGrid w:val="0"/>
              <w:ind w:firstLine="0" w:firstLineChars="0"/>
              <w:jc w:val="center"/>
              <w:rPr>
                <w:rFonts w:ascii="宋体" w:hAnsi="宋体"/>
                <w:color w:val="auto"/>
                <w:szCs w:val="21"/>
              </w:rPr>
            </w:pPr>
          </w:p>
        </w:tc>
        <w:tc>
          <w:tcPr>
            <w:tcW w:w="1514" w:type="dxa"/>
            <w:vAlign w:val="center"/>
          </w:tcPr>
          <w:p w14:paraId="2B5B6D61">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不存在禁止投标的情形</w:t>
            </w:r>
          </w:p>
        </w:tc>
        <w:tc>
          <w:tcPr>
            <w:tcW w:w="3862" w:type="dxa"/>
            <w:vAlign w:val="center"/>
          </w:tcPr>
          <w:p w14:paraId="38CEC6C5">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不存在第一章“投标人须知”第1.</w:t>
            </w:r>
            <w:r>
              <w:rPr>
                <w:rFonts w:ascii="宋体" w:hAnsi="宋体"/>
                <w:color w:val="auto"/>
                <w:szCs w:val="21"/>
              </w:rPr>
              <w:t>2.2</w:t>
            </w:r>
            <w:r>
              <w:rPr>
                <w:rFonts w:hint="eastAsia" w:ascii="宋体" w:hAnsi="宋体"/>
                <w:color w:val="auto"/>
                <w:szCs w:val="21"/>
              </w:rPr>
              <w:t>项规定的任何一种情形</w:t>
            </w:r>
          </w:p>
        </w:tc>
        <w:tc>
          <w:tcPr>
            <w:tcW w:w="1514" w:type="dxa"/>
            <w:vAlign w:val="center"/>
          </w:tcPr>
          <w:p w14:paraId="73418E7B">
            <w:pPr>
              <w:widowControl w:val="0"/>
              <w:autoSpaceDE w:val="0"/>
              <w:autoSpaceDN w:val="0"/>
              <w:adjustRightInd w:val="0"/>
              <w:snapToGrid w:val="0"/>
              <w:ind w:firstLine="0" w:firstLineChars="0"/>
              <w:jc w:val="left"/>
              <w:rPr>
                <w:rFonts w:ascii="宋体" w:hAnsi="宋体"/>
                <w:color w:val="auto"/>
                <w:szCs w:val="21"/>
              </w:rPr>
            </w:pPr>
            <w:r>
              <w:rPr>
                <w:rFonts w:ascii="宋体" w:hAnsi="宋体"/>
                <w:color w:val="auto"/>
                <w:szCs w:val="21"/>
              </w:rPr>
              <w:t>是否符合要求</w:t>
            </w:r>
          </w:p>
        </w:tc>
      </w:tr>
      <w:tr w14:paraId="6C20D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187E62AD">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3</w:t>
            </w:r>
          </w:p>
        </w:tc>
        <w:tc>
          <w:tcPr>
            <w:tcW w:w="1108" w:type="dxa"/>
            <w:vMerge w:val="restart"/>
            <w:vAlign w:val="center"/>
          </w:tcPr>
          <w:p w14:paraId="415077AB">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响应性</w:t>
            </w:r>
          </w:p>
          <w:p w14:paraId="2B4F0BB2">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评审标准</w:t>
            </w:r>
          </w:p>
        </w:tc>
        <w:tc>
          <w:tcPr>
            <w:tcW w:w="1514" w:type="dxa"/>
            <w:vAlign w:val="center"/>
          </w:tcPr>
          <w:p w14:paraId="10F72A1C">
            <w:pPr>
              <w:widowControl w:val="0"/>
              <w:autoSpaceDE w:val="0"/>
              <w:autoSpaceDN w:val="0"/>
              <w:adjustRightInd w:val="0"/>
              <w:snapToGrid w:val="0"/>
              <w:ind w:firstLine="0" w:firstLineChars="0"/>
              <w:jc w:val="left"/>
              <w:rPr>
                <w:rFonts w:ascii="宋体" w:hAnsi="宋体" w:cs="宋体"/>
                <w:color w:val="auto"/>
                <w:szCs w:val="21"/>
              </w:rPr>
            </w:pPr>
            <w:r>
              <w:rPr>
                <w:rFonts w:hint="eastAsia" w:ascii="宋体" w:hAnsi="宋体" w:cs="宋体"/>
                <w:color w:val="auto"/>
                <w:szCs w:val="21"/>
              </w:rPr>
              <w:t>投标报价</w:t>
            </w:r>
          </w:p>
        </w:tc>
        <w:tc>
          <w:tcPr>
            <w:tcW w:w="3862" w:type="dxa"/>
            <w:vAlign w:val="center"/>
          </w:tcPr>
          <w:p w14:paraId="0D92910E">
            <w:pPr>
              <w:widowControl w:val="0"/>
              <w:autoSpaceDE w:val="0"/>
              <w:autoSpaceDN w:val="0"/>
              <w:adjustRightInd w:val="0"/>
              <w:snapToGrid w:val="0"/>
              <w:ind w:firstLine="0" w:firstLineChars="0"/>
              <w:jc w:val="left"/>
              <w:rPr>
                <w:rFonts w:ascii="宋体" w:hAnsi="宋体" w:cs="宋体"/>
                <w:color w:val="auto"/>
                <w:szCs w:val="21"/>
              </w:rPr>
            </w:pPr>
            <w:r>
              <w:rPr>
                <w:rFonts w:hint="eastAsia" w:ascii="宋体" w:hAnsi="宋体" w:cs="宋体"/>
                <w:color w:val="auto"/>
                <w:szCs w:val="21"/>
              </w:rPr>
              <w:t>投标报价未高于最高限价</w:t>
            </w:r>
          </w:p>
        </w:tc>
        <w:tc>
          <w:tcPr>
            <w:tcW w:w="1514" w:type="dxa"/>
            <w:vAlign w:val="center"/>
          </w:tcPr>
          <w:p w14:paraId="45372422">
            <w:pPr>
              <w:widowControl w:val="0"/>
              <w:autoSpaceDE w:val="0"/>
              <w:autoSpaceDN w:val="0"/>
              <w:adjustRightInd w:val="0"/>
              <w:snapToGrid w:val="0"/>
              <w:ind w:firstLine="0" w:firstLineChars="0"/>
              <w:jc w:val="left"/>
              <w:rPr>
                <w:rFonts w:ascii="宋体" w:hAnsi="宋体"/>
                <w:color w:val="auto"/>
                <w:szCs w:val="21"/>
              </w:rPr>
            </w:pPr>
            <w:r>
              <w:rPr>
                <w:rFonts w:ascii="宋体" w:hAnsi="宋体"/>
                <w:color w:val="auto"/>
                <w:szCs w:val="21"/>
              </w:rPr>
              <w:t>是否符合要求</w:t>
            </w:r>
          </w:p>
        </w:tc>
      </w:tr>
      <w:tr w14:paraId="14EED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663CE1FF">
            <w:pPr>
              <w:widowControl w:val="0"/>
              <w:autoSpaceDE w:val="0"/>
              <w:autoSpaceDN w:val="0"/>
              <w:adjustRightInd w:val="0"/>
              <w:snapToGrid w:val="0"/>
              <w:ind w:firstLine="0" w:firstLineChars="0"/>
              <w:jc w:val="left"/>
              <w:rPr>
                <w:rFonts w:ascii="宋体" w:hAnsi="宋体"/>
                <w:color w:val="auto"/>
                <w:szCs w:val="21"/>
              </w:rPr>
            </w:pPr>
          </w:p>
        </w:tc>
        <w:tc>
          <w:tcPr>
            <w:tcW w:w="1108" w:type="dxa"/>
            <w:vMerge w:val="continue"/>
            <w:vAlign w:val="center"/>
          </w:tcPr>
          <w:p w14:paraId="6E432B75">
            <w:pPr>
              <w:widowControl w:val="0"/>
              <w:autoSpaceDE w:val="0"/>
              <w:autoSpaceDN w:val="0"/>
              <w:adjustRightInd w:val="0"/>
              <w:snapToGrid w:val="0"/>
              <w:ind w:firstLine="0" w:firstLineChars="0"/>
              <w:jc w:val="left"/>
              <w:rPr>
                <w:rFonts w:ascii="宋体" w:hAnsi="宋体"/>
                <w:color w:val="auto"/>
                <w:szCs w:val="21"/>
              </w:rPr>
            </w:pPr>
          </w:p>
        </w:tc>
        <w:tc>
          <w:tcPr>
            <w:tcW w:w="1514" w:type="dxa"/>
            <w:vAlign w:val="center"/>
          </w:tcPr>
          <w:p w14:paraId="174B6C96">
            <w:pPr>
              <w:widowControl w:val="0"/>
              <w:autoSpaceDE w:val="0"/>
              <w:autoSpaceDN w:val="0"/>
              <w:adjustRightInd w:val="0"/>
              <w:snapToGrid w:val="0"/>
              <w:ind w:firstLine="0" w:firstLineChars="0"/>
              <w:jc w:val="left"/>
              <w:rPr>
                <w:rFonts w:ascii="宋体" w:hAnsi="宋体" w:cs="宋体"/>
                <w:color w:val="auto"/>
                <w:szCs w:val="21"/>
              </w:rPr>
            </w:pPr>
            <w:r>
              <w:rPr>
                <w:rFonts w:ascii="宋体" w:hAnsi="宋体" w:cs="宋体"/>
                <w:color w:val="auto"/>
                <w:szCs w:val="21"/>
              </w:rPr>
              <w:t>投标内容</w:t>
            </w:r>
          </w:p>
        </w:tc>
        <w:tc>
          <w:tcPr>
            <w:tcW w:w="3862" w:type="dxa"/>
            <w:vAlign w:val="center"/>
          </w:tcPr>
          <w:p w14:paraId="4EDD5C65">
            <w:pPr>
              <w:widowControl w:val="0"/>
              <w:autoSpaceDE w:val="0"/>
              <w:autoSpaceDN w:val="0"/>
              <w:adjustRightInd w:val="0"/>
              <w:snapToGrid w:val="0"/>
              <w:ind w:firstLine="0" w:firstLineChars="0"/>
              <w:jc w:val="left"/>
              <w:rPr>
                <w:rFonts w:ascii="宋体" w:hAnsi="宋体" w:cs="宋体"/>
                <w:color w:val="auto"/>
                <w:szCs w:val="21"/>
              </w:rPr>
            </w:pPr>
            <w:r>
              <w:rPr>
                <w:rFonts w:ascii="宋体" w:hAnsi="宋体"/>
                <w:color w:val="auto"/>
                <w:szCs w:val="21"/>
              </w:rPr>
              <w:t>符合</w:t>
            </w:r>
            <w:r>
              <w:rPr>
                <w:rFonts w:hint="eastAsia" w:ascii="宋体" w:hAnsi="宋体"/>
                <w:color w:val="auto"/>
                <w:szCs w:val="21"/>
              </w:rPr>
              <w:t>招标文件要求</w:t>
            </w:r>
          </w:p>
        </w:tc>
        <w:tc>
          <w:tcPr>
            <w:tcW w:w="1514" w:type="dxa"/>
            <w:vAlign w:val="center"/>
          </w:tcPr>
          <w:p w14:paraId="5316FD6A">
            <w:pPr>
              <w:widowControl w:val="0"/>
              <w:autoSpaceDE w:val="0"/>
              <w:autoSpaceDN w:val="0"/>
              <w:adjustRightInd w:val="0"/>
              <w:snapToGrid w:val="0"/>
              <w:ind w:firstLine="0" w:firstLineChars="0"/>
              <w:jc w:val="left"/>
              <w:rPr>
                <w:rFonts w:ascii="宋体" w:hAnsi="宋体"/>
                <w:color w:val="auto"/>
                <w:szCs w:val="21"/>
              </w:rPr>
            </w:pPr>
            <w:r>
              <w:rPr>
                <w:rFonts w:ascii="宋体" w:hAnsi="宋体"/>
                <w:color w:val="auto"/>
                <w:szCs w:val="21"/>
              </w:rPr>
              <w:t>是否符合要求</w:t>
            </w:r>
          </w:p>
        </w:tc>
      </w:tr>
      <w:tr w14:paraId="1724DB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254ED9A8">
            <w:pPr>
              <w:widowControl w:val="0"/>
              <w:autoSpaceDE w:val="0"/>
              <w:autoSpaceDN w:val="0"/>
              <w:adjustRightInd w:val="0"/>
              <w:snapToGrid w:val="0"/>
              <w:ind w:firstLine="0" w:firstLineChars="0"/>
              <w:jc w:val="left"/>
              <w:rPr>
                <w:rFonts w:ascii="宋体" w:hAnsi="宋体"/>
                <w:color w:val="auto"/>
                <w:szCs w:val="21"/>
              </w:rPr>
            </w:pPr>
          </w:p>
        </w:tc>
        <w:tc>
          <w:tcPr>
            <w:tcW w:w="1108" w:type="dxa"/>
            <w:vMerge w:val="continue"/>
            <w:vAlign w:val="center"/>
          </w:tcPr>
          <w:p w14:paraId="2A787CF2">
            <w:pPr>
              <w:widowControl w:val="0"/>
              <w:autoSpaceDE w:val="0"/>
              <w:autoSpaceDN w:val="0"/>
              <w:adjustRightInd w:val="0"/>
              <w:snapToGrid w:val="0"/>
              <w:ind w:firstLine="0" w:firstLineChars="0"/>
              <w:jc w:val="left"/>
              <w:rPr>
                <w:rFonts w:ascii="宋体" w:hAnsi="宋体"/>
                <w:color w:val="auto"/>
                <w:szCs w:val="21"/>
              </w:rPr>
            </w:pPr>
          </w:p>
        </w:tc>
        <w:tc>
          <w:tcPr>
            <w:tcW w:w="1514" w:type="dxa"/>
            <w:vAlign w:val="center"/>
          </w:tcPr>
          <w:p w14:paraId="40909A1A">
            <w:pPr>
              <w:widowControl w:val="0"/>
              <w:autoSpaceDE w:val="0"/>
              <w:autoSpaceDN w:val="0"/>
              <w:adjustRightInd w:val="0"/>
              <w:snapToGrid w:val="0"/>
              <w:ind w:firstLine="0" w:firstLineChars="0"/>
              <w:jc w:val="left"/>
              <w:rPr>
                <w:rFonts w:ascii="宋体" w:hAnsi="宋体" w:cs="宋体"/>
                <w:color w:val="auto"/>
                <w:szCs w:val="21"/>
              </w:rPr>
            </w:pPr>
            <w:r>
              <w:rPr>
                <w:rFonts w:hint="eastAsia" w:ascii="宋体" w:hAnsi="宋体" w:cs="宋体"/>
                <w:color w:val="auto"/>
                <w:szCs w:val="21"/>
              </w:rPr>
              <w:t>投标有效期</w:t>
            </w:r>
          </w:p>
        </w:tc>
        <w:tc>
          <w:tcPr>
            <w:tcW w:w="3862" w:type="dxa"/>
            <w:vAlign w:val="center"/>
          </w:tcPr>
          <w:p w14:paraId="3054BA52">
            <w:pPr>
              <w:widowControl w:val="0"/>
              <w:autoSpaceDE w:val="0"/>
              <w:autoSpaceDN w:val="0"/>
              <w:adjustRightInd w:val="0"/>
              <w:snapToGrid w:val="0"/>
              <w:ind w:firstLine="0" w:firstLineChars="0"/>
              <w:jc w:val="left"/>
              <w:rPr>
                <w:rFonts w:ascii="宋体" w:hAnsi="宋体" w:cs="宋体"/>
                <w:color w:val="auto"/>
                <w:szCs w:val="21"/>
              </w:rPr>
            </w:pPr>
            <w:r>
              <w:rPr>
                <w:rFonts w:ascii="宋体" w:hAnsi="宋体"/>
                <w:color w:val="auto"/>
                <w:szCs w:val="21"/>
              </w:rPr>
              <w:t>符合</w:t>
            </w:r>
            <w:r>
              <w:rPr>
                <w:rFonts w:hint="eastAsia" w:ascii="宋体" w:hAnsi="宋体"/>
                <w:color w:val="auto"/>
                <w:szCs w:val="21"/>
              </w:rPr>
              <w:t>招标文件要求</w:t>
            </w:r>
          </w:p>
        </w:tc>
        <w:tc>
          <w:tcPr>
            <w:tcW w:w="1514" w:type="dxa"/>
            <w:vAlign w:val="center"/>
          </w:tcPr>
          <w:p w14:paraId="4DB83F25">
            <w:pPr>
              <w:widowControl w:val="0"/>
              <w:autoSpaceDE w:val="0"/>
              <w:autoSpaceDN w:val="0"/>
              <w:adjustRightInd w:val="0"/>
              <w:snapToGrid w:val="0"/>
              <w:ind w:firstLine="0" w:firstLineChars="0"/>
              <w:jc w:val="left"/>
              <w:rPr>
                <w:rFonts w:ascii="宋体" w:hAnsi="宋体"/>
                <w:color w:val="auto"/>
                <w:szCs w:val="21"/>
              </w:rPr>
            </w:pPr>
            <w:r>
              <w:rPr>
                <w:rFonts w:ascii="宋体" w:hAnsi="宋体"/>
                <w:color w:val="auto"/>
                <w:szCs w:val="21"/>
              </w:rPr>
              <w:t>是否符合要求</w:t>
            </w:r>
          </w:p>
        </w:tc>
      </w:tr>
      <w:tr w14:paraId="46E93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531" w:type="dxa"/>
            <w:vMerge w:val="continue"/>
          </w:tcPr>
          <w:p w14:paraId="118EC885">
            <w:pPr>
              <w:widowControl w:val="0"/>
              <w:autoSpaceDE w:val="0"/>
              <w:autoSpaceDN w:val="0"/>
              <w:adjustRightInd w:val="0"/>
              <w:snapToGrid w:val="0"/>
              <w:ind w:firstLine="0" w:firstLineChars="0"/>
              <w:jc w:val="left"/>
              <w:rPr>
                <w:rFonts w:ascii="宋体" w:hAnsi="宋体"/>
                <w:color w:val="auto"/>
                <w:szCs w:val="21"/>
              </w:rPr>
            </w:pPr>
          </w:p>
        </w:tc>
        <w:tc>
          <w:tcPr>
            <w:tcW w:w="1108" w:type="dxa"/>
            <w:vMerge w:val="continue"/>
            <w:vAlign w:val="center"/>
          </w:tcPr>
          <w:p w14:paraId="34BD648B">
            <w:pPr>
              <w:widowControl w:val="0"/>
              <w:autoSpaceDE w:val="0"/>
              <w:autoSpaceDN w:val="0"/>
              <w:adjustRightInd w:val="0"/>
              <w:snapToGrid w:val="0"/>
              <w:ind w:firstLine="0" w:firstLineChars="0"/>
              <w:jc w:val="left"/>
              <w:rPr>
                <w:rFonts w:ascii="宋体" w:hAnsi="宋体"/>
                <w:color w:val="auto"/>
                <w:szCs w:val="21"/>
              </w:rPr>
            </w:pPr>
          </w:p>
        </w:tc>
        <w:tc>
          <w:tcPr>
            <w:tcW w:w="1514" w:type="dxa"/>
            <w:vAlign w:val="center"/>
          </w:tcPr>
          <w:p w14:paraId="0C160EE1">
            <w:pPr>
              <w:widowControl w:val="0"/>
              <w:autoSpaceDE w:val="0"/>
              <w:autoSpaceDN w:val="0"/>
              <w:adjustRightInd w:val="0"/>
              <w:snapToGrid w:val="0"/>
              <w:ind w:firstLine="0" w:firstLineChars="0"/>
              <w:jc w:val="left"/>
              <w:rPr>
                <w:rFonts w:ascii="宋体" w:hAnsi="宋体" w:cs="宋体"/>
                <w:color w:val="auto"/>
                <w:szCs w:val="21"/>
              </w:rPr>
            </w:pPr>
            <w:r>
              <w:rPr>
                <w:rFonts w:hint="eastAsia" w:ascii="宋体" w:hAnsi="宋体" w:cs="宋体"/>
                <w:color w:val="auto"/>
                <w:szCs w:val="21"/>
              </w:rPr>
              <w:t>服务期</w:t>
            </w:r>
          </w:p>
        </w:tc>
        <w:tc>
          <w:tcPr>
            <w:tcW w:w="3862" w:type="dxa"/>
            <w:vAlign w:val="center"/>
          </w:tcPr>
          <w:p w14:paraId="5AAD8CAA">
            <w:pPr>
              <w:widowControl w:val="0"/>
              <w:autoSpaceDE w:val="0"/>
              <w:autoSpaceDN w:val="0"/>
              <w:adjustRightInd w:val="0"/>
              <w:snapToGrid w:val="0"/>
              <w:ind w:firstLine="0" w:firstLineChars="0"/>
              <w:jc w:val="left"/>
              <w:rPr>
                <w:rFonts w:ascii="宋体" w:hAnsi="宋体" w:cs="宋体"/>
                <w:color w:val="auto"/>
                <w:szCs w:val="21"/>
              </w:rPr>
            </w:pPr>
            <w:r>
              <w:rPr>
                <w:rFonts w:ascii="宋体" w:hAnsi="宋体"/>
                <w:color w:val="auto"/>
                <w:szCs w:val="21"/>
              </w:rPr>
              <w:t>符合</w:t>
            </w:r>
            <w:r>
              <w:rPr>
                <w:rFonts w:hint="eastAsia" w:ascii="宋体" w:hAnsi="宋体"/>
                <w:color w:val="auto"/>
                <w:szCs w:val="21"/>
              </w:rPr>
              <w:t>招标文件要求</w:t>
            </w:r>
          </w:p>
        </w:tc>
        <w:tc>
          <w:tcPr>
            <w:tcW w:w="1514" w:type="dxa"/>
            <w:vAlign w:val="center"/>
          </w:tcPr>
          <w:p w14:paraId="25A37FDE">
            <w:pPr>
              <w:widowControl w:val="0"/>
              <w:autoSpaceDE w:val="0"/>
              <w:autoSpaceDN w:val="0"/>
              <w:adjustRightInd w:val="0"/>
              <w:snapToGrid w:val="0"/>
              <w:ind w:firstLine="0" w:firstLineChars="0"/>
              <w:jc w:val="left"/>
              <w:rPr>
                <w:rFonts w:ascii="宋体" w:hAnsi="宋体"/>
                <w:color w:val="auto"/>
                <w:szCs w:val="21"/>
              </w:rPr>
            </w:pPr>
            <w:r>
              <w:rPr>
                <w:rFonts w:ascii="宋体" w:hAnsi="宋体"/>
                <w:color w:val="auto"/>
                <w:szCs w:val="21"/>
              </w:rPr>
              <w:t>是否符合要求</w:t>
            </w:r>
          </w:p>
        </w:tc>
      </w:tr>
      <w:tr w14:paraId="3C490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trPr>
        <w:tc>
          <w:tcPr>
            <w:tcW w:w="531" w:type="dxa"/>
            <w:vMerge w:val="continue"/>
          </w:tcPr>
          <w:p w14:paraId="2CC80584">
            <w:pPr>
              <w:widowControl w:val="0"/>
              <w:autoSpaceDE w:val="0"/>
              <w:autoSpaceDN w:val="0"/>
              <w:adjustRightInd w:val="0"/>
              <w:snapToGrid w:val="0"/>
              <w:ind w:firstLine="0" w:firstLineChars="0"/>
              <w:jc w:val="left"/>
              <w:rPr>
                <w:rFonts w:ascii="宋体" w:hAnsi="宋体"/>
                <w:color w:val="auto"/>
                <w:szCs w:val="21"/>
              </w:rPr>
            </w:pPr>
          </w:p>
        </w:tc>
        <w:tc>
          <w:tcPr>
            <w:tcW w:w="1108" w:type="dxa"/>
            <w:vMerge w:val="continue"/>
            <w:vAlign w:val="center"/>
          </w:tcPr>
          <w:p w14:paraId="73CE6287">
            <w:pPr>
              <w:widowControl w:val="0"/>
              <w:autoSpaceDE w:val="0"/>
              <w:autoSpaceDN w:val="0"/>
              <w:adjustRightInd w:val="0"/>
              <w:snapToGrid w:val="0"/>
              <w:ind w:firstLine="0" w:firstLineChars="0"/>
              <w:jc w:val="left"/>
              <w:rPr>
                <w:rFonts w:ascii="宋体" w:hAnsi="宋体"/>
                <w:color w:val="auto"/>
                <w:szCs w:val="21"/>
              </w:rPr>
            </w:pPr>
          </w:p>
        </w:tc>
        <w:tc>
          <w:tcPr>
            <w:tcW w:w="1514" w:type="dxa"/>
            <w:vAlign w:val="center"/>
          </w:tcPr>
          <w:p w14:paraId="070C5723">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投标文件响应情况</w:t>
            </w:r>
          </w:p>
        </w:tc>
        <w:tc>
          <w:tcPr>
            <w:tcW w:w="3862" w:type="dxa"/>
            <w:vAlign w:val="center"/>
          </w:tcPr>
          <w:p w14:paraId="7ED63124">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商务、技术不可偏离项（“★”）完全响应招标文件要求</w:t>
            </w:r>
          </w:p>
        </w:tc>
        <w:tc>
          <w:tcPr>
            <w:tcW w:w="1514" w:type="dxa"/>
            <w:vAlign w:val="center"/>
          </w:tcPr>
          <w:p w14:paraId="70BDB461">
            <w:pPr>
              <w:widowControl w:val="0"/>
              <w:autoSpaceDE w:val="0"/>
              <w:autoSpaceDN w:val="0"/>
              <w:adjustRightInd w:val="0"/>
              <w:snapToGrid w:val="0"/>
              <w:ind w:firstLine="0" w:firstLineChars="0"/>
              <w:jc w:val="left"/>
              <w:rPr>
                <w:rFonts w:ascii="宋体" w:hAnsi="宋体"/>
                <w:color w:val="auto"/>
                <w:szCs w:val="21"/>
              </w:rPr>
            </w:pPr>
            <w:r>
              <w:rPr>
                <w:rFonts w:ascii="宋体" w:hAnsi="宋体"/>
                <w:color w:val="auto"/>
                <w:szCs w:val="21"/>
              </w:rPr>
              <w:t>是否符合要求</w:t>
            </w:r>
          </w:p>
        </w:tc>
      </w:tr>
    </w:tbl>
    <w:p w14:paraId="0D443006">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注：以上初步评审审查标准中如出现一处不符合要求，其投标文件将作废标处理。</w:t>
      </w:r>
    </w:p>
    <w:p w14:paraId="722FFCBE">
      <w:pPr>
        <w:widowControl w:val="0"/>
        <w:autoSpaceDE w:val="0"/>
        <w:autoSpaceDN w:val="0"/>
        <w:adjustRightInd w:val="0"/>
        <w:snapToGrid w:val="0"/>
        <w:ind w:firstLine="0" w:firstLineChars="0"/>
        <w:jc w:val="center"/>
        <w:outlineLvl w:val="1"/>
        <w:rPr>
          <w:rFonts w:ascii="宋体" w:hAnsi="宋体"/>
          <w:b/>
          <w:color w:val="auto"/>
          <w:sz w:val="32"/>
        </w:rPr>
      </w:pPr>
      <w:r>
        <w:rPr>
          <w:rFonts w:ascii="宋体" w:hAnsi="宋体"/>
          <w:b/>
          <w:color w:val="auto"/>
          <w:sz w:val="32"/>
          <w:szCs w:val="32"/>
        </w:rPr>
        <w:br w:type="page"/>
      </w:r>
      <w:bookmarkStart w:id="310" w:name="_Toc9603"/>
      <w:bookmarkStart w:id="311" w:name="_Toc12706"/>
      <w:bookmarkStart w:id="312" w:name="_Toc10870"/>
      <w:bookmarkStart w:id="313" w:name="_Toc29323"/>
      <w:r>
        <w:rPr>
          <w:rFonts w:hint="eastAsia" w:ascii="宋体" w:hAnsi="宋体"/>
          <w:b/>
          <w:color w:val="auto"/>
          <w:sz w:val="32"/>
          <w:szCs w:val="32"/>
        </w:rPr>
        <w:t>二、评标方法</w:t>
      </w:r>
      <w:bookmarkEnd w:id="310"/>
      <w:bookmarkEnd w:id="311"/>
      <w:bookmarkEnd w:id="312"/>
      <w:bookmarkEnd w:id="313"/>
    </w:p>
    <w:p w14:paraId="4E78995F">
      <w:pPr>
        <w:widowControl w:val="0"/>
        <w:autoSpaceDE w:val="0"/>
        <w:autoSpaceDN w:val="0"/>
        <w:adjustRightInd w:val="0"/>
        <w:snapToGrid w:val="0"/>
        <w:ind w:firstLine="0" w:firstLineChars="0"/>
        <w:jc w:val="left"/>
        <w:rPr>
          <w:rFonts w:ascii="宋体" w:hAnsi="宋体"/>
          <w:color w:val="auto"/>
        </w:rPr>
      </w:pPr>
      <w:r>
        <w:rPr>
          <w:rFonts w:hint="eastAsia" w:ascii="宋体" w:hAnsi="宋体"/>
          <w:color w:val="auto"/>
        </w:rPr>
        <w:t>本项目采用综合评估法，是指在最大限度地满足招标文件实质性要求前提下，按照招标文件规定的评审标准进行评审，按评审因素的量化指标评审，排序靠前的推荐为中标候选人。</w:t>
      </w:r>
    </w:p>
    <w:p w14:paraId="0742E19F">
      <w:pPr>
        <w:widowControl w:val="0"/>
        <w:numPr>
          <w:ilvl w:val="0"/>
          <w:numId w:val="6"/>
        </w:numPr>
        <w:autoSpaceDE w:val="0"/>
        <w:autoSpaceDN w:val="0"/>
        <w:adjustRightInd w:val="0"/>
        <w:snapToGrid w:val="0"/>
        <w:ind w:firstLineChars="0"/>
        <w:jc w:val="left"/>
        <w:rPr>
          <w:rFonts w:ascii="宋体" w:hAnsi="宋体"/>
          <w:b/>
          <w:color w:val="auto"/>
        </w:rPr>
      </w:pPr>
      <w:bookmarkStart w:id="314" w:name="_Toc523252726"/>
      <w:r>
        <w:rPr>
          <w:rFonts w:hint="eastAsia" w:ascii="宋体" w:hAnsi="宋体"/>
          <w:b/>
          <w:color w:val="auto"/>
        </w:rPr>
        <w:t>评标程序</w:t>
      </w:r>
      <w:bookmarkEnd w:id="314"/>
    </w:p>
    <w:p w14:paraId="422A30B9">
      <w:pPr>
        <w:widowControl w:val="0"/>
        <w:numPr>
          <w:ilvl w:val="1"/>
          <w:numId w:val="6"/>
        </w:numPr>
        <w:autoSpaceDE w:val="0"/>
        <w:autoSpaceDN w:val="0"/>
        <w:adjustRightInd w:val="0"/>
        <w:snapToGrid w:val="0"/>
        <w:ind w:firstLineChars="0"/>
        <w:jc w:val="left"/>
        <w:rPr>
          <w:rFonts w:ascii="宋体" w:hAnsi="宋体"/>
          <w:b/>
          <w:color w:val="auto"/>
        </w:rPr>
      </w:pPr>
      <w:r>
        <w:rPr>
          <w:rFonts w:ascii="宋体" w:hAnsi="宋体"/>
          <w:color w:val="auto"/>
        </w:rPr>
        <w:t>初步评审</w:t>
      </w:r>
    </w:p>
    <w:p w14:paraId="1C6C0280">
      <w:pPr>
        <w:widowControl w:val="0"/>
        <w:numPr>
          <w:ilvl w:val="2"/>
          <w:numId w:val="6"/>
        </w:numPr>
        <w:autoSpaceDE w:val="0"/>
        <w:autoSpaceDN w:val="0"/>
        <w:adjustRightInd w:val="0"/>
        <w:snapToGrid w:val="0"/>
        <w:ind w:firstLineChars="0"/>
        <w:jc w:val="left"/>
        <w:rPr>
          <w:rFonts w:ascii="宋体" w:hAnsi="宋体"/>
          <w:b/>
          <w:color w:val="auto"/>
        </w:rPr>
      </w:pPr>
      <w:r>
        <w:rPr>
          <w:rFonts w:ascii="宋体" w:hAnsi="宋体"/>
          <w:color w:val="auto"/>
        </w:rPr>
        <w:t>评标委员会可以要求投标人提交第</w:t>
      </w:r>
      <w:r>
        <w:rPr>
          <w:rFonts w:hint="eastAsia" w:ascii="宋体" w:hAnsi="宋体"/>
          <w:color w:val="auto"/>
        </w:rPr>
        <w:t>一</w:t>
      </w:r>
      <w:r>
        <w:rPr>
          <w:rFonts w:ascii="宋体" w:hAnsi="宋体"/>
          <w:color w:val="auto"/>
        </w:rPr>
        <w:t>章“投标人须知”规定的有关证明和证件的原件，以便核验。评标委员会依据本章规定的标准对投标文件进行初步评审</w:t>
      </w:r>
      <w:r>
        <w:rPr>
          <w:rFonts w:hint="eastAsia" w:ascii="宋体" w:hAnsi="宋体"/>
          <w:color w:val="auto"/>
        </w:rPr>
        <w:t>，</w:t>
      </w:r>
      <w:r>
        <w:rPr>
          <w:rFonts w:ascii="宋体" w:hAnsi="宋体"/>
          <w:color w:val="auto"/>
        </w:rPr>
        <w:t>有一项不符合评审标准的，评标委员会应当否决其投标。初步评审的结论是“通过”或“不通过”，只有</w:t>
      </w:r>
      <w:r>
        <w:rPr>
          <w:rFonts w:hint="eastAsia" w:ascii="宋体" w:hAnsi="宋体"/>
          <w:color w:val="auto"/>
        </w:rPr>
        <w:t>结论为</w:t>
      </w:r>
      <w:r>
        <w:rPr>
          <w:rFonts w:ascii="宋体" w:hAnsi="宋体"/>
          <w:color w:val="auto"/>
        </w:rPr>
        <w:t>“通过”的投标方能进入下一阶段的评标，否则其投标将按</w:t>
      </w:r>
      <w:r>
        <w:rPr>
          <w:rFonts w:hint="eastAsia" w:ascii="宋体" w:hAnsi="宋体"/>
          <w:color w:val="auto"/>
        </w:rPr>
        <w:t>废</w:t>
      </w:r>
      <w:r>
        <w:rPr>
          <w:rFonts w:ascii="宋体" w:hAnsi="宋体"/>
          <w:color w:val="auto"/>
        </w:rPr>
        <w:t>标处理。</w:t>
      </w:r>
    </w:p>
    <w:p w14:paraId="478B06C4">
      <w:pPr>
        <w:widowControl w:val="0"/>
        <w:numPr>
          <w:ilvl w:val="1"/>
          <w:numId w:val="6"/>
        </w:numPr>
        <w:autoSpaceDE w:val="0"/>
        <w:autoSpaceDN w:val="0"/>
        <w:adjustRightInd w:val="0"/>
        <w:snapToGrid w:val="0"/>
        <w:ind w:firstLineChars="0"/>
        <w:jc w:val="left"/>
        <w:rPr>
          <w:rFonts w:ascii="宋体" w:hAnsi="宋体"/>
          <w:color w:val="auto"/>
        </w:rPr>
      </w:pPr>
      <w:bookmarkStart w:id="315" w:name="_bookmark89"/>
      <w:bookmarkEnd w:id="315"/>
      <w:r>
        <w:rPr>
          <w:rFonts w:ascii="宋体" w:hAnsi="宋体"/>
          <w:color w:val="auto"/>
        </w:rPr>
        <w:t>详细评审</w:t>
      </w:r>
    </w:p>
    <w:p w14:paraId="59E5FC90">
      <w:pPr>
        <w:widowControl w:val="0"/>
        <w:numPr>
          <w:ilvl w:val="2"/>
          <w:numId w:val="6"/>
        </w:numPr>
        <w:autoSpaceDE w:val="0"/>
        <w:autoSpaceDN w:val="0"/>
        <w:adjustRightInd w:val="0"/>
        <w:snapToGrid w:val="0"/>
        <w:ind w:firstLineChars="0"/>
        <w:jc w:val="left"/>
        <w:rPr>
          <w:rFonts w:ascii="宋体" w:hAnsi="宋体"/>
          <w:color w:val="auto"/>
        </w:rPr>
      </w:pPr>
      <w:r>
        <w:rPr>
          <w:rFonts w:ascii="宋体" w:hAnsi="宋体"/>
          <w:color w:val="auto"/>
        </w:rPr>
        <w:t>评</w:t>
      </w:r>
      <w:r>
        <w:rPr>
          <w:rFonts w:ascii="宋体" w:hAnsi="宋体"/>
          <w:color w:val="auto"/>
          <w:spacing w:val="-3"/>
        </w:rPr>
        <w:t>标</w:t>
      </w:r>
      <w:r>
        <w:rPr>
          <w:rFonts w:ascii="宋体" w:hAnsi="宋体"/>
          <w:color w:val="auto"/>
        </w:rPr>
        <w:t>委</w:t>
      </w:r>
      <w:r>
        <w:rPr>
          <w:rFonts w:ascii="宋体" w:hAnsi="宋体"/>
          <w:color w:val="auto"/>
          <w:spacing w:val="-3"/>
        </w:rPr>
        <w:t>员</w:t>
      </w:r>
      <w:r>
        <w:rPr>
          <w:rFonts w:ascii="宋体" w:hAnsi="宋体"/>
          <w:color w:val="auto"/>
        </w:rPr>
        <w:t>会</w:t>
      </w:r>
      <w:r>
        <w:rPr>
          <w:rFonts w:ascii="宋体" w:hAnsi="宋体"/>
          <w:color w:val="auto"/>
          <w:spacing w:val="-3"/>
        </w:rPr>
        <w:t>按</w:t>
      </w:r>
      <w:r>
        <w:rPr>
          <w:rFonts w:ascii="宋体" w:hAnsi="宋体"/>
          <w:color w:val="auto"/>
        </w:rPr>
        <w:t>本</w:t>
      </w:r>
      <w:r>
        <w:rPr>
          <w:rFonts w:ascii="宋体" w:hAnsi="宋体"/>
          <w:color w:val="auto"/>
          <w:spacing w:val="-3"/>
        </w:rPr>
        <w:t>章</w:t>
      </w:r>
      <w:r>
        <w:rPr>
          <w:rFonts w:ascii="宋体" w:hAnsi="宋体"/>
          <w:color w:val="auto"/>
        </w:rPr>
        <w:t>规</w:t>
      </w:r>
      <w:r>
        <w:rPr>
          <w:rFonts w:ascii="宋体" w:hAnsi="宋体"/>
          <w:color w:val="auto"/>
          <w:spacing w:val="-3"/>
        </w:rPr>
        <w:t>定</w:t>
      </w:r>
      <w:r>
        <w:rPr>
          <w:rFonts w:ascii="宋体" w:hAnsi="宋体"/>
          <w:color w:val="auto"/>
        </w:rPr>
        <w:t>的</w:t>
      </w:r>
      <w:r>
        <w:rPr>
          <w:rFonts w:ascii="宋体" w:hAnsi="宋体"/>
          <w:color w:val="auto"/>
          <w:spacing w:val="-3"/>
        </w:rPr>
        <w:t>量</w:t>
      </w:r>
      <w:r>
        <w:rPr>
          <w:rFonts w:ascii="宋体" w:hAnsi="宋体"/>
          <w:color w:val="auto"/>
        </w:rPr>
        <w:t>化</w:t>
      </w:r>
      <w:r>
        <w:rPr>
          <w:rFonts w:ascii="宋体" w:hAnsi="宋体"/>
          <w:color w:val="auto"/>
          <w:spacing w:val="-3"/>
        </w:rPr>
        <w:t>因</w:t>
      </w:r>
      <w:r>
        <w:rPr>
          <w:rFonts w:ascii="宋体" w:hAnsi="宋体"/>
          <w:color w:val="auto"/>
        </w:rPr>
        <w:t>素</w:t>
      </w:r>
      <w:r>
        <w:rPr>
          <w:rFonts w:ascii="宋体" w:hAnsi="宋体"/>
          <w:color w:val="auto"/>
          <w:spacing w:val="-3"/>
        </w:rPr>
        <w:t>和</w:t>
      </w:r>
      <w:r>
        <w:rPr>
          <w:rFonts w:ascii="宋体" w:hAnsi="宋体"/>
          <w:color w:val="auto"/>
        </w:rPr>
        <w:t>分值</w:t>
      </w:r>
      <w:r>
        <w:rPr>
          <w:rFonts w:ascii="宋体" w:hAnsi="宋体"/>
          <w:color w:val="auto"/>
          <w:spacing w:val="-3"/>
        </w:rPr>
        <w:t>进</w:t>
      </w:r>
      <w:r>
        <w:rPr>
          <w:rFonts w:ascii="宋体" w:hAnsi="宋体"/>
          <w:color w:val="auto"/>
        </w:rPr>
        <w:t>行</w:t>
      </w:r>
      <w:r>
        <w:rPr>
          <w:rFonts w:ascii="宋体" w:hAnsi="宋体"/>
          <w:color w:val="auto"/>
          <w:spacing w:val="-3"/>
        </w:rPr>
        <w:t>打</w:t>
      </w:r>
      <w:r>
        <w:rPr>
          <w:rFonts w:ascii="宋体" w:hAnsi="宋体"/>
          <w:color w:val="auto"/>
        </w:rPr>
        <w:t>分</w:t>
      </w:r>
      <w:r>
        <w:rPr>
          <w:rFonts w:hint="eastAsia" w:ascii="宋体" w:hAnsi="宋体"/>
          <w:color w:val="auto"/>
        </w:rPr>
        <w:t>，</w:t>
      </w:r>
      <w:r>
        <w:rPr>
          <w:rFonts w:ascii="宋体" w:hAnsi="宋体"/>
          <w:color w:val="auto"/>
        </w:rPr>
        <w:t>并</w:t>
      </w:r>
      <w:r>
        <w:rPr>
          <w:rFonts w:ascii="宋体" w:hAnsi="宋体"/>
          <w:color w:val="auto"/>
          <w:spacing w:val="-3"/>
        </w:rPr>
        <w:t>计</w:t>
      </w:r>
      <w:r>
        <w:rPr>
          <w:rFonts w:ascii="宋体" w:hAnsi="宋体"/>
          <w:color w:val="auto"/>
        </w:rPr>
        <w:t>算</w:t>
      </w:r>
      <w:r>
        <w:rPr>
          <w:rFonts w:ascii="宋体" w:hAnsi="宋体"/>
          <w:color w:val="auto"/>
          <w:spacing w:val="-3"/>
        </w:rPr>
        <w:t>出综</w:t>
      </w:r>
      <w:r>
        <w:rPr>
          <w:rFonts w:ascii="宋体" w:hAnsi="宋体"/>
          <w:color w:val="auto"/>
        </w:rPr>
        <w:t>合评</w:t>
      </w:r>
      <w:r>
        <w:rPr>
          <w:rFonts w:ascii="宋体" w:hAnsi="宋体"/>
          <w:color w:val="auto"/>
          <w:spacing w:val="-3"/>
        </w:rPr>
        <w:t>估</w:t>
      </w:r>
      <w:r>
        <w:rPr>
          <w:rFonts w:ascii="宋体" w:hAnsi="宋体"/>
          <w:color w:val="auto"/>
        </w:rPr>
        <w:t>得</w:t>
      </w:r>
      <w:r>
        <w:rPr>
          <w:rFonts w:ascii="宋体" w:hAnsi="宋体"/>
          <w:color w:val="auto"/>
          <w:spacing w:val="-3"/>
        </w:rPr>
        <w:t>分</w:t>
      </w:r>
      <w:r>
        <w:rPr>
          <w:rFonts w:ascii="宋体" w:hAnsi="宋体"/>
          <w:color w:val="auto"/>
        </w:rPr>
        <w:t>。</w:t>
      </w:r>
    </w:p>
    <w:p w14:paraId="0340F22A">
      <w:pPr>
        <w:widowControl w:val="0"/>
        <w:numPr>
          <w:ilvl w:val="3"/>
          <w:numId w:val="6"/>
        </w:numPr>
        <w:autoSpaceDE w:val="0"/>
        <w:autoSpaceDN w:val="0"/>
        <w:adjustRightInd w:val="0"/>
        <w:snapToGrid w:val="0"/>
        <w:ind w:firstLineChars="0"/>
        <w:jc w:val="left"/>
        <w:rPr>
          <w:rFonts w:ascii="宋体" w:hAnsi="宋体"/>
          <w:color w:val="auto"/>
        </w:rPr>
      </w:pPr>
      <w:r>
        <w:rPr>
          <w:rFonts w:ascii="宋体" w:hAnsi="宋体"/>
          <w:color w:val="auto"/>
        </w:rPr>
        <w:t>按本章商务</w:t>
      </w:r>
      <w:r>
        <w:rPr>
          <w:rFonts w:hint="eastAsia" w:ascii="宋体" w:hAnsi="宋体"/>
          <w:color w:val="auto"/>
        </w:rPr>
        <w:t>标评审标准</w:t>
      </w:r>
      <w:r>
        <w:rPr>
          <w:rFonts w:ascii="宋体" w:hAnsi="宋体"/>
          <w:color w:val="auto"/>
        </w:rPr>
        <w:t>规定的评审因素和分值对商务部分计算出得分A；</w:t>
      </w:r>
    </w:p>
    <w:p w14:paraId="265E99CE">
      <w:pPr>
        <w:widowControl w:val="0"/>
        <w:numPr>
          <w:ilvl w:val="3"/>
          <w:numId w:val="6"/>
        </w:numPr>
        <w:autoSpaceDE w:val="0"/>
        <w:autoSpaceDN w:val="0"/>
        <w:adjustRightInd w:val="0"/>
        <w:snapToGrid w:val="0"/>
        <w:ind w:firstLineChars="0"/>
        <w:jc w:val="left"/>
        <w:rPr>
          <w:rFonts w:ascii="宋体" w:hAnsi="宋体"/>
          <w:color w:val="auto"/>
        </w:rPr>
      </w:pPr>
      <w:r>
        <w:rPr>
          <w:rFonts w:ascii="宋体" w:hAnsi="宋体"/>
          <w:color w:val="auto"/>
        </w:rPr>
        <w:t>按本章技术</w:t>
      </w:r>
      <w:r>
        <w:rPr>
          <w:rFonts w:hint="eastAsia" w:ascii="宋体" w:hAnsi="宋体"/>
          <w:color w:val="auto"/>
        </w:rPr>
        <w:t>标评审标准</w:t>
      </w:r>
      <w:r>
        <w:rPr>
          <w:rFonts w:ascii="宋体" w:hAnsi="宋体"/>
          <w:color w:val="auto"/>
        </w:rPr>
        <w:t>规定的评审因素和分值对技术部分计算出得分B；</w:t>
      </w:r>
    </w:p>
    <w:p w14:paraId="07C466E1">
      <w:pPr>
        <w:widowControl w:val="0"/>
        <w:numPr>
          <w:ilvl w:val="3"/>
          <w:numId w:val="6"/>
        </w:numPr>
        <w:autoSpaceDE w:val="0"/>
        <w:autoSpaceDN w:val="0"/>
        <w:adjustRightInd w:val="0"/>
        <w:snapToGrid w:val="0"/>
        <w:ind w:firstLineChars="0"/>
        <w:jc w:val="left"/>
        <w:rPr>
          <w:rFonts w:ascii="宋体" w:hAnsi="宋体"/>
          <w:color w:val="auto"/>
        </w:rPr>
      </w:pPr>
      <w:r>
        <w:rPr>
          <w:rFonts w:ascii="宋体" w:hAnsi="宋体"/>
          <w:color w:val="auto"/>
        </w:rPr>
        <w:t>按本章</w:t>
      </w:r>
      <w:r>
        <w:rPr>
          <w:rFonts w:hint="eastAsia" w:ascii="宋体" w:hAnsi="宋体"/>
          <w:color w:val="auto"/>
        </w:rPr>
        <w:t>价格标评审方法</w:t>
      </w:r>
      <w:r>
        <w:rPr>
          <w:rFonts w:ascii="宋体" w:hAnsi="宋体"/>
          <w:color w:val="auto"/>
        </w:rPr>
        <w:t>规定的评审因素和分值对投标报价计算出得分C；</w:t>
      </w:r>
    </w:p>
    <w:p w14:paraId="3D588128">
      <w:pPr>
        <w:widowControl w:val="0"/>
        <w:numPr>
          <w:ilvl w:val="3"/>
          <w:numId w:val="6"/>
        </w:numPr>
        <w:autoSpaceDE w:val="0"/>
        <w:autoSpaceDN w:val="0"/>
        <w:adjustRightInd w:val="0"/>
        <w:snapToGrid w:val="0"/>
        <w:ind w:firstLineChars="0"/>
        <w:jc w:val="left"/>
        <w:rPr>
          <w:rFonts w:ascii="宋体" w:hAnsi="宋体"/>
          <w:color w:val="auto"/>
        </w:rPr>
      </w:pPr>
      <w:r>
        <w:rPr>
          <w:rFonts w:ascii="宋体" w:hAnsi="宋体"/>
          <w:color w:val="auto"/>
        </w:rPr>
        <w:t>评分分值计算保留小数点后两位，小数点后第三位“四舍五入”。</w:t>
      </w:r>
    </w:p>
    <w:p w14:paraId="0CFF5E57">
      <w:pPr>
        <w:widowControl w:val="0"/>
        <w:numPr>
          <w:ilvl w:val="2"/>
          <w:numId w:val="6"/>
        </w:numPr>
        <w:autoSpaceDE w:val="0"/>
        <w:autoSpaceDN w:val="0"/>
        <w:adjustRightInd w:val="0"/>
        <w:snapToGrid w:val="0"/>
        <w:ind w:firstLineChars="0"/>
        <w:jc w:val="left"/>
        <w:rPr>
          <w:rFonts w:ascii="宋体" w:hAnsi="宋体"/>
          <w:color w:val="auto"/>
        </w:rPr>
      </w:pPr>
      <w:r>
        <w:rPr>
          <w:rFonts w:ascii="宋体" w:hAnsi="宋体"/>
          <w:color w:val="auto"/>
        </w:rPr>
        <w:t>投标人得分=A+B+C。</w:t>
      </w:r>
    </w:p>
    <w:p w14:paraId="193194A6">
      <w:pPr>
        <w:widowControl w:val="0"/>
        <w:numPr>
          <w:ilvl w:val="2"/>
          <w:numId w:val="6"/>
        </w:numPr>
        <w:autoSpaceDE w:val="0"/>
        <w:autoSpaceDN w:val="0"/>
        <w:adjustRightInd w:val="0"/>
        <w:snapToGrid w:val="0"/>
        <w:ind w:firstLineChars="0"/>
        <w:jc w:val="left"/>
        <w:rPr>
          <w:rFonts w:ascii="宋体" w:hAnsi="宋体"/>
          <w:color w:val="auto"/>
        </w:rPr>
      </w:pPr>
      <w:r>
        <w:rPr>
          <w:rFonts w:ascii="宋体" w:hAnsi="宋体"/>
          <w:color w:val="auto"/>
          <w:spacing w:val="-4"/>
        </w:rPr>
        <w:t>评标委员会发现投标人的报价明显低于其他投标报价，使得其投标报价可能低于其</w:t>
      </w:r>
      <w:r>
        <w:rPr>
          <w:rFonts w:ascii="宋体" w:hAnsi="宋体"/>
          <w:color w:val="auto"/>
          <w:spacing w:val="-1"/>
        </w:rPr>
        <w:t>成本的，应当要求该投标人作出书面说明并提供相应的证明材料。投标人不能合理说明或者</w:t>
      </w:r>
      <w:r>
        <w:rPr>
          <w:rFonts w:ascii="宋体" w:hAnsi="宋体"/>
          <w:color w:val="auto"/>
          <w:spacing w:val="-6"/>
        </w:rPr>
        <w:t>不能提供相应证明材料的，</w:t>
      </w:r>
      <w:r>
        <w:rPr>
          <w:rFonts w:hint="eastAsia" w:ascii="宋体" w:hAnsi="宋体"/>
          <w:color w:val="auto"/>
          <w:spacing w:val="-6"/>
        </w:rPr>
        <w:t>由</w:t>
      </w:r>
      <w:r>
        <w:rPr>
          <w:rFonts w:ascii="宋体" w:hAnsi="宋体"/>
          <w:color w:val="auto"/>
          <w:spacing w:val="-6"/>
        </w:rPr>
        <w:t>评标委员会认定该投标人以低于成本报价竞标，并否决其投标。</w:t>
      </w:r>
    </w:p>
    <w:p w14:paraId="096222F3">
      <w:pPr>
        <w:widowControl w:val="0"/>
        <w:numPr>
          <w:ilvl w:val="1"/>
          <w:numId w:val="6"/>
        </w:numPr>
        <w:autoSpaceDE w:val="0"/>
        <w:autoSpaceDN w:val="0"/>
        <w:adjustRightInd w:val="0"/>
        <w:snapToGrid w:val="0"/>
        <w:ind w:firstLineChars="0"/>
        <w:jc w:val="left"/>
        <w:rPr>
          <w:rFonts w:ascii="宋体" w:hAnsi="宋体"/>
          <w:color w:val="auto"/>
        </w:rPr>
      </w:pPr>
      <w:r>
        <w:rPr>
          <w:rFonts w:ascii="宋体" w:hAnsi="宋体"/>
          <w:color w:val="auto"/>
        </w:rPr>
        <w:t>投标文件的澄清</w:t>
      </w:r>
    </w:p>
    <w:p w14:paraId="1A28F005">
      <w:pPr>
        <w:widowControl w:val="0"/>
        <w:numPr>
          <w:ilvl w:val="2"/>
          <w:numId w:val="6"/>
        </w:numPr>
        <w:autoSpaceDE w:val="0"/>
        <w:autoSpaceDN w:val="0"/>
        <w:adjustRightInd w:val="0"/>
        <w:snapToGrid w:val="0"/>
        <w:ind w:firstLineChars="0"/>
        <w:jc w:val="left"/>
        <w:rPr>
          <w:rFonts w:ascii="宋体" w:hAnsi="宋体"/>
          <w:color w:val="auto"/>
        </w:rPr>
      </w:pPr>
      <w:r>
        <w:rPr>
          <w:rFonts w:ascii="宋体" w:hAnsi="宋体"/>
          <w:color w:val="auto"/>
          <w:spacing w:val="-4"/>
        </w:rPr>
        <w:t>在评标过程中，评标委员会可以书面形式要求投标人对投标文件中含义不明确、对同</w:t>
      </w:r>
      <w:r>
        <w:rPr>
          <w:rFonts w:ascii="宋体" w:hAnsi="宋体"/>
          <w:color w:val="auto"/>
          <w:spacing w:val="-1"/>
        </w:rPr>
        <w:t>类问题表述不一致或者有明显文字和计算错误的内容作必要的澄清、说明或补正。澄清、说明</w:t>
      </w:r>
      <w:r>
        <w:rPr>
          <w:rFonts w:ascii="宋体" w:hAnsi="宋体"/>
          <w:color w:val="auto"/>
        </w:rPr>
        <w:t>或补正应以</w:t>
      </w:r>
      <w:r>
        <w:rPr>
          <w:rFonts w:hint="eastAsia" w:ascii="宋体" w:hAnsi="宋体"/>
          <w:color w:val="auto"/>
        </w:rPr>
        <w:t>数据电文（或书面方式）</w:t>
      </w:r>
      <w:r>
        <w:rPr>
          <w:rFonts w:ascii="宋体" w:hAnsi="宋体"/>
          <w:color w:val="auto"/>
        </w:rPr>
        <w:t>进行。评标委员会不接受投标人主动提出的澄清、说明或补正。</w:t>
      </w:r>
    </w:p>
    <w:p w14:paraId="4BE1D81A">
      <w:pPr>
        <w:widowControl w:val="0"/>
        <w:numPr>
          <w:ilvl w:val="2"/>
          <w:numId w:val="6"/>
        </w:numPr>
        <w:autoSpaceDE w:val="0"/>
        <w:autoSpaceDN w:val="0"/>
        <w:adjustRightInd w:val="0"/>
        <w:snapToGrid w:val="0"/>
        <w:ind w:firstLineChars="0"/>
        <w:jc w:val="left"/>
        <w:rPr>
          <w:rFonts w:ascii="宋体" w:hAnsi="宋体"/>
          <w:color w:val="auto"/>
        </w:rPr>
      </w:pPr>
      <w:r>
        <w:rPr>
          <w:rFonts w:ascii="宋体" w:hAnsi="宋体"/>
          <w:color w:val="auto"/>
          <w:spacing w:val="-4"/>
        </w:rPr>
        <w:t>澄清、说明或补正不得超出投标文件的范围且不得改变投标文件的实质性内容，并构</w:t>
      </w:r>
      <w:r>
        <w:rPr>
          <w:rFonts w:ascii="宋体" w:hAnsi="宋体"/>
          <w:color w:val="auto"/>
        </w:rPr>
        <w:t>成投标文件的组成部分。</w:t>
      </w:r>
    </w:p>
    <w:p w14:paraId="725F3EA4">
      <w:pPr>
        <w:widowControl w:val="0"/>
        <w:numPr>
          <w:ilvl w:val="2"/>
          <w:numId w:val="6"/>
        </w:numPr>
        <w:autoSpaceDE w:val="0"/>
        <w:autoSpaceDN w:val="0"/>
        <w:adjustRightInd w:val="0"/>
        <w:snapToGrid w:val="0"/>
        <w:ind w:firstLineChars="0"/>
        <w:jc w:val="left"/>
        <w:rPr>
          <w:rFonts w:ascii="宋体" w:hAnsi="宋体"/>
          <w:color w:val="auto"/>
        </w:rPr>
      </w:pPr>
      <w:r>
        <w:rPr>
          <w:rFonts w:ascii="宋体" w:hAnsi="宋体"/>
          <w:color w:val="auto"/>
          <w:spacing w:val="-7"/>
        </w:rPr>
        <w:t>评标委员会对投标人提交的澄清、说明或补正有疑问的，可以要求投标人进一步澄清、</w:t>
      </w:r>
      <w:r>
        <w:rPr>
          <w:rFonts w:ascii="宋体" w:hAnsi="宋体"/>
          <w:color w:val="auto"/>
        </w:rPr>
        <w:t>说明或补正，直至满足评标委员会的要求。</w:t>
      </w:r>
    </w:p>
    <w:p w14:paraId="39E8E601">
      <w:pPr>
        <w:widowControl w:val="0"/>
        <w:numPr>
          <w:ilvl w:val="2"/>
          <w:numId w:val="6"/>
        </w:numPr>
        <w:autoSpaceDE w:val="0"/>
        <w:autoSpaceDN w:val="0"/>
        <w:adjustRightInd w:val="0"/>
        <w:snapToGrid w:val="0"/>
        <w:ind w:firstLineChars="0"/>
        <w:jc w:val="left"/>
        <w:rPr>
          <w:rFonts w:ascii="宋体" w:hAnsi="宋体"/>
          <w:color w:val="auto"/>
        </w:rPr>
      </w:pPr>
      <w:r>
        <w:rPr>
          <w:rFonts w:hint="eastAsia" w:ascii="宋体" w:hAnsi="宋体"/>
          <w:color w:val="auto"/>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01B7A968">
      <w:pPr>
        <w:widowControl w:val="0"/>
        <w:numPr>
          <w:ilvl w:val="1"/>
          <w:numId w:val="6"/>
        </w:numPr>
        <w:autoSpaceDE w:val="0"/>
        <w:autoSpaceDN w:val="0"/>
        <w:adjustRightInd w:val="0"/>
        <w:snapToGrid w:val="0"/>
        <w:ind w:firstLineChars="0"/>
        <w:jc w:val="left"/>
        <w:rPr>
          <w:rFonts w:ascii="宋体" w:hAnsi="宋体"/>
          <w:color w:val="auto"/>
        </w:rPr>
      </w:pPr>
      <w:r>
        <w:rPr>
          <w:rFonts w:ascii="宋体" w:hAnsi="宋体"/>
          <w:color w:val="auto"/>
        </w:rPr>
        <w:t>评标结果</w:t>
      </w:r>
    </w:p>
    <w:p w14:paraId="5342625C">
      <w:pPr>
        <w:widowControl w:val="0"/>
        <w:numPr>
          <w:ilvl w:val="2"/>
          <w:numId w:val="6"/>
        </w:numPr>
        <w:autoSpaceDE w:val="0"/>
        <w:autoSpaceDN w:val="0"/>
        <w:adjustRightInd w:val="0"/>
        <w:snapToGrid w:val="0"/>
        <w:ind w:firstLineChars="0"/>
        <w:jc w:val="left"/>
        <w:rPr>
          <w:rFonts w:ascii="宋体" w:hAnsi="宋体"/>
          <w:color w:val="auto"/>
        </w:rPr>
      </w:pPr>
      <w:r>
        <w:rPr>
          <w:rFonts w:ascii="宋体" w:hAnsi="宋体"/>
          <w:color w:val="auto"/>
        </w:rPr>
        <w:t>除第</w:t>
      </w:r>
      <w:r>
        <w:rPr>
          <w:rFonts w:hint="eastAsia" w:ascii="宋体" w:hAnsi="宋体"/>
          <w:color w:val="auto"/>
        </w:rPr>
        <w:t>一</w:t>
      </w:r>
      <w:r>
        <w:rPr>
          <w:rFonts w:ascii="宋体" w:hAnsi="宋体"/>
          <w:color w:val="auto"/>
        </w:rPr>
        <w:t>章</w:t>
      </w:r>
      <w:r>
        <w:rPr>
          <w:rFonts w:ascii="宋体" w:hAnsi="宋体"/>
          <w:iCs/>
          <w:color w:val="auto"/>
        </w:rPr>
        <w:t>“投标人须知”</w:t>
      </w:r>
      <w:r>
        <w:rPr>
          <w:rFonts w:ascii="宋体" w:hAnsi="宋体"/>
          <w:color w:val="auto"/>
        </w:rPr>
        <w:t>前附表授权直接确定中标人外，评标委员会按照得分由高到低的顺序推荐中标候选人，并标明排序。</w:t>
      </w:r>
    </w:p>
    <w:p w14:paraId="011E4BC5">
      <w:pPr>
        <w:widowControl w:val="0"/>
        <w:numPr>
          <w:ilvl w:val="2"/>
          <w:numId w:val="6"/>
        </w:numPr>
        <w:autoSpaceDE w:val="0"/>
        <w:autoSpaceDN w:val="0"/>
        <w:adjustRightInd w:val="0"/>
        <w:snapToGrid w:val="0"/>
        <w:ind w:firstLineChars="0"/>
        <w:jc w:val="left"/>
        <w:rPr>
          <w:rFonts w:ascii="宋体" w:hAnsi="宋体"/>
          <w:color w:val="auto"/>
        </w:rPr>
      </w:pPr>
      <w:r>
        <w:rPr>
          <w:rFonts w:ascii="宋体" w:hAnsi="宋体"/>
          <w:color w:val="auto"/>
        </w:rPr>
        <w:t>评标委员会完成评标后，应当向招标人提交书面评标报告和中标候选人名单。</w:t>
      </w:r>
    </w:p>
    <w:p w14:paraId="365D4C90">
      <w:pPr>
        <w:widowControl w:val="0"/>
        <w:autoSpaceDE w:val="0"/>
        <w:autoSpaceDN w:val="0"/>
        <w:adjustRightInd w:val="0"/>
        <w:snapToGrid w:val="0"/>
        <w:ind w:firstLine="0" w:firstLineChars="0"/>
        <w:jc w:val="left"/>
        <w:rPr>
          <w:rFonts w:ascii="宋体" w:hAnsi="宋体"/>
          <w:color w:val="auto"/>
        </w:rPr>
      </w:pPr>
    </w:p>
    <w:p w14:paraId="2769D1B8">
      <w:pPr>
        <w:widowControl w:val="0"/>
        <w:numPr>
          <w:ilvl w:val="0"/>
          <w:numId w:val="6"/>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中标候选人的推荐</w:t>
      </w:r>
    </w:p>
    <w:p w14:paraId="43CD9282">
      <w:pPr>
        <w:widowControl w:val="0"/>
        <w:numPr>
          <w:ilvl w:val="1"/>
          <w:numId w:val="6"/>
        </w:numPr>
        <w:autoSpaceDE w:val="0"/>
        <w:autoSpaceDN w:val="0"/>
        <w:adjustRightInd w:val="0"/>
        <w:snapToGrid w:val="0"/>
        <w:ind w:firstLineChars="0"/>
        <w:jc w:val="left"/>
        <w:rPr>
          <w:rFonts w:ascii="宋体" w:hAnsi="宋体"/>
          <w:b/>
          <w:color w:val="auto"/>
          <w:szCs w:val="21"/>
        </w:rPr>
      </w:pPr>
      <w:r>
        <w:rPr>
          <w:rFonts w:hint="eastAsia" w:ascii="宋体" w:hAnsi="宋体"/>
          <w:color w:val="auto"/>
          <w:szCs w:val="21"/>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第一的中标候选人，形成评标报告。</w:t>
      </w:r>
    </w:p>
    <w:p w14:paraId="5E5FB7C6">
      <w:pPr>
        <w:widowControl w:val="0"/>
        <w:numPr>
          <w:ilvl w:val="1"/>
          <w:numId w:val="6"/>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若出现评审综合得分相同的情形，按投标报价由低到高顺序排列；得分且投标报价相同的，按技术标得分顺序排列；如技术标得分仍然相同，则采用抽签的方法确定中标候选人的排序。</w:t>
      </w:r>
    </w:p>
    <w:p w14:paraId="6B58FA69">
      <w:pPr>
        <w:widowControl w:val="0"/>
        <w:autoSpaceDE w:val="0"/>
        <w:autoSpaceDN w:val="0"/>
        <w:adjustRightInd w:val="0"/>
        <w:snapToGrid w:val="0"/>
        <w:ind w:firstLine="0" w:firstLineChars="0"/>
        <w:jc w:val="left"/>
        <w:rPr>
          <w:rFonts w:ascii="宋体" w:hAnsi="宋体"/>
          <w:color w:val="auto"/>
          <w:szCs w:val="21"/>
        </w:rPr>
      </w:pPr>
    </w:p>
    <w:p w14:paraId="55535DA5">
      <w:pPr>
        <w:widowControl w:val="0"/>
        <w:numPr>
          <w:ilvl w:val="0"/>
          <w:numId w:val="6"/>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附表</w:t>
      </w:r>
    </w:p>
    <w:p w14:paraId="19D93EE6">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附表1-1《商务标评审标准》</w:t>
      </w:r>
    </w:p>
    <w:p w14:paraId="3F88779B">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附表2-1《技术标评审标准》</w:t>
      </w:r>
    </w:p>
    <w:p w14:paraId="507A44BE">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附表3-1《价格标评审方法》</w:t>
      </w:r>
    </w:p>
    <w:p w14:paraId="016EFDB5">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附表4-1《商务标、技术标、价格标分值表和综合得分汇总》</w:t>
      </w:r>
      <w:bookmarkStart w:id="316" w:name="_bookmark91"/>
      <w:bookmarkEnd w:id="316"/>
      <w:bookmarkStart w:id="317" w:name="_bookmark90"/>
      <w:bookmarkEnd w:id="317"/>
      <w:bookmarkStart w:id="318" w:name="_Toc209869262"/>
      <w:bookmarkStart w:id="319" w:name="_Toc229236501"/>
      <w:bookmarkStart w:id="320" w:name="_Toc177546571"/>
    </w:p>
    <w:bookmarkEnd w:id="318"/>
    <w:bookmarkEnd w:id="319"/>
    <w:bookmarkEnd w:id="320"/>
    <w:p w14:paraId="3F66F4B3">
      <w:pPr>
        <w:widowControl w:val="0"/>
        <w:autoSpaceDE w:val="0"/>
        <w:autoSpaceDN w:val="0"/>
        <w:adjustRightInd w:val="0"/>
        <w:snapToGrid w:val="0"/>
        <w:ind w:firstLine="0" w:firstLineChars="0"/>
        <w:jc w:val="left"/>
        <w:rPr>
          <w:rFonts w:ascii="宋体" w:hAnsi="宋体"/>
          <w:b/>
          <w:color w:val="auto"/>
          <w:szCs w:val="21"/>
        </w:rPr>
      </w:pPr>
      <w:r>
        <w:rPr>
          <w:rFonts w:ascii="宋体" w:hAnsi="宋体"/>
          <w:color w:val="auto"/>
        </w:rPr>
        <w:br w:type="page"/>
      </w:r>
      <w:r>
        <w:rPr>
          <w:rFonts w:hint="eastAsia" w:ascii="宋体" w:hAnsi="宋体"/>
          <w:b/>
          <w:color w:val="auto"/>
          <w:szCs w:val="21"/>
        </w:rPr>
        <w:t>附表1-1《商务标评审标准》</w:t>
      </w:r>
    </w:p>
    <w:tbl>
      <w:tblPr>
        <w:tblStyle w:val="52"/>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9"/>
        <w:gridCol w:w="6097"/>
        <w:gridCol w:w="618"/>
      </w:tblGrid>
      <w:tr w14:paraId="2B83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29" w:type="dxa"/>
            <w:gridSpan w:val="4"/>
            <w:tcBorders>
              <w:top w:val="single" w:color="auto" w:sz="4" w:space="0"/>
              <w:left w:val="single" w:color="auto" w:sz="4" w:space="0"/>
              <w:bottom w:val="single" w:color="auto" w:sz="4" w:space="0"/>
              <w:right w:val="single" w:color="auto" w:sz="4" w:space="0"/>
            </w:tcBorders>
            <w:shd w:val="clear" w:color="auto" w:fill="D9E2F3"/>
            <w:vAlign w:val="center"/>
          </w:tcPr>
          <w:p w14:paraId="5866707C">
            <w:pPr>
              <w:widowControl w:val="0"/>
              <w:autoSpaceDE w:val="0"/>
              <w:autoSpaceDN w:val="0"/>
              <w:adjustRightInd w:val="0"/>
              <w:snapToGrid w:val="0"/>
              <w:ind w:firstLine="0" w:firstLineChars="0"/>
              <w:jc w:val="center"/>
              <w:rPr>
                <w:rFonts w:ascii="宋体" w:hAnsi="宋体"/>
                <w:b/>
                <w:color w:val="auto"/>
                <w:sz w:val="32"/>
                <w:szCs w:val="32"/>
              </w:rPr>
            </w:pPr>
            <w:r>
              <w:rPr>
                <w:rFonts w:hint="eastAsia" w:ascii="宋体" w:hAnsi="宋体"/>
                <w:b/>
                <w:color w:val="auto"/>
                <w:sz w:val="32"/>
                <w:szCs w:val="32"/>
              </w:rPr>
              <w:t>《商务标评审标准》</w:t>
            </w:r>
          </w:p>
        </w:tc>
      </w:tr>
      <w:tr w14:paraId="44DF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948A95D">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序号</w:t>
            </w:r>
          </w:p>
        </w:tc>
        <w:tc>
          <w:tcPr>
            <w:tcW w:w="1139" w:type="dxa"/>
            <w:tcBorders>
              <w:top w:val="single" w:color="auto" w:sz="4" w:space="0"/>
              <w:left w:val="single" w:color="auto" w:sz="4" w:space="0"/>
              <w:bottom w:val="single" w:color="auto" w:sz="4" w:space="0"/>
              <w:right w:val="single" w:color="auto" w:sz="4" w:space="0"/>
            </w:tcBorders>
            <w:vAlign w:val="center"/>
          </w:tcPr>
          <w:p w14:paraId="6162E2E9">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评审项目</w:t>
            </w:r>
          </w:p>
        </w:tc>
        <w:tc>
          <w:tcPr>
            <w:tcW w:w="6097" w:type="dxa"/>
            <w:tcBorders>
              <w:top w:val="single" w:color="auto" w:sz="4" w:space="0"/>
              <w:left w:val="single" w:color="auto" w:sz="4" w:space="0"/>
              <w:bottom w:val="single" w:color="auto" w:sz="4" w:space="0"/>
              <w:right w:val="single" w:color="auto" w:sz="4" w:space="0"/>
            </w:tcBorders>
            <w:vAlign w:val="center"/>
          </w:tcPr>
          <w:p w14:paraId="7B271545">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评审标准及证明材料</w:t>
            </w:r>
          </w:p>
        </w:tc>
        <w:tc>
          <w:tcPr>
            <w:tcW w:w="618" w:type="dxa"/>
            <w:tcBorders>
              <w:top w:val="single" w:color="auto" w:sz="4" w:space="0"/>
              <w:left w:val="single" w:color="auto" w:sz="4" w:space="0"/>
              <w:bottom w:val="single" w:color="auto" w:sz="4" w:space="0"/>
              <w:right w:val="single" w:color="auto" w:sz="4" w:space="0"/>
            </w:tcBorders>
            <w:vAlign w:val="center"/>
          </w:tcPr>
          <w:p w14:paraId="3956F14C">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分值</w:t>
            </w:r>
          </w:p>
        </w:tc>
      </w:tr>
      <w:tr w14:paraId="30420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1"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AFACE2E">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rPr>
              <w:t>1</w:t>
            </w:r>
          </w:p>
        </w:tc>
        <w:tc>
          <w:tcPr>
            <w:tcW w:w="1139" w:type="dxa"/>
            <w:tcBorders>
              <w:top w:val="single" w:color="auto" w:sz="4" w:space="0"/>
              <w:left w:val="single" w:color="auto" w:sz="4" w:space="0"/>
              <w:bottom w:val="single" w:color="auto" w:sz="4" w:space="0"/>
              <w:right w:val="single" w:color="auto" w:sz="4" w:space="0"/>
            </w:tcBorders>
            <w:vAlign w:val="center"/>
          </w:tcPr>
          <w:p w14:paraId="45F4131C">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lang w:val="en-US" w:eastAsia="zh-CN"/>
              </w:rPr>
              <w:t>企业同类</w:t>
            </w:r>
            <w:r>
              <w:rPr>
                <w:rFonts w:hint="eastAsia" w:ascii="宋体" w:hAnsi="宋体"/>
                <w:color w:val="auto"/>
                <w:szCs w:val="21"/>
              </w:rPr>
              <w:t>业绩</w:t>
            </w:r>
          </w:p>
        </w:tc>
        <w:tc>
          <w:tcPr>
            <w:tcW w:w="6097" w:type="dxa"/>
            <w:tcBorders>
              <w:top w:val="single" w:color="auto" w:sz="4" w:space="0"/>
              <w:left w:val="single" w:color="auto" w:sz="4" w:space="0"/>
              <w:bottom w:val="single" w:color="auto" w:sz="4" w:space="0"/>
              <w:right w:val="single" w:color="auto" w:sz="4" w:space="0"/>
            </w:tcBorders>
            <w:vAlign w:val="center"/>
          </w:tcPr>
          <w:p w14:paraId="78A698B4">
            <w:pPr>
              <w:spacing w:after="160"/>
              <w:ind w:firstLine="0" w:firstLineChars="0"/>
              <w:contextualSpacing/>
              <w:jc w:val="left"/>
              <w:rPr>
                <w:rFonts w:hint="eastAsia" w:ascii="宋体" w:hAnsi="宋体" w:eastAsia="宋体" w:cs="Times New Roman"/>
                <w:color w:val="auto"/>
                <w:sz w:val="24"/>
              </w:rPr>
            </w:pPr>
            <w:bookmarkStart w:id="321" w:name="_Hlk160548007"/>
            <w:r>
              <w:rPr>
                <w:rFonts w:ascii="宋体" w:hAnsi="宋体" w:eastAsia="宋体" w:cs="Times New Roman"/>
                <w:b/>
                <w:bCs/>
                <w:color w:val="auto"/>
                <w:sz w:val="24"/>
              </w:rPr>
              <w:t>要求：</w:t>
            </w:r>
            <w:bookmarkStart w:id="322" w:name="_Hlk191864369"/>
            <w:r>
              <w:rPr>
                <w:rFonts w:ascii="宋体" w:hAnsi="宋体" w:eastAsia="宋体" w:cs="Times New Roman"/>
                <w:color w:val="auto"/>
                <w:sz w:val="24"/>
              </w:rPr>
              <w:t>投标人提供近</w:t>
            </w:r>
            <w:r>
              <w:rPr>
                <w:rFonts w:hint="eastAsia" w:ascii="宋体" w:hAnsi="宋体" w:cs="Times New Roman"/>
                <w:color w:val="auto"/>
                <w:sz w:val="24"/>
                <w:lang w:val="en-US" w:eastAsia="zh-CN"/>
              </w:rPr>
              <w:t>3</w:t>
            </w:r>
            <w:r>
              <w:rPr>
                <w:rFonts w:ascii="宋体" w:hAnsi="宋体" w:eastAsia="宋体" w:cs="Times New Roman"/>
                <w:color w:val="auto"/>
                <w:sz w:val="24"/>
              </w:rPr>
              <w:t>年（从202</w:t>
            </w:r>
            <w:r>
              <w:rPr>
                <w:rFonts w:hint="eastAsia" w:ascii="宋体" w:hAnsi="宋体" w:cs="Times New Roman"/>
                <w:color w:val="auto"/>
                <w:sz w:val="24"/>
                <w:lang w:val="en-US" w:eastAsia="zh-CN"/>
              </w:rPr>
              <w:t>3</w:t>
            </w:r>
            <w:r>
              <w:rPr>
                <w:rFonts w:ascii="宋体" w:hAnsi="宋体" w:eastAsia="宋体" w:cs="Times New Roman"/>
                <w:color w:val="auto"/>
                <w:sz w:val="24"/>
              </w:rPr>
              <w:t>年</w:t>
            </w:r>
            <w:r>
              <w:rPr>
                <w:rFonts w:hint="eastAsia" w:ascii="宋体" w:hAnsi="宋体" w:cs="Times New Roman"/>
                <w:color w:val="auto"/>
                <w:sz w:val="24"/>
                <w:lang w:val="en-US" w:eastAsia="zh-CN"/>
              </w:rPr>
              <w:t>7</w:t>
            </w:r>
            <w:r>
              <w:rPr>
                <w:rFonts w:ascii="宋体" w:hAnsi="宋体" w:eastAsia="宋体" w:cs="Times New Roman"/>
                <w:color w:val="auto"/>
                <w:sz w:val="24"/>
              </w:rPr>
              <w:t>月1日起至截标）投标人自认为最具代表性的房建项目全过程造价咨询服务业绩（在建或竣工），最多提供5项，超出5项的，以企业业绩表前</w:t>
            </w:r>
            <w:r>
              <w:rPr>
                <w:rFonts w:hint="eastAsia" w:ascii="宋体" w:hAnsi="宋体" w:eastAsia="宋体" w:cs="Times New Roman"/>
                <w:color w:val="auto"/>
                <w:sz w:val="24"/>
              </w:rPr>
              <w:t>5</w:t>
            </w:r>
            <w:r>
              <w:rPr>
                <w:rFonts w:ascii="宋体" w:hAnsi="宋体" w:eastAsia="宋体" w:cs="Times New Roman"/>
                <w:color w:val="auto"/>
                <w:sz w:val="24"/>
              </w:rPr>
              <w:t>项为准。</w:t>
            </w:r>
            <w:bookmarkEnd w:id="322"/>
          </w:p>
          <w:p w14:paraId="73F09B82">
            <w:pPr>
              <w:spacing w:after="160"/>
              <w:ind w:firstLine="0" w:firstLineChars="0"/>
              <w:contextualSpacing/>
              <w:jc w:val="left"/>
              <w:rPr>
                <w:rFonts w:hint="default" w:ascii="宋体" w:hAnsi="宋体" w:eastAsia="宋体" w:cs="Times New Roman"/>
                <w:b/>
                <w:bCs/>
                <w:color w:val="auto"/>
                <w:sz w:val="24"/>
              </w:rPr>
            </w:pPr>
            <w:r>
              <w:rPr>
                <w:rFonts w:ascii="宋体" w:hAnsi="宋体" w:eastAsia="宋体" w:cs="Times New Roman"/>
                <w:b/>
                <w:bCs/>
                <w:color w:val="auto"/>
                <w:sz w:val="24"/>
              </w:rPr>
              <w:t>评分标准：</w:t>
            </w:r>
          </w:p>
          <w:p w14:paraId="708AB034">
            <w:pPr>
              <w:spacing w:after="160"/>
              <w:ind w:firstLine="0" w:firstLineChars="0"/>
              <w:contextualSpacing/>
              <w:jc w:val="left"/>
              <w:rPr>
                <w:rFonts w:hint="eastAsia" w:ascii="宋体" w:hAnsi="宋体" w:eastAsia="宋体" w:cs="Times New Roman"/>
                <w:color w:val="auto"/>
                <w:sz w:val="24"/>
              </w:rPr>
            </w:pPr>
            <w:bookmarkStart w:id="323" w:name="_Hlk196644494"/>
            <w:bookmarkStart w:id="324" w:name="_Hlk191864376"/>
            <w:r>
              <w:rPr>
                <w:rFonts w:ascii="宋体" w:hAnsi="宋体" w:eastAsia="宋体" w:cs="Times New Roman"/>
                <w:color w:val="auto"/>
                <w:sz w:val="24"/>
              </w:rPr>
              <w:t>每提供一个有效业绩得</w:t>
            </w:r>
            <w:r>
              <w:rPr>
                <w:rFonts w:hint="eastAsia" w:ascii="宋体" w:hAnsi="宋体" w:cs="Times New Roman"/>
                <w:color w:val="auto"/>
                <w:sz w:val="24"/>
                <w:lang w:val="en-US" w:eastAsia="zh-CN"/>
              </w:rPr>
              <w:t>4</w:t>
            </w:r>
            <w:r>
              <w:rPr>
                <w:rFonts w:ascii="宋体" w:hAnsi="宋体" w:eastAsia="宋体" w:cs="Times New Roman"/>
                <w:color w:val="auto"/>
                <w:sz w:val="24"/>
              </w:rPr>
              <w:t>分，本项最多得</w:t>
            </w:r>
            <w:r>
              <w:rPr>
                <w:rFonts w:hint="eastAsia" w:ascii="宋体" w:hAnsi="宋体" w:cs="Times New Roman"/>
                <w:color w:val="auto"/>
                <w:sz w:val="24"/>
                <w:lang w:val="en-US" w:eastAsia="zh-CN"/>
              </w:rPr>
              <w:t>20</w:t>
            </w:r>
            <w:r>
              <w:rPr>
                <w:rFonts w:ascii="宋体" w:hAnsi="宋体" w:eastAsia="宋体" w:cs="Times New Roman"/>
                <w:color w:val="auto"/>
                <w:sz w:val="24"/>
              </w:rPr>
              <w:t>分</w:t>
            </w:r>
            <w:bookmarkEnd w:id="323"/>
            <w:r>
              <w:rPr>
                <w:rFonts w:ascii="宋体" w:hAnsi="宋体" w:eastAsia="宋体" w:cs="Times New Roman"/>
                <w:color w:val="auto"/>
                <w:sz w:val="24"/>
              </w:rPr>
              <w:t>。</w:t>
            </w:r>
            <w:bookmarkEnd w:id="324"/>
          </w:p>
          <w:p w14:paraId="1A4DB5DB">
            <w:pPr>
              <w:widowControl w:val="0"/>
              <w:autoSpaceDE w:val="0"/>
              <w:autoSpaceDN w:val="0"/>
              <w:adjustRightInd w:val="0"/>
              <w:snapToGrid w:val="0"/>
              <w:ind w:firstLine="0" w:firstLineChars="0"/>
              <w:jc w:val="left"/>
              <w:rPr>
                <w:rFonts w:ascii="宋体" w:hAnsi="宋体"/>
                <w:color w:val="auto"/>
                <w:szCs w:val="21"/>
              </w:rPr>
            </w:pPr>
            <w:r>
              <w:rPr>
                <w:rFonts w:ascii="宋体" w:hAnsi="宋体" w:eastAsia="宋体" w:cs="Times New Roman"/>
                <w:b/>
                <w:bCs/>
                <w:color w:val="auto"/>
                <w:sz w:val="24"/>
              </w:rPr>
              <w:t>证明材料：</w:t>
            </w:r>
            <w:bookmarkStart w:id="325" w:name="_Hlk196644499"/>
            <w:bookmarkStart w:id="326" w:name="_Hlk191864383"/>
            <w:r>
              <w:rPr>
                <w:rFonts w:ascii="宋体" w:hAnsi="宋体" w:eastAsia="宋体" w:cs="Times New Roman"/>
                <w:color w:val="auto"/>
                <w:sz w:val="24"/>
              </w:rPr>
              <w:t>提供合同关键页扫描件，至少包括合同封面、服务内容页、合同各方签字盖章页等。资料不清晰、不完整的业绩不得分</w:t>
            </w:r>
            <w:bookmarkEnd w:id="325"/>
            <w:r>
              <w:rPr>
                <w:rFonts w:ascii="宋体" w:hAnsi="宋体" w:eastAsia="宋体" w:cs="Times New Roman"/>
                <w:color w:val="auto"/>
                <w:sz w:val="24"/>
              </w:rPr>
              <w:t>。</w:t>
            </w:r>
            <w:bookmarkEnd w:id="321"/>
            <w:bookmarkEnd w:id="326"/>
          </w:p>
        </w:tc>
        <w:tc>
          <w:tcPr>
            <w:tcW w:w="618" w:type="dxa"/>
            <w:tcBorders>
              <w:top w:val="single" w:color="auto" w:sz="4" w:space="0"/>
              <w:left w:val="single" w:color="auto" w:sz="4" w:space="0"/>
              <w:bottom w:val="single" w:color="auto" w:sz="4" w:space="0"/>
              <w:right w:val="single" w:color="auto" w:sz="4" w:space="0"/>
            </w:tcBorders>
            <w:vAlign w:val="center"/>
          </w:tcPr>
          <w:p w14:paraId="42456A8D">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lang w:val="en-US" w:eastAsia="zh-CN"/>
              </w:rPr>
              <w:t>20</w:t>
            </w:r>
            <w:r>
              <w:rPr>
                <w:rFonts w:hint="eastAsia" w:ascii="宋体" w:hAnsi="宋体"/>
                <w:color w:val="auto"/>
                <w:szCs w:val="21"/>
              </w:rPr>
              <w:t>分</w:t>
            </w:r>
          </w:p>
        </w:tc>
      </w:tr>
      <w:tr w14:paraId="0A93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1D52042">
            <w:pPr>
              <w:widowControl w:val="0"/>
              <w:autoSpaceDE w:val="0"/>
              <w:autoSpaceDN w:val="0"/>
              <w:adjustRightInd w:val="0"/>
              <w:snapToGrid w:val="0"/>
              <w:ind w:firstLine="0" w:firstLineChars="0"/>
              <w:jc w:val="center"/>
              <w:rPr>
                <w:rFonts w:ascii="宋体" w:hAnsi="宋体"/>
                <w:color w:val="auto"/>
                <w:szCs w:val="21"/>
              </w:rPr>
            </w:pPr>
            <w:r>
              <w:rPr>
                <w:rFonts w:ascii="宋体" w:hAnsi="宋体"/>
                <w:color w:val="auto"/>
                <w:szCs w:val="21"/>
              </w:rPr>
              <w:t>2</w:t>
            </w:r>
          </w:p>
        </w:tc>
        <w:tc>
          <w:tcPr>
            <w:tcW w:w="1139" w:type="dxa"/>
            <w:tcBorders>
              <w:top w:val="single" w:color="auto" w:sz="4" w:space="0"/>
              <w:left w:val="single" w:color="auto" w:sz="4" w:space="0"/>
              <w:bottom w:val="single" w:color="auto" w:sz="4" w:space="0"/>
              <w:right w:val="single" w:color="auto" w:sz="4" w:space="0"/>
            </w:tcBorders>
            <w:vAlign w:val="center"/>
          </w:tcPr>
          <w:p w14:paraId="735DB74E">
            <w:pPr>
              <w:widowControl w:val="0"/>
              <w:autoSpaceDE w:val="0"/>
              <w:autoSpaceDN w:val="0"/>
              <w:adjustRightInd w:val="0"/>
              <w:snapToGrid w:val="0"/>
              <w:ind w:firstLine="0" w:firstLineChars="0"/>
              <w:jc w:val="center"/>
              <w:rPr>
                <w:rFonts w:hint="eastAsia" w:ascii="宋体" w:hAnsi="宋体" w:eastAsia="宋体"/>
                <w:color w:val="auto"/>
                <w:szCs w:val="21"/>
                <w:lang w:val="en-US" w:eastAsia="zh-CN"/>
              </w:rPr>
            </w:pPr>
            <w:r>
              <w:rPr>
                <w:rFonts w:hint="eastAsia" w:ascii="宋体" w:hAnsi="宋体"/>
                <w:color w:val="auto"/>
                <w:szCs w:val="21"/>
              </w:rPr>
              <w:t>项目负责人</w:t>
            </w:r>
            <w:r>
              <w:rPr>
                <w:rFonts w:hint="eastAsia" w:ascii="宋体" w:hAnsi="宋体"/>
                <w:color w:val="auto"/>
                <w:szCs w:val="21"/>
                <w:lang w:val="en-US" w:eastAsia="zh-CN"/>
              </w:rPr>
              <w:t>业绩</w:t>
            </w:r>
          </w:p>
        </w:tc>
        <w:tc>
          <w:tcPr>
            <w:tcW w:w="6097" w:type="dxa"/>
            <w:tcBorders>
              <w:top w:val="single" w:color="auto" w:sz="4" w:space="0"/>
              <w:left w:val="single" w:color="auto" w:sz="4" w:space="0"/>
              <w:bottom w:val="single" w:color="auto" w:sz="4" w:space="0"/>
              <w:right w:val="single" w:color="auto" w:sz="4" w:space="0"/>
            </w:tcBorders>
            <w:vAlign w:val="center"/>
          </w:tcPr>
          <w:p w14:paraId="49A89134">
            <w:pPr>
              <w:spacing w:after="160"/>
              <w:ind w:firstLine="0" w:firstLineChars="0"/>
              <w:contextualSpacing/>
              <w:jc w:val="left"/>
              <w:rPr>
                <w:rFonts w:hint="eastAsia" w:ascii="宋体" w:hAnsi="宋体" w:eastAsia="宋体" w:cs="Times New Roman"/>
                <w:color w:val="auto"/>
                <w:sz w:val="24"/>
              </w:rPr>
            </w:pPr>
            <w:r>
              <w:rPr>
                <w:rFonts w:ascii="宋体" w:hAnsi="宋体" w:eastAsia="宋体" w:cs="Times New Roman"/>
                <w:b/>
                <w:bCs/>
                <w:color w:val="auto"/>
                <w:sz w:val="24"/>
              </w:rPr>
              <w:t>要求：</w:t>
            </w:r>
            <w:bookmarkStart w:id="327" w:name="_Hlk196644538"/>
            <w:r>
              <w:rPr>
                <w:rFonts w:ascii="宋体" w:hAnsi="宋体" w:eastAsia="宋体" w:cs="Times New Roman"/>
                <w:color w:val="auto"/>
                <w:sz w:val="24"/>
              </w:rPr>
              <w:t>投标人提供近</w:t>
            </w:r>
            <w:r>
              <w:rPr>
                <w:rFonts w:hint="eastAsia" w:ascii="宋体" w:hAnsi="宋体" w:cs="Times New Roman"/>
                <w:color w:val="auto"/>
                <w:sz w:val="24"/>
                <w:lang w:val="en-US" w:eastAsia="zh-CN"/>
              </w:rPr>
              <w:t>3</w:t>
            </w:r>
            <w:r>
              <w:rPr>
                <w:rFonts w:ascii="宋体" w:hAnsi="宋体" w:eastAsia="宋体" w:cs="Times New Roman"/>
                <w:color w:val="auto"/>
                <w:sz w:val="24"/>
              </w:rPr>
              <w:t>年（从202</w:t>
            </w:r>
            <w:r>
              <w:rPr>
                <w:rFonts w:hint="eastAsia" w:ascii="宋体" w:hAnsi="宋体" w:cs="Times New Roman"/>
                <w:color w:val="auto"/>
                <w:sz w:val="24"/>
                <w:lang w:val="en-US" w:eastAsia="zh-CN"/>
              </w:rPr>
              <w:t>3</w:t>
            </w:r>
            <w:r>
              <w:rPr>
                <w:rFonts w:ascii="宋体" w:hAnsi="宋体" w:eastAsia="宋体" w:cs="Times New Roman"/>
                <w:color w:val="auto"/>
                <w:sz w:val="24"/>
              </w:rPr>
              <w:t>年</w:t>
            </w:r>
            <w:r>
              <w:rPr>
                <w:rFonts w:hint="eastAsia" w:ascii="宋体" w:hAnsi="宋体" w:cs="Times New Roman"/>
                <w:color w:val="auto"/>
                <w:sz w:val="24"/>
                <w:lang w:val="en-US" w:eastAsia="zh-CN"/>
              </w:rPr>
              <w:t>7</w:t>
            </w:r>
            <w:r>
              <w:rPr>
                <w:rFonts w:ascii="宋体" w:hAnsi="宋体" w:eastAsia="宋体" w:cs="Times New Roman"/>
                <w:color w:val="auto"/>
                <w:sz w:val="24"/>
              </w:rPr>
              <w:t>月1日起至截标）投标项目负责人自认为最具代表性的房建项目全过程造价咨询服务业绩（在建或竣工），最多提供</w:t>
            </w:r>
            <w:r>
              <w:rPr>
                <w:rFonts w:hint="eastAsia" w:ascii="宋体" w:hAnsi="宋体" w:cs="Times New Roman"/>
                <w:color w:val="auto"/>
                <w:sz w:val="24"/>
                <w:lang w:val="en-US" w:eastAsia="zh-CN"/>
              </w:rPr>
              <w:t>2</w:t>
            </w:r>
            <w:r>
              <w:rPr>
                <w:rFonts w:ascii="宋体" w:hAnsi="宋体" w:eastAsia="宋体" w:cs="Times New Roman"/>
                <w:color w:val="auto"/>
                <w:sz w:val="24"/>
              </w:rPr>
              <w:t>项，超出</w:t>
            </w:r>
            <w:r>
              <w:rPr>
                <w:rFonts w:hint="eastAsia" w:ascii="宋体" w:hAnsi="宋体" w:cs="Times New Roman"/>
                <w:color w:val="auto"/>
                <w:sz w:val="24"/>
                <w:lang w:val="en-US" w:eastAsia="zh-CN"/>
              </w:rPr>
              <w:t>2</w:t>
            </w:r>
            <w:r>
              <w:rPr>
                <w:rFonts w:ascii="宋体" w:hAnsi="宋体" w:eastAsia="宋体" w:cs="Times New Roman"/>
                <w:color w:val="auto"/>
                <w:sz w:val="24"/>
              </w:rPr>
              <w:t>项的，以项目负责人业绩表前</w:t>
            </w:r>
            <w:r>
              <w:rPr>
                <w:rFonts w:hint="eastAsia" w:ascii="宋体" w:hAnsi="宋体" w:cs="Times New Roman"/>
                <w:color w:val="auto"/>
                <w:sz w:val="24"/>
                <w:lang w:val="en-US" w:eastAsia="zh-CN"/>
              </w:rPr>
              <w:t>2</w:t>
            </w:r>
            <w:r>
              <w:rPr>
                <w:rFonts w:ascii="宋体" w:hAnsi="宋体" w:eastAsia="宋体" w:cs="Times New Roman"/>
                <w:color w:val="auto"/>
                <w:sz w:val="24"/>
              </w:rPr>
              <w:t>项为准。</w:t>
            </w:r>
          </w:p>
          <w:bookmarkEnd w:id="327"/>
          <w:p w14:paraId="62D75267">
            <w:pPr>
              <w:spacing w:after="160"/>
              <w:ind w:firstLine="0" w:firstLineChars="0"/>
              <w:contextualSpacing/>
              <w:jc w:val="left"/>
              <w:rPr>
                <w:rFonts w:hint="eastAsia" w:ascii="宋体" w:hAnsi="宋体" w:eastAsia="宋体" w:cs="Times New Roman"/>
                <w:b/>
                <w:bCs/>
                <w:color w:val="auto"/>
                <w:sz w:val="24"/>
              </w:rPr>
            </w:pPr>
            <w:r>
              <w:rPr>
                <w:rFonts w:ascii="宋体" w:hAnsi="宋体" w:eastAsia="宋体" w:cs="Times New Roman"/>
                <w:b/>
                <w:bCs/>
                <w:color w:val="auto"/>
                <w:sz w:val="24"/>
              </w:rPr>
              <w:t>评分标准：</w:t>
            </w:r>
          </w:p>
          <w:p w14:paraId="79812370">
            <w:pPr>
              <w:tabs>
                <w:tab w:val="left" w:pos="312"/>
              </w:tabs>
              <w:spacing w:after="160"/>
              <w:ind w:firstLine="0" w:firstLineChars="0"/>
              <w:contextualSpacing/>
              <w:jc w:val="left"/>
              <w:rPr>
                <w:rFonts w:hint="eastAsia" w:ascii="宋体" w:hAnsi="宋体" w:eastAsia="宋体" w:cs="Times New Roman"/>
                <w:color w:val="auto"/>
                <w:sz w:val="24"/>
              </w:rPr>
            </w:pPr>
            <w:bookmarkStart w:id="328" w:name="_Hlk191864503"/>
            <w:r>
              <w:rPr>
                <w:rFonts w:ascii="宋体" w:hAnsi="宋体" w:eastAsia="宋体" w:cs="Times New Roman"/>
                <w:color w:val="auto"/>
                <w:sz w:val="24"/>
              </w:rPr>
              <w:t>每提供一个有效业绩得</w:t>
            </w:r>
            <w:r>
              <w:rPr>
                <w:rFonts w:hint="eastAsia" w:ascii="宋体" w:hAnsi="宋体" w:cs="Times New Roman"/>
                <w:color w:val="auto"/>
                <w:sz w:val="24"/>
                <w:lang w:val="en-US" w:eastAsia="zh-CN"/>
              </w:rPr>
              <w:t>5</w:t>
            </w:r>
            <w:r>
              <w:rPr>
                <w:rFonts w:ascii="宋体" w:hAnsi="宋体" w:eastAsia="宋体" w:cs="Times New Roman"/>
                <w:color w:val="auto"/>
                <w:sz w:val="24"/>
              </w:rPr>
              <w:t>分，本项最多得</w:t>
            </w:r>
            <w:r>
              <w:rPr>
                <w:rFonts w:hint="eastAsia" w:ascii="宋体" w:hAnsi="宋体" w:cs="Times New Roman"/>
                <w:color w:val="auto"/>
                <w:sz w:val="24"/>
                <w:lang w:val="en-US" w:eastAsia="zh-CN"/>
              </w:rPr>
              <w:t>10</w:t>
            </w:r>
            <w:r>
              <w:rPr>
                <w:rFonts w:ascii="宋体" w:hAnsi="宋体" w:eastAsia="宋体" w:cs="Times New Roman"/>
                <w:color w:val="auto"/>
                <w:sz w:val="24"/>
              </w:rPr>
              <w:t>分。</w:t>
            </w:r>
            <w:bookmarkEnd w:id="328"/>
          </w:p>
          <w:p w14:paraId="765342CB">
            <w:pPr>
              <w:widowControl w:val="0"/>
              <w:autoSpaceDE w:val="0"/>
              <w:autoSpaceDN w:val="0"/>
              <w:adjustRightInd w:val="0"/>
              <w:snapToGrid w:val="0"/>
              <w:ind w:firstLine="0" w:firstLineChars="0"/>
              <w:jc w:val="left"/>
              <w:rPr>
                <w:rFonts w:ascii="宋体" w:hAnsi="宋体"/>
                <w:color w:val="auto"/>
                <w:szCs w:val="21"/>
              </w:rPr>
            </w:pPr>
            <w:r>
              <w:rPr>
                <w:rFonts w:ascii="宋体" w:hAnsi="宋体" w:eastAsia="宋体" w:cs="Times New Roman"/>
                <w:b/>
                <w:bCs/>
                <w:color w:val="auto"/>
                <w:sz w:val="24"/>
              </w:rPr>
              <w:t>证明材料：</w:t>
            </w:r>
            <w:bookmarkStart w:id="329" w:name="_Hlk196644546"/>
            <w:r>
              <w:rPr>
                <w:rFonts w:ascii="宋体" w:hAnsi="宋体" w:eastAsia="宋体" w:cs="Times New Roman"/>
                <w:color w:val="auto"/>
                <w:sz w:val="24"/>
              </w:rPr>
              <w:t>提供合同关键页扫描件，至少包括合同封面、服务内容页、合同各方签字盖章页、项目团队成员页等。合同中无法体现项目负责人任职的，应提供盖章任职说明文件。资料不清晰、不完整的不得分</w:t>
            </w:r>
            <w:bookmarkEnd w:id="329"/>
          </w:p>
        </w:tc>
        <w:tc>
          <w:tcPr>
            <w:tcW w:w="618" w:type="dxa"/>
            <w:tcBorders>
              <w:top w:val="single" w:color="auto" w:sz="4" w:space="0"/>
              <w:left w:val="single" w:color="auto" w:sz="4" w:space="0"/>
              <w:bottom w:val="single" w:color="auto" w:sz="4" w:space="0"/>
              <w:right w:val="single" w:color="auto" w:sz="4" w:space="0"/>
            </w:tcBorders>
            <w:vAlign w:val="center"/>
          </w:tcPr>
          <w:p w14:paraId="7D373DDA">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lang w:val="en-US" w:eastAsia="zh-CN"/>
              </w:rPr>
              <w:t>10</w:t>
            </w:r>
            <w:r>
              <w:rPr>
                <w:rFonts w:hint="eastAsia" w:ascii="宋体" w:hAnsi="宋体"/>
                <w:color w:val="auto"/>
                <w:szCs w:val="21"/>
              </w:rPr>
              <w:t>分</w:t>
            </w:r>
          </w:p>
        </w:tc>
      </w:tr>
      <w:tr w14:paraId="77EE1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752A154A">
            <w:pPr>
              <w:widowControl w:val="0"/>
              <w:autoSpaceDE w:val="0"/>
              <w:autoSpaceDN w:val="0"/>
              <w:adjustRightInd w:val="0"/>
              <w:snapToGrid w:val="0"/>
              <w:ind w:firstLine="0" w:firstLineChars="0"/>
              <w:jc w:val="center"/>
              <w:rPr>
                <w:rFonts w:ascii="宋体" w:hAnsi="宋体"/>
                <w:color w:val="auto"/>
                <w:szCs w:val="21"/>
              </w:rPr>
            </w:pPr>
            <w:r>
              <w:rPr>
                <w:rFonts w:ascii="宋体" w:hAnsi="宋体"/>
                <w:color w:val="auto"/>
                <w:szCs w:val="21"/>
              </w:rPr>
              <w:t>3</w:t>
            </w:r>
          </w:p>
        </w:tc>
        <w:tc>
          <w:tcPr>
            <w:tcW w:w="1139" w:type="dxa"/>
            <w:tcBorders>
              <w:top w:val="single" w:color="auto" w:sz="4" w:space="0"/>
              <w:left w:val="single" w:color="auto" w:sz="4" w:space="0"/>
              <w:bottom w:val="single" w:color="auto" w:sz="4" w:space="0"/>
              <w:right w:val="single" w:color="auto" w:sz="4" w:space="0"/>
            </w:tcBorders>
            <w:vAlign w:val="center"/>
          </w:tcPr>
          <w:p w14:paraId="61FFB6DE">
            <w:pPr>
              <w:widowControl w:val="0"/>
              <w:autoSpaceDE w:val="0"/>
              <w:autoSpaceDN w:val="0"/>
              <w:adjustRightInd w:val="0"/>
              <w:snapToGrid w:val="0"/>
              <w:ind w:firstLine="0" w:firstLineChars="0"/>
              <w:jc w:val="left"/>
              <w:rPr>
                <w:rFonts w:hint="default" w:ascii="宋体" w:hAnsi="宋体" w:eastAsia="宋体"/>
                <w:color w:val="auto"/>
                <w:sz w:val="24"/>
                <w:szCs w:val="24"/>
                <w:lang w:val="en-US" w:eastAsia="zh-CN"/>
              </w:rPr>
            </w:pPr>
            <w:r>
              <w:rPr>
                <w:rFonts w:hint="default" w:ascii="宋体" w:hAnsi="宋体"/>
                <w:color w:val="auto"/>
                <w:sz w:val="24"/>
                <w:szCs w:val="24"/>
                <w:lang w:val="en-US" w:eastAsia="zh-CN"/>
              </w:rPr>
              <w:t>项目团队</w:t>
            </w:r>
            <w:r>
              <w:rPr>
                <w:rFonts w:hint="eastAsia" w:ascii="宋体" w:hAnsi="宋体"/>
                <w:color w:val="auto"/>
                <w:sz w:val="24"/>
                <w:szCs w:val="24"/>
                <w:lang w:val="en-US" w:eastAsia="zh-CN"/>
              </w:rPr>
              <w:t>（除项目负责人）</w:t>
            </w:r>
          </w:p>
        </w:tc>
        <w:tc>
          <w:tcPr>
            <w:tcW w:w="6097" w:type="dxa"/>
            <w:tcBorders>
              <w:top w:val="single" w:color="auto" w:sz="4" w:space="0"/>
              <w:left w:val="single" w:color="auto" w:sz="4" w:space="0"/>
              <w:bottom w:val="single" w:color="auto" w:sz="4" w:space="0"/>
              <w:right w:val="single" w:color="auto" w:sz="4" w:space="0"/>
            </w:tcBorders>
            <w:vAlign w:val="center"/>
          </w:tcPr>
          <w:p w14:paraId="13654DF5">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val="0"/>
              <w:adjustRightInd w:val="0"/>
              <w:snapToGrid w:val="0"/>
              <w:spacing w:before="0" w:beforeAutospacing="0" w:after="0" w:afterAutospacing="0" w:line="360" w:lineRule="auto"/>
              <w:ind w:left="0" w:right="0" w:firstLine="0" w:firstLineChars="0"/>
              <w:jc w:val="left"/>
              <w:rPr>
                <w:rFonts w:ascii="宋体" w:hAnsi="宋体"/>
                <w:color w:val="auto"/>
                <w:sz w:val="24"/>
                <w:szCs w:val="24"/>
              </w:rPr>
            </w:pPr>
            <w:r>
              <w:rPr>
                <w:rFonts w:hint="default" w:ascii="宋体" w:hAnsi="宋体"/>
                <w:b/>
                <w:bCs/>
                <w:color w:val="auto"/>
                <w:sz w:val="24"/>
                <w:szCs w:val="24"/>
                <w:lang w:val="en-US" w:eastAsia="zh-CN"/>
              </w:rPr>
              <w:t>要求</w:t>
            </w:r>
            <w:r>
              <w:rPr>
                <w:rFonts w:hint="eastAsia" w:ascii="宋体" w:hAnsi="宋体"/>
                <w:b/>
                <w:bCs/>
                <w:color w:val="auto"/>
                <w:sz w:val="24"/>
                <w:szCs w:val="24"/>
                <w:lang w:val="en-US" w:eastAsia="zh-CN"/>
              </w:rPr>
              <w:t>：</w:t>
            </w:r>
            <w:r>
              <w:rPr>
                <w:rFonts w:ascii="宋体" w:hAnsi="宋体"/>
                <w:color w:val="auto"/>
                <w:sz w:val="24"/>
                <w:szCs w:val="24"/>
              </w:rPr>
              <w:t>土建、安装等专业造价工程师不少于</w:t>
            </w:r>
            <w:r>
              <w:rPr>
                <w:rFonts w:hint="default" w:ascii="宋体" w:hAnsi="宋体"/>
                <w:color w:val="auto"/>
                <w:sz w:val="24"/>
                <w:szCs w:val="24"/>
                <w:lang w:eastAsia="zh-CN"/>
              </w:rPr>
              <w:t>4</w:t>
            </w:r>
            <w:bookmarkStart w:id="471" w:name="_GoBack"/>
            <w:bookmarkEnd w:id="471"/>
            <w:r>
              <w:rPr>
                <w:rFonts w:ascii="宋体" w:hAnsi="宋体"/>
                <w:color w:val="auto"/>
                <w:sz w:val="24"/>
                <w:szCs w:val="24"/>
              </w:rPr>
              <w:t>人；上述人员须具备对应专业的职称证书或注册造价工程师证书，且学历专业与岗位相匹配；</w:t>
            </w:r>
          </w:p>
          <w:p w14:paraId="0B80AE24">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b/>
                <w:bCs/>
                <w:color w:val="auto"/>
                <w:sz w:val="24"/>
                <w:szCs w:val="24"/>
                <w:lang w:val="en-US" w:eastAsia="zh-CN"/>
              </w:rPr>
            </w:pPr>
            <w:r>
              <w:rPr>
                <w:rFonts w:hint="eastAsia" w:ascii="宋体" w:hAnsi="宋体"/>
                <w:b/>
                <w:bCs/>
                <w:color w:val="auto"/>
                <w:sz w:val="24"/>
                <w:szCs w:val="24"/>
                <w:lang w:val="en-US" w:eastAsia="zh-CN"/>
              </w:rPr>
              <w:t>评分标准：</w:t>
            </w:r>
            <w:r>
              <w:rPr>
                <w:rFonts w:ascii="宋体" w:hAnsi="宋体" w:eastAsia="宋体" w:cs="Times New Roman"/>
                <w:color w:val="auto"/>
                <w:sz w:val="24"/>
                <w:szCs w:val="24"/>
              </w:rPr>
              <w:t>符合条件人员≥</w:t>
            </w:r>
            <w:r>
              <w:rPr>
                <w:rFonts w:hint="eastAsia" w:ascii="宋体" w:hAnsi="宋体" w:cs="Times New Roman"/>
                <w:color w:val="auto"/>
                <w:sz w:val="24"/>
                <w:szCs w:val="24"/>
                <w:lang w:eastAsia="zh-CN"/>
              </w:rPr>
              <w:t>4</w:t>
            </w:r>
            <w:r>
              <w:rPr>
                <w:rFonts w:ascii="宋体" w:hAnsi="宋体" w:eastAsia="宋体" w:cs="Times New Roman"/>
                <w:color w:val="auto"/>
                <w:sz w:val="24"/>
                <w:szCs w:val="24"/>
              </w:rPr>
              <w:t>人，得10分；</w:t>
            </w:r>
            <w:r>
              <w:rPr>
                <w:rFonts w:hint="eastAsia" w:ascii="宋体" w:hAnsi="宋体" w:cs="Times New Roman"/>
                <w:color w:val="auto"/>
                <w:sz w:val="24"/>
                <w:szCs w:val="24"/>
                <w:lang w:val="en-US" w:eastAsia="zh-CN"/>
              </w:rPr>
              <w:t>否则不得分</w:t>
            </w:r>
            <w:r>
              <w:rPr>
                <w:rFonts w:ascii="宋体" w:hAnsi="宋体" w:eastAsia="宋体" w:cs="Times New Roman"/>
                <w:color w:val="auto"/>
                <w:sz w:val="24"/>
                <w:szCs w:val="24"/>
              </w:rPr>
              <w:t>。</w:t>
            </w:r>
          </w:p>
          <w:p w14:paraId="48F87A6F">
            <w:pPr>
              <w:widowControl w:val="0"/>
              <w:autoSpaceDE w:val="0"/>
              <w:autoSpaceDN w:val="0"/>
              <w:adjustRightInd w:val="0"/>
              <w:snapToGrid w:val="0"/>
              <w:spacing w:line="360" w:lineRule="auto"/>
              <w:ind w:firstLine="0" w:firstLineChars="0"/>
              <w:jc w:val="left"/>
              <w:rPr>
                <w:rFonts w:ascii="宋体" w:hAnsi="宋体"/>
                <w:color w:val="auto"/>
                <w:sz w:val="24"/>
                <w:szCs w:val="24"/>
              </w:rPr>
            </w:pPr>
            <w:r>
              <w:rPr>
                <w:rFonts w:hint="eastAsia" w:ascii="宋体" w:hAnsi="宋体"/>
                <w:b/>
                <w:bCs/>
                <w:color w:val="auto"/>
                <w:sz w:val="24"/>
                <w:szCs w:val="24"/>
                <w:lang w:val="en-US" w:eastAsia="zh-CN"/>
              </w:rPr>
              <w:t>证明材料：</w:t>
            </w:r>
            <w:r>
              <w:rPr>
                <w:rFonts w:ascii="宋体" w:hAnsi="宋体"/>
                <w:color w:val="auto"/>
                <w:sz w:val="24"/>
                <w:szCs w:val="24"/>
              </w:rPr>
              <w:t>须提供上述人员近6个月的社保缴纳证明（从招标公告发布之日倒推；若开标前1个月社保记录因系统原因无法获取，可顺延1个月提供；新成立不足6个月的公司，按实际成立时间提供全部社保记录）。</w:t>
            </w:r>
          </w:p>
        </w:tc>
        <w:tc>
          <w:tcPr>
            <w:tcW w:w="618" w:type="dxa"/>
            <w:tcBorders>
              <w:top w:val="single" w:color="auto" w:sz="4" w:space="0"/>
              <w:left w:val="single" w:color="auto" w:sz="4" w:space="0"/>
              <w:bottom w:val="single" w:color="auto" w:sz="4" w:space="0"/>
              <w:right w:val="single" w:color="auto" w:sz="4" w:space="0"/>
            </w:tcBorders>
            <w:vAlign w:val="center"/>
          </w:tcPr>
          <w:p w14:paraId="28513FC1">
            <w:pPr>
              <w:widowControl w:val="0"/>
              <w:autoSpaceDE w:val="0"/>
              <w:autoSpaceDN w:val="0"/>
              <w:adjustRightInd w:val="0"/>
              <w:snapToGrid w:val="0"/>
              <w:ind w:firstLine="0" w:firstLineChars="0"/>
              <w:jc w:val="center"/>
              <w:rPr>
                <w:rFonts w:ascii="宋体" w:hAnsi="宋体"/>
                <w:color w:val="auto"/>
                <w:szCs w:val="21"/>
              </w:rPr>
            </w:pPr>
            <w:r>
              <w:rPr>
                <w:rFonts w:ascii="宋体" w:hAnsi="宋体"/>
                <w:color w:val="auto"/>
                <w:szCs w:val="21"/>
              </w:rPr>
              <w:t>10</w:t>
            </w:r>
            <w:r>
              <w:rPr>
                <w:rFonts w:hint="eastAsia" w:ascii="宋体" w:hAnsi="宋体"/>
                <w:color w:val="auto"/>
                <w:szCs w:val="21"/>
              </w:rPr>
              <w:t>分</w:t>
            </w:r>
          </w:p>
        </w:tc>
      </w:tr>
      <w:tr w14:paraId="14F1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11" w:type="dxa"/>
            <w:gridSpan w:val="3"/>
            <w:tcBorders>
              <w:top w:val="single" w:color="auto" w:sz="4" w:space="0"/>
              <w:left w:val="single" w:color="auto" w:sz="4" w:space="0"/>
              <w:bottom w:val="single" w:color="auto" w:sz="4" w:space="0"/>
              <w:right w:val="single" w:color="auto" w:sz="4" w:space="0"/>
            </w:tcBorders>
            <w:vAlign w:val="center"/>
          </w:tcPr>
          <w:p w14:paraId="025BA9F1">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合计</w:t>
            </w:r>
          </w:p>
        </w:tc>
        <w:tc>
          <w:tcPr>
            <w:tcW w:w="618" w:type="dxa"/>
            <w:tcBorders>
              <w:top w:val="single" w:color="auto" w:sz="4" w:space="0"/>
              <w:left w:val="single" w:color="auto" w:sz="4" w:space="0"/>
              <w:bottom w:val="single" w:color="auto" w:sz="4" w:space="0"/>
              <w:right w:val="single" w:color="auto" w:sz="4" w:space="0"/>
            </w:tcBorders>
            <w:vAlign w:val="center"/>
          </w:tcPr>
          <w:p w14:paraId="39C17772">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lang w:val="en-US" w:eastAsia="zh-CN"/>
              </w:rPr>
              <w:t>4</w:t>
            </w:r>
            <w:r>
              <w:rPr>
                <w:rFonts w:hint="eastAsia" w:ascii="宋体" w:hAnsi="宋体"/>
                <w:color w:val="auto"/>
                <w:szCs w:val="21"/>
              </w:rPr>
              <w:t>0分</w:t>
            </w:r>
          </w:p>
        </w:tc>
      </w:tr>
    </w:tbl>
    <w:p w14:paraId="65BBF164">
      <w:pPr>
        <w:widowControl w:val="0"/>
        <w:autoSpaceDE w:val="0"/>
        <w:autoSpaceDN w:val="0"/>
        <w:adjustRightInd w:val="0"/>
        <w:snapToGrid w:val="0"/>
        <w:ind w:firstLine="0" w:firstLineChars="0"/>
        <w:jc w:val="left"/>
        <w:rPr>
          <w:rFonts w:ascii="宋体" w:hAnsi="宋体"/>
          <w:b/>
          <w:color w:val="auto"/>
          <w:szCs w:val="21"/>
        </w:rPr>
      </w:pPr>
      <w:r>
        <w:rPr>
          <w:rFonts w:hint="eastAsia" w:ascii="宋体" w:hAnsi="宋体"/>
          <w:b/>
          <w:color w:val="auto"/>
          <w:szCs w:val="21"/>
        </w:rPr>
        <w:t>说明：</w:t>
      </w:r>
    </w:p>
    <w:p w14:paraId="61599662">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、招标人需在评审子项与评审标准栏内列明评审的合格标准。</w:t>
      </w:r>
    </w:p>
    <w:p w14:paraId="4BA38F02">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、本表供每位专家独立评审时使用。</w:t>
      </w:r>
    </w:p>
    <w:p w14:paraId="2BFAD55B">
      <w:pPr>
        <w:widowControl w:val="0"/>
        <w:autoSpaceDE w:val="0"/>
        <w:autoSpaceDN w:val="0"/>
        <w:adjustRightInd w:val="0"/>
        <w:snapToGrid w:val="0"/>
        <w:ind w:firstLine="0" w:firstLineChars="0"/>
        <w:jc w:val="left"/>
        <w:rPr>
          <w:rFonts w:ascii="宋体" w:hAnsi="宋体"/>
          <w:b/>
          <w:color w:val="auto"/>
          <w:szCs w:val="21"/>
        </w:rPr>
      </w:pPr>
      <w:r>
        <w:rPr>
          <w:rFonts w:ascii="宋体" w:hAnsi="宋体"/>
          <w:color w:val="auto"/>
          <w:szCs w:val="21"/>
          <w:highlight w:val="none"/>
        </w:rPr>
        <w:t>3</w:t>
      </w:r>
      <w:r>
        <w:rPr>
          <w:rFonts w:hint="eastAsia" w:ascii="宋体" w:hAnsi="宋体"/>
          <w:color w:val="auto"/>
          <w:szCs w:val="21"/>
          <w:highlight w:val="none"/>
        </w:rPr>
        <w:t>、专家根据招标人拟定的评审项目和评审标准出具符合要求或不符合要求的评审意见。不符合要求的必须注明原因。</w:t>
      </w:r>
      <w:r>
        <w:rPr>
          <w:rFonts w:ascii="宋体" w:hAnsi="宋体"/>
          <w:b/>
          <w:color w:val="auto"/>
          <w:szCs w:val="21"/>
        </w:rPr>
        <w:br w:type="page"/>
      </w:r>
      <w:bookmarkStart w:id="330" w:name="_Hlk160011147"/>
      <w:r>
        <w:rPr>
          <w:rFonts w:hint="eastAsia" w:ascii="宋体" w:hAnsi="宋体"/>
          <w:b/>
          <w:color w:val="auto"/>
          <w:szCs w:val="21"/>
        </w:rPr>
        <w:t>附表2-1《技术标评审标准》</w:t>
      </w:r>
    </w:p>
    <w:tbl>
      <w:tblPr>
        <w:tblStyle w:val="52"/>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5918"/>
        <w:gridCol w:w="802"/>
      </w:tblGrid>
      <w:tr w14:paraId="254C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529" w:type="dxa"/>
            <w:gridSpan w:val="4"/>
            <w:tcBorders>
              <w:top w:val="single" w:color="auto" w:sz="4" w:space="0"/>
              <w:left w:val="single" w:color="auto" w:sz="4" w:space="0"/>
              <w:bottom w:val="single" w:color="auto" w:sz="4" w:space="0"/>
              <w:right w:val="single" w:color="auto" w:sz="4" w:space="0"/>
            </w:tcBorders>
            <w:shd w:val="clear" w:color="auto" w:fill="D9E2F3"/>
            <w:vAlign w:val="center"/>
          </w:tcPr>
          <w:p w14:paraId="246598D6">
            <w:pPr>
              <w:widowControl w:val="0"/>
              <w:autoSpaceDE w:val="0"/>
              <w:autoSpaceDN w:val="0"/>
              <w:adjustRightInd w:val="0"/>
              <w:snapToGrid w:val="0"/>
              <w:ind w:firstLine="0" w:firstLineChars="0"/>
              <w:jc w:val="center"/>
              <w:rPr>
                <w:rFonts w:ascii="宋体" w:hAnsi="宋体"/>
                <w:b/>
                <w:color w:val="auto"/>
                <w:sz w:val="32"/>
                <w:szCs w:val="32"/>
              </w:rPr>
            </w:pPr>
            <w:bookmarkStart w:id="331" w:name="_Hlk160011097"/>
            <w:r>
              <w:rPr>
                <w:rFonts w:hint="eastAsia" w:ascii="宋体" w:hAnsi="宋体"/>
                <w:b/>
                <w:color w:val="auto"/>
                <w:sz w:val="32"/>
                <w:szCs w:val="32"/>
              </w:rPr>
              <w:t>《技术标评审标准》</w:t>
            </w:r>
          </w:p>
        </w:tc>
      </w:tr>
      <w:tr w14:paraId="61E3B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151E6CF">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序号</w:t>
            </w:r>
          </w:p>
        </w:tc>
        <w:tc>
          <w:tcPr>
            <w:tcW w:w="1134" w:type="dxa"/>
            <w:tcBorders>
              <w:top w:val="single" w:color="auto" w:sz="4" w:space="0"/>
              <w:left w:val="single" w:color="auto" w:sz="4" w:space="0"/>
              <w:bottom w:val="single" w:color="auto" w:sz="4" w:space="0"/>
              <w:right w:val="single" w:color="auto" w:sz="4" w:space="0"/>
            </w:tcBorders>
            <w:vAlign w:val="center"/>
          </w:tcPr>
          <w:p w14:paraId="4DB0C64D">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评审项目</w:t>
            </w:r>
          </w:p>
        </w:tc>
        <w:tc>
          <w:tcPr>
            <w:tcW w:w="5918" w:type="dxa"/>
            <w:tcBorders>
              <w:top w:val="single" w:color="auto" w:sz="4" w:space="0"/>
              <w:left w:val="single" w:color="auto" w:sz="4" w:space="0"/>
              <w:bottom w:val="single" w:color="auto" w:sz="4" w:space="0"/>
              <w:right w:val="single" w:color="auto" w:sz="4" w:space="0"/>
            </w:tcBorders>
            <w:vAlign w:val="center"/>
          </w:tcPr>
          <w:p w14:paraId="475B1E6D">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评审标准及证明材料</w:t>
            </w:r>
          </w:p>
        </w:tc>
        <w:tc>
          <w:tcPr>
            <w:tcW w:w="802" w:type="dxa"/>
            <w:tcBorders>
              <w:top w:val="single" w:color="auto" w:sz="4" w:space="0"/>
              <w:left w:val="single" w:color="auto" w:sz="4" w:space="0"/>
              <w:bottom w:val="single" w:color="auto" w:sz="4" w:space="0"/>
              <w:right w:val="single" w:color="auto" w:sz="4" w:space="0"/>
            </w:tcBorders>
            <w:vAlign w:val="center"/>
          </w:tcPr>
          <w:p w14:paraId="39CC52CD">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分值</w:t>
            </w:r>
          </w:p>
        </w:tc>
      </w:tr>
      <w:tr w14:paraId="0461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905ECD1">
            <w:pPr>
              <w:widowControl w:val="0"/>
              <w:autoSpaceDE w:val="0"/>
              <w:autoSpaceDN w:val="0"/>
              <w:adjustRightInd w:val="0"/>
              <w:snapToGrid w:val="0"/>
              <w:ind w:firstLine="0" w:firstLineChars="0"/>
              <w:jc w:val="center"/>
              <w:rPr>
                <w:rFonts w:hint="eastAsia" w:ascii="宋体" w:hAnsi="宋体" w:eastAsia="宋体"/>
                <w:color w:val="auto"/>
                <w:szCs w:val="21"/>
                <w:lang w:eastAsia="zh-CN"/>
              </w:rPr>
            </w:pPr>
            <w:r>
              <w:rPr>
                <w:rFonts w:hint="eastAsia" w:ascii="宋体" w:hAnsi="宋体"/>
                <w:color w:val="auto"/>
                <w:szCs w:val="21"/>
                <w:lang w:val="en-US" w:eastAsia="zh-CN"/>
              </w:rPr>
              <w:t>1</w:t>
            </w:r>
          </w:p>
        </w:tc>
        <w:tc>
          <w:tcPr>
            <w:tcW w:w="1134" w:type="dxa"/>
            <w:tcBorders>
              <w:top w:val="single" w:color="auto" w:sz="4" w:space="0"/>
              <w:left w:val="single" w:color="auto" w:sz="4" w:space="0"/>
              <w:bottom w:val="single" w:color="auto" w:sz="4" w:space="0"/>
              <w:right w:val="single" w:color="auto" w:sz="4" w:space="0"/>
            </w:tcBorders>
            <w:vAlign w:val="center"/>
          </w:tcPr>
          <w:p w14:paraId="0B0CAA1C">
            <w:pPr>
              <w:widowControl w:val="0"/>
              <w:autoSpaceDE w:val="0"/>
              <w:autoSpaceDN w:val="0"/>
              <w:adjustRightInd w:val="0"/>
              <w:snapToGrid w:val="0"/>
              <w:ind w:firstLine="0" w:firstLineChars="0"/>
              <w:jc w:val="center"/>
              <w:rPr>
                <w:rFonts w:ascii="宋体" w:hAnsi="宋体"/>
                <w:color w:val="auto"/>
                <w:szCs w:val="21"/>
              </w:rPr>
            </w:pPr>
            <w:r>
              <w:rPr>
                <w:rFonts w:ascii="Calibri" w:hAnsi="Calibri" w:eastAsia="宋体" w:cs="Times New Roman"/>
                <w:b w:val="0"/>
                <w:bCs w:val="0"/>
                <w:color w:val="auto"/>
                <w:sz w:val="24"/>
              </w:rPr>
              <w:t>服务方案</w:t>
            </w:r>
          </w:p>
        </w:tc>
        <w:tc>
          <w:tcPr>
            <w:tcW w:w="5918" w:type="dxa"/>
            <w:tcBorders>
              <w:top w:val="single" w:color="auto" w:sz="4" w:space="0"/>
              <w:left w:val="single" w:color="auto" w:sz="4" w:space="0"/>
              <w:bottom w:val="single" w:color="auto" w:sz="4" w:space="0"/>
              <w:right w:val="single" w:color="auto" w:sz="4" w:space="0"/>
            </w:tcBorders>
            <w:vAlign w:val="center"/>
          </w:tcPr>
          <w:p w14:paraId="3F7E8D06">
            <w:pPr>
              <w:ind w:firstLine="0" w:firstLineChars="0"/>
              <w:contextualSpacing/>
              <w:jc w:val="left"/>
              <w:rPr>
                <w:rFonts w:ascii="Calibri" w:hAnsi="Calibri" w:eastAsia="宋体" w:cs="Times New Roman"/>
                <w:b/>
                <w:bCs/>
                <w:color w:val="auto"/>
                <w:sz w:val="24"/>
              </w:rPr>
            </w:pPr>
            <w:r>
              <w:rPr>
                <w:rFonts w:ascii="Calibri" w:hAnsi="Calibri" w:eastAsia="宋体" w:cs="Times New Roman"/>
                <w:b/>
                <w:bCs/>
                <w:color w:val="auto"/>
                <w:sz w:val="24"/>
              </w:rPr>
              <w:t>要求：</w:t>
            </w:r>
            <w:r>
              <w:rPr>
                <w:rFonts w:ascii="Calibri" w:hAnsi="Calibri" w:eastAsia="宋体" w:cs="Times New Roman"/>
                <w:color w:val="auto"/>
                <w:sz w:val="24"/>
              </w:rPr>
              <w:t>针对本项目提供长效性的管理机制和方案，包括但不限于以下内容</w:t>
            </w:r>
          </w:p>
          <w:p w14:paraId="74F4F592">
            <w:pPr>
              <w:contextualSpacing/>
              <w:jc w:val="left"/>
              <w:rPr>
                <w:rFonts w:ascii="Calibri" w:hAnsi="Calibri" w:eastAsia="宋体" w:cs="Times New Roman"/>
                <w:color w:val="auto"/>
                <w:sz w:val="24"/>
              </w:rPr>
            </w:pPr>
            <w:r>
              <w:rPr>
                <w:rFonts w:ascii="Calibri" w:hAnsi="Calibri" w:eastAsia="宋体" w:cs="Times New Roman"/>
                <w:color w:val="auto"/>
                <w:sz w:val="24"/>
              </w:rPr>
              <w:t>1.甲方项目预跟踪服务机制；</w:t>
            </w:r>
          </w:p>
          <w:p w14:paraId="747DCC6F">
            <w:pPr>
              <w:contextualSpacing/>
              <w:jc w:val="left"/>
              <w:rPr>
                <w:rFonts w:ascii="Calibri" w:hAnsi="Calibri" w:eastAsia="宋体" w:cs="Times New Roman"/>
                <w:color w:val="auto"/>
                <w:sz w:val="24"/>
              </w:rPr>
            </w:pPr>
            <w:r>
              <w:rPr>
                <w:rFonts w:ascii="Calibri" w:hAnsi="Calibri" w:eastAsia="宋体" w:cs="Times New Roman"/>
                <w:color w:val="auto"/>
                <w:sz w:val="24"/>
              </w:rPr>
              <w:t>2.新项目承接团队组建机制；</w:t>
            </w:r>
          </w:p>
          <w:p w14:paraId="1918BBD5">
            <w:pPr>
              <w:contextualSpacing/>
              <w:jc w:val="left"/>
              <w:rPr>
                <w:rFonts w:ascii="Calibri" w:hAnsi="Calibri" w:eastAsia="宋体" w:cs="Times New Roman"/>
                <w:color w:val="auto"/>
                <w:sz w:val="24"/>
              </w:rPr>
            </w:pPr>
            <w:r>
              <w:rPr>
                <w:rFonts w:ascii="Calibri" w:hAnsi="Calibri" w:eastAsia="宋体" w:cs="Times New Roman"/>
                <w:color w:val="auto"/>
                <w:sz w:val="24"/>
              </w:rPr>
              <w:t>3.特殊项目应急保障机制；</w:t>
            </w:r>
          </w:p>
          <w:p w14:paraId="64EA9772">
            <w:pPr>
              <w:contextualSpacing/>
              <w:jc w:val="left"/>
              <w:rPr>
                <w:rFonts w:ascii="Calibri" w:hAnsi="Calibri" w:eastAsia="宋体" w:cs="Times New Roman"/>
                <w:color w:val="auto"/>
                <w:sz w:val="24"/>
              </w:rPr>
            </w:pPr>
            <w:r>
              <w:rPr>
                <w:rFonts w:ascii="Calibri" w:hAnsi="Calibri" w:eastAsia="宋体" w:cs="Times New Roman"/>
                <w:color w:val="auto"/>
                <w:sz w:val="24"/>
              </w:rPr>
              <w:t>4.项目重难应对机制；</w:t>
            </w:r>
          </w:p>
          <w:p w14:paraId="16C0CBAE">
            <w:pPr>
              <w:contextualSpacing/>
              <w:jc w:val="left"/>
              <w:rPr>
                <w:rFonts w:ascii="Calibri" w:hAnsi="Calibri" w:eastAsia="宋体" w:cs="Times New Roman"/>
                <w:color w:val="auto"/>
                <w:sz w:val="24"/>
              </w:rPr>
            </w:pPr>
            <w:r>
              <w:rPr>
                <w:rFonts w:ascii="Calibri" w:hAnsi="Calibri" w:eastAsia="宋体" w:cs="Times New Roman"/>
                <w:color w:val="auto"/>
                <w:sz w:val="24"/>
              </w:rPr>
              <w:t>5.内审与成果质量管控机制；</w:t>
            </w:r>
          </w:p>
          <w:p w14:paraId="7D528ED3">
            <w:pPr>
              <w:contextualSpacing/>
              <w:jc w:val="left"/>
              <w:rPr>
                <w:rFonts w:ascii="Calibri" w:hAnsi="Calibri" w:eastAsia="宋体" w:cs="Times New Roman"/>
                <w:color w:val="auto"/>
                <w:sz w:val="24"/>
              </w:rPr>
            </w:pPr>
            <w:r>
              <w:rPr>
                <w:rFonts w:ascii="Calibri" w:hAnsi="Calibri" w:eastAsia="宋体" w:cs="Times New Roman"/>
                <w:color w:val="auto"/>
                <w:sz w:val="24"/>
              </w:rPr>
              <w:t>6.工作保密制度、预防措施。</w:t>
            </w:r>
          </w:p>
          <w:p w14:paraId="7539D4C8">
            <w:pPr>
              <w:widowControl w:val="0"/>
              <w:autoSpaceDE w:val="0"/>
              <w:autoSpaceDN w:val="0"/>
              <w:adjustRightInd w:val="0"/>
              <w:snapToGrid w:val="0"/>
              <w:ind w:firstLine="0" w:firstLineChars="0"/>
              <w:jc w:val="left"/>
              <w:rPr>
                <w:rFonts w:ascii="宋体" w:hAnsi="宋体"/>
                <w:color w:val="auto"/>
                <w:szCs w:val="21"/>
              </w:rPr>
            </w:pPr>
            <w:r>
              <w:rPr>
                <w:rFonts w:ascii="Calibri" w:hAnsi="Calibri" w:eastAsia="宋体" w:cs="Times New Roman"/>
                <w:b/>
                <w:bCs/>
                <w:color w:val="auto"/>
                <w:sz w:val="24"/>
              </w:rPr>
              <w:t>评分标准：</w:t>
            </w:r>
            <w:bookmarkStart w:id="332" w:name="_Hlk141387064"/>
            <w:bookmarkStart w:id="333" w:name="_Hlk134697187"/>
            <w:r>
              <w:rPr>
                <w:rFonts w:ascii="Calibri" w:hAnsi="Calibri" w:eastAsia="宋体" w:cs="Times New Roman"/>
                <w:color w:val="auto"/>
                <w:sz w:val="24"/>
              </w:rPr>
              <w:t>评标专家横向比较各投标人服务方案，</w:t>
            </w:r>
            <w:bookmarkEnd w:id="332"/>
            <w:r>
              <w:rPr>
                <w:rFonts w:ascii="Calibri" w:hAnsi="Calibri" w:eastAsia="宋体" w:cs="Times New Roman"/>
                <w:color w:val="auto"/>
                <w:sz w:val="24"/>
              </w:rPr>
              <w:t>每个小点0-5分，本项最多得30分。</w:t>
            </w:r>
            <w:bookmarkEnd w:id="333"/>
          </w:p>
        </w:tc>
        <w:tc>
          <w:tcPr>
            <w:tcW w:w="802" w:type="dxa"/>
            <w:tcBorders>
              <w:top w:val="single" w:color="auto" w:sz="4" w:space="0"/>
              <w:left w:val="single" w:color="auto" w:sz="4" w:space="0"/>
              <w:bottom w:val="single" w:color="auto" w:sz="4" w:space="0"/>
              <w:right w:val="single" w:color="auto" w:sz="4" w:space="0"/>
            </w:tcBorders>
            <w:vAlign w:val="center"/>
          </w:tcPr>
          <w:p w14:paraId="559BCC7F">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lang w:val="en-US" w:eastAsia="zh-CN"/>
              </w:rPr>
              <w:t>30</w:t>
            </w:r>
            <w:r>
              <w:rPr>
                <w:rFonts w:hint="eastAsia" w:ascii="宋体" w:hAnsi="宋体"/>
                <w:color w:val="auto"/>
                <w:szCs w:val="21"/>
              </w:rPr>
              <w:t>分</w:t>
            </w:r>
          </w:p>
        </w:tc>
      </w:tr>
      <w:tr w14:paraId="25B5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727" w:type="dxa"/>
            <w:gridSpan w:val="3"/>
            <w:tcBorders>
              <w:top w:val="single" w:color="auto" w:sz="4" w:space="0"/>
              <w:left w:val="single" w:color="auto" w:sz="4" w:space="0"/>
              <w:bottom w:val="single" w:color="auto" w:sz="4" w:space="0"/>
              <w:right w:val="single" w:color="auto" w:sz="4" w:space="0"/>
            </w:tcBorders>
            <w:vAlign w:val="center"/>
          </w:tcPr>
          <w:p w14:paraId="3E4FB022">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合计</w:t>
            </w:r>
          </w:p>
        </w:tc>
        <w:tc>
          <w:tcPr>
            <w:tcW w:w="802" w:type="dxa"/>
            <w:tcBorders>
              <w:top w:val="single" w:color="auto" w:sz="4" w:space="0"/>
              <w:left w:val="single" w:color="auto" w:sz="4" w:space="0"/>
              <w:bottom w:val="single" w:color="auto" w:sz="4" w:space="0"/>
              <w:right w:val="single" w:color="auto" w:sz="4" w:space="0"/>
            </w:tcBorders>
            <w:vAlign w:val="center"/>
          </w:tcPr>
          <w:p w14:paraId="5C6F7043">
            <w:pPr>
              <w:widowControl w:val="0"/>
              <w:autoSpaceDE w:val="0"/>
              <w:autoSpaceDN w:val="0"/>
              <w:adjustRightInd w:val="0"/>
              <w:snapToGrid w:val="0"/>
              <w:ind w:firstLine="0" w:firstLineChars="0"/>
              <w:jc w:val="center"/>
              <w:rPr>
                <w:rFonts w:ascii="宋体" w:hAnsi="宋体"/>
                <w:color w:val="auto"/>
                <w:szCs w:val="21"/>
              </w:rPr>
            </w:pPr>
            <w:r>
              <w:rPr>
                <w:rFonts w:hint="eastAsia" w:ascii="宋体" w:hAnsi="宋体"/>
                <w:color w:val="auto"/>
                <w:szCs w:val="21"/>
                <w:lang w:val="en-US" w:eastAsia="zh-CN"/>
              </w:rPr>
              <w:t>30</w:t>
            </w:r>
            <w:r>
              <w:rPr>
                <w:rFonts w:hint="eastAsia" w:ascii="宋体" w:hAnsi="宋体"/>
                <w:color w:val="auto"/>
                <w:szCs w:val="21"/>
              </w:rPr>
              <w:t>分</w:t>
            </w:r>
          </w:p>
        </w:tc>
      </w:tr>
      <w:bookmarkEnd w:id="330"/>
      <w:bookmarkEnd w:id="331"/>
    </w:tbl>
    <w:p w14:paraId="0A6E5BAE">
      <w:pPr>
        <w:widowControl w:val="0"/>
        <w:autoSpaceDE w:val="0"/>
        <w:autoSpaceDN w:val="0"/>
        <w:adjustRightInd w:val="0"/>
        <w:snapToGrid w:val="0"/>
        <w:ind w:firstLine="0" w:firstLineChars="0"/>
        <w:jc w:val="left"/>
        <w:rPr>
          <w:rFonts w:ascii="宋体" w:hAnsi="宋体"/>
          <w:b/>
          <w:color w:val="auto"/>
          <w:szCs w:val="21"/>
        </w:rPr>
      </w:pPr>
    </w:p>
    <w:p w14:paraId="3710AA81">
      <w:pPr>
        <w:widowControl w:val="0"/>
        <w:autoSpaceDE w:val="0"/>
        <w:autoSpaceDN w:val="0"/>
        <w:adjustRightInd w:val="0"/>
        <w:snapToGrid w:val="0"/>
        <w:ind w:firstLine="0" w:firstLineChars="0"/>
        <w:jc w:val="left"/>
        <w:rPr>
          <w:rFonts w:ascii="宋体" w:hAnsi="宋体"/>
          <w:b/>
          <w:color w:val="auto"/>
          <w:szCs w:val="21"/>
        </w:rPr>
      </w:pPr>
      <w:r>
        <w:rPr>
          <w:rFonts w:hint="eastAsia" w:ascii="宋体" w:hAnsi="宋体"/>
          <w:b/>
          <w:color w:val="auto"/>
          <w:szCs w:val="21"/>
        </w:rPr>
        <w:t>注：</w:t>
      </w:r>
    </w:p>
    <w:p w14:paraId="272D9275">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1、本表评审依据要求的各项证明文件须编入投标文件。</w:t>
      </w:r>
    </w:p>
    <w:p w14:paraId="25BE6F59">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highlight w:val="none"/>
        </w:rPr>
        <w:t>2、表中要求提供相关证明文件的内容，投标文件中须明确加以说明并提供，未按要求提供相关文件或说明不清楚或评审委员会无法凭所提供的材料判断是否得分的情况，一律作不得分处理。</w:t>
      </w:r>
      <w:r>
        <w:rPr>
          <w:rFonts w:ascii="宋体" w:hAnsi="宋体"/>
          <w:color w:val="auto"/>
          <w:highlight w:val="none"/>
        </w:rPr>
        <w:br w:type="page"/>
      </w:r>
    </w:p>
    <w:p w14:paraId="5281C557">
      <w:pPr>
        <w:widowControl w:val="0"/>
        <w:autoSpaceDE w:val="0"/>
        <w:autoSpaceDN w:val="0"/>
        <w:adjustRightInd w:val="0"/>
        <w:snapToGrid w:val="0"/>
        <w:ind w:firstLine="0" w:firstLineChars="0"/>
        <w:jc w:val="left"/>
        <w:rPr>
          <w:rFonts w:ascii="宋体" w:hAnsi="宋体"/>
          <w:b/>
          <w:color w:val="auto"/>
          <w:sz w:val="22"/>
        </w:rPr>
      </w:pPr>
      <w:r>
        <w:rPr>
          <w:rFonts w:hint="eastAsia" w:ascii="宋体" w:hAnsi="宋体"/>
          <w:b/>
          <w:color w:val="auto"/>
          <w:sz w:val="22"/>
        </w:rPr>
        <w:t>附表3-1《价格标评审方法》</w:t>
      </w:r>
    </w:p>
    <w:p w14:paraId="4D2E09C1">
      <w:pPr>
        <w:widowControl w:val="0"/>
        <w:autoSpaceDE w:val="0"/>
        <w:autoSpaceDN w:val="0"/>
        <w:adjustRightInd w:val="0"/>
        <w:snapToGrid w:val="0"/>
        <w:ind w:firstLine="0" w:firstLineChars="0"/>
        <w:jc w:val="center"/>
        <w:rPr>
          <w:rFonts w:ascii="宋体" w:hAnsi="宋体"/>
          <w:b/>
          <w:color w:val="auto"/>
          <w:sz w:val="24"/>
        </w:rPr>
      </w:pPr>
      <w:r>
        <w:rPr>
          <w:rFonts w:hint="eastAsia" w:ascii="宋体" w:hAnsi="宋体"/>
          <w:b/>
          <w:color w:val="auto"/>
          <w:sz w:val="24"/>
        </w:rPr>
        <w:t>价格标评审方法</w:t>
      </w:r>
    </w:p>
    <w:p w14:paraId="79651A80">
      <w:pPr>
        <w:widowControl w:val="0"/>
        <w:numPr>
          <w:ilvl w:val="0"/>
          <w:numId w:val="7"/>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评标价格</w:t>
      </w:r>
    </w:p>
    <w:p w14:paraId="402BF4C0">
      <w:pPr>
        <w:widowControl w:val="0"/>
        <w:numPr>
          <w:ilvl w:val="1"/>
          <w:numId w:val="8"/>
        </w:numPr>
        <w:autoSpaceDE w:val="0"/>
        <w:autoSpaceDN w:val="0"/>
        <w:adjustRightInd w:val="0"/>
        <w:snapToGrid w:val="0"/>
        <w:ind w:firstLineChars="0"/>
        <w:jc w:val="left"/>
        <w:rPr>
          <w:rFonts w:ascii="宋体" w:hAnsi="宋体"/>
          <w:b/>
          <w:color w:val="auto"/>
          <w:szCs w:val="21"/>
        </w:rPr>
      </w:pPr>
      <w:r>
        <w:rPr>
          <w:rFonts w:hint="eastAsia" w:ascii="宋体" w:hAnsi="宋体"/>
          <w:color w:val="auto"/>
        </w:rPr>
        <w:t>投标文件存在投标报价问题的，进行投标报价的算术修正，投标报价算术修正按有利于招标人的原则进行，具体修正原则为：</w:t>
      </w:r>
    </w:p>
    <w:p w14:paraId="6D8D9571">
      <w:pPr>
        <w:widowControl w:val="0"/>
        <w:numPr>
          <w:ilvl w:val="2"/>
          <w:numId w:val="8"/>
        </w:numPr>
        <w:autoSpaceDE w:val="0"/>
        <w:autoSpaceDN w:val="0"/>
        <w:adjustRightInd w:val="0"/>
        <w:snapToGrid w:val="0"/>
        <w:ind w:firstLineChars="0"/>
        <w:jc w:val="left"/>
        <w:rPr>
          <w:rFonts w:ascii="宋体" w:hAnsi="宋体"/>
          <w:color w:val="auto"/>
        </w:rPr>
      </w:pPr>
      <w:r>
        <w:rPr>
          <w:rFonts w:hint="eastAsia" w:ascii="宋体" w:hAnsi="宋体"/>
          <w:color w:val="auto"/>
        </w:rPr>
        <w:t>若投标报价一览表中投标总价与投标文件中投标总价不一致，以投标报价一览表投标总价为准；</w:t>
      </w:r>
    </w:p>
    <w:p w14:paraId="44CC0AF1">
      <w:pPr>
        <w:widowControl w:val="0"/>
        <w:numPr>
          <w:ilvl w:val="2"/>
          <w:numId w:val="8"/>
        </w:numPr>
        <w:autoSpaceDE w:val="0"/>
        <w:autoSpaceDN w:val="0"/>
        <w:adjustRightInd w:val="0"/>
        <w:snapToGrid w:val="0"/>
        <w:ind w:firstLineChars="0"/>
        <w:jc w:val="left"/>
        <w:rPr>
          <w:rFonts w:ascii="宋体" w:hAnsi="宋体"/>
          <w:color w:val="auto"/>
        </w:rPr>
      </w:pPr>
      <w:r>
        <w:rPr>
          <w:rFonts w:hint="eastAsia" w:ascii="宋体" w:hAnsi="宋体"/>
          <w:color w:val="auto"/>
        </w:rPr>
        <w:t>当小写金额与大写金额有差异时，以大写金额为准（有明显错误的除外）；</w:t>
      </w:r>
    </w:p>
    <w:p w14:paraId="459D6148">
      <w:pPr>
        <w:widowControl w:val="0"/>
        <w:numPr>
          <w:ilvl w:val="2"/>
          <w:numId w:val="8"/>
        </w:numPr>
        <w:autoSpaceDE w:val="0"/>
        <w:autoSpaceDN w:val="0"/>
        <w:adjustRightInd w:val="0"/>
        <w:snapToGrid w:val="0"/>
        <w:ind w:firstLineChars="0"/>
        <w:jc w:val="left"/>
        <w:rPr>
          <w:rFonts w:ascii="宋体" w:hAnsi="宋体"/>
          <w:color w:val="auto"/>
        </w:rPr>
      </w:pPr>
      <w:r>
        <w:rPr>
          <w:rFonts w:hint="eastAsia" w:ascii="宋体" w:hAnsi="宋体"/>
          <w:color w:val="auto"/>
        </w:rPr>
        <w:t>单价金额小数点有明显错位的，应以总价为准，并修改单价；</w:t>
      </w:r>
    </w:p>
    <w:p w14:paraId="26E43CDA">
      <w:pPr>
        <w:widowControl w:val="0"/>
        <w:numPr>
          <w:ilvl w:val="2"/>
          <w:numId w:val="8"/>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投标报价为各分项报价金额之和，总价金额与依据单价计算出的结果不一致的，以有利于招标人的为准，即当单价与数量的乘积高于合价或总价时，以合价或总价为准调整单价；当单价与数量的乘积低于合价或总价时，以单价为准调整合价或总价，修正投标报价；如分项报价中存在缺漏项，则视为缺漏项的价格已包含在其他分项报价之中。投标人在投标截止时间前修改投标报价总额，应同时修改投标文件“分项报价表”中的相应报价。此修改须符合第一章第三节第4.3款的有关要求。</w:t>
      </w:r>
    </w:p>
    <w:p w14:paraId="7AEB4480">
      <w:pPr>
        <w:widowControl w:val="0"/>
        <w:numPr>
          <w:ilvl w:val="1"/>
          <w:numId w:val="8"/>
        </w:numPr>
        <w:autoSpaceDE w:val="0"/>
        <w:autoSpaceDN w:val="0"/>
        <w:adjustRightInd w:val="0"/>
        <w:snapToGrid w:val="0"/>
        <w:ind w:firstLineChars="0"/>
        <w:jc w:val="left"/>
        <w:rPr>
          <w:rFonts w:ascii="宋体" w:hAnsi="宋体"/>
          <w:color w:val="auto"/>
          <w:szCs w:val="21"/>
        </w:rPr>
      </w:pPr>
      <w:r>
        <w:rPr>
          <w:rFonts w:hint="eastAsia" w:ascii="宋体" w:hAnsi="宋体"/>
          <w:color w:val="auto"/>
          <w:szCs w:val="21"/>
        </w:rPr>
        <w:t>合同金额以经修正后的投标报价为准，缺漏项部分由投标人自行承担。</w:t>
      </w:r>
    </w:p>
    <w:p w14:paraId="4DA276D5">
      <w:pPr>
        <w:widowControl w:val="0"/>
        <w:autoSpaceDE w:val="0"/>
        <w:autoSpaceDN w:val="0"/>
        <w:adjustRightInd w:val="0"/>
        <w:snapToGrid w:val="0"/>
        <w:ind w:firstLine="0" w:firstLineChars="0"/>
        <w:jc w:val="left"/>
        <w:rPr>
          <w:rFonts w:ascii="宋体" w:hAnsi="宋体"/>
          <w:color w:val="auto"/>
          <w:szCs w:val="21"/>
        </w:rPr>
      </w:pPr>
    </w:p>
    <w:p w14:paraId="1DE4932F">
      <w:pPr>
        <w:widowControl w:val="0"/>
        <w:numPr>
          <w:ilvl w:val="0"/>
          <w:numId w:val="8"/>
        </w:numPr>
        <w:autoSpaceDE w:val="0"/>
        <w:autoSpaceDN w:val="0"/>
        <w:adjustRightInd w:val="0"/>
        <w:snapToGrid w:val="0"/>
        <w:ind w:firstLineChars="0"/>
        <w:jc w:val="left"/>
        <w:rPr>
          <w:rFonts w:ascii="宋体" w:hAnsi="宋体"/>
          <w:b/>
          <w:color w:val="auto"/>
          <w:szCs w:val="21"/>
        </w:rPr>
      </w:pPr>
      <w:r>
        <w:rPr>
          <w:rFonts w:hint="eastAsia" w:ascii="宋体" w:hAnsi="宋体"/>
          <w:b/>
          <w:color w:val="auto"/>
          <w:szCs w:val="21"/>
        </w:rPr>
        <w:t>价格标评分的计算：</w:t>
      </w:r>
    </w:p>
    <w:tbl>
      <w:tblPr>
        <w:tblStyle w:val="5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49"/>
        <w:gridCol w:w="1121"/>
        <w:gridCol w:w="1537"/>
        <w:gridCol w:w="4806"/>
      </w:tblGrid>
      <w:tr w14:paraId="29C64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restart"/>
            <w:vAlign w:val="center"/>
          </w:tcPr>
          <w:p w14:paraId="4F9D9BFD">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投标</w:t>
            </w:r>
            <w:r>
              <w:rPr>
                <w:rFonts w:ascii="宋体" w:hAnsi="宋体"/>
                <w:b/>
                <w:color w:val="auto"/>
                <w:szCs w:val="21"/>
              </w:rPr>
              <w:t>报价得分</w:t>
            </w:r>
          </w:p>
        </w:tc>
        <w:tc>
          <w:tcPr>
            <w:tcW w:w="7570" w:type="dxa"/>
            <w:gridSpan w:val="3"/>
            <w:vAlign w:val="center"/>
          </w:tcPr>
          <w:p w14:paraId="419418BA">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基准价</w:t>
            </w:r>
            <w:r>
              <w:rPr>
                <w:rFonts w:ascii="宋体" w:hAnsi="宋体"/>
                <w:b/>
                <w:color w:val="auto"/>
                <w:szCs w:val="21"/>
              </w:rPr>
              <w:t>和算法类型选择</w:t>
            </w:r>
          </w:p>
        </w:tc>
      </w:tr>
      <w:tr w14:paraId="0FEE2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2476E884">
            <w:pPr>
              <w:widowControl w:val="0"/>
              <w:autoSpaceDE w:val="0"/>
              <w:autoSpaceDN w:val="0"/>
              <w:adjustRightInd w:val="0"/>
              <w:snapToGrid w:val="0"/>
              <w:ind w:firstLine="0" w:firstLineChars="0"/>
              <w:rPr>
                <w:rFonts w:ascii="宋体" w:hAnsi="宋体"/>
                <w:color w:val="auto"/>
                <w:szCs w:val="21"/>
              </w:rPr>
            </w:pPr>
          </w:p>
        </w:tc>
        <w:tc>
          <w:tcPr>
            <w:tcW w:w="1134" w:type="dxa"/>
            <w:vMerge w:val="restart"/>
            <w:vAlign w:val="center"/>
          </w:tcPr>
          <w:p w14:paraId="6F2804B9">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基准价</w:t>
            </w:r>
          </w:p>
        </w:tc>
        <w:tc>
          <w:tcPr>
            <w:tcW w:w="6436" w:type="dxa"/>
            <w:gridSpan w:val="2"/>
            <w:vAlign w:val="center"/>
          </w:tcPr>
          <w:p w14:paraId="76014D65">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□各有效</w:t>
            </w:r>
            <w:r>
              <w:rPr>
                <w:rFonts w:ascii="宋体" w:hAnsi="宋体"/>
                <w:color w:val="auto"/>
                <w:szCs w:val="21"/>
              </w:rPr>
              <w:t>投</w:t>
            </w:r>
            <w:r>
              <w:rPr>
                <w:rFonts w:hint="eastAsia" w:ascii="宋体" w:hAnsi="宋体"/>
                <w:color w:val="auto"/>
                <w:szCs w:val="21"/>
              </w:rPr>
              <w:t>标报价大于n家时，去掉一个最高和最低报价后的算术平均值乘以％</w:t>
            </w:r>
          </w:p>
          <w:p w14:paraId="54ED02DF">
            <w:pPr>
              <w:widowControl w:val="0"/>
              <w:autoSpaceDE w:val="0"/>
              <w:autoSpaceDN w:val="0"/>
              <w:adjustRightInd w:val="0"/>
              <w:snapToGrid w:val="0"/>
              <w:ind w:firstLine="0" w:firstLineChars="0"/>
              <w:rPr>
                <w:rFonts w:hint="eastAsia" w:ascii="宋体" w:hAnsi="宋体" w:eastAsia="宋体"/>
                <w:color w:val="auto"/>
                <w:szCs w:val="21"/>
                <w:lang w:eastAsia="zh-CN"/>
              </w:rPr>
            </w:pPr>
            <w:r>
              <w:rPr>
                <w:rFonts w:hint="eastAsia" w:ascii="宋体" w:hAnsi="宋体"/>
                <w:color w:val="auto"/>
                <w:szCs w:val="21"/>
              </w:rPr>
              <w:t>当有效投标报价少于n（含）家时，则以所有有效投标报价的算术平均值乘以％。n=</w:t>
            </w:r>
          </w:p>
        </w:tc>
      </w:tr>
      <w:tr w14:paraId="555AA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32AA8F66">
            <w:pPr>
              <w:widowControl w:val="0"/>
              <w:autoSpaceDE w:val="0"/>
              <w:autoSpaceDN w:val="0"/>
              <w:adjustRightInd w:val="0"/>
              <w:snapToGrid w:val="0"/>
              <w:ind w:firstLine="0" w:firstLineChars="0"/>
              <w:rPr>
                <w:rFonts w:ascii="宋体" w:hAnsi="宋体"/>
                <w:color w:val="auto"/>
                <w:szCs w:val="21"/>
              </w:rPr>
            </w:pPr>
          </w:p>
        </w:tc>
        <w:tc>
          <w:tcPr>
            <w:tcW w:w="1134" w:type="dxa"/>
            <w:vMerge w:val="continue"/>
            <w:vAlign w:val="center"/>
          </w:tcPr>
          <w:p w14:paraId="42EBDEBF">
            <w:pPr>
              <w:widowControl w:val="0"/>
              <w:autoSpaceDE w:val="0"/>
              <w:autoSpaceDN w:val="0"/>
              <w:adjustRightInd w:val="0"/>
              <w:snapToGrid w:val="0"/>
              <w:ind w:firstLine="0" w:firstLineChars="0"/>
              <w:jc w:val="center"/>
              <w:rPr>
                <w:rFonts w:ascii="宋体" w:hAnsi="宋体"/>
                <w:b/>
                <w:color w:val="auto"/>
                <w:szCs w:val="21"/>
              </w:rPr>
            </w:pPr>
          </w:p>
        </w:tc>
        <w:tc>
          <w:tcPr>
            <w:tcW w:w="6436" w:type="dxa"/>
            <w:gridSpan w:val="2"/>
            <w:vAlign w:val="center"/>
          </w:tcPr>
          <w:p w14:paraId="398BDF76">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lang w:eastAsia="zh-CN"/>
              </w:rPr>
              <w:t>□</w:t>
            </w:r>
            <w:r>
              <w:rPr>
                <w:rFonts w:hint="eastAsia" w:ascii="宋体" w:hAnsi="宋体"/>
                <w:color w:val="auto"/>
                <w:szCs w:val="21"/>
              </w:rPr>
              <w:t>取有效投标报价算术平均值，并对算数平均值下浮0％</w:t>
            </w:r>
          </w:p>
        </w:tc>
      </w:tr>
      <w:tr w14:paraId="6034C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6B988B27">
            <w:pPr>
              <w:widowControl w:val="0"/>
              <w:autoSpaceDE w:val="0"/>
              <w:autoSpaceDN w:val="0"/>
              <w:adjustRightInd w:val="0"/>
              <w:snapToGrid w:val="0"/>
              <w:ind w:firstLine="0" w:firstLineChars="0"/>
              <w:rPr>
                <w:rFonts w:ascii="宋体" w:hAnsi="宋体"/>
                <w:color w:val="auto"/>
                <w:szCs w:val="21"/>
              </w:rPr>
            </w:pPr>
          </w:p>
        </w:tc>
        <w:tc>
          <w:tcPr>
            <w:tcW w:w="1134" w:type="dxa"/>
            <w:vMerge w:val="continue"/>
            <w:vAlign w:val="center"/>
          </w:tcPr>
          <w:p w14:paraId="7698B830">
            <w:pPr>
              <w:widowControl w:val="0"/>
              <w:autoSpaceDE w:val="0"/>
              <w:autoSpaceDN w:val="0"/>
              <w:adjustRightInd w:val="0"/>
              <w:snapToGrid w:val="0"/>
              <w:ind w:firstLine="0" w:firstLineChars="0"/>
              <w:jc w:val="center"/>
              <w:rPr>
                <w:rFonts w:ascii="宋体" w:hAnsi="宋体"/>
                <w:b/>
                <w:color w:val="auto"/>
                <w:szCs w:val="21"/>
              </w:rPr>
            </w:pPr>
          </w:p>
        </w:tc>
        <w:tc>
          <w:tcPr>
            <w:tcW w:w="6436" w:type="dxa"/>
            <w:gridSpan w:val="2"/>
            <w:vAlign w:val="center"/>
          </w:tcPr>
          <w:p w14:paraId="1F669AEE">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highlight w:val="none"/>
              </w:rPr>
              <w:t>☑基准价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Z</w:t>
            </w:r>
            <w:r>
              <w:rPr>
                <w:rFonts w:hint="eastAsia" w:ascii="宋体" w:hAnsi="宋体"/>
                <w:color w:val="auto"/>
                <w:szCs w:val="21"/>
                <w:highlight w:val="none"/>
                <w:lang w:eastAsia="zh-CN"/>
              </w:rPr>
              <w:t>）：</w:t>
            </w:r>
            <w:r>
              <w:rPr>
                <w:rFonts w:hint="eastAsia" w:ascii="宋体" w:hAnsi="宋体"/>
                <w:color w:val="auto"/>
                <w:szCs w:val="21"/>
                <w:highlight w:val="none"/>
                <w:lang w:eastAsia="zh-CN"/>
              </w:rPr>
              <w:br w:type="textWrapping"/>
            </w:r>
            <w:r>
              <w:rPr>
                <w:rFonts w:hint="eastAsia"/>
                <w:color w:val="auto"/>
                <w:sz w:val="21"/>
                <w:szCs w:val="21"/>
                <w:highlight w:val="none"/>
                <w:lang w:val="en-US" w:eastAsia="zh-CN"/>
              </w:rPr>
              <w:t>1、</w:t>
            </w:r>
            <w:r>
              <w:rPr>
                <w:rFonts w:hint="eastAsia" w:ascii="宋体" w:hAnsi="宋体"/>
                <w:color w:val="auto"/>
                <w:sz w:val="21"/>
                <w:szCs w:val="21"/>
                <w:highlight w:val="none"/>
              </w:rPr>
              <w:t>先计算有效投标人的B值，B=1-投标下浮率。</w:t>
            </w:r>
            <w:r>
              <w:rPr>
                <w:rFonts w:hint="eastAsia" w:ascii="宋体" w:hAnsi="宋体"/>
                <w:color w:val="auto"/>
                <w:sz w:val="21"/>
                <w:szCs w:val="21"/>
                <w:highlight w:val="none"/>
              </w:rPr>
              <w:br w:type="textWrapping"/>
            </w:r>
            <w:r>
              <w:rPr>
                <w:rFonts w:hint="eastAsia" w:ascii="宋体" w:hAnsi="宋体" w:eastAsia="宋体" w:cs="Times New Roman"/>
                <w:color w:val="auto"/>
                <w:sz w:val="21"/>
                <w:szCs w:val="21"/>
                <w:highlight w:val="none"/>
                <w:lang w:eastAsia="zh-CN"/>
              </w:rPr>
              <w:t>2、</w:t>
            </w:r>
            <w:r>
              <w:rPr>
                <w:rFonts w:hint="eastAsia" w:ascii="宋体" w:hAnsi="宋体" w:eastAsia="宋体" w:cs="Times New Roman"/>
                <w:b w:val="0"/>
                <w:bCs w:val="0"/>
                <w:color w:val="auto"/>
                <w:sz w:val="21"/>
                <w:szCs w:val="21"/>
                <w:highlight w:val="none"/>
                <w:vertAlign w:val="baseline"/>
                <w:lang w:val="en-US" w:eastAsia="zh-CN"/>
              </w:rPr>
              <w:t>有效投标人数量</w:t>
            </w:r>
            <w:r>
              <w:rPr>
                <w:rFonts w:hint="eastAsia" w:ascii="宋体" w:hAnsi="宋体" w:eastAsia="宋体" w:cs="Times New Roman"/>
                <w:color w:val="auto"/>
                <w:kern w:val="2"/>
                <w:sz w:val="21"/>
                <w:szCs w:val="21"/>
                <w:highlight w:val="none"/>
                <w:lang w:val="en-US" w:eastAsia="zh-CN"/>
              </w:rPr>
              <w:t>≤6家</w:t>
            </w:r>
            <w:r>
              <w:rPr>
                <w:rFonts w:hint="eastAsia" w:ascii="宋体" w:hAnsi="宋体" w:eastAsia="宋体" w:cs="Times New Roman"/>
                <w:color w:val="auto"/>
                <w:kern w:val="2"/>
                <w:sz w:val="21"/>
                <w:szCs w:val="21"/>
                <w:highlight w:val="none"/>
              </w:rPr>
              <w:t>时，计算所有有效投标人的B值</w:t>
            </w:r>
            <w:r>
              <w:rPr>
                <w:rFonts w:hint="eastAsia" w:ascii="宋体" w:hAnsi="宋体" w:eastAsia="宋体" w:cs="Times New Roman"/>
                <w:color w:val="auto"/>
                <w:kern w:val="2"/>
                <w:sz w:val="21"/>
                <w:szCs w:val="21"/>
                <w:highlight w:val="none"/>
                <w:lang w:eastAsia="zh-CN"/>
              </w:rPr>
              <w:t>算术</w:t>
            </w:r>
            <w:r>
              <w:rPr>
                <w:rFonts w:hint="eastAsia" w:ascii="宋体" w:hAnsi="宋体" w:eastAsia="宋体" w:cs="Times New Roman"/>
                <w:color w:val="auto"/>
                <w:kern w:val="2"/>
                <w:sz w:val="21"/>
                <w:szCs w:val="21"/>
                <w:highlight w:val="none"/>
              </w:rPr>
              <w:t>平均值，</w:t>
            </w:r>
            <w:r>
              <w:rPr>
                <w:rFonts w:hint="eastAsia" w:ascii="宋体" w:hAnsi="宋体" w:eastAsia="宋体" w:cs="Times New Roman"/>
                <w:color w:val="auto"/>
                <w:kern w:val="2"/>
                <w:sz w:val="21"/>
                <w:szCs w:val="21"/>
                <w:highlight w:val="none"/>
                <w:lang w:eastAsia="zh-CN"/>
              </w:rPr>
              <w:t>并对</w:t>
            </w:r>
            <w:r>
              <w:rPr>
                <w:rFonts w:hint="eastAsia" w:ascii="宋体" w:hAnsi="宋体" w:eastAsia="宋体" w:cs="Times New Roman"/>
                <w:color w:val="auto"/>
                <w:kern w:val="2"/>
                <w:sz w:val="21"/>
                <w:szCs w:val="21"/>
                <w:highlight w:val="none"/>
              </w:rPr>
              <w:t>B值</w:t>
            </w:r>
            <w:r>
              <w:rPr>
                <w:rFonts w:hint="eastAsia" w:ascii="宋体" w:hAnsi="宋体" w:eastAsia="宋体" w:cs="Times New Roman"/>
                <w:color w:val="auto"/>
                <w:kern w:val="2"/>
                <w:sz w:val="21"/>
                <w:szCs w:val="21"/>
                <w:highlight w:val="none"/>
                <w:lang w:eastAsia="zh-CN"/>
              </w:rPr>
              <w:t>算术</w:t>
            </w:r>
            <w:r>
              <w:rPr>
                <w:rFonts w:hint="eastAsia" w:ascii="宋体" w:hAnsi="宋体" w:eastAsia="宋体" w:cs="Times New Roman"/>
                <w:color w:val="auto"/>
                <w:kern w:val="2"/>
                <w:sz w:val="21"/>
                <w:szCs w:val="21"/>
                <w:highlight w:val="none"/>
              </w:rPr>
              <w:t>平均值</w:t>
            </w:r>
            <w:r>
              <w:rPr>
                <w:rFonts w:hint="eastAsia" w:ascii="宋体" w:hAnsi="宋体" w:eastAsia="宋体" w:cs="Times New Roman"/>
                <w:color w:val="auto"/>
                <w:kern w:val="2"/>
                <w:sz w:val="21"/>
                <w:szCs w:val="21"/>
                <w:highlight w:val="none"/>
                <w:lang w:val="en-US" w:eastAsia="zh-CN"/>
              </w:rPr>
              <w:t>，即</w:t>
            </w:r>
            <w:r>
              <w:rPr>
                <w:rFonts w:hint="eastAsia" w:ascii="宋体" w:hAnsi="宋体" w:eastAsia="宋体" w:cs="Times New Roman"/>
                <w:color w:val="auto"/>
                <w:kern w:val="2"/>
                <w:sz w:val="21"/>
                <w:szCs w:val="21"/>
                <w:highlight w:val="none"/>
              </w:rPr>
              <w:t>为基准价</w:t>
            </w:r>
            <w:r>
              <w:rPr>
                <w:rFonts w:hint="eastAsia" w:ascii="宋体" w:hAnsi="宋体" w:eastAsia="宋体" w:cs="Times New Roman"/>
                <w:color w:val="auto"/>
                <w:kern w:val="2"/>
                <w:sz w:val="21"/>
                <w:szCs w:val="21"/>
                <w:highlight w:val="none"/>
                <w:lang w:eastAsia="zh-CN"/>
              </w:rPr>
              <w:t>；</w:t>
            </w:r>
            <w:r>
              <w:rPr>
                <w:rFonts w:hint="eastAsia" w:ascii="宋体" w:hAnsi="宋体" w:eastAsia="宋体" w:cs="Times New Roman"/>
                <w:color w:val="auto"/>
                <w:kern w:val="2"/>
                <w:sz w:val="21"/>
                <w:szCs w:val="21"/>
                <w:highlight w:val="none"/>
                <w:lang w:eastAsia="zh-CN"/>
              </w:rPr>
              <w:br w:type="textWrapping"/>
            </w:r>
            <w:r>
              <w:rPr>
                <w:rFonts w:hint="eastAsia" w:ascii="宋体" w:hAnsi="宋体" w:eastAsia="宋体" w:cs="Times New Roman"/>
                <w:color w:val="auto"/>
                <w:kern w:val="2"/>
                <w:sz w:val="21"/>
                <w:szCs w:val="21"/>
                <w:highlight w:val="none"/>
                <w:lang w:eastAsia="zh-CN"/>
              </w:rPr>
              <w:t>3、</w:t>
            </w:r>
            <w:r>
              <w:rPr>
                <w:rFonts w:hint="eastAsia" w:ascii="宋体" w:hAnsi="宋体" w:eastAsia="宋体" w:cs="Times New Roman"/>
                <w:b w:val="0"/>
                <w:bCs w:val="0"/>
                <w:color w:val="auto"/>
                <w:sz w:val="21"/>
                <w:szCs w:val="21"/>
                <w:highlight w:val="none"/>
                <w:vertAlign w:val="baseline"/>
                <w:lang w:val="en-US" w:eastAsia="zh-CN"/>
              </w:rPr>
              <w:t>当有效投标人数量＞6时，有效投标人</w:t>
            </w:r>
            <w:r>
              <w:rPr>
                <w:rFonts w:hint="eastAsia" w:ascii="宋体" w:hAnsi="宋体" w:eastAsia="宋体" w:cs="Times New Roman"/>
                <w:color w:val="auto"/>
                <w:kern w:val="2"/>
                <w:sz w:val="21"/>
                <w:szCs w:val="21"/>
                <w:highlight w:val="none"/>
              </w:rPr>
              <w:t>的B值</w:t>
            </w:r>
            <w:r>
              <w:rPr>
                <w:rFonts w:hint="eastAsia" w:ascii="宋体" w:hAnsi="宋体" w:eastAsia="宋体" w:cs="Times New Roman"/>
                <w:b w:val="0"/>
                <w:bCs w:val="0"/>
                <w:color w:val="auto"/>
                <w:sz w:val="21"/>
                <w:szCs w:val="21"/>
                <w:highlight w:val="none"/>
                <w:vertAlign w:val="baseline"/>
                <w:lang w:val="en-US" w:eastAsia="zh-CN"/>
              </w:rPr>
              <w:t>按由低到高排序，对称去除</w:t>
            </w:r>
            <w:r>
              <w:rPr>
                <w:rFonts w:hint="eastAsia" w:ascii="宋体" w:hAnsi="宋体" w:cs="Times New Roman"/>
                <w:b w:val="0"/>
                <w:bCs w:val="0"/>
                <w:color w:val="auto"/>
                <w:sz w:val="21"/>
                <w:szCs w:val="21"/>
                <w:highlight w:val="none"/>
                <w:vertAlign w:val="baseline"/>
                <w:lang w:val="en-US" w:eastAsia="zh-CN"/>
              </w:rPr>
              <w:t>B值</w:t>
            </w:r>
            <w:r>
              <w:rPr>
                <w:rFonts w:hint="eastAsia" w:ascii="宋体" w:hAnsi="宋体" w:eastAsia="宋体" w:cs="Times New Roman"/>
                <w:b w:val="0"/>
                <w:bCs w:val="0"/>
                <w:color w:val="auto"/>
                <w:sz w:val="21"/>
                <w:szCs w:val="21"/>
                <w:highlight w:val="none"/>
                <w:vertAlign w:val="baseline"/>
                <w:lang w:val="en-US" w:eastAsia="zh-CN"/>
              </w:rPr>
              <w:t>最低和最高的占有效投标人数量各10%数量的</w:t>
            </w:r>
            <w:r>
              <w:rPr>
                <w:rFonts w:hint="eastAsia" w:ascii="宋体" w:hAnsi="宋体" w:cs="Times New Roman"/>
                <w:b w:val="0"/>
                <w:bCs w:val="0"/>
                <w:color w:val="auto"/>
                <w:sz w:val="21"/>
                <w:szCs w:val="21"/>
                <w:highlight w:val="none"/>
                <w:vertAlign w:val="baseline"/>
                <w:lang w:val="en-US" w:eastAsia="zh-CN"/>
              </w:rPr>
              <w:t>B值</w:t>
            </w:r>
            <w:r>
              <w:rPr>
                <w:rFonts w:hint="eastAsia" w:ascii="宋体" w:hAnsi="宋体" w:eastAsia="宋体" w:cs="Times New Roman"/>
                <w:b w:val="0"/>
                <w:bCs w:val="0"/>
                <w:color w:val="auto"/>
                <w:sz w:val="21"/>
                <w:szCs w:val="21"/>
                <w:highlight w:val="none"/>
                <w:vertAlign w:val="baseline"/>
                <w:lang w:val="en-US" w:eastAsia="zh-CN"/>
              </w:rPr>
              <w:t>（去除数量按各10%计算并四舍五入取整，若出现最高（或最低）</w:t>
            </w:r>
            <w:r>
              <w:rPr>
                <w:rFonts w:hint="eastAsia" w:ascii="宋体" w:hAnsi="宋体" w:cs="Times New Roman"/>
                <w:b w:val="0"/>
                <w:bCs w:val="0"/>
                <w:color w:val="auto"/>
                <w:sz w:val="21"/>
                <w:szCs w:val="21"/>
                <w:highlight w:val="none"/>
                <w:vertAlign w:val="baseline"/>
                <w:lang w:val="en-US" w:eastAsia="zh-CN"/>
              </w:rPr>
              <w:t>B值</w:t>
            </w:r>
            <w:r>
              <w:rPr>
                <w:rFonts w:hint="eastAsia" w:ascii="宋体" w:hAnsi="宋体" w:eastAsia="宋体" w:cs="Times New Roman"/>
                <w:b w:val="0"/>
                <w:bCs w:val="0"/>
                <w:color w:val="auto"/>
                <w:sz w:val="21"/>
                <w:szCs w:val="21"/>
                <w:highlight w:val="none"/>
                <w:vertAlign w:val="baseline"/>
                <w:lang w:val="en-US" w:eastAsia="zh-CN"/>
              </w:rPr>
              <w:t>相同的，</w:t>
            </w:r>
            <w:r>
              <w:rPr>
                <w:rFonts w:hint="eastAsia" w:ascii="宋体" w:hAnsi="宋体" w:cs="Times New Roman"/>
                <w:b w:val="0"/>
                <w:bCs w:val="0"/>
                <w:color w:val="auto"/>
                <w:sz w:val="21"/>
                <w:szCs w:val="21"/>
                <w:highlight w:val="none"/>
                <w:vertAlign w:val="baseline"/>
                <w:lang w:val="en-US" w:eastAsia="zh-CN"/>
              </w:rPr>
              <w:t>B值</w:t>
            </w:r>
            <w:r>
              <w:rPr>
                <w:rFonts w:hint="eastAsia" w:ascii="宋体" w:hAnsi="宋体" w:eastAsia="宋体" w:cs="Times New Roman"/>
                <w:b w:val="0"/>
                <w:bCs w:val="0"/>
                <w:color w:val="auto"/>
                <w:sz w:val="21"/>
                <w:szCs w:val="21"/>
                <w:highlight w:val="none"/>
                <w:vertAlign w:val="baseline"/>
                <w:lang w:val="en-US" w:eastAsia="zh-CN"/>
              </w:rPr>
              <w:t>相同的也一并去除），再计算剩下</w:t>
            </w:r>
            <w:r>
              <w:rPr>
                <w:rFonts w:hint="eastAsia" w:ascii="宋体" w:hAnsi="宋体" w:cs="Times New Roman"/>
                <w:b w:val="0"/>
                <w:bCs w:val="0"/>
                <w:color w:val="auto"/>
                <w:sz w:val="21"/>
                <w:szCs w:val="21"/>
                <w:highlight w:val="none"/>
                <w:vertAlign w:val="baseline"/>
                <w:lang w:val="en-US" w:eastAsia="zh-CN"/>
              </w:rPr>
              <w:t>B值</w:t>
            </w:r>
            <w:r>
              <w:rPr>
                <w:rFonts w:hint="eastAsia" w:ascii="宋体" w:hAnsi="宋体" w:eastAsia="宋体" w:cs="Times New Roman"/>
                <w:b w:val="0"/>
                <w:bCs w:val="0"/>
                <w:color w:val="auto"/>
                <w:sz w:val="21"/>
                <w:szCs w:val="21"/>
                <w:highlight w:val="none"/>
                <w:vertAlign w:val="baseline"/>
                <w:lang w:val="en-US" w:eastAsia="zh-CN"/>
              </w:rPr>
              <w:t>的算术平均值，并对算术平均值，即为基准价。</w:t>
            </w:r>
          </w:p>
        </w:tc>
      </w:tr>
      <w:tr w14:paraId="6E0E1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1B57AFCA">
            <w:pPr>
              <w:widowControl w:val="0"/>
              <w:autoSpaceDE w:val="0"/>
              <w:autoSpaceDN w:val="0"/>
              <w:adjustRightInd w:val="0"/>
              <w:snapToGrid w:val="0"/>
              <w:ind w:firstLine="0" w:firstLineChars="0"/>
              <w:rPr>
                <w:rFonts w:ascii="宋体" w:hAnsi="宋体"/>
                <w:color w:val="auto"/>
                <w:szCs w:val="21"/>
              </w:rPr>
            </w:pPr>
          </w:p>
        </w:tc>
        <w:tc>
          <w:tcPr>
            <w:tcW w:w="1134" w:type="dxa"/>
            <w:vMerge w:val="restart"/>
            <w:vAlign w:val="center"/>
          </w:tcPr>
          <w:p w14:paraId="5E10BF86">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算</w:t>
            </w:r>
            <w:r>
              <w:rPr>
                <w:rFonts w:ascii="宋体" w:hAnsi="宋体"/>
                <w:b/>
                <w:color w:val="auto"/>
                <w:szCs w:val="21"/>
              </w:rPr>
              <w:t>法类型</w:t>
            </w:r>
          </w:p>
        </w:tc>
        <w:tc>
          <w:tcPr>
            <w:tcW w:w="1559" w:type="dxa"/>
            <w:vAlign w:val="center"/>
          </w:tcPr>
          <w:p w14:paraId="2C7D9463">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□固定</w:t>
            </w:r>
            <w:r>
              <w:rPr>
                <w:rFonts w:ascii="宋体" w:hAnsi="宋体"/>
                <w:color w:val="auto"/>
                <w:szCs w:val="21"/>
              </w:rPr>
              <w:t>比例</w:t>
            </w:r>
            <w:r>
              <w:rPr>
                <w:rFonts w:hint="eastAsia" w:ascii="宋体" w:hAnsi="宋体"/>
                <w:color w:val="auto"/>
                <w:szCs w:val="21"/>
              </w:rPr>
              <w:t>法</w:t>
            </w:r>
          </w:p>
        </w:tc>
        <w:tc>
          <w:tcPr>
            <w:tcW w:w="4877" w:type="dxa"/>
            <w:vAlign w:val="center"/>
          </w:tcPr>
          <w:p w14:paraId="029834FE">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价得分=M-[（｜投标价格-基准价｜/基准价）*100/</w:t>
            </w:r>
            <w:r>
              <w:rPr>
                <w:rFonts w:ascii="宋体" w:hAnsi="宋体"/>
                <w:color w:val="auto"/>
                <w:szCs w:val="21"/>
              </w:rPr>
              <w:t>N]*</w:t>
            </w:r>
            <w:r>
              <w:rPr>
                <w:rFonts w:hint="eastAsia" w:ascii="宋体" w:hAnsi="宋体"/>
                <w:color w:val="auto"/>
                <w:szCs w:val="21"/>
              </w:rPr>
              <w:t>扣分值</w:t>
            </w:r>
          </w:p>
          <w:p w14:paraId="456AF9DE">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M=（价格评价分项满分值），N=，投标价格每高于N％时，扣分；每低于N％时，扣分；</w:t>
            </w:r>
          </w:p>
          <w:p w14:paraId="361A9D95">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最低得0分。</w:t>
            </w:r>
          </w:p>
        </w:tc>
      </w:tr>
      <w:tr w14:paraId="54B93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33FD5165">
            <w:pPr>
              <w:widowControl w:val="0"/>
              <w:autoSpaceDE w:val="0"/>
              <w:autoSpaceDN w:val="0"/>
              <w:adjustRightInd w:val="0"/>
              <w:snapToGrid w:val="0"/>
              <w:ind w:firstLine="0" w:firstLineChars="0"/>
              <w:rPr>
                <w:rFonts w:ascii="宋体" w:hAnsi="宋体"/>
                <w:color w:val="auto"/>
                <w:szCs w:val="21"/>
              </w:rPr>
            </w:pPr>
          </w:p>
        </w:tc>
        <w:tc>
          <w:tcPr>
            <w:tcW w:w="1134" w:type="dxa"/>
            <w:vMerge w:val="continue"/>
            <w:vAlign w:val="center"/>
          </w:tcPr>
          <w:p w14:paraId="26621D11">
            <w:pPr>
              <w:widowControl w:val="0"/>
              <w:autoSpaceDE w:val="0"/>
              <w:autoSpaceDN w:val="0"/>
              <w:adjustRightInd w:val="0"/>
              <w:snapToGrid w:val="0"/>
              <w:ind w:firstLine="0" w:firstLineChars="0"/>
              <w:rPr>
                <w:rFonts w:ascii="宋体" w:hAnsi="宋体"/>
                <w:color w:val="auto"/>
                <w:szCs w:val="21"/>
              </w:rPr>
            </w:pPr>
          </w:p>
        </w:tc>
        <w:tc>
          <w:tcPr>
            <w:tcW w:w="1559" w:type="dxa"/>
            <w:vAlign w:val="center"/>
          </w:tcPr>
          <w:p w14:paraId="628D080F">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☑固定乘积法</w:t>
            </w:r>
          </w:p>
        </w:tc>
        <w:tc>
          <w:tcPr>
            <w:tcW w:w="4877" w:type="dxa"/>
            <w:vAlign w:val="center"/>
          </w:tcPr>
          <w:p w14:paraId="296F8D92">
            <w:pPr>
              <w:widowControl w:val="0"/>
              <w:autoSpaceDE w:val="0"/>
              <w:autoSpaceDN w:val="0"/>
              <w:adjustRightInd w:val="0"/>
              <w:snapToGrid w:val="0"/>
              <w:ind w:firstLine="0" w:firstLineChars="0"/>
              <w:rPr>
                <w:rFonts w:hint="default"/>
                <w:b/>
                <w:bCs/>
                <w:color w:val="auto"/>
                <w:sz w:val="21"/>
                <w:szCs w:val="21"/>
                <w:highlight w:val="none"/>
                <w:lang w:val="en-US" w:eastAsia="zh-CN"/>
              </w:rPr>
            </w:pPr>
            <w:r>
              <w:rPr>
                <w:rFonts w:hint="eastAsia" w:ascii="宋体" w:hAnsi="宋体"/>
                <w:color w:val="auto"/>
                <w:szCs w:val="21"/>
                <w:highlight w:val="none"/>
              </w:rPr>
              <w:t>价格得分</w:t>
            </w:r>
            <w:r>
              <w:rPr>
                <w:rFonts w:hint="eastAsia"/>
                <w:color w:val="auto"/>
                <w:sz w:val="21"/>
                <w:szCs w:val="21"/>
                <w:highlight w:val="none"/>
              </w:rPr>
              <w:t xml:space="preserve">=[1-A×｜1-（1-投标下浮率）/Z｜]×M </w:t>
            </w:r>
          </w:p>
          <w:p w14:paraId="0547DB0F">
            <w:pPr>
              <w:widowControl w:val="0"/>
              <w:shd w:val="clear" w:color="auto" w:fill="auto"/>
              <w:autoSpaceDE w:val="0"/>
              <w:autoSpaceDN w:val="0"/>
              <w:adjustRightInd w:val="0"/>
              <w:snapToGrid w:val="0"/>
              <w:ind w:firstLine="0" w:firstLineChars="0"/>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w:t>
            </w:r>
            <w:r>
              <w:rPr>
                <w:rFonts w:hint="eastAsia" w:ascii="宋体" w:hAnsi="宋体"/>
                <w:b/>
                <w:bCs/>
                <w:color w:val="auto"/>
                <w:szCs w:val="21"/>
                <w:highlight w:val="none"/>
              </w:rPr>
              <w:t>M=</w:t>
            </w:r>
            <w:r>
              <w:rPr>
                <w:rFonts w:ascii="宋体" w:hAnsi="宋体"/>
                <w:b/>
                <w:bCs/>
                <w:color w:val="auto"/>
                <w:szCs w:val="21"/>
                <w:highlight w:val="none"/>
                <w:u w:val="single"/>
              </w:rPr>
              <w:t xml:space="preserve"> </w:t>
            </w:r>
            <w:r>
              <w:rPr>
                <w:rFonts w:hint="eastAsia" w:ascii="宋体" w:hAnsi="宋体"/>
                <w:b/>
                <w:bCs/>
                <w:color w:val="auto"/>
                <w:szCs w:val="21"/>
                <w:highlight w:val="none"/>
                <w:u w:val="single"/>
                <w:lang w:val="en-US" w:eastAsia="zh-CN"/>
              </w:rPr>
              <w:t>30</w:t>
            </w:r>
            <w:r>
              <w:rPr>
                <w:rFonts w:ascii="宋体" w:hAnsi="宋体"/>
                <w:b/>
                <w:bCs/>
                <w:color w:val="auto"/>
                <w:szCs w:val="21"/>
                <w:highlight w:val="none"/>
                <w:u w:val="single"/>
              </w:rPr>
              <w:t xml:space="preserve"> </w:t>
            </w:r>
            <w:r>
              <w:rPr>
                <w:rFonts w:hint="eastAsia" w:ascii="宋体" w:hAnsi="宋体"/>
                <w:color w:val="auto"/>
                <w:szCs w:val="21"/>
                <w:highlight w:val="none"/>
              </w:rPr>
              <w:t>（价格评价分项满分值），Z为本次招标最佳报价（即基准价）；</w:t>
            </w:r>
          </w:p>
          <w:p w14:paraId="12CCC9C8">
            <w:pPr>
              <w:widowControl w:val="0"/>
              <w:shd w:val="clear"/>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2、A为价格调整系数，当</w:t>
            </w:r>
            <w:r>
              <w:rPr>
                <w:rFonts w:hint="eastAsia" w:ascii="宋体" w:hAnsi="宋体"/>
                <w:color w:val="auto"/>
                <w:szCs w:val="21"/>
                <w:highlight w:val="none"/>
                <w:lang w:eastAsia="zh-CN"/>
              </w:rPr>
              <w:t>有效</w:t>
            </w:r>
            <w:r>
              <w:rPr>
                <w:rFonts w:hint="eastAsia" w:ascii="宋体" w:hAnsi="宋体"/>
                <w:color w:val="auto"/>
                <w:szCs w:val="21"/>
                <w:highlight w:val="none"/>
              </w:rPr>
              <w:t xml:space="preserve">投标人的B值低于本次招标基准价时，A= </w:t>
            </w:r>
            <w:r>
              <w:rPr>
                <w:rFonts w:hint="eastAsia" w:ascii="宋体" w:hAnsi="宋体"/>
                <w:color w:val="auto"/>
                <w:szCs w:val="21"/>
                <w:highlight w:val="none"/>
                <w:lang w:val="en-US" w:eastAsia="zh-CN"/>
              </w:rPr>
              <w:t>0.5</w:t>
            </w:r>
            <w:r>
              <w:rPr>
                <w:rFonts w:hint="eastAsia" w:ascii="宋体" w:hAnsi="宋体"/>
                <w:color w:val="auto"/>
                <w:szCs w:val="21"/>
                <w:highlight w:val="none"/>
              </w:rPr>
              <w:t>；当</w:t>
            </w:r>
            <w:r>
              <w:rPr>
                <w:rFonts w:hint="eastAsia" w:ascii="宋体" w:hAnsi="宋体"/>
                <w:color w:val="auto"/>
                <w:szCs w:val="21"/>
                <w:highlight w:val="none"/>
                <w:lang w:eastAsia="zh-CN"/>
              </w:rPr>
              <w:t>有效</w:t>
            </w:r>
            <w:r>
              <w:rPr>
                <w:rFonts w:hint="eastAsia" w:ascii="宋体" w:hAnsi="宋体"/>
                <w:color w:val="auto"/>
                <w:szCs w:val="21"/>
                <w:highlight w:val="none"/>
              </w:rPr>
              <w:t>投标人的B值高于本次招标基准价时，取A=</w:t>
            </w:r>
            <w:r>
              <w:rPr>
                <w:rFonts w:hint="eastAsia" w:ascii="宋体" w:hAnsi="宋体"/>
                <w:color w:val="auto"/>
                <w:szCs w:val="21"/>
                <w:highlight w:val="none"/>
                <w:lang w:val="en-US" w:eastAsia="zh-CN"/>
              </w:rPr>
              <w:t>1</w:t>
            </w:r>
            <w:r>
              <w:rPr>
                <w:rFonts w:hint="eastAsia" w:ascii="宋体" w:hAnsi="宋体"/>
                <w:color w:val="auto"/>
                <w:szCs w:val="21"/>
                <w:highlight w:val="none"/>
              </w:rPr>
              <w:t>；</w:t>
            </w:r>
          </w:p>
          <w:p w14:paraId="4B90318C">
            <w:pPr>
              <w:widowControl w:val="0"/>
              <w:shd w:val="clear"/>
              <w:autoSpaceDE w:val="0"/>
              <w:autoSpaceDN w:val="0"/>
              <w:adjustRightInd w:val="0"/>
              <w:snapToGrid w:val="0"/>
              <w:ind w:firstLine="0" w:firstLineChars="0"/>
              <w:rPr>
                <w:rFonts w:ascii="宋体" w:hAnsi="宋体"/>
                <w:color w:val="auto"/>
                <w:szCs w:val="21"/>
              </w:rPr>
            </w:pP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计算分数时四舍五入取小数点后两位，当价格分＜0时，取0。</w:t>
            </w:r>
          </w:p>
        </w:tc>
      </w:tr>
      <w:tr w14:paraId="06C03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2B7CFF2C">
            <w:pPr>
              <w:widowControl w:val="0"/>
              <w:autoSpaceDE w:val="0"/>
              <w:autoSpaceDN w:val="0"/>
              <w:adjustRightInd w:val="0"/>
              <w:snapToGrid w:val="0"/>
              <w:ind w:firstLine="0" w:firstLineChars="0"/>
              <w:rPr>
                <w:rFonts w:ascii="宋体" w:hAnsi="宋体"/>
                <w:color w:val="auto"/>
                <w:szCs w:val="21"/>
              </w:rPr>
            </w:pPr>
          </w:p>
        </w:tc>
        <w:tc>
          <w:tcPr>
            <w:tcW w:w="1134" w:type="dxa"/>
            <w:vMerge w:val="continue"/>
            <w:vAlign w:val="center"/>
          </w:tcPr>
          <w:p w14:paraId="548FEE51">
            <w:pPr>
              <w:widowControl w:val="0"/>
              <w:autoSpaceDE w:val="0"/>
              <w:autoSpaceDN w:val="0"/>
              <w:adjustRightInd w:val="0"/>
              <w:snapToGrid w:val="0"/>
              <w:ind w:firstLine="0" w:firstLineChars="0"/>
              <w:rPr>
                <w:rFonts w:ascii="宋体" w:hAnsi="宋体"/>
                <w:color w:val="auto"/>
                <w:szCs w:val="21"/>
              </w:rPr>
            </w:pPr>
          </w:p>
        </w:tc>
        <w:tc>
          <w:tcPr>
            <w:tcW w:w="1559" w:type="dxa"/>
            <w:vAlign w:val="center"/>
          </w:tcPr>
          <w:p w14:paraId="11040E63">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□其他</w:t>
            </w:r>
            <w:r>
              <w:rPr>
                <w:rFonts w:ascii="宋体" w:hAnsi="宋体"/>
                <w:color w:val="auto"/>
                <w:szCs w:val="21"/>
              </w:rPr>
              <w:t>方法</w:t>
            </w:r>
          </w:p>
        </w:tc>
        <w:tc>
          <w:tcPr>
            <w:tcW w:w="4877" w:type="dxa"/>
            <w:vAlign w:val="center"/>
          </w:tcPr>
          <w:p w14:paraId="03CD298A">
            <w:pPr>
              <w:widowControl w:val="0"/>
              <w:autoSpaceDE w:val="0"/>
              <w:autoSpaceDN w:val="0"/>
              <w:adjustRightInd w:val="0"/>
              <w:snapToGrid w:val="0"/>
              <w:ind w:firstLine="0" w:firstLineChars="0"/>
              <w:rPr>
                <w:rFonts w:ascii="宋体" w:hAnsi="宋体"/>
                <w:color w:val="auto"/>
                <w:szCs w:val="21"/>
              </w:rPr>
            </w:pPr>
          </w:p>
        </w:tc>
      </w:tr>
      <w:tr w14:paraId="06625A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9" w:type="dxa"/>
            <w:gridSpan w:val="4"/>
            <w:vAlign w:val="center"/>
          </w:tcPr>
          <w:p w14:paraId="5CB257C1">
            <w:pPr>
              <w:widowControl w:val="0"/>
              <w:autoSpaceDE w:val="0"/>
              <w:autoSpaceDN w:val="0"/>
              <w:adjustRightInd w:val="0"/>
              <w:snapToGrid w:val="0"/>
              <w:ind w:firstLine="0" w:firstLineChars="0"/>
              <w:rPr>
                <w:rFonts w:ascii="宋体" w:hAnsi="宋体"/>
                <w:color w:val="auto"/>
                <w:szCs w:val="21"/>
              </w:rPr>
            </w:pPr>
            <w:r>
              <w:rPr>
                <w:rFonts w:hint="eastAsia" w:ascii="宋体" w:hAnsi="宋体"/>
                <w:color w:val="auto"/>
                <w:szCs w:val="21"/>
              </w:rPr>
              <w:t>注：未通过初步评审的投标人的价格得分计算：未通过初步评审的投标人，不计算价格得分。</w:t>
            </w:r>
          </w:p>
        </w:tc>
      </w:tr>
    </w:tbl>
    <w:p w14:paraId="4C730A83">
      <w:pPr>
        <w:widowControl w:val="0"/>
        <w:autoSpaceDE w:val="0"/>
        <w:autoSpaceDN w:val="0"/>
        <w:adjustRightInd w:val="0"/>
        <w:snapToGrid w:val="0"/>
        <w:ind w:firstLine="0" w:firstLineChars="0"/>
        <w:jc w:val="left"/>
        <w:rPr>
          <w:rFonts w:ascii="宋体" w:hAnsi="宋体"/>
          <w:color w:val="auto"/>
        </w:rPr>
      </w:pPr>
    </w:p>
    <w:p w14:paraId="6E20EFA0">
      <w:pPr>
        <w:widowControl w:val="0"/>
        <w:autoSpaceDE w:val="0"/>
        <w:autoSpaceDN w:val="0"/>
        <w:adjustRightInd w:val="0"/>
        <w:snapToGrid w:val="0"/>
        <w:ind w:firstLine="0" w:firstLineChars="0"/>
        <w:jc w:val="left"/>
        <w:rPr>
          <w:rFonts w:ascii="宋体" w:hAnsi="宋体"/>
          <w:color w:val="auto"/>
        </w:rPr>
      </w:pPr>
      <w:r>
        <w:rPr>
          <w:rFonts w:ascii="宋体" w:hAnsi="宋体"/>
          <w:color w:val="auto"/>
        </w:rPr>
        <w:br w:type="page"/>
      </w:r>
    </w:p>
    <w:p w14:paraId="0A202B40">
      <w:pPr>
        <w:pStyle w:val="19"/>
        <w:ind w:firstLine="420"/>
        <w:rPr>
          <w:color w:val="auto"/>
        </w:rPr>
      </w:pPr>
    </w:p>
    <w:p w14:paraId="63ACDEFB">
      <w:pPr>
        <w:adjustRightInd w:val="0"/>
        <w:snapToGrid w:val="0"/>
        <w:ind w:firstLine="0" w:firstLineChars="0"/>
        <w:rPr>
          <w:rFonts w:ascii="宋体" w:hAnsi="宋体"/>
          <w:b/>
          <w:bCs/>
          <w:color w:val="auto"/>
          <w:sz w:val="22"/>
        </w:rPr>
      </w:pPr>
      <w:r>
        <w:rPr>
          <w:rFonts w:hint="eastAsia" w:ascii="宋体" w:hAnsi="宋体"/>
          <w:b/>
          <w:bCs/>
          <w:color w:val="auto"/>
          <w:sz w:val="22"/>
        </w:rPr>
        <w:t>附表4-1《商务标、技术标、价格标分值表和综合得分汇总》</w:t>
      </w:r>
    </w:p>
    <w:tbl>
      <w:tblPr>
        <w:tblStyle w:val="52"/>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158"/>
        <w:gridCol w:w="2159"/>
        <w:gridCol w:w="2159"/>
      </w:tblGrid>
      <w:tr w14:paraId="4B80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052" w:type="dxa"/>
            <w:shd w:val="clear" w:color="auto" w:fill="DBE5F1"/>
            <w:vAlign w:val="center"/>
          </w:tcPr>
          <w:p w14:paraId="4282209D">
            <w:pPr>
              <w:adjustRightInd w:val="0"/>
              <w:snapToGrid w:val="0"/>
              <w:ind w:firstLine="0" w:firstLineChars="0"/>
              <w:jc w:val="center"/>
              <w:rPr>
                <w:rFonts w:ascii="宋体" w:hAnsi="宋体"/>
                <w:b/>
                <w:color w:val="auto"/>
              </w:rPr>
            </w:pPr>
            <w:r>
              <w:rPr>
                <w:rFonts w:hint="eastAsia" w:ascii="宋体" w:hAnsi="宋体"/>
                <w:b/>
                <w:color w:val="auto"/>
              </w:rPr>
              <w:t>名称</w:t>
            </w:r>
          </w:p>
        </w:tc>
        <w:tc>
          <w:tcPr>
            <w:tcW w:w="2158" w:type="dxa"/>
            <w:shd w:val="clear" w:color="auto" w:fill="DBE5F1"/>
            <w:vAlign w:val="center"/>
          </w:tcPr>
          <w:p w14:paraId="587D088F">
            <w:pPr>
              <w:adjustRightInd w:val="0"/>
              <w:snapToGrid w:val="0"/>
              <w:ind w:firstLine="0" w:firstLineChars="0"/>
              <w:jc w:val="center"/>
              <w:rPr>
                <w:rFonts w:ascii="宋体" w:hAnsi="宋体"/>
                <w:b/>
                <w:color w:val="auto"/>
              </w:rPr>
            </w:pPr>
            <w:r>
              <w:rPr>
                <w:rFonts w:hint="eastAsia" w:ascii="宋体" w:hAnsi="宋体"/>
                <w:b/>
                <w:color w:val="auto"/>
              </w:rPr>
              <w:t>商务标</w:t>
            </w:r>
          </w:p>
        </w:tc>
        <w:tc>
          <w:tcPr>
            <w:tcW w:w="2159" w:type="dxa"/>
            <w:shd w:val="clear" w:color="auto" w:fill="DBE5F1"/>
            <w:vAlign w:val="center"/>
          </w:tcPr>
          <w:p w14:paraId="442F4780">
            <w:pPr>
              <w:adjustRightInd w:val="0"/>
              <w:snapToGrid w:val="0"/>
              <w:ind w:firstLine="0" w:firstLineChars="0"/>
              <w:jc w:val="center"/>
              <w:rPr>
                <w:rFonts w:ascii="宋体" w:hAnsi="宋体"/>
                <w:b/>
                <w:color w:val="auto"/>
              </w:rPr>
            </w:pPr>
            <w:r>
              <w:rPr>
                <w:rFonts w:hint="eastAsia" w:ascii="宋体" w:hAnsi="宋体"/>
                <w:b/>
                <w:color w:val="auto"/>
              </w:rPr>
              <w:t>技术标</w:t>
            </w:r>
          </w:p>
        </w:tc>
        <w:tc>
          <w:tcPr>
            <w:tcW w:w="2159" w:type="dxa"/>
            <w:shd w:val="clear" w:color="auto" w:fill="DBE5F1"/>
            <w:vAlign w:val="center"/>
          </w:tcPr>
          <w:p w14:paraId="7B6D49FD">
            <w:pPr>
              <w:adjustRightInd w:val="0"/>
              <w:snapToGrid w:val="0"/>
              <w:ind w:firstLine="0" w:firstLineChars="0"/>
              <w:jc w:val="center"/>
              <w:rPr>
                <w:rFonts w:ascii="宋体" w:hAnsi="宋体"/>
                <w:b/>
                <w:color w:val="auto"/>
              </w:rPr>
            </w:pPr>
            <w:r>
              <w:rPr>
                <w:rFonts w:hint="eastAsia" w:ascii="宋体" w:hAnsi="宋体"/>
                <w:b/>
                <w:color w:val="auto"/>
              </w:rPr>
              <w:t>价格标</w:t>
            </w:r>
          </w:p>
        </w:tc>
      </w:tr>
      <w:tr w14:paraId="746B6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052" w:type="dxa"/>
            <w:vAlign w:val="center"/>
          </w:tcPr>
          <w:p w14:paraId="03AC616D">
            <w:pPr>
              <w:adjustRightInd w:val="0"/>
              <w:snapToGrid w:val="0"/>
              <w:ind w:firstLine="0" w:firstLineChars="0"/>
              <w:jc w:val="center"/>
              <w:rPr>
                <w:rFonts w:ascii="宋体" w:hAnsi="宋体"/>
                <w:color w:val="auto"/>
              </w:rPr>
            </w:pPr>
            <w:r>
              <w:rPr>
                <w:rFonts w:hint="eastAsia" w:ascii="宋体" w:hAnsi="宋体"/>
                <w:color w:val="auto"/>
              </w:rPr>
              <w:t>分值</w:t>
            </w:r>
          </w:p>
        </w:tc>
        <w:tc>
          <w:tcPr>
            <w:tcW w:w="2158" w:type="dxa"/>
            <w:vAlign w:val="center"/>
          </w:tcPr>
          <w:p w14:paraId="50E5836D">
            <w:pPr>
              <w:adjustRightInd w:val="0"/>
              <w:snapToGrid w:val="0"/>
              <w:ind w:firstLine="0" w:firstLineChars="0"/>
              <w:jc w:val="center"/>
              <w:rPr>
                <w:rFonts w:ascii="宋体" w:hAnsi="宋体"/>
                <w:color w:val="auto"/>
              </w:rPr>
            </w:pPr>
            <w:r>
              <w:rPr>
                <w:rFonts w:hint="eastAsia" w:ascii="宋体" w:hAnsi="宋体"/>
                <w:color w:val="auto"/>
                <w:lang w:val="en-US" w:eastAsia="zh-CN"/>
              </w:rPr>
              <w:t>4</w:t>
            </w:r>
            <w:r>
              <w:rPr>
                <w:rFonts w:ascii="宋体" w:hAnsi="宋体"/>
                <w:color w:val="auto"/>
              </w:rPr>
              <w:t>0</w:t>
            </w:r>
            <w:r>
              <w:rPr>
                <w:rFonts w:hint="eastAsia" w:ascii="宋体" w:hAnsi="宋体"/>
                <w:color w:val="auto"/>
              </w:rPr>
              <w:t>分</w:t>
            </w:r>
          </w:p>
        </w:tc>
        <w:tc>
          <w:tcPr>
            <w:tcW w:w="2159" w:type="dxa"/>
            <w:vAlign w:val="center"/>
          </w:tcPr>
          <w:p w14:paraId="05E5A659">
            <w:pPr>
              <w:adjustRightInd w:val="0"/>
              <w:snapToGrid w:val="0"/>
              <w:ind w:firstLine="0" w:firstLineChars="0"/>
              <w:jc w:val="center"/>
              <w:rPr>
                <w:rFonts w:ascii="宋体" w:hAnsi="宋体"/>
                <w:color w:val="auto"/>
              </w:rPr>
            </w:pPr>
            <w:r>
              <w:rPr>
                <w:rFonts w:hint="eastAsia" w:ascii="宋体" w:hAnsi="宋体"/>
                <w:color w:val="auto"/>
                <w:lang w:val="en-US" w:eastAsia="zh-CN"/>
              </w:rPr>
              <w:t>3</w:t>
            </w:r>
            <w:r>
              <w:rPr>
                <w:rFonts w:ascii="宋体" w:hAnsi="宋体"/>
                <w:color w:val="auto"/>
              </w:rPr>
              <w:t>0</w:t>
            </w:r>
            <w:r>
              <w:rPr>
                <w:rFonts w:hint="eastAsia" w:ascii="宋体" w:hAnsi="宋体"/>
                <w:color w:val="auto"/>
              </w:rPr>
              <w:t>分</w:t>
            </w:r>
          </w:p>
        </w:tc>
        <w:tc>
          <w:tcPr>
            <w:tcW w:w="2159" w:type="dxa"/>
            <w:vAlign w:val="center"/>
          </w:tcPr>
          <w:p w14:paraId="4023D1AB">
            <w:pPr>
              <w:adjustRightInd w:val="0"/>
              <w:snapToGrid w:val="0"/>
              <w:ind w:firstLine="0" w:firstLineChars="0"/>
              <w:jc w:val="center"/>
              <w:rPr>
                <w:rFonts w:ascii="宋体" w:hAnsi="宋体"/>
                <w:color w:val="auto"/>
              </w:rPr>
            </w:pPr>
            <w:r>
              <w:rPr>
                <w:rFonts w:ascii="宋体" w:hAnsi="宋体"/>
                <w:color w:val="auto"/>
              </w:rPr>
              <w:t>30</w:t>
            </w:r>
            <w:r>
              <w:rPr>
                <w:rFonts w:hint="eastAsia" w:ascii="宋体" w:hAnsi="宋体"/>
                <w:color w:val="auto"/>
              </w:rPr>
              <w:t>分</w:t>
            </w:r>
          </w:p>
        </w:tc>
      </w:tr>
      <w:tr w14:paraId="1193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52" w:type="dxa"/>
            <w:vAlign w:val="center"/>
          </w:tcPr>
          <w:p w14:paraId="6E596814">
            <w:pPr>
              <w:adjustRightInd w:val="0"/>
              <w:snapToGrid w:val="0"/>
              <w:ind w:firstLine="0" w:firstLineChars="0"/>
              <w:jc w:val="center"/>
              <w:rPr>
                <w:rFonts w:ascii="宋体" w:hAnsi="宋体"/>
                <w:color w:val="auto"/>
              </w:rPr>
            </w:pPr>
            <w:r>
              <w:rPr>
                <w:rFonts w:hint="eastAsia" w:ascii="宋体" w:hAnsi="宋体"/>
                <w:color w:val="auto"/>
              </w:rPr>
              <w:t>投标人综合得分</w:t>
            </w:r>
          </w:p>
        </w:tc>
        <w:tc>
          <w:tcPr>
            <w:tcW w:w="6476" w:type="dxa"/>
            <w:gridSpan w:val="3"/>
            <w:vAlign w:val="center"/>
          </w:tcPr>
          <w:p w14:paraId="6C2421C6">
            <w:pPr>
              <w:adjustRightInd w:val="0"/>
              <w:snapToGrid w:val="0"/>
              <w:ind w:firstLine="0" w:firstLineChars="0"/>
              <w:jc w:val="center"/>
              <w:rPr>
                <w:rFonts w:ascii="宋体" w:hAnsi="宋体"/>
                <w:color w:val="auto"/>
              </w:rPr>
            </w:pPr>
            <w:r>
              <w:rPr>
                <w:rFonts w:hint="eastAsia" w:ascii="宋体" w:hAnsi="宋体"/>
                <w:color w:val="auto"/>
              </w:rPr>
              <w:t>商务标评分+技术标评分+价格标评分=100分</w:t>
            </w:r>
          </w:p>
        </w:tc>
      </w:tr>
    </w:tbl>
    <w:p w14:paraId="105CD4FC">
      <w:pPr>
        <w:widowControl w:val="0"/>
        <w:autoSpaceDE w:val="0"/>
        <w:autoSpaceDN w:val="0"/>
        <w:adjustRightInd w:val="0"/>
        <w:snapToGrid w:val="0"/>
        <w:ind w:firstLine="0" w:firstLineChars="0"/>
        <w:jc w:val="left"/>
        <w:rPr>
          <w:rFonts w:ascii="宋体" w:hAnsi="宋体"/>
          <w:b/>
          <w:bCs/>
          <w:color w:val="auto"/>
          <w:sz w:val="84"/>
          <w:szCs w:val="84"/>
        </w:rPr>
      </w:pPr>
      <w:r>
        <w:rPr>
          <w:rFonts w:ascii="宋体" w:hAnsi="宋体"/>
          <w:color w:val="auto"/>
          <w:sz w:val="22"/>
        </w:rPr>
        <w:br w:type="page"/>
      </w:r>
      <w:bookmarkEnd w:id="281"/>
      <w:bookmarkEnd w:id="288"/>
      <w:bookmarkEnd w:id="289"/>
      <w:bookmarkEnd w:id="290"/>
      <w:bookmarkEnd w:id="291"/>
      <w:bookmarkEnd w:id="292"/>
      <w:bookmarkStart w:id="334" w:name="_Toc144974577"/>
      <w:bookmarkStart w:id="335" w:name="_Toc403513554"/>
      <w:bookmarkStart w:id="336" w:name="_Toc152045609"/>
      <w:bookmarkStart w:id="337" w:name="_Toc152042387"/>
    </w:p>
    <w:p w14:paraId="05910965">
      <w:pPr>
        <w:widowControl w:val="0"/>
        <w:autoSpaceDE w:val="0"/>
        <w:autoSpaceDN w:val="0"/>
        <w:adjustRightInd w:val="0"/>
        <w:snapToGrid w:val="0"/>
        <w:ind w:firstLine="0" w:firstLineChars="0"/>
        <w:jc w:val="left"/>
        <w:rPr>
          <w:rFonts w:ascii="宋体" w:hAnsi="宋体"/>
          <w:b/>
          <w:bCs/>
          <w:color w:val="auto"/>
          <w:sz w:val="84"/>
          <w:szCs w:val="84"/>
        </w:rPr>
      </w:pPr>
    </w:p>
    <w:p w14:paraId="5FFC7CA9">
      <w:pPr>
        <w:widowControl w:val="0"/>
        <w:autoSpaceDE w:val="0"/>
        <w:autoSpaceDN w:val="0"/>
        <w:adjustRightInd w:val="0"/>
        <w:snapToGrid w:val="0"/>
        <w:ind w:firstLine="0" w:firstLineChars="0"/>
        <w:jc w:val="left"/>
        <w:rPr>
          <w:rFonts w:ascii="宋体" w:hAnsi="宋体"/>
          <w:b/>
          <w:bCs/>
          <w:color w:val="auto"/>
          <w:sz w:val="84"/>
          <w:szCs w:val="84"/>
        </w:rPr>
      </w:pPr>
    </w:p>
    <w:p w14:paraId="4EB231DE">
      <w:pPr>
        <w:pStyle w:val="13"/>
        <w:ind w:firstLine="420"/>
        <w:rPr>
          <w:color w:val="auto"/>
        </w:rPr>
      </w:pPr>
    </w:p>
    <w:p w14:paraId="73A401B8">
      <w:pPr>
        <w:widowControl w:val="0"/>
        <w:autoSpaceDE w:val="0"/>
        <w:autoSpaceDN w:val="0"/>
        <w:adjustRightInd w:val="0"/>
        <w:snapToGrid w:val="0"/>
        <w:ind w:firstLine="0" w:firstLineChars="0"/>
        <w:jc w:val="left"/>
        <w:rPr>
          <w:rFonts w:ascii="宋体" w:hAnsi="宋体"/>
          <w:b/>
          <w:bCs/>
          <w:color w:val="auto"/>
          <w:sz w:val="84"/>
          <w:szCs w:val="84"/>
        </w:rPr>
      </w:pPr>
    </w:p>
    <w:p w14:paraId="23017CC5">
      <w:pPr>
        <w:ind w:firstLine="420"/>
        <w:rPr>
          <w:color w:val="auto"/>
        </w:rPr>
      </w:pPr>
      <w:bookmarkStart w:id="338" w:name="_Toc23775"/>
      <w:bookmarkStart w:id="339" w:name="_Toc8919"/>
      <w:bookmarkStart w:id="340" w:name="_Toc21914"/>
      <w:bookmarkStart w:id="341" w:name="_Toc17461"/>
      <w:bookmarkStart w:id="342" w:name="_Toc19487"/>
    </w:p>
    <w:p w14:paraId="094DD50D">
      <w:pPr>
        <w:widowControl w:val="0"/>
        <w:autoSpaceDE w:val="0"/>
        <w:autoSpaceDN w:val="0"/>
        <w:adjustRightInd w:val="0"/>
        <w:snapToGrid w:val="0"/>
        <w:ind w:firstLine="0" w:firstLineChars="0"/>
        <w:jc w:val="center"/>
        <w:outlineLvl w:val="0"/>
        <w:rPr>
          <w:rFonts w:ascii="宋体" w:hAnsi="宋体"/>
          <w:b/>
          <w:bCs/>
          <w:color w:val="auto"/>
          <w:sz w:val="52"/>
          <w:szCs w:val="52"/>
        </w:rPr>
      </w:pPr>
      <w:bookmarkStart w:id="343" w:name="_Toc26859"/>
      <w:r>
        <w:rPr>
          <w:rFonts w:hint="eastAsia" w:ascii="宋体" w:hAnsi="宋体"/>
          <w:b/>
          <w:bCs/>
          <w:color w:val="auto"/>
          <w:sz w:val="52"/>
          <w:szCs w:val="52"/>
        </w:rPr>
        <w:t>第三章合同条款</w:t>
      </w:r>
      <w:bookmarkEnd w:id="334"/>
      <w:bookmarkEnd w:id="335"/>
      <w:bookmarkEnd w:id="336"/>
      <w:bookmarkEnd w:id="337"/>
      <w:bookmarkStart w:id="344" w:name="_Toc406669470"/>
      <w:bookmarkStart w:id="345" w:name="_Toc403513619"/>
      <w:r>
        <w:rPr>
          <w:rFonts w:hint="eastAsia" w:ascii="宋体" w:hAnsi="宋体"/>
          <w:b/>
          <w:bCs/>
          <w:color w:val="auto"/>
          <w:sz w:val="52"/>
          <w:szCs w:val="52"/>
        </w:rPr>
        <w:t>及格式</w:t>
      </w:r>
      <w:bookmarkEnd w:id="338"/>
      <w:bookmarkEnd w:id="339"/>
      <w:bookmarkEnd w:id="340"/>
      <w:bookmarkEnd w:id="341"/>
      <w:bookmarkEnd w:id="342"/>
      <w:bookmarkEnd w:id="343"/>
    </w:p>
    <w:p w14:paraId="2B59FBCC">
      <w:pPr>
        <w:ind w:firstLine="422"/>
        <w:jc w:val="center"/>
        <w:rPr>
          <w:rFonts w:ascii="宋体" w:hAnsi="宋体"/>
          <w:b/>
          <w:color w:val="auto"/>
          <w:sz w:val="40"/>
        </w:rPr>
      </w:pPr>
      <w:r>
        <w:rPr>
          <w:rFonts w:ascii="宋体" w:hAnsi="宋体"/>
          <w:b/>
          <w:bCs/>
          <w:color w:val="auto"/>
          <w:szCs w:val="52"/>
        </w:rPr>
        <w:br w:type="page"/>
      </w:r>
    </w:p>
    <w:p w14:paraId="30B6DECD">
      <w:pPr>
        <w:pStyle w:val="48"/>
        <w:widowControl/>
        <w:spacing w:line="480" w:lineRule="auto"/>
        <w:ind w:left="1558" w:leftChars="742" w:firstLine="3012" w:firstLineChars="1000"/>
        <w:rPr>
          <w:rFonts w:hint="default" w:ascii="宋体" w:hAnsi="宋体" w:eastAsia="宋体" w:cs="Times New Roman"/>
          <w:b/>
          <w:bCs/>
          <w:color w:val="auto"/>
          <w:sz w:val="30"/>
          <w:szCs w:val="30"/>
          <w:lang w:val="en-US" w:eastAsia="zh-CN"/>
        </w:rPr>
      </w:pPr>
      <w:r>
        <w:rPr>
          <w:rFonts w:hint="eastAsia" w:ascii="宋体" w:hAnsi="宋体" w:eastAsia="宋体" w:cs="Times New Roman"/>
          <w:b/>
          <w:bCs/>
          <w:color w:val="auto"/>
          <w:sz w:val="30"/>
          <w:szCs w:val="30"/>
          <w:lang w:val="en-US" w:eastAsia="zh-CN"/>
        </w:rPr>
        <w:t>合同编号：</w:t>
      </w:r>
    </w:p>
    <w:p w14:paraId="02B880C6">
      <w:pPr>
        <w:pStyle w:val="48"/>
        <w:spacing w:line="360" w:lineRule="auto"/>
        <w:jc w:val="center"/>
        <w:rPr>
          <w:rFonts w:hint="eastAsia" w:ascii="宋体" w:hAnsi="宋体" w:eastAsia="宋体" w:cs="Arial"/>
          <w:b/>
          <w:color w:val="auto"/>
          <w:sz w:val="48"/>
          <w:szCs w:val="48"/>
          <w:lang w:eastAsia="zh-CN"/>
        </w:rPr>
      </w:pPr>
    </w:p>
    <w:p w14:paraId="09E237BC">
      <w:pPr>
        <w:pStyle w:val="48"/>
        <w:spacing w:line="360" w:lineRule="auto"/>
        <w:jc w:val="center"/>
        <w:rPr>
          <w:rFonts w:hint="eastAsia" w:ascii="宋体" w:hAnsi="宋体" w:eastAsia="宋体" w:cs="Arial"/>
          <w:b/>
          <w:color w:val="auto"/>
          <w:sz w:val="48"/>
          <w:szCs w:val="48"/>
          <w:lang w:eastAsia="zh-CN"/>
        </w:rPr>
      </w:pPr>
    </w:p>
    <w:p w14:paraId="27753E87">
      <w:pPr>
        <w:pStyle w:val="48"/>
        <w:spacing w:line="360" w:lineRule="auto"/>
        <w:jc w:val="center"/>
        <w:rPr>
          <w:rFonts w:hint="eastAsia" w:ascii="宋体" w:hAnsi="宋体" w:eastAsia="宋体" w:cs="Arial"/>
          <w:b/>
          <w:color w:val="auto"/>
          <w:sz w:val="48"/>
          <w:szCs w:val="48"/>
          <w:lang w:eastAsia="zh-CN"/>
        </w:rPr>
      </w:pPr>
    </w:p>
    <w:p w14:paraId="18D6579F">
      <w:pPr>
        <w:pStyle w:val="48"/>
        <w:spacing w:line="360" w:lineRule="auto"/>
        <w:jc w:val="center"/>
        <w:rPr>
          <w:rFonts w:hint="eastAsia" w:ascii="宋体" w:hAnsi="宋体" w:eastAsia="宋体" w:cs="Arial"/>
          <w:b/>
          <w:color w:val="auto"/>
          <w:sz w:val="48"/>
          <w:szCs w:val="48"/>
          <w:lang w:eastAsia="zh-CN"/>
        </w:rPr>
      </w:pPr>
      <w:r>
        <w:rPr>
          <w:rFonts w:hint="eastAsia" w:ascii="宋体" w:hAnsi="宋体" w:eastAsia="宋体" w:cs="Arial"/>
          <w:b/>
          <w:color w:val="auto"/>
          <w:sz w:val="48"/>
          <w:szCs w:val="48"/>
          <w:lang w:eastAsia="zh-CN"/>
        </w:rPr>
        <w:t>深圳市体育产业集团有限公司</w:t>
      </w:r>
    </w:p>
    <w:p w14:paraId="7C08E5EF">
      <w:pPr>
        <w:pStyle w:val="48"/>
        <w:spacing w:line="360" w:lineRule="auto"/>
        <w:jc w:val="center"/>
        <w:rPr>
          <w:rFonts w:ascii="宋体" w:hAnsi="宋体" w:cs="Arial"/>
          <w:b/>
          <w:color w:val="auto"/>
          <w:sz w:val="48"/>
          <w:szCs w:val="48"/>
        </w:rPr>
      </w:pPr>
      <w:r>
        <w:rPr>
          <w:rFonts w:hint="eastAsia" w:ascii="宋体" w:hAnsi="宋体" w:eastAsia="宋体" w:cs="Arial"/>
          <w:b/>
          <w:color w:val="auto"/>
          <w:sz w:val="48"/>
          <w:szCs w:val="48"/>
        </w:rPr>
        <w:t>2</w:t>
      </w:r>
      <w:r>
        <w:rPr>
          <w:rFonts w:hint="eastAsia" w:ascii="宋体" w:hAnsi="宋体" w:cs="Arial"/>
          <w:b/>
          <w:color w:val="auto"/>
          <w:sz w:val="48"/>
          <w:szCs w:val="48"/>
        </w:rPr>
        <w:t>026</w:t>
      </w:r>
      <w:r>
        <w:rPr>
          <w:rFonts w:ascii="宋体" w:hAnsi="宋体" w:cs="Arial"/>
          <w:b/>
          <w:color w:val="auto"/>
          <w:sz w:val="48"/>
          <w:szCs w:val="48"/>
        </w:rPr>
        <w:t>-2027</w:t>
      </w:r>
      <w:r>
        <w:rPr>
          <w:rFonts w:hint="eastAsia" w:ascii="宋体" w:hAnsi="宋体" w:cs="Arial"/>
          <w:b/>
          <w:color w:val="auto"/>
          <w:sz w:val="48"/>
          <w:szCs w:val="48"/>
        </w:rPr>
        <w:t>年度小型工程项目</w:t>
      </w:r>
    </w:p>
    <w:p w14:paraId="4F982D77">
      <w:pPr>
        <w:pStyle w:val="48"/>
        <w:spacing w:line="360" w:lineRule="auto"/>
        <w:jc w:val="center"/>
        <w:rPr>
          <w:b/>
          <w:color w:val="auto"/>
          <w:sz w:val="48"/>
          <w:szCs w:val="48"/>
        </w:rPr>
      </w:pPr>
      <w:r>
        <w:rPr>
          <w:rFonts w:hint="eastAsia" w:ascii="宋体" w:hAnsi="宋体" w:cs="Arial"/>
          <w:b/>
          <w:color w:val="auto"/>
          <w:sz w:val="48"/>
          <w:szCs w:val="48"/>
        </w:rPr>
        <w:t>造价咨询服务</w:t>
      </w:r>
      <w:r>
        <w:rPr>
          <w:rFonts w:hint="eastAsia"/>
          <w:b/>
          <w:color w:val="auto"/>
          <w:sz w:val="48"/>
          <w:szCs w:val="48"/>
        </w:rPr>
        <w:t>框架协议</w:t>
      </w:r>
    </w:p>
    <w:p w14:paraId="1C1500CE">
      <w:pPr>
        <w:pStyle w:val="48"/>
        <w:spacing w:line="400" w:lineRule="exact"/>
        <w:rPr>
          <w:rFonts w:hint="eastAsia" w:ascii="宋体" w:hAnsi="宋体"/>
          <w:color w:val="auto"/>
          <w:spacing w:val="20"/>
          <w:kern w:val="2"/>
          <w:sz w:val="36"/>
        </w:rPr>
      </w:pPr>
    </w:p>
    <w:p w14:paraId="6CCC98C1">
      <w:pPr>
        <w:pStyle w:val="48"/>
        <w:spacing w:line="400" w:lineRule="exact"/>
        <w:rPr>
          <w:rFonts w:hint="eastAsia" w:ascii="宋体" w:hAnsi="宋体"/>
          <w:color w:val="auto"/>
          <w:spacing w:val="20"/>
          <w:kern w:val="2"/>
          <w:sz w:val="36"/>
        </w:rPr>
      </w:pPr>
    </w:p>
    <w:p w14:paraId="000D0D9E">
      <w:pPr>
        <w:pStyle w:val="48"/>
        <w:spacing w:line="400" w:lineRule="exact"/>
        <w:rPr>
          <w:rFonts w:hint="eastAsia" w:ascii="宋体" w:hAnsi="宋体"/>
          <w:color w:val="auto"/>
          <w:spacing w:val="20"/>
          <w:kern w:val="2"/>
          <w:sz w:val="36"/>
        </w:rPr>
      </w:pPr>
    </w:p>
    <w:p w14:paraId="0FD01049">
      <w:pPr>
        <w:pStyle w:val="48"/>
        <w:spacing w:line="400" w:lineRule="exact"/>
        <w:rPr>
          <w:rFonts w:hint="eastAsia" w:ascii="宋体" w:hAnsi="宋体"/>
          <w:color w:val="auto"/>
          <w:spacing w:val="20"/>
          <w:kern w:val="2"/>
          <w:sz w:val="36"/>
        </w:rPr>
      </w:pPr>
    </w:p>
    <w:p w14:paraId="3C0D889A">
      <w:pPr>
        <w:pStyle w:val="48"/>
        <w:spacing w:line="400" w:lineRule="exact"/>
        <w:rPr>
          <w:rFonts w:hint="eastAsia" w:ascii="宋体" w:hAnsi="宋体"/>
          <w:color w:val="auto"/>
          <w:spacing w:val="20"/>
          <w:kern w:val="2"/>
          <w:sz w:val="36"/>
        </w:rPr>
      </w:pPr>
    </w:p>
    <w:p w14:paraId="6E3E5966">
      <w:pPr>
        <w:pStyle w:val="48"/>
        <w:spacing w:line="400" w:lineRule="exact"/>
        <w:rPr>
          <w:rFonts w:hint="eastAsia" w:ascii="宋体" w:hAnsi="宋体"/>
          <w:color w:val="auto"/>
          <w:spacing w:val="20"/>
          <w:kern w:val="2"/>
          <w:sz w:val="36"/>
        </w:rPr>
      </w:pPr>
    </w:p>
    <w:p w14:paraId="68F8836E">
      <w:pPr>
        <w:pStyle w:val="48"/>
        <w:widowControl/>
        <w:spacing w:line="480" w:lineRule="auto"/>
        <w:ind w:left="1558" w:leftChars="742"/>
        <w:rPr>
          <w:rFonts w:hint="eastAsia" w:ascii="宋体" w:hAnsi="宋体" w:eastAsia="宋体"/>
          <w:b/>
          <w:bCs/>
          <w:color w:val="auto"/>
          <w:sz w:val="30"/>
          <w:szCs w:val="30"/>
          <w:lang w:eastAsia="zh-CN"/>
        </w:rPr>
      </w:pPr>
      <w:r>
        <w:rPr>
          <w:rFonts w:hint="eastAsia" w:ascii="宋体" w:hAnsi="宋体"/>
          <w:b/>
          <w:bCs/>
          <w:color w:val="auto"/>
          <w:sz w:val="30"/>
          <w:szCs w:val="30"/>
        </w:rPr>
        <w:t>合同甲方：</w:t>
      </w:r>
      <w:r>
        <w:rPr>
          <w:rFonts w:hint="eastAsia" w:ascii="宋体" w:hAnsi="宋体"/>
          <w:b/>
          <w:bCs/>
          <w:color w:val="auto"/>
          <w:sz w:val="30"/>
          <w:szCs w:val="30"/>
          <w:u w:val="single"/>
          <w:lang w:eastAsia="zh-CN"/>
        </w:rPr>
        <w:t>深圳市体育产业集团有限公司</w:t>
      </w:r>
    </w:p>
    <w:p w14:paraId="20D70A06">
      <w:pPr>
        <w:pStyle w:val="48"/>
        <w:widowControl/>
        <w:spacing w:line="480" w:lineRule="auto"/>
        <w:ind w:left="1558" w:leftChars="742"/>
        <w:rPr>
          <w:rFonts w:hint="eastAsia" w:ascii="宋体" w:hAnsi="宋体"/>
          <w:b/>
          <w:bCs/>
          <w:color w:val="auto"/>
          <w:sz w:val="30"/>
          <w:szCs w:val="30"/>
        </w:rPr>
      </w:pPr>
      <w:r>
        <w:rPr>
          <w:rFonts w:hint="eastAsia" w:ascii="宋体" w:hAnsi="宋体"/>
          <w:b/>
          <w:bCs/>
          <w:color w:val="auto"/>
          <w:sz w:val="30"/>
          <w:szCs w:val="30"/>
        </w:rPr>
        <w:t>合同乙方：</w:t>
      </w:r>
    </w:p>
    <w:p w14:paraId="74A853B4">
      <w:pPr>
        <w:pStyle w:val="48"/>
        <w:widowControl/>
        <w:spacing w:line="480" w:lineRule="auto"/>
        <w:ind w:left="1558" w:leftChars="742"/>
        <w:rPr>
          <w:rFonts w:hint="eastAsia" w:ascii="宋体" w:hAnsi="宋体"/>
          <w:b/>
          <w:bCs/>
          <w:color w:val="auto"/>
          <w:sz w:val="30"/>
          <w:szCs w:val="30"/>
        </w:rPr>
      </w:pPr>
      <w:r>
        <w:rPr>
          <w:rFonts w:hint="eastAsia" w:ascii="宋体" w:hAnsi="宋体"/>
          <w:b/>
          <w:bCs/>
          <w:color w:val="auto"/>
          <w:sz w:val="30"/>
          <w:szCs w:val="30"/>
        </w:rPr>
        <w:t>签订地点：</w:t>
      </w:r>
      <w:r>
        <w:rPr>
          <w:rFonts w:hint="eastAsia" w:ascii="宋体" w:hAnsi="宋体"/>
          <w:b/>
          <w:bCs/>
          <w:color w:val="auto"/>
          <w:sz w:val="30"/>
          <w:szCs w:val="30"/>
          <w:u w:val="single"/>
        </w:rPr>
        <w:t>广东省深圳市</w:t>
      </w:r>
    </w:p>
    <w:p w14:paraId="78A02430">
      <w:pPr>
        <w:pStyle w:val="48"/>
        <w:widowControl/>
        <w:spacing w:line="480" w:lineRule="auto"/>
        <w:ind w:left="1558" w:leftChars="742"/>
        <w:rPr>
          <w:rFonts w:hint="eastAsia" w:ascii="宋体" w:hAnsi="宋体"/>
          <w:b/>
          <w:bCs/>
          <w:color w:val="auto"/>
          <w:sz w:val="30"/>
          <w:szCs w:val="30"/>
        </w:rPr>
      </w:pPr>
      <w:r>
        <w:rPr>
          <w:rFonts w:hint="eastAsia" w:ascii="宋体" w:hAnsi="宋体"/>
          <w:b/>
          <w:bCs/>
          <w:color w:val="auto"/>
          <w:sz w:val="30"/>
          <w:szCs w:val="30"/>
        </w:rPr>
        <w:t>签约日期：</w:t>
      </w:r>
      <w:r>
        <w:rPr>
          <w:rFonts w:hint="eastAsia" w:ascii="宋体" w:hAnsi="宋体"/>
          <w:b/>
          <w:bCs/>
          <w:color w:val="auto"/>
          <w:sz w:val="30"/>
          <w:szCs w:val="30"/>
          <w:u w:val="single"/>
        </w:rPr>
        <w:t>2026年</w:t>
      </w:r>
      <w:r>
        <w:rPr>
          <w:rFonts w:hint="eastAsia" w:ascii="宋体" w:hAnsi="宋体"/>
          <w:b/>
          <w:bCs/>
          <w:color w:val="auto"/>
          <w:sz w:val="30"/>
          <w:szCs w:val="30"/>
          <w:u w:val="single"/>
          <w:lang w:val="en-US" w:eastAsia="zh-CN"/>
        </w:rPr>
        <w:t>7</w:t>
      </w:r>
      <w:r>
        <w:rPr>
          <w:rFonts w:hint="eastAsia" w:ascii="宋体" w:hAnsi="宋体"/>
          <w:b/>
          <w:bCs/>
          <w:color w:val="auto"/>
          <w:sz w:val="30"/>
          <w:szCs w:val="30"/>
          <w:u w:val="single"/>
        </w:rPr>
        <w:t>月</w:t>
      </w:r>
    </w:p>
    <w:p w14:paraId="329932C2">
      <w:pPr>
        <w:pStyle w:val="48"/>
        <w:spacing w:line="480" w:lineRule="auto"/>
        <w:ind w:left="1902"/>
        <w:jc w:val="center"/>
        <w:rPr>
          <w:rFonts w:hint="eastAsia" w:ascii="宋体" w:hAnsi="宋体" w:cs="仿宋_GB2312"/>
          <w:color w:val="auto"/>
          <w:spacing w:val="20"/>
          <w:kern w:val="2"/>
          <w:sz w:val="28"/>
        </w:rPr>
      </w:pPr>
      <w:r>
        <w:rPr>
          <w:rFonts w:ascii="宋体" w:hAnsi="宋体" w:cs="仿宋_GB2312"/>
          <w:color w:val="auto"/>
          <w:spacing w:val="20"/>
          <w:kern w:val="2"/>
          <w:sz w:val="28"/>
        </w:rPr>
        <w:br w:type="page"/>
      </w:r>
    </w:p>
    <w:p w14:paraId="7845A1ED">
      <w:pPr>
        <w:pStyle w:val="48"/>
        <w:spacing w:line="360" w:lineRule="auto"/>
        <w:ind w:right="-169"/>
        <w:jc w:val="center"/>
        <w:rPr>
          <w:rFonts w:hint="eastAsia" w:ascii="宋体" w:hAnsi="宋体" w:cs="Arial"/>
          <w:b/>
          <w:color w:val="auto"/>
          <w:sz w:val="48"/>
          <w:szCs w:val="48"/>
          <w:lang w:eastAsia="zh-CN"/>
        </w:rPr>
      </w:pPr>
      <w:r>
        <w:rPr>
          <w:rFonts w:hint="eastAsia" w:ascii="宋体" w:hAnsi="宋体" w:cs="Arial"/>
          <w:b/>
          <w:color w:val="auto"/>
          <w:sz w:val="48"/>
          <w:szCs w:val="48"/>
          <w:lang w:eastAsia="zh-CN"/>
        </w:rPr>
        <w:t>2026-2027年度小型工程项目</w:t>
      </w:r>
    </w:p>
    <w:p w14:paraId="56E72E99">
      <w:pPr>
        <w:pStyle w:val="48"/>
        <w:spacing w:line="360" w:lineRule="auto"/>
        <w:ind w:right="-169"/>
        <w:jc w:val="center"/>
        <w:rPr>
          <w:rFonts w:hint="eastAsia" w:ascii="宋体" w:hAnsi="宋体" w:eastAsia="宋体"/>
          <w:color w:val="auto"/>
          <w:kern w:val="2"/>
          <w:sz w:val="24"/>
          <w:szCs w:val="24"/>
          <w:u w:val="single"/>
          <w:lang w:eastAsia="zh-CN"/>
        </w:rPr>
      </w:pPr>
      <w:r>
        <w:rPr>
          <w:rFonts w:hint="eastAsia" w:ascii="宋体" w:hAnsi="宋体" w:cs="Arial"/>
          <w:b/>
          <w:color w:val="auto"/>
          <w:sz w:val="48"/>
          <w:szCs w:val="48"/>
          <w:lang w:val="en-US" w:eastAsia="zh-CN"/>
        </w:rPr>
        <w:t>全过程</w:t>
      </w:r>
      <w:r>
        <w:rPr>
          <w:rFonts w:hint="eastAsia" w:ascii="宋体" w:hAnsi="宋体" w:cs="Arial"/>
          <w:b/>
          <w:color w:val="auto"/>
          <w:sz w:val="48"/>
          <w:szCs w:val="48"/>
          <w:lang w:eastAsia="zh-CN"/>
        </w:rPr>
        <w:t>造价咨询服务框架协议</w:t>
      </w:r>
    </w:p>
    <w:p w14:paraId="7DF374CD">
      <w:pPr>
        <w:pStyle w:val="48"/>
        <w:spacing w:line="360" w:lineRule="auto"/>
        <w:rPr>
          <w:rFonts w:hint="eastAsia" w:ascii="宋体" w:hAnsi="宋体" w:eastAsia="宋体"/>
          <w:color w:val="auto"/>
          <w:sz w:val="24"/>
          <w:szCs w:val="24"/>
          <w:lang w:eastAsia="zh-CN"/>
        </w:rPr>
      </w:pPr>
      <w:r>
        <w:rPr>
          <w:rFonts w:hint="eastAsia" w:ascii="宋体" w:hAnsi="宋体"/>
          <w:color w:val="auto"/>
          <w:sz w:val="24"/>
          <w:szCs w:val="24"/>
        </w:rPr>
        <w:t>委托人（甲方）：</w:t>
      </w:r>
      <w:r>
        <w:rPr>
          <w:rFonts w:hint="eastAsia" w:ascii="宋体" w:hAnsi="宋体"/>
          <w:b/>
          <w:bCs/>
          <w:color w:val="auto"/>
          <w:sz w:val="24"/>
          <w:szCs w:val="24"/>
          <w:u w:val="single"/>
          <w:lang w:eastAsia="zh-CN"/>
        </w:rPr>
        <w:t>深圳市体育产业集团有限公司</w:t>
      </w:r>
    </w:p>
    <w:p w14:paraId="7FD4D8C6">
      <w:pPr>
        <w:pStyle w:val="48"/>
        <w:spacing w:line="360" w:lineRule="auto"/>
        <w:rPr>
          <w:rFonts w:hint="eastAsia" w:ascii="宋体" w:hAnsi="宋体"/>
          <w:color w:val="auto"/>
          <w:sz w:val="24"/>
          <w:szCs w:val="24"/>
        </w:rPr>
      </w:pPr>
      <w:r>
        <w:rPr>
          <w:rFonts w:hint="eastAsia" w:ascii="宋体" w:hAnsi="宋体"/>
          <w:color w:val="auto"/>
          <w:sz w:val="24"/>
          <w:szCs w:val="24"/>
        </w:rPr>
        <w:t>受托人（乙方）：</w:t>
      </w:r>
    </w:p>
    <w:p w14:paraId="238D3152">
      <w:pPr>
        <w:pStyle w:val="48"/>
        <w:spacing w:line="360" w:lineRule="auto"/>
        <w:ind w:firstLine="480" w:firstLineChars="200"/>
        <w:rPr>
          <w:rFonts w:hint="eastAsia" w:ascii="宋体" w:hAnsi="宋体"/>
          <w:color w:val="auto"/>
          <w:kern w:val="2"/>
          <w:sz w:val="24"/>
          <w:szCs w:val="24"/>
        </w:rPr>
      </w:pPr>
    </w:p>
    <w:p w14:paraId="7AA9E755">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根据《中华人民共和国民法典》《中华人民共和国建筑法》《深圳经济特区建设工程施工招标投标条例》及其他有关法律、法规</w:t>
      </w:r>
      <w:r>
        <w:rPr>
          <w:rFonts w:hint="eastAsia" w:ascii="宋体" w:hAnsi="宋体"/>
          <w:color w:val="auto"/>
          <w:kern w:val="2"/>
          <w:sz w:val="24"/>
          <w:szCs w:val="24"/>
          <w:lang w:val="en-US" w:eastAsia="zh-CN"/>
        </w:rPr>
        <w:t>等规定</w:t>
      </w:r>
      <w:r>
        <w:rPr>
          <w:rFonts w:hint="eastAsia" w:ascii="宋体" w:hAnsi="宋体"/>
          <w:color w:val="auto"/>
          <w:kern w:val="2"/>
          <w:sz w:val="24"/>
          <w:szCs w:val="24"/>
        </w:rPr>
        <w:t>，遵循平等、自愿、公平和诚实信用的原则，甲方和乙方就2026</w:t>
      </w:r>
      <w:r>
        <w:rPr>
          <w:rFonts w:ascii="宋体" w:hAnsi="宋体"/>
          <w:color w:val="auto"/>
          <w:kern w:val="2"/>
          <w:sz w:val="24"/>
          <w:szCs w:val="24"/>
        </w:rPr>
        <w:t>-2027</w:t>
      </w:r>
      <w:r>
        <w:rPr>
          <w:rFonts w:hint="eastAsia" w:ascii="宋体" w:hAnsi="宋体"/>
          <w:color w:val="auto"/>
          <w:kern w:val="2"/>
          <w:sz w:val="24"/>
          <w:szCs w:val="24"/>
        </w:rPr>
        <w:t>年度小型工程项目造价咨询及相关服务事项协商一致，订立本</w:t>
      </w:r>
      <w:r>
        <w:rPr>
          <w:rFonts w:hint="eastAsia" w:ascii="宋体" w:hAnsi="宋体"/>
          <w:color w:val="auto"/>
          <w:kern w:val="2"/>
          <w:sz w:val="24"/>
          <w:szCs w:val="24"/>
          <w:lang w:eastAsia="zh-CN"/>
        </w:rPr>
        <w:t>（</w:t>
      </w:r>
      <w:r>
        <w:rPr>
          <w:rFonts w:hint="eastAsia" w:ascii="宋体" w:hAnsi="宋体"/>
          <w:color w:val="auto"/>
          <w:kern w:val="2"/>
          <w:sz w:val="24"/>
          <w:szCs w:val="24"/>
        </w:rPr>
        <w:t>框架</w:t>
      </w:r>
      <w:r>
        <w:rPr>
          <w:rFonts w:hint="eastAsia" w:ascii="宋体" w:hAnsi="宋体"/>
          <w:color w:val="auto"/>
          <w:kern w:val="2"/>
          <w:sz w:val="24"/>
          <w:szCs w:val="24"/>
          <w:lang w:eastAsia="zh-CN"/>
        </w:rPr>
        <w:t>）</w:t>
      </w:r>
      <w:r>
        <w:rPr>
          <w:rFonts w:hint="eastAsia" w:ascii="宋体" w:hAnsi="宋体"/>
          <w:color w:val="auto"/>
          <w:kern w:val="2"/>
          <w:sz w:val="24"/>
          <w:szCs w:val="24"/>
        </w:rPr>
        <w:t>协议，达成协议如下：</w:t>
      </w:r>
    </w:p>
    <w:p w14:paraId="631CB232">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合作内容</w:t>
      </w:r>
    </w:p>
    <w:p w14:paraId="5EED0DFD">
      <w:pPr>
        <w:pStyle w:val="48"/>
        <w:spacing w:line="360" w:lineRule="auto"/>
        <w:ind w:firstLine="480" w:firstLineChars="200"/>
        <w:rPr>
          <w:rFonts w:hint="eastAsia" w:ascii="宋体" w:hAnsi="宋体"/>
          <w:color w:val="auto"/>
          <w:kern w:val="2"/>
          <w:sz w:val="24"/>
          <w:szCs w:val="24"/>
        </w:rPr>
      </w:pPr>
      <w:bookmarkStart w:id="346" w:name="OLE_LINK3"/>
      <w:r>
        <w:rPr>
          <w:rFonts w:hint="eastAsia" w:ascii="宋体" w:hAnsi="宋体" w:eastAsia="宋体"/>
          <w:color w:val="auto"/>
          <w:kern w:val="2"/>
          <w:sz w:val="24"/>
          <w:szCs w:val="24"/>
        </w:rPr>
        <w:t>甲方确定乙方为</w:t>
      </w:r>
      <w:r>
        <w:rPr>
          <w:rFonts w:hint="eastAsia" w:ascii="宋体" w:hAnsi="宋体" w:eastAsia="宋体"/>
          <w:color w:val="auto"/>
          <w:kern w:val="2"/>
          <w:sz w:val="24"/>
          <w:szCs w:val="24"/>
          <w:lang w:val="en-US" w:eastAsia="zh-CN"/>
        </w:rPr>
        <w:t>为深圳市体育产业集团有限公司及所属全资、控股企业</w:t>
      </w:r>
      <w:r>
        <w:rPr>
          <w:rFonts w:hint="eastAsia" w:ascii="宋体" w:hAnsi="宋体"/>
          <w:b/>
          <w:bCs/>
          <w:color w:val="auto"/>
          <w:kern w:val="2"/>
          <w:sz w:val="24"/>
          <w:szCs w:val="24"/>
          <w:u w:val="single"/>
          <w:lang w:eastAsia="zh-CN"/>
        </w:rPr>
        <w:t>2026-2027年度小型工程项目全过程造价咨询服务</w:t>
      </w:r>
      <w:r>
        <w:rPr>
          <w:rFonts w:hint="eastAsia" w:ascii="宋体" w:hAnsi="宋体"/>
          <w:color w:val="auto"/>
          <w:kern w:val="2"/>
          <w:sz w:val="24"/>
          <w:szCs w:val="24"/>
        </w:rPr>
        <w:t>合作单位，乙方负责提供造价咨询及相关服务，具体如下：</w:t>
      </w:r>
    </w:p>
    <w:p w14:paraId="473E9D58">
      <w:pPr>
        <w:pStyle w:val="48"/>
        <w:numPr>
          <w:ilvl w:val="0"/>
          <w:numId w:val="10"/>
        </w:numPr>
        <w:adjustRightInd w:val="0"/>
        <w:spacing w:line="360" w:lineRule="auto"/>
        <w:ind w:left="-60" w:leftChars="0" w:firstLine="480" w:firstLineChars="0"/>
        <w:jc w:val="left"/>
        <w:textAlignment w:val="baseline"/>
        <w:rPr>
          <w:rFonts w:hint="eastAsia" w:ascii="宋体" w:hAnsi="宋体"/>
          <w:color w:val="auto"/>
          <w:kern w:val="2"/>
          <w:sz w:val="24"/>
          <w:szCs w:val="24"/>
        </w:rPr>
      </w:pPr>
      <w:r>
        <w:rPr>
          <w:rFonts w:hint="eastAsia" w:ascii="宋体" w:hAnsi="宋体"/>
          <w:color w:val="auto"/>
          <w:kern w:val="2"/>
          <w:sz w:val="24"/>
          <w:szCs w:val="24"/>
        </w:rPr>
        <w:t>原则上</w:t>
      </w:r>
      <w:r>
        <w:rPr>
          <w:rFonts w:hint="eastAsia" w:ascii="宋体" w:hAnsi="宋体"/>
          <w:b/>
          <w:bCs/>
          <w:color w:val="auto"/>
          <w:sz w:val="24"/>
          <w:szCs w:val="24"/>
          <w:u w:val="single"/>
        </w:rPr>
        <w:t>合同签订之日起1年内</w:t>
      </w:r>
      <w:r>
        <w:rPr>
          <w:rFonts w:hint="eastAsia" w:ascii="宋体" w:hAnsi="宋体" w:eastAsia="宋体" w:cs="Times New Roman"/>
          <w:color w:val="auto"/>
          <w:kern w:val="2"/>
          <w:sz w:val="24"/>
          <w:szCs w:val="24"/>
          <w:lang w:val="en-US" w:eastAsia="zh-CN"/>
        </w:rPr>
        <w:t>深圳市体育产业集团有限公司及所属全资、控股企业委</w:t>
      </w:r>
      <w:r>
        <w:rPr>
          <w:rFonts w:hint="eastAsia" w:ascii="宋体" w:hAnsi="宋体" w:eastAsia="宋体" w:cs="Times New Roman"/>
          <w:color w:val="auto"/>
          <w:kern w:val="2"/>
          <w:sz w:val="24"/>
          <w:szCs w:val="24"/>
          <w:lang w:eastAsia="zh-CN"/>
        </w:rPr>
        <w:t>托的</w:t>
      </w:r>
      <w:r>
        <w:rPr>
          <w:rFonts w:hint="eastAsia" w:ascii="宋体" w:hAnsi="宋体" w:eastAsia="宋体" w:cs="Times New Roman"/>
          <w:color w:val="auto"/>
          <w:kern w:val="2"/>
          <w:sz w:val="24"/>
          <w:szCs w:val="24"/>
        </w:rPr>
        <w:t>及</w:t>
      </w:r>
      <w:r>
        <w:rPr>
          <w:rFonts w:hint="eastAsia" w:ascii="宋体" w:hAnsi="宋体" w:eastAsia="宋体" w:cs="Times New Roman"/>
          <w:color w:val="auto"/>
          <w:kern w:val="2"/>
          <w:sz w:val="24"/>
          <w:szCs w:val="24"/>
          <w:lang w:val="en-US" w:eastAsia="zh-CN"/>
        </w:rPr>
        <w:t>所属</w:t>
      </w:r>
      <w:r>
        <w:rPr>
          <w:rFonts w:hint="eastAsia" w:ascii="宋体" w:hAnsi="宋体" w:eastAsia="宋体" w:cs="Times New Roman"/>
          <w:color w:val="auto"/>
          <w:kern w:val="2"/>
          <w:sz w:val="24"/>
          <w:szCs w:val="24"/>
        </w:rPr>
        <w:t>公司投资、承建、代建、委托管</w:t>
      </w:r>
      <w:r>
        <w:rPr>
          <w:rFonts w:hint="eastAsia" w:ascii="宋体" w:hAnsi="宋体"/>
          <w:color w:val="auto"/>
          <w:kern w:val="2"/>
          <w:sz w:val="24"/>
          <w:szCs w:val="24"/>
        </w:rPr>
        <w:t>理的项目的小型工程项目造价咨询服务均适用于本协议。甲方有权另行委托其他单位提供服务，乙方不得索取费用补偿。</w:t>
      </w:r>
    </w:p>
    <w:p w14:paraId="48270B2A">
      <w:pPr>
        <w:pStyle w:val="48"/>
        <w:numPr>
          <w:ilvl w:val="0"/>
          <w:numId w:val="10"/>
        </w:numPr>
        <w:adjustRightInd w:val="0"/>
        <w:spacing w:line="360" w:lineRule="auto"/>
        <w:ind w:left="-60" w:leftChars="0" w:firstLine="480" w:firstLineChars="0"/>
        <w:jc w:val="left"/>
        <w:textAlignment w:val="baseline"/>
        <w:rPr>
          <w:rFonts w:hint="eastAsia" w:ascii="宋体" w:hAnsi="宋体"/>
          <w:color w:val="auto"/>
          <w:kern w:val="2"/>
          <w:sz w:val="24"/>
          <w:szCs w:val="24"/>
        </w:rPr>
      </w:pPr>
      <w:r>
        <w:rPr>
          <w:rFonts w:hint="eastAsia" w:ascii="宋体" w:hAnsi="宋体"/>
          <w:color w:val="auto"/>
          <w:kern w:val="2"/>
          <w:sz w:val="24"/>
          <w:szCs w:val="24"/>
        </w:rPr>
        <w:t>甲方</w:t>
      </w:r>
      <w:bookmarkStart w:id="347" w:name="_Hlk40391115"/>
      <w:r>
        <w:rPr>
          <w:rFonts w:hint="eastAsia" w:ascii="宋体" w:hAnsi="宋体"/>
          <w:color w:val="auto"/>
          <w:kern w:val="2"/>
          <w:sz w:val="24"/>
          <w:szCs w:val="24"/>
        </w:rPr>
        <w:t>按项目与乙方签订</w:t>
      </w:r>
      <w:r>
        <w:rPr>
          <w:rFonts w:hint="eastAsia" w:ascii="宋体" w:hAnsi="宋体"/>
          <w:b/>
          <w:bCs/>
          <w:color w:val="auto"/>
          <w:sz w:val="24"/>
          <w:szCs w:val="24"/>
          <w:u w:val="single"/>
        </w:rPr>
        <w:t>《造价咨询服务委托合同》</w:t>
      </w:r>
      <w:bookmarkEnd w:id="347"/>
      <w:r>
        <w:rPr>
          <w:rFonts w:hint="eastAsia" w:ascii="宋体" w:hAnsi="宋体"/>
          <w:color w:val="auto"/>
          <w:kern w:val="2"/>
          <w:sz w:val="24"/>
          <w:szCs w:val="24"/>
        </w:rPr>
        <w:t>，乙方根据</w:t>
      </w:r>
      <w:r>
        <w:rPr>
          <w:rFonts w:hint="eastAsia" w:ascii="宋体" w:hAnsi="宋体"/>
          <w:b/>
          <w:bCs/>
          <w:color w:val="auto"/>
          <w:sz w:val="24"/>
          <w:szCs w:val="24"/>
          <w:u w:val="single"/>
        </w:rPr>
        <w:t>《造价咨询服务委托合同》</w:t>
      </w:r>
      <w:r>
        <w:rPr>
          <w:rFonts w:hint="eastAsia" w:ascii="宋体" w:hAnsi="宋体"/>
          <w:color w:val="auto"/>
          <w:kern w:val="2"/>
          <w:sz w:val="24"/>
          <w:szCs w:val="24"/>
        </w:rPr>
        <w:t>要求立即开展造价咨询服务。</w:t>
      </w:r>
    </w:p>
    <w:p w14:paraId="6AA2A2FA">
      <w:pPr>
        <w:pStyle w:val="48"/>
        <w:numPr>
          <w:ilvl w:val="0"/>
          <w:numId w:val="10"/>
        </w:numPr>
        <w:adjustRightInd w:val="0"/>
        <w:spacing w:line="360" w:lineRule="auto"/>
        <w:ind w:left="-60" w:leftChars="0" w:firstLine="480" w:firstLineChars="0"/>
        <w:jc w:val="left"/>
        <w:textAlignment w:val="baseline"/>
        <w:rPr>
          <w:rFonts w:hint="eastAsia" w:ascii="宋体" w:hAnsi="宋体"/>
          <w:b/>
          <w:bCs/>
          <w:color w:val="auto"/>
          <w:kern w:val="2"/>
          <w:sz w:val="24"/>
          <w:szCs w:val="24"/>
        </w:rPr>
      </w:pPr>
      <w:r>
        <w:rPr>
          <w:rFonts w:hint="eastAsia" w:ascii="宋体" w:hAnsi="宋体"/>
          <w:color w:val="auto"/>
          <w:sz w:val="24"/>
        </w:rPr>
        <w:t>具体项目开始前，乙方应提交团队人员名单及简历供甲方审核。</w:t>
      </w:r>
    </w:p>
    <w:p w14:paraId="6C504D75">
      <w:pPr>
        <w:pStyle w:val="48"/>
        <w:numPr>
          <w:ilvl w:val="0"/>
          <w:numId w:val="10"/>
        </w:numPr>
        <w:adjustRightInd w:val="0"/>
        <w:spacing w:line="360" w:lineRule="auto"/>
        <w:ind w:left="-60" w:leftChars="0" w:firstLine="480" w:firstLineChars="0"/>
        <w:jc w:val="left"/>
        <w:textAlignment w:val="baseline"/>
        <w:rPr>
          <w:rFonts w:hint="eastAsia" w:ascii="宋体" w:hAnsi="宋体"/>
          <w:b/>
          <w:bCs/>
          <w:color w:val="auto"/>
          <w:sz w:val="24"/>
        </w:rPr>
      </w:pPr>
      <w:r>
        <w:rPr>
          <w:rFonts w:hint="eastAsia" w:ascii="宋体" w:hAnsi="宋体"/>
          <w:color w:val="auto"/>
          <w:sz w:val="24"/>
          <w:lang w:val="en-US" w:eastAsia="zh-CN"/>
        </w:rPr>
        <w:t>双</w:t>
      </w:r>
      <w:r>
        <w:rPr>
          <w:rFonts w:hint="eastAsia" w:ascii="宋体" w:hAnsi="宋体"/>
          <w:color w:val="auto"/>
          <w:sz w:val="24"/>
        </w:rPr>
        <w:t>方确认，</w:t>
      </w:r>
      <w:r>
        <w:rPr>
          <w:rFonts w:hint="eastAsia" w:ascii="宋体" w:hAnsi="宋体"/>
          <w:color w:val="auto"/>
          <w:sz w:val="24"/>
          <w:lang w:val="en-US" w:eastAsia="zh-CN"/>
        </w:rPr>
        <w:t>本项目招标文件及本条款</w:t>
      </w:r>
      <w:r>
        <w:rPr>
          <w:rFonts w:hint="eastAsia" w:ascii="宋体" w:hAnsi="宋体"/>
          <w:color w:val="auto"/>
          <w:sz w:val="24"/>
        </w:rPr>
        <w:t>所载“预计年度小型工程项目建安费总计约2000万元”之信息，仅为甲方基于当前情况作出的非约束性、粗略性预估，供乙方参考，不作为双方权利义务的依据。乙方确认其报价及投入系基于其自身的商业判断，并未依赖或信赖上述预估金额。最终实际发生的服务费用以双方另行签署的《造价咨询服务委托合同》</w:t>
      </w:r>
      <w:r>
        <w:rPr>
          <w:rFonts w:hint="eastAsia" w:ascii="宋体" w:hAnsi="宋体"/>
          <w:color w:val="auto"/>
          <w:sz w:val="24"/>
          <w:lang w:val="en-US" w:eastAsia="zh-CN"/>
        </w:rPr>
        <w:t>等书面材料</w:t>
      </w:r>
      <w:r>
        <w:rPr>
          <w:rFonts w:hint="eastAsia" w:ascii="宋体" w:hAnsi="宋体"/>
          <w:color w:val="auto"/>
          <w:sz w:val="24"/>
        </w:rPr>
        <w:t>为准。在任何情况下，甲方均不因实际委托金额与预估金额之间的差异而对乙方承担任何性质的责任。</w:t>
      </w:r>
      <w:bookmarkEnd w:id="346"/>
    </w:p>
    <w:p w14:paraId="5519F850">
      <w:pPr>
        <w:pStyle w:val="48"/>
        <w:numPr>
          <w:ilvl w:val="0"/>
          <w:numId w:val="10"/>
        </w:numPr>
        <w:adjustRightInd w:val="0"/>
        <w:spacing w:line="360" w:lineRule="auto"/>
        <w:ind w:left="-60" w:leftChars="0" w:firstLine="480" w:firstLineChars="0"/>
        <w:jc w:val="left"/>
        <w:textAlignment w:val="baseline"/>
        <w:rPr>
          <w:rFonts w:hint="eastAsia" w:ascii="宋体" w:hAnsi="宋体"/>
          <w:b/>
          <w:bCs/>
          <w:color w:val="auto"/>
          <w:sz w:val="24"/>
        </w:rPr>
      </w:pPr>
      <w:r>
        <w:rPr>
          <w:rFonts w:hint="eastAsia" w:ascii="宋体" w:hAnsi="宋体"/>
          <w:b/>
          <w:bCs/>
          <w:color w:val="auto"/>
          <w:sz w:val="24"/>
        </w:rPr>
        <w:t>服务内容：</w:t>
      </w:r>
    </w:p>
    <w:p w14:paraId="605802D5">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bookmarkStart w:id="348" w:name="_Hlk174976922"/>
      <w:r>
        <w:rPr>
          <w:rFonts w:hint="eastAsia" w:ascii="宋体" w:hAnsi="宋体"/>
          <w:color w:val="auto"/>
          <w:kern w:val="2"/>
          <w:sz w:val="24"/>
          <w:szCs w:val="24"/>
          <w:u w:val="single"/>
        </w:rPr>
        <w:t>负责编制审核概算、协助甲方完成概算评审工作（</w:t>
      </w:r>
      <w:bookmarkStart w:id="349" w:name="_Hlk175297882"/>
      <w:bookmarkStart w:id="350" w:name="_Hlk175297893"/>
      <w:r>
        <w:rPr>
          <w:rFonts w:hint="eastAsia" w:ascii="宋体" w:hAnsi="宋体"/>
          <w:color w:val="auto"/>
          <w:kern w:val="2"/>
          <w:sz w:val="24"/>
          <w:szCs w:val="24"/>
          <w:u w:val="single"/>
        </w:rPr>
        <w:t>具体工作内容</w:t>
      </w:r>
      <w:bookmarkEnd w:id="349"/>
      <w:r>
        <w:rPr>
          <w:rFonts w:hint="eastAsia" w:ascii="宋体" w:hAnsi="宋体"/>
          <w:color w:val="auto"/>
          <w:kern w:val="2"/>
          <w:sz w:val="24"/>
          <w:szCs w:val="24"/>
          <w:u w:val="single"/>
        </w:rPr>
        <w:t>根据具体项目情况调整</w:t>
      </w:r>
      <w:bookmarkEnd w:id="350"/>
      <w:r>
        <w:rPr>
          <w:rFonts w:hint="eastAsia" w:ascii="宋体" w:hAnsi="宋体"/>
          <w:color w:val="auto"/>
          <w:kern w:val="2"/>
          <w:sz w:val="24"/>
          <w:szCs w:val="24"/>
          <w:u w:val="single"/>
        </w:rPr>
        <w:t>，可能无此项内容，也可能根据项目需要编制设计概算）以及项目实施过程中的概算调整工作；建立经济技术指标库，对项目概算进行经济技术指标分析对比。</w:t>
      </w:r>
    </w:p>
    <w:p w14:paraId="2B718331">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协助甲方进行限额设计工作，提出造价控制建议。</w:t>
      </w:r>
    </w:p>
    <w:p w14:paraId="3CC2B229">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编制和审核工程预算，并对预算和概算进行对比分析，建立项目全过程动态投资控制台帐。</w:t>
      </w:r>
    </w:p>
    <w:p w14:paraId="1439B40D">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协助甲方编制招标文件，特别是招标文件中投标报价规定和特别条款；在造价工程师的指导下负责完成招标过程中商务标文件、工程控制价文件的编制和电子生成工作。</w:t>
      </w:r>
    </w:p>
    <w:p w14:paraId="04BD1272">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编制工程量清单及招标控制价，并提供综合单价分析表；在工程量清单和</w:t>
      </w:r>
      <w:bookmarkStart w:id="351" w:name="_Hlk175297869"/>
      <w:r>
        <w:rPr>
          <w:rFonts w:hint="eastAsia" w:ascii="宋体" w:hAnsi="宋体"/>
          <w:color w:val="auto"/>
          <w:kern w:val="2"/>
          <w:sz w:val="24"/>
          <w:szCs w:val="24"/>
          <w:u w:val="single"/>
        </w:rPr>
        <w:t>招标控制价</w:t>
      </w:r>
      <w:bookmarkEnd w:id="351"/>
      <w:r>
        <w:rPr>
          <w:rFonts w:hint="eastAsia" w:ascii="宋体" w:hAnsi="宋体"/>
          <w:color w:val="auto"/>
          <w:kern w:val="2"/>
          <w:sz w:val="24"/>
          <w:szCs w:val="24"/>
          <w:u w:val="single"/>
        </w:rPr>
        <w:t>的编制过程中书面提出设计和招标文件的问题，提醒甲方工程中采用的新材料、新工艺，并拟定计价方案供甲方决策。</w:t>
      </w:r>
    </w:p>
    <w:p w14:paraId="647949F9">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提供主要材料、设备数量及价格清单，并提交询价或计价依据。</w:t>
      </w:r>
    </w:p>
    <w:p w14:paraId="1C17B5E4">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复核中标候选人的商务标，并提出详细的造价分析报告。</w:t>
      </w:r>
    </w:p>
    <w:p w14:paraId="54A9BCE6">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协助甲方签订合同。</w:t>
      </w:r>
    </w:p>
    <w:p w14:paraId="0EC0B1ED">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编制投资控制形象进度表，按支付节点分解投标报价。</w:t>
      </w:r>
    </w:p>
    <w:p w14:paraId="117699EE">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施工过程中，参与工程量及工程进度款支付的复核工作。</w:t>
      </w:r>
    </w:p>
    <w:p w14:paraId="0DFC0838">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参与工程变更及现场签证的计量、计价复核工作，及时按甲方要求编制工程变更概算、工程变更预算、现场签证概算、现场签证预算及其他方案的工程造价工作。</w:t>
      </w:r>
    </w:p>
    <w:p w14:paraId="18D40E22">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按甲方要求按时保质保量完成分阶段结算工作。</w:t>
      </w:r>
    </w:p>
    <w:p w14:paraId="1A2EF443">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编制审核工程竣工结算，协助完成结算审计工作。</w:t>
      </w:r>
    </w:p>
    <w:p w14:paraId="165D73E0">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按需要与甲方一起到工地现场解决有关造价事宜（包含材料询价等工作）；全过程成本控制，主动、及时地发现并向甲方汇报任何可能影响成本的事项，提出相关改善建议。</w:t>
      </w:r>
    </w:p>
    <w:p w14:paraId="1A33216F">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结算完成后，协助甲方进行经济技术指标分析和完成项目财务决算。</w:t>
      </w:r>
    </w:p>
    <w:p w14:paraId="3696569F">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结算完成后，协助完成甲方、甲方委托的其他第三方、上级主管部门的造价审核。</w:t>
      </w:r>
    </w:p>
    <w:p w14:paraId="4085ED8D">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配合甲方对施工、设计、监理等各参建单位进行履约考评，并出具书面的评价意见。</w:t>
      </w:r>
    </w:p>
    <w:p w14:paraId="6CF70141">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根据甲方安排，配合对设计、监理单位进行绩效评价，并及时提交书面的绩效意见。</w:t>
      </w:r>
    </w:p>
    <w:p w14:paraId="5AF7FBF2">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乙方应按甲方要求派责任心及沟、通组织协调能力均较强的造价咨询人员按时参加甲方组织的相关会议，具体时间根据甲方要求执行。</w:t>
      </w:r>
    </w:p>
    <w:p w14:paraId="76894AF4">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工程建设其他费用中的设计、监理、勘察等所有合同的造价咨询工作。</w:t>
      </w:r>
    </w:p>
    <w:p w14:paraId="0C0D5CE4">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项目所有工程结算完毕后，出具项目投资控制总结报告，报告中应包含履约情况自我评价、投资控制情况汇报、造价指标分析、投资控制存在的问题及建议等。</w:t>
      </w:r>
    </w:p>
    <w:p w14:paraId="77B1602E">
      <w:pPr>
        <w:pStyle w:val="48"/>
        <w:numPr>
          <w:ilvl w:val="0"/>
          <w:numId w:val="11"/>
        </w:numPr>
        <w:adjustRightInd w:val="0"/>
        <w:spacing w:line="360" w:lineRule="auto"/>
        <w:ind w:left="-60" w:leftChars="0" w:firstLine="48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其他造价咨询服务相关内容。</w:t>
      </w:r>
    </w:p>
    <w:p w14:paraId="6AC3BE3E">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成果要求</w:t>
      </w:r>
    </w:p>
    <w:p w14:paraId="72664256">
      <w:pPr>
        <w:pStyle w:val="48"/>
        <w:numPr>
          <w:ilvl w:val="0"/>
          <w:numId w:val="12"/>
        </w:numPr>
        <w:adjustRightInd w:val="0"/>
        <w:spacing w:line="360" w:lineRule="auto"/>
        <w:ind w:firstLine="482" w:firstLineChars="200"/>
        <w:jc w:val="left"/>
        <w:textAlignment w:val="baseline"/>
        <w:rPr>
          <w:rFonts w:hint="eastAsia" w:ascii="宋体" w:hAnsi="宋体"/>
          <w:b/>
          <w:bCs/>
          <w:color w:val="auto"/>
          <w:kern w:val="2"/>
          <w:sz w:val="24"/>
          <w:szCs w:val="24"/>
        </w:rPr>
      </w:pPr>
      <w:r>
        <w:rPr>
          <w:rFonts w:hint="eastAsia" w:ascii="宋体" w:hAnsi="宋体"/>
          <w:b/>
          <w:bCs/>
          <w:color w:val="auto"/>
          <w:kern w:val="2"/>
          <w:sz w:val="24"/>
          <w:szCs w:val="24"/>
        </w:rPr>
        <w:t>成果文件编制依据</w:t>
      </w:r>
    </w:p>
    <w:p w14:paraId="580BDA12">
      <w:pPr>
        <w:pStyle w:val="48"/>
        <w:numPr>
          <w:ilvl w:val="0"/>
          <w:numId w:val="13"/>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初步设计文件及图纸。</w:t>
      </w:r>
    </w:p>
    <w:p w14:paraId="59B9D60E">
      <w:pPr>
        <w:pStyle w:val="48"/>
        <w:numPr>
          <w:ilvl w:val="0"/>
          <w:numId w:val="13"/>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施工招标文件。</w:t>
      </w:r>
    </w:p>
    <w:p w14:paraId="4955B80B">
      <w:pPr>
        <w:pStyle w:val="48"/>
        <w:numPr>
          <w:ilvl w:val="0"/>
          <w:numId w:val="13"/>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施工合同。</w:t>
      </w:r>
    </w:p>
    <w:p w14:paraId="7882597B">
      <w:pPr>
        <w:pStyle w:val="48"/>
        <w:numPr>
          <w:ilvl w:val="0"/>
          <w:numId w:val="13"/>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施工图（或竣工图）及有关设计文件。</w:t>
      </w:r>
    </w:p>
    <w:p w14:paraId="3BAFBB92">
      <w:pPr>
        <w:pStyle w:val="48"/>
        <w:numPr>
          <w:ilvl w:val="0"/>
          <w:numId w:val="13"/>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工程变更和现场签证。</w:t>
      </w:r>
    </w:p>
    <w:p w14:paraId="5FBB9B7E">
      <w:pPr>
        <w:pStyle w:val="48"/>
        <w:numPr>
          <w:ilvl w:val="0"/>
          <w:numId w:val="13"/>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概算、预算中的材料及设备价格参考概算、预算编制当期的《深圳建设工程价格信息》及相应时期的市场价格；结算、变更、签证中的材料及设备价格按照工程承包合同中的相应约定执行，无约定的按照甲方确认的标准执行。</w:t>
      </w:r>
    </w:p>
    <w:p w14:paraId="3B49073E">
      <w:pPr>
        <w:pStyle w:val="48"/>
        <w:numPr>
          <w:ilvl w:val="0"/>
          <w:numId w:val="12"/>
        </w:numPr>
        <w:adjustRightInd w:val="0"/>
        <w:spacing w:line="360" w:lineRule="auto"/>
        <w:ind w:firstLine="482" w:firstLineChars="200"/>
        <w:jc w:val="left"/>
        <w:textAlignment w:val="baseline"/>
        <w:rPr>
          <w:rFonts w:hint="eastAsia" w:ascii="宋体" w:hAnsi="宋体"/>
          <w:b/>
          <w:bCs/>
          <w:color w:val="auto"/>
          <w:kern w:val="2"/>
          <w:sz w:val="24"/>
          <w:szCs w:val="24"/>
        </w:rPr>
      </w:pPr>
      <w:r>
        <w:rPr>
          <w:rFonts w:hint="eastAsia" w:ascii="宋体" w:hAnsi="宋体"/>
          <w:b/>
          <w:bCs/>
          <w:color w:val="auto"/>
          <w:kern w:val="2"/>
          <w:sz w:val="24"/>
          <w:szCs w:val="24"/>
        </w:rPr>
        <w:t>成果质量要求：</w:t>
      </w:r>
    </w:p>
    <w:p w14:paraId="7BA7A086">
      <w:pPr>
        <w:pStyle w:val="48"/>
        <w:numPr>
          <w:ilvl w:val="0"/>
          <w:numId w:val="14"/>
        </w:numPr>
        <w:adjustRightInd w:val="0"/>
        <w:spacing w:line="360" w:lineRule="auto"/>
        <w:ind w:left="0" w:firstLine="480" w:firstLineChars="200"/>
        <w:jc w:val="left"/>
        <w:textAlignment w:val="baseline"/>
        <w:rPr>
          <w:rFonts w:hint="eastAsia" w:ascii="宋体" w:hAnsi="宋体"/>
          <w:color w:val="auto"/>
          <w:kern w:val="2"/>
          <w:sz w:val="24"/>
          <w:szCs w:val="24"/>
          <w:u w:val="single"/>
        </w:rPr>
      </w:pPr>
      <w:bookmarkStart w:id="352" w:name="OLE_LINK4"/>
      <w:r>
        <w:rPr>
          <w:rFonts w:hint="eastAsia" w:ascii="宋体" w:hAnsi="宋体"/>
          <w:color w:val="auto"/>
          <w:kern w:val="2"/>
          <w:sz w:val="24"/>
          <w:szCs w:val="24"/>
          <w:u w:val="single"/>
        </w:rPr>
        <w:t>工程量清单项目编制齐全，分类清楚，不得漏项，招标控制价价格合理，编制说明需详细。</w:t>
      </w:r>
    </w:p>
    <w:p w14:paraId="68C62E10">
      <w:pPr>
        <w:pStyle w:val="48"/>
        <w:numPr>
          <w:ilvl w:val="0"/>
          <w:numId w:val="14"/>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工程量计算准确，准确率在</w:t>
      </w:r>
      <w:r>
        <w:rPr>
          <w:rFonts w:hint="eastAsia" w:ascii="宋体" w:hAnsi="宋体"/>
          <w:b/>
          <w:bCs/>
          <w:color w:val="auto"/>
          <w:kern w:val="2"/>
          <w:sz w:val="24"/>
          <w:szCs w:val="24"/>
          <w:u w:val="single"/>
        </w:rPr>
        <w:t>97%以上（包括97%）</w:t>
      </w:r>
      <w:r>
        <w:rPr>
          <w:rFonts w:hint="eastAsia" w:ascii="宋体" w:hAnsi="宋体"/>
          <w:color w:val="auto"/>
          <w:kern w:val="2"/>
          <w:sz w:val="24"/>
          <w:szCs w:val="24"/>
          <w:u w:val="single"/>
        </w:rPr>
        <w:t>。</w:t>
      </w:r>
    </w:p>
    <w:p w14:paraId="15E1FF8C">
      <w:pPr>
        <w:pStyle w:val="48"/>
        <w:numPr>
          <w:ilvl w:val="0"/>
          <w:numId w:val="14"/>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设备工程量准确率在</w:t>
      </w:r>
      <w:r>
        <w:rPr>
          <w:rFonts w:hint="eastAsia" w:ascii="宋体" w:hAnsi="宋体"/>
          <w:b/>
          <w:bCs/>
          <w:color w:val="auto"/>
          <w:kern w:val="2"/>
          <w:sz w:val="24"/>
          <w:szCs w:val="24"/>
          <w:u w:val="single"/>
        </w:rPr>
        <w:t>99%以上（包括99%）</w:t>
      </w:r>
      <w:r>
        <w:rPr>
          <w:rFonts w:hint="eastAsia" w:ascii="宋体" w:hAnsi="宋体"/>
          <w:color w:val="auto"/>
          <w:kern w:val="2"/>
          <w:sz w:val="24"/>
          <w:szCs w:val="24"/>
          <w:u w:val="single"/>
        </w:rPr>
        <w:t>。</w:t>
      </w:r>
    </w:p>
    <w:p w14:paraId="1A154845">
      <w:pPr>
        <w:pStyle w:val="48"/>
        <w:numPr>
          <w:ilvl w:val="0"/>
          <w:numId w:val="14"/>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主要材料设备计价准确，无原则性失误。</w:t>
      </w:r>
    </w:p>
    <w:p w14:paraId="3D825190">
      <w:pPr>
        <w:pStyle w:val="48"/>
        <w:numPr>
          <w:ilvl w:val="0"/>
          <w:numId w:val="14"/>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结算造价与第三方复审机构（包括深圳市建设工程造价管理站、</w:t>
      </w:r>
      <w:r>
        <w:rPr>
          <w:rFonts w:ascii="宋体" w:hAnsi="宋体"/>
          <w:color w:val="auto"/>
          <w:kern w:val="2"/>
          <w:sz w:val="24"/>
          <w:szCs w:val="24"/>
          <w:u w:val="single"/>
        </w:rPr>
        <w:t>福田区建设工程质量安全中心</w:t>
      </w:r>
      <w:r>
        <w:rPr>
          <w:rFonts w:hint="eastAsia" w:ascii="宋体" w:hAnsi="宋体"/>
          <w:color w:val="auto"/>
          <w:kern w:val="2"/>
          <w:sz w:val="24"/>
          <w:szCs w:val="24"/>
          <w:u w:val="single"/>
        </w:rPr>
        <w:t>或甲方委托的审核单位等）审核价相差应小于</w:t>
      </w:r>
      <w:r>
        <w:rPr>
          <w:rFonts w:hint="eastAsia" w:ascii="宋体" w:hAnsi="宋体"/>
          <w:b/>
          <w:bCs/>
          <w:color w:val="auto"/>
          <w:kern w:val="2"/>
          <w:sz w:val="24"/>
          <w:szCs w:val="24"/>
          <w:u w:val="single"/>
        </w:rPr>
        <w:t>5%以内（不含5%）</w:t>
      </w:r>
      <w:r>
        <w:rPr>
          <w:rFonts w:hint="eastAsia" w:ascii="宋体" w:hAnsi="宋体"/>
          <w:color w:val="auto"/>
          <w:kern w:val="2"/>
          <w:sz w:val="24"/>
          <w:szCs w:val="24"/>
          <w:u w:val="single"/>
        </w:rPr>
        <w:t>。</w:t>
      </w:r>
    </w:p>
    <w:p w14:paraId="4B7FDAA0">
      <w:pPr>
        <w:pStyle w:val="48"/>
        <w:numPr>
          <w:ilvl w:val="0"/>
          <w:numId w:val="14"/>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造价文件必须文字清晰整齐。必须由相关专业造价工程师盖注册章、公司负责人签字盖章，并盖公司公章。</w:t>
      </w:r>
    </w:p>
    <w:p w14:paraId="02F319C0">
      <w:pPr>
        <w:pStyle w:val="48"/>
        <w:numPr>
          <w:ilvl w:val="0"/>
          <w:numId w:val="14"/>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项目实际结算总造价应控制在批复概算内。</w:t>
      </w:r>
    </w:p>
    <w:p w14:paraId="432F8443">
      <w:pPr>
        <w:pStyle w:val="48"/>
        <w:numPr>
          <w:ilvl w:val="0"/>
          <w:numId w:val="14"/>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计价文件格式应符合深圳市相关计价要求，其中工程量清单格式应满足深圳市建设工程电子标书编制的要求。</w:t>
      </w:r>
    </w:p>
    <w:bookmarkEnd w:id="352"/>
    <w:p w14:paraId="10F1C9F3">
      <w:pPr>
        <w:pStyle w:val="48"/>
        <w:numPr>
          <w:ilvl w:val="0"/>
          <w:numId w:val="12"/>
        </w:numPr>
        <w:adjustRightInd w:val="0"/>
        <w:spacing w:line="360" w:lineRule="auto"/>
        <w:ind w:firstLine="482" w:firstLineChars="200"/>
        <w:jc w:val="left"/>
        <w:textAlignment w:val="baseline"/>
        <w:rPr>
          <w:rFonts w:hint="eastAsia" w:ascii="宋体" w:hAnsi="宋体"/>
          <w:b/>
          <w:bCs/>
          <w:color w:val="auto"/>
          <w:kern w:val="2"/>
          <w:sz w:val="24"/>
          <w:szCs w:val="24"/>
        </w:rPr>
      </w:pPr>
      <w:r>
        <w:rPr>
          <w:rFonts w:hint="eastAsia" w:ascii="宋体" w:hAnsi="宋体"/>
          <w:b/>
          <w:bCs/>
          <w:color w:val="auto"/>
          <w:kern w:val="2"/>
          <w:sz w:val="24"/>
          <w:szCs w:val="24"/>
        </w:rPr>
        <w:t>成果提交时限要求</w:t>
      </w:r>
    </w:p>
    <w:p w14:paraId="26DD1DF6">
      <w:pPr>
        <w:pStyle w:val="48"/>
        <w:numPr>
          <w:ilvl w:val="0"/>
          <w:numId w:val="15"/>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设计概算审查结果文件的提交时间：接到设计概算及相关资料后</w:t>
      </w:r>
      <w:r>
        <w:rPr>
          <w:rFonts w:hint="eastAsia" w:ascii="宋体" w:hAnsi="宋体"/>
          <w:b/>
          <w:bCs/>
          <w:color w:val="auto"/>
          <w:kern w:val="2"/>
          <w:sz w:val="24"/>
          <w:szCs w:val="24"/>
          <w:u w:val="single"/>
        </w:rPr>
        <w:t>15天内</w:t>
      </w:r>
      <w:r>
        <w:rPr>
          <w:rFonts w:hint="eastAsia" w:ascii="宋体" w:hAnsi="宋体"/>
          <w:color w:val="auto"/>
          <w:kern w:val="2"/>
          <w:sz w:val="24"/>
          <w:szCs w:val="24"/>
          <w:u w:val="single"/>
        </w:rPr>
        <w:t>提交。</w:t>
      </w:r>
    </w:p>
    <w:p w14:paraId="0BD32011">
      <w:pPr>
        <w:pStyle w:val="48"/>
        <w:numPr>
          <w:ilvl w:val="0"/>
          <w:numId w:val="15"/>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招标项目造价文件的提交时间：</w:t>
      </w:r>
      <w:bookmarkStart w:id="353" w:name="_Hlk175319131"/>
      <w:r>
        <w:rPr>
          <w:rFonts w:hint="eastAsia" w:ascii="宋体" w:hAnsi="宋体"/>
          <w:color w:val="auto"/>
          <w:kern w:val="2"/>
          <w:sz w:val="24"/>
          <w:szCs w:val="24"/>
          <w:u w:val="single"/>
        </w:rPr>
        <w:t>收到施工图及相关资料</w:t>
      </w:r>
      <w:bookmarkEnd w:id="353"/>
      <w:r>
        <w:rPr>
          <w:rFonts w:hint="eastAsia" w:ascii="宋体" w:hAnsi="宋体"/>
          <w:color w:val="auto"/>
          <w:kern w:val="2"/>
          <w:sz w:val="24"/>
          <w:szCs w:val="24"/>
          <w:u w:val="single"/>
        </w:rPr>
        <w:t>后</w:t>
      </w:r>
      <w:r>
        <w:rPr>
          <w:rFonts w:hint="eastAsia" w:ascii="宋体" w:hAnsi="宋体"/>
          <w:b/>
          <w:bCs/>
          <w:color w:val="auto"/>
          <w:kern w:val="2"/>
          <w:sz w:val="24"/>
          <w:szCs w:val="24"/>
          <w:u w:val="single"/>
        </w:rPr>
        <w:t>15天内</w:t>
      </w:r>
      <w:r>
        <w:rPr>
          <w:rFonts w:hint="eastAsia" w:ascii="宋体" w:hAnsi="宋体"/>
          <w:color w:val="auto"/>
          <w:kern w:val="2"/>
          <w:sz w:val="24"/>
          <w:szCs w:val="24"/>
          <w:u w:val="single"/>
        </w:rPr>
        <w:t>提交工程量清单和招标控制价，招标控制价经审计部门或甲方审定后</w:t>
      </w:r>
      <w:r>
        <w:rPr>
          <w:rFonts w:hint="eastAsia" w:ascii="宋体" w:hAnsi="宋体"/>
          <w:b/>
          <w:bCs/>
          <w:color w:val="auto"/>
          <w:kern w:val="2"/>
          <w:sz w:val="24"/>
          <w:szCs w:val="24"/>
          <w:u w:val="single"/>
        </w:rPr>
        <w:t>3个工作日内</w:t>
      </w:r>
      <w:r>
        <w:rPr>
          <w:rFonts w:hint="eastAsia" w:ascii="宋体" w:hAnsi="宋体"/>
          <w:color w:val="auto"/>
          <w:kern w:val="2"/>
          <w:sz w:val="24"/>
          <w:szCs w:val="24"/>
          <w:u w:val="single"/>
        </w:rPr>
        <w:t>提交修改后的工程量清单。</w:t>
      </w:r>
    </w:p>
    <w:p w14:paraId="3D81DA68">
      <w:pPr>
        <w:pStyle w:val="48"/>
        <w:numPr>
          <w:ilvl w:val="0"/>
          <w:numId w:val="15"/>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商务标复核提交时间：自接到相关资料后</w:t>
      </w:r>
      <w:r>
        <w:rPr>
          <w:rFonts w:hint="eastAsia" w:ascii="宋体" w:hAnsi="宋体"/>
          <w:b/>
          <w:bCs/>
          <w:color w:val="auto"/>
          <w:kern w:val="2"/>
          <w:sz w:val="24"/>
          <w:szCs w:val="24"/>
          <w:u w:val="single"/>
        </w:rPr>
        <w:t>5天内提交</w:t>
      </w:r>
      <w:r>
        <w:rPr>
          <w:rFonts w:hint="eastAsia" w:ascii="宋体" w:hAnsi="宋体"/>
          <w:color w:val="auto"/>
          <w:kern w:val="2"/>
          <w:sz w:val="24"/>
          <w:szCs w:val="24"/>
          <w:u w:val="single"/>
        </w:rPr>
        <w:t>。</w:t>
      </w:r>
    </w:p>
    <w:p w14:paraId="39A4A465">
      <w:pPr>
        <w:pStyle w:val="48"/>
        <w:numPr>
          <w:ilvl w:val="0"/>
          <w:numId w:val="15"/>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甲方与施工单位签订施工合同后</w:t>
      </w:r>
      <w:r>
        <w:rPr>
          <w:rFonts w:hint="eastAsia" w:ascii="宋体" w:hAnsi="宋体"/>
          <w:b/>
          <w:bCs/>
          <w:color w:val="auto"/>
          <w:kern w:val="2"/>
          <w:sz w:val="24"/>
          <w:szCs w:val="24"/>
          <w:u w:val="single"/>
        </w:rPr>
        <w:t>7天内</w:t>
      </w:r>
      <w:r>
        <w:rPr>
          <w:rFonts w:hint="eastAsia" w:ascii="宋体" w:hAnsi="宋体"/>
          <w:color w:val="auto"/>
          <w:kern w:val="2"/>
          <w:sz w:val="24"/>
          <w:szCs w:val="24"/>
          <w:u w:val="single"/>
        </w:rPr>
        <w:t>，乙方应向甲方提交投资控制形象进度表，完成支付节点投标报价分解。</w:t>
      </w:r>
    </w:p>
    <w:p w14:paraId="7C437DA5">
      <w:pPr>
        <w:pStyle w:val="48"/>
        <w:numPr>
          <w:ilvl w:val="0"/>
          <w:numId w:val="15"/>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施工招标完成后工程量清单的复核时间：自接到相关资料后</w:t>
      </w:r>
      <w:r>
        <w:rPr>
          <w:rFonts w:hint="eastAsia" w:ascii="宋体" w:hAnsi="宋体"/>
          <w:b/>
          <w:bCs/>
          <w:color w:val="auto"/>
          <w:kern w:val="2"/>
          <w:sz w:val="24"/>
          <w:szCs w:val="24"/>
          <w:u w:val="single"/>
        </w:rPr>
        <w:t>30天内</w:t>
      </w:r>
      <w:r>
        <w:rPr>
          <w:rFonts w:hint="eastAsia" w:ascii="宋体" w:hAnsi="宋体"/>
          <w:color w:val="auto"/>
          <w:kern w:val="2"/>
          <w:sz w:val="24"/>
          <w:szCs w:val="24"/>
          <w:u w:val="single"/>
        </w:rPr>
        <w:t>提交。</w:t>
      </w:r>
    </w:p>
    <w:p w14:paraId="443823AB">
      <w:pPr>
        <w:pStyle w:val="48"/>
        <w:numPr>
          <w:ilvl w:val="0"/>
          <w:numId w:val="15"/>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施工过程的计量计价审核意见时间：自接到相关资料后</w:t>
      </w:r>
      <w:r>
        <w:rPr>
          <w:rFonts w:hint="eastAsia" w:ascii="宋体" w:hAnsi="宋体"/>
          <w:b/>
          <w:bCs/>
          <w:color w:val="auto"/>
          <w:kern w:val="2"/>
          <w:sz w:val="24"/>
          <w:szCs w:val="24"/>
          <w:u w:val="single"/>
        </w:rPr>
        <w:t>7天内</w:t>
      </w:r>
      <w:r>
        <w:rPr>
          <w:rFonts w:hint="eastAsia" w:ascii="宋体" w:hAnsi="宋体"/>
          <w:color w:val="auto"/>
          <w:kern w:val="2"/>
          <w:sz w:val="24"/>
          <w:szCs w:val="24"/>
          <w:u w:val="single"/>
        </w:rPr>
        <w:t>提交。</w:t>
      </w:r>
    </w:p>
    <w:p w14:paraId="38BD335C">
      <w:pPr>
        <w:pStyle w:val="48"/>
        <w:numPr>
          <w:ilvl w:val="0"/>
          <w:numId w:val="15"/>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工程竣工结算审核时间：自接到相关资料后</w:t>
      </w:r>
      <w:r>
        <w:rPr>
          <w:rFonts w:hint="eastAsia" w:ascii="宋体" w:hAnsi="宋体"/>
          <w:b/>
          <w:bCs/>
          <w:color w:val="auto"/>
          <w:kern w:val="2"/>
          <w:sz w:val="24"/>
          <w:szCs w:val="24"/>
          <w:u w:val="single"/>
        </w:rPr>
        <w:t>60天内</w:t>
      </w:r>
      <w:r>
        <w:rPr>
          <w:rFonts w:hint="eastAsia" w:ascii="宋体" w:hAnsi="宋体"/>
          <w:color w:val="auto"/>
          <w:kern w:val="2"/>
          <w:sz w:val="24"/>
          <w:szCs w:val="24"/>
          <w:u w:val="single"/>
        </w:rPr>
        <w:t>提交。</w:t>
      </w:r>
    </w:p>
    <w:p w14:paraId="4D681AE6">
      <w:pPr>
        <w:pStyle w:val="48"/>
        <w:numPr>
          <w:ilvl w:val="0"/>
          <w:numId w:val="15"/>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上述工作时限为甲方要求的最长时限要求，具体项目时限要求由甲方根据具体的项目规模确定。上述工作时限与甲方下达的具体项目的《工程造价咨询任务书》不一致时，以具体项目的《工程造价咨询任务书》规定的时限为准。</w:t>
      </w:r>
    </w:p>
    <w:p w14:paraId="2DDCD886">
      <w:pPr>
        <w:pStyle w:val="48"/>
        <w:numPr>
          <w:ilvl w:val="0"/>
          <w:numId w:val="12"/>
        </w:numPr>
        <w:adjustRightInd w:val="0"/>
        <w:spacing w:line="360" w:lineRule="auto"/>
        <w:ind w:firstLine="482" w:firstLineChars="200"/>
        <w:jc w:val="left"/>
        <w:textAlignment w:val="baseline"/>
        <w:rPr>
          <w:rFonts w:hint="eastAsia" w:ascii="宋体" w:hAnsi="宋体"/>
          <w:b/>
          <w:bCs/>
          <w:color w:val="auto"/>
          <w:kern w:val="2"/>
          <w:sz w:val="24"/>
          <w:szCs w:val="24"/>
        </w:rPr>
      </w:pPr>
      <w:r>
        <w:rPr>
          <w:rFonts w:hint="eastAsia" w:ascii="宋体" w:hAnsi="宋体"/>
          <w:b/>
          <w:bCs/>
          <w:color w:val="auto"/>
          <w:kern w:val="2"/>
          <w:sz w:val="24"/>
          <w:szCs w:val="24"/>
        </w:rPr>
        <w:t>成果提交数量要求</w:t>
      </w:r>
    </w:p>
    <w:p w14:paraId="0C6B66E6">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工程概算书</w:t>
      </w:r>
      <w:r>
        <w:rPr>
          <w:rFonts w:hint="eastAsia" w:ascii="宋体" w:hAnsi="宋体"/>
          <w:b/>
          <w:bCs/>
          <w:color w:val="auto"/>
          <w:kern w:val="2"/>
          <w:sz w:val="24"/>
          <w:szCs w:val="24"/>
          <w:u w:val="single"/>
        </w:rPr>
        <w:t>5份</w:t>
      </w:r>
      <w:r>
        <w:rPr>
          <w:rFonts w:hint="eastAsia" w:ascii="宋体" w:hAnsi="宋体"/>
          <w:color w:val="auto"/>
          <w:kern w:val="2"/>
          <w:sz w:val="24"/>
          <w:szCs w:val="24"/>
          <w:u w:val="single"/>
        </w:rPr>
        <w:t>。</w:t>
      </w:r>
    </w:p>
    <w:p w14:paraId="0F572D58">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概算分析报告书</w:t>
      </w:r>
      <w:r>
        <w:rPr>
          <w:rFonts w:hint="eastAsia" w:ascii="宋体" w:hAnsi="宋体"/>
          <w:b/>
          <w:bCs/>
          <w:color w:val="auto"/>
          <w:kern w:val="2"/>
          <w:sz w:val="24"/>
          <w:szCs w:val="24"/>
          <w:u w:val="single"/>
        </w:rPr>
        <w:t>3份</w:t>
      </w:r>
      <w:r>
        <w:rPr>
          <w:rFonts w:hint="eastAsia" w:ascii="宋体" w:hAnsi="宋体"/>
          <w:color w:val="auto"/>
          <w:kern w:val="2"/>
          <w:sz w:val="24"/>
          <w:szCs w:val="24"/>
          <w:u w:val="single"/>
        </w:rPr>
        <w:t>。</w:t>
      </w:r>
    </w:p>
    <w:p w14:paraId="1E734DC1">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工程预算书</w:t>
      </w:r>
      <w:r>
        <w:rPr>
          <w:rFonts w:hint="eastAsia" w:ascii="宋体" w:hAnsi="宋体"/>
          <w:b/>
          <w:bCs/>
          <w:color w:val="auto"/>
          <w:kern w:val="2"/>
          <w:sz w:val="24"/>
          <w:szCs w:val="24"/>
          <w:u w:val="single"/>
        </w:rPr>
        <w:t>5份</w:t>
      </w:r>
      <w:r>
        <w:rPr>
          <w:rFonts w:hint="eastAsia" w:ascii="宋体" w:hAnsi="宋体"/>
          <w:color w:val="auto"/>
          <w:kern w:val="2"/>
          <w:sz w:val="24"/>
          <w:szCs w:val="24"/>
          <w:u w:val="single"/>
        </w:rPr>
        <w:t>。</w:t>
      </w:r>
    </w:p>
    <w:p w14:paraId="487AB536">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工程量计算底稿</w:t>
      </w:r>
      <w:r>
        <w:rPr>
          <w:rFonts w:hint="eastAsia" w:ascii="宋体" w:hAnsi="宋体"/>
          <w:b/>
          <w:bCs/>
          <w:color w:val="auto"/>
          <w:kern w:val="2"/>
          <w:sz w:val="24"/>
          <w:szCs w:val="24"/>
          <w:u w:val="single"/>
        </w:rPr>
        <w:t>2份</w:t>
      </w:r>
      <w:r>
        <w:rPr>
          <w:rFonts w:hint="eastAsia" w:ascii="宋体" w:hAnsi="宋体"/>
          <w:color w:val="auto"/>
          <w:kern w:val="2"/>
          <w:sz w:val="24"/>
          <w:szCs w:val="24"/>
          <w:u w:val="single"/>
        </w:rPr>
        <w:t>。</w:t>
      </w:r>
    </w:p>
    <w:p w14:paraId="2686B920">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工程量清单</w:t>
      </w:r>
      <w:r>
        <w:rPr>
          <w:rFonts w:hint="eastAsia" w:ascii="宋体" w:hAnsi="宋体"/>
          <w:b/>
          <w:bCs/>
          <w:color w:val="auto"/>
          <w:kern w:val="2"/>
          <w:sz w:val="24"/>
          <w:szCs w:val="24"/>
          <w:u w:val="single"/>
        </w:rPr>
        <w:t>3份</w:t>
      </w:r>
      <w:r>
        <w:rPr>
          <w:rFonts w:hint="eastAsia" w:ascii="宋体" w:hAnsi="宋体"/>
          <w:color w:val="auto"/>
          <w:kern w:val="2"/>
          <w:sz w:val="24"/>
          <w:szCs w:val="24"/>
          <w:u w:val="single"/>
        </w:rPr>
        <w:t>。</w:t>
      </w:r>
    </w:p>
    <w:p w14:paraId="1978D8AB">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招标控制价</w:t>
      </w:r>
      <w:r>
        <w:rPr>
          <w:rFonts w:hint="eastAsia" w:ascii="宋体" w:hAnsi="宋体"/>
          <w:b/>
          <w:bCs/>
          <w:color w:val="auto"/>
          <w:kern w:val="2"/>
          <w:sz w:val="24"/>
          <w:szCs w:val="24"/>
          <w:u w:val="single"/>
        </w:rPr>
        <w:t>3份</w:t>
      </w:r>
      <w:r>
        <w:rPr>
          <w:rFonts w:hint="eastAsia" w:ascii="宋体" w:hAnsi="宋体"/>
          <w:color w:val="auto"/>
          <w:kern w:val="2"/>
          <w:sz w:val="24"/>
          <w:szCs w:val="24"/>
          <w:u w:val="single"/>
        </w:rPr>
        <w:t>。招标控制价应附项目综合单价分析表、措施项目分析表、主要材料数量及价格（参考价格）清单及定价依据、主要设备数量及价格（参考价格）清单及定价依据、标准工期计算书。</w:t>
      </w:r>
    </w:p>
    <w:p w14:paraId="4C1CDC01">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招标控制价分析报告书</w:t>
      </w:r>
      <w:r>
        <w:rPr>
          <w:rFonts w:hint="eastAsia" w:ascii="宋体" w:hAnsi="宋体"/>
          <w:b/>
          <w:bCs/>
          <w:color w:val="auto"/>
          <w:kern w:val="2"/>
          <w:sz w:val="24"/>
          <w:szCs w:val="24"/>
          <w:u w:val="single"/>
        </w:rPr>
        <w:t>3份</w:t>
      </w:r>
      <w:r>
        <w:rPr>
          <w:rFonts w:hint="eastAsia" w:ascii="宋体" w:hAnsi="宋体"/>
          <w:color w:val="auto"/>
          <w:kern w:val="2"/>
          <w:sz w:val="24"/>
          <w:szCs w:val="24"/>
          <w:u w:val="single"/>
        </w:rPr>
        <w:t>。</w:t>
      </w:r>
    </w:p>
    <w:p w14:paraId="0A3101EF">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中标人商务标复核分析报告</w:t>
      </w:r>
      <w:r>
        <w:rPr>
          <w:rFonts w:hint="eastAsia" w:ascii="宋体" w:hAnsi="宋体"/>
          <w:b/>
          <w:bCs/>
          <w:color w:val="auto"/>
          <w:kern w:val="2"/>
          <w:sz w:val="24"/>
          <w:szCs w:val="24"/>
          <w:u w:val="single"/>
        </w:rPr>
        <w:t>3份</w:t>
      </w:r>
      <w:r>
        <w:rPr>
          <w:rFonts w:hint="eastAsia" w:ascii="宋体" w:hAnsi="宋体"/>
          <w:color w:val="auto"/>
          <w:kern w:val="2"/>
          <w:sz w:val="24"/>
          <w:szCs w:val="24"/>
          <w:u w:val="single"/>
        </w:rPr>
        <w:t>。</w:t>
      </w:r>
    </w:p>
    <w:p w14:paraId="1523F310">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暂定价及无信息价材料设备询价定价报告</w:t>
      </w:r>
      <w:r>
        <w:rPr>
          <w:rFonts w:hint="eastAsia" w:ascii="宋体" w:hAnsi="宋体"/>
          <w:b/>
          <w:bCs/>
          <w:color w:val="auto"/>
          <w:kern w:val="2"/>
          <w:sz w:val="24"/>
          <w:szCs w:val="24"/>
          <w:u w:val="single"/>
        </w:rPr>
        <w:t>3份</w:t>
      </w:r>
      <w:r>
        <w:rPr>
          <w:rFonts w:hint="eastAsia" w:ascii="宋体" w:hAnsi="宋体"/>
          <w:color w:val="auto"/>
          <w:kern w:val="2"/>
          <w:sz w:val="24"/>
          <w:szCs w:val="24"/>
          <w:u w:val="single"/>
        </w:rPr>
        <w:t>。</w:t>
      </w:r>
    </w:p>
    <w:p w14:paraId="1F3059FF">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工程变更及现场签证计量、计价报告</w:t>
      </w:r>
      <w:r>
        <w:rPr>
          <w:rFonts w:hint="eastAsia" w:ascii="宋体" w:hAnsi="宋体"/>
          <w:b/>
          <w:bCs/>
          <w:color w:val="auto"/>
          <w:kern w:val="2"/>
          <w:sz w:val="24"/>
          <w:szCs w:val="24"/>
          <w:u w:val="single"/>
        </w:rPr>
        <w:t>3份</w:t>
      </w:r>
      <w:r>
        <w:rPr>
          <w:rFonts w:hint="eastAsia" w:ascii="宋体" w:hAnsi="宋体"/>
          <w:color w:val="auto"/>
          <w:kern w:val="2"/>
          <w:sz w:val="24"/>
          <w:szCs w:val="24"/>
          <w:u w:val="single"/>
        </w:rPr>
        <w:t>。</w:t>
      </w:r>
    </w:p>
    <w:p w14:paraId="1CF9536C">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工程结算书</w:t>
      </w:r>
      <w:r>
        <w:rPr>
          <w:rFonts w:hint="eastAsia" w:ascii="宋体" w:hAnsi="宋体"/>
          <w:b/>
          <w:bCs/>
          <w:color w:val="auto"/>
          <w:kern w:val="2"/>
          <w:sz w:val="24"/>
          <w:szCs w:val="24"/>
          <w:u w:val="single"/>
        </w:rPr>
        <w:t>5份</w:t>
      </w:r>
      <w:r>
        <w:rPr>
          <w:rFonts w:hint="eastAsia" w:ascii="宋体" w:hAnsi="宋体"/>
          <w:color w:val="auto"/>
          <w:kern w:val="2"/>
          <w:sz w:val="24"/>
          <w:szCs w:val="24"/>
          <w:u w:val="single"/>
        </w:rPr>
        <w:t>。</w:t>
      </w:r>
    </w:p>
    <w:p w14:paraId="24020A29">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结算分析报告书</w:t>
      </w:r>
      <w:r>
        <w:rPr>
          <w:rFonts w:hint="eastAsia" w:ascii="宋体" w:hAnsi="宋体"/>
          <w:b/>
          <w:bCs/>
          <w:color w:val="auto"/>
          <w:kern w:val="2"/>
          <w:sz w:val="24"/>
          <w:szCs w:val="24"/>
          <w:u w:val="single"/>
        </w:rPr>
        <w:t>3份</w:t>
      </w:r>
      <w:r>
        <w:rPr>
          <w:rFonts w:hint="eastAsia" w:ascii="宋体" w:hAnsi="宋体"/>
          <w:color w:val="auto"/>
          <w:kern w:val="2"/>
          <w:sz w:val="24"/>
          <w:szCs w:val="24"/>
          <w:u w:val="single"/>
        </w:rPr>
        <w:t>。</w:t>
      </w:r>
    </w:p>
    <w:p w14:paraId="7D4C9C02">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经济技术指标分析报告</w:t>
      </w:r>
      <w:r>
        <w:rPr>
          <w:rFonts w:hint="eastAsia" w:ascii="宋体" w:hAnsi="宋体"/>
          <w:b/>
          <w:bCs/>
          <w:color w:val="auto"/>
          <w:kern w:val="2"/>
          <w:sz w:val="24"/>
          <w:szCs w:val="24"/>
          <w:u w:val="single"/>
        </w:rPr>
        <w:t>3份</w:t>
      </w:r>
      <w:r>
        <w:rPr>
          <w:rFonts w:hint="eastAsia" w:ascii="宋体" w:hAnsi="宋体"/>
          <w:color w:val="auto"/>
          <w:kern w:val="2"/>
          <w:sz w:val="24"/>
          <w:szCs w:val="24"/>
          <w:u w:val="single"/>
        </w:rPr>
        <w:t>。</w:t>
      </w:r>
    </w:p>
    <w:p w14:paraId="7F0A061D">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以上文件均应提供电脑软盘或光盘各</w:t>
      </w:r>
      <w:r>
        <w:rPr>
          <w:rFonts w:hint="eastAsia" w:ascii="宋体" w:hAnsi="宋体"/>
          <w:b/>
          <w:bCs/>
          <w:color w:val="auto"/>
          <w:kern w:val="2"/>
          <w:sz w:val="24"/>
          <w:szCs w:val="24"/>
          <w:u w:val="single"/>
        </w:rPr>
        <w:t>2张</w:t>
      </w:r>
      <w:r>
        <w:rPr>
          <w:rFonts w:hint="eastAsia" w:ascii="宋体" w:hAnsi="宋体"/>
          <w:color w:val="auto"/>
          <w:kern w:val="2"/>
          <w:sz w:val="24"/>
          <w:szCs w:val="24"/>
          <w:u w:val="single"/>
        </w:rPr>
        <w:t>。</w:t>
      </w:r>
    </w:p>
    <w:p w14:paraId="3E997D72">
      <w:pPr>
        <w:pStyle w:val="48"/>
        <w:numPr>
          <w:ilvl w:val="0"/>
          <w:numId w:val="16"/>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其他政府代建项目需要的成果文件。</w:t>
      </w:r>
    </w:p>
    <w:bookmarkEnd w:id="348"/>
    <w:p w14:paraId="216E6272">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lang w:val="en-US" w:eastAsia="zh-CN"/>
        </w:rPr>
        <w:t>合同价款及支付结算</w:t>
      </w:r>
    </w:p>
    <w:p w14:paraId="22C375B3">
      <w:pPr>
        <w:pStyle w:val="344"/>
        <w:numPr>
          <w:ilvl w:val="0"/>
          <w:numId w:val="17"/>
        </w:numPr>
        <w:spacing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价格及调整原则</w:t>
      </w:r>
    </w:p>
    <w:p w14:paraId="5D321863">
      <w:pPr>
        <w:pStyle w:val="344"/>
        <w:numPr>
          <w:ilvl w:val="0"/>
          <w:numId w:val="18"/>
        </w:numPr>
        <w:spacing w:line="360" w:lineRule="auto"/>
        <w:ind w:left="0" w:firstLine="480"/>
        <w:rPr>
          <w:rFonts w:hint="eastAsia" w:ascii="宋体" w:hAnsi="宋体"/>
          <w:color w:val="auto"/>
          <w:kern w:val="2"/>
          <w:sz w:val="24"/>
          <w:szCs w:val="24"/>
          <w:u w:val="single"/>
        </w:rPr>
      </w:pPr>
      <w:r>
        <w:rPr>
          <w:rFonts w:hint="eastAsia" w:ascii="宋体" w:hAnsi="宋体"/>
          <w:b/>
          <w:bCs/>
          <w:color w:val="auto"/>
          <w:kern w:val="2"/>
          <w:sz w:val="24"/>
          <w:szCs w:val="24"/>
        </w:rPr>
        <w:t>本框架协议中标下浮率为</w:t>
      </w:r>
      <w:r>
        <w:rPr>
          <w:rFonts w:hint="eastAsia" w:ascii="宋体" w:hAnsi="宋体"/>
          <w:b/>
          <w:bCs/>
          <w:color w:val="auto"/>
          <w:sz w:val="24"/>
          <w:szCs w:val="24"/>
          <w:u w:val="single"/>
        </w:rPr>
        <w:t xml:space="preserve">     </w:t>
      </w:r>
      <w:r>
        <w:rPr>
          <w:rFonts w:hint="eastAsia" w:ascii="宋体" w:hAnsi="宋体"/>
          <w:b/>
          <w:bCs/>
          <w:color w:val="auto"/>
          <w:kern w:val="2"/>
          <w:sz w:val="24"/>
          <w:szCs w:val="24"/>
        </w:rPr>
        <w:t>%。</w:t>
      </w:r>
      <w:r>
        <w:rPr>
          <w:rFonts w:ascii="宋体" w:hAnsi="宋体"/>
          <w:color w:val="auto"/>
          <w:kern w:val="2"/>
          <w:sz w:val="24"/>
          <w:szCs w:val="24"/>
        </w:rPr>
        <w:t>甲乙双方</w:t>
      </w:r>
      <w:r>
        <w:rPr>
          <w:rFonts w:hint="eastAsia" w:ascii="宋体" w:hAnsi="宋体"/>
          <w:color w:val="auto"/>
          <w:kern w:val="2"/>
          <w:sz w:val="24"/>
          <w:szCs w:val="24"/>
        </w:rPr>
        <w:t>就具体项目另行签订</w:t>
      </w:r>
      <w:r>
        <w:rPr>
          <w:rFonts w:hint="eastAsia" w:ascii="宋体" w:hAnsi="宋体"/>
          <w:color w:val="auto"/>
          <w:kern w:val="2"/>
          <w:sz w:val="24"/>
          <w:szCs w:val="24"/>
          <w:u w:val="single"/>
        </w:rPr>
        <w:t>《</w:t>
      </w:r>
      <w:r>
        <w:rPr>
          <w:rFonts w:hint="eastAsia" w:ascii="宋体" w:hAnsi="宋体"/>
          <w:color w:val="auto"/>
          <w:sz w:val="24"/>
          <w:szCs w:val="24"/>
          <w:u w:val="single"/>
        </w:rPr>
        <w:t>造价咨询服务委托合同</w:t>
      </w:r>
      <w:r>
        <w:rPr>
          <w:rFonts w:hint="eastAsia" w:ascii="宋体" w:hAnsi="宋体"/>
          <w:color w:val="auto"/>
          <w:kern w:val="2"/>
          <w:sz w:val="24"/>
          <w:szCs w:val="24"/>
          <w:u w:val="single"/>
        </w:rPr>
        <w:t>》</w:t>
      </w:r>
      <w:r>
        <w:rPr>
          <w:rFonts w:hint="eastAsia" w:ascii="宋体" w:hAnsi="宋体"/>
          <w:color w:val="auto"/>
          <w:kern w:val="2"/>
          <w:sz w:val="24"/>
          <w:szCs w:val="24"/>
        </w:rPr>
        <w:t>。</w:t>
      </w:r>
    </w:p>
    <w:p w14:paraId="3C655872">
      <w:pPr>
        <w:pStyle w:val="48"/>
        <w:numPr>
          <w:ilvl w:val="0"/>
          <w:numId w:val="19"/>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具体项目</w:t>
      </w:r>
      <w:r>
        <w:rPr>
          <w:rFonts w:hint="eastAsia" w:ascii="宋体" w:hAnsi="宋体"/>
          <w:color w:val="auto"/>
          <w:kern w:val="2"/>
          <w:sz w:val="24"/>
          <w:szCs w:val="24"/>
          <w:u w:val="single"/>
          <w:lang w:val="en-US" w:eastAsia="zh-CN"/>
        </w:rPr>
        <w:t>的</w:t>
      </w:r>
      <w:r>
        <w:rPr>
          <w:rFonts w:hint="eastAsia" w:ascii="宋体" w:hAnsi="宋体"/>
          <w:color w:val="auto"/>
          <w:kern w:val="2"/>
          <w:sz w:val="24"/>
          <w:szCs w:val="24"/>
          <w:u w:val="single"/>
        </w:rPr>
        <w:t>合同</w:t>
      </w:r>
      <w:r>
        <w:rPr>
          <w:rFonts w:hint="eastAsia" w:ascii="宋体" w:hAnsi="宋体"/>
          <w:color w:val="auto"/>
          <w:kern w:val="2"/>
          <w:sz w:val="24"/>
          <w:szCs w:val="24"/>
          <w:u w:val="single"/>
          <w:lang w:val="en-US" w:eastAsia="zh-CN"/>
        </w:rPr>
        <w:t>暂定</w:t>
      </w:r>
      <w:r>
        <w:rPr>
          <w:rFonts w:hint="eastAsia" w:ascii="宋体" w:hAnsi="宋体"/>
          <w:color w:val="auto"/>
          <w:kern w:val="2"/>
          <w:sz w:val="24"/>
          <w:szCs w:val="24"/>
          <w:u w:val="single"/>
        </w:rPr>
        <w:t>金额按照下表中费率并结合中标下浮率确定</w:t>
      </w:r>
      <w:r>
        <w:rPr>
          <w:rFonts w:hint="eastAsia" w:ascii="宋体" w:hAnsi="宋体"/>
          <w:color w:val="auto"/>
          <w:kern w:val="2"/>
          <w:sz w:val="24"/>
          <w:szCs w:val="24"/>
          <w:u w:val="single"/>
          <w:lang w:eastAsia="zh-CN"/>
        </w:rPr>
        <w:t>：</w:t>
      </w:r>
    </w:p>
    <w:tbl>
      <w:tblPr>
        <w:tblStyle w:val="52"/>
        <w:tblW w:w="93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941"/>
        <w:gridCol w:w="1768"/>
        <w:gridCol w:w="686"/>
        <w:gridCol w:w="782"/>
        <w:gridCol w:w="842"/>
        <w:gridCol w:w="980"/>
        <w:gridCol w:w="1009"/>
        <w:gridCol w:w="979"/>
        <w:gridCol w:w="698"/>
        <w:gridCol w:w="696"/>
      </w:tblGrid>
      <w:tr w14:paraId="06B5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2" w:hRule="atLeast"/>
        </w:trPr>
        <w:tc>
          <w:tcPr>
            <w:tcW w:w="941" w:type="dxa"/>
            <w:vMerge w:val="restart"/>
            <w:vAlign w:val="center"/>
          </w:tcPr>
          <w:p w14:paraId="16FEECF3">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咨询项目名称</w:t>
            </w:r>
          </w:p>
        </w:tc>
        <w:tc>
          <w:tcPr>
            <w:tcW w:w="1768" w:type="dxa"/>
            <w:vMerge w:val="restart"/>
            <w:vAlign w:val="center"/>
          </w:tcPr>
          <w:p w14:paraId="4CD4F075">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服务内容</w:t>
            </w:r>
          </w:p>
        </w:tc>
        <w:tc>
          <w:tcPr>
            <w:tcW w:w="686" w:type="dxa"/>
            <w:vMerge w:val="restart"/>
            <w:vAlign w:val="center"/>
          </w:tcPr>
          <w:p w14:paraId="20198B9A">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计费基数</w:t>
            </w:r>
          </w:p>
        </w:tc>
        <w:tc>
          <w:tcPr>
            <w:tcW w:w="5290" w:type="dxa"/>
            <w:gridSpan w:val="6"/>
            <w:vAlign w:val="center"/>
          </w:tcPr>
          <w:p w14:paraId="0F0D5749">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市场价标准</w:t>
            </w:r>
          </w:p>
        </w:tc>
        <w:tc>
          <w:tcPr>
            <w:tcW w:w="696" w:type="dxa"/>
            <w:vAlign w:val="center"/>
          </w:tcPr>
          <w:p w14:paraId="0DDA31D0">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备注</w:t>
            </w:r>
          </w:p>
        </w:tc>
      </w:tr>
      <w:tr w14:paraId="51F6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2" w:hRule="atLeast"/>
        </w:trPr>
        <w:tc>
          <w:tcPr>
            <w:tcW w:w="941" w:type="dxa"/>
            <w:vMerge w:val="continue"/>
            <w:vAlign w:val="center"/>
          </w:tcPr>
          <w:p w14:paraId="018A7956">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p>
        </w:tc>
        <w:tc>
          <w:tcPr>
            <w:tcW w:w="1768" w:type="dxa"/>
            <w:vMerge w:val="continue"/>
            <w:vAlign w:val="center"/>
          </w:tcPr>
          <w:p w14:paraId="385D8AE5">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p>
        </w:tc>
        <w:tc>
          <w:tcPr>
            <w:tcW w:w="686" w:type="dxa"/>
            <w:vMerge w:val="continue"/>
            <w:vAlign w:val="center"/>
          </w:tcPr>
          <w:p w14:paraId="77A644F0">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p>
        </w:tc>
        <w:tc>
          <w:tcPr>
            <w:tcW w:w="782" w:type="dxa"/>
            <w:vAlign w:val="center"/>
          </w:tcPr>
          <w:p w14:paraId="40AF9702">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100万元以内</w:t>
            </w:r>
          </w:p>
        </w:tc>
        <w:tc>
          <w:tcPr>
            <w:tcW w:w="842" w:type="dxa"/>
            <w:vAlign w:val="center"/>
          </w:tcPr>
          <w:p w14:paraId="2B411041">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shd w:val="clear" w:color="auto" w:fill="FFFFFF"/>
              </w:rPr>
              <w:t>101-500万</w:t>
            </w:r>
            <w:r>
              <w:rPr>
                <w:rFonts w:hint="eastAsia" w:ascii="宋体" w:hAnsi="宋体" w:cs="宋体"/>
                <w:b/>
                <w:bCs/>
                <w:color w:val="auto"/>
                <w:kern w:val="0"/>
                <w:szCs w:val="21"/>
              </w:rPr>
              <w:t>元</w:t>
            </w:r>
          </w:p>
        </w:tc>
        <w:tc>
          <w:tcPr>
            <w:tcW w:w="980" w:type="dxa"/>
            <w:vAlign w:val="center"/>
          </w:tcPr>
          <w:p w14:paraId="7A194FFF">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501-1000万元</w:t>
            </w:r>
          </w:p>
        </w:tc>
        <w:tc>
          <w:tcPr>
            <w:tcW w:w="1009" w:type="dxa"/>
            <w:vAlign w:val="center"/>
          </w:tcPr>
          <w:p w14:paraId="381EE74B">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shd w:val="clear" w:color="auto" w:fill="FFFFFF"/>
              </w:rPr>
              <w:t>1001-5000万</w:t>
            </w:r>
            <w:r>
              <w:rPr>
                <w:rFonts w:hint="eastAsia" w:ascii="宋体" w:hAnsi="宋体" w:cs="宋体"/>
                <w:b/>
                <w:bCs/>
                <w:color w:val="auto"/>
                <w:kern w:val="0"/>
                <w:szCs w:val="21"/>
              </w:rPr>
              <w:t>元</w:t>
            </w:r>
          </w:p>
        </w:tc>
        <w:tc>
          <w:tcPr>
            <w:tcW w:w="979" w:type="dxa"/>
            <w:vAlign w:val="center"/>
          </w:tcPr>
          <w:p w14:paraId="149BF341">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5001万元-1亿元</w:t>
            </w:r>
          </w:p>
        </w:tc>
        <w:tc>
          <w:tcPr>
            <w:tcW w:w="698" w:type="dxa"/>
            <w:vAlign w:val="center"/>
          </w:tcPr>
          <w:p w14:paraId="3DCFB145">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1亿元以上</w:t>
            </w:r>
          </w:p>
        </w:tc>
        <w:tc>
          <w:tcPr>
            <w:tcW w:w="696" w:type="dxa"/>
            <w:vAlign w:val="center"/>
          </w:tcPr>
          <w:p w14:paraId="63D087CB">
            <w:pPr>
              <w:keepNext w:val="0"/>
              <w:keepLines w:val="0"/>
              <w:pageBreakBefore w:val="0"/>
              <w:widowControl/>
              <w:kinsoku/>
              <w:wordWrap/>
              <w:overflowPunct/>
              <w:topLinePunct w:val="0"/>
              <w:autoSpaceDE/>
              <w:autoSpaceDN/>
              <w:bidi w:val="0"/>
              <w:snapToGrid w:val="0"/>
              <w:ind w:firstLine="0" w:firstLineChars="0"/>
              <w:jc w:val="left"/>
              <w:rPr>
                <w:rFonts w:hint="eastAsia" w:ascii="宋体" w:hAnsi="宋体" w:cs="宋体"/>
                <w:b/>
                <w:bCs/>
                <w:color w:val="auto"/>
                <w:kern w:val="0"/>
                <w:szCs w:val="21"/>
              </w:rPr>
            </w:pPr>
          </w:p>
        </w:tc>
      </w:tr>
      <w:tr w14:paraId="5DBB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9" w:hRule="atLeast"/>
        </w:trPr>
        <w:tc>
          <w:tcPr>
            <w:tcW w:w="941" w:type="dxa"/>
            <w:vAlign w:val="center"/>
          </w:tcPr>
          <w:p w14:paraId="75E24998">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施工阶段全过程造价控制</w:t>
            </w:r>
          </w:p>
        </w:tc>
        <w:tc>
          <w:tcPr>
            <w:tcW w:w="1768" w:type="dxa"/>
            <w:vAlign w:val="center"/>
          </w:tcPr>
          <w:p w14:paraId="052E4BE7">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造价咨询服务</w:t>
            </w:r>
          </w:p>
        </w:tc>
        <w:tc>
          <w:tcPr>
            <w:tcW w:w="686" w:type="dxa"/>
            <w:vAlign w:val="center"/>
          </w:tcPr>
          <w:p w14:paraId="5C227DCF">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见“注”</w:t>
            </w:r>
          </w:p>
        </w:tc>
        <w:tc>
          <w:tcPr>
            <w:tcW w:w="782" w:type="dxa"/>
            <w:vAlign w:val="center"/>
          </w:tcPr>
          <w:p w14:paraId="32416470">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12‰</w:t>
            </w:r>
          </w:p>
        </w:tc>
        <w:tc>
          <w:tcPr>
            <w:tcW w:w="842" w:type="dxa"/>
            <w:vAlign w:val="center"/>
          </w:tcPr>
          <w:p w14:paraId="11B6E84B">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11‰</w:t>
            </w:r>
          </w:p>
        </w:tc>
        <w:tc>
          <w:tcPr>
            <w:tcW w:w="980" w:type="dxa"/>
            <w:vAlign w:val="center"/>
          </w:tcPr>
          <w:p w14:paraId="30FA434A">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10‰</w:t>
            </w:r>
          </w:p>
        </w:tc>
        <w:tc>
          <w:tcPr>
            <w:tcW w:w="1009" w:type="dxa"/>
            <w:vAlign w:val="center"/>
          </w:tcPr>
          <w:p w14:paraId="0BF430A6">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9‰</w:t>
            </w:r>
          </w:p>
        </w:tc>
        <w:tc>
          <w:tcPr>
            <w:tcW w:w="979" w:type="dxa"/>
            <w:vAlign w:val="center"/>
          </w:tcPr>
          <w:p w14:paraId="31FAFDB6">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8‰</w:t>
            </w:r>
          </w:p>
        </w:tc>
        <w:tc>
          <w:tcPr>
            <w:tcW w:w="698" w:type="dxa"/>
            <w:vAlign w:val="center"/>
          </w:tcPr>
          <w:p w14:paraId="04E40BCF">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7‰</w:t>
            </w:r>
          </w:p>
        </w:tc>
        <w:tc>
          <w:tcPr>
            <w:tcW w:w="696" w:type="dxa"/>
            <w:vAlign w:val="center"/>
          </w:tcPr>
          <w:p w14:paraId="3BA5ABC3">
            <w:pPr>
              <w:keepNext w:val="0"/>
              <w:keepLines w:val="0"/>
              <w:pageBreakBefore w:val="0"/>
              <w:widowControl/>
              <w:kinsoku/>
              <w:wordWrap/>
              <w:overflowPunct/>
              <w:topLinePunct w:val="0"/>
              <w:autoSpaceDE/>
              <w:autoSpaceDN/>
              <w:bidi w:val="0"/>
              <w:snapToGrid w:val="0"/>
              <w:ind w:firstLine="0" w:firstLineChars="0"/>
              <w:jc w:val="left"/>
              <w:rPr>
                <w:rFonts w:hint="eastAsia" w:ascii="宋体" w:hAnsi="宋体" w:cs="宋体"/>
                <w:color w:val="auto"/>
                <w:kern w:val="0"/>
                <w:szCs w:val="21"/>
              </w:rPr>
            </w:pPr>
            <w:r>
              <w:rPr>
                <w:rFonts w:hint="eastAsia" w:ascii="宋体" w:hAnsi="宋体" w:cs="宋体"/>
                <w:color w:val="auto"/>
                <w:kern w:val="0"/>
                <w:szCs w:val="21"/>
              </w:rPr>
              <w:t>差额定率累进计费</w:t>
            </w:r>
          </w:p>
        </w:tc>
      </w:tr>
      <w:tr w14:paraId="6B1A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9" w:hRule="atLeast"/>
        </w:trPr>
        <w:tc>
          <w:tcPr>
            <w:tcW w:w="9381" w:type="dxa"/>
            <w:gridSpan w:val="10"/>
            <w:vAlign w:val="center"/>
          </w:tcPr>
          <w:p w14:paraId="70E3B816">
            <w:pPr>
              <w:keepNext w:val="0"/>
              <w:keepLines w:val="0"/>
              <w:pageBreakBefore w:val="0"/>
              <w:widowControl/>
              <w:kinsoku/>
              <w:wordWrap/>
              <w:overflowPunct/>
              <w:topLinePunct w:val="0"/>
              <w:autoSpaceDE/>
              <w:autoSpaceDN/>
              <w:bidi w:val="0"/>
              <w:snapToGrid w:val="0"/>
              <w:ind w:firstLine="0" w:firstLineChars="0"/>
              <w:jc w:val="left"/>
              <w:rPr>
                <w:rFonts w:hint="eastAsia" w:ascii="宋体" w:hAnsi="宋体" w:cs="宋体"/>
                <w:b/>
                <w:bCs/>
                <w:color w:val="auto"/>
                <w:kern w:val="0"/>
                <w:szCs w:val="21"/>
              </w:rPr>
            </w:pPr>
            <w:r>
              <w:rPr>
                <w:rFonts w:hint="eastAsia" w:ascii="宋体" w:hAnsi="宋体" w:cs="宋体"/>
                <w:b/>
                <w:bCs/>
                <w:color w:val="auto"/>
                <w:kern w:val="0"/>
                <w:szCs w:val="21"/>
              </w:rPr>
              <w:t>注：社会投资项目计费基数为概算中的建安费，无需编制概算的项目以预算中的建安费作为计费基数。政府投资项目计费基数为概算批复中的建安费（不含设备及工器具购置费），无需编制概算的项目以预算审核成果中的建安费（不含设备及工器具购置费）作为计费基数。</w:t>
            </w:r>
          </w:p>
        </w:tc>
      </w:tr>
    </w:tbl>
    <w:p w14:paraId="65C01A57">
      <w:pPr>
        <w:pStyle w:val="48"/>
        <w:keepNext w:val="0"/>
        <w:keepLines w:val="0"/>
        <w:pageBreakBefore w:val="0"/>
        <w:kinsoku/>
        <w:wordWrap/>
        <w:overflowPunct/>
        <w:topLinePunct w:val="0"/>
        <w:autoSpaceDE/>
        <w:autoSpaceDN/>
        <w:bidi w:val="0"/>
        <w:adjustRightInd w:val="0"/>
        <w:spacing w:line="360" w:lineRule="auto"/>
        <w:ind w:firstLine="0" w:firstLineChars="0"/>
        <w:jc w:val="left"/>
        <w:textAlignment w:val="baseline"/>
        <w:rPr>
          <w:rFonts w:hint="eastAsia" w:ascii="宋体" w:hAnsi="宋体"/>
          <w:color w:val="auto"/>
          <w:kern w:val="2"/>
          <w:sz w:val="24"/>
          <w:szCs w:val="24"/>
        </w:rPr>
      </w:pPr>
      <w:r>
        <w:rPr>
          <w:rFonts w:hint="eastAsia" w:ascii="宋体" w:hAnsi="宋体"/>
          <w:color w:val="auto"/>
          <w:kern w:val="2"/>
          <w:sz w:val="24"/>
          <w:szCs w:val="24"/>
        </w:rPr>
        <w:t>其中：</w:t>
      </w:r>
    </w:p>
    <w:p w14:paraId="15BF5DFD">
      <w:pPr>
        <w:pStyle w:val="48"/>
        <w:numPr>
          <w:ilvl w:val="0"/>
          <w:numId w:val="19"/>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具体项目造价咨询服务费</w:t>
      </w:r>
      <w:r>
        <w:rPr>
          <w:rFonts w:hint="eastAsia" w:ascii="宋体" w:hAnsi="宋体"/>
          <w:color w:val="auto"/>
          <w:kern w:val="2"/>
          <w:sz w:val="24"/>
          <w:szCs w:val="24"/>
          <w:u w:val="single"/>
          <w:lang w:val="en-US" w:eastAsia="zh-CN"/>
        </w:rPr>
        <w:t>的结算原则：以项目结算</w:t>
      </w:r>
      <w:r>
        <w:rPr>
          <w:rFonts w:hint="eastAsia" w:ascii="宋体" w:hAnsi="宋体"/>
          <w:color w:val="auto"/>
          <w:kern w:val="2"/>
          <w:sz w:val="24"/>
          <w:szCs w:val="24"/>
          <w:u w:val="single"/>
        </w:rPr>
        <w:t>审核成果中的建安费(不含设备及工器具购置费)作为计费基数</w:t>
      </w:r>
      <w:r>
        <w:rPr>
          <w:rFonts w:hint="eastAsia" w:ascii="宋体" w:hAnsi="宋体"/>
          <w:color w:val="auto"/>
          <w:kern w:val="2"/>
          <w:sz w:val="24"/>
          <w:szCs w:val="24"/>
          <w:u w:val="single"/>
          <w:lang w:eastAsia="zh-CN"/>
        </w:rPr>
        <w:t>，</w:t>
      </w:r>
      <w:r>
        <w:rPr>
          <w:rFonts w:hint="eastAsia" w:ascii="宋体" w:hAnsi="宋体"/>
          <w:color w:val="auto"/>
          <w:kern w:val="2"/>
          <w:sz w:val="24"/>
          <w:szCs w:val="24"/>
          <w:u w:val="single"/>
        </w:rPr>
        <w:t>单个</w:t>
      </w:r>
      <w:r>
        <w:rPr>
          <w:rFonts w:hint="eastAsia" w:ascii="宋体" w:hAnsi="宋体"/>
          <w:color w:val="auto"/>
          <w:kern w:val="2"/>
          <w:sz w:val="24"/>
          <w:szCs w:val="24"/>
          <w:u w:val="single"/>
          <w:lang w:val="en-US" w:eastAsia="zh-CN"/>
        </w:rPr>
        <w:t>项目</w:t>
      </w:r>
      <w:r>
        <w:rPr>
          <w:rFonts w:hint="eastAsia" w:ascii="宋体" w:hAnsi="宋体"/>
          <w:color w:val="auto"/>
          <w:kern w:val="2"/>
          <w:sz w:val="24"/>
          <w:szCs w:val="24"/>
          <w:u w:val="single"/>
        </w:rPr>
        <w:t>的造价咨询服务费结算价不足5000元时，按5000元结算。</w:t>
      </w:r>
    </w:p>
    <w:p w14:paraId="69857957">
      <w:pPr>
        <w:pStyle w:val="48"/>
        <w:numPr>
          <w:ilvl w:val="0"/>
          <w:numId w:val="19"/>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u w:val="single"/>
        </w:rPr>
        <w:t>具体项目造价咨询服务费结算价如需政府第三方机构审核的，则最终结算价不超过审核结果。</w:t>
      </w:r>
    </w:p>
    <w:p w14:paraId="67C9D6D5">
      <w:pPr>
        <w:pStyle w:val="344"/>
        <w:numPr>
          <w:ilvl w:val="0"/>
          <w:numId w:val="18"/>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如有特殊情况，双方经协商一致可另行约定。</w:t>
      </w:r>
    </w:p>
    <w:p w14:paraId="454392F4">
      <w:pPr>
        <w:pStyle w:val="344"/>
        <w:numPr>
          <w:ilvl w:val="0"/>
          <w:numId w:val="17"/>
        </w:numPr>
        <w:spacing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款项支付方式</w:t>
      </w:r>
    </w:p>
    <w:p w14:paraId="4C6971DB">
      <w:pPr>
        <w:pStyle w:val="344"/>
        <w:numPr>
          <w:ilvl w:val="0"/>
          <w:numId w:val="20"/>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甲方必须将款项支付到乙方账户，乙方账户信息如下：</w:t>
      </w:r>
    </w:p>
    <w:p w14:paraId="0441C8E3">
      <w:pPr>
        <w:pStyle w:val="48"/>
        <w:spacing w:line="360" w:lineRule="auto"/>
        <w:ind w:firstLine="482" w:firstLineChars="200"/>
        <w:rPr>
          <w:rFonts w:hint="eastAsia" w:ascii="宋体" w:hAnsi="宋体"/>
          <w:b/>
          <w:bCs/>
          <w:color w:val="auto"/>
          <w:kern w:val="2"/>
          <w:sz w:val="24"/>
          <w:szCs w:val="24"/>
        </w:rPr>
      </w:pPr>
      <w:r>
        <w:rPr>
          <w:rFonts w:hint="eastAsia" w:ascii="宋体" w:hAnsi="宋体"/>
          <w:b/>
          <w:bCs/>
          <w:color w:val="auto"/>
          <w:kern w:val="2"/>
          <w:sz w:val="24"/>
          <w:szCs w:val="24"/>
        </w:rPr>
        <w:t>账户名称：</w:t>
      </w:r>
    </w:p>
    <w:p w14:paraId="6AC45646">
      <w:pPr>
        <w:pStyle w:val="48"/>
        <w:spacing w:line="360" w:lineRule="auto"/>
        <w:ind w:firstLine="482" w:firstLineChars="200"/>
        <w:rPr>
          <w:rFonts w:hint="eastAsia" w:ascii="宋体" w:hAnsi="宋体"/>
          <w:b/>
          <w:bCs/>
          <w:color w:val="auto"/>
          <w:kern w:val="2"/>
          <w:sz w:val="24"/>
          <w:szCs w:val="24"/>
        </w:rPr>
      </w:pPr>
      <w:r>
        <w:rPr>
          <w:rFonts w:hint="eastAsia" w:ascii="宋体" w:hAnsi="宋体"/>
          <w:b/>
          <w:bCs/>
          <w:color w:val="auto"/>
          <w:kern w:val="2"/>
          <w:sz w:val="24"/>
          <w:szCs w:val="24"/>
        </w:rPr>
        <w:t>帐号：</w:t>
      </w:r>
    </w:p>
    <w:p w14:paraId="092EA2E9">
      <w:pPr>
        <w:pStyle w:val="48"/>
        <w:spacing w:line="360" w:lineRule="auto"/>
        <w:ind w:firstLine="482" w:firstLineChars="200"/>
        <w:rPr>
          <w:rFonts w:hint="eastAsia" w:ascii="宋体" w:hAnsi="宋体"/>
          <w:b/>
          <w:bCs/>
          <w:color w:val="auto"/>
          <w:kern w:val="2"/>
          <w:sz w:val="24"/>
          <w:szCs w:val="24"/>
        </w:rPr>
      </w:pPr>
      <w:r>
        <w:rPr>
          <w:rFonts w:hint="eastAsia" w:ascii="宋体" w:hAnsi="宋体"/>
          <w:b/>
          <w:bCs/>
          <w:color w:val="auto"/>
          <w:kern w:val="2"/>
          <w:sz w:val="24"/>
          <w:szCs w:val="24"/>
        </w:rPr>
        <w:t>开户银行：</w:t>
      </w:r>
    </w:p>
    <w:p w14:paraId="5D2C7246">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乙方如需更改该收款账户，应当至少提前5天书面通知甲方，否则因此导致的全部损失均由乙方承担。</w:t>
      </w:r>
    </w:p>
    <w:p w14:paraId="0D28D906">
      <w:pPr>
        <w:pStyle w:val="344"/>
        <w:numPr>
          <w:ilvl w:val="0"/>
          <w:numId w:val="20"/>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付款方式</w:t>
      </w:r>
    </w:p>
    <w:p w14:paraId="731A7CBD">
      <w:pPr>
        <w:pStyle w:val="48"/>
        <w:numPr>
          <w:ilvl w:val="0"/>
          <w:numId w:val="21"/>
        </w:numPr>
        <w:adjustRightInd w:val="0"/>
        <w:spacing w:line="360" w:lineRule="auto"/>
        <w:ind w:left="0" w:firstLine="482" w:firstLineChars="200"/>
        <w:jc w:val="left"/>
        <w:textAlignment w:val="baseline"/>
        <w:rPr>
          <w:rFonts w:hint="eastAsia" w:ascii="宋体" w:hAnsi="宋体"/>
          <w:color w:val="auto"/>
          <w:kern w:val="2"/>
          <w:sz w:val="24"/>
          <w:szCs w:val="24"/>
        </w:rPr>
      </w:pPr>
      <w:bookmarkStart w:id="354" w:name="OLE_LINK5"/>
      <w:r>
        <w:rPr>
          <w:rFonts w:hint="eastAsia" w:ascii="宋体" w:hAnsi="宋体"/>
          <w:b/>
          <w:bCs/>
          <w:color w:val="auto"/>
          <w:kern w:val="2"/>
          <w:sz w:val="24"/>
          <w:szCs w:val="24"/>
        </w:rPr>
        <w:t>预付款：</w:t>
      </w:r>
      <w:r>
        <w:rPr>
          <w:rFonts w:hint="eastAsia" w:ascii="宋体" w:hAnsi="宋体"/>
          <w:color w:val="auto"/>
          <w:kern w:val="2"/>
          <w:sz w:val="24"/>
          <w:szCs w:val="24"/>
        </w:rPr>
        <w:t>具体项目合同签订后支付该项目签约合同价的</w:t>
      </w:r>
      <w:r>
        <w:rPr>
          <w:rFonts w:hint="eastAsia" w:ascii="宋体" w:hAnsi="宋体"/>
          <w:b/>
          <w:bCs/>
          <w:color w:val="auto"/>
          <w:kern w:val="2"/>
          <w:sz w:val="24"/>
          <w:szCs w:val="24"/>
          <w:u w:val="single"/>
          <w:lang w:val="en-US" w:eastAsia="zh-CN"/>
        </w:rPr>
        <w:t>3</w:t>
      </w:r>
      <w:r>
        <w:rPr>
          <w:rFonts w:hint="eastAsia" w:ascii="宋体" w:hAnsi="宋体"/>
          <w:b/>
          <w:bCs/>
          <w:color w:val="auto"/>
          <w:kern w:val="2"/>
          <w:sz w:val="24"/>
          <w:szCs w:val="24"/>
          <w:u w:val="single"/>
        </w:rPr>
        <w:t>0</w:t>
      </w:r>
      <w:r>
        <w:rPr>
          <w:rFonts w:hint="eastAsia" w:ascii="宋体" w:hAnsi="宋体"/>
          <w:color w:val="auto"/>
          <w:kern w:val="2"/>
          <w:sz w:val="24"/>
          <w:szCs w:val="24"/>
        </w:rPr>
        <w:t>%。</w:t>
      </w:r>
    </w:p>
    <w:p w14:paraId="5A305C63">
      <w:pPr>
        <w:pStyle w:val="48"/>
        <w:numPr>
          <w:ilvl w:val="0"/>
          <w:numId w:val="21"/>
        </w:numPr>
        <w:adjustRightInd w:val="0"/>
        <w:spacing w:line="360" w:lineRule="auto"/>
        <w:ind w:left="0" w:firstLine="482" w:firstLineChars="200"/>
        <w:jc w:val="left"/>
        <w:textAlignment w:val="baseline"/>
        <w:rPr>
          <w:rFonts w:hint="eastAsia" w:ascii="宋体" w:hAnsi="宋体"/>
          <w:color w:val="auto"/>
          <w:kern w:val="2"/>
          <w:sz w:val="24"/>
          <w:szCs w:val="24"/>
        </w:rPr>
      </w:pPr>
      <w:r>
        <w:rPr>
          <w:rFonts w:hint="eastAsia" w:ascii="宋体" w:hAnsi="宋体"/>
          <w:b/>
          <w:bCs/>
          <w:color w:val="auto"/>
          <w:kern w:val="2"/>
          <w:sz w:val="24"/>
          <w:szCs w:val="24"/>
        </w:rPr>
        <w:t>结算款：</w:t>
      </w:r>
      <w:r>
        <w:rPr>
          <w:rFonts w:hint="eastAsia" w:ascii="宋体" w:hAnsi="宋体"/>
          <w:color w:val="auto"/>
          <w:kern w:val="2"/>
          <w:sz w:val="24"/>
          <w:szCs w:val="24"/>
        </w:rPr>
        <w:t>具体项目竣工结算审核完成且经甲方结算审核通过，并完成具体项目造价咨询合同结算后，</w:t>
      </w:r>
      <w:r>
        <w:rPr>
          <w:rFonts w:hint="eastAsia" w:ascii="宋体" w:hAnsi="宋体"/>
          <w:color w:val="auto"/>
          <w:kern w:val="2"/>
          <w:sz w:val="24"/>
          <w:szCs w:val="24"/>
          <w:lang w:val="en-US" w:eastAsia="zh-CN"/>
        </w:rPr>
        <w:t>并对本</w:t>
      </w:r>
      <w:r>
        <w:rPr>
          <w:rFonts w:hint="eastAsia" w:ascii="宋体" w:hAnsi="宋体"/>
          <w:color w:val="auto"/>
          <w:kern w:val="2"/>
          <w:sz w:val="24"/>
          <w:szCs w:val="24"/>
        </w:rPr>
        <w:t>项目进行履约评价</w:t>
      </w:r>
      <w:r>
        <w:rPr>
          <w:rFonts w:hint="eastAsia" w:ascii="宋体" w:hAnsi="宋体"/>
          <w:color w:val="auto"/>
          <w:kern w:val="2"/>
          <w:sz w:val="24"/>
          <w:szCs w:val="24"/>
          <w:lang w:val="en-US" w:eastAsia="zh-CN"/>
        </w:rPr>
        <w:t>后，</w:t>
      </w:r>
      <w:r>
        <w:rPr>
          <w:rFonts w:hint="eastAsia" w:ascii="宋体" w:hAnsi="宋体"/>
          <w:color w:val="auto"/>
          <w:kern w:val="2"/>
          <w:sz w:val="24"/>
          <w:szCs w:val="24"/>
        </w:rPr>
        <w:t>支付至该项目造价咨询服务费结算价的</w:t>
      </w:r>
      <w:r>
        <w:rPr>
          <w:rFonts w:hint="eastAsia" w:ascii="宋体" w:hAnsi="宋体"/>
          <w:b/>
          <w:bCs/>
          <w:color w:val="auto"/>
          <w:kern w:val="2"/>
          <w:sz w:val="24"/>
          <w:szCs w:val="24"/>
          <w:u w:val="single"/>
        </w:rPr>
        <w:t>100</w:t>
      </w:r>
      <w:r>
        <w:rPr>
          <w:rFonts w:hint="eastAsia" w:ascii="宋体" w:hAnsi="宋体"/>
          <w:color w:val="auto"/>
          <w:kern w:val="2"/>
          <w:sz w:val="24"/>
          <w:szCs w:val="24"/>
        </w:rPr>
        <w:t>%。</w:t>
      </w:r>
    </w:p>
    <w:bookmarkEnd w:id="354"/>
    <w:p w14:paraId="0C553A61">
      <w:pPr>
        <w:pStyle w:val="344"/>
        <w:numPr>
          <w:ilvl w:val="0"/>
          <w:numId w:val="20"/>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支付要求</w:t>
      </w:r>
    </w:p>
    <w:p w14:paraId="3CAD4ABE">
      <w:pPr>
        <w:pStyle w:val="48"/>
        <w:numPr>
          <w:ilvl w:val="0"/>
          <w:numId w:val="22"/>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乙方有义务按照合同约定支付节点提示甲方按时付款，如乙方未履行该义务或提交的付款申请资料不全或不合格，则甲方的付款时间相应顺延。</w:t>
      </w:r>
    </w:p>
    <w:p w14:paraId="5F193B01">
      <w:pPr>
        <w:pStyle w:val="48"/>
        <w:numPr>
          <w:ilvl w:val="0"/>
          <w:numId w:val="22"/>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各项目结算价以甲方委托的第三方机构审定结果为准。如项目被政府相关部门抽查审核的，最终结算金额以政府相关部门核查确定的结算价或按照政府相关部门核查意见调整后的结算价款为准。如政府相关部门核查后确定的结算价或按照政府相关部门核查意见调整后的结算价款较前述第三方审核单位核定结算价款少的，乙方应无条件向甲方全额退还超付款项。</w:t>
      </w:r>
    </w:p>
    <w:p w14:paraId="65F9895A">
      <w:pPr>
        <w:pStyle w:val="48"/>
        <w:numPr>
          <w:ilvl w:val="0"/>
          <w:numId w:val="22"/>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每次付款前，乙方应向甲方提交等额合法有效的增值税专用发票，因乙方迟延开具发票或发票开具不合格致使甲方未能如期付款的，乙方应自行承担相应损失，甲方不因此产生任何违约责任。</w:t>
      </w:r>
    </w:p>
    <w:p w14:paraId="160832AF">
      <w:pPr>
        <w:pStyle w:val="344"/>
        <w:numPr>
          <w:ilvl w:val="0"/>
          <w:numId w:val="17"/>
        </w:numPr>
        <w:spacing w:line="360" w:lineRule="auto"/>
        <w:ind w:left="0" w:firstLine="482"/>
        <w:rPr>
          <w:rFonts w:hint="default" w:ascii="宋体" w:hAnsi="宋体" w:eastAsia="宋体" w:cs="Times New Roman"/>
          <w:b/>
          <w:color w:val="auto"/>
          <w:kern w:val="2"/>
          <w:sz w:val="24"/>
          <w:szCs w:val="24"/>
          <w:lang w:val="en-US" w:eastAsia="zh-CN"/>
        </w:rPr>
      </w:pPr>
      <w:r>
        <w:rPr>
          <w:rFonts w:hint="eastAsia" w:ascii="宋体" w:hAnsi="宋体" w:eastAsia="宋体" w:cs="Times New Roman"/>
          <w:b/>
          <w:color w:val="auto"/>
          <w:kern w:val="2"/>
          <w:sz w:val="24"/>
          <w:szCs w:val="24"/>
          <w:lang w:val="en-US" w:eastAsia="zh-CN"/>
        </w:rPr>
        <w:t>结算方式</w:t>
      </w:r>
    </w:p>
    <w:sdt>
      <w:sdtPr>
        <w:rPr>
          <w:rStyle w:val="411"/>
          <w:sz w:val="21"/>
          <w:szCs w:val="21"/>
        </w:rPr>
        <w:alias w:val="结算方式"/>
        <w:tag w:val="结算方式"/>
        <w:id w:val="-153216532"/>
        <w:lock w:val="sdtLocked"/>
        <w:placeholder>
          <w:docPart w:val="{aad61170-c3eb-47ff-97fa-987f7ecb3e11}"/>
        </w:placeholder>
      </w:sdtPr>
      <w:sdtEndPr>
        <w:rPr>
          <w:rStyle w:val="411"/>
          <w:rFonts w:hint="eastAsia" w:ascii="宋体" w:hAnsi="宋体" w:eastAsia="宋体" w:cs="Times New Roman"/>
          <w:color w:val="auto"/>
          <w:kern w:val="2"/>
          <w:sz w:val="24"/>
          <w:szCs w:val="24"/>
          <w:lang w:val="en-US" w:eastAsia="zh-CN" w:bidi="ar-SA"/>
        </w:rPr>
      </w:sdtEndPr>
      <w:sdtContent>
        <w:p w14:paraId="3090E434">
          <w:pPr>
            <w:spacing w:line="360" w:lineRule="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框架协议为固定</w:t>
          </w:r>
          <w:r>
            <w:rPr>
              <w:rFonts w:hint="eastAsia" w:ascii="宋体" w:hAnsi="宋体" w:cs="Times New Roman"/>
              <w:color w:val="auto"/>
              <w:kern w:val="2"/>
              <w:sz w:val="24"/>
              <w:szCs w:val="24"/>
              <w:lang w:val="en-US" w:eastAsia="zh-CN" w:bidi="ar-SA"/>
            </w:rPr>
            <w:t>下浮率</w:t>
          </w:r>
        </w:p>
        <w:p w14:paraId="418F633A">
          <w:pPr>
            <w:numPr>
              <w:ilvl w:val="0"/>
              <w:numId w:val="23"/>
            </w:numPr>
            <w:spacing w:line="360" w:lineRule="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具体项目计费基数</w:t>
          </w:r>
        </w:p>
        <w:p w14:paraId="4ED3ED78">
          <w:pPr>
            <w:pStyle w:val="48"/>
            <w:numPr>
              <w:ilvl w:val="0"/>
              <w:numId w:val="0"/>
            </w:numPr>
            <w:adjustRightInd w:val="0"/>
            <w:spacing w:line="360" w:lineRule="auto"/>
            <w:ind w:leftChars="200"/>
            <w:jc w:val="left"/>
            <w:textAlignment w:val="baseline"/>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以项目</w:t>
          </w:r>
          <w:r>
            <w:rPr>
              <w:rFonts w:hint="eastAsia" w:ascii="宋体" w:hAnsi="宋体" w:eastAsia="宋体" w:cs="Times New Roman"/>
              <w:b/>
              <w:bCs/>
              <w:color w:val="auto"/>
              <w:kern w:val="2"/>
              <w:sz w:val="24"/>
              <w:szCs w:val="24"/>
              <w:lang w:val="en-US" w:eastAsia="zh-CN" w:bidi="ar-SA"/>
            </w:rPr>
            <w:t>结算审核成果中的建安费(不含设备及工器具购置费)</w:t>
          </w:r>
          <w:r>
            <w:rPr>
              <w:rFonts w:hint="eastAsia" w:ascii="宋体" w:hAnsi="宋体" w:eastAsia="宋体" w:cs="Times New Roman"/>
              <w:color w:val="auto"/>
              <w:kern w:val="2"/>
              <w:sz w:val="24"/>
              <w:szCs w:val="24"/>
              <w:lang w:val="en-US" w:eastAsia="zh-CN" w:bidi="ar-SA"/>
            </w:rPr>
            <w:t>作为计费基数</w:t>
          </w:r>
          <w:r>
            <w:rPr>
              <w:rFonts w:hint="eastAsia" w:ascii="宋体" w:hAnsi="宋体" w:cs="Times New Roman"/>
              <w:color w:val="auto"/>
              <w:kern w:val="2"/>
              <w:sz w:val="24"/>
              <w:szCs w:val="24"/>
              <w:lang w:val="en-US" w:eastAsia="zh-CN" w:bidi="ar-SA"/>
            </w:rPr>
            <w:t>。</w:t>
          </w:r>
        </w:p>
        <w:p w14:paraId="5530B014">
          <w:pPr>
            <w:spacing w:line="360" w:lineRule="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2.具体项目结算价计算方式：</w:t>
          </w:r>
        </w:p>
        <w:p w14:paraId="47DFC50F">
          <w:pPr>
            <w:spacing w:line="360" w:lineRule="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(1)结算价按照《深圳市建设工程造价咨询业收费市场价格表》（2017）中“施工阶段全过程造价控制”和中标下浮率确定。不足5000元的，按5000元计。</w:t>
          </w:r>
        </w:p>
        <w:p w14:paraId="2EA6AD20">
          <w:pPr>
            <w:spacing w:line="360" w:lineRule="auto"/>
            <w:rPr>
              <w:rStyle w:val="411"/>
              <w:rFonts w:hint="eastAsia"/>
              <w:sz w:val="21"/>
              <w:szCs w:val="21"/>
              <w:lang w:eastAsia="zh-CN"/>
            </w:rPr>
          </w:pPr>
          <w:r>
            <w:rPr>
              <w:rFonts w:hint="eastAsia" w:ascii="宋体" w:hAnsi="宋体" w:eastAsia="宋体" w:cs="Times New Roman"/>
              <w:color w:val="auto"/>
              <w:kern w:val="2"/>
              <w:sz w:val="24"/>
              <w:szCs w:val="24"/>
              <w:lang w:val="en-US" w:eastAsia="zh-CN" w:bidi="ar-SA"/>
            </w:rPr>
            <w:t>(2)具体项目造价咨询费结算价如需政府第三方机构审核的，则结算价不超过审核结果。</w:t>
          </w:r>
        </w:p>
      </w:sdtContent>
    </w:sdt>
    <w:p w14:paraId="49D25E62">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甲方权利与义务</w:t>
      </w:r>
    </w:p>
    <w:p w14:paraId="267B9FEF">
      <w:pPr>
        <w:pStyle w:val="344"/>
        <w:numPr>
          <w:ilvl w:val="0"/>
          <w:numId w:val="24"/>
        </w:numPr>
        <w:spacing w:line="360" w:lineRule="auto"/>
        <w:ind w:left="0" w:firstLine="480"/>
        <w:rPr>
          <w:rFonts w:hint="eastAsia" w:ascii="宋体" w:hAnsi="宋体"/>
          <w:color w:val="auto"/>
          <w:kern w:val="2"/>
          <w:sz w:val="24"/>
          <w:szCs w:val="24"/>
        </w:rPr>
      </w:pPr>
      <w:bookmarkStart w:id="355" w:name="_Hlk40391315"/>
      <w:r>
        <w:rPr>
          <w:rFonts w:hint="eastAsia" w:ascii="宋体" w:hAnsi="宋体"/>
          <w:color w:val="auto"/>
          <w:kern w:val="2"/>
          <w:sz w:val="24"/>
          <w:szCs w:val="24"/>
        </w:rPr>
        <w:t>项目服务期间甲方对乙方按项目进行履约评价，当乙方的履约评价结果累计</w:t>
      </w:r>
      <w:r>
        <w:rPr>
          <w:rFonts w:ascii="宋体" w:hAnsi="宋体"/>
          <w:b/>
          <w:bCs/>
          <w:color w:val="auto"/>
          <w:kern w:val="2"/>
          <w:sz w:val="24"/>
          <w:szCs w:val="24"/>
          <w:u w:val="single"/>
        </w:rPr>
        <w:t>2</w:t>
      </w:r>
      <w:r>
        <w:rPr>
          <w:rFonts w:hint="eastAsia" w:ascii="宋体" w:hAnsi="宋体"/>
          <w:b/>
          <w:bCs/>
          <w:color w:val="auto"/>
          <w:kern w:val="2"/>
          <w:sz w:val="24"/>
          <w:szCs w:val="24"/>
          <w:u w:val="single"/>
        </w:rPr>
        <w:t>次</w:t>
      </w:r>
      <w:r>
        <w:rPr>
          <w:rFonts w:hint="eastAsia" w:ascii="宋体" w:hAnsi="宋体"/>
          <w:color w:val="auto"/>
          <w:kern w:val="2"/>
          <w:sz w:val="24"/>
          <w:szCs w:val="24"/>
        </w:rPr>
        <w:t>不合格，甲方有权约谈乙方的法定代表人，</w:t>
      </w:r>
      <w:bookmarkEnd w:id="355"/>
      <w:r>
        <w:rPr>
          <w:rFonts w:hint="eastAsia" w:ascii="宋体" w:hAnsi="宋体"/>
          <w:color w:val="auto"/>
          <w:kern w:val="2"/>
          <w:sz w:val="24"/>
          <w:szCs w:val="24"/>
        </w:rPr>
        <w:t>解除</w:t>
      </w:r>
      <w:r>
        <w:rPr>
          <w:rFonts w:hint="eastAsia" w:ascii="宋体" w:hAnsi="宋体"/>
          <w:color w:val="auto"/>
          <w:kern w:val="2"/>
          <w:sz w:val="24"/>
          <w:szCs w:val="24"/>
          <w:lang w:val="en-US" w:eastAsia="zh-CN"/>
        </w:rPr>
        <w:t>本</w:t>
      </w:r>
      <w:r>
        <w:rPr>
          <w:rFonts w:hint="eastAsia" w:ascii="宋体" w:hAnsi="宋体"/>
          <w:color w:val="auto"/>
          <w:kern w:val="2"/>
          <w:sz w:val="24"/>
          <w:szCs w:val="24"/>
        </w:rPr>
        <w:t>框架协议，并要求乙方承担相应违约责任。</w:t>
      </w:r>
    </w:p>
    <w:p w14:paraId="6FB34E7E">
      <w:pPr>
        <w:pStyle w:val="344"/>
        <w:numPr>
          <w:ilvl w:val="0"/>
          <w:numId w:val="24"/>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乙方明示或暗示拒绝提供项目造价咨询服务的，甲方有权解除</w:t>
      </w:r>
      <w:r>
        <w:rPr>
          <w:rFonts w:hint="eastAsia" w:ascii="宋体" w:hAnsi="宋体"/>
          <w:color w:val="auto"/>
          <w:kern w:val="2"/>
          <w:sz w:val="24"/>
          <w:szCs w:val="24"/>
          <w:lang w:val="en-US" w:eastAsia="zh-CN"/>
        </w:rPr>
        <w:t>本</w:t>
      </w:r>
      <w:r>
        <w:rPr>
          <w:rFonts w:hint="eastAsia" w:ascii="宋体" w:hAnsi="宋体"/>
          <w:color w:val="auto"/>
          <w:kern w:val="2"/>
          <w:sz w:val="24"/>
          <w:szCs w:val="24"/>
        </w:rPr>
        <w:t>框架协议，并要求乙方承担相应违约责任。且甲方有权拒绝其参与甲方未来3年的造价咨询服务项目投标。</w:t>
      </w:r>
    </w:p>
    <w:p w14:paraId="4CD71A3B">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乙方权利和义务</w:t>
      </w:r>
    </w:p>
    <w:p w14:paraId="731616FB">
      <w:pPr>
        <w:pStyle w:val="344"/>
        <w:numPr>
          <w:ilvl w:val="0"/>
          <w:numId w:val="25"/>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乙方有义务在签订</w:t>
      </w:r>
      <w:r>
        <w:rPr>
          <w:rFonts w:hint="eastAsia" w:ascii="宋体" w:hAnsi="宋体"/>
          <w:color w:val="auto"/>
          <w:kern w:val="2"/>
          <w:sz w:val="24"/>
          <w:szCs w:val="24"/>
          <w:u w:val="single"/>
        </w:rPr>
        <w:t>《</w:t>
      </w:r>
      <w:r>
        <w:rPr>
          <w:rFonts w:hint="eastAsia" w:ascii="宋体" w:hAnsi="宋体"/>
          <w:color w:val="auto"/>
          <w:sz w:val="24"/>
          <w:szCs w:val="24"/>
          <w:u w:val="single"/>
        </w:rPr>
        <w:t>造价咨询服务委托合同</w:t>
      </w:r>
      <w:r>
        <w:rPr>
          <w:rFonts w:hint="eastAsia" w:ascii="宋体" w:hAnsi="宋体"/>
          <w:color w:val="auto"/>
          <w:kern w:val="2"/>
          <w:sz w:val="24"/>
          <w:szCs w:val="24"/>
          <w:u w:val="single"/>
        </w:rPr>
        <w:t>》</w:t>
      </w:r>
      <w:r>
        <w:rPr>
          <w:rFonts w:hint="eastAsia" w:ascii="宋体" w:hAnsi="宋体"/>
          <w:color w:val="auto"/>
          <w:kern w:val="2"/>
          <w:sz w:val="24"/>
          <w:szCs w:val="24"/>
        </w:rPr>
        <w:t>之前向甲方提供</w:t>
      </w:r>
      <w:r>
        <w:rPr>
          <w:rFonts w:hint="eastAsia" w:ascii="宋体" w:hAnsi="宋体"/>
          <w:color w:val="auto"/>
          <w:sz w:val="24"/>
        </w:rPr>
        <w:t>团队人员名单及简历供甲方审核，甲方有权对不符合项目需求人员进行调整，乙方应遵照执行</w:t>
      </w:r>
      <w:r>
        <w:rPr>
          <w:rFonts w:hint="eastAsia" w:ascii="宋体" w:hAnsi="宋体"/>
          <w:color w:val="auto"/>
          <w:kern w:val="2"/>
          <w:sz w:val="24"/>
          <w:szCs w:val="24"/>
        </w:rPr>
        <w:t>。</w:t>
      </w:r>
    </w:p>
    <w:p w14:paraId="317C9B50">
      <w:pPr>
        <w:pStyle w:val="344"/>
        <w:numPr>
          <w:ilvl w:val="0"/>
          <w:numId w:val="25"/>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如乙方联系方式发生变动，乙方有义务及时通知并提供最新有效的联系方式给甲方。</w:t>
      </w:r>
    </w:p>
    <w:p w14:paraId="145F16EB">
      <w:pPr>
        <w:pStyle w:val="344"/>
        <w:numPr>
          <w:ilvl w:val="0"/>
          <w:numId w:val="25"/>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乙方同意按计划或甲方急需满足甲方需求，不得以量少或其他原因拒绝服务或推迟服务。</w:t>
      </w:r>
    </w:p>
    <w:p w14:paraId="1EFEFA75">
      <w:pPr>
        <w:pStyle w:val="344"/>
        <w:numPr>
          <w:ilvl w:val="0"/>
          <w:numId w:val="25"/>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对于甲方提供的资料和信息，若乙方认为存在不准确或不完整情形时，乙方应及时向甲方提出，否则视为甲方提供的资料和信息完整、准确，并能满足乙方的工作需要。</w:t>
      </w:r>
    </w:p>
    <w:p w14:paraId="36DB201D">
      <w:pPr>
        <w:pStyle w:val="344"/>
        <w:numPr>
          <w:ilvl w:val="0"/>
          <w:numId w:val="25"/>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本协议及</w:t>
      </w:r>
      <w:r>
        <w:rPr>
          <w:rFonts w:hint="eastAsia" w:ascii="宋体" w:hAnsi="宋体"/>
          <w:color w:val="auto"/>
          <w:kern w:val="2"/>
          <w:sz w:val="24"/>
          <w:szCs w:val="24"/>
          <w:u w:val="single"/>
        </w:rPr>
        <w:t>《</w:t>
      </w:r>
      <w:r>
        <w:rPr>
          <w:rFonts w:hint="eastAsia" w:ascii="宋体" w:hAnsi="宋体"/>
          <w:color w:val="auto"/>
          <w:sz w:val="24"/>
          <w:szCs w:val="24"/>
          <w:u w:val="single"/>
        </w:rPr>
        <w:t>造价咨询服务委托合同</w:t>
      </w:r>
      <w:r>
        <w:rPr>
          <w:rFonts w:hint="eastAsia" w:ascii="宋体" w:hAnsi="宋体"/>
          <w:color w:val="auto"/>
          <w:kern w:val="2"/>
          <w:sz w:val="24"/>
          <w:szCs w:val="24"/>
          <w:u w:val="single"/>
        </w:rPr>
        <w:t>》</w:t>
      </w:r>
      <w:r>
        <w:rPr>
          <w:rFonts w:hint="eastAsia" w:ascii="宋体" w:hAnsi="宋体"/>
          <w:color w:val="auto"/>
          <w:kern w:val="2"/>
          <w:sz w:val="24"/>
          <w:szCs w:val="24"/>
        </w:rPr>
        <w:t>条款及附件规定的由乙方提供的其他义务。</w:t>
      </w:r>
    </w:p>
    <w:p w14:paraId="0F6BC890">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违约责任</w:t>
      </w:r>
    </w:p>
    <w:p w14:paraId="34F9EF7D">
      <w:pPr>
        <w:pStyle w:val="344"/>
        <w:numPr>
          <w:ilvl w:val="0"/>
          <w:numId w:val="26"/>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乙方充分理解并同意，</w:t>
      </w:r>
      <w:r>
        <w:rPr>
          <w:rFonts w:hint="eastAsia" w:ascii="宋体" w:hAnsi="宋体"/>
          <w:color w:val="auto"/>
          <w:kern w:val="2"/>
          <w:sz w:val="24"/>
          <w:szCs w:val="24"/>
          <w:u w:val="single"/>
        </w:rPr>
        <w:t>《</w:t>
      </w:r>
      <w:r>
        <w:rPr>
          <w:rFonts w:hint="eastAsia" w:ascii="宋体" w:hAnsi="宋体"/>
          <w:color w:val="auto"/>
          <w:sz w:val="24"/>
          <w:szCs w:val="24"/>
          <w:u w:val="single"/>
        </w:rPr>
        <w:t>造价咨询服务委托合同</w:t>
      </w:r>
      <w:r>
        <w:rPr>
          <w:rFonts w:hint="eastAsia" w:ascii="宋体" w:hAnsi="宋体"/>
          <w:color w:val="auto"/>
          <w:kern w:val="2"/>
          <w:sz w:val="24"/>
          <w:szCs w:val="24"/>
          <w:u w:val="single"/>
        </w:rPr>
        <w:t>》</w:t>
      </w:r>
      <w:r>
        <w:rPr>
          <w:rFonts w:hint="eastAsia" w:ascii="宋体" w:hAnsi="宋体"/>
          <w:color w:val="auto"/>
          <w:kern w:val="2"/>
          <w:sz w:val="24"/>
          <w:szCs w:val="24"/>
        </w:rPr>
        <w:t>约定的造价咨询服务费如由财政支付，因政府支付流程原因导致的支付迟延不属于甲方的违约行为，甲方不承担违约责任或赔偿责任（包括逾期付款利息等）。</w:t>
      </w:r>
    </w:p>
    <w:p w14:paraId="73656A92">
      <w:pPr>
        <w:pStyle w:val="344"/>
        <w:numPr>
          <w:ilvl w:val="0"/>
          <w:numId w:val="26"/>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项目服务期间甲方对乙方按项目进行履约评价，当乙方的履约评价结果累计</w:t>
      </w:r>
      <w:r>
        <w:rPr>
          <w:rFonts w:ascii="宋体" w:hAnsi="宋体"/>
          <w:b/>
          <w:bCs/>
          <w:color w:val="auto"/>
          <w:kern w:val="2"/>
          <w:sz w:val="24"/>
          <w:szCs w:val="24"/>
          <w:u w:val="single"/>
        </w:rPr>
        <w:t>2</w:t>
      </w:r>
      <w:r>
        <w:rPr>
          <w:rFonts w:hint="eastAsia" w:ascii="宋体" w:hAnsi="宋体"/>
          <w:b/>
          <w:bCs/>
          <w:color w:val="auto"/>
          <w:kern w:val="2"/>
          <w:sz w:val="24"/>
          <w:szCs w:val="24"/>
          <w:u w:val="single"/>
        </w:rPr>
        <w:t>次</w:t>
      </w:r>
      <w:r>
        <w:rPr>
          <w:rFonts w:hint="eastAsia" w:ascii="宋体" w:hAnsi="宋体"/>
          <w:color w:val="auto"/>
          <w:kern w:val="2"/>
          <w:sz w:val="24"/>
          <w:szCs w:val="24"/>
        </w:rPr>
        <w:t>不合格，甲方有权约谈乙方的法定代表人，解除</w:t>
      </w:r>
      <w:r>
        <w:rPr>
          <w:rFonts w:hint="eastAsia" w:ascii="宋体" w:hAnsi="宋体"/>
          <w:color w:val="auto"/>
          <w:kern w:val="2"/>
          <w:sz w:val="24"/>
          <w:szCs w:val="24"/>
          <w:lang w:val="en-US" w:eastAsia="zh-CN"/>
        </w:rPr>
        <w:t>本</w:t>
      </w:r>
      <w:r>
        <w:rPr>
          <w:rFonts w:hint="eastAsia" w:ascii="宋体" w:hAnsi="宋体"/>
          <w:color w:val="auto"/>
          <w:kern w:val="2"/>
          <w:sz w:val="24"/>
          <w:szCs w:val="24"/>
        </w:rPr>
        <w:t>框架协议，并要求乙方向甲方支付</w:t>
      </w:r>
      <w:r>
        <w:rPr>
          <w:rFonts w:hint="eastAsia" w:ascii="宋体" w:hAnsi="宋体"/>
          <w:b/>
          <w:bCs/>
          <w:color w:val="auto"/>
          <w:kern w:val="2"/>
          <w:sz w:val="24"/>
          <w:szCs w:val="24"/>
          <w:u w:val="single"/>
          <w:lang w:val="en-US" w:eastAsia="zh-CN"/>
        </w:rPr>
        <w:t>2</w:t>
      </w:r>
      <w:r>
        <w:rPr>
          <w:rFonts w:hint="eastAsia" w:ascii="宋体" w:hAnsi="宋体"/>
          <w:b/>
          <w:bCs/>
          <w:color w:val="auto"/>
          <w:kern w:val="2"/>
          <w:sz w:val="24"/>
          <w:szCs w:val="24"/>
          <w:u w:val="single"/>
        </w:rPr>
        <w:t>万元</w:t>
      </w:r>
      <w:r>
        <w:rPr>
          <w:rFonts w:hint="eastAsia" w:ascii="宋体" w:hAnsi="宋体"/>
          <w:color w:val="auto"/>
          <w:kern w:val="2"/>
          <w:sz w:val="24"/>
          <w:szCs w:val="24"/>
        </w:rPr>
        <w:t>的违约金。</w:t>
      </w:r>
    </w:p>
    <w:p w14:paraId="14B64CEA">
      <w:pPr>
        <w:pStyle w:val="344"/>
        <w:numPr>
          <w:ilvl w:val="0"/>
          <w:numId w:val="26"/>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乙方明示或暗示拒绝提供项目造价咨询服务的，甲方有权解除</w:t>
      </w:r>
      <w:r>
        <w:rPr>
          <w:rFonts w:hint="eastAsia" w:ascii="宋体" w:hAnsi="宋体"/>
          <w:color w:val="auto"/>
          <w:kern w:val="2"/>
          <w:sz w:val="24"/>
          <w:szCs w:val="24"/>
          <w:lang w:val="en-US" w:eastAsia="zh-CN"/>
        </w:rPr>
        <w:t>本</w:t>
      </w:r>
      <w:r>
        <w:rPr>
          <w:rFonts w:hint="eastAsia" w:ascii="宋体" w:hAnsi="宋体"/>
          <w:color w:val="auto"/>
          <w:kern w:val="2"/>
          <w:sz w:val="24"/>
          <w:szCs w:val="24"/>
        </w:rPr>
        <w:t>框架协议，并要求乙方向甲方支付</w:t>
      </w:r>
      <w:r>
        <w:rPr>
          <w:rFonts w:hint="eastAsia" w:ascii="宋体" w:hAnsi="宋体"/>
          <w:b/>
          <w:bCs/>
          <w:color w:val="auto"/>
          <w:kern w:val="2"/>
          <w:sz w:val="24"/>
          <w:szCs w:val="24"/>
          <w:u w:val="single"/>
          <w:lang w:val="en-US" w:eastAsia="zh-CN"/>
        </w:rPr>
        <w:t>2</w:t>
      </w:r>
      <w:r>
        <w:rPr>
          <w:rFonts w:hint="eastAsia" w:ascii="宋体" w:hAnsi="宋体"/>
          <w:b/>
          <w:bCs/>
          <w:color w:val="auto"/>
          <w:kern w:val="2"/>
          <w:sz w:val="24"/>
          <w:szCs w:val="24"/>
          <w:u w:val="single"/>
        </w:rPr>
        <w:t>万元</w:t>
      </w:r>
      <w:r>
        <w:rPr>
          <w:rFonts w:hint="eastAsia" w:ascii="宋体" w:hAnsi="宋体"/>
          <w:color w:val="auto"/>
          <w:kern w:val="2"/>
          <w:sz w:val="24"/>
          <w:szCs w:val="24"/>
        </w:rPr>
        <w:t>的违约金。且甲方有权拒绝其参与甲方未来3年的造价咨询服务项目投标。</w:t>
      </w:r>
    </w:p>
    <w:p w14:paraId="30B179D0">
      <w:pPr>
        <w:pStyle w:val="344"/>
        <w:numPr>
          <w:ilvl w:val="0"/>
          <w:numId w:val="26"/>
        </w:numPr>
        <w:spacing w:line="360" w:lineRule="auto"/>
        <w:ind w:left="0" w:firstLine="480"/>
        <w:rPr>
          <w:rFonts w:hint="eastAsia" w:ascii="宋体" w:hAnsi="宋体"/>
          <w:color w:val="auto"/>
          <w:kern w:val="2"/>
          <w:sz w:val="24"/>
          <w:szCs w:val="24"/>
        </w:rPr>
      </w:pPr>
      <w:bookmarkStart w:id="356" w:name="OLE_LINK6"/>
      <w:r>
        <w:rPr>
          <w:rFonts w:hint="eastAsia" w:ascii="宋体" w:hAnsi="宋体"/>
          <w:color w:val="auto"/>
          <w:kern w:val="2"/>
          <w:sz w:val="24"/>
          <w:szCs w:val="24"/>
        </w:rPr>
        <w:t>乙方由于自身原因未按约定时间提交造价成果文件，每延误一天甲方有权要求乙方按照</w:t>
      </w:r>
      <w:r>
        <w:rPr>
          <w:rFonts w:hint="eastAsia" w:ascii="宋体" w:hAnsi="宋体"/>
          <w:b/>
          <w:bCs/>
          <w:color w:val="auto"/>
          <w:kern w:val="2"/>
          <w:sz w:val="24"/>
          <w:szCs w:val="24"/>
          <w:u w:val="single"/>
        </w:rPr>
        <w:t>具体项目签约合同价的3‰</w:t>
      </w:r>
      <w:r>
        <w:rPr>
          <w:rFonts w:hint="eastAsia" w:ascii="宋体" w:hAnsi="宋体"/>
          <w:color w:val="auto"/>
          <w:kern w:val="2"/>
          <w:sz w:val="24"/>
          <w:szCs w:val="24"/>
        </w:rPr>
        <w:t>支付违约金，未经甲方同意累计延误超过14天的，甲方有权解除合同</w:t>
      </w:r>
      <w:r>
        <w:rPr>
          <w:rFonts w:hint="eastAsia" w:ascii="宋体" w:hAnsi="宋体"/>
          <w:color w:val="auto"/>
          <w:kern w:val="2"/>
          <w:sz w:val="24"/>
          <w:szCs w:val="24"/>
          <w:lang w:eastAsia="zh-CN"/>
        </w:rPr>
        <w:t>（</w:t>
      </w:r>
      <w:r>
        <w:rPr>
          <w:rFonts w:hint="eastAsia" w:ascii="宋体" w:hAnsi="宋体"/>
          <w:color w:val="auto"/>
          <w:kern w:val="2"/>
          <w:sz w:val="24"/>
          <w:szCs w:val="24"/>
          <w:lang w:val="en-US" w:eastAsia="zh-CN"/>
        </w:rPr>
        <w:t>包括本协议</w:t>
      </w:r>
      <w:r>
        <w:rPr>
          <w:rFonts w:hint="eastAsia" w:ascii="宋体" w:hAnsi="宋体"/>
          <w:color w:val="auto"/>
          <w:kern w:val="2"/>
          <w:sz w:val="24"/>
          <w:szCs w:val="24"/>
          <w:lang w:eastAsia="zh-CN"/>
        </w:rPr>
        <w:t>）</w:t>
      </w:r>
      <w:r>
        <w:rPr>
          <w:rFonts w:hint="eastAsia" w:ascii="宋体" w:hAnsi="宋体"/>
          <w:color w:val="auto"/>
          <w:kern w:val="2"/>
          <w:sz w:val="24"/>
          <w:szCs w:val="24"/>
        </w:rPr>
        <w:t>，乙方应额外承担</w:t>
      </w:r>
      <w:r>
        <w:rPr>
          <w:rFonts w:hint="eastAsia" w:ascii="宋体" w:hAnsi="宋体"/>
          <w:b/>
          <w:bCs/>
          <w:color w:val="auto"/>
          <w:kern w:val="2"/>
          <w:sz w:val="24"/>
          <w:szCs w:val="24"/>
          <w:u w:val="single"/>
        </w:rPr>
        <w:t>具体项目签约合同价5%</w:t>
      </w:r>
      <w:r>
        <w:rPr>
          <w:rFonts w:hint="eastAsia" w:ascii="宋体" w:hAnsi="宋体"/>
          <w:color w:val="auto"/>
          <w:kern w:val="2"/>
          <w:sz w:val="24"/>
          <w:szCs w:val="24"/>
        </w:rPr>
        <w:t>的违约金，如造成其他损失的，还应予以赔偿。</w:t>
      </w:r>
      <w:bookmarkEnd w:id="356"/>
    </w:p>
    <w:p w14:paraId="239ADB02">
      <w:pPr>
        <w:pStyle w:val="344"/>
        <w:numPr>
          <w:ilvl w:val="0"/>
          <w:numId w:val="26"/>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乙方出具的工程量清单缺少项目，且该项造价占该工程造价比例达</w:t>
      </w:r>
      <w:r>
        <w:rPr>
          <w:rFonts w:hint="eastAsia" w:ascii="宋体" w:hAnsi="宋体"/>
          <w:b/>
          <w:bCs/>
          <w:color w:val="auto"/>
          <w:kern w:val="2"/>
          <w:sz w:val="24"/>
          <w:szCs w:val="24"/>
          <w:u w:val="single"/>
        </w:rPr>
        <w:t>1%</w:t>
      </w:r>
      <w:r>
        <w:rPr>
          <w:rFonts w:hint="eastAsia" w:ascii="宋体" w:hAnsi="宋体"/>
          <w:color w:val="auto"/>
          <w:kern w:val="2"/>
          <w:sz w:val="24"/>
          <w:szCs w:val="24"/>
        </w:rPr>
        <w:t>以上（含本数），甲方有权要求乙方每次支付</w:t>
      </w:r>
      <w:r>
        <w:rPr>
          <w:rFonts w:hint="eastAsia" w:ascii="宋体" w:hAnsi="宋体"/>
          <w:b/>
          <w:bCs/>
          <w:color w:val="auto"/>
          <w:kern w:val="2"/>
          <w:sz w:val="24"/>
          <w:szCs w:val="24"/>
          <w:u w:val="single"/>
        </w:rPr>
        <w:t>具体项目签约合同价1%</w:t>
      </w:r>
      <w:r>
        <w:rPr>
          <w:rFonts w:hint="eastAsia" w:ascii="宋体" w:hAnsi="宋体"/>
          <w:color w:val="auto"/>
          <w:kern w:val="2"/>
          <w:sz w:val="24"/>
          <w:szCs w:val="24"/>
        </w:rPr>
        <w:t>的违约金。</w:t>
      </w:r>
    </w:p>
    <w:p w14:paraId="06D0A948">
      <w:pPr>
        <w:pStyle w:val="344"/>
        <w:numPr>
          <w:ilvl w:val="0"/>
          <w:numId w:val="26"/>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乙方审定的预算造价、招标控制价或结算造价与深圳市建设工程造价管理站、</w:t>
      </w:r>
      <w:r>
        <w:rPr>
          <w:rFonts w:ascii="宋体" w:hAnsi="宋体"/>
          <w:color w:val="auto"/>
          <w:kern w:val="2"/>
          <w:sz w:val="24"/>
          <w:szCs w:val="24"/>
        </w:rPr>
        <w:t>福田区建设工程质量安全中心</w:t>
      </w:r>
      <w:r>
        <w:rPr>
          <w:rFonts w:hint="eastAsia" w:ascii="宋体" w:hAnsi="宋体"/>
          <w:color w:val="auto"/>
          <w:kern w:val="2"/>
          <w:sz w:val="24"/>
          <w:szCs w:val="24"/>
        </w:rPr>
        <w:t>或甲方委托的审核单位审核准价偏差超过</w:t>
      </w:r>
      <w:r>
        <w:rPr>
          <w:rFonts w:hint="eastAsia" w:ascii="宋体" w:hAnsi="宋体"/>
          <w:b/>
          <w:bCs/>
          <w:color w:val="auto"/>
          <w:kern w:val="2"/>
          <w:sz w:val="24"/>
          <w:szCs w:val="24"/>
          <w:u w:val="single"/>
        </w:rPr>
        <w:t>5%</w:t>
      </w:r>
      <w:r>
        <w:rPr>
          <w:rFonts w:hint="eastAsia" w:ascii="宋体" w:hAnsi="宋体"/>
          <w:color w:val="auto"/>
          <w:kern w:val="2"/>
          <w:sz w:val="24"/>
          <w:szCs w:val="24"/>
        </w:rPr>
        <w:t>，甲方有权要求乙方每次支付</w:t>
      </w:r>
      <w:r>
        <w:rPr>
          <w:rFonts w:hint="eastAsia" w:ascii="宋体" w:hAnsi="宋体"/>
          <w:b/>
          <w:bCs/>
          <w:color w:val="auto"/>
          <w:kern w:val="2"/>
          <w:sz w:val="24"/>
          <w:szCs w:val="24"/>
          <w:u w:val="single"/>
        </w:rPr>
        <w:t>超过5%部分造价3%</w:t>
      </w:r>
      <w:r>
        <w:rPr>
          <w:rFonts w:hint="eastAsia" w:ascii="宋体" w:hAnsi="宋体"/>
          <w:color w:val="auto"/>
          <w:kern w:val="2"/>
          <w:sz w:val="24"/>
          <w:szCs w:val="24"/>
        </w:rPr>
        <w:t>的违约金。</w:t>
      </w:r>
    </w:p>
    <w:p w14:paraId="0DFAE28F">
      <w:pPr>
        <w:pStyle w:val="344"/>
        <w:numPr>
          <w:ilvl w:val="0"/>
          <w:numId w:val="26"/>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乙方未经甲方同意更换或未按甲方要求更换项目负责人及项目组成员，甲方有权要求乙方每次支付</w:t>
      </w:r>
      <w:r>
        <w:rPr>
          <w:rFonts w:hint="eastAsia" w:ascii="宋体" w:hAnsi="宋体"/>
          <w:b/>
          <w:bCs/>
          <w:color w:val="auto"/>
          <w:kern w:val="2"/>
          <w:sz w:val="24"/>
          <w:szCs w:val="24"/>
          <w:u w:val="single"/>
        </w:rPr>
        <w:t>具体项目签约合同价1%/人</w:t>
      </w:r>
      <w:r>
        <w:rPr>
          <w:rFonts w:hint="eastAsia" w:ascii="宋体" w:hAnsi="宋体"/>
          <w:color w:val="auto"/>
          <w:kern w:val="2"/>
          <w:sz w:val="24"/>
          <w:szCs w:val="24"/>
        </w:rPr>
        <w:t>的违约金。</w:t>
      </w:r>
    </w:p>
    <w:p w14:paraId="6CD252A6">
      <w:pPr>
        <w:pStyle w:val="344"/>
        <w:numPr>
          <w:ilvl w:val="0"/>
          <w:numId w:val="26"/>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乙方未按协议约定</w:t>
      </w:r>
      <w:r>
        <w:rPr>
          <w:rFonts w:hint="eastAsia" w:ascii="宋体" w:hAnsi="宋体"/>
          <w:color w:val="auto"/>
          <w:kern w:val="2"/>
          <w:sz w:val="24"/>
          <w:szCs w:val="24"/>
          <w:lang w:eastAsia="zh-CN"/>
        </w:rPr>
        <w:t>（</w:t>
      </w:r>
      <w:r>
        <w:rPr>
          <w:rFonts w:hint="eastAsia" w:ascii="宋体" w:hAnsi="宋体"/>
          <w:color w:val="auto"/>
          <w:kern w:val="2"/>
          <w:sz w:val="24"/>
          <w:szCs w:val="24"/>
          <w:lang w:val="en-US" w:eastAsia="zh-CN"/>
        </w:rPr>
        <w:t>包括本协议</w:t>
      </w:r>
      <w:r>
        <w:rPr>
          <w:rFonts w:hint="eastAsia" w:ascii="宋体" w:hAnsi="宋体"/>
          <w:color w:val="auto"/>
          <w:kern w:val="2"/>
          <w:sz w:val="24"/>
          <w:szCs w:val="24"/>
          <w:lang w:eastAsia="zh-CN"/>
        </w:rPr>
        <w:t>）</w:t>
      </w:r>
      <w:r>
        <w:rPr>
          <w:rFonts w:hint="eastAsia" w:ascii="宋体" w:hAnsi="宋体"/>
          <w:color w:val="auto"/>
          <w:kern w:val="2"/>
          <w:sz w:val="24"/>
          <w:szCs w:val="24"/>
        </w:rPr>
        <w:t>履行保密义务的，甲方有权解除</w:t>
      </w:r>
      <w:r>
        <w:rPr>
          <w:rFonts w:hint="eastAsia" w:ascii="宋体" w:hAnsi="宋体"/>
          <w:color w:val="auto"/>
          <w:kern w:val="2"/>
          <w:sz w:val="24"/>
          <w:szCs w:val="24"/>
          <w:lang w:val="en-US" w:eastAsia="zh-CN"/>
        </w:rPr>
        <w:t>本</w:t>
      </w:r>
      <w:r>
        <w:rPr>
          <w:rFonts w:hint="eastAsia" w:ascii="宋体" w:hAnsi="宋体"/>
          <w:color w:val="auto"/>
          <w:kern w:val="2"/>
          <w:sz w:val="24"/>
          <w:szCs w:val="24"/>
        </w:rPr>
        <w:t>框架协议，并要求乙方向甲方支付</w:t>
      </w:r>
      <w:r>
        <w:rPr>
          <w:rFonts w:hint="eastAsia" w:ascii="宋体" w:hAnsi="宋体"/>
          <w:b/>
          <w:bCs/>
          <w:color w:val="auto"/>
          <w:kern w:val="2"/>
          <w:sz w:val="24"/>
          <w:szCs w:val="24"/>
          <w:u w:val="single"/>
          <w:lang w:val="en-US" w:eastAsia="zh-CN"/>
        </w:rPr>
        <w:t>2</w:t>
      </w:r>
      <w:r>
        <w:rPr>
          <w:rFonts w:hint="eastAsia" w:ascii="宋体" w:hAnsi="宋体"/>
          <w:b/>
          <w:bCs/>
          <w:color w:val="auto"/>
          <w:kern w:val="2"/>
          <w:sz w:val="24"/>
          <w:szCs w:val="24"/>
          <w:u w:val="single"/>
        </w:rPr>
        <w:t>万元</w:t>
      </w:r>
      <w:r>
        <w:rPr>
          <w:rFonts w:hint="eastAsia" w:ascii="宋体" w:hAnsi="宋体"/>
          <w:color w:val="auto"/>
          <w:kern w:val="2"/>
          <w:sz w:val="24"/>
          <w:szCs w:val="24"/>
        </w:rPr>
        <w:t>的违约金。如造成其他损失的，还应予以赔偿。</w:t>
      </w:r>
    </w:p>
    <w:p w14:paraId="5BB9AE2D">
      <w:pPr>
        <w:pStyle w:val="344"/>
        <w:numPr>
          <w:ilvl w:val="0"/>
          <w:numId w:val="26"/>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乙方擅自转包或未经同意分包全部或部分咨询业务，甲方有权解除合同</w:t>
      </w:r>
      <w:r>
        <w:rPr>
          <w:rFonts w:hint="eastAsia" w:ascii="宋体" w:hAnsi="宋体"/>
          <w:color w:val="auto"/>
          <w:kern w:val="2"/>
          <w:sz w:val="24"/>
          <w:szCs w:val="24"/>
          <w:lang w:eastAsia="zh-CN"/>
        </w:rPr>
        <w:t>（</w:t>
      </w:r>
      <w:r>
        <w:rPr>
          <w:rFonts w:hint="eastAsia" w:ascii="宋体" w:hAnsi="宋体"/>
          <w:color w:val="auto"/>
          <w:kern w:val="2"/>
          <w:sz w:val="24"/>
          <w:szCs w:val="24"/>
          <w:lang w:val="en-US" w:eastAsia="zh-CN"/>
        </w:rPr>
        <w:t>包括本协议</w:t>
      </w:r>
      <w:r>
        <w:rPr>
          <w:rFonts w:hint="eastAsia" w:ascii="宋体" w:hAnsi="宋体"/>
          <w:color w:val="auto"/>
          <w:kern w:val="2"/>
          <w:sz w:val="24"/>
          <w:szCs w:val="24"/>
          <w:lang w:eastAsia="zh-CN"/>
        </w:rPr>
        <w:t>）</w:t>
      </w:r>
      <w:r>
        <w:rPr>
          <w:rFonts w:hint="eastAsia" w:ascii="宋体" w:hAnsi="宋体"/>
          <w:color w:val="auto"/>
          <w:kern w:val="2"/>
          <w:sz w:val="24"/>
          <w:szCs w:val="24"/>
        </w:rPr>
        <w:t>，乙方应额外承担具体项目</w:t>
      </w:r>
      <w:r>
        <w:rPr>
          <w:rFonts w:hint="eastAsia" w:ascii="宋体" w:hAnsi="宋体"/>
          <w:b/>
          <w:bCs/>
          <w:color w:val="auto"/>
          <w:kern w:val="2"/>
          <w:sz w:val="24"/>
          <w:szCs w:val="24"/>
          <w:u w:val="single"/>
        </w:rPr>
        <w:t>签约合同价5%</w:t>
      </w:r>
      <w:r>
        <w:rPr>
          <w:rFonts w:hint="eastAsia" w:ascii="宋体" w:hAnsi="宋体"/>
          <w:color w:val="auto"/>
          <w:kern w:val="2"/>
          <w:sz w:val="24"/>
          <w:szCs w:val="24"/>
        </w:rPr>
        <w:t>的违约金，如造成其他损失的，还应予以赔偿。</w:t>
      </w:r>
    </w:p>
    <w:p w14:paraId="7D5BE88F">
      <w:pPr>
        <w:pStyle w:val="344"/>
        <w:numPr>
          <w:ilvl w:val="0"/>
          <w:numId w:val="26"/>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乙方在承担上述一项或多项违约责任后，仍应继续履行本协议和</w:t>
      </w:r>
      <w:r>
        <w:rPr>
          <w:rFonts w:hint="eastAsia" w:ascii="宋体" w:hAnsi="宋体"/>
          <w:color w:val="auto"/>
          <w:kern w:val="2"/>
          <w:sz w:val="24"/>
          <w:szCs w:val="24"/>
          <w:u w:val="single"/>
        </w:rPr>
        <w:t>《</w:t>
      </w:r>
      <w:r>
        <w:rPr>
          <w:rFonts w:hint="eastAsia" w:ascii="宋体" w:hAnsi="宋体"/>
          <w:color w:val="auto"/>
          <w:sz w:val="24"/>
          <w:szCs w:val="24"/>
          <w:u w:val="single"/>
        </w:rPr>
        <w:t>造价咨询服务委托合同</w:t>
      </w:r>
      <w:r>
        <w:rPr>
          <w:rFonts w:hint="eastAsia" w:ascii="宋体" w:hAnsi="宋体"/>
          <w:color w:val="auto"/>
          <w:kern w:val="2"/>
          <w:sz w:val="24"/>
          <w:szCs w:val="24"/>
          <w:u w:val="single"/>
        </w:rPr>
        <w:t>》</w:t>
      </w:r>
      <w:r>
        <w:rPr>
          <w:rFonts w:hint="eastAsia" w:ascii="宋体" w:hAnsi="宋体"/>
          <w:color w:val="auto"/>
          <w:kern w:val="2"/>
          <w:sz w:val="24"/>
          <w:szCs w:val="24"/>
        </w:rPr>
        <w:t>规定的义务（甲方解除合同的除外）。甲方未能及时追究乙方的任何一项违约责任并不表明甲方放弃追究乙方该项或其他违约责任。</w:t>
      </w:r>
    </w:p>
    <w:p w14:paraId="49F5AB96">
      <w:pPr>
        <w:pStyle w:val="344"/>
        <w:numPr>
          <w:ilvl w:val="0"/>
          <w:numId w:val="26"/>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乙方按本协议或</w:t>
      </w:r>
      <w:r>
        <w:rPr>
          <w:rFonts w:hint="eastAsia" w:ascii="宋体" w:hAnsi="宋体"/>
          <w:color w:val="auto"/>
          <w:kern w:val="2"/>
          <w:sz w:val="24"/>
          <w:szCs w:val="24"/>
          <w:u w:val="single"/>
        </w:rPr>
        <w:t>《</w:t>
      </w:r>
      <w:r>
        <w:rPr>
          <w:rFonts w:hint="eastAsia" w:ascii="宋体" w:hAnsi="宋体"/>
          <w:color w:val="auto"/>
          <w:sz w:val="24"/>
          <w:szCs w:val="24"/>
          <w:u w:val="single"/>
        </w:rPr>
        <w:t>造价咨询服务委托合同</w:t>
      </w:r>
      <w:r>
        <w:rPr>
          <w:rFonts w:hint="eastAsia" w:ascii="宋体" w:hAnsi="宋体"/>
          <w:color w:val="auto"/>
          <w:kern w:val="2"/>
          <w:sz w:val="24"/>
          <w:szCs w:val="24"/>
          <w:u w:val="single"/>
        </w:rPr>
        <w:t>》</w:t>
      </w:r>
      <w:r>
        <w:rPr>
          <w:rFonts w:hint="eastAsia" w:ascii="宋体" w:hAnsi="宋体"/>
          <w:color w:val="auto"/>
          <w:kern w:val="2"/>
          <w:sz w:val="24"/>
          <w:szCs w:val="24"/>
        </w:rPr>
        <w:t>应当向甲方承担的任何违约责任，甲方均有权从拟付乙方的任何款项中直接扣除及/或从乙方预留的履约保函（如有）/质量保函（如有）中直接受偿。</w:t>
      </w:r>
    </w:p>
    <w:p w14:paraId="324A127B">
      <w:pPr>
        <w:pStyle w:val="344"/>
        <w:numPr>
          <w:ilvl w:val="0"/>
          <w:numId w:val="26"/>
        </w:numPr>
        <w:spacing w:line="360" w:lineRule="auto"/>
        <w:ind w:left="0" w:firstLine="480"/>
        <w:rPr>
          <w:rFonts w:hint="eastAsia" w:ascii="宋体" w:hAnsi="宋体"/>
          <w:color w:val="auto"/>
          <w:kern w:val="2"/>
          <w:sz w:val="24"/>
          <w:szCs w:val="24"/>
        </w:rPr>
      </w:pPr>
      <w:r>
        <w:rPr>
          <w:rFonts w:hint="eastAsia" w:ascii="宋体" w:hAnsi="宋体"/>
          <w:color w:val="auto"/>
          <w:sz w:val="24"/>
        </w:rPr>
        <w:t>本</w:t>
      </w:r>
      <w:r>
        <w:rPr>
          <w:rFonts w:hint="eastAsia" w:ascii="宋体" w:hAnsi="宋体"/>
          <w:color w:val="auto"/>
          <w:sz w:val="24"/>
          <w:lang w:val="en-US" w:eastAsia="zh-CN"/>
        </w:rPr>
        <w:t>协议</w:t>
      </w:r>
      <w:r>
        <w:rPr>
          <w:rFonts w:hint="eastAsia" w:ascii="宋体" w:hAnsi="宋体"/>
          <w:color w:val="auto"/>
          <w:sz w:val="24"/>
        </w:rPr>
        <w:t>签署后，如一方未履行合同或履约不符合合同约定的，则被视为违约，违约方应当赔偿对方因此造成的经济损失（包括但不限于诉讼费、律师费、财产保全费、财产保全担保费、差旅费、执行费、公告费、保险费、评估费、拍卖费、保管费、鉴定费等费用）</w:t>
      </w:r>
      <w:r>
        <w:rPr>
          <w:rFonts w:hint="eastAsia" w:ascii="宋体" w:hAnsi="宋体"/>
          <w:color w:val="auto"/>
          <w:sz w:val="24"/>
          <w:lang w:eastAsia="zh-CN"/>
        </w:rPr>
        <w:t>。</w:t>
      </w:r>
    </w:p>
    <w:p w14:paraId="70C47A39">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保密义务</w:t>
      </w:r>
    </w:p>
    <w:p w14:paraId="3C91C9A7">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乙方有为甲方保守项目秘密的义务。乙方对于在洽谈、签订、履行本协议及</w:t>
      </w:r>
      <w:r>
        <w:rPr>
          <w:rFonts w:hint="eastAsia" w:ascii="宋体" w:hAnsi="宋体"/>
          <w:color w:val="auto"/>
          <w:kern w:val="2"/>
          <w:sz w:val="24"/>
          <w:szCs w:val="24"/>
          <w:u w:val="single"/>
        </w:rPr>
        <w:t>《</w:t>
      </w:r>
      <w:r>
        <w:rPr>
          <w:rFonts w:hint="eastAsia" w:ascii="宋体" w:hAnsi="宋体"/>
          <w:color w:val="auto"/>
          <w:sz w:val="24"/>
          <w:szCs w:val="24"/>
          <w:u w:val="single"/>
        </w:rPr>
        <w:t>造价咨询服务委托合同</w:t>
      </w:r>
      <w:r>
        <w:rPr>
          <w:rFonts w:hint="eastAsia" w:ascii="宋体" w:hAnsi="宋体"/>
          <w:color w:val="auto"/>
          <w:kern w:val="2"/>
          <w:sz w:val="24"/>
          <w:szCs w:val="24"/>
          <w:u w:val="single"/>
        </w:rPr>
        <w:t>》</w:t>
      </w:r>
      <w:r>
        <w:rPr>
          <w:rFonts w:hint="eastAsia" w:ascii="宋体" w:hAnsi="宋体"/>
          <w:color w:val="auto"/>
          <w:kern w:val="2"/>
          <w:sz w:val="24"/>
          <w:szCs w:val="24"/>
        </w:rPr>
        <w:t>过程中所获悉的属于甲方的且无法通过公开渠道获得的商业秘密（包括但不限于文件、资料及信息、计划与方案、甲方公司计划、运营活动、财务信息、技术信息、经营信息、人事安排等）应当予以保密。即使本协议或具体项目合同履行完毕、被解除、终止，乙方的保密义务终身存在，除非上述保密内容已经被公开。</w:t>
      </w:r>
    </w:p>
    <w:p w14:paraId="3FF1E9B4">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协议有效期与协议终止</w:t>
      </w:r>
    </w:p>
    <w:p w14:paraId="3E9F76A8">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本协议合作内容委托有效期限自本协议签订后</w:t>
      </w:r>
      <w:r>
        <w:rPr>
          <w:rFonts w:hint="eastAsia" w:ascii="宋体" w:hAnsi="宋体"/>
          <w:color w:val="auto"/>
          <w:sz w:val="24"/>
          <w:szCs w:val="24"/>
          <w:u w:val="single"/>
        </w:rPr>
        <w:t>1年</w:t>
      </w:r>
      <w:r>
        <w:rPr>
          <w:rFonts w:hint="eastAsia" w:ascii="宋体" w:hAnsi="宋体"/>
          <w:color w:val="auto"/>
          <w:kern w:val="2"/>
          <w:sz w:val="24"/>
          <w:szCs w:val="24"/>
        </w:rPr>
        <w:t>，</w:t>
      </w:r>
      <w:r>
        <w:rPr>
          <w:rFonts w:hint="eastAsia" w:ascii="宋体" w:hAnsi="宋体"/>
          <w:color w:val="auto"/>
          <w:sz w:val="24"/>
          <w:szCs w:val="24"/>
          <w:u w:val="single"/>
        </w:rPr>
        <w:t>合同期满</w:t>
      </w:r>
      <w:r>
        <w:rPr>
          <w:rFonts w:hint="eastAsia" w:ascii="宋体" w:hAnsi="宋体"/>
          <w:color w:val="auto"/>
          <w:kern w:val="2"/>
          <w:sz w:val="24"/>
          <w:szCs w:val="24"/>
        </w:rPr>
        <w:t>后甲方新增的需求不再适用本框架协议。但具体项目</w:t>
      </w:r>
      <w:r>
        <w:rPr>
          <w:rFonts w:hint="eastAsia" w:ascii="宋体" w:hAnsi="宋体"/>
          <w:color w:val="auto"/>
          <w:kern w:val="2"/>
          <w:sz w:val="24"/>
          <w:szCs w:val="24"/>
          <w:u w:val="single"/>
        </w:rPr>
        <w:t>《</w:t>
      </w:r>
      <w:r>
        <w:rPr>
          <w:rFonts w:hint="eastAsia" w:ascii="宋体" w:hAnsi="宋体"/>
          <w:color w:val="auto"/>
          <w:sz w:val="24"/>
          <w:szCs w:val="24"/>
          <w:u w:val="single"/>
        </w:rPr>
        <w:t>造价咨询服务委托合同</w:t>
      </w:r>
      <w:r>
        <w:rPr>
          <w:rFonts w:hint="eastAsia" w:ascii="宋体" w:hAnsi="宋体"/>
          <w:color w:val="auto"/>
          <w:kern w:val="2"/>
          <w:sz w:val="24"/>
          <w:szCs w:val="24"/>
          <w:u w:val="single"/>
        </w:rPr>
        <w:t>》</w:t>
      </w:r>
      <w:r>
        <w:rPr>
          <w:rFonts w:hint="eastAsia" w:ascii="宋体" w:hAnsi="宋体"/>
          <w:color w:val="auto"/>
          <w:kern w:val="2"/>
          <w:sz w:val="24"/>
          <w:szCs w:val="24"/>
        </w:rPr>
        <w:t>未履行完毕或未解除的仍适用本框架协议条款，直至所有项目</w:t>
      </w:r>
      <w:r>
        <w:rPr>
          <w:rFonts w:hint="eastAsia" w:ascii="宋体" w:hAnsi="宋体"/>
          <w:color w:val="auto"/>
          <w:kern w:val="2"/>
          <w:sz w:val="24"/>
          <w:szCs w:val="24"/>
          <w:u w:val="single"/>
        </w:rPr>
        <w:t>《</w:t>
      </w:r>
      <w:r>
        <w:rPr>
          <w:rFonts w:hint="eastAsia" w:ascii="宋体" w:hAnsi="宋体"/>
          <w:color w:val="auto"/>
          <w:sz w:val="24"/>
          <w:szCs w:val="24"/>
          <w:u w:val="single"/>
        </w:rPr>
        <w:t>造价咨询服务委托合同</w:t>
      </w:r>
      <w:r>
        <w:rPr>
          <w:rFonts w:hint="eastAsia" w:ascii="宋体" w:hAnsi="宋体"/>
          <w:color w:val="auto"/>
          <w:kern w:val="2"/>
          <w:sz w:val="24"/>
          <w:szCs w:val="24"/>
          <w:u w:val="single"/>
        </w:rPr>
        <w:t>》</w:t>
      </w:r>
      <w:r>
        <w:rPr>
          <w:rFonts w:hint="eastAsia" w:ascii="宋体" w:hAnsi="宋体"/>
          <w:color w:val="auto"/>
          <w:kern w:val="2"/>
          <w:sz w:val="24"/>
          <w:szCs w:val="24"/>
        </w:rPr>
        <w:t>履行完毕或解除后，本协议其他条款（保密条款、违约责任条款</w:t>
      </w:r>
      <w:r>
        <w:rPr>
          <w:rFonts w:hint="eastAsia" w:ascii="宋体" w:hAnsi="宋体"/>
          <w:color w:val="auto"/>
          <w:kern w:val="2"/>
          <w:sz w:val="24"/>
          <w:szCs w:val="24"/>
          <w:lang w:val="en-US" w:eastAsia="zh-CN"/>
        </w:rPr>
        <w:t>等约定</w:t>
      </w:r>
      <w:r>
        <w:rPr>
          <w:rFonts w:hint="eastAsia" w:ascii="宋体" w:hAnsi="宋体"/>
          <w:color w:val="auto"/>
          <w:kern w:val="2"/>
          <w:sz w:val="24"/>
          <w:szCs w:val="24"/>
        </w:rPr>
        <w:t>除外）随即终止。</w:t>
      </w:r>
    </w:p>
    <w:p w14:paraId="0697E3D3">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纠纷争议处理方式</w:t>
      </w:r>
    </w:p>
    <w:p w14:paraId="0C0BD27F">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凡因本协议引起的或与本协议有关的争议，双方应当协商解决，协商不成时，双方向甲方所在地人民法院起诉。在起诉期间，除正在进行起诉的部分外，本协议其他部分应继续执行。</w:t>
      </w:r>
    </w:p>
    <w:p w14:paraId="3C97187F">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合同文件内容及解释次序</w:t>
      </w:r>
    </w:p>
    <w:p w14:paraId="0B93891F">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构成合同的文件应能相互解释，互为说明。除合同条款另有约定外，组成合同的文件及优先解释次序如下：</w:t>
      </w:r>
    </w:p>
    <w:p w14:paraId="36001A97">
      <w:pPr>
        <w:pStyle w:val="344"/>
        <w:numPr>
          <w:ilvl w:val="0"/>
          <w:numId w:val="27"/>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协议履行期间，双方签字</w:t>
      </w:r>
      <w:r>
        <w:rPr>
          <w:rFonts w:hint="eastAsia" w:ascii="宋体" w:hAnsi="宋体"/>
          <w:color w:val="auto"/>
          <w:kern w:val="2"/>
          <w:sz w:val="24"/>
          <w:szCs w:val="24"/>
          <w:lang w:val="en-US" w:eastAsia="zh-CN"/>
        </w:rPr>
        <w:t>并</w:t>
      </w:r>
      <w:r>
        <w:rPr>
          <w:rFonts w:hint="eastAsia" w:ascii="宋体" w:hAnsi="宋体"/>
          <w:color w:val="auto"/>
          <w:kern w:val="2"/>
          <w:sz w:val="24"/>
          <w:szCs w:val="24"/>
        </w:rPr>
        <w:t>盖章的补充协议</w:t>
      </w:r>
    </w:p>
    <w:p w14:paraId="3D08F2C4">
      <w:pPr>
        <w:pStyle w:val="344"/>
        <w:numPr>
          <w:ilvl w:val="0"/>
          <w:numId w:val="27"/>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lang w:eastAsia="zh-CN"/>
        </w:rPr>
        <w:t>2026-2027年度小型工程项目全过程造价咨询服务</w:t>
      </w:r>
      <w:r>
        <w:rPr>
          <w:rFonts w:hint="eastAsia" w:ascii="宋体" w:hAnsi="宋体"/>
          <w:color w:val="auto"/>
          <w:kern w:val="2"/>
          <w:sz w:val="24"/>
          <w:szCs w:val="24"/>
        </w:rPr>
        <w:t>框架协议正文</w:t>
      </w:r>
    </w:p>
    <w:p w14:paraId="1B560FDD">
      <w:pPr>
        <w:pStyle w:val="344"/>
        <w:numPr>
          <w:ilvl w:val="0"/>
          <w:numId w:val="27"/>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造价咨询服务委托合同</w:t>
      </w:r>
    </w:p>
    <w:p w14:paraId="4FAB4FC6">
      <w:pPr>
        <w:pStyle w:val="344"/>
        <w:numPr>
          <w:ilvl w:val="0"/>
          <w:numId w:val="27"/>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其他合同附件</w:t>
      </w:r>
    </w:p>
    <w:p w14:paraId="7A204B7F">
      <w:pPr>
        <w:pStyle w:val="344"/>
        <w:numPr>
          <w:ilvl w:val="0"/>
          <w:numId w:val="27"/>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投标文件及澄清纪要</w:t>
      </w:r>
    </w:p>
    <w:p w14:paraId="43FD4EE8">
      <w:pPr>
        <w:pStyle w:val="344"/>
        <w:numPr>
          <w:ilvl w:val="0"/>
          <w:numId w:val="27"/>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招标文件及答疑、补遗文件</w:t>
      </w:r>
    </w:p>
    <w:p w14:paraId="67C8F937">
      <w:pPr>
        <w:pStyle w:val="344"/>
        <w:numPr>
          <w:ilvl w:val="0"/>
          <w:numId w:val="27"/>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标准规范及有关技术文件</w:t>
      </w:r>
    </w:p>
    <w:p w14:paraId="240D9224">
      <w:pPr>
        <w:pStyle w:val="344"/>
        <w:numPr>
          <w:ilvl w:val="0"/>
          <w:numId w:val="27"/>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双方认为应作为合同构成的其他文件</w:t>
      </w:r>
    </w:p>
    <w:p w14:paraId="37AC3CC8">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协议份数</w:t>
      </w:r>
    </w:p>
    <w:p w14:paraId="65A485FE">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本协议一式</w:t>
      </w:r>
      <w:r>
        <w:rPr>
          <w:rFonts w:hint="eastAsia" w:ascii="宋体" w:hAnsi="宋体"/>
          <w:color w:val="auto"/>
          <w:sz w:val="24"/>
          <w:szCs w:val="24"/>
          <w:u w:val="single"/>
          <w:lang w:val="en-US" w:eastAsia="zh-CN"/>
        </w:rPr>
        <w:t>陆</w:t>
      </w:r>
      <w:r>
        <w:rPr>
          <w:rFonts w:hint="eastAsia" w:ascii="宋体" w:hAnsi="宋体"/>
          <w:color w:val="auto"/>
          <w:kern w:val="2"/>
          <w:sz w:val="24"/>
          <w:szCs w:val="24"/>
        </w:rPr>
        <w:t>份，甲方</w:t>
      </w:r>
      <w:r>
        <w:rPr>
          <w:rFonts w:hint="eastAsia" w:ascii="宋体" w:hAnsi="宋体"/>
          <w:color w:val="auto"/>
          <w:kern w:val="2"/>
          <w:sz w:val="24"/>
          <w:szCs w:val="24"/>
          <w:u w:val="single"/>
          <w:lang w:val="en-US" w:eastAsia="zh-CN"/>
        </w:rPr>
        <w:t>肆</w:t>
      </w:r>
      <w:r>
        <w:rPr>
          <w:rFonts w:hint="eastAsia" w:ascii="宋体" w:hAnsi="宋体"/>
          <w:color w:val="auto"/>
          <w:kern w:val="2"/>
          <w:sz w:val="24"/>
          <w:szCs w:val="24"/>
        </w:rPr>
        <w:t>份，乙方</w:t>
      </w:r>
      <w:r>
        <w:rPr>
          <w:rFonts w:hint="eastAsia" w:ascii="宋体" w:hAnsi="宋体"/>
          <w:color w:val="auto"/>
          <w:sz w:val="24"/>
          <w:szCs w:val="24"/>
          <w:u w:val="single"/>
        </w:rPr>
        <w:t>贰</w:t>
      </w:r>
      <w:r>
        <w:rPr>
          <w:rFonts w:hint="eastAsia" w:ascii="宋体" w:hAnsi="宋体"/>
          <w:color w:val="auto"/>
          <w:kern w:val="2"/>
          <w:sz w:val="24"/>
          <w:szCs w:val="24"/>
        </w:rPr>
        <w:t>份，均具同等效力，未尽事宜，协商解决。</w:t>
      </w:r>
    </w:p>
    <w:p w14:paraId="73B54A18">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协议生效</w:t>
      </w:r>
    </w:p>
    <w:p w14:paraId="0CE87F58">
      <w:pPr>
        <w:pStyle w:val="344"/>
        <w:numPr>
          <w:ilvl w:val="0"/>
          <w:numId w:val="28"/>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协议订立地点：深圳市福田区</w:t>
      </w:r>
    </w:p>
    <w:p w14:paraId="4E6A19ED">
      <w:pPr>
        <w:pStyle w:val="344"/>
        <w:numPr>
          <w:ilvl w:val="0"/>
          <w:numId w:val="28"/>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本协议自双方法定代表人或其委托代理人签署或盖章，并加盖</w:t>
      </w:r>
      <w:r>
        <w:rPr>
          <w:rFonts w:hint="eastAsia" w:ascii="宋体" w:hAnsi="宋体"/>
          <w:color w:val="auto"/>
          <w:kern w:val="2"/>
          <w:sz w:val="24"/>
          <w:szCs w:val="24"/>
          <w:lang w:val="en-US" w:eastAsia="zh-CN"/>
        </w:rPr>
        <w:t>单位</w:t>
      </w:r>
      <w:r>
        <w:rPr>
          <w:rFonts w:hint="eastAsia" w:ascii="宋体" w:hAnsi="宋体"/>
          <w:color w:val="auto"/>
          <w:kern w:val="2"/>
          <w:sz w:val="24"/>
          <w:szCs w:val="24"/>
        </w:rPr>
        <w:t>公章或合同专用章后生效。</w:t>
      </w:r>
    </w:p>
    <w:p w14:paraId="57717376">
      <w:pPr>
        <w:pStyle w:val="344"/>
        <w:numPr>
          <w:ilvl w:val="0"/>
          <w:numId w:val="9"/>
        </w:numPr>
        <w:snapToGrid w:val="0"/>
        <w:spacing w:before="120" w:beforeLines="50"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合同附件：</w:t>
      </w:r>
    </w:p>
    <w:p w14:paraId="366751F4">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附件一：造价咨询服务委托合同</w:t>
      </w:r>
    </w:p>
    <w:p w14:paraId="34BFE08C">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附件二：履约评价表</w:t>
      </w:r>
    </w:p>
    <w:p w14:paraId="25BDFCB0">
      <w:pPr>
        <w:pStyle w:val="48"/>
        <w:spacing w:line="360" w:lineRule="auto"/>
        <w:ind w:firstLine="480" w:firstLineChars="200"/>
        <w:rPr>
          <w:rFonts w:hint="default" w:ascii="宋体" w:hAnsi="宋体" w:eastAsia="宋体"/>
          <w:color w:val="auto"/>
          <w:kern w:val="2"/>
          <w:sz w:val="24"/>
          <w:szCs w:val="24"/>
          <w:lang w:val="en-US" w:eastAsia="zh-CN"/>
        </w:rPr>
      </w:pPr>
      <w:r>
        <w:rPr>
          <w:rFonts w:hint="eastAsia" w:ascii="宋体" w:hAnsi="宋体" w:eastAsia="宋体"/>
          <w:color w:val="auto"/>
          <w:kern w:val="2"/>
          <w:sz w:val="24"/>
          <w:szCs w:val="24"/>
          <w:lang w:val="en-US" w:eastAsia="zh-CN"/>
        </w:rPr>
        <w:t>附件三：所属企业名录</w:t>
      </w:r>
    </w:p>
    <w:p w14:paraId="40162BB5">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附件</w:t>
      </w:r>
      <w:r>
        <w:rPr>
          <w:rFonts w:hint="eastAsia" w:ascii="宋体" w:hAnsi="宋体"/>
          <w:color w:val="auto"/>
          <w:kern w:val="2"/>
          <w:sz w:val="24"/>
          <w:szCs w:val="24"/>
          <w:lang w:val="en-US" w:eastAsia="zh-CN"/>
        </w:rPr>
        <w:t>四</w:t>
      </w:r>
      <w:r>
        <w:rPr>
          <w:rFonts w:hint="eastAsia" w:ascii="宋体" w:hAnsi="宋体"/>
          <w:color w:val="auto"/>
          <w:kern w:val="2"/>
          <w:sz w:val="24"/>
          <w:szCs w:val="24"/>
        </w:rPr>
        <w:t>：</w:t>
      </w:r>
      <w:r>
        <w:rPr>
          <w:rFonts w:hint="eastAsia" w:ascii="宋体" w:hAnsi="宋体"/>
          <w:color w:val="auto"/>
          <w:kern w:val="2"/>
          <w:sz w:val="24"/>
          <w:szCs w:val="24"/>
          <w:lang w:eastAsia="zh-CN"/>
        </w:rPr>
        <w:t>2026-2027年度小型工程项目全过程造价咨询服务</w:t>
      </w:r>
      <w:r>
        <w:rPr>
          <w:rFonts w:hint="eastAsia" w:ascii="宋体" w:hAnsi="宋体"/>
          <w:color w:val="auto"/>
          <w:kern w:val="2"/>
          <w:sz w:val="24"/>
          <w:szCs w:val="24"/>
        </w:rPr>
        <w:t>投标报价</w:t>
      </w:r>
    </w:p>
    <w:p w14:paraId="2D979838">
      <w:pPr>
        <w:pStyle w:val="48"/>
        <w:spacing w:line="360" w:lineRule="auto"/>
        <w:ind w:firstLine="480" w:firstLineChars="200"/>
        <w:rPr>
          <w:rFonts w:hint="eastAsia" w:ascii="宋体" w:hAnsi="宋体"/>
          <w:color w:val="auto"/>
          <w:kern w:val="44"/>
          <w:sz w:val="24"/>
          <w:szCs w:val="24"/>
        </w:rPr>
      </w:pPr>
      <w:r>
        <w:rPr>
          <w:rFonts w:hint="eastAsia" w:ascii="宋体" w:hAnsi="宋体"/>
          <w:color w:val="auto"/>
          <w:kern w:val="44"/>
          <w:sz w:val="24"/>
          <w:szCs w:val="24"/>
        </w:rPr>
        <w:t>（以下无正文</w:t>
      </w:r>
      <w:r>
        <w:rPr>
          <w:rFonts w:hint="eastAsia" w:ascii="宋体" w:hAnsi="宋体"/>
          <w:color w:val="auto"/>
          <w:kern w:val="44"/>
          <w:sz w:val="24"/>
          <w:szCs w:val="24"/>
          <w:lang w:eastAsia="zh-CN"/>
        </w:rPr>
        <w:t>，</w:t>
      </w:r>
      <w:r>
        <w:rPr>
          <w:rFonts w:hint="eastAsia" w:ascii="宋体" w:hAnsi="宋体"/>
          <w:color w:val="auto"/>
          <w:kern w:val="44"/>
          <w:sz w:val="24"/>
          <w:szCs w:val="24"/>
          <w:lang w:val="en-US" w:eastAsia="zh-CN"/>
        </w:rPr>
        <w:t>为签署处</w:t>
      </w:r>
      <w:r>
        <w:rPr>
          <w:rFonts w:hint="eastAsia" w:ascii="宋体" w:hAnsi="宋体"/>
          <w:color w:val="auto"/>
          <w:kern w:val="44"/>
          <w:sz w:val="24"/>
          <w:szCs w:val="24"/>
        </w:rPr>
        <w:t>）</w:t>
      </w:r>
    </w:p>
    <w:p w14:paraId="2BB7718A">
      <w:pPr>
        <w:widowControl/>
        <w:jc w:val="left"/>
        <w:rPr>
          <w:rFonts w:hint="eastAsia" w:ascii="宋体" w:hAnsi="宋体"/>
          <w:color w:val="auto"/>
          <w:kern w:val="44"/>
          <w:sz w:val="24"/>
          <w:szCs w:val="24"/>
        </w:rPr>
      </w:pPr>
      <w:r>
        <w:rPr>
          <w:rFonts w:hint="eastAsia" w:ascii="宋体" w:hAnsi="宋体"/>
          <w:color w:val="auto"/>
          <w:kern w:val="44"/>
          <w:sz w:val="24"/>
          <w:szCs w:val="24"/>
        </w:rPr>
        <w:br w:type="page"/>
      </w:r>
    </w:p>
    <w:tbl>
      <w:tblPr>
        <w:tblStyle w:val="413"/>
        <w:tblW w:w="920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28" w:type="dxa"/>
          <w:bottom w:w="0" w:type="dxa"/>
          <w:right w:w="28" w:type="dxa"/>
        </w:tblCellMar>
      </w:tblPr>
      <w:tblGrid>
        <w:gridCol w:w="4602"/>
        <w:gridCol w:w="4602"/>
      </w:tblGrid>
      <w:tr w14:paraId="76859D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83" w:hRule="atLeast"/>
          <w:jc w:val="center"/>
        </w:trPr>
        <w:tc>
          <w:tcPr>
            <w:tcW w:w="4602" w:type="dxa"/>
            <w:vAlign w:val="center"/>
          </w:tcPr>
          <w:p w14:paraId="378B82C4">
            <w:pPr>
              <w:pStyle w:val="48"/>
              <w:spacing w:line="360" w:lineRule="auto"/>
              <w:jc w:val="left"/>
              <w:rPr>
                <w:rFonts w:hint="eastAsia" w:ascii="宋体" w:hAnsi="宋体" w:eastAsia="宋体"/>
                <w:b/>
                <w:bCs/>
                <w:color w:val="auto"/>
                <w:sz w:val="24"/>
                <w:szCs w:val="24"/>
                <w:u w:val="single"/>
                <w:lang w:eastAsia="zh-CN"/>
              </w:rPr>
            </w:pPr>
            <w:r>
              <w:rPr>
                <w:rFonts w:hint="eastAsia" w:ascii="宋体" w:hAnsi="宋体"/>
                <w:b/>
                <w:bCs/>
                <w:color w:val="auto"/>
                <w:sz w:val="24"/>
                <w:szCs w:val="24"/>
              </w:rPr>
              <w:t>委托人（甲方）：</w:t>
            </w:r>
            <w:r>
              <w:rPr>
                <w:rFonts w:hint="eastAsia" w:ascii="宋体" w:hAnsi="宋体"/>
                <w:b/>
                <w:bCs/>
                <w:color w:val="auto"/>
                <w:sz w:val="24"/>
                <w:szCs w:val="24"/>
                <w:u w:val="single"/>
                <w:lang w:eastAsia="zh-CN"/>
              </w:rPr>
              <w:t>深圳市体育产业集团有限公司</w:t>
            </w:r>
          </w:p>
          <w:p w14:paraId="7E24658D">
            <w:pPr>
              <w:pStyle w:val="48"/>
              <w:spacing w:line="360" w:lineRule="auto"/>
              <w:jc w:val="left"/>
              <w:rPr>
                <w:rFonts w:hint="eastAsia" w:ascii="宋体" w:hAnsi="宋体"/>
                <w:b/>
                <w:bCs/>
                <w:color w:val="auto"/>
                <w:sz w:val="24"/>
                <w:szCs w:val="24"/>
                <w:u w:val="single"/>
              </w:rPr>
            </w:pPr>
          </w:p>
          <w:p w14:paraId="5558D5F2">
            <w:pPr>
              <w:pStyle w:val="48"/>
              <w:spacing w:line="360" w:lineRule="auto"/>
              <w:jc w:val="left"/>
              <w:rPr>
                <w:rFonts w:hint="eastAsia" w:ascii="宋体" w:hAnsi="宋体"/>
                <w:b/>
                <w:bCs/>
                <w:color w:val="auto"/>
                <w:sz w:val="24"/>
                <w:szCs w:val="24"/>
                <w:u w:val="single"/>
              </w:rPr>
            </w:pPr>
          </w:p>
          <w:p w14:paraId="4C148B57">
            <w:pPr>
              <w:pStyle w:val="48"/>
              <w:spacing w:line="360" w:lineRule="auto"/>
              <w:jc w:val="left"/>
              <w:rPr>
                <w:rFonts w:hint="eastAsia" w:ascii="宋体" w:hAnsi="宋体"/>
                <w:b/>
                <w:bCs/>
                <w:color w:val="auto"/>
                <w:sz w:val="24"/>
                <w:szCs w:val="24"/>
                <w:u w:val="single"/>
              </w:rPr>
            </w:pPr>
          </w:p>
          <w:p w14:paraId="4B326E0F">
            <w:pPr>
              <w:pStyle w:val="48"/>
              <w:spacing w:line="360" w:lineRule="auto"/>
              <w:jc w:val="left"/>
              <w:rPr>
                <w:rFonts w:hint="eastAsia" w:ascii="宋体" w:hAnsi="宋体"/>
                <w:b/>
                <w:bCs/>
                <w:color w:val="auto"/>
                <w:sz w:val="24"/>
                <w:szCs w:val="24"/>
                <w:u w:val="single"/>
              </w:rPr>
            </w:pPr>
          </w:p>
        </w:tc>
        <w:tc>
          <w:tcPr>
            <w:tcW w:w="4602" w:type="dxa"/>
            <w:vAlign w:val="center"/>
          </w:tcPr>
          <w:p w14:paraId="68B50D0A">
            <w:pPr>
              <w:pStyle w:val="48"/>
              <w:spacing w:line="360" w:lineRule="auto"/>
              <w:jc w:val="left"/>
              <w:rPr>
                <w:rFonts w:hint="eastAsia" w:ascii="宋体" w:hAnsi="宋体"/>
                <w:b/>
                <w:bCs/>
                <w:color w:val="auto"/>
                <w:sz w:val="24"/>
                <w:szCs w:val="24"/>
                <w:u w:val="single"/>
              </w:rPr>
            </w:pPr>
            <w:r>
              <w:rPr>
                <w:rFonts w:hint="eastAsia" w:ascii="宋体" w:hAnsi="宋体"/>
                <w:b/>
                <w:bCs/>
                <w:color w:val="auto"/>
                <w:sz w:val="24"/>
                <w:szCs w:val="24"/>
              </w:rPr>
              <w:t>受托人（乙方）：</w:t>
            </w:r>
          </w:p>
          <w:p w14:paraId="04C21F70">
            <w:pPr>
              <w:pStyle w:val="48"/>
              <w:spacing w:line="360" w:lineRule="auto"/>
              <w:jc w:val="left"/>
              <w:rPr>
                <w:rFonts w:hint="eastAsia" w:ascii="宋体" w:hAnsi="宋体"/>
                <w:b/>
                <w:bCs/>
                <w:color w:val="auto"/>
                <w:sz w:val="24"/>
                <w:szCs w:val="24"/>
              </w:rPr>
            </w:pPr>
          </w:p>
          <w:p w14:paraId="263CC742">
            <w:pPr>
              <w:pStyle w:val="48"/>
              <w:spacing w:line="360" w:lineRule="auto"/>
              <w:jc w:val="left"/>
              <w:rPr>
                <w:rFonts w:hint="eastAsia" w:ascii="宋体" w:hAnsi="宋体"/>
                <w:b/>
                <w:bCs/>
                <w:color w:val="auto"/>
                <w:sz w:val="24"/>
                <w:szCs w:val="24"/>
              </w:rPr>
            </w:pPr>
          </w:p>
          <w:p w14:paraId="04B4F1F7">
            <w:pPr>
              <w:pStyle w:val="48"/>
              <w:spacing w:line="360" w:lineRule="auto"/>
              <w:jc w:val="left"/>
              <w:rPr>
                <w:rFonts w:hint="eastAsia" w:ascii="宋体" w:hAnsi="宋体"/>
                <w:b/>
                <w:bCs/>
                <w:color w:val="auto"/>
                <w:sz w:val="24"/>
                <w:szCs w:val="24"/>
              </w:rPr>
            </w:pPr>
          </w:p>
          <w:p w14:paraId="2CB3530B">
            <w:pPr>
              <w:pStyle w:val="48"/>
              <w:spacing w:line="360" w:lineRule="auto"/>
              <w:jc w:val="left"/>
              <w:rPr>
                <w:rFonts w:hint="eastAsia" w:ascii="宋体" w:hAnsi="宋体"/>
                <w:b/>
                <w:bCs/>
                <w:color w:val="auto"/>
                <w:sz w:val="24"/>
                <w:szCs w:val="24"/>
              </w:rPr>
            </w:pPr>
          </w:p>
        </w:tc>
      </w:tr>
      <w:tr w14:paraId="78A9C3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83" w:hRule="atLeast"/>
          <w:jc w:val="center"/>
        </w:trPr>
        <w:tc>
          <w:tcPr>
            <w:tcW w:w="4602" w:type="dxa"/>
            <w:vAlign w:val="center"/>
          </w:tcPr>
          <w:p w14:paraId="7EF121D6">
            <w:pPr>
              <w:pStyle w:val="48"/>
              <w:spacing w:line="360" w:lineRule="auto"/>
              <w:jc w:val="left"/>
              <w:rPr>
                <w:rFonts w:hint="eastAsia" w:ascii="宋体" w:hAnsi="宋体"/>
                <w:b/>
                <w:bCs/>
                <w:color w:val="auto"/>
                <w:sz w:val="24"/>
                <w:szCs w:val="24"/>
                <w:u w:val="single"/>
              </w:rPr>
            </w:pPr>
            <w:r>
              <w:rPr>
                <w:rFonts w:hint="eastAsia" w:ascii="宋体" w:hAnsi="宋体"/>
                <w:b/>
                <w:bCs/>
                <w:color w:val="auto"/>
                <w:sz w:val="24"/>
                <w:szCs w:val="24"/>
              </w:rPr>
              <w:t>地址：</w:t>
            </w:r>
          </w:p>
        </w:tc>
        <w:tc>
          <w:tcPr>
            <w:tcW w:w="4602" w:type="dxa"/>
            <w:vAlign w:val="center"/>
          </w:tcPr>
          <w:p w14:paraId="03AC00DD">
            <w:pPr>
              <w:pStyle w:val="48"/>
              <w:spacing w:line="360" w:lineRule="auto"/>
              <w:jc w:val="left"/>
              <w:rPr>
                <w:rFonts w:hint="eastAsia" w:ascii="宋体" w:hAnsi="宋体"/>
                <w:b/>
                <w:bCs/>
                <w:color w:val="auto"/>
                <w:sz w:val="24"/>
                <w:szCs w:val="24"/>
                <w:u w:val="single"/>
              </w:rPr>
            </w:pPr>
            <w:r>
              <w:rPr>
                <w:rFonts w:hint="eastAsia" w:ascii="宋体" w:hAnsi="宋体"/>
                <w:b/>
                <w:bCs/>
                <w:color w:val="auto"/>
                <w:sz w:val="24"/>
                <w:szCs w:val="24"/>
              </w:rPr>
              <w:t>地址：</w:t>
            </w:r>
          </w:p>
        </w:tc>
      </w:tr>
      <w:tr w14:paraId="15C011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83" w:hRule="atLeast"/>
          <w:jc w:val="center"/>
        </w:trPr>
        <w:tc>
          <w:tcPr>
            <w:tcW w:w="4602" w:type="dxa"/>
            <w:vAlign w:val="center"/>
          </w:tcPr>
          <w:p w14:paraId="23D00F4F">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法定代表人：</w:t>
            </w:r>
          </w:p>
          <w:p w14:paraId="7FE81A3E">
            <w:pPr>
              <w:pStyle w:val="48"/>
              <w:spacing w:line="360" w:lineRule="auto"/>
              <w:jc w:val="left"/>
              <w:rPr>
                <w:rFonts w:hint="eastAsia" w:ascii="宋体" w:hAnsi="宋体"/>
                <w:b/>
                <w:bCs/>
                <w:color w:val="auto"/>
                <w:sz w:val="24"/>
                <w:szCs w:val="24"/>
              </w:rPr>
            </w:pPr>
          </w:p>
          <w:p w14:paraId="0643C6D8">
            <w:pPr>
              <w:pStyle w:val="48"/>
              <w:spacing w:line="360" w:lineRule="auto"/>
              <w:jc w:val="left"/>
              <w:rPr>
                <w:rFonts w:hint="eastAsia" w:ascii="宋体" w:hAnsi="宋体"/>
                <w:b/>
                <w:bCs/>
                <w:color w:val="auto"/>
                <w:sz w:val="24"/>
                <w:szCs w:val="24"/>
              </w:rPr>
            </w:pPr>
          </w:p>
          <w:p w14:paraId="71300BEE">
            <w:pPr>
              <w:pStyle w:val="48"/>
              <w:spacing w:line="360" w:lineRule="auto"/>
              <w:jc w:val="left"/>
              <w:rPr>
                <w:rFonts w:hint="eastAsia" w:ascii="宋体" w:hAnsi="宋体"/>
                <w:b/>
                <w:bCs/>
                <w:color w:val="auto"/>
                <w:sz w:val="24"/>
                <w:szCs w:val="24"/>
                <w:u w:val="single"/>
              </w:rPr>
            </w:pPr>
          </w:p>
        </w:tc>
        <w:tc>
          <w:tcPr>
            <w:tcW w:w="4602" w:type="dxa"/>
            <w:vAlign w:val="center"/>
          </w:tcPr>
          <w:p w14:paraId="5B46A3E4">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法定代表人：</w:t>
            </w:r>
          </w:p>
          <w:p w14:paraId="400A5A8A">
            <w:pPr>
              <w:pStyle w:val="48"/>
              <w:spacing w:line="360" w:lineRule="auto"/>
              <w:jc w:val="left"/>
              <w:rPr>
                <w:rFonts w:hint="eastAsia" w:ascii="宋体" w:hAnsi="宋体"/>
                <w:b/>
                <w:bCs/>
                <w:color w:val="auto"/>
                <w:sz w:val="24"/>
                <w:szCs w:val="24"/>
              </w:rPr>
            </w:pPr>
          </w:p>
          <w:p w14:paraId="68402B82">
            <w:pPr>
              <w:pStyle w:val="48"/>
              <w:spacing w:line="360" w:lineRule="auto"/>
              <w:jc w:val="left"/>
              <w:rPr>
                <w:rFonts w:hint="eastAsia" w:ascii="宋体" w:hAnsi="宋体"/>
                <w:b/>
                <w:bCs/>
                <w:color w:val="auto"/>
                <w:sz w:val="24"/>
                <w:szCs w:val="24"/>
              </w:rPr>
            </w:pPr>
          </w:p>
          <w:p w14:paraId="00D21018">
            <w:pPr>
              <w:pStyle w:val="48"/>
              <w:spacing w:line="360" w:lineRule="auto"/>
              <w:jc w:val="left"/>
              <w:rPr>
                <w:rFonts w:hint="eastAsia" w:ascii="宋体" w:hAnsi="宋体"/>
                <w:b/>
                <w:bCs/>
                <w:color w:val="auto"/>
                <w:sz w:val="24"/>
                <w:szCs w:val="24"/>
              </w:rPr>
            </w:pPr>
          </w:p>
        </w:tc>
      </w:tr>
      <w:tr w14:paraId="5714E8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83" w:hRule="atLeast"/>
          <w:jc w:val="center"/>
        </w:trPr>
        <w:tc>
          <w:tcPr>
            <w:tcW w:w="4602" w:type="dxa"/>
            <w:vAlign w:val="center"/>
          </w:tcPr>
          <w:p w14:paraId="046B6E56">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或委托代理人：</w:t>
            </w:r>
          </w:p>
          <w:p w14:paraId="28747F45">
            <w:pPr>
              <w:pStyle w:val="48"/>
              <w:spacing w:line="360" w:lineRule="auto"/>
              <w:jc w:val="left"/>
              <w:rPr>
                <w:rFonts w:hint="eastAsia" w:ascii="宋体" w:hAnsi="宋体"/>
                <w:b/>
                <w:bCs/>
                <w:color w:val="auto"/>
                <w:sz w:val="24"/>
                <w:szCs w:val="24"/>
              </w:rPr>
            </w:pPr>
          </w:p>
          <w:p w14:paraId="184347BB">
            <w:pPr>
              <w:pStyle w:val="48"/>
              <w:spacing w:line="360" w:lineRule="auto"/>
              <w:jc w:val="left"/>
              <w:rPr>
                <w:rFonts w:hint="eastAsia" w:ascii="宋体" w:hAnsi="宋体"/>
                <w:b/>
                <w:bCs/>
                <w:color w:val="auto"/>
                <w:sz w:val="24"/>
                <w:szCs w:val="24"/>
              </w:rPr>
            </w:pPr>
          </w:p>
          <w:p w14:paraId="6823A1F7">
            <w:pPr>
              <w:pStyle w:val="48"/>
              <w:spacing w:line="360" w:lineRule="auto"/>
              <w:jc w:val="left"/>
              <w:rPr>
                <w:rFonts w:hint="eastAsia" w:ascii="宋体" w:hAnsi="宋体"/>
                <w:b/>
                <w:bCs/>
                <w:color w:val="auto"/>
                <w:sz w:val="24"/>
                <w:szCs w:val="24"/>
                <w:u w:val="single"/>
              </w:rPr>
            </w:pPr>
          </w:p>
        </w:tc>
        <w:tc>
          <w:tcPr>
            <w:tcW w:w="4602" w:type="dxa"/>
            <w:vAlign w:val="center"/>
          </w:tcPr>
          <w:p w14:paraId="3A097ECC">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或委托代理人：</w:t>
            </w:r>
          </w:p>
          <w:p w14:paraId="19523639">
            <w:pPr>
              <w:pStyle w:val="48"/>
              <w:spacing w:line="360" w:lineRule="auto"/>
              <w:jc w:val="left"/>
              <w:rPr>
                <w:rFonts w:hint="eastAsia" w:ascii="宋体" w:hAnsi="宋体"/>
                <w:b/>
                <w:bCs/>
                <w:color w:val="auto"/>
                <w:sz w:val="24"/>
                <w:szCs w:val="24"/>
              </w:rPr>
            </w:pPr>
          </w:p>
          <w:p w14:paraId="01F6E195">
            <w:pPr>
              <w:pStyle w:val="48"/>
              <w:spacing w:line="360" w:lineRule="auto"/>
              <w:jc w:val="left"/>
              <w:rPr>
                <w:rFonts w:hint="eastAsia" w:ascii="宋体" w:hAnsi="宋体"/>
                <w:b/>
                <w:bCs/>
                <w:color w:val="auto"/>
                <w:sz w:val="24"/>
                <w:szCs w:val="24"/>
              </w:rPr>
            </w:pPr>
          </w:p>
          <w:p w14:paraId="7738BF6E">
            <w:pPr>
              <w:pStyle w:val="48"/>
              <w:spacing w:line="360" w:lineRule="auto"/>
              <w:jc w:val="left"/>
              <w:rPr>
                <w:rFonts w:hint="eastAsia" w:ascii="宋体" w:hAnsi="宋体"/>
                <w:b/>
                <w:bCs/>
                <w:color w:val="auto"/>
                <w:sz w:val="24"/>
                <w:szCs w:val="24"/>
              </w:rPr>
            </w:pPr>
          </w:p>
        </w:tc>
      </w:tr>
      <w:tr w14:paraId="738404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726" w:hRule="atLeast"/>
          <w:jc w:val="center"/>
        </w:trPr>
        <w:tc>
          <w:tcPr>
            <w:tcW w:w="9204" w:type="dxa"/>
            <w:gridSpan w:val="2"/>
            <w:vAlign w:val="center"/>
          </w:tcPr>
          <w:p w14:paraId="5837E61E">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日期：</w:t>
            </w:r>
            <w:r>
              <w:rPr>
                <w:rFonts w:hint="eastAsia" w:ascii="宋体" w:hAnsi="宋体"/>
                <w:b/>
                <w:bCs/>
                <w:color w:val="auto"/>
                <w:sz w:val="24"/>
                <w:szCs w:val="24"/>
                <w:u w:val="single"/>
              </w:rPr>
              <w:t>2026</w:t>
            </w:r>
            <w:r>
              <w:rPr>
                <w:rFonts w:hint="eastAsia" w:ascii="宋体" w:hAnsi="宋体"/>
                <w:b/>
                <w:bCs/>
                <w:color w:val="auto"/>
                <w:sz w:val="24"/>
                <w:szCs w:val="24"/>
              </w:rPr>
              <w:t>年</w:t>
            </w:r>
            <w:r>
              <w:rPr>
                <w:rFonts w:hint="eastAsia" w:ascii="宋体" w:hAnsi="宋体"/>
                <w:b/>
                <w:bCs/>
                <w:color w:val="auto"/>
                <w:sz w:val="24"/>
                <w:szCs w:val="24"/>
                <w:u w:val="single"/>
              </w:rPr>
              <w:t xml:space="preserve">    </w:t>
            </w:r>
            <w:r>
              <w:rPr>
                <w:rFonts w:hint="eastAsia" w:ascii="宋体" w:hAnsi="宋体"/>
                <w:b/>
                <w:bCs/>
                <w:color w:val="auto"/>
                <w:sz w:val="24"/>
                <w:szCs w:val="24"/>
              </w:rPr>
              <w:t>月</w:t>
            </w:r>
            <w:r>
              <w:rPr>
                <w:rFonts w:hint="eastAsia" w:ascii="宋体" w:hAnsi="宋体"/>
                <w:b/>
                <w:bCs/>
                <w:color w:val="auto"/>
                <w:sz w:val="24"/>
                <w:szCs w:val="24"/>
                <w:u w:val="single"/>
              </w:rPr>
              <w:t xml:space="preserve"> </w:t>
            </w:r>
            <w:r>
              <w:rPr>
                <w:rFonts w:ascii="宋体" w:hAnsi="宋体"/>
                <w:b/>
                <w:bCs/>
                <w:color w:val="auto"/>
                <w:sz w:val="24"/>
                <w:szCs w:val="24"/>
                <w:u w:val="single"/>
              </w:rPr>
              <w:t xml:space="preserve">   </w:t>
            </w:r>
            <w:r>
              <w:rPr>
                <w:rFonts w:hint="eastAsia" w:ascii="宋体" w:hAnsi="宋体"/>
                <w:b/>
                <w:bCs/>
                <w:color w:val="auto"/>
                <w:sz w:val="24"/>
                <w:szCs w:val="24"/>
              </w:rPr>
              <w:t>日</w:t>
            </w:r>
          </w:p>
        </w:tc>
      </w:tr>
    </w:tbl>
    <w:p w14:paraId="2ABE1E37">
      <w:pPr>
        <w:pStyle w:val="48"/>
        <w:spacing w:line="360" w:lineRule="auto"/>
        <w:rPr>
          <w:rFonts w:hint="eastAsia" w:ascii="宋体" w:hAnsi="宋体"/>
          <w:color w:val="auto"/>
          <w:kern w:val="44"/>
          <w:sz w:val="24"/>
          <w:szCs w:val="24"/>
        </w:rPr>
      </w:pPr>
    </w:p>
    <w:p w14:paraId="5A99F247">
      <w:pPr>
        <w:pStyle w:val="48"/>
        <w:spacing w:line="360" w:lineRule="auto"/>
        <w:rPr>
          <w:rFonts w:hint="eastAsia" w:ascii="宋体" w:hAnsi="宋体"/>
          <w:color w:val="auto"/>
          <w:kern w:val="2"/>
          <w:sz w:val="24"/>
          <w:szCs w:val="24"/>
        </w:rPr>
      </w:pPr>
    </w:p>
    <w:p w14:paraId="5EF086E0">
      <w:pPr>
        <w:pStyle w:val="48"/>
        <w:widowControl/>
        <w:spacing w:line="360" w:lineRule="auto"/>
        <w:jc w:val="left"/>
        <w:rPr>
          <w:rFonts w:hint="eastAsia" w:ascii="宋体" w:hAnsi="宋体"/>
          <w:b/>
          <w:color w:val="auto"/>
          <w:sz w:val="24"/>
          <w:szCs w:val="24"/>
        </w:rPr>
      </w:pPr>
      <w:r>
        <w:rPr>
          <w:rFonts w:ascii="宋体" w:hAnsi="宋体"/>
          <w:b/>
          <w:color w:val="auto"/>
          <w:sz w:val="24"/>
          <w:szCs w:val="24"/>
        </w:rPr>
        <w:br w:type="page"/>
      </w:r>
    </w:p>
    <w:p w14:paraId="4C732D98">
      <w:pPr>
        <w:pStyle w:val="48"/>
        <w:spacing w:line="360" w:lineRule="auto"/>
        <w:jc w:val="left"/>
        <w:rPr>
          <w:rFonts w:hint="eastAsia" w:ascii="宋体" w:hAnsi="宋体"/>
          <w:b/>
          <w:bCs/>
          <w:color w:val="auto"/>
          <w:kern w:val="2"/>
          <w:sz w:val="28"/>
          <w:szCs w:val="28"/>
        </w:rPr>
      </w:pPr>
      <w:r>
        <w:rPr>
          <w:rFonts w:hint="eastAsia" w:ascii="宋体" w:hAnsi="宋体"/>
          <w:b/>
          <w:bCs/>
          <w:color w:val="auto"/>
          <w:kern w:val="2"/>
          <w:sz w:val="28"/>
          <w:szCs w:val="28"/>
        </w:rPr>
        <w:t>附件一：造价咨询服务委托合同</w:t>
      </w:r>
    </w:p>
    <w:p w14:paraId="79A90179">
      <w:pPr>
        <w:pStyle w:val="48"/>
        <w:jc w:val="right"/>
        <w:rPr>
          <w:rFonts w:hint="eastAsia" w:ascii="黑体" w:hAnsi="宋体" w:eastAsia="黑体"/>
          <w:color w:val="auto"/>
          <w:kern w:val="2"/>
          <w:sz w:val="28"/>
          <w:szCs w:val="28"/>
        </w:rPr>
      </w:pPr>
      <w:r>
        <w:rPr>
          <w:rFonts w:hint="eastAsia" w:ascii="黑体" w:hAnsi="宋体" w:eastAsia="黑体"/>
          <w:color w:val="auto"/>
          <w:kern w:val="2"/>
          <w:sz w:val="28"/>
          <w:szCs w:val="28"/>
        </w:rPr>
        <w:t xml:space="preserve">  </w:t>
      </w:r>
    </w:p>
    <w:p w14:paraId="63AA7651">
      <w:pPr>
        <w:pStyle w:val="48"/>
        <w:ind w:right="-57" w:rightChars="-27" w:firstLine="5600" w:firstLineChars="2000"/>
        <w:jc w:val="left"/>
        <w:rPr>
          <w:rFonts w:hint="eastAsia" w:ascii="黑体" w:hAnsi="宋体" w:eastAsia="黑体"/>
          <w:color w:val="auto"/>
          <w:kern w:val="2"/>
          <w:sz w:val="28"/>
          <w:szCs w:val="28"/>
        </w:rPr>
      </w:pPr>
      <w:r>
        <w:rPr>
          <w:rFonts w:hint="eastAsia" w:ascii="黑体" w:hAnsi="宋体" w:eastAsia="黑体"/>
          <w:color w:val="auto"/>
          <w:kern w:val="2"/>
          <w:sz w:val="28"/>
          <w:szCs w:val="28"/>
        </w:rPr>
        <w:t>项目编号：</w:t>
      </w:r>
      <w:r>
        <w:rPr>
          <w:rFonts w:hint="eastAsia" w:ascii="黑体" w:hAnsi="宋体" w:eastAsia="黑体"/>
          <w:color w:val="auto"/>
          <w:kern w:val="2"/>
          <w:sz w:val="28"/>
          <w:szCs w:val="28"/>
          <w:u w:val="single"/>
        </w:rPr>
        <w:t xml:space="preserve"> </w:t>
      </w:r>
      <w:r>
        <w:rPr>
          <w:rFonts w:ascii="黑体" w:hAnsi="宋体" w:eastAsia="黑体"/>
          <w:color w:val="auto"/>
          <w:kern w:val="2"/>
          <w:sz w:val="28"/>
          <w:szCs w:val="28"/>
          <w:u w:val="single"/>
        </w:rPr>
        <w:t xml:space="preserve">         </w:t>
      </w:r>
    </w:p>
    <w:p w14:paraId="1D89E8E7">
      <w:pPr>
        <w:pStyle w:val="48"/>
        <w:ind w:right="-57" w:rightChars="-27" w:firstLine="5600" w:firstLineChars="2000"/>
        <w:jc w:val="left"/>
        <w:rPr>
          <w:rFonts w:hint="eastAsia" w:ascii="黑体" w:hAnsi="宋体" w:eastAsia="黑体"/>
          <w:color w:val="auto"/>
          <w:kern w:val="2"/>
          <w:sz w:val="28"/>
          <w:szCs w:val="28"/>
          <w:u w:val="single"/>
        </w:rPr>
      </w:pPr>
      <w:r>
        <w:rPr>
          <w:rFonts w:hint="eastAsia" w:ascii="黑体" w:hAnsi="宋体" w:eastAsia="黑体"/>
          <w:color w:val="auto"/>
          <w:kern w:val="2"/>
          <w:sz w:val="28"/>
          <w:szCs w:val="28"/>
        </w:rPr>
        <w:t>合同编号：</w:t>
      </w:r>
      <w:r>
        <w:rPr>
          <w:rFonts w:hint="eastAsia" w:ascii="黑体" w:hAnsi="宋体" w:eastAsia="黑体"/>
          <w:color w:val="auto"/>
          <w:kern w:val="2"/>
          <w:sz w:val="28"/>
          <w:szCs w:val="28"/>
          <w:u w:val="single"/>
        </w:rPr>
        <w:t xml:space="preserve"> </w:t>
      </w:r>
      <w:r>
        <w:rPr>
          <w:rFonts w:ascii="黑体" w:hAnsi="宋体" w:eastAsia="黑体"/>
          <w:color w:val="auto"/>
          <w:kern w:val="2"/>
          <w:sz w:val="28"/>
          <w:szCs w:val="28"/>
          <w:u w:val="single"/>
        </w:rPr>
        <w:t xml:space="preserve">         </w:t>
      </w:r>
    </w:p>
    <w:p w14:paraId="4EB8B9D6">
      <w:pPr>
        <w:pStyle w:val="48"/>
        <w:spacing w:line="360" w:lineRule="auto"/>
        <w:rPr>
          <w:rFonts w:hint="eastAsia" w:ascii="宋体" w:hAnsi="宋体"/>
          <w:color w:val="auto"/>
          <w:spacing w:val="20"/>
          <w:kern w:val="2"/>
          <w:sz w:val="36"/>
        </w:rPr>
      </w:pPr>
    </w:p>
    <w:p w14:paraId="1FBE315E">
      <w:pPr>
        <w:pStyle w:val="48"/>
        <w:spacing w:line="360" w:lineRule="auto"/>
        <w:rPr>
          <w:rFonts w:hint="eastAsia" w:ascii="宋体" w:hAnsi="宋体"/>
          <w:color w:val="auto"/>
          <w:spacing w:val="20"/>
          <w:kern w:val="2"/>
          <w:sz w:val="36"/>
        </w:rPr>
      </w:pPr>
    </w:p>
    <w:p w14:paraId="5E78A8D5">
      <w:pPr>
        <w:pStyle w:val="47"/>
        <w:spacing w:before="0" w:after="0" w:line="360" w:lineRule="auto"/>
        <w:ind w:left="1800" w:hanging="960"/>
        <w:outlineLvl w:val="9"/>
        <w:rPr>
          <w:rFonts w:hint="eastAsia"/>
          <w:color w:val="auto"/>
          <w:spacing w:val="20"/>
          <w:sz w:val="36"/>
        </w:rPr>
      </w:pPr>
      <w:r>
        <w:rPr>
          <w:rFonts w:hint="eastAsia"/>
          <w:color w:val="auto"/>
          <w:sz w:val="48"/>
          <w:szCs w:val="48"/>
        </w:rPr>
        <w:t>造价咨询服务委托合同</w:t>
      </w:r>
    </w:p>
    <w:p w14:paraId="55F1CA5F">
      <w:pPr>
        <w:pStyle w:val="48"/>
        <w:spacing w:line="360" w:lineRule="auto"/>
        <w:rPr>
          <w:rFonts w:hint="eastAsia" w:ascii="宋体" w:hAnsi="宋体"/>
          <w:color w:val="auto"/>
          <w:spacing w:val="20"/>
          <w:kern w:val="2"/>
          <w:sz w:val="36"/>
        </w:rPr>
      </w:pPr>
    </w:p>
    <w:p w14:paraId="37ED73EE">
      <w:pPr>
        <w:pStyle w:val="48"/>
        <w:spacing w:line="360" w:lineRule="auto"/>
        <w:rPr>
          <w:rFonts w:hint="eastAsia" w:ascii="宋体" w:hAnsi="宋体"/>
          <w:color w:val="auto"/>
          <w:spacing w:val="20"/>
          <w:kern w:val="2"/>
          <w:sz w:val="36"/>
        </w:rPr>
      </w:pPr>
    </w:p>
    <w:p w14:paraId="2B854E00">
      <w:pPr>
        <w:pStyle w:val="48"/>
        <w:spacing w:line="360" w:lineRule="auto"/>
        <w:rPr>
          <w:rFonts w:hint="eastAsia" w:ascii="宋体" w:hAnsi="宋体"/>
          <w:color w:val="auto"/>
          <w:spacing w:val="20"/>
          <w:kern w:val="2"/>
          <w:sz w:val="36"/>
        </w:rPr>
      </w:pPr>
    </w:p>
    <w:p w14:paraId="340E15FD">
      <w:pPr>
        <w:pStyle w:val="48"/>
        <w:spacing w:line="360" w:lineRule="auto"/>
        <w:rPr>
          <w:rFonts w:hint="eastAsia" w:ascii="宋体" w:hAnsi="宋体"/>
          <w:color w:val="auto"/>
          <w:spacing w:val="20"/>
          <w:kern w:val="2"/>
          <w:sz w:val="36"/>
        </w:rPr>
      </w:pPr>
    </w:p>
    <w:p w14:paraId="1B6E6966">
      <w:pPr>
        <w:pStyle w:val="48"/>
        <w:widowControl/>
        <w:spacing w:line="360" w:lineRule="auto"/>
        <w:ind w:left="1558" w:leftChars="742"/>
        <w:rPr>
          <w:rFonts w:hint="eastAsia" w:ascii="宋体" w:hAnsi="宋体"/>
          <w:b/>
          <w:bCs/>
          <w:color w:val="auto"/>
          <w:sz w:val="30"/>
          <w:szCs w:val="30"/>
        </w:rPr>
      </w:pPr>
      <w:r>
        <w:rPr>
          <w:rFonts w:hint="eastAsia" w:ascii="宋体" w:hAnsi="宋体"/>
          <w:b/>
          <w:bCs/>
          <w:color w:val="auto"/>
          <w:sz w:val="30"/>
          <w:szCs w:val="30"/>
        </w:rPr>
        <w:t>项目名称：</w:t>
      </w:r>
      <w:r>
        <w:rPr>
          <w:rFonts w:ascii="宋体" w:hAnsi="宋体"/>
          <w:b/>
          <w:bCs/>
          <w:color w:val="auto"/>
          <w:sz w:val="30"/>
          <w:szCs w:val="30"/>
          <w:u w:val="single"/>
        </w:rPr>
        <w:t xml:space="preserve">                                  </w:t>
      </w:r>
    </w:p>
    <w:p w14:paraId="75CE2367">
      <w:pPr>
        <w:pStyle w:val="48"/>
        <w:widowControl/>
        <w:spacing w:line="360" w:lineRule="auto"/>
        <w:ind w:left="1558" w:leftChars="742"/>
        <w:rPr>
          <w:rFonts w:hint="eastAsia" w:ascii="宋体" w:hAnsi="宋体" w:eastAsia="宋体"/>
          <w:b/>
          <w:bCs/>
          <w:color w:val="auto"/>
          <w:sz w:val="30"/>
          <w:szCs w:val="30"/>
          <w:lang w:eastAsia="zh-CN"/>
        </w:rPr>
      </w:pPr>
      <w:r>
        <w:rPr>
          <w:rFonts w:hint="eastAsia" w:ascii="宋体" w:hAnsi="宋体"/>
          <w:b/>
          <w:bCs/>
          <w:color w:val="auto"/>
          <w:sz w:val="30"/>
          <w:szCs w:val="30"/>
        </w:rPr>
        <w:t>合同甲方：</w:t>
      </w:r>
      <w:r>
        <w:rPr>
          <w:rFonts w:hint="eastAsia" w:ascii="宋体" w:hAnsi="宋体"/>
          <w:b/>
          <w:bCs/>
          <w:color w:val="auto"/>
          <w:sz w:val="30"/>
          <w:szCs w:val="30"/>
          <w:u w:val="single"/>
          <w:lang w:eastAsia="zh-CN"/>
        </w:rPr>
        <w:t>深圳市体育产业集团有限公司</w:t>
      </w:r>
    </w:p>
    <w:p w14:paraId="00310CD9">
      <w:pPr>
        <w:pStyle w:val="48"/>
        <w:widowControl/>
        <w:spacing w:line="360" w:lineRule="auto"/>
        <w:ind w:left="1558" w:leftChars="742"/>
        <w:rPr>
          <w:rFonts w:hint="eastAsia" w:ascii="宋体" w:hAnsi="宋体"/>
          <w:b/>
          <w:bCs/>
          <w:color w:val="auto"/>
          <w:sz w:val="30"/>
          <w:szCs w:val="30"/>
        </w:rPr>
      </w:pPr>
      <w:r>
        <w:rPr>
          <w:rFonts w:hint="eastAsia" w:ascii="宋体" w:hAnsi="宋体"/>
          <w:b/>
          <w:bCs/>
          <w:color w:val="auto"/>
          <w:sz w:val="30"/>
          <w:szCs w:val="30"/>
        </w:rPr>
        <w:t>合同乙方：</w:t>
      </w:r>
      <w:r>
        <w:rPr>
          <w:rFonts w:hint="eastAsia" w:ascii="宋体" w:hAnsi="宋体"/>
          <w:b/>
          <w:bCs/>
          <w:color w:val="auto"/>
          <w:sz w:val="30"/>
          <w:szCs w:val="30"/>
          <w:u w:val="single"/>
        </w:rPr>
        <w:t xml:space="preserve"> </w:t>
      </w:r>
      <w:r>
        <w:rPr>
          <w:rFonts w:ascii="宋体" w:hAnsi="宋体"/>
          <w:b/>
          <w:bCs/>
          <w:color w:val="auto"/>
          <w:sz w:val="30"/>
          <w:szCs w:val="30"/>
          <w:u w:val="single"/>
        </w:rPr>
        <w:t xml:space="preserve">                                 </w:t>
      </w:r>
    </w:p>
    <w:p w14:paraId="74C69FFE">
      <w:pPr>
        <w:pStyle w:val="48"/>
        <w:widowControl/>
        <w:spacing w:line="360" w:lineRule="auto"/>
        <w:ind w:left="1558" w:leftChars="742"/>
        <w:rPr>
          <w:rFonts w:hint="eastAsia" w:ascii="宋体" w:hAnsi="宋体"/>
          <w:b/>
          <w:bCs/>
          <w:color w:val="auto"/>
          <w:sz w:val="30"/>
          <w:szCs w:val="30"/>
        </w:rPr>
      </w:pPr>
      <w:r>
        <w:rPr>
          <w:rFonts w:hint="eastAsia" w:ascii="宋体" w:hAnsi="宋体"/>
          <w:b/>
          <w:bCs/>
          <w:color w:val="auto"/>
          <w:sz w:val="30"/>
          <w:szCs w:val="30"/>
        </w:rPr>
        <w:t>签订地点：</w:t>
      </w:r>
      <w:r>
        <w:rPr>
          <w:rFonts w:hint="eastAsia" w:ascii="宋体" w:hAnsi="宋体"/>
          <w:b/>
          <w:bCs/>
          <w:color w:val="auto"/>
          <w:sz w:val="30"/>
          <w:szCs w:val="30"/>
          <w:u w:val="single"/>
        </w:rPr>
        <w:t>广东省深圳市</w:t>
      </w:r>
    </w:p>
    <w:p w14:paraId="02F4D834">
      <w:pPr>
        <w:pStyle w:val="48"/>
        <w:widowControl/>
        <w:spacing w:line="360" w:lineRule="auto"/>
        <w:ind w:left="1558" w:leftChars="742"/>
        <w:rPr>
          <w:rFonts w:hint="eastAsia" w:ascii="宋体" w:hAnsi="宋体"/>
          <w:b/>
          <w:bCs/>
          <w:color w:val="auto"/>
          <w:sz w:val="30"/>
          <w:szCs w:val="30"/>
        </w:rPr>
      </w:pPr>
      <w:r>
        <w:rPr>
          <w:rFonts w:hint="eastAsia" w:ascii="宋体" w:hAnsi="宋体"/>
          <w:b/>
          <w:bCs/>
          <w:color w:val="auto"/>
          <w:sz w:val="30"/>
          <w:szCs w:val="30"/>
        </w:rPr>
        <w:t>签约日期：</w:t>
      </w:r>
      <w:r>
        <w:rPr>
          <w:rFonts w:hint="eastAsia" w:ascii="宋体" w:hAnsi="宋体"/>
          <w:b/>
          <w:bCs/>
          <w:color w:val="auto"/>
          <w:sz w:val="30"/>
          <w:szCs w:val="30"/>
          <w:u w:val="single"/>
        </w:rPr>
        <w:t>2026</w:t>
      </w:r>
      <w:r>
        <w:rPr>
          <w:rFonts w:hint="eastAsia" w:ascii="宋体" w:hAnsi="宋体"/>
          <w:b/>
          <w:bCs/>
          <w:color w:val="auto"/>
          <w:sz w:val="30"/>
          <w:szCs w:val="30"/>
        </w:rPr>
        <w:t>年</w:t>
      </w:r>
      <w:r>
        <w:rPr>
          <w:rFonts w:ascii="宋体" w:hAnsi="宋体"/>
          <w:b/>
          <w:bCs/>
          <w:color w:val="auto"/>
          <w:sz w:val="30"/>
          <w:szCs w:val="30"/>
          <w:u w:val="single"/>
        </w:rPr>
        <w:t xml:space="preserve"> </w:t>
      </w:r>
      <w:r>
        <w:rPr>
          <w:rFonts w:hint="eastAsia" w:ascii="宋体" w:hAnsi="宋体"/>
          <w:b/>
          <w:bCs/>
          <w:color w:val="auto"/>
          <w:sz w:val="30"/>
          <w:szCs w:val="30"/>
          <w:u w:val="single"/>
        </w:rPr>
        <w:t xml:space="preserve">   </w:t>
      </w:r>
      <w:r>
        <w:rPr>
          <w:rFonts w:ascii="宋体" w:hAnsi="宋体"/>
          <w:b/>
          <w:bCs/>
          <w:color w:val="auto"/>
          <w:sz w:val="30"/>
          <w:szCs w:val="30"/>
          <w:u w:val="single"/>
        </w:rPr>
        <w:t xml:space="preserve"> </w:t>
      </w:r>
      <w:r>
        <w:rPr>
          <w:rFonts w:hint="eastAsia" w:ascii="宋体" w:hAnsi="宋体"/>
          <w:b/>
          <w:bCs/>
          <w:color w:val="auto"/>
          <w:sz w:val="30"/>
          <w:szCs w:val="30"/>
        </w:rPr>
        <w:t>月</w:t>
      </w:r>
    </w:p>
    <w:p w14:paraId="0616E73C">
      <w:pPr>
        <w:pStyle w:val="48"/>
        <w:spacing w:line="360" w:lineRule="auto"/>
        <w:ind w:left="1902"/>
        <w:rPr>
          <w:rFonts w:hint="eastAsia" w:ascii="宋体" w:hAnsi="宋体" w:cs="仿宋_GB2312"/>
          <w:color w:val="auto"/>
          <w:spacing w:val="20"/>
          <w:kern w:val="2"/>
          <w:sz w:val="28"/>
        </w:rPr>
      </w:pPr>
      <w:r>
        <w:rPr>
          <w:rFonts w:ascii="宋体" w:hAnsi="宋体" w:cs="仿宋_GB2312"/>
          <w:color w:val="auto"/>
          <w:spacing w:val="20"/>
          <w:kern w:val="2"/>
          <w:sz w:val="28"/>
        </w:rPr>
        <w:br w:type="page"/>
      </w:r>
    </w:p>
    <w:p w14:paraId="37B19FF3">
      <w:pPr>
        <w:pStyle w:val="47"/>
        <w:outlineLvl w:val="9"/>
        <w:rPr>
          <w:rFonts w:hint="eastAsia"/>
          <w:color w:val="auto"/>
          <w:sz w:val="44"/>
        </w:rPr>
      </w:pPr>
      <w:r>
        <w:rPr>
          <w:rFonts w:hint="eastAsia"/>
          <w:color w:val="auto"/>
          <w:sz w:val="48"/>
          <w:szCs w:val="48"/>
        </w:rPr>
        <w:t>造价咨询服务委托合同</w:t>
      </w:r>
    </w:p>
    <w:p w14:paraId="3451EBC2">
      <w:pPr>
        <w:pStyle w:val="48"/>
        <w:spacing w:line="360" w:lineRule="auto"/>
        <w:ind w:right="-169"/>
        <w:rPr>
          <w:rFonts w:hint="eastAsia" w:ascii="宋体" w:hAnsi="宋体"/>
          <w:color w:val="auto"/>
          <w:kern w:val="2"/>
          <w:sz w:val="24"/>
          <w:szCs w:val="24"/>
          <w:u w:val="single"/>
        </w:rPr>
      </w:pPr>
    </w:p>
    <w:p w14:paraId="3DDFA687">
      <w:pPr>
        <w:pStyle w:val="48"/>
        <w:spacing w:line="360" w:lineRule="auto"/>
        <w:rPr>
          <w:rFonts w:hint="eastAsia" w:ascii="宋体" w:hAnsi="宋体"/>
          <w:color w:val="auto"/>
          <w:sz w:val="24"/>
          <w:szCs w:val="24"/>
        </w:rPr>
      </w:pPr>
      <w:r>
        <w:rPr>
          <w:rFonts w:hint="eastAsia" w:ascii="宋体" w:hAnsi="宋体"/>
          <w:color w:val="auto"/>
          <w:sz w:val="24"/>
          <w:szCs w:val="24"/>
        </w:rPr>
        <w:t>委托人（甲方）：</w:t>
      </w:r>
    </w:p>
    <w:p w14:paraId="16B06E27">
      <w:pPr>
        <w:pStyle w:val="48"/>
        <w:spacing w:line="360" w:lineRule="auto"/>
        <w:rPr>
          <w:rFonts w:hint="eastAsia" w:ascii="宋体" w:hAnsi="宋体"/>
          <w:color w:val="auto"/>
          <w:sz w:val="24"/>
          <w:szCs w:val="24"/>
        </w:rPr>
      </w:pPr>
      <w:r>
        <w:rPr>
          <w:rFonts w:hint="eastAsia" w:ascii="宋体" w:hAnsi="宋体"/>
          <w:color w:val="auto"/>
          <w:sz w:val="24"/>
          <w:szCs w:val="24"/>
        </w:rPr>
        <w:t>受托人（乙方）：</w:t>
      </w:r>
    </w:p>
    <w:p w14:paraId="097E8372">
      <w:pPr>
        <w:pStyle w:val="48"/>
        <w:spacing w:line="360" w:lineRule="auto"/>
        <w:rPr>
          <w:rFonts w:hint="eastAsia" w:ascii="宋体" w:hAnsi="宋体"/>
          <w:color w:val="auto"/>
          <w:kern w:val="2"/>
          <w:sz w:val="24"/>
          <w:szCs w:val="24"/>
        </w:rPr>
      </w:pPr>
    </w:p>
    <w:p w14:paraId="55856582">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根据甲乙双方签订的</w:t>
      </w:r>
      <w:r>
        <w:rPr>
          <w:rFonts w:hint="eastAsia" w:ascii="宋体" w:hAnsi="宋体"/>
          <w:b/>
          <w:bCs/>
          <w:color w:val="auto"/>
          <w:sz w:val="24"/>
          <w:szCs w:val="24"/>
          <w:u w:val="single"/>
        </w:rPr>
        <w:t>《</w:t>
      </w:r>
      <w:r>
        <w:rPr>
          <w:rFonts w:hint="eastAsia" w:ascii="宋体" w:hAnsi="宋体"/>
          <w:b/>
          <w:bCs/>
          <w:color w:val="auto"/>
          <w:sz w:val="24"/>
          <w:szCs w:val="24"/>
          <w:u w:val="single"/>
          <w:lang w:eastAsia="zh-CN"/>
        </w:rPr>
        <w:t>2026-2027年度小型工程项目全过程造价咨询服务</w:t>
      </w:r>
      <w:r>
        <w:rPr>
          <w:rFonts w:hint="eastAsia" w:ascii="宋体" w:hAnsi="宋体"/>
          <w:b/>
          <w:bCs/>
          <w:color w:val="auto"/>
          <w:sz w:val="24"/>
          <w:szCs w:val="24"/>
          <w:u w:val="single"/>
        </w:rPr>
        <w:t>框架协议》</w:t>
      </w:r>
      <w:r>
        <w:rPr>
          <w:rFonts w:hint="eastAsia" w:ascii="宋体" w:hAnsi="宋体"/>
          <w:color w:val="auto"/>
          <w:kern w:val="2"/>
          <w:sz w:val="24"/>
          <w:szCs w:val="24"/>
        </w:rPr>
        <w:t>。甲方将</w:t>
      </w:r>
      <w:r>
        <w:rPr>
          <w:rFonts w:hint="eastAsia" w:ascii="宋体" w:hAnsi="宋体"/>
          <w:b/>
          <w:bCs/>
          <w:color w:val="auto"/>
          <w:sz w:val="24"/>
          <w:szCs w:val="24"/>
          <w:u w:val="single"/>
        </w:rPr>
        <w:t xml:space="preserve"> </w:t>
      </w:r>
      <w:r>
        <w:rPr>
          <w:rFonts w:ascii="宋体" w:hAnsi="宋体"/>
          <w:b/>
          <w:bCs/>
          <w:color w:val="auto"/>
          <w:sz w:val="24"/>
          <w:szCs w:val="24"/>
          <w:u w:val="single"/>
        </w:rPr>
        <w:t xml:space="preserve">                                  </w:t>
      </w:r>
      <w:r>
        <w:rPr>
          <w:rFonts w:hint="eastAsia" w:ascii="宋体" w:hAnsi="宋体"/>
          <w:color w:val="auto"/>
          <w:kern w:val="2"/>
          <w:sz w:val="24"/>
          <w:szCs w:val="24"/>
        </w:rPr>
        <w:t>项目（下称“本项目”）造价咨询服务委托给乙方。根据《中华人民共和国民法典》、《中华人民共和国建筑法》、《深圳经济特区建设工程施工招标投标条例》及其他有关法律、法规</w:t>
      </w:r>
      <w:r>
        <w:rPr>
          <w:rFonts w:hint="eastAsia" w:ascii="宋体" w:hAnsi="宋体"/>
          <w:color w:val="auto"/>
          <w:kern w:val="2"/>
          <w:sz w:val="24"/>
          <w:szCs w:val="24"/>
          <w:lang w:val="en-US" w:eastAsia="zh-CN"/>
        </w:rPr>
        <w:t>等规定</w:t>
      </w:r>
      <w:r>
        <w:rPr>
          <w:rFonts w:hint="eastAsia" w:ascii="宋体" w:hAnsi="宋体"/>
          <w:color w:val="auto"/>
          <w:kern w:val="2"/>
          <w:sz w:val="24"/>
          <w:szCs w:val="24"/>
        </w:rPr>
        <w:t>，遵循平等、自愿、公平和诚实信用的原则，甲方和乙方就本项目造价咨询及相关服务事项协商一致，订立本合同，达成</w:t>
      </w:r>
      <w:r>
        <w:rPr>
          <w:rFonts w:hint="eastAsia" w:ascii="宋体" w:hAnsi="宋体"/>
          <w:color w:val="auto"/>
          <w:kern w:val="2"/>
          <w:sz w:val="24"/>
          <w:szCs w:val="24"/>
          <w:lang w:val="en-US" w:eastAsia="zh-CN"/>
        </w:rPr>
        <w:t>合同条款</w:t>
      </w:r>
      <w:r>
        <w:rPr>
          <w:rFonts w:hint="eastAsia" w:ascii="宋体" w:hAnsi="宋体"/>
          <w:color w:val="auto"/>
          <w:kern w:val="2"/>
          <w:sz w:val="24"/>
          <w:szCs w:val="24"/>
        </w:rPr>
        <w:t>如下：</w:t>
      </w:r>
    </w:p>
    <w:p w14:paraId="799415CC">
      <w:pPr>
        <w:pStyle w:val="344"/>
        <w:numPr>
          <w:ilvl w:val="0"/>
          <w:numId w:val="29"/>
        </w:numPr>
        <w:snapToGrid w:val="0"/>
        <w:spacing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项目概况</w:t>
      </w:r>
    </w:p>
    <w:p w14:paraId="411530B0">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项目名称：</w:t>
      </w:r>
      <w:r>
        <w:rPr>
          <w:rFonts w:ascii="宋体" w:hAnsi="宋体"/>
          <w:b/>
          <w:bCs/>
          <w:color w:val="auto"/>
          <w:sz w:val="24"/>
          <w:szCs w:val="24"/>
          <w:u w:val="single"/>
        </w:rPr>
        <w:t xml:space="preserve">                                   </w:t>
      </w:r>
      <w:r>
        <w:rPr>
          <w:rFonts w:hint="eastAsia" w:ascii="宋体" w:hAnsi="宋体"/>
          <w:color w:val="auto"/>
          <w:kern w:val="2"/>
          <w:sz w:val="24"/>
          <w:szCs w:val="24"/>
        </w:rPr>
        <w:t>。</w:t>
      </w:r>
    </w:p>
    <w:p w14:paraId="64F9BA42">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建设内容：</w:t>
      </w:r>
      <w:r>
        <w:rPr>
          <w:rFonts w:ascii="宋体" w:hAnsi="宋体"/>
          <w:b/>
          <w:bCs/>
          <w:color w:val="auto"/>
          <w:sz w:val="24"/>
          <w:szCs w:val="24"/>
          <w:u w:val="single"/>
        </w:rPr>
        <w:t xml:space="preserve">                                   </w:t>
      </w:r>
      <w:r>
        <w:rPr>
          <w:rFonts w:hint="eastAsia" w:ascii="宋体" w:hAnsi="宋体"/>
          <w:color w:val="auto"/>
          <w:kern w:val="2"/>
          <w:sz w:val="24"/>
          <w:szCs w:val="24"/>
        </w:rPr>
        <w:t>。</w:t>
      </w:r>
    </w:p>
    <w:p w14:paraId="5B6B6C83">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计划投资：</w:t>
      </w:r>
      <w:r>
        <w:rPr>
          <w:rFonts w:ascii="宋体" w:hAnsi="宋体"/>
          <w:b/>
          <w:bCs/>
          <w:color w:val="auto"/>
          <w:sz w:val="24"/>
          <w:szCs w:val="24"/>
          <w:u w:val="single"/>
        </w:rPr>
        <w:t xml:space="preserve">                                   </w:t>
      </w:r>
      <w:r>
        <w:rPr>
          <w:rFonts w:hint="eastAsia" w:ascii="宋体" w:hAnsi="宋体"/>
          <w:color w:val="auto"/>
          <w:kern w:val="2"/>
          <w:sz w:val="24"/>
          <w:szCs w:val="24"/>
        </w:rPr>
        <w:t>。</w:t>
      </w:r>
    </w:p>
    <w:p w14:paraId="432EC511">
      <w:pPr>
        <w:pStyle w:val="344"/>
        <w:numPr>
          <w:ilvl w:val="0"/>
          <w:numId w:val="29"/>
        </w:numPr>
        <w:snapToGrid w:val="0"/>
        <w:spacing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服务内容</w:t>
      </w:r>
    </w:p>
    <w:p w14:paraId="744AF118">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负责编制审核概算、协助完成概算评审工作（具体工作内容根据具体项目情况调整，可能无此项内容，也可能根据项目需要编制设计概算）以及项目实施过程中的概算调整工作；建立经济技术指标库，对项目概算进行经济技术指标分析对比。</w:t>
      </w:r>
    </w:p>
    <w:p w14:paraId="7A101057">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协助甲方进行限额设计工作，提出造价控制建议。</w:t>
      </w:r>
    </w:p>
    <w:p w14:paraId="554FC5BA">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编制和审核工程预算，并对预算和概算进行对比分析，建立项目全过程动态投资控制台帐。</w:t>
      </w:r>
    </w:p>
    <w:p w14:paraId="70614E9A">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协助甲方编制招标文件，特别是招标文件中投标报价规定和特别条款；在造价工程师的指导下负责完成招标过程中商务标文件、工程控制价文件的编制和电子生成工作。</w:t>
      </w:r>
    </w:p>
    <w:p w14:paraId="60116893">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编制工程量清单及招标控制价，并提供综合单价分析表；在工程量清单和招标控制价的编制过程中书面提出设计和招标文件的问题，提醒甲方工程中采用的新材料、新工艺，并拟定计价方案供甲方决策。</w:t>
      </w:r>
    </w:p>
    <w:p w14:paraId="16E5A858">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提供主要材料、设备数量及价格清单，并提交询价或计价依据。</w:t>
      </w:r>
    </w:p>
    <w:p w14:paraId="037802C0">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复核中标候选人的商务标，并提出详细的造价分析报告。</w:t>
      </w:r>
    </w:p>
    <w:p w14:paraId="2E0E3DDE">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协助甲方签订合同。</w:t>
      </w:r>
    </w:p>
    <w:p w14:paraId="73683760">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编制投资控制形象进度表，按支付节点分解投标报价。</w:t>
      </w:r>
    </w:p>
    <w:p w14:paraId="002153E4">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施工过程中，参与工程量及工程进度款支付的复核工作。</w:t>
      </w:r>
    </w:p>
    <w:p w14:paraId="199C089A">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参与工程变更及现场签证的计量、计价复核工作，及时按甲方要求编制工程变更概算、工程变更预算、现场签证概算、现场签证预算及其他方案的工程造价工作。</w:t>
      </w:r>
    </w:p>
    <w:p w14:paraId="1202CD52">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按甲方要求按时保质保量完成分阶段结算工作。</w:t>
      </w:r>
    </w:p>
    <w:p w14:paraId="108B8EAD">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编制审核工程竣工结算，协助完成结算审计工作。</w:t>
      </w:r>
    </w:p>
    <w:p w14:paraId="54ED3E3F">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按需要与甲方一起到工地现场解决有关造价事宜（包含材料询价等工作）；全过程成本控制，主动、及时地发现并向甲方汇报任何可能影响成本的事项，提出相关改善建议。</w:t>
      </w:r>
    </w:p>
    <w:p w14:paraId="2C79DA26">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结算完成后，协助甲方进行经济技术指标分析和完成项目财务决算。</w:t>
      </w:r>
    </w:p>
    <w:p w14:paraId="59B2B8FF">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结算完成后，协助完成甲方、甲方委托的其他第三方、上级主管部门的造价审核。</w:t>
      </w:r>
    </w:p>
    <w:p w14:paraId="386FFCA2">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配合甲方对施工、设计、监理等各参建单位进行履约考评，并出具书面的评价意见。</w:t>
      </w:r>
    </w:p>
    <w:p w14:paraId="3B3B9F34">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根据甲方安排，配合对设计、监理单位进行绩效评价，并及时提交书面的绩效意见。</w:t>
      </w:r>
    </w:p>
    <w:p w14:paraId="79576B40">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乙方应按甲方要求派责任心及沟通、组织协调能力均较强的造价咨询人员按时参加甲方组织的相关会议，具体时间根据甲方要求执行。</w:t>
      </w:r>
    </w:p>
    <w:p w14:paraId="29BA5C87">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工程建设其他费用中的设计、监理、勘察等所有合同的造价咨询工作。</w:t>
      </w:r>
    </w:p>
    <w:p w14:paraId="6D7C7EA2">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项目所有工程结算完毕后，出具项目投资控制总结报告，报告中应包含履约情况自我评价、投资控制情况汇报、造价指标分析、投资控制存在的问题及建议等。</w:t>
      </w:r>
    </w:p>
    <w:p w14:paraId="5C12F3A7">
      <w:pPr>
        <w:pStyle w:val="344"/>
        <w:numPr>
          <w:ilvl w:val="0"/>
          <w:numId w:val="30"/>
        </w:numPr>
        <w:spacing w:line="360" w:lineRule="auto"/>
        <w:ind w:left="0" w:firstLine="482"/>
        <w:rPr>
          <w:rFonts w:hint="eastAsia" w:ascii="宋体" w:hAnsi="宋体"/>
          <w:color w:val="auto"/>
          <w:kern w:val="2"/>
          <w:sz w:val="24"/>
          <w:szCs w:val="24"/>
        </w:rPr>
      </w:pPr>
      <w:r>
        <w:rPr>
          <w:rFonts w:hint="eastAsia" w:ascii="宋体" w:hAnsi="宋体"/>
          <w:color w:val="auto"/>
          <w:kern w:val="2"/>
          <w:sz w:val="24"/>
          <w:szCs w:val="24"/>
        </w:rPr>
        <w:t>其他服务内容：</w:t>
      </w:r>
      <w:r>
        <w:rPr>
          <w:rFonts w:hint="eastAsia" w:ascii="宋体" w:hAnsi="宋体"/>
          <w:b/>
          <w:bCs/>
          <w:color w:val="auto"/>
          <w:sz w:val="24"/>
          <w:szCs w:val="24"/>
          <w:u w:val="single"/>
        </w:rPr>
        <w:t xml:space="preserve">                      </w:t>
      </w:r>
      <w:r>
        <w:rPr>
          <w:rFonts w:hint="eastAsia" w:ascii="宋体" w:hAnsi="宋体"/>
          <w:color w:val="auto"/>
          <w:kern w:val="2"/>
          <w:sz w:val="24"/>
          <w:szCs w:val="24"/>
        </w:rPr>
        <w:t>。</w:t>
      </w:r>
    </w:p>
    <w:p w14:paraId="5E1A2F99">
      <w:pPr>
        <w:pStyle w:val="344"/>
        <w:numPr>
          <w:ilvl w:val="0"/>
          <w:numId w:val="29"/>
        </w:numPr>
        <w:snapToGrid w:val="0"/>
        <w:spacing w:line="360" w:lineRule="auto"/>
        <w:ind w:left="0" w:firstLine="482"/>
        <w:rPr>
          <w:rFonts w:hint="eastAsia" w:ascii="宋体" w:hAnsi="宋体"/>
          <w:b/>
          <w:color w:val="auto"/>
          <w:kern w:val="2"/>
          <w:sz w:val="24"/>
          <w:szCs w:val="24"/>
        </w:rPr>
      </w:pPr>
      <w:r>
        <w:rPr>
          <w:rFonts w:hint="eastAsia" w:ascii="宋体" w:hAnsi="宋体"/>
          <w:b/>
          <w:color w:val="auto"/>
          <w:kern w:val="2"/>
          <w:sz w:val="24"/>
          <w:szCs w:val="24"/>
        </w:rPr>
        <w:t>成果要求</w:t>
      </w:r>
    </w:p>
    <w:p w14:paraId="2DA0E9EF">
      <w:pPr>
        <w:pStyle w:val="344"/>
        <w:numPr>
          <w:ilvl w:val="0"/>
          <w:numId w:val="31"/>
        </w:numPr>
        <w:spacing w:line="360" w:lineRule="auto"/>
        <w:ind w:left="0" w:firstLine="482"/>
        <w:rPr>
          <w:rFonts w:hint="eastAsia" w:ascii="宋体" w:hAnsi="宋体"/>
          <w:b/>
          <w:bCs/>
          <w:color w:val="auto"/>
          <w:kern w:val="2"/>
          <w:sz w:val="24"/>
          <w:szCs w:val="24"/>
        </w:rPr>
      </w:pPr>
      <w:r>
        <w:rPr>
          <w:rFonts w:hint="eastAsia" w:ascii="宋体" w:hAnsi="宋体"/>
          <w:b/>
          <w:bCs/>
          <w:color w:val="auto"/>
          <w:kern w:val="2"/>
          <w:sz w:val="24"/>
          <w:szCs w:val="24"/>
        </w:rPr>
        <w:t>成果文件编制依据</w:t>
      </w:r>
    </w:p>
    <w:p w14:paraId="113B3824">
      <w:pPr>
        <w:pStyle w:val="48"/>
        <w:numPr>
          <w:ilvl w:val="0"/>
          <w:numId w:val="32"/>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初步设计文件及图纸。</w:t>
      </w:r>
    </w:p>
    <w:p w14:paraId="27E5670A">
      <w:pPr>
        <w:pStyle w:val="48"/>
        <w:numPr>
          <w:ilvl w:val="0"/>
          <w:numId w:val="32"/>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施工招标文件。</w:t>
      </w:r>
    </w:p>
    <w:p w14:paraId="26AEB9AF">
      <w:pPr>
        <w:pStyle w:val="48"/>
        <w:numPr>
          <w:ilvl w:val="0"/>
          <w:numId w:val="32"/>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施工合同。</w:t>
      </w:r>
    </w:p>
    <w:p w14:paraId="18163A41">
      <w:pPr>
        <w:pStyle w:val="48"/>
        <w:numPr>
          <w:ilvl w:val="0"/>
          <w:numId w:val="32"/>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施工图（或竣工图）及有关设计文件。</w:t>
      </w:r>
    </w:p>
    <w:p w14:paraId="27C594A0">
      <w:pPr>
        <w:pStyle w:val="48"/>
        <w:numPr>
          <w:ilvl w:val="0"/>
          <w:numId w:val="32"/>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工程变更和现场签证。</w:t>
      </w:r>
    </w:p>
    <w:p w14:paraId="61E37CC3">
      <w:pPr>
        <w:pStyle w:val="48"/>
        <w:numPr>
          <w:ilvl w:val="0"/>
          <w:numId w:val="32"/>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概算、预算中的材料及设备价格参考概算、预算编制当期的《深圳建设工程价格信息》及相应时期的市场价格；结算、变更、签证中的材料及设备价格按照工程承包合同中的相应约定执行，无约定的按照甲方确认的标准执行。</w:t>
      </w:r>
    </w:p>
    <w:p w14:paraId="6F363F58">
      <w:pPr>
        <w:pStyle w:val="48"/>
        <w:numPr>
          <w:ilvl w:val="0"/>
          <w:numId w:val="32"/>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其他编制依据</w:t>
      </w:r>
      <w:r>
        <w:rPr>
          <w:rFonts w:hint="eastAsia" w:ascii="宋体" w:hAnsi="宋体"/>
          <w:b/>
          <w:bCs/>
          <w:color w:val="auto"/>
          <w:sz w:val="24"/>
          <w:szCs w:val="24"/>
          <w:u w:val="single"/>
        </w:rPr>
        <w:t xml:space="preserve">                      </w:t>
      </w:r>
      <w:r>
        <w:rPr>
          <w:rFonts w:hint="eastAsia" w:ascii="宋体" w:hAnsi="宋体"/>
          <w:color w:val="auto"/>
          <w:kern w:val="2"/>
          <w:sz w:val="24"/>
          <w:szCs w:val="24"/>
        </w:rPr>
        <w:t>。</w:t>
      </w:r>
    </w:p>
    <w:p w14:paraId="0F291280">
      <w:pPr>
        <w:pStyle w:val="344"/>
        <w:numPr>
          <w:ilvl w:val="0"/>
          <w:numId w:val="31"/>
        </w:numPr>
        <w:spacing w:line="360" w:lineRule="auto"/>
        <w:ind w:left="0" w:firstLine="482"/>
        <w:rPr>
          <w:rFonts w:hint="eastAsia" w:ascii="宋体" w:hAnsi="宋体"/>
          <w:b/>
          <w:bCs/>
          <w:color w:val="auto"/>
          <w:kern w:val="2"/>
          <w:sz w:val="24"/>
          <w:szCs w:val="24"/>
        </w:rPr>
      </w:pPr>
      <w:r>
        <w:rPr>
          <w:rFonts w:hint="eastAsia" w:ascii="宋体" w:hAnsi="宋体"/>
          <w:b/>
          <w:bCs/>
          <w:color w:val="auto"/>
          <w:kern w:val="2"/>
          <w:sz w:val="24"/>
          <w:szCs w:val="24"/>
        </w:rPr>
        <w:t>成果质量要求：</w:t>
      </w:r>
    </w:p>
    <w:p w14:paraId="35B771F9">
      <w:pPr>
        <w:pStyle w:val="48"/>
        <w:numPr>
          <w:ilvl w:val="0"/>
          <w:numId w:val="33"/>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工程量清单项目编制齐全，分类清楚，不得漏项，招标控制价价格合理，编制说明需详细。</w:t>
      </w:r>
    </w:p>
    <w:p w14:paraId="599C1D25">
      <w:pPr>
        <w:pStyle w:val="48"/>
        <w:numPr>
          <w:ilvl w:val="0"/>
          <w:numId w:val="33"/>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工程量计算准确，准确率在</w:t>
      </w:r>
      <w:r>
        <w:rPr>
          <w:rFonts w:hint="eastAsia" w:ascii="宋体" w:hAnsi="宋体"/>
          <w:b/>
          <w:bCs/>
          <w:color w:val="auto"/>
          <w:sz w:val="24"/>
          <w:szCs w:val="24"/>
          <w:u w:val="single"/>
        </w:rPr>
        <w:t>97%</w:t>
      </w:r>
      <w:r>
        <w:rPr>
          <w:rFonts w:hint="eastAsia" w:ascii="宋体" w:hAnsi="宋体"/>
          <w:color w:val="auto"/>
          <w:kern w:val="2"/>
          <w:sz w:val="24"/>
          <w:szCs w:val="24"/>
        </w:rPr>
        <w:t>以上（包括</w:t>
      </w:r>
      <w:r>
        <w:rPr>
          <w:rFonts w:hint="eastAsia" w:ascii="宋体" w:hAnsi="宋体"/>
          <w:b/>
          <w:bCs/>
          <w:color w:val="auto"/>
          <w:sz w:val="24"/>
          <w:szCs w:val="24"/>
          <w:u w:val="single"/>
        </w:rPr>
        <w:t>97%</w:t>
      </w:r>
      <w:r>
        <w:rPr>
          <w:rFonts w:hint="eastAsia" w:ascii="宋体" w:hAnsi="宋体"/>
          <w:color w:val="auto"/>
          <w:kern w:val="2"/>
          <w:sz w:val="24"/>
          <w:szCs w:val="24"/>
        </w:rPr>
        <w:t>）。</w:t>
      </w:r>
    </w:p>
    <w:p w14:paraId="5516FD6A">
      <w:pPr>
        <w:pStyle w:val="48"/>
        <w:numPr>
          <w:ilvl w:val="0"/>
          <w:numId w:val="33"/>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设备工程量准确率在</w:t>
      </w:r>
      <w:r>
        <w:rPr>
          <w:rFonts w:hint="eastAsia" w:ascii="宋体" w:hAnsi="宋体"/>
          <w:b/>
          <w:bCs/>
          <w:color w:val="auto"/>
          <w:sz w:val="24"/>
          <w:szCs w:val="24"/>
          <w:u w:val="single"/>
        </w:rPr>
        <w:t>99%</w:t>
      </w:r>
      <w:r>
        <w:rPr>
          <w:rFonts w:hint="eastAsia" w:ascii="宋体" w:hAnsi="宋体"/>
          <w:color w:val="auto"/>
          <w:kern w:val="2"/>
          <w:sz w:val="24"/>
          <w:szCs w:val="24"/>
        </w:rPr>
        <w:t>以上（包括</w:t>
      </w:r>
      <w:r>
        <w:rPr>
          <w:rFonts w:hint="eastAsia" w:ascii="宋体" w:hAnsi="宋体"/>
          <w:b/>
          <w:bCs/>
          <w:color w:val="auto"/>
          <w:sz w:val="24"/>
          <w:szCs w:val="24"/>
          <w:u w:val="single"/>
        </w:rPr>
        <w:t>99%</w:t>
      </w:r>
      <w:r>
        <w:rPr>
          <w:rFonts w:hint="eastAsia" w:ascii="宋体" w:hAnsi="宋体"/>
          <w:color w:val="auto"/>
          <w:kern w:val="2"/>
          <w:sz w:val="24"/>
          <w:szCs w:val="24"/>
        </w:rPr>
        <w:t>）。</w:t>
      </w:r>
    </w:p>
    <w:p w14:paraId="6E04B7B4">
      <w:pPr>
        <w:pStyle w:val="48"/>
        <w:numPr>
          <w:ilvl w:val="0"/>
          <w:numId w:val="33"/>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主要材料设备计价准确，无原则性失误。</w:t>
      </w:r>
    </w:p>
    <w:p w14:paraId="46085952">
      <w:pPr>
        <w:pStyle w:val="48"/>
        <w:numPr>
          <w:ilvl w:val="0"/>
          <w:numId w:val="33"/>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结算造价与第三方复审机构（包括深圳市建设工程造价管理站、</w:t>
      </w:r>
      <w:r>
        <w:rPr>
          <w:rFonts w:ascii="宋体" w:hAnsi="宋体"/>
          <w:color w:val="auto"/>
          <w:kern w:val="2"/>
          <w:sz w:val="24"/>
          <w:szCs w:val="24"/>
        </w:rPr>
        <w:t>福田区建设工程质量安全中心</w:t>
      </w:r>
      <w:r>
        <w:rPr>
          <w:rFonts w:hint="eastAsia" w:ascii="宋体" w:hAnsi="宋体"/>
          <w:color w:val="auto"/>
          <w:kern w:val="2"/>
          <w:sz w:val="24"/>
          <w:szCs w:val="24"/>
        </w:rPr>
        <w:t>或甲方委托的审核单位等）审核价相差应小于</w:t>
      </w:r>
      <w:r>
        <w:rPr>
          <w:rFonts w:hint="eastAsia" w:ascii="宋体" w:hAnsi="宋体"/>
          <w:b/>
          <w:bCs/>
          <w:color w:val="auto"/>
          <w:sz w:val="24"/>
          <w:szCs w:val="24"/>
          <w:u w:val="single"/>
        </w:rPr>
        <w:t>5%</w:t>
      </w:r>
      <w:r>
        <w:rPr>
          <w:rFonts w:hint="eastAsia" w:ascii="宋体" w:hAnsi="宋体"/>
          <w:color w:val="auto"/>
          <w:kern w:val="2"/>
          <w:sz w:val="24"/>
          <w:szCs w:val="24"/>
        </w:rPr>
        <w:t>以内（不含</w:t>
      </w:r>
      <w:r>
        <w:rPr>
          <w:rFonts w:hint="eastAsia" w:ascii="宋体" w:hAnsi="宋体"/>
          <w:b/>
          <w:bCs/>
          <w:color w:val="auto"/>
          <w:sz w:val="24"/>
          <w:szCs w:val="24"/>
          <w:u w:val="single"/>
        </w:rPr>
        <w:t>5%</w:t>
      </w:r>
      <w:r>
        <w:rPr>
          <w:rFonts w:hint="eastAsia" w:ascii="宋体" w:hAnsi="宋体"/>
          <w:color w:val="auto"/>
          <w:kern w:val="2"/>
          <w:sz w:val="24"/>
          <w:szCs w:val="24"/>
        </w:rPr>
        <w:t>）。</w:t>
      </w:r>
    </w:p>
    <w:p w14:paraId="49576C0A">
      <w:pPr>
        <w:pStyle w:val="48"/>
        <w:numPr>
          <w:ilvl w:val="0"/>
          <w:numId w:val="33"/>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造价文件必须文字清晰整齐。必须由相关专业造价工程师盖注册章、公司负责人签字盖章，并盖公司公章。</w:t>
      </w:r>
    </w:p>
    <w:p w14:paraId="39D89FE3">
      <w:pPr>
        <w:pStyle w:val="48"/>
        <w:numPr>
          <w:ilvl w:val="0"/>
          <w:numId w:val="33"/>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项目实际结算总造价应控制在批复概算内。</w:t>
      </w:r>
    </w:p>
    <w:p w14:paraId="467AA2A7">
      <w:pPr>
        <w:pStyle w:val="48"/>
        <w:numPr>
          <w:ilvl w:val="0"/>
          <w:numId w:val="33"/>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计价文件格式应符合深圳市相关计价要求，其中工程量清单格式应满足深圳市建设工程电子标书编制的要求。</w:t>
      </w:r>
    </w:p>
    <w:p w14:paraId="69BEBCAD">
      <w:pPr>
        <w:pStyle w:val="48"/>
        <w:numPr>
          <w:ilvl w:val="0"/>
          <w:numId w:val="33"/>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其他成果质量要求：</w:t>
      </w:r>
      <w:r>
        <w:rPr>
          <w:rFonts w:hint="eastAsia" w:ascii="宋体" w:hAnsi="宋体"/>
          <w:b/>
          <w:bCs/>
          <w:color w:val="auto"/>
          <w:sz w:val="24"/>
          <w:szCs w:val="24"/>
          <w:u w:val="single"/>
        </w:rPr>
        <w:t xml:space="preserve">                     </w:t>
      </w:r>
      <w:r>
        <w:rPr>
          <w:rFonts w:hint="eastAsia" w:ascii="宋体" w:hAnsi="宋体"/>
          <w:color w:val="auto"/>
          <w:kern w:val="2"/>
          <w:sz w:val="24"/>
          <w:szCs w:val="24"/>
        </w:rPr>
        <w:t>。</w:t>
      </w:r>
    </w:p>
    <w:p w14:paraId="55593B26">
      <w:pPr>
        <w:pStyle w:val="344"/>
        <w:numPr>
          <w:ilvl w:val="0"/>
          <w:numId w:val="31"/>
        </w:numPr>
        <w:spacing w:line="360" w:lineRule="auto"/>
        <w:ind w:left="0" w:firstLine="482"/>
        <w:rPr>
          <w:rFonts w:hint="eastAsia" w:ascii="宋体" w:hAnsi="宋体"/>
          <w:b/>
          <w:bCs/>
          <w:color w:val="auto"/>
          <w:kern w:val="2"/>
          <w:sz w:val="24"/>
          <w:szCs w:val="24"/>
        </w:rPr>
      </w:pPr>
      <w:r>
        <w:rPr>
          <w:rFonts w:hint="eastAsia" w:ascii="宋体" w:hAnsi="宋体"/>
          <w:b/>
          <w:bCs/>
          <w:color w:val="auto"/>
          <w:kern w:val="2"/>
          <w:sz w:val="24"/>
          <w:szCs w:val="24"/>
        </w:rPr>
        <w:t>成果提交时限要求</w:t>
      </w:r>
    </w:p>
    <w:p w14:paraId="5B3EF5C6">
      <w:pPr>
        <w:pStyle w:val="48"/>
        <w:numPr>
          <w:ilvl w:val="0"/>
          <w:numId w:val="34"/>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设计概算审查结果文件的提交时间：接到设计概算及相关资料后</w:t>
      </w:r>
      <w:r>
        <w:rPr>
          <w:rFonts w:hint="eastAsia" w:ascii="宋体" w:hAnsi="宋体"/>
          <w:b/>
          <w:bCs/>
          <w:color w:val="auto"/>
          <w:sz w:val="24"/>
          <w:szCs w:val="24"/>
          <w:u w:val="single"/>
        </w:rPr>
        <w:t>15天内</w:t>
      </w:r>
      <w:r>
        <w:rPr>
          <w:rFonts w:hint="eastAsia" w:ascii="宋体" w:hAnsi="宋体"/>
          <w:color w:val="auto"/>
          <w:kern w:val="2"/>
          <w:sz w:val="24"/>
          <w:szCs w:val="24"/>
        </w:rPr>
        <w:t>提交。</w:t>
      </w:r>
    </w:p>
    <w:p w14:paraId="19678606">
      <w:pPr>
        <w:pStyle w:val="48"/>
        <w:numPr>
          <w:ilvl w:val="0"/>
          <w:numId w:val="34"/>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招标项目造价文件的提交时间：本合同签订后</w:t>
      </w:r>
      <w:r>
        <w:rPr>
          <w:rFonts w:hint="eastAsia" w:ascii="宋体" w:hAnsi="宋体"/>
          <w:b/>
          <w:bCs/>
          <w:color w:val="auto"/>
          <w:sz w:val="24"/>
          <w:szCs w:val="24"/>
          <w:u w:val="single"/>
        </w:rPr>
        <w:t>15天内</w:t>
      </w:r>
      <w:r>
        <w:rPr>
          <w:rFonts w:hint="eastAsia" w:ascii="宋体" w:hAnsi="宋体"/>
          <w:color w:val="auto"/>
          <w:kern w:val="2"/>
          <w:sz w:val="24"/>
          <w:szCs w:val="24"/>
        </w:rPr>
        <w:t>提交工程量清单和招标控制价，招标控制价经审计部门或甲方审定后</w:t>
      </w:r>
      <w:r>
        <w:rPr>
          <w:rFonts w:hint="eastAsia" w:ascii="宋体" w:hAnsi="宋体"/>
          <w:b/>
          <w:bCs/>
          <w:color w:val="auto"/>
          <w:sz w:val="24"/>
          <w:szCs w:val="24"/>
          <w:u w:val="single"/>
        </w:rPr>
        <w:t>3个工作日内</w:t>
      </w:r>
      <w:r>
        <w:rPr>
          <w:rFonts w:hint="eastAsia" w:ascii="宋体" w:hAnsi="宋体"/>
          <w:color w:val="auto"/>
          <w:kern w:val="2"/>
          <w:sz w:val="24"/>
          <w:szCs w:val="24"/>
        </w:rPr>
        <w:t>提交修改后的工程量清单。</w:t>
      </w:r>
    </w:p>
    <w:p w14:paraId="338D4688">
      <w:pPr>
        <w:pStyle w:val="48"/>
        <w:numPr>
          <w:ilvl w:val="0"/>
          <w:numId w:val="34"/>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商务标复核提交时间：自接到相关资料后</w:t>
      </w:r>
      <w:r>
        <w:rPr>
          <w:rFonts w:hint="eastAsia" w:ascii="宋体" w:hAnsi="宋体"/>
          <w:b/>
          <w:bCs/>
          <w:color w:val="auto"/>
          <w:sz w:val="24"/>
          <w:szCs w:val="24"/>
          <w:u w:val="single"/>
        </w:rPr>
        <w:t>5天内</w:t>
      </w:r>
      <w:r>
        <w:rPr>
          <w:rFonts w:hint="eastAsia" w:ascii="宋体" w:hAnsi="宋体"/>
          <w:color w:val="auto"/>
          <w:kern w:val="2"/>
          <w:sz w:val="24"/>
          <w:szCs w:val="24"/>
        </w:rPr>
        <w:t>提交。</w:t>
      </w:r>
    </w:p>
    <w:p w14:paraId="4DD7ABA4">
      <w:pPr>
        <w:pStyle w:val="48"/>
        <w:numPr>
          <w:ilvl w:val="0"/>
          <w:numId w:val="34"/>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甲方与施工单位签订施工合同后</w:t>
      </w:r>
      <w:r>
        <w:rPr>
          <w:rFonts w:hint="eastAsia" w:ascii="宋体" w:hAnsi="宋体"/>
          <w:b/>
          <w:bCs/>
          <w:color w:val="auto"/>
          <w:sz w:val="24"/>
          <w:szCs w:val="24"/>
          <w:u w:val="single"/>
        </w:rPr>
        <w:t>7天内</w:t>
      </w:r>
      <w:r>
        <w:rPr>
          <w:rFonts w:hint="eastAsia" w:ascii="宋体" w:hAnsi="宋体"/>
          <w:color w:val="auto"/>
          <w:kern w:val="2"/>
          <w:sz w:val="24"/>
          <w:szCs w:val="24"/>
        </w:rPr>
        <w:t>，乙方应向甲方提交投资控制形象进度表，完成支付节点投标报价分解。</w:t>
      </w:r>
    </w:p>
    <w:p w14:paraId="65E0A36B">
      <w:pPr>
        <w:pStyle w:val="48"/>
        <w:numPr>
          <w:ilvl w:val="0"/>
          <w:numId w:val="34"/>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施工招标完成后工程量清单的复核时间：自接到相关资料后</w:t>
      </w:r>
      <w:r>
        <w:rPr>
          <w:rFonts w:hint="eastAsia" w:ascii="宋体" w:hAnsi="宋体"/>
          <w:b/>
          <w:bCs/>
          <w:color w:val="auto"/>
          <w:sz w:val="24"/>
          <w:szCs w:val="24"/>
          <w:u w:val="single"/>
        </w:rPr>
        <w:t>30天内</w:t>
      </w:r>
      <w:r>
        <w:rPr>
          <w:rFonts w:hint="eastAsia" w:ascii="宋体" w:hAnsi="宋体"/>
          <w:color w:val="auto"/>
          <w:kern w:val="2"/>
          <w:sz w:val="24"/>
          <w:szCs w:val="24"/>
        </w:rPr>
        <w:t>提交。</w:t>
      </w:r>
    </w:p>
    <w:p w14:paraId="75EA2ED6">
      <w:pPr>
        <w:pStyle w:val="48"/>
        <w:numPr>
          <w:ilvl w:val="0"/>
          <w:numId w:val="34"/>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施工过程的计量计价审核意见时间：自接到相关资料后</w:t>
      </w:r>
      <w:r>
        <w:rPr>
          <w:rFonts w:hint="eastAsia" w:ascii="宋体" w:hAnsi="宋体"/>
          <w:b/>
          <w:bCs/>
          <w:color w:val="auto"/>
          <w:sz w:val="24"/>
          <w:szCs w:val="24"/>
          <w:u w:val="single"/>
        </w:rPr>
        <w:t>7天内</w:t>
      </w:r>
      <w:r>
        <w:rPr>
          <w:rFonts w:hint="eastAsia" w:ascii="宋体" w:hAnsi="宋体"/>
          <w:color w:val="auto"/>
          <w:kern w:val="2"/>
          <w:sz w:val="24"/>
          <w:szCs w:val="24"/>
        </w:rPr>
        <w:t>提交。</w:t>
      </w:r>
    </w:p>
    <w:p w14:paraId="3413C852">
      <w:pPr>
        <w:pStyle w:val="48"/>
        <w:numPr>
          <w:ilvl w:val="0"/>
          <w:numId w:val="34"/>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工程竣工结算审核时间：自接到相关资料后</w:t>
      </w:r>
      <w:r>
        <w:rPr>
          <w:rFonts w:hint="eastAsia" w:ascii="宋体" w:hAnsi="宋体"/>
          <w:b/>
          <w:bCs/>
          <w:color w:val="auto"/>
          <w:sz w:val="24"/>
          <w:szCs w:val="24"/>
          <w:u w:val="single"/>
        </w:rPr>
        <w:t>60天内</w:t>
      </w:r>
      <w:r>
        <w:rPr>
          <w:rFonts w:hint="eastAsia" w:ascii="宋体" w:hAnsi="宋体"/>
          <w:color w:val="auto"/>
          <w:kern w:val="2"/>
          <w:sz w:val="24"/>
          <w:szCs w:val="24"/>
        </w:rPr>
        <w:t>提交。</w:t>
      </w:r>
    </w:p>
    <w:p w14:paraId="75F8BFF0">
      <w:pPr>
        <w:pStyle w:val="48"/>
        <w:numPr>
          <w:ilvl w:val="0"/>
          <w:numId w:val="34"/>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其他时限要求：</w:t>
      </w:r>
      <w:r>
        <w:rPr>
          <w:rFonts w:hint="eastAsia" w:ascii="宋体" w:hAnsi="宋体"/>
          <w:b/>
          <w:bCs/>
          <w:color w:val="auto"/>
          <w:sz w:val="24"/>
          <w:szCs w:val="24"/>
          <w:u w:val="single"/>
        </w:rPr>
        <w:t xml:space="preserve">                   </w:t>
      </w:r>
      <w:r>
        <w:rPr>
          <w:rFonts w:hint="eastAsia" w:ascii="宋体" w:hAnsi="宋体"/>
          <w:color w:val="auto"/>
          <w:kern w:val="2"/>
          <w:sz w:val="24"/>
          <w:szCs w:val="24"/>
        </w:rPr>
        <w:t>。</w:t>
      </w:r>
    </w:p>
    <w:p w14:paraId="62E84555">
      <w:pPr>
        <w:pStyle w:val="344"/>
        <w:numPr>
          <w:ilvl w:val="0"/>
          <w:numId w:val="31"/>
        </w:numPr>
        <w:spacing w:line="360" w:lineRule="auto"/>
        <w:ind w:left="0" w:firstLine="482"/>
        <w:rPr>
          <w:rFonts w:hint="eastAsia" w:ascii="宋体" w:hAnsi="宋体"/>
          <w:b/>
          <w:bCs/>
          <w:color w:val="auto"/>
          <w:kern w:val="2"/>
          <w:sz w:val="24"/>
          <w:szCs w:val="24"/>
        </w:rPr>
      </w:pPr>
      <w:r>
        <w:rPr>
          <w:rFonts w:hint="eastAsia" w:ascii="宋体" w:hAnsi="宋体"/>
          <w:b/>
          <w:bCs/>
          <w:color w:val="auto"/>
          <w:kern w:val="2"/>
          <w:sz w:val="24"/>
          <w:szCs w:val="24"/>
        </w:rPr>
        <w:t>成果提交数量要求</w:t>
      </w:r>
    </w:p>
    <w:p w14:paraId="03B8C47F">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工程概算书</w:t>
      </w:r>
      <w:r>
        <w:rPr>
          <w:rFonts w:hint="eastAsia" w:ascii="宋体" w:hAnsi="宋体"/>
          <w:b/>
          <w:bCs/>
          <w:color w:val="auto"/>
          <w:sz w:val="24"/>
          <w:szCs w:val="24"/>
          <w:u w:val="single"/>
        </w:rPr>
        <w:t>5份</w:t>
      </w:r>
      <w:r>
        <w:rPr>
          <w:rFonts w:hint="eastAsia" w:ascii="宋体" w:hAnsi="宋体"/>
          <w:color w:val="auto"/>
          <w:kern w:val="2"/>
          <w:sz w:val="24"/>
          <w:szCs w:val="24"/>
        </w:rPr>
        <w:t>。</w:t>
      </w:r>
    </w:p>
    <w:p w14:paraId="6256DDDA">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概算分析报告书</w:t>
      </w:r>
      <w:r>
        <w:rPr>
          <w:rFonts w:hint="eastAsia" w:ascii="宋体" w:hAnsi="宋体"/>
          <w:b/>
          <w:bCs/>
          <w:color w:val="auto"/>
          <w:sz w:val="24"/>
          <w:szCs w:val="24"/>
          <w:u w:val="single"/>
        </w:rPr>
        <w:t>3份</w:t>
      </w:r>
      <w:r>
        <w:rPr>
          <w:rFonts w:hint="eastAsia" w:ascii="宋体" w:hAnsi="宋体"/>
          <w:color w:val="auto"/>
          <w:kern w:val="2"/>
          <w:sz w:val="24"/>
          <w:szCs w:val="24"/>
        </w:rPr>
        <w:t>。</w:t>
      </w:r>
    </w:p>
    <w:p w14:paraId="3989EA5C">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工程预算书</w:t>
      </w:r>
      <w:r>
        <w:rPr>
          <w:rFonts w:hint="eastAsia" w:ascii="宋体" w:hAnsi="宋体"/>
          <w:b/>
          <w:bCs/>
          <w:color w:val="auto"/>
          <w:sz w:val="24"/>
          <w:szCs w:val="24"/>
          <w:u w:val="single"/>
        </w:rPr>
        <w:t>5份</w:t>
      </w:r>
      <w:r>
        <w:rPr>
          <w:rFonts w:hint="eastAsia" w:ascii="宋体" w:hAnsi="宋体"/>
          <w:color w:val="auto"/>
          <w:kern w:val="2"/>
          <w:sz w:val="24"/>
          <w:szCs w:val="24"/>
        </w:rPr>
        <w:t>。</w:t>
      </w:r>
    </w:p>
    <w:p w14:paraId="7AF0900E">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工程量计算底稿</w:t>
      </w:r>
      <w:r>
        <w:rPr>
          <w:rFonts w:hint="eastAsia" w:ascii="宋体" w:hAnsi="宋体"/>
          <w:b/>
          <w:bCs/>
          <w:color w:val="auto"/>
          <w:sz w:val="24"/>
          <w:szCs w:val="24"/>
          <w:u w:val="single"/>
        </w:rPr>
        <w:t>2份</w:t>
      </w:r>
      <w:r>
        <w:rPr>
          <w:rFonts w:hint="eastAsia" w:ascii="宋体" w:hAnsi="宋体"/>
          <w:color w:val="auto"/>
          <w:kern w:val="2"/>
          <w:sz w:val="24"/>
          <w:szCs w:val="24"/>
        </w:rPr>
        <w:t>。</w:t>
      </w:r>
    </w:p>
    <w:p w14:paraId="79D3519C">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工程量清单</w:t>
      </w:r>
      <w:r>
        <w:rPr>
          <w:rFonts w:hint="eastAsia" w:ascii="宋体" w:hAnsi="宋体"/>
          <w:b/>
          <w:bCs/>
          <w:color w:val="auto"/>
          <w:sz w:val="24"/>
          <w:szCs w:val="24"/>
          <w:u w:val="single"/>
        </w:rPr>
        <w:t>3份</w:t>
      </w:r>
      <w:r>
        <w:rPr>
          <w:rFonts w:hint="eastAsia" w:ascii="宋体" w:hAnsi="宋体"/>
          <w:color w:val="auto"/>
          <w:kern w:val="2"/>
          <w:sz w:val="24"/>
          <w:szCs w:val="24"/>
        </w:rPr>
        <w:t>。</w:t>
      </w:r>
    </w:p>
    <w:p w14:paraId="3AEEB67F">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招标控制价</w:t>
      </w:r>
      <w:r>
        <w:rPr>
          <w:rFonts w:hint="eastAsia" w:ascii="宋体" w:hAnsi="宋体"/>
          <w:b/>
          <w:bCs/>
          <w:color w:val="auto"/>
          <w:sz w:val="24"/>
          <w:szCs w:val="24"/>
          <w:u w:val="single"/>
        </w:rPr>
        <w:t>3份</w:t>
      </w:r>
      <w:r>
        <w:rPr>
          <w:rFonts w:hint="eastAsia" w:ascii="宋体" w:hAnsi="宋体"/>
          <w:color w:val="auto"/>
          <w:kern w:val="2"/>
          <w:sz w:val="24"/>
          <w:szCs w:val="24"/>
        </w:rPr>
        <w:t>。招标控制价应附项目综合单价分析表、措施项目分析表、主要材料数量及价格（参考价格）清单及定价依据、主要设备数量及价格（参考价格）清单及定价依据、标准工期计算书。</w:t>
      </w:r>
    </w:p>
    <w:p w14:paraId="72DC0478">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招标控制价分析报告书</w:t>
      </w:r>
      <w:r>
        <w:rPr>
          <w:rFonts w:hint="eastAsia" w:ascii="宋体" w:hAnsi="宋体"/>
          <w:b/>
          <w:bCs/>
          <w:color w:val="auto"/>
          <w:sz w:val="24"/>
          <w:szCs w:val="24"/>
          <w:u w:val="single"/>
        </w:rPr>
        <w:t>3份</w:t>
      </w:r>
      <w:r>
        <w:rPr>
          <w:rFonts w:hint="eastAsia" w:ascii="宋体" w:hAnsi="宋体"/>
          <w:color w:val="auto"/>
          <w:kern w:val="2"/>
          <w:sz w:val="24"/>
          <w:szCs w:val="24"/>
        </w:rPr>
        <w:t>。</w:t>
      </w:r>
    </w:p>
    <w:p w14:paraId="7DA463BB">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中标人商务标复核分析报告</w:t>
      </w:r>
      <w:r>
        <w:rPr>
          <w:rFonts w:hint="eastAsia" w:ascii="宋体" w:hAnsi="宋体"/>
          <w:b/>
          <w:bCs/>
          <w:color w:val="auto"/>
          <w:sz w:val="24"/>
          <w:szCs w:val="24"/>
          <w:u w:val="single"/>
        </w:rPr>
        <w:t>3份</w:t>
      </w:r>
      <w:r>
        <w:rPr>
          <w:rFonts w:hint="eastAsia" w:ascii="宋体" w:hAnsi="宋体"/>
          <w:color w:val="auto"/>
          <w:kern w:val="2"/>
          <w:sz w:val="24"/>
          <w:szCs w:val="24"/>
        </w:rPr>
        <w:t>。</w:t>
      </w:r>
    </w:p>
    <w:p w14:paraId="2692EBC1">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暂定价及无信息价材料设备询价定价报告</w:t>
      </w:r>
      <w:r>
        <w:rPr>
          <w:rFonts w:hint="eastAsia" w:ascii="宋体" w:hAnsi="宋体"/>
          <w:b/>
          <w:bCs/>
          <w:color w:val="auto"/>
          <w:sz w:val="24"/>
          <w:szCs w:val="24"/>
          <w:u w:val="single"/>
        </w:rPr>
        <w:t>3份</w:t>
      </w:r>
      <w:r>
        <w:rPr>
          <w:rFonts w:hint="eastAsia" w:ascii="宋体" w:hAnsi="宋体"/>
          <w:color w:val="auto"/>
          <w:kern w:val="2"/>
          <w:sz w:val="24"/>
          <w:szCs w:val="24"/>
        </w:rPr>
        <w:t>。</w:t>
      </w:r>
    </w:p>
    <w:p w14:paraId="6D6B1776">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工程变更及现场签证计量、计价报告</w:t>
      </w:r>
      <w:r>
        <w:rPr>
          <w:rFonts w:hint="eastAsia" w:ascii="宋体" w:hAnsi="宋体"/>
          <w:b/>
          <w:bCs/>
          <w:color w:val="auto"/>
          <w:sz w:val="24"/>
          <w:szCs w:val="24"/>
          <w:u w:val="single"/>
        </w:rPr>
        <w:t>3份</w:t>
      </w:r>
      <w:r>
        <w:rPr>
          <w:rFonts w:hint="eastAsia" w:ascii="宋体" w:hAnsi="宋体"/>
          <w:color w:val="auto"/>
          <w:kern w:val="2"/>
          <w:sz w:val="24"/>
          <w:szCs w:val="24"/>
        </w:rPr>
        <w:t>。</w:t>
      </w:r>
    </w:p>
    <w:p w14:paraId="40700D97">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工程结算书</w:t>
      </w:r>
      <w:r>
        <w:rPr>
          <w:rFonts w:hint="eastAsia" w:ascii="宋体" w:hAnsi="宋体"/>
          <w:b/>
          <w:bCs/>
          <w:color w:val="auto"/>
          <w:sz w:val="24"/>
          <w:szCs w:val="24"/>
          <w:u w:val="single"/>
        </w:rPr>
        <w:t>5份</w:t>
      </w:r>
      <w:r>
        <w:rPr>
          <w:rFonts w:hint="eastAsia" w:ascii="宋体" w:hAnsi="宋体"/>
          <w:color w:val="auto"/>
          <w:kern w:val="2"/>
          <w:sz w:val="24"/>
          <w:szCs w:val="24"/>
        </w:rPr>
        <w:t>。</w:t>
      </w:r>
    </w:p>
    <w:p w14:paraId="25C64049">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结算分析报告书</w:t>
      </w:r>
      <w:r>
        <w:rPr>
          <w:rFonts w:hint="eastAsia" w:ascii="宋体" w:hAnsi="宋体"/>
          <w:b/>
          <w:bCs/>
          <w:color w:val="auto"/>
          <w:sz w:val="24"/>
          <w:szCs w:val="24"/>
          <w:u w:val="single"/>
        </w:rPr>
        <w:t>3份</w:t>
      </w:r>
      <w:r>
        <w:rPr>
          <w:rFonts w:hint="eastAsia" w:ascii="宋体" w:hAnsi="宋体"/>
          <w:color w:val="auto"/>
          <w:kern w:val="2"/>
          <w:sz w:val="24"/>
          <w:szCs w:val="24"/>
        </w:rPr>
        <w:t>。</w:t>
      </w:r>
    </w:p>
    <w:p w14:paraId="419CEF9C">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经济技术指标分析报告</w:t>
      </w:r>
      <w:r>
        <w:rPr>
          <w:rFonts w:hint="eastAsia" w:ascii="宋体" w:hAnsi="宋体"/>
          <w:b/>
          <w:bCs/>
          <w:color w:val="auto"/>
          <w:sz w:val="24"/>
          <w:szCs w:val="24"/>
          <w:u w:val="single"/>
        </w:rPr>
        <w:t>3份</w:t>
      </w:r>
      <w:r>
        <w:rPr>
          <w:rFonts w:hint="eastAsia" w:ascii="宋体" w:hAnsi="宋体"/>
          <w:color w:val="auto"/>
          <w:kern w:val="2"/>
          <w:sz w:val="24"/>
          <w:szCs w:val="24"/>
        </w:rPr>
        <w:t>。</w:t>
      </w:r>
    </w:p>
    <w:p w14:paraId="3CA10B43">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以上文件均应提供电脑软盘或光盘各</w:t>
      </w:r>
      <w:r>
        <w:rPr>
          <w:rFonts w:hint="eastAsia" w:ascii="宋体" w:hAnsi="宋体"/>
          <w:b/>
          <w:bCs/>
          <w:color w:val="auto"/>
          <w:sz w:val="24"/>
          <w:szCs w:val="24"/>
          <w:u w:val="single"/>
        </w:rPr>
        <w:t>2张</w:t>
      </w:r>
      <w:r>
        <w:rPr>
          <w:rFonts w:hint="eastAsia" w:ascii="宋体" w:hAnsi="宋体"/>
          <w:color w:val="auto"/>
          <w:kern w:val="2"/>
          <w:sz w:val="24"/>
          <w:szCs w:val="24"/>
        </w:rPr>
        <w:t>。</w:t>
      </w:r>
    </w:p>
    <w:p w14:paraId="0939F025">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其他政府代建项目需要的成果文件。</w:t>
      </w:r>
    </w:p>
    <w:p w14:paraId="0EBE7703">
      <w:pPr>
        <w:pStyle w:val="48"/>
        <w:numPr>
          <w:ilvl w:val="0"/>
          <w:numId w:val="35"/>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其他成果文件要求：</w:t>
      </w:r>
      <w:r>
        <w:rPr>
          <w:rFonts w:hint="eastAsia" w:ascii="宋体" w:hAnsi="宋体"/>
          <w:b/>
          <w:bCs/>
          <w:color w:val="auto"/>
          <w:sz w:val="24"/>
          <w:szCs w:val="24"/>
          <w:u w:val="single"/>
        </w:rPr>
        <w:t xml:space="preserve">                       </w:t>
      </w:r>
      <w:r>
        <w:rPr>
          <w:rFonts w:hint="eastAsia" w:ascii="宋体" w:hAnsi="宋体"/>
          <w:color w:val="auto"/>
          <w:kern w:val="2"/>
          <w:sz w:val="24"/>
          <w:szCs w:val="24"/>
        </w:rPr>
        <w:t>。</w:t>
      </w:r>
    </w:p>
    <w:p w14:paraId="3BE87114">
      <w:pPr>
        <w:pStyle w:val="344"/>
        <w:numPr>
          <w:ilvl w:val="0"/>
          <w:numId w:val="29"/>
        </w:numPr>
        <w:snapToGrid w:val="0"/>
        <w:spacing w:line="360" w:lineRule="auto"/>
        <w:ind w:left="0" w:right="649" w:rightChars="309" w:firstLine="0" w:firstLineChars="0"/>
        <w:rPr>
          <w:rFonts w:hint="eastAsia" w:ascii="宋体" w:hAnsi="宋体"/>
          <w:b/>
          <w:color w:val="auto"/>
          <w:kern w:val="2"/>
          <w:sz w:val="24"/>
          <w:szCs w:val="24"/>
        </w:rPr>
      </w:pPr>
      <w:r>
        <w:rPr>
          <w:rFonts w:hint="eastAsia" w:ascii="宋体" w:hAnsi="宋体"/>
          <w:b/>
          <w:color w:val="auto"/>
          <w:kern w:val="2"/>
          <w:sz w:val="24"/>
          <w:szCs w:val="24"/>
        </w:rPr>
        <w:t>合同价款</w:t>
      </w:r>
    </w:p>
    <w:p w14:paraId="5F46CE93">
      <w:pPr>
        <w:pStyle w:val="344"/>
        <w:numPr>
          <w:ilvl w:val="0"/>
          <w:numId w:val="36"/>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签约合同价暂定为人民币（含税）</w:t>
      </w:r>
      <w:r>
        <w:rPr>
          <w:rFonts w:hint="eastAsia" w:ascii="宋体" w:hAnsi="宋体"/>
          <w:b/>
          <w:bCs/>
          <w:color w:val="auto"/>
          <w:sz w:val="24"/>
          <w:szCs w:val="24"/>
          <w:u w:val="single"/>
        </w:rPr>
        <w:t xml:space="preserve"> </w:t>
      </w:r>
      <w:r>
        <w:rPr>
          <w:rFonts w:ascii="宋体" w:hAnsi="宋体"/>
          <w:b/>
          <w:bCs/>
          <w:color w:val="auto"/>
          <w:sz w:val="24"/>
          <w:szCs w:val="24"/>
          <w:u w:val="single"/>
        </w:rPr>
        <w:t xml:space="preserve">              </w:t>
      </w:r>
      <w:r>
        <w:rPr>
          <w:rFonts w:hint="eastAsia" w:ascii="宋体" w:hAnsi="宋体"/>
          <w:color w:val="auto"/>
          <w:kern w:val="2"/>
          <w:sz w:val="24"/>
          <w:szCs w:val="24"/>
        </w:rPr>
        <w:t>元</w:t>
      </w:r>
      <w:bookmarkStart w:id="357" w:name="_Hlk175146175"/>
      <w:r>
        <w:rPr>
          <w:rFonts w:hint="eastAsia" w:ascii="宋体" w:hAnsi="宋体"/>
          <w:color w:val="auto"/>
          <w:kern w:val="2"/>
          <w:sz w:val="24"/>
          <w:szCs w:val="24"/>
        </w:rPr>
        <w:t>（小写：¥</w:t>
      </w:r>
      <w:r>
        <w:rPr>
          <w:rFonts w:hint="eastAsia" w:ascii="宋体" w:hAnsi="宋体"/>
          <w:b/>
          <w:bCs/>
          <w:color w:val="auto"/>
          <w:sz w:val="24"/>
          <w:szCs w:val="24"/>
          <w:u w:val="single"/>
        </w:rPr>
        <w:t xml:space="preserve"> </w:t>
      </w:r>
      <w:r>
        <w:rPr>
          <w:rFonts w:ascii="宋体" w:hAnsi="宋体"/>
          <w:b/>
          <w:bCs/>
          <w:color w:val="auto"/>
          <w:sz w:val="24"/>
          <w:szCs w:val="24"/>
          <w:u w:val="single"/>
        </w:rPr>
        <w:t xml:space="preserve">      </w:t>
      </w:r>
      <w:r>
        <w:rPr>
          <w:rFonts w:hint="eastAsia" w:ascii="宋体" w:hAnsi="宋体"/>
          <w:color w:val="auto"/>
          <w:kern w:val="2"/>
          <w:sz w:val="24"/>
          <w:szCs w:val="24"/>
        </w:rPr>
        <w:t>元），不含税金额为¥</w:t>
      </w:r>
      <w:r>
        <w:rPr>
          <w:rFonts w:hint="eastAsia" w:ascii="宋体" w:hAnsi="宋体"/>
          <w:b/>
          <w:bCs/>
          <w:color w:val="auto"/>
          <w:sz w:val="24"/>
          <w:szCs w:val="24"/>
          <w:u w:val="single"/>
        </w:rPr>
        <w:t xml:space="preserve">       </w:t>
      </w:r>
      <w:r>
        <w:rPr>
          <w:rFonts w:hint="eastAsia" w:ascii="宋体" w:hAnsi="宋体"/>
          <w:color w:val="auto"/>
          <w:kern w:val="2"/>
          <w:sz w:val="24"/>
          <w:szCs w:val="24"/>
        </w:rPr>
        <w:t>元，中标下浮率为</w:t>
      </w:r>
      <w:r>
        <w:rPr>
          <w:rFonts w:hint="eastAsia" w:ascii="宋体" w:hAnsi="宋体"/>
          <w:b/>
          <w:bCs/>
          <w:color w:val="auto"/>
          <w:sz w:val="24"/>
          <w:szCs w:val="24"/>
          <w:u w:val="single"/>
        </w:rPr>
        <w:t xml:space="preserve">    </w:t>
      </w:r>
      <w:r>
        <w:rPr>
          <w:rFonts w:hint="eastAsia" w:ascii="宋体" w:hAnsi="宋体"/>
          <w:color w:val="auto"/>
          <w:kern w:val="2"/>
          <w:sz w:val="24"/>
          <w:szCs w:val="24"/>
        </w:rPr>
        <w:t>%。</w:t>
      </w:r>
      <w:bookmarkEnd w:id="357"/>
    </w:p>
    <w:p w14:paraId="3A6FD417">
      <w:pPr>
        <w:pStyle w:val="344"/>
        <w:spacing w:line="360" w:lineRule="auto"/>
        <w:ind w:left="480" w:firstLine="0" w:firstLineChars="0"/>
        <w:rPr>
          <w:rFonts w:hint="eastAsia" w:ascii="宋体" w:hAnsi="宋体"/>
          <w:color w:val="auto"/>
          <w:kern w:val="2"/>
          <w:sz w:val="24"/>
          <w:szCs w:val="24"/>
        </w:rPr>
      </w:pPr>
      <w:r>
        <w:rPr>
          <w:rFonts w:hint="eastAsia" w:ascii="宋体" w:hAnsi="宋体"/>
          <w:color w:val="auto"/>
          <w:kern w:val="2"/>
          <w:sz w:val="24"/>
          <w:szCs w:val="24"/>
        </w:rPr>
        <w:t>如政策调整导致税率变化则含税总价不调整。</w:t>
      </w:r>
    </w:p>
    <w:p w14:paraId="6F284567">
      <w:pPr>
        <w:pStyle w:val="344"/>
        <w:numPr>
          <w:ilvl w:val="0"/>
          <w:numId w:val="36"/>
        </w:numPr>
        <w:spacing w:line="360" w:lineRule="auto"/>
        <w:ind w:left="0" w:firstLine="482"/>
        <w:rPr>
          <w:rFonts w:hint="eastAsia" w:ascii="宋体" w:hAnsi="宋体"/>
          <w:b/>
          <w:bCs/>
          <w:color w:val="auto"/>
          <w:kern w:val="2"/>
          <w:sz w:val="24"/>
          <w:szCs w:val="24"/>
        </w:rPr>
      </w:pPr>
      <w:r>
        <w:rPr>
          <w:rFonts w:hint="eastAsia" w:ascii="宋体" w:hAnsi="宋体"/>
          <w:b/>
          <w:bCs/>
          <w:color w:val="auto"/>
          <w:kern w:val="2"/>
          <w:sz w:val="24"/>
          <w:szCs w:val="24"/>
        </w:rPr>
        <w:t>造价咨询费计费基数确定方式</w:t>
      </w:r>
    </w:p>
    <w:p w14:paraId="76FB7275">
      <w:pPr>
        <w:pStyle w:val="48"/>
        <w:spacing w:line="360" w:lineRule="auto"/>
        <w:ind w:firstLine="482" w:firstLineChars="200"/>
        <w:rPr>
          <w:rFonts w:hint="eastAsia" w:ascii="宋体" w:hAnsi="宋体"/>
          <w:b/>
          <w:bCs/>
          <w:color w:val="auto"/>
          <w:sz w:val="24"/>
          <w:szCs w:val="24"/>
          <w:u w:val="single"/>
        </w:rPr>
      </w:pPr>
      <w:r>
        <w:rPr>
          <w:rFonts w:hint="eastAsia" w:ascii="宋体" w:hAnsi="宋体"/>
          <w:b/>
          <w:bCs/>
          <w:color w:val="auto"/>
          <w:sz w:val="24"/>
          <w:szCs w:val="24"/>
          <w:u w:val="single"/>
        </w:rPr>
        <w:t>□本项目为社会投资项目：</w:t>
      </w:r>
    </w:p>
    <w:p w14:paraId="2762DE07">
      <w:pPr>
        <w:pStyle w:val="48"/>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u w:val="single"/>
        </w:rPr>
        <w:t>□以概算成果文件中的建安费作为造价咨询费计费基数。</w:t>
      </w:r>
    </w:p>
    <w:p w14:paraId="16EC7F33">
      <w:pPr>
        <w:pStyle w:val="48"/>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u w:val="single"/>
        </w:rPr>
        <w:t>□以预算审核成果中的建安费作为造价咨询费计费基数。</w:t>
      </w:r>
    </w:p>
    <w:p w14:paraId="09D8740A">
      <w:pPr>
        <w:pStyle w:val="48"/>
        <w:spacing w:line="360" w:lineRule="auto"/>
        <w:ind w:firstLine="482" w:firstLineChars="200"/>
        <w:rPr>
          <w:rFonts w:hint="eastAsia" w:ascii="宋体" w:hAnsi="宋体"/>
          <w:b/>
          <w:bCs/>
          <w:color w:val="auto"/>
          <w:sz w:val="24"/>
          <w:szCs w:val="24"/>
          <w:u w:val="single"/>
        </w:rPr>
      </w:pPr>
      <w:r>
        <w:rPr>
          <w:rFonts w:hint="eastAsia" w:ascii="宋体" w:hAnsi="宋体"/>
          <w:b/>
          <w:bCs/>
          <w:color w:val="auto"/>
          <w:sz w:val="24"/>
          <w:szCs w:val="24"/>
          <w:u w:val="single"/>
        </w:rPr>
        <w:t>□本项目为政府投资项目：</w:t>
      </w:r>
    </w:p>
    <w:p w14:paraId="4FE85310">
      <w:pPr>
        <w:pStyle w:val="48"/>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u w:val="single"/>
        </w:rPr>
        <w:t>□以概算批复中的建安费（不含设备及工器具购置费）作为造价咨询费计费基数。</w:t>
      </w:r>
    </w:p>
    <w:p w14:paraId="1EC765D4">
      <w:pPr>
        <w:pStyle w:val="48"/>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u w:val="single"/>
        </w:rPr>
        <w:t>□以预算审核成果中的建安费（不含设备及工器具购置费）作为造价咨询费计费基数。</w:t>
      </w:r>
    </w:p>
    <w:p w14:paraId="629A47C3">
      <w:pPr>
        <w:pStyle w:val="344"/>
        <w:keepNext w:val="0"/>
        <w:keepLines w:val="0"/>
        <w:pageBreakBefore w:val="0"/>
        <w:numPr>
          <w:ilvl w:val="0"/>
          <w:numId w:val="36"/>
        </w:numPr>
        <w:kinsoku/>
        <w:wordWrap/>
        <w:overflowPunct/>
        <w:topLinePunct w:val="0"/>
        <w:autoSpaceDE/>
        <w:autoSpaceDN/>
        <w:bidi w:val="0"/>
        <w:spacing w:line="360" w:lineRule="auto"/>
        <w:ind w:left="0" w:firstLine="0" w:firstLineChars="0"/>
        <w:rPr>
          <w:rFonts w:hint="eastAsia" w:ascii="宋体" w:hAnsi="宋体"/>
          <w:b/>
          <w:bCs/>
          <w:color w:val="auto"/>
          <w:kern w:val="2"/>
          <w:sz w:val="24"/>
          <w:szCs w:val="24"/>
        </w:rPr>
      </w:pPr>
      <w:r>
        <w:rPr>
          <w:rFonts w:hint="eastAsia" w:ascii="宋体" w:hAnsi="宋体"/>
          <w:b/>
          <w:bCs/>
          <w:color w:val="auto"/>
          <w:kern w:val="2"/>
          <w:sz w:val="24"/>
          <w:szCs w:val="24"/>
        </w:rPr>
        <w:t>造价咨询费结算价计算方式</w:t>
      </w:r>
    </w:p>
    <w:p w14:paraId="53BFE432">
      <w:pPr>
        <w:pStyle w:val="48"/>
        <w:keepNext w:val="0"/>
        <w:keepLines w:val="0"/>
        <w:pageBreakBefore w:val="0"/>
        <w:kinsoku/>
        <w:wordWrap/>
        <w:overflowPunct/>
        <w:topLinePunct w:val="0"/>
        <w:autoSpaceDE/>
        <w:autoSpaceDN/>
        <w:bidi w:val="0"/>
        <w:adjustRightInd w:val="0"/>
        <w:spacing w:line="360" w:lineRule="auto"/>
        <w:ind w:firstLine="0" w:firstLineChars="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rPr>
        <w:t>按照下表中费率并结合中标下浮率确定。</w:t>
      </w:r>
    </w:p>
    <w:tbl>
      <w:tblPr>
        <w:tblStyle w:val="52"/>
        <w:tblW w:w="93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46"/>
        <w:gridCol w:w="1466"/>
        <w:gridCol w:w="1016"/>
        <w:gridCol w:w="782"/>
        <w:gridCol w:w="842"/>
        <w:gridCol w:w="981"/>
        <w:gridCol w:w="1009"/>
        <w:gridCol w:w="979"/>
        <w:gridCol w:w="698"/>
        <w:gridCol w:w="696"/>
      </w:tblGrid>
      <w:tr w14:paraId="6892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2" w:hRule="atLeast"/>
        </w:trPr>
        <w:tc>
          <w:tcPr>
            <w:tcW w:w="850" w:type="dxa"/>
            <w:vMerge w:val="restart"/>
            <w:vAlign w:val="center"/>
          </w:tcPr>
          <w:p w14:paraId="03A242A3">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咨询项目名称</w:t>
            </w:r>
          </w:p>
        </w:tc>
        <w:tc>
          <w:tcPr>
            <w:tcW w:w="1474" w:type="dxa"/>
            <w:vMerge w:val="restart"/>
            <w:vAlign w:val="center"/>
          </w:tcPr>
          <w:p w14:paraId="02E30CFC">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服务内容</w:t>
            </w:r>
          </w:p>
        </w:tc>
        <w:tc>
          <w:tcPr>
            <w:tcW w:w="1020" w:type="dxa"/>
            <w:vMerge w:val="restart"/>
            <w:vAlign w:val="center"/>
          </w:tcPr>
          <w:p w14:paraId="5B75C1A3">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计费基数</w:t>
            </w:r>
          </w:p>
        </w:tc>
        <w:tc>
          <w:tcPr>
            <w:tcW w:w="5272" w:type="dxa"/>
            <w:gridSpan w:val="6"/>
            <w:vAlign w:val="center"/>
          </w:tcPr>
          <w:p w14:paraId="4F927CDB">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市场价标准</w:t>
            </w:r>
          </w:p>
        </w:tc>
        <w:tc>
          <w:tcPr>
            <w:tcW w:w="699" w:type="dxa"/>
            <w:vAlign w:val="center"/>
          </w:tcPr>
          <w:p w14:paraId="41CCCAF4">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备注</w:t>
            </w:r>
          </w:p>
        </w:tc>
      </w:tr>
      <w:tr w14:paraId="542D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2" w:hRule="atLeast"/>
        </w:trPr>
        <w:tc>
          <w:tcPr>
            <w:tcW w:w="850" w:type="dxa"/>
            <w:vMerge w:val="continue"/>
            <w:vAlign w:val="center"/>
          </w:tcPr>
          <w:p w14:paraId="63DACF6C">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p>
        </w:tc>
        <w:tc>
          <w:tcPr>
            <w:tcW w:w="1474" w:type="dxa"/>
            <w:vMerge w:val="continue"/>
            <w:vAlign w:val="center"/>
          </w:tcPr>
          <w:p w14:paraId="5C544583">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p>
        </w:tc>
        <w:tc>
          <w:tcPr>
            <w:tcW w:w="1020" w:type="dxa"/>
            <w:vMerge w:val="continue"/>
            <w:vAlign w:val="center"/>
          </w:tcPr>
          <w:p w14:paraId="27FBA648">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p>
        </w:tc>
        <w:tc>
          <w:tcPr>
            <w:tcW w:w="784" w:type="dxa"/>
            <w:vAlign w:val="center"/>
          </w:tcPr>
          <w:p w14:paraId="7C26DD03">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100万元以内</w:t>
            </w:r>
          </w:p>
        </w:tc>
        <w:tc>
          <w:tcPr>
            <w:tcW w:w="842" w:type="dxa"/>
            <w:vAlign w:val="center"/>
          </w:tcPr>
          <w:p w14:paraId="79F9B984">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shd w:val="clear" w:color="auto" w:fill="FFFFFF"/>
              </w:rPr>
              <w:t>101-500万</w:t>
            </w:r>
            <w:r>
              <w:rPr>
                <w:rFonts w:hint="eastAsia" w:ascii="宋体" w:hAnsi="宋体" w:cs="宋体"/>
                <w:b/>
                <w:bCs/>
                <w:color w:val="auto"/>
                <w:kern w:val="0"/>
                <w:szCs w:val="21"/>
              </w:rPr>
              <w:t>元</w:t>
            </w:r>
          </w:p>
        </w:tc>
        <w:tc>
          <w:tcPr>
            <w:tcW w:w="981" w:type="dxa"/>
            <w:vAlign w:val="center"/>
          </w:tcPr>
          <w:p w14:paraId="7C4EFFD9">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501-1000万元</w:t>
            </w:r>
          </w:p>
        </w:tc>
        <w:tc>
          <w:tcPr>
            <w:tcW w:w="983" w:type="dxa"/>
            <w:vAlign w:val="center"/>
          </w:tcPr>
          <w:p w14:paraId="7DBA349E">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shd w:val="clear" w:color="auto" w:fill="FFFFFF"/>
              </w:rPr>
              <w:t>1001-5000万</w:t>
            </w:r>
            <w:r>
              <w:rPr>
                <w:rFonts w:hint="eastAsia" w:ascii="宋体" w:hAnsi="宋体" w:cs="宋体"/>
                <w:b/>
                <w:bCs/>
                <w:color w:val="auto"/>
                <w:kern w:val="0"/>
                <w:szCs w:val="21"/>
              </w:rPr>
              <w:t>元</w:t>
            </w:r>
          </w:p>
        </w:tc>
        <w:tc>
          <w:tcPr>
            <w:tcW w:w="982" w:type="dxa"/>
            <w:vAlign w:val="center"/>
          </w:tcPr>
          <w:p w14:paraId="6B819D4A">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5001万元-1亿元</w:t>
            </w:r>
          </w:p>
        </w:tc>
        <w:tc>
          <w:tcPr>
            <w:tcW w:w="700" w:type="dxa"/>
            <w:vAlign w:val="center"/>
          </w:tcPr>
          <w:p w14:paraId="667BFE84">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b/>
                <w:bCs/>
                <w:color w:val="auto"/>
                <w:kern w:val="0"/>
                <w:szCs w:val="21"/>
              </w:rPr>
            </w:pPr>
            <w:r>
              <w:rPr>
                <w:rFonts w:hint="eastAsia" w:ascii="宋体" w:hAnsi="宋体" w:cs="宋体"/>
                <w:b/>
                <w:bCs/>
                <w:color w:val="auto"/>
                <w:kern w:val="0"/>
                <w:szCs w:val="21"/>
              </w:rPr>
              <w:t>1亿元以上</w:t>
            </w:r>
          </w:p>
        </w:tc>
        <w:tc>
          <w:tcPr>
            <w:tcW w:w="699" w:type="dxa"/>
            <w:vAlign w:val="center"/>
          </w:tcPr>
          <w:p w14:paraId="3DDFF7AD">
            <w:pPr>
              <w:keepNext w:val="0"/>
              <w:keepLines w:val="0"/>
              <w:pageBreakBefore w:val="0"/>
              <w:widowControl/>
              <w:kinsoku/>
              <w:wordWrap/>
              <w:overflowPunct/>
              <w:topLinePunct w:val="0"/>
              <w:autoSpaceDE/>
              <w:autoSpaceDN/>
              <w:bidi w:val="0"/>
              <w:snapToGrid w:val="0"/>
              <w:ind w:firstLine="0" w:firstLineChars="0"/>
              <w:jc w:val="left"/>
              <w:rPr>
                <w:rFonts w:hint="eastAsia" w:ascii="宋体" w:hAnsi="宋体" w:cs="宋体"/>
                <w:b/>
                <w:bCs/>
                <w:color w:val="auto"/>
                <w:kern w:val="0"/>
                <w:szCs w:val="21"/>
              </w:rPr>
            </w:pPr>
          </w:p>
        </w:tc>
      </w:tr>
      <w:tr w14:paraId="45A4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9" w:hRule="atLeast"/>
        </w:trPr>
        <w:tc>
          <w:tcPr>
            <w:tcW w:w="850" w:type="dxa"/>
            <w:vAlign w:val="center"/>
          </w:tcPr>
          <w:p w14:paraId="72871B14">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施工阶段全过程造价控制</w:t>
            </w:r>
          </w:p>
        </w:tc>
        <w:tc>
          <w:tcPr>
            <w:tcW w:w="1474" w:type="dxa"/>
            <w:vAlign w:val="center"/>
          </w:tcPr>
          <w:p w14:paraId="4426C58D">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工程量清单编制开始到工程结算审核的造价咨询服务</w:t>
            </w:r>
          </w:p>
        </w:tc>
        <w:tc>
          <w:tcPr>
            <w:tcW w:w="1020" w:type="dxa"/>
            <w:vAlign w:val="center"/>
          </w:tcPr>
          <w:p w14:paraId="1E7592A8">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b/>
                <w:bCs/>
                <w:color w:val="auto"/>
                <w:szCs w:val="21"/>
                <w:lang w:val="en-US" w:eastAsia="zh-CN"/>
              </w:rPr>
              <w:t>结算</w:t>
            </w:r>
            <w:r>
              <w:rPr>
                <w:rFonts w:hint="eastAsia" w:ascii="宋体" w:hAnsi="宋体"/>
                <w:b/>
                <w:bCs/>
                <w:color w:val="auto"/>
                <w:szCs w:val="21"/>
              </w:rPr>
              <w:t>审核成果中的建安费</w:t>
            </w:r>
            <w:r>
              <w:rPr>
                <w:rFonts w:hint="eastAsia" w:ascii="宋体" w:hAnsi="宋体"/>
                <w:color w:val="auto"/>
                <w:szCs w:val="21"/>
              </w:rPr>
              <w:t>(不含设备及工器具购置费)</w:t>
            </w:r>
          </w:p>
        </w:tc>
        <w:tc>
          <w:tcPr>
            <w:tcW w:w="784" w:type="dxa"/>
            <w:vAlign w:val="center"/>
          </w:tcPr>
          <w:p w14:paraId="1F88081B">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12‰</w:t>
            </w:r>
          </w:p>
        </w:tc>
        <w:tc>
          <w:tcPr>
            <w:tcW w:w="842" w:type="dxa"/>
            <w:vAlign w:val="center"/>
          </w:tcPr>
          <w:p w14:paraId="40ABBBD1">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11‰</w:t>
            </w:r>
          </w:p>
        </w:tc>
        <w:tc>
          <w:tcPr>
            <w:tcW w:w="981" w:type="dxa"/>
            <w:vAlign w:val="center"/>
          </w:tcPr>
          <w:p w14:paraId="175109C2">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10‰</w:t>
            </w:r>
          </w:p>
        </w:tc>
        <w:tc>
          <w:tcPr>
            <w:tcW w:w="983" w:type="dxa"/>
            <w:vAlign w:val="center"/>
          </w:tcPr>
          <w:p w14:paraId="1AF0203C">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9‰</w:t>
            </w:r>
          </w:p>
        </w:tc>
        <w:tc>
          <w:tcPr>
            <w:tcW w:w="982" w:type="dxa"/>
            <w:vAlign w:val="center"/>
          </w:tcPr>
          <w:p w14:paraId="09115F96">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8‰</w:t>
            </w:r>
          </w:p>
        </w:tc>
        <w:tc>
          <w:tcPr>
            <w:tcW w:w="700" w:type="dxa"/>
            <w:vAlign w:val="center"/>
          </w:tcPr>
          <w:p w14:paraId="7A8CC366">
            <w:pPr>
              <w:keepNext w:val="0"/>
              <w:keepLines w:val="0"/>
              <w:pageBreakBefore w:val="0"/>
              <w:widowControl/>
              <w:kinsoku/>
              <w:wordWrap/>
              <w:overflowPunct/>
              <w:topLinePunct w:val="0"/>
              <w:autoSpaceDE/>
              <w:autoSpaceDN/>
              <w:bidi w:val="0"/>
              <w:snapToGrid w:val="0"/>
              <w:ind w:firstLine="0" w:firstLineChars="0"/>
              <w:jc w:val="center"/>
              <w:rPr>
                <w:rFonts w:hint="eastAsia" w:ascii="宋体" w:hAnsi="宋体" w:cs="宋体"/>
                <w:color w:val="auto"/>
                <w:kern w:val="0"/>
                <w:szCs w:val="21"/>
              </w:rPr>
            </w:pPr>
            <w:r>
              <w:rPr>
                <w:rFonts w:hint="eastAsia" w:ascii="宋体" w:hAnsi="宋体" w:cs="宋体"/>
                <w:color w:val="auto"/>
                <w:kern w:val="0"/>
                <w:szCs w:val="21"/>
              </w:rPr>
              <w:t>7‰</w:t>
            </w:r>
          </w:p>
        </w:tc>
        <w:tc>
          <w:tcPr>
            <w:tcW w:w="699" w:type="dxa"/>
            <w:vAlign w:val="center"/>
          </w:tcPr>
          <w:p w14:paraId="05310BF5">
            <w:pPr>
              <w:keepNext w:val="0"/>
              <w:keepLines w:val="0"/>
              <w:pageBreakBefore w:val="0"/>
              <w:widowControl/>
              <w:kinsoku/>
              <w:wordWrap/>
              <w:overflowPunct/>
              <w:topLinePunct w:val="0"/>
              <w:autoSpaceDE/>
              <w:autoSpaceDN/>
              <w:bidi w:val="0"/>
              <w:snapToGrid w:val="0"/>
              <w:ind w:firstLine="0" w:firstLineChars="0"/>
              <w:jc w:val="left"/>
              <w:rPr>
                <w:rFonts w:hint="eastAsia" w:ascii="宋体" w:hAnsi="宋体" w:cs="宋体"/>
                <w:color w:val="auto"/>
                <w:kern w:val="0"/>
                <w:szCs w:val="21"/>
              </w:rPr>
            </w:pPr>
            <w:r>
              <w:rPr>
                <w:rFonts w:hint="eastAsia" w:ascii="宋体" w:hAnsi="宋体" w:cs="宋体"/>
                <w:color w:val="auto"/>
                <w:kern w:val="0"/>
                <w:szCs w:val="21"/>
              </w:rPr>
              <w:t>差额定率累进计费</w:t>
            </w:r>
          </w:p>
        </w:tc>
      </w:tr>
    </w:tbl>
    <w:p w14:paraId="4CEB8253">
      <w:pPr>
        <w:pStyle w:val="48"/>
        <w:keepNext w:val="0"/>
        <w:keepLines w:val="0"/>
        <w:pageBreakBefore w:val="0"/>
        <w:kinsoku/>
        <w:wordWrap/>
        <w:overflowPunct/>
        <w:topLinePunct w:val="0"/>
        <w:autoSpaceDE/>
        <w:autoSpaceDN/>
        <w:bidi w:val="0"/>
        <w:adjustRightInd w:val="0"/>
        <w:spacing w:line="360" w:lineRule="auto"/>
        <w:ind w:firstLine="0" w:firstLineChars="0"/>
        <w:jc w:val="left"/>
        <w:textAlignment w:val="baseline"/>
        <w:rPr>
          <w:rFonts w:hint="eastAsia" w:ascii="宋体" w:hAnsi="宋体"/>
          <w:color w:val="auto"/>
          <w:kern w:val="2"/>
          <w:sz w:val="24"/>
          <w:szCs w:val="24"/>
        </w:rPr>
      </w:pPr>
      <w:r>
        <w:rPr>
          <w:rFonts w:hint="eastAsia" w:ascii="宋体" w:hAnsi="宋体"/>
          <w:color w:val="auto"/>
          <w:kern w:val="2"/>
          <w:sz w:val="24"/>
          <w:szCs w:val="24"/>
        </w:rPr>
        <w:t>其中：</w:t>
      </w:r>
    </w:p>
    <w:p w14:paraId="27BBB9F4">
      <w:pPr>
        <w:pStyle w:val="48"/>
        <w:numPr>
          <w:ilvl w:val="0"/>
          <w:numId w:val="0"/>
        </w:numPr>
        <w:adjustRightInd w:val="0"/>
        <w:spacing w:line="360" w:lineRule="auto"/>
        <w:ind w:leftChars="200"/>
        <w:jc w:val="left"/>
        <w:textAlignment w:val="baseline"/>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(1)以项目</w:t>
      </w:r>
      <w:r>
        <w:rPr>
          <w:rFonts w:hint="eastAsia" w:ascii="宋体" w:hAnsi="宋体" w:eastAsia="宋体" w:cs="Times New Roman"/>
          <w:b/>
          <w:bCs/>
          <w:color w:val="auto"/>
          <w:kern w:val="2"/>
          <w:sz w:val="24"/>
          <w:szCs w:val="24"/>
          <w:lang w:val="en-US" w:eastAsia="zh-CN" w:bidi="ar-SA"/>
        </w:rPr>
        <w:t>结算审核成果中的建安费(不含设备及工器具购置费)</w:t>
      </w:r>
      <w:r>
        <w:rPr>
          <w:rFonts w:hint="eastAsia" w:ascii="宋体" w:hAnsi="宋体" w:eastAsia="宋体" w:cs="Times New Roman"/>
          <w:color w:val="auto"/>
          <w:kern w:val="2"/>
          <w:sz w:val="24"/>
          <w:szCs w:val="24"/>
          <w:lang w:val="en-US" w:eastAsia="zh-CN" w:bidi="ar-SA"/>
        </w:rPr>
        <w:t>作为计费基数</w:t>
      </w:r>
      <w:r>
        <w:rPr>
          <w:rFonts w:hint="eastAsia" w:ascii="宋体" w:hAnsi="宋体" w:cs="Times New Roman"/>
          <w:color w:val="auto"/>
          <w:kern w:val="2"/>
          <w:sz w:val="24"/>
          <w:szCs w:val="24"/>
          <w:lang w:val="en-US" w:eastAsia="zh-CN" w:bidi="ar-SA"/>
        </w:rPr>
        <w:t>。</w:t>
      </w:r>
    </w:p>
    <w:p w14:paraId="383A7383">
      <w:pPr>
        <w:spacing w:line="360" w:lineRule="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(2)结算价按照《深圳市建设工程造价咨询业收费市场价格表》（2017）中“施工阶段全过程造价控制”和中标下浮率确定。不足5000元的，按5000元计。</w:t>
      </w:r>
    </w:p>
    <w:p w14:paraId="04CB47B3">
      <w:pPr>
        <w:spacing w:line="360" w:lineRule="auto"/>
        <w:rPr>
          <w:rStyle w:val="411"/>
          <w:rFonts w:hint="eastAsia"/>
          <w:sz w:val="21"/>
          <w:szCs w:val="21"/>
          <w:lang w:eastAsia="zh-CN"/>
        </w:rPr>
      </w:pPr>
      <w:r>
        <w:rPr>
          <w:rFonts w:hint="eastAsia" w:ascii="宋体" w:hAnsi="宋体" w:eastAsia="宋体" w:cs="Times New Roman"/>
          <w:color w:val="auto"/>
          <w:kern w:val="2"/>
          <w:sz w:val="24"/>
          <w:szCs w:val="24"/>
          <w:lang w:val="en-US" w:eastAsia="zh-CN" w:bidi="ar-SA"/>
        </w:rPr>
        <w:t>(</w:t>
      </w:r>
      <w:r>
        <w:rPr>
          <w:rFonts w:hint="eastAsia" w:ascii="宋体" w:hAnsi="宋体" w:cs="Times New Roman"/>
          <w:color w:val="auto"/>
          <w:kern w:val="2"/>
          <w:sz w:val="24"/>
          <w:szCs w:val="24"/>
          <w:lang w:val="en-US" w:eastAsia="zh-CN" w:bidi="ar-SA"/>
        </w:rPr>
        <w:t>3</w:t>
      </w:r>
      <w:r>
        <w:rPr>
          <w:rFonts w:hint="eastAsia" w:ascii="宋体" w:hAnsi="宋体" w:eastAsia="宋体" w:cs="Times New Roman"/>
          <w:color w:val="auto"/>
          <w:kern w:val="2"/>
          <w:sz w:val="24"/>
          <w:szCs w:val="24"/>
          <w:lang w:val="en-US" w:eastAsia="zh-CN" w:bidi="ar-SA"/>
        </w:rPr>
        <w:t>)具体项目造价咨询费结算价如需政府第三方机构审核的，则结算价不超过审核结果。</w:t>
      </w:r>
    </w:p>
    <w:p w14:paraId="4A227676">
      <w:pPr>
        <w:pStyle w:val="344"/>
        <w:numPr>
          <w:ilvl w:val="0"/>
          <w:numId w:val="29"/>
        </w:numPr>
        <w:snapToGrid w:val="0"/>
        <w:spacing w:line="360" w:lineRule="auto"/>
        <w:ind w:left="0" w:right="649" w:rightChars="309" w:firstLine="0" w:firstLineChars="0"/>
        <w:rPr>
          <w:rFonts w:hint="eastAsia" w:ascii="宋体" w:hAnsi="宋体"/>
          <w:b/>
          <w:color w:val="auto"/>
          <w:kern w:val="2"/>
          <w:sz w:val="24"/>
          <w:szCs w:val="24"/>
        </w:rPr>
      </w:pPr>
      <w:r>
        <w:rPr>
          <w:rFonts w:hint="eastAsia" w:ascii="宋体" w:hAnsi="宋体"/>
          <w:b/>
          <w:color w:val="auto"/>
          <w:kern w:val="2"/>
          <w:sz w:val="24"/>
          <w:szCs w:val="24"/>
        </w:rPr>
        <w:t>付款方式</w:t>
      </w:r>
    </w:p>
    <w:p w14:paraId="27277BD6">
      <w:pPr>
        <w:pStyle w:val="48"/>
        <w:spacing w:line="360" w:lineRule="auto"/>
        <w:ind w:firstLine="480" w:firstLineChars="200"/>
        <w:rPr>
          <w:rFonts w:hint="eastAsia" w:ascii="宋体" w:hAnsi="宋体"/>
          <w:color w:val="auto"/>
          <w:kern w:val="2"/>
          <w:sz w:val="24"/>
          <w:szCs w:val="24"/>
        </w:rPr>
      </w:pPr>
      <w:r>
        <w:rPr>
          <w:rFonts w:hint="eastAsia" w:ascii="宋体" w:hAnsi="宋体"/>
          <w:color w:val="auto"/>
          <w:kern w:val="2"/>
          <w:sz w:val="24"/>
          <w:szCs w:val="24"/>
        </w:rPr>
        <w:t>1、按照《</w:t>
      </w:r>
      <w:r>
        <w:rPr>
          <w:rFonts w:hint="eastAsia" w:ascii="宋体" w:hAnsi="宋体"/>
          <w:color w:val="auto"/>
          <w:kern w:val="2"/>
          <w:sz w:val="24"/>
          <w:szCs w:val="24"/>
          <w:lang w:eastAsia="zh-CN"/>
        </w:rPr>
        <w:t>2026-2027年度小型工程项目全过程造价咨询服务</w:t>
      </w:r>
      <w:r>
        <w:rPr>
          <w:rFonts w:hint="eastAsia" w:ascii="宋体" w:hAnsi="宋体"/>
          <w:color w:val="auto"/>
          <w:kern w:val="2"/>
          <w:sz w:val="24"/>
          <w:szCs w:val="24"/>
        </w:rPr>
        <w:t>框架协议》：</w:t>
      </w:r>
    </w:p>
    <w:p w14:paraId="30C69AF5">
      <w:pPr>
        <w:pStyle w:val="48"/>
        <w:numPr>
          <w:ilvl w:val="0"/>
          <w:numId w:val="37"/>
        </w:numPr>
        <w:adjustRightInd w:val="0"/>
        <w:spacing w:line="360" w:lineRule="auto"/>
        <w:ind w:left="0" w:firstLine="482" w:firstLineChars="200"/>
        <w:jc w:val="left"/>
        <w:textAlignment w:val="baseline"/>
        <w:rPr>
          <w:rFonts w:hint="eastAsia" w:ascii="宋体" w:hAnsi="宋体"/>
          <w:color w:val="auto"/>
          <w:kern w:val="2"/>
          <w:sz w:val="24"/>
          <w:szCs w:val="24"/>
        </w:rPr>
      </w:pPr>
      <w:r>
        <w:rPr>
          <w:rFonts w:hint="eastAsia" w:ascii="宋体" w:hAnsi="宋体"/>
          <w:b/>
          <w:bCs/>
          <w:color w:val="auto"/>
          <w:kern w:val="2"/>
          <w:sz w:val="24"/>
          <w:szCs w:val="24"/>
        </w:rPr>
        <w:t>预付款：</w:t>
      </w:r>
      <w:r>
        <w:rPr>
          <w:rFonts w:hint="eastAsia" w:ascii="宋体" w:hAnsi="宋体"/>
          <w:color w:val="auto"/>
          <w:kern w:val="2"/>
          <w:sz w:val="24"/>
          <w:szCs w:val="24"/>
        </w:rPr>
        <w:t>合同签订后支付签约合同价的</w:t>
      </w:r>
      <w:r>
        <w:rPr>
          <w:rFonts w:hint="eastAsia" w:ascii="宋体" w:hAnsi="宋体"/>
          <w:b/>
          <w:bCs/>
          <w:color w:val="auto"/>
          <w:kern w:val="2"/>
          <w:sz w:val="24"/>
          <w:szCs w:val="24"/>
          <w:u w:val="single"/>
          <w:lang w:val="en-US" w:eastAsia="zh-CN"/>
        </w:rPr>
        <w:t>3</w:t>
      </w:r>
      <w:r>
        <w:rPr>
          <w:rFonts w:hint="eastAsia" w:ascii="宋体" w:hAnsi="宋体"/>
          <w:b/>
          <w:bCs/>
          <w:color w:val="auto"/>
          <w:kern w:val="2"/>
          <w:sz w:val="24"/>
          <w:szCs w:val="24"/>
          <w:u w:val="single"/>
        </w:rPr>
        <w:t>0</w:t>
      </w:r>
      <w:r>
        <w:rPr>
          <w:rFonts w:hint="eastAsia" w:ascii="宋体" w:hAnsi="宋体"/>
          <w:color w:val="auto"/>
          <w:kern w:val="2"/>
          <w:sz w:val="24"/>
          <w:szCs w:val="24"/>
        </w:rPr>
        <w:t>%。</w:t>
      </w:r>
    </w:p>
    <w:p w14:paraId="2F03CB7B">
      <w:pPr>
        <w:pStyle w:val="48"/>
        <w:numPr>
          <w:ilvl w:val="0"/>
          <w:numId w:val="37"/>
        </w:numPr>
        <w:adjustRightInd w:val="0"/>
        <w:spacing w:line="360" w:lineRule="auto"/>
        <w:ind w:left="0" w:firstLine="482" w:firstLineChars="200"/>
        <w:jc w:val="left"/>
        <w:textAlignment w:val="baseline"/>
        <w:rPr>
          <w:rFonts w:hint="eastAsia" w:ascii="宋体" w:hAnsi="宋体"/>
          <w:color w:val="auto"/>
          <w:kern w:val="2"/>
          <w:sz w:val="24"/>
          <w:szCs w:val="24"/>
        </w:rPr>
      </w:pPr>
      <w:r>
        <w:rPr>
          <w:rFonts w:hint="eastAsia" w:ascii="宋体" w:hAnsi="宋体"/>
          <w:b/>
          <w:bCs/>
          <w:color w:val="auto"/>
          <w:kern w:val="2"/>
          <w:sz w:val="24"/>
          <w:szCs w:val="24"/>
        </w:rPr>
        <w:t>结算款：</w:t>
      </w:r>
      <w:r>
        <w:rPr>
          <w:rFonts w:hint="eastAsia" w:ascii="宋体" w:hAnsi="宋体"/>
          <w:color w:val="auto"/>
          <w:kern w:val="2"/>
          <w:sz w:val="24"/>
          <w:szCs w:val="24"/>
        </w:rPr>
        <w:t>竣工结算审核完成且经甲方结算审核通过，并完成本合同结算后，支付至本合同造价咨询服务费结算价的</w:t>
      </w:r>
      <w:r>
        <w:rPr>
          <w:rFonts w:hint="eastAsia" w:ascii="宋体" w:hAnsi="宋体"/>
          <w:b/>
          <w:bCs/>
          <w:color w:val="auto"/>
          <w:kern w:val="2"/>
          <w:sz w:val="24"/>
          <w:szCs w:val="24"/>
          <w:u w:val="single"/>
        </w:rPr>
        <w:t>100</w:t>
      </w:r>
      <w:r>
        <w:rPr>
          <w:rFonts w:hint="eastAsia" w:ascii="宋体" w:hAnsi="宋体"/>
          <w:color w:val="auto"/>
          <w:kern w:val="2"/>
          <w:sz w:val="24"/>
          <w:szCs w:val="24"/>
        </w:rPr>
        <w:t>%。</w:t>
      </w:r>
    </w:p>
    <w:p w14:paraId="3FA1F192">
      <w:pPr>
        <w:pStyle w:val="344"/>
        <w:numPr>
          <w:ilvl w:val="0"/>
          <w:numId w:val="29"/>
        </w:numPr>
        <w:snapToGrid w:val="0"/>
        <w:spacing w:line="360" w:lineRule="auto"/>
        <w:ind w:left="0" w:right="649" w:rightChars="309" w:firstLine="0" w:firstLineChars="0"/>
        <w:rPr>
          <w:rFonts w:hint="eastAsia" w:ascii="宋体" w:hAnsi="宋体"/>
          <w:b/>
          <w:color w:val="auto"/>
          <w:kern w:val="2"/>
          <w:sz w:val="24"/>
          <w:szCs w:val="24"/>
        </w:rPr>
      </w:pPr>
      <w:r>
        <w:rPr>
          <w:rFonts w:hint="eastAsia" w:ascii="宋体" w:hAnsi="宋体"/>
          <w:b/>
          <w:color w:val="auto"/>
          <w:kern w:val="2"/>
          <w:sz w:val="24"/>
          <w:szCs w:val="24"/>
        </w:rPr>
        <w:t>合同生效及其他</w:t>
      </w:r>
    </w:p>
    <w:p w14:paraId="42BD373F">
      <w:pPr>
        <w:pStyle w:val="344"/>
        <w:numPr>
          <w:ilvl w:val="0"/>
          <w:numId w:val="38"/>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下列文件均为本合同的组成部分：</w:t>
      </w:r>
    </w:p>
    <w:p w14:paraId="6FFD311E">
      <w:pPr>
        <w:pStyle w:val="48"/>
        <w:numPr>
          <w:ilvl w:val="0"/>
          <w:numId w:val="39"/>
        </w:numPr>
        <w:adjustRightInd w:val="0"/>
        <w:spacing w:line="360" w:lineRule="auto"/>
        <w:ind w:left="0" w:firstLine="480" w:firstLineChars="200"/>
        <w:jc w:val="left"/>
        <w:textAlignment w:val="baseline"/>
        <w:rPr>
          <w:rFonts w:hint="eastAsia" w:ascii="宋体" w:hAnsi="宋体"/>
          <w:color w:val="auto"/>
          <w:kern w:val="2"/>
          <w:sz w:val="24"/>
          <w:szCs w:val="24"/>
          <w:u w:val="single"/>
        </w:rPr>
      </w:pPr>
      <w:r>
        <w:rPr>
          <w:rFonts w:hint="eastAsia" w:ascii="宋体" w:hAnsi="宋体"/>
          <w:color w:val="auto"/>
          <w:kern w:val="2"/>
          <w:sz w:val="24"/>
          <w:szCs w:val="24"/>
        </w:rPr>
        <w:t>《</w:t>
      </w:r>
      <w:r>
        <w:rPr>
          <w:rFonts w:hint="eastAsia" w:ascii="宋体" w:hAnsi="宋体"/>
          <w:color w:val="auto"/>
          <w:kern w:val="2"/>
          <w:sz w:val="24"/>
          <w:szCs w:val="24"/>
          <w:lang w:eastAsia="zh-CN"/>
        </w:rPr>
        <w:t>2026-2027年度小型工程项目全过程造价咨询服务</w:t>
      </w:r>
      <w:r>
        <w:rPr>
          <w:rFonts w:hint="eastAsia" w:ascii="宋体" w:hAnsi="宋体"/>
          <w:color w:val="auto"/>
          <w:kern w:val="2"/>
          <w:sz w:val="24"/>
          <w:szCs w:val="24"/>
        </w:rPr>
        <w:t>框架协议》</w:t>
      </w:r>
    </w:p>
    <w:p w14:paraId="5F5245CE">
      <w:pPr>
        <w:pStyle w:val="48"/>
        <w:numPr>
          <w:ilvl w:val="0"/>
          <w:numId w:val="39"/>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招标文件、答疑及补充通知</w:t>
      </w:r>
    </w:p>
    <w:p w14:paraId="724CDE0D">
      <w:pPr>
        <w:pStyle w:val="48"/>
        <w:numPr>
          <w:ilvl w:val="0"/>
          <w:numId w:val="39"/>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乙方的投标文件</w:t>
      </w:r>
    </w:p>
    <w:p w14:paraId="09EFA059">
      <w:pPr>
        <w:pStyle w:val="48"/>
        <w:numPr>
          <w:ilvl w:val="0"/>
          <w:numId w:val="39"/>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本合同执行中甲乙双方共同签署的补充协议</w:t>
      </w:r>
    </w:p>
    <w:p w14:paraId="48E7211E">
      <w:pPr>
        <w:pStyle w:val="48"/>
        <w:numPr>
          <w:ilvl w:val="0"/>
          <w:numId w:val="39"/>
        </w:numPr>
        <w:adjustRightInd w:val="0"/>
        <w:spacing w:line="360" w:lineRule="auto"/>
        <w:ind w:left="0" w:firstLine="480" w:firstLineChars="200"/>
        <w:jc w:val="left"/>
        <w:textAlignment w:val="baseline"/>
        <w:rPr>
          <w:rFonts w:hint="eastAsia" w:ascii="宋体" w:hAnsi="宋体"/>
          <w:color w:val="auto"/>
          <w:kern w:val="2"/>
          <w:sz w:val="24"/>
          <w:szCs w:val="24"/>
        </w:rPr>
      </w:pPr>
      <w:r>
        <w:rPr>
          <w:rFonts w:hint="eastAsia" w:ascii="宋体" w:hAnsi="宋体"/>
          <w:color w:val="auto"/>
          <w:kern w:val="2"/>
          <w:sz w:val="24"/>
          <w:szCs w:val="24"/>
        </w:rPr>
        <w:t>其他：</w:t>
      </w:r>
      <w:r>
        <w:rPr>
          <w:rFonts w:hint="eastAsia" w:ascii="宋体" w:hAnsi="宋体"/>
          <w:b/>
          <w:bCs/>
          <w:color w:val="auto"/>
          <w:sz w:val="24"/>
          <w:szCs w:val="24"/>
          <w:u w:val="single"/>
        </w:rPr>
        <w:t xml:space="preserve">                    </w:t>
      </w:r>
    </w:p>
    <w:p w14:paraId="65EE4ADF">
      <w:pPr>
        <w:pStyle w:val="344"/>
        <w:numPr>
          <w:ilvl w:val="0"/>
          <w:numId w:val="38"/>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本合同一式</w:t>
      </w:r>
      <w:r>
        <w:rPr>
          <w:rFonts w:hint="eastAsia" w:ascii="宋体" w:hAnsi="宋体"/>
          <w:color w:val="auto"/>
          <w:kern w:val="2"/>
          <w:sz w:val="24"/>
          <w:szCs w:val="24"/>
          <w:u w:val="single"/>
          <w:lang w:val="en-US" w:eastAsia="zh-CN"/>
        </w:rPr>
        <w:t>陆</w:t>
      </w:r>
      <w:r>
        <w:rPr>
          <w:rFonts w:hint="eastAsia" w:ascii="宋体" w:hAnsi="宋体"/>
          <w:color w:val="auto"/>
          <w:kern w:val="2"/>
          <w:sz w:val="24"/>
          <w:szCs w:val="24"/>
        </w:rPr>
        <w:t>份，甲方</w:t>
      </w:r>
      <w:r>
        <w:rPr>
          <w:rFonts w:hint="eastAsia" w:ascii="宋体" w:hAnsi="宋体"/>
          <w:b w:val="0"/>
          <w:bCs w:val="0"/>
          <w:color w:val="auto"/>
          <w:sz w:val="24"/>
          <w:szCs w:val="24"/>
          <w:u w:val="single"/>
          <w:lang w:val="en-US" w:eastAsia="zh-CN"/>
        </w:rPr>
        <w:t>肆</w:t>
      </w:r>
      <w:r>
        <w:rPr>
          <w:rFonts w:hint="eastAsia" w:ascii="宋体" w:hAnsi="宋体"/>
          <w:color w:val="auto"/>
          <w:kern w:val="2"/>
          <w:sz w:val="24"/>
          <w:szCs w:val="24"/>
        </w:rPr>
        <w:t>份，乙方</w:t>
      </w:r>
      <w:r>
        <w:rPr>
          <w:rFonts w:hint="eastAsia" w:ascii="宋体" w:hAnsi="宋体"/>
          <w:color w:val="auto"/>
          <w:kern w:val="2"/>
          <w:sz w:val="24"/>
          <w:szCs w:val="24"/>
          <w:u w:val="single"/>
          <w:lang w:val="en-US" w:eastAsia="zh-CN"/>
        </w:rPr>
        <w:t>贰</w:t>
      </w:r>
      <w:r>
        <w:rPr>
          <w:rFonts w:hint="eastAsia" w:ascii="宋体" w:hAnsi="宋体"/>
          <w:color w:val="auto"/>
          <w:kern w:val="2"/>
          <w:sz w:val="24"/>
          <w:szCs w:val="24"/>
        </w:rPr>
        <w:t>份，均具有同等法律效力。本合同自双方法定代表人或其委托代理人签署或盖章，并加盖</w:t>
      </w:r>
      <w:r>
        <w:rPr>
          <w:rFonts w:hint="eastAsia" w:ascii="宋体" w:hAnsi="宋体"/>
          <w:color w:val="auto"/>
          <w:kern w:val="2"/>
          <w:sz w:val="24"/>
          <w:szCs w:val="24"/>
          <w:lang w:val="en-US" w:eastAsia="zh-CN"/>
        </w:rPr>
        <w:t>单位</w:t>
      </w:r>
      <w:r>
        <w:rPr>
          <w:rFonts w:hint="eastAsia" w:ascii="宋体" w:hAnsi="宋体"/>
          <w:color w:val="auto"/>
          <w:kern w:val="2"/>
          <w:sz w:val="24"/>
          <w:szCs w:val="24"/>
        </w:rPr>
        <w:t>公章或合同专用章后生效。</w:t>
      </w:r>
    </w:p>
    <w:p w14:paraId="01BB3817">
      <w:pPr>
        <w:pStyle w:val="344"/>
        <w:numPr>
          <w:ilvl w:val="0"/>
          <w:numId w:val="38"/>
        </w:numPr>
        <w:spacing w:line="360" w:lineRule="auto"/>
        <w:ind w:left="0" w:firstLine="480"/>
        <w:rPr>
          <w:rFonts w:hint="eastAsia" w:ascii="宋体" w:hAnsi="宋体"/>
          <w:color w:val="auto"/>
          <w:kern w:val="2"/>
          <w:sz w:val="24"/>
          <w:szCs w:val="24"/>
        </w:rPr>
      </w:pPr>
      <w:r>
        <w:rPr>
          <w:rFonts w:hint="eastAsia" w:ascii="宋体" w:hAnsi="宋体"/>
          <w:color w:val="auto"/>
          <w:kern w:val="2"/>
          <w:sz w:val="24"/>
          <w:szCs w:val="24"/>
        </w:rPr>
        <w:t>本合同未尽事宜但在</w:t>
      </w:r>
      <w:r>
        <w:rPr>
          <w:rFonts w:hint="eastAsia" w:ascii="宋体" w:hAnsi="宋体"/>
          <w:b/>
          <w:bCs/>
          <w:color w:val="auto"/>
          <w:sz w:val="24"/>
          <w:szCs w:val="24"/>
          <w:u w:val="single"/>
        </w:rPr>
        <w:t>《</w:t>
      </w:r>
      <w:r>
        <w:rPr>
          <w:rFonts w:hint="eastAsia" w:ascii="宋体" w:hAnsi="宋体"/>
          <w:b/>
          <w:bCs/>
          <w:color w:val="auto"/>
          <w:sz w:val="24"/>
          <w:szCs w:val="24"/>
          <w:u w:val="single"/>
          <w:lang w:eastAsia="zh-CN"/>
        </w:rPr>
        <w:t>2026-2027年度小型工程项目全过程造价咨询服务</w:t>
      </w:r>
      <w:r>
        <w:rPr>
          <w:rFonts w:hint="eastAsia" w:ascii="宋体" w:hAnsi="宋体"/>
          <w:b/>
          <w:bCs/>
          <w:color w:val="auto"/>
          <w:sz w:val="24"/>
          <w:szCs w:val="24"/>
          <w:u w:val="single"/>
        </w:rPr>
        <w:t>框架协议》</w:t>
      </w:r>
      <w:r>
        <w:rPr>
          <w:rFonts w:hint="eastAsia" w:ascii="宋体" w:hAnsi="宋体"/>
          <w:color w:val="auto"/>
          <w:kern w:val="2"/>
          <w:sz w:val="24"/>
          <w:szCs w:val="24"/>
        </w:rPr>
        <w:t>中有明确约定的，按</w:t>
      </w:r>
      <w:r>
        <w:rPr>
          <w:rFonts w:hint="eastAsia" w:ascii="宋体" w:hAnsi="宋体"/>
          <w:b/>
          <w:bCs/>
          <w:color w:val="auto"/>
          <w:sz w:val="24"/>
          <w:szCs w:val="24"/>
          <w:u w:val="single"/>
        </w:rPr>
        <w:t>《</w:t>
      </w:r>
      <w:r>
        <w:rPr>
          <w:rFonts w:hint="eastAsia" w:ascii="宋体" w:hAnsi="宋体"/>
          <w:b/>
          <w:bCs/>
          <w:color w:val="auto"/>
          <w:sz w:val="24"/>
          <w:szCs w:val="24"/>
          <w:u w:val="single"/>
          <w:lang w:eastAsia="zh-CN"/>
        </w:rPr>
        <w:t>2026-2027年度小型工程项目全过程造价咨询服务</w:t>
      </w:r>
      <w:r>
        <w:rPr>
          <w:rFonts w:hint="eastAsia" w:ascii="宋体" w:hAnsi="宋体"/>
          <w:b/>
          <w:bCs/>
          <w:color w:val="auto"/>
          <w:sz w:val="24"/>
          <w:szCs w:val="24"/>
          <w:u w:val="single"/>
        </w:rPr>
        <w:t>框架协议》</w:t>
      </w:r>
      <w:r>
        <w:rPr>
          <w:rFonts w:hint="eastAsia" w:ascii="宋体" w:hAnsi="宋体"/>
          <w:color w:val="auto"/>
          <w:kern w:val="2"/>
          <w:sz w:val="24"/>
          <w:szCs w:val="24"/>
        </w:rPr>
        <w:t>条款执行。</w:t>
      </w:r>
    </w:p>
    <w:p w14:paraId="06636D20">
      <w:pPr>
        <w:pStyle w:val="48"/>
        <w:spacing w:line="360" w:lineRule="auto"/>
        <w:ind w:firstLine="480" w:firstLineChars="200"/>
        <w:rPr>
          <w:rFonts w:hint="eastAsia" w:ascii="宋体" w:hAnsi="宋体"/>
          <w:color w:val="auto"/>
          <w:kern w:val="44"/>
          <w:sz w:val="24"/>
          <w:szCs w:val="24"/>
        </w:rPr>
      </w:pPr>
      <w:r>
        <w:rPr>
          <w:rFonts w:hint="eastAsia" w:ascii="宋体" w:hAnsi="宋体"/>
          <w:color w:val="auto"/>
          <w:kern w:val="44"/>
          <w:sz w:val="24"/>
          <w:szCs w:val="24"/>
        </w:rPr>
        <w:t>（以下无正文</w:t>
      </w:r>
      <w:r>
        <w:rPr>
          <w:rFonts w:hint="eastAsia" w:ascii="宋体" w:hAnsi="宋体"/>
          <w:color w:val="auto"/>
          <w:kern w:val="44"/>
          <w:sz w:val="24"/>
          <w:szCs w:val="24"/>
          <w:lang w:eastAsia="zh-CN"/>
        </w:rPr>
        <w:t>，</w:t>
      </w:r>
      <w:r>
        <w:rPr>
          <w:rFonts w:hint="eastAsia" w:ascii="宋体" w:hAnsi="宋体"/>
          <w:color w:val="auto"/>
          <w:kern w:val="44"/>
          <w:sz w:val="24"/>
          <w:szCs w:val="24"/>
          <w:lang w:val="en-US" w:eastAsia="zh-CN"/>
        </w:rPr>
        <w:t>为签署处</w:t>
      </w:r>
      <w:r>
        <w:rPr>
          <w:rFonts w:hint="eastAsia" w:ascii="宋体" w:hAnsi="宋体"/>
          <w:color w:val="auto"/>
          <w:kern w:val="44"/>
          <w:sz w:val="24"/>
          <w:szCs w:val="24"/>
        </w:rPr>
        <w:t>）</w:t>
      </w:r>
    </w:p>
    <w:p w14:paraId="2F5E22E5">
      <w:pPr>
        <w:pStyle w:val="48"/>
        <w:spacing w:line="360" w:lineRule="auto"/>
        <w:rPr>
          <w:rFonts w:hint="eastAsia" w:ascii="宋体" w:hAnsi="宋体"/>
          <w:color w:val="auto"/>
          <w:kern w:val="44"/>
          <w:sz w:val="24"/>
          <w:szCs w:val="24"/>
        </w:rPr>
      </w:pPr>
    </w:p>
    <w:tbl>
      <w:tblPr>
        <w:tblStyle w:val="413"/>
        <w:tblW w:w="934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28" w:type="dxa"/>
          <w:bottom w:w="0" w:type="dxa"/>
          <w:right w:w="28" w:type="dxa"/>
        </w:tblCellMar>
      </w:tblPr>
      <w:tblGrid>
        <w:gridCol w:w="4673"/>
        <w:gridCol w:w="4673"/>
      </w:tblGrid>
      <w:tr w14:paraId="221C1B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83" w:hRule="atLeast"/>
          <w:jc w:val="center"/>
        </w:trPr>
        <w:tc>
          <w:tcPr>
            <w:tcW w:w="4673" w:type="dxa"/>
            <w:vAlign w:val="top"/>
          </w:tcPr>
          <w:p w14:paraId="06F457DF">
            <w:pPr>
              <w:pStyle w:val="48"/>
              <w:spacing w:line="360" w:lineRule="auto"/>
              <w:jc w:val="both"/>
              <w:rPr>
                <w:rFonts w:hint="eastAsia" w:ascii="宋体" w:hAnsi="宋体"/>
                <w:b/>
                <w:bCs/>
                <w:color w:val="auto"/>
                <w:sz w:val="24"/>
                <w:szCs w:val="24"/>
                <w:u w:val="single"/>
              </w:rPr>
            </w:pPr>
            <w:r>
              <w:rPr>
                <w:rFonts w:hint="eastAsia" w:ascii="宋体" w:hAnsi="宋体"/>
                <w:b/>
                <w:bCs/>
                <w:color w:val="auto"/>
                <w:sz w:val="24"/>
                <w:szCs w:val="24"/>
              </w:rPr>
              <w:t>委托人（甲方）：</w:t>
            </w:r>
          </w:p>
          <w:p w14:paraId="66DBAC86">
            <w:pPr>
              <w:pStyle w:val="48"/>
              <w:spacing w:line="360" w:lineRule="auto"/>
              <w:jc w:val="both"/>
              <w:rPr>
                <w:rFonts w:hint="eastAsia" w:ascii="宋体" w:hAnsi="宋体"/>
                <w:b/>
                <w:bCs/>
                <w:color w:val="auto"/>
                <w:sz w:val="24"/>
                <w:szCs w:val="24"/>
                <w:u w:val="single"/>
              </w:rPr>
            </w:pPr>
          </w:p>
          <w:p w14:paraId="14767875">
            <w:pPr>
              <w:pStyle w:val="48"/>
              <w:spacing w:line="360" w:lineRule="auto"/>
              <w:jc w:val="both"/>
              <w:rPr>
                <w:rFonts w:hint="eastAsia" w:ascii="宋体" w:hAnsi="宋体"/>
                <w:b/>
                <w:bCs/>
                <w:color w:val="auto"/>
                <w:sz w:val="24"/>
                <w:szCs w:val="24"/>
                <w:u w:val="single"/>
              </w:rPr>
            </w:pPr>
          </w:p>
        </w:tc>
        <w:tc>
          <w:tcPr>
            <w:tcW w:w="4673" w:type="dxa"/>
            <w:vAlign w:val="center"/>
          </w:tcPr>
          <w:p w14:paraId="1FF7E9F0">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受托人（乙方）：</w:t>
            </w:r>
          </w:p>
          <w:p w14:paraId="04D64FF8">
            <w:pPr>
              <w:pStyle w:val="48"/>
              <w:spacing w:line="360" w:lineRule="auto"/>
              <w:jc w:val="left"/>
              <w:rPr>
                <w:rFonts w:hint="eastAsia" w:ascii="宋体" w:hAnsi="宋体"/>
                <w:b/>
                <w:bCs/>
                <w:color w:val="auto"/>
                <w:sz w:val="24"/>
                <w:szCs w:val="24"/>
              </w:rPr>
            </w:pPr>
          </w:p>
          <w:p w14:paraId="0AE8DABC">
            <w:pPr>
              <w:pStyle w:val="48"/>
              <w:spacing w:line="360" w:lineRule="auto"/>
              <w:jc w:val="left"/>
              <w:rPr>
                <w:rFonts w:hint="eastAsia" w:ascii="宋体" w:hAnsi="宋体"/>
                <w:b/>
                <w:bCs/>
                <w:color w:val="auto"/>
                <w:sz w:val="24"/>
                <w:szCs w:val="24"/>
              </w:rPr>
            </w:pPr>
          </w:p>
        </w:tc>
      </w:tr>
      <w:tr w14:paraId="7597E5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83" w:hRule="atLeast"/>
          <w:jc w:val="center"/>
        </w:trPr>
        <w:tc>
          <w:tcPr>
            <w:tcW w:w="4673" w:type="dxa"/>
            <w:vAlign w:val="center"/>
          </w:tcPr>
          <w:p w14:paraId="2B699904">
            <w:pPr>
              <w:pStyle w:val="48"/>
              <w:spacing w:line="360" w:lineRule="auto"/>
              <w:jc w:val="left"/>
              <w:rPr>
                <w:rFonts w:hint="eastAsia" w:ascii="宋体" w:hAnsi="宋体"/>
                <w:b/>
                <w:bCs/>
                <w:color w:val="auto"/>
                <w:sz w:val="24"/>
                <w:szCs w:val="24"/>
                <w:u w:val="single"/>
              </w:rPr>
            </w:pPr>
            <w:r>
              <w:rPr>
                <w:rFonts w:hint="eastAsia" w:ascii="宋体" w:hAnsi="宋体"/>
                <w:b/>
                <w:bCs/>
                <w:color w:val="auto"/>
                <w:sz w:val="24"/>
                <w:szCs w:val="24"/>
              </w:rPr>
              <w:t>地址：</w:t>
            </w:r>
          </w:p>
        </w:tc>
        <w:tc>
          <w:tcPr>
            <w:tcW w:w="4673" w:type="dxa"/>
            <w:vAlign w:val="center"/>
          </w:tcPr>
          <w:p w14:paraId="1D58E00C">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地址：</w:t>
            </w:r>
          </w:p>
        </w:tc>
      </w:tr>
      <w:tr w14:paraId="26457D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83" w:hRule="atLeast"/>
          <w:jc w:val="center"/>
        </w:trPr>
        <w:tc>
          <w:tcPr>
            <w:tcW w:w="4673" w:type="dxa"/>
            <w:vAlign w:val="center"/>
          </w:tcPr>
          <w:p w14:paraId="491359EE">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法定代表人：</w:t>
            </w:r>
          </w:p>
          <w:p w14:paraId="066DEA3D">
            <w:pPr>
              <w:pStyle w:val="48"/>
              <w:spacing w:line="360" w:lineRule="auto"/>
              <w:jc w:val="left"/>
              <w:rPr>
                <w:rFonts w:hint="eastAsia" w:ascii="宋体" w:hAnsi="宋体"/>
                <w:b/>
                <w:bCs/>
                <w:color w:val="auto"/>
                <w:sz w:val="24"/>
                <w:szCs w:val="24"/>
                <w:u w:val="single"/>
              </w:rPr>
            </w:pPr>
          </w:p>
        </w:tc>
        <w:tc>
          <w:tcPr>
            <w:tcW w:w="4673" w:type="dxa"/>
            <w:vAlign w:val="center"/>
          </w:tcPr>
          <w:p w14:paraId="41BFD36B">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法定代表人：</w:t>
            </w:r>
          </w:p>
          <w:p w14:paraId="748ED31A">
            <w:pPr>
              <w:pStyle w:val="48"/>
              <w:spacing w:line="360" w:lineRule="auto"/>
              <w:jc w:val="left"/>
              <w:rPr>
                <w:rFonts w:hint="eastAsia" w:ascii="宋体" w:hAnsi="宋体"/>
                <w:b/>
                <w:bCs/>
                <w:color w:val="auto"/>
                <w:sz w:val="24"/>
                <w:szCs w:val="24"/>
              </w:rPr>
            </w:pPr>
          </w:p>
        </w:tc>
      </w:tr>
      <w:tr w14:paraId="1C5AD7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283" w:hRule="atLeast"/>
          <w:jc w:val="center"/>
        </w:trPr>
        <w:tc>
          <w:tcPr>
            <w:tcW w:w="4673" w:type="dxa"/>
            <w:vAlign w:val="center"/>
          </w:tcPr>
          <w:p w14:paraId="52FB479A">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或委托代理人：</w:t>
            </w:r>
          </w:p>
          <w:p w14:paraId="3F45D0EF">
            <w:pPr>
              <w:pStyle w:val="48"/>
              <w:spacing w:line="360" w:lineRule="auto"/>
              <w:jc w:val="left"/>
              <w:rPr>
                <w:rFonts w:hint="eastAsia" w:ascii="宋体" w:hAnsi="宋体"/>
                <w:b/>
                <w:bCs/>
                <w:color w:val="auto"/>
                <w:sz w:val="24"/>
                <w:szCs w:val="24"/>
                <w:u w:val="single"/>
              </w:rPr>
            </w:pPr>
          </w:p>
        </w:tc>
        <w:tc>
          <w:tcPr>
            <w:tcW w:w="4673" w:type="dxa"/>
            <w:vAlign w:val="center"/>
          </w:tcPr>
          <w:p w14:paraId="746D44DA">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或委托代理人：</w:t>
            </w:r>
          </w:p>
          <w:p w14:paraId="04D28C3E">
            <w:pPr>
              <w:pStyle w:val="48"/>
              <w:spacing w:line="360" w:lineRule="auto"/>
              <w:jc w:val="left"/>
              <w:rPr>
                <w:rFonts w:hint="eastAsia" w:ascii="宋体" w:hAnsi="宋体"/>
                <w:b/>
                <w:bCs/>
                <w:color w:val="auto"/>
                <w:sz w:val="24"/>
                <w:szCs w:val="24"/>
              </w:rPr>
            </w:pPr>
          </w:p>
        </w:tc>
      </w:tr>
      <w:tr w14:paraId="2CC1A6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445" w:hRule="atLeast"/>
          <w:jc w:val="center"/>
        </w:trPr>
        <w:tc>
          <w:tcPr>
            <w:tcW w:w="9346" w:type="dxa"/>
            <w:gridSpan w:val="2"/>
            <w:vAlign w:val="center"/>
          </w:tcPr>
          <w:p w14:paraId="64084811">
            <w:pPr>
              <w:pStyle w:val="48"/>
              <w:spacing w:line="360" w:lineRule="auto"/>
              <w:jc w:val="left"/>
              <w:rPr>
                <w:rFonts w:hint="eastAsia" w:ascii="宋体" w:hAnsi="宋体"/>
                <w:b/>
                <w:bCs/>
                <w:color w:val="auto"/>
                <w:sz w:val="24"/>
                <w:szCs w:val="24"/>
              </w:rPr>
            </w:pPr>
            <w:r>
              <w:rPr>
                <w:rFonts w:hint="eastAsia" w:ascii="宋体" w:hAnsi="宋体"/>
                <w:b/>
                <w:bCs/>
                <w:color w:val="auto"/>
                <w:sz w:val="24"/>
                <w:szCs w:val="24"/>
              </w:rPr>
              <w:t>日期：</w:t>
            </w:r>
            <w:r>
              <w:rPr>
                <w:rFonts w:hint="eastAsia" w:ascii="宋体" w:hAnsi="宋体"/>
                <w:b/>
                <w:bCs/>
                <w:color w:val="auto"/>
                <w:sz w:val="24"/>
                <w:szCs w:val="24"/>
                <w:u w:val="single"/>
              </w:rPr>
              <w:t>2026</w:t>
            </w:r>
            <w:r>
              <w:rPr>
                <w:rFonts w:hint="eastAsia" w:ascii="宋体" w:hAnsi="宋体"/>
                <w:b/>
                <w:bCs/>
                <w:color w:val="auto"/>
                <w:sz w:val="24"/>
                <w:szCs w:val="24"/>
              </w:rPr>
              <w:t>年</w:t>
            </w:r>
            <w:r>
              <w:rPr>
                <w:rFonts w:hint="eastAsia" w:ascii="宋体" w:hAnsi="宋体"/>
                <w:b/>
                <w:bCs/>
                <w:color w:val="auto"/>
                <w:sz w:val="24"/>
                <w:szCs w:val="24"/>
                <w:u w:val="single"/>
                <w:lang w:eastAsia="zh-CN"/>
              </w:rPr>
              <w:t xml:space="preserve">  月</w:t>
            </w:r>
            <w:r>
              <w:rPr>
                <w:rFonts w:hint="eastAsia" w:ascii="宋体" w:hAnsi="宋体"/>
                <w:b/>
                <w:bCs/>
                <w:color w:val="auto"/>
                <w:sz w:val="24"/>
                <w:szCs w:val="24"/>
                <w:u w:val="single"/>
              </w:rPr>
              <w:t xml:space="preserve"> </w:t>
            </w:r>
            <w:r>
              <w:rPr>
                <w:rFonts w:ascii="宋体" w:hAnsi="宋体"/>
                <w:b/>
                <w:bCs/>
                <w:color w:val="auto"/>
                <w:sz w:val="24"/>
                <w:szCs w:val="24"/>
                <w:u w:val="single"/>
              </w:rPr>
              <w:t xml:space="preserve">   </w:t>
            </w:r>
            <w:r>
              <w:rPr>
                <w:rFonts w:hint="eastAsia" w:ascii="宋体" w:hAnsi="宋体"/>
                <w:b/>
                <w:bCs/>
                <w:color w:val="auto"/>
                <w:sz w:val="24"/>
                <w:szCs w:val="24"/>
              </w:rPr>
              <w:t>日</w:t>
            </w:r>
          </w:p>
        </w:tc>
      </w:tr>
    </w:tbl>
    <w:p w14:paraId="1C20D6B5">
      <w:pPr>
        <w:pStyle w:val="48"/>
        <w:widowControl/>
        <w:spacing w:line="360" w:lineRule="auto"/>
        <w:jc w:val="left"/>
        <w:rPr>
          <w:rFonts w:hint="eastAsia" w:ascii="宋体" w:hAnsi="宋体"/>
          <w:b/>
          <w:color w:val="auto"/>
          <w:sz w:val="24"/>
          <w:szCs w:val="24"/>
        </w:rPr>
      </w:pPr>
      <w:r>
        <w:rPr>
          <w:rFonts w:ascii="宋体" w:hAnsi="宋体"/>
          <w:b/>
          <w:color w:val="auto"/>
          <w:sz w:val="24"/>
          <w:szCs w:val="24"/>
        </w:rPr>
        <w:br w:type="page"/>
      </w:r>
    </w:p>
    <w:p w14:paraId="49E3CEA1">
      <w:pPr>
        <w:pStyle w:val="48"/>
        <w:spacing w:line="360" w:lineRule="auto"/>
        <w:jc w:val="left"/>
        <w:rPr>
          <w:rFonts w:hint="eastAsia" w:ascii="宋体" w:hAnsi="宋体" w:eastAsia="宋体"/>
          <w:b/>
          <w:bCs/>
          <w:color w:val="auto"/>
          <w:kern w:val="2"/>
          <w:sz w:val="28"/>
          <w:szCs w:val="28"/>
          <w:lang w:val="en-US" w:eastAsia="zh-CN"/>
        </w:rPr>
      </w:pPr>
      <w:r>
        <w:rPr>
          <w:rFonts w:hint="eastAsia" w:ascii="宋体" w:hAnsi="宋体" w:eastAsia="宋体"/>
          <w:b/>
          <w:bCs/>
          <w:color w:val="auto"/>
          <w:kern w:val="2"/>
          <w:sz w:val="28"/>
          <w:szCs w:val="28"/>
        </w:rPr>
        <w:t>附件二：</w:t>
      </w:r>
      <w:r>
        <w:rPr>
          <w:rFonts w:hint="eastAsia" w:ascii="宋体" w:hAnsi="宋体" w:eastAsia="宋体"/>
          <w:b/>
          <w:bCs/>
          <w:color w:val="auto"/>
          <w:kern w:val="2"/>
          <w:sz w:val="28"/>
          <w:szCs w:val="28"/>
          <w:lang w:val="en-US" w:eastAsia="zh-CN"/>
        </w:rPr>
        <w:t>履约评价表</w:t>
      </w:r>
    </w:p>
    <w:tbl>
      <w:tblPr>
        <w:tblStyle w:val="52"/>
        <w:tblW w:w="9356" w:type="dxa"/>
        <w:tblInd w:w="-5" w:type="dxa"/>
        <w:tblLayout w:type="autofit"/>
        <w:tblCellMar>
          <w:top w:w="0" w:type="dxa"/>
          <w:left w:w="28" w:type="dxa"/>
          <w:bottom w:w="0" w:type="dxa"/>
          <w:right w:w="28" w:type="dxa"/>
        </w:tblCellMar>
      </w:tblPr>
      <w:tblGrid>
        <w:gridCol w:w="427"/>
        <w:gridCol w:w="566"/>
        <w:gridCol w:w="1275"/>
        <w:gridCol w:w="426"/>
        <w:gridCol w:w="1984"/>
        <w:gridCol w:w="992"/>
        <w:gridCol w:w="2127"/>
        <w:gridCol w:w="708"/>
        <w:gridCol w:w="851"/>
      </w:tblGrid>
      <w:tr w14:paraId="7602E2A0">
        <w:tblPrEx>
          <w:tblCellMar>
            <w:top w:w="0" w:type="dxa"/>
            <w:left w:w="28" w:type="dxa"/>
            <w:bottom w:w="0" w:type="dxa"/>
            <w:right w:w="28" w:type="dxa"/>
          </w:tblCellMar>
        </w:tblPrEx>
        <w:trPr>
          <w:trHeight w:val="567" w:hRule="atLeast"/>
        </w:trPr>
        <w:tc>
          <w:tcPr>
            <w:tcW w:w="9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8C7594C">
            <w:pPr>
              <w:widowControl/>
              <w:ind w:firstLine="0" w:firstLineChars="0"/>
              <w:jc w:val="center"/>
              <w:rPr>
                <w:rFonts w:hint="eastAsia" w:ascii="宋体" w:hAnsi="宋体" w:cs="宋体"/>
                <w:b/>
                <w:bCs/>
                <w:kern w:val="0"/>
                <w:szCs w:val="21"/>
              </w:rPr>
            </w:pPr>
            <w:r>
              <w:rPr>
                <w:rFonts w:hint="eastAsia" w:ascii="宋体" w:hAnsi="宋体" w:cs="宋体"/>
                <w:b/>
                <w:bCs/>
                <w:kern w:val="0"/>
                <w:szCs w:val="21"/>
              </w:rPr>
              <w:t>评价类型</w:t>
            </w:r>
          </w:p>
        </w:tc>
        <w:tc>
          <w:tcPr>
            <w:tcW w:w="8363" w:type="dxa"/>
            <w:gridSpan w:val="7"/>
            <w:tcBorders>
              <w:top w:val="single" w:color="auto" w:sz="4" w:space="0"/>
              <w:left w:val="nil"/>
              <w:bottom w:val="single" w:color="auto" w:sz="4" w:space="0"/>
              <w:right w:val="single" w:color="auto" w:sz="4" w:space="0"/>
            </w:tcBorders>
            <w:shd w:val="clear" w:color="000000" w:fill="FFFFFF"/>
            <w:vAlign w:val="center"/>
          </w:tcPr>
          <w:p w14:paraId="12B99E84">
            <w:pPr>
              <w:widowControl/>
              <w:ind w:firstLine="0" w:firstLineChars="0"/>
              <w:jc w:val="center"/>
              <w:rPr>
                <w:rFonts w:hint="eastAsia" w:ascii="宋体" w:hAnsi="宋体" w:cs="宋体"/>
                <w:kern w:val="0"/>
                <w:szCs w:val="21"/>
              </w:rPr>
            </w:pPr>
            <w:r>
              <w:rPr>
                <w:rFonts w:hint="eastAsia" w:ascii="宋体" w:hAnsi="宋体" w:cs="宋体"/>
                <w:b/>
                <w:bCs/>
                <w:color w:val="000000"/>
                <w:kern w:val="0"/>
                <w:szCs w:val="21"/>
              </w:rPr>
              <w:t xml:space="preserve">□季度评价 </w:t>
            </w:r>
            <w:r>
              <w:rPr>
                <w:rFonts w:hint="eastAsia" w:ascii="宋体" w:hAnsi="宋体" w:cs="宋体"/>
                <w:b/>
                <w:bCs/>
                <w:color w:val="000000"/>
                <w:kern w:val="0"/>
                <w:szCs w:val="21"/>
                <w:lang w:val="en-US" w:eastAsia="zh-CN"/>
              </w:rPr>
              <w:t xml:space="preserve">                   </w:t>
            </w:r>
            <w:r>
              <w:rPr>
                <w:rFonts w:hint="eastAsia" w:ascii="宋体" w:hAnsi="宋体" w:cs="宋体"/>
                <w:b/>
                <w:bCs/>
                <w:color w:val="000000"/>
                <w:kern w:val="0"/>
                <w:szCs w:val="21"/>
              </w:rPr>
              <w:t xml:space="preserve">  □阶段评价 </w:t>
            </w:r>
            <w:r>
              <w:rPr>
                <w:rFonts w:ascii="宋体" w:hAnsi="宋体" w:cs="宋体"/>
                <w:b/>
                <w:bCs/>
                <w:color w:val="000000"/>
                <w:kern w:val="0"/>
                <w:szCs w:val="21"/>
              </w:rPr>
              <w:t xml:space="preserve">    </w:t>
            </w:r>
          </w:p>
        </w:tc>
      </w:tr>
      <w:tr w14:paraId="6F543EBF">
        <w:tblPrEx>
          <w:tblCellMar>
            <w:top w:w="0" w:type="dxa"/>
            <w:left w:w="28" w:type="dxa"/>
            <w:bottom w:w="0" w:type="dxa"/>
            <w:right w:w="28" w:type="dxa"/>
          </w:tblCellMar>
        </w:tblPrEx>
        <w:trPr>
          <w:trHeight w:val="567" w:hRule="atLeast"/>
        </w:trPr>
        <w:tc>
          <w:tcPr>
            <w:tcW w:w="9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7BD0890">
            <w:pPr>
              <w:widowControl/>
              <w:ind w:firstLine="0" w:firstLineChars="0"/>
              <w:jc w:val="center"/>
              <w:rPr>
                <w:rFonts w:hint="eastAsia" w:ascii="宋体" w:hAnsi="宋体" w:cs="宋体"/>
                <w:b/>
                <w:bCs/>
                <w:kern w:val="0"/>
                <w:szCs w:val="21"/>
              </w:rPr>
            </w:pPr>
            <w:r>
              <w:rPr>
                <w:rFonts w:hint="eastAsia" w:ascii="宋体" w:hAnsi="宋体" w:cs="宋体"/>
                <w:b/>
                <w:bCs/>
                <w:kern w:val="0"/>
                <w:szCs w:val="21"/>
              </w:rPr>
              <w:t>项目名称</w:t>
            </w:r>
          </w:p>
        </w:tc>
        <w:tc>
          <w:tcPr>
            <w:tcW w:w="3685" w:type="dxa"/>
            <w:gridSpan w:val="3"/>
            <w:tcBorders>
              <w:top w:val="single" w:color="auto" w:sz="4" w:space="0"/>
              <w:left w:val="nil"/>
              <w:bottom w:val="single" w:color="auto" w:sz="4" w:space="0"/>
              <w:right w:val="single" w:color="auto" w:sz="4" w:space="0"/>
            </w:tcBorders>
            <w:shd w:val="clear" w:color="000000" w:fill="FFFFFF"/>
            <w:vAlign w:val="center"/>
          </w:tcPr>
          <w:p w14:paraId="59FE60A4">
            <w:pPr>
              <w:widowControl/>
              <w:ind w:firstLine="0" w:firstLineChars="0"/>
              <w:jc w:val="left"/>
              <w:rPr>
                <w:rFonts w:hint="eastAsia" w:ascii="宋体" w:hAnsi="宋体"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0ECE55BD">
            <w:pPr>
              <w:widowControl/>
              <w:ind w:firstLine="0" w:firstLineChars="0"/>
              <w:jc w:val="center"/>
              <w:rPr>
                <w:rFonts w:hint="eastAsia" w:ascii="宋体" w:hAnsi="宋体" w:cs="宋体"/>
                <w:kern w:val="0"/>
                <w:szCs w:val="21"/>
              </w:rPr>
            </w:pPr>
            <w:r>
              <w:rPr>
                <w:rFonts w:hint="eastAsia" w:ascii="宋体" w:hAnsi="宋体" w:cs="宋体"/>
                <w:b/>
                <w:bCs/>
                <w:kern w:val="0"/>
                <w:szCs w:val="21"/>
              </w:rPr>
              <w:t>评价日期</w:t>
            </w: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1CBBE531">
            <w:pPr>
              <w:widowControl/>
              <w:ind w:firstLine="0" w:firstLineChars="0"/>
              <w:jc w:val="left"/>
              <w:rPr>
                <w:rFonts w:hint="eastAsia" w:ascii="宋体" w:hAnsi="宋体" w:cs="宋体"/>
                <w:kern w:val="0"/>
                <w:szCs w:val="21"/>
              </w:rPr>
            </w:pPr>
          </w:p>
        </w:tc>
      </w:tr>
      <w:tr w14:paraId="2258EDDB">
        <w:tblPrEx>
          <w:tblCellMar>
            <w:top w:w="0" w:type="dxa"/>
            <w:left w:w="28" w:type="dxa"/>
            <w:bottom w:w="0" w:type="dxa"/>
            <w:right w:w="28" w:type="dxa"/>
          </w:tblCellMar>
        </w:tblPrEx>
        <w:trPr>
          <w:trHeight w:val="567" w:hRule="atLeast"/>
        </w:trPr>
        <w:tc>
          <w:tcPr>
            <w:tcW w:w="9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DF81D33">
            <w:pPr>
              <w:widowControl/>
              <w:ind w:firstLine="0" w:firstLineChars="0"/>
              <w:jc w:val="center"/>
              <w:rPr>
                <w:rFonts w:hint="eastAsia" w:ascii="宋体" w:hAnsi="宋体" w:cs="宋体"/>
                <w:b/>
                <w:bCs/>
                <w:kern w:val="0"/>
                <w:szCs w:val="21"/>
              </w:rPr>
            </w:pPr>
            <w:r>
              <w:rPr>
                <w:rFonts w:hint="eastAsia" w:ascii="宋体" w:hAnsi="宋体" w:cs="宋体"/>
                <w:b/>
                <w:bCs/>
                <w:kern w:val="0"/>
                <w:szCs w:val="21"/>
              </w:rPr>
              <w:t>合同名称</w:t>
            </w:r>
          </w:p>
        </w:tc>
        <w:tc>
          <w:tcPr>
            <w:tcW w:w="3685" w:type="dxa"/>
            <w:gridSpan w:val="3"/>
            <w:tcBorders>
              <w:top w:val="single" w:color="auto" w:sz="4" w:space="0"/>
              <w:left w:val="nil"/>
              <w:bottom w:val="single" w:color="auto" w:sz="4" w:space="0"/>
              <w:right w:val="single" w:color="auto" w:sz="4" w:space="0"/>
            </w:tcBorders>
            <w:shd w:val="clear" w:color="000000" w:fill="FFFFFF"/>
            <w:vAlign w:val="center"/>
          </w:tcPr>
          <w:p w14:paraId="0284F217">
            <w:pPr>
              <w:widowControl/>
              <w:ind w:firstLine="0" w:firstLineChars="0"/>
              <w:jc w:val="left"/>
              <w:rPr>
                <w:rFonts w:hint="eastAsia" w:ascii="宋体" w:hAnsi="宋体"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4148178D">
            <w:pPr>
              <w:widowControl/>
              <w:ind w:firstLine="0" w:firstLineChars="0"/>
              <w:jc w:val="center"/>
              <w:rPr>
                <w:rFonts w:hint="eastAsia" w:ascii="宋体" w:hAnsi="宋体" w:cs="宋体"/>
                <w:kern w:val="0"/>
                <w:szCs w:val="21"/>
              </w:rPr>
            </w:pPr>
            <w:r>
              <w:rPr>
                <w:rFonts w:hint="eastAsia" w:ascii="宋体" w:hAnsi="宋体" w:cs="宋体"/>
                <w:b/>
                <w:bCs/>
                <w:kern w:val="0"/>
                <w:szCs w:val="21"/>
              </w:rPr>
              <w:t>合同编号</w:t>
            </w: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05BC42BD">
            <w:pPr>
              <w:widowControl/>
              <w:ind w:firstLine="0" w:firstLineChars="0"/>
              <w:jc w:val="left"/>
              <w:rPr>
                <w:rFonts w:hint="eastAsia" w:ascii="宋体" w:hAnsi="宋体" w:cs="宋体"/>
                <w:kern w:val="0"/>
                <w:szCs w:val="21"/>
              </w:rPr>
            </w:pPr>
          </w:p>
        </w:tc>
      </w:tr>
      <w:tr w14:paraId="7F2D043B">
        <w:tblPrEx>
          <w:tblCellMar>
            <w:top w:w="0" w:type="dxa"/>
            <w:left w:w="28" w:type="dxa"/>
            <w:bottom w:w="0" w:type="dxa"/>
            <w:right w:w="28" w:type="dxa"/>
          </w:tblCellMar>
        </w:tblPrEx>
        <w:trPr>
          <w:trHeight w:val="567" w:hRule="atLeast"/>
        </w:trPr>
        <w:tc>
          <w:tcPr>
            <w:tcW w:w="99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48A9AFF1">
            <w:pPr>
              <w:widowControl/>
              <w:ind w:firstLine="0" w:firstLineChars="0"/>
              <w:jc w:val="center"/>
              <w:rPr>
                <w:rFonts w:hint="eastAsia" w:ascii="宋体" w:hAnsi="宋体" w:cs="宋体"/>
                <w:b/>
                <w:bCs/>
                <w:kern w:val="0"/>
                <w:szCs w:val="21"/>
              </w:rPr>
            </w:pPr>
            <w:r>
              <w:rPr>
                <w:rFonts w:hint="eastAsia" w:ascii="宋体" w:hAnsi="宋体" w:cs="宋体"/>
                <w:b/>
                <w:bCs/>
                <w:kern w:val="0"/>
                <w:szCs w:val="21"/>
              </w:rPr>
              <w:t>评价单位</w:t>
            </w:r>
          </w:p>
        </w:tc>
        <w:tc>
          <w:tcPr>
            <w:tcW w:w="3685" w:type="dxa"/>
            <w:gridSpan w:val="3"/>
            <w:tcBorders>
              <w:top w:val="single" w:color="auto" w:sz="4" w:space="0"/>
              <w:left w:val="nil"/>
              <w:bottom w:val="single" w:color="auto" w:sz="4" w:space="0"/>
              <w:right w:val="single" w:color="auto" w:sz="4" w:space="0"/>
            </w:tcBorders>
            <w:shd w:val="clear" w:color="000000" w:fill="FFFFFF"/>
            <w:vAlign w:val="center"/>
          </w:tcPr>
          <w:p w14:paraId="30CF9209">
            <w:pPr>
              <w:widowControl/>
              <w:ind w:firstLine="0" w:firstLineChars="0"/>
              <w:jc w:val="left"/>
              <w:rPr>
                <w:rFonts w:hint="eastAsia" w:ascii="宋体" w:hAnsi="宋体" w:cs="宋体"/>
                <w:color w:val="000000"/>
                <w:kern w:val="0"/>
                <w:szCs w:val="21"/>
              </w:rPr>
            </w:pPr>
          </w:p>
        </w:tc>
        <w:tc>
          <w:tcPr>
            <w:tcW w:w="992" w:type="dxa"/>
            <w:tcBorders>
              <w:top w:val="single" w:color="auto" w:sz="4" w:space="0"/>
              <w:left w:val="single" w:color="auto" w:sz="4" w:space="0"/>
              <w:bottom w:val="single" w:color="auto" w:sz="4" w:space="0"/>
              <w:right w:val="single" w:color="auto" w:sz="4" w:space="0"/>
            </w:tcBorders>
            <w:vAlign w:val="center"/>
          </w:tcPr>
          <w:p w14:paraId="262222D0">
            <w:pPr>
              <w:widowControl/>
              <w:ind w:firstLine="0" w:firstLineChars="0"/>
              <w:jc w:val="center"/>
              <w:rPr>
                <w:rFonts w:hint="eastAsia" w:ascii="宋体" w:hAnsi="宋体" w:cs="宋体"/>
                <w:kern w:val="0"/>
                <w:szCs w:val="21"/>
              </w:rPr>
            </w:pPr>
            <w:r>
              <w:rPr>
                <w:rFonts w:hint="eastAsia" w:ascii="宋体" w:hAnsi="宋体" w:cs="宋体"/>
                <w:b/>
                <w:bCs/>
                <w:kern w:val="0"/>
                <w:szCs w:val="21"/>
              </w:rPr>
              <w:t>履约单位</w:t>
            </w: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069E3A3E">
            <w:pPr>
              <w:widowControl/>
              <w:ind w:firstLine="0" w:firstLineChars="0"/>
              <w:jc w:val="left"/>
              <w:rPr>
                <w:rFonts w:hint="eastAsia" w:ascii="宋体" w:hAnsi="宋体" w:cs="宋体"/>
                <w:kern w:val="0"/>
                <w:szCs w:val="21"/>
              </w:rPr>
            </w:pPr>
          </w:p>
        </w:tc>
      </w:tr>
      <w:tr w14:paraId="76FF6A9F">
        <w:tblPrEx>
          <w:tblCellMar>
            <w:top w:w="0" w:type="dxa"/>
            <w:left w:w="28" w:type="dxa"/>
            <w:bottom w:w="0" w:type="dxa"/>
            <w:right w:w="28" w:type="dxa"/>
          </w:tblCellMar>
        </w:tblPrEx>
        <w:trPr>
          <w:trHeight w:val="567" w:hRule="atLeast"/>
        </w:trPr>
        <w:tc>
          <w:tcPr>
            <w:tcW w:w="427" w:type="dxa"/>
            <w:tcBorders>
              <w:top w:val="single" w:color="auto" w:sz="4" w:space="0"/>
              <w:left w:val="single" w:color="auto" w:sz="4" w:space="0"/>
              <w:bottom w:val="single" w:color="auto" w:sz="4" w:space="0"/>
              <w:right w:val="single" w:color="auto" w:sz="4" w:space="0"/>
            </w:tcBorders>
            <w:shd w:val="clear" w:color="000000" w:fill="FFFFFF"/>
            <w:vAlign w:val="center"/>
          </w:tcPr>
          <w:p w14:paraId="7D0855F9">
            <w:pPr>
              <w:widowControl/>
              <w:ind w:firstLine="0" w:firstLineChars="0"/>
              <w:jc w:val="center"/>
              <w:rPr>
                <w:rFonts w:hint="eastAsia" w:ascii="宋体" w:hAnsi="宋体" w:cs="宋体"/>
                <w:b/>
                <w:bCs/>
                <w:color w:val="000000"/>
                <w:kern w:val="0"/>
                <w:szCs w:val="21"/>
              </w:rPr>
            </w:pPr>
            <w:r>
              <w:rPr>
                <w:rFonts w:hint="eastAsia" w:ascii="宋体" w:hAnsi="宋体" w:cs="宋体"/>
                <w:b/>
                <w:bCs/>
                <w:color w:val="000000"/>
                <w:kern w:val="0"/>
                <w:szCs w:val="21"/>
              </w:rPr>
              <w:t>序号</w:t>
            </w:r>
          </w:p>
        </w:tc>
        <w:tc>
          <w:tcPr>
            <w:tcW w:w="1841" w:type="dxa"/>
            <w:gridSpan w:val="2"/>
            <w:tcBorders>
              <w:top w:val="single" w:color="auto" w:sz="4" w:space="0"/>
              <w:left w:val="nil"/>
              <w:bottom w:val="single" w:color="auto" w:sz="4" w:space="0"/>
              <w:right w:val="single" w:color="auto" w:sz="4" w:space="0"/>
            </w:tcBorders>
            <w:shd w:val="clear" w:color="000000" w:fill="FFFFFF"/>
            <w:vAlign w:val="center"/>
          </w:tcPr>
          <w:p w14:paraId="43D72C1D">
            <w:pPr>
              <w:widowControl/>
              <w:ind w:firstLine="0" w:firstLineChars="0"/>
              <w:jc w:val="center"/>
              <w:rPr>
                <w:rFonts w:hint="eastAsia" w:ascii="宋体" w:hAnsi="宋体" w:cs="宋体"/>
                <w:b/>
                <w:bCs/>
                <w:color w:val="000000"/>
                <w:kern w:val="0"/>
                <w:szCs w:val="21"/>
              </w:rPr>
            </w:pPr>
            <w:r>
              <w:rPr>
                <w:rFonts w:hint="eastAsia" w:ascii="宋体" w:hAnsi="宋体" w:cs="宋体"/>
                <w:b/>
                <w:bCs/>
                <w:color w:val="000000"/>
                <w:kern w:val="0"/>
                <w:szCs w:val="21"/>
              </w:rPr>
              <w:t>分项内容</w:t>
            </w:r>
          </w:p>
        </w:tc>
        <w:tc>
          <w:tcPr>
            <w:tcW w:w="426" w:type="dxa"/>
            <w:tcBorders>
              <w:top w:val="single" w:color="auto" w:sz="4" w:space="0"/>
              <w:left w:val="single" w:color="auto" w:sz="4" w:space="0"/>
              <w:bottom w:val="single" w:color="auto" w:sz="4" w:space="0"/>
              <w:right w:val="single" w:color="auto" w:sz="4" w:space="0"/>
            </w:tcBorders>
            <w:shd w:val="clear" w:color="000000" w:fill="FFFFFF"/>
            <w:vAlign w:val="center"/>
          </w:tcPr>
          <w:p w14:paraId="30C43BB6">
            <w:pPr>
              <w:widowControl/>
              <w:ind w:firstLine="0" w:firstLineChars="0"/>
              <w:jc w:val="center"/>
              <w:rPr>
                <w:rFonts w:hint="eastAsia" w:ascii="宋体" w:hAnsi="宋体" w:cs="宋体"/>
                <w:b/>
                <w:bCs/>
                <w:color w:val="000000"/>
                <w:kern w:val="0"/>
                <w:szCs w:val="21"/>
              </w:rPr>
            </w:pPr>
            <w:r>
              <w:rPr>
                <w:rFonts w:hint="eastAsia" w:ascii="宋体" w:hAnsi="宋体" w:cs="宋体"/>
                <w:b/>
                <w:bCs/>
                <w:color w:val="000000"/>
                <w:kern w:val="0"/>
                <w:szCs w:val="21"/>
              </w:rPr>
              <w:t>分值</w:t>
            </w: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73339386">
            <w:pPr>
              <w:widowControl/>
              <w:ind w:firstLine="0" w:firstLineChars="0"/>
              <w:jc w:val="center"/>
              <w:rPr>
                <w:rFonts w:hint="eastAsia" w:ascii="宋体" w:hAnsi="宋体" w:cs="宋体"/>
                <w:b/>
                <w:bCs/>
                <w:color w:val="000000"/>
                <w:kern w:val="0"/>
                <w:szCs w:val="21"/>
              </w:rPr>
            </w:pPr>
          </w:p>
        </w:tc>
        <w:tc>
          <w:tcPr>
            <w:tcW w:w="708" w:type="dxa"/>
            <w:tcBorders>
              <w:top w:val="single" w:color="auto" w:sz="4" w:space="0"/>
              <w:left w:val="nil"/>
              <w:bottom w:val="single" w:color="auto" w:sz="4" w:space="0"/>
              <w:right w:val="single" w:color="auto" w:sz="4" w:space="0"/>
            </w:tcBorders>
            <w:shd w:val="clear" w:color="000000" w:fill="FFFFFF"/>
            <w:vAlign w:val="center"/>
          </w:tcPr>
          <w:p w14:paraId="1CAF76CA">
            <w:pPr>
              <w:widowControl/>
              <w:ind w:firstLine="0" w:firstLineChars="0"/>
              <w:jc w:val="center"/>
              <w:rPr>
                <w:rFonts w:hint="eastAsia" w:ascii="宋体" w:hAnsi="宋体" w:cs="宋体"/>
                <w:b/>
                <w:bCs/>
                <w:color w:val="000000"/>
                <w:kern w:val="0"/>
                <w:szCs w:val="21"/>
              </w:rPr>
            </w:pPr>
            <w:r>
              <w:rPr>
                <w:rFonts w:ascii="宋体" w:hAnsi="宋体"/>
                <w:b/>
                <w:bCs/>
                <w:color w:val="000000"/>
                <w:kern w:val="0"/>
                <w:szCs w:val="21"/>
              </w:rPr>
              <w:t>应得分</w:t>
            </w:r>
          </w:p>
        </w:tc>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14:paraId="126CE7A5">
            <w:pPr>
              <w:widowControl/>
              <w:ind w:firstLine="0" w:firstLineChars="0"/>
              <w:jc w:val="center"/>
              <w:rPr>
                <w:rFonts w:hint="eastAsia" w:ascii="宋体" w:hAnsi="宋体" w:cs="宋体"/>
                <w:b/>
                <w:bCs/>
                <w:color w:val="000000"/>
                <w:kern w:val="0"/>
                <w:szCs w:val="21"/>
              </w:rPr>
            </w:pPr>
            <w:r>
              <w:rPr>
                <w:rFonts w:ascii="宋体" w:hAnsi="宋体"/>
                <w:b/>
                <w:bCs/>
                <w:color w:val="000000"/>
                <w:kern w:val="0"/>
                <w:szCs w:val="21"/>
              </w:rPr>
              <w:t>实得分</w:t>
            </w:r>
          </w:p>
        </w:tc>
      </w:tr>
      <w:tr w14:paraId="04B188BF">
        <w:tblPrEx>
          <w:tblCellMar>
            <w:top w:w="0" w:type="dxa"/>
            <w:left w:w="28" w:type="dxa"/>
            <w:bottom w:w="0" w:type="dxa"/>
            <w:right w:w="28" w:type="dxa"/>
          </w:tblCellMar>
        </w:tblPrEx>
        <w:trPr>
          <w:trHeight w:val="499" w:hRule="atLeast"/>
        </w:trPr>
        <w:tc>
          <w:tcPr>
            <w:tcW w:w="42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AA531E">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一</w:t>
            </w:r>
          </w:p>
        </w:tc>
        <w:tc>
          <w:tcPr>
            <w:tcW w:w="5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4437B65">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人员配备</w:t>
            </w: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BE18ED6">
            <w:pPr>
              <w:ind w:firstLine="0" w:firstLineChars="0"/>
              <w:jc w:val="center"/>
              <w:rPr>
                <w:rFonts w:hint="eastAsia" w:ascii="宋体" w:hAnsi="宋体" w:cs="宋体"/>
                <w:color w:val="000000"/>
                <w:spacing w:val="-8"/>
                <w:kern w:val="0"/>
                <w:szCs w:val="21"/>
              </w:rPr>
            </w:pPr>
            <w:r>
              <w:rPr>
                <w:rFonts w:hint="eastAsia" w:ascii="宋体" w:hAnsi="宋体" w:cs="宋体"/>
                <w:color w:val="000000"/>
                <w:spacing w:val="-8"/>
                <w:kern w:val="0"/>
                <w:szCs w:val="21"/>
              </w:rPr>
              <w:t>团队人员</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31639D">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8</w:t>
            </w: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0CC73689">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配备的专业编制团队人员的数量、职业素养，满足合同及工作进度的要求</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5183D799">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8-7</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9F2DA67">
            <w:pPr>
              <w:widowControl/>
              <w:ind w:firstLine="0" w:firstLineChars="0"/>
              <w:jc w:val="center"/>
              <w:rPr>
                <w:rFonts w:hint="eastAsia" w:ascii="宋体" w:hAnsi="宋体" w:cs="宋体"/>
                <w:color w:val="000000"/>
                <w:kern w:val="0"/>
                <w:szCs w:val="21"/>
              </w:rPr>
            </w:pPr>
          </w:p>
        </w:tc>
      </w:tr>
      <w:tr w14:paraId="1AEF6C6A">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29D7CD5F">
            <w:pPr>
              <w:widowControl/>
              <w:ind w:firstLine="0" w:firstLineChars="0"/>
              <w:jc w:val="center"/>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56EE8203">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6FE9864">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4028EC00">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7CF29443">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配备的专业编制团队人员的数量、职业素养，基本满足合同及工作进度的要求</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012ECD7F">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7-4</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7B8E3E0D">
            <w:pPr>
              <w:widowControl/>
              <w:ind w:firstLine="0" w:firstLineChars="0"/>
              <w:jc w:val="left"/>
              <w:rPr>
                <w:rFonts w:hint="eastAsia" w:ascii="宋体" w:hAnsi="宋体" w:cs="宋体"/>
                <w:color w:val="000000"/>
                <w:kern w:val="0"/>
                <w:szCs w:val="21"/>
              </w:rPr>
            </w:pPr>
          </w:p>
        </w:tc>
      </w:tr>
      <w:tr w14:paraId="5B2D5149">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6E1EEEE7">
            <w:pPr>
              <w:widowControl/>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33C0104D">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A3E2187">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6C9923CA">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49FEDDDD">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配备的专业编制团队人员的数量、职业素养，不满足合同及工作进度的要求</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51924D43">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74AAE558">
            <w:pPr>
              <w:widowControl/>
              <w:ind w:firstLine="0" w:firstLineChars="0"/>
              <w:jc w:val="left"/>
              <w:rPr>
                <w:rFonts w:hint="eastAsia" w:ascii="宋体" w:hAnsi="宋体" w:cs="宋体"/>
                <w:color w:val="000000"/>
                <w:kern w:val="0"/>
                <w:szCs w:val="21"/>
              </w:rPr>
            </w:pPr>
          </w:p>
        </w:tc>
      </w:tr>
      <w:tr w14:paraId="64B90E43">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74944225">
            <w:pPr>
              <w:widowControl/>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76BA8378">
            <w:pPr>
              <w:widowControl/>
              <w:ind w:firstLine="0" w:firstLineChars="0"/>
              <w:jc w:val="center"/>
              <w:rPr>
                <w:rFonts w:hint="eastAsia" w:ascii="宋体" w:hAnsi="宋体" w:cs="宋体"/>
                <w:color w:val="000000"/>
                <w:kern w:val="0"/>
                <w:szCs w:val="21"/>
              </w:rPr>
            </w:pP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C528083">
            <w:pPr>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项目负责人</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4190D6A">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7</w:t>
            </w: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40245DAB">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配备的项目负责人具有高度责任心、良好的组织协调能力和专业的业务水平</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4E2A51DF">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7-6</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893AF4E">
            <w:pPr>
              <w:widowControl/>
              <w:ind w:firstLine="0" w:firstLineChars="0"/>
              <w:jc w:val="center"/>
              <w:rPr>
                <w:rFonts w:hint="eastAsia" w:ascii="宋体" w:hAnsi="宋体" w:cs="宋体"/>
                <w:color w:val="000000"/>
                <w:kern w:val="0"/>
                <w:szCs w:val="21"/>
              </w:rPr>
            </w:pPr>
          </w:p>
        </w:tc>
      </w:tr>
      <w:tr w14:paraId="5065E574">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2A6512C2">
            <w:pPr>
              <w:widowControl/>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028D5DF8">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45A9D22">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234AD103">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08411848">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配备的项目负责人具有高度责任心、比较良好的组织协调能力和比较专业的业务水平</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444D2F3A">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5-3</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60199494">
            <w:pPr>
              <w:widowControl/>
              <w:ind w:firstLine="0" w:firstLineChars="0"/>
              <w:jc w:val="left"/>
              <w:rPr>
                <w:rFonts w:hint="eastAsia" w:ascii="宋体" w:hAnsi="宋体" w:cs="宋体"/>
                <w:color w:val="000000"/>
                <w:kern w:val="0"/>
                <w:szCs w:val="21"/>
              </w:rPr>
            </w:pPr>
          </w:p>
        </w:tc>
      </w:tr>
      <w:tr w14:paraId="4A9AD96A">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70207E5C">
            <w:pPr>
              <w:widowControl/>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299C8CDB">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5D463BB">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7002E348">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39D64628">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配备的项目负责人具有高度责任心、基本良好的组织协调能力和基本专业的业务水平</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6C4E2FE4">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0E9022FC">
            <w:pPr>
              <w:widowControl/>
              <w:ind w:firstLine="0" w:firstLineChars="0"/>
              <w:jc w:val="left"/>
              <w:rPr>
                <w:rFonts w:hint="eastAsia" w:ascii="宋体" w:hAnsi="宋体" w:cs="宋体"/>
                <w:color w:val="000000"/>
                <w:kern w:val="0"/>
                <w:szCs w:val="21"/>
              </w:rPr>
            </w:pPr>
          </w:p>
        </w:tc>
      </w:tr>
      <w:tr w14:paraId="640CA67C">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3193965E">
            <w:pPr>
              <w:widowControl/>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05FC6C58">
            <w:pPr>
              <w:widowControl/>
              <w:ind w:firstLine="0" w:firstLineChars="0"/>
              <w:jc w:val="center"/>
              <w:rPr>
                <w:rFonts w:hint="eastAsia" w:ascii="宋体" w:hAnsi="宋体" w:cs="宋体"/>
                <w:color w:val="000000"/>
                <w:kern w:val="0"/>
                <w:szCs w:val="21"/>
              </w:rPr>
            </w:pP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D5176D">
            <w:pPr>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驻场人员</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CF097EC">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10</w:t>
            </w: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65012514">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驻场咨询人员从事造价咨询工作经验、配合情况，满足合同及委托人要求</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77F86347">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10-9</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F059408">
            <w:pPr>
              <w:widowControl/>
              <w:ind w:firstLine="0" w:firstLineChars="0"/>
              <w:jc w:val="center"/>
              <w:rPr>
                <w:rFonts w:hint="eastAsia" w:ascii="宋体" w:hAnsi="宋体" w:cs="宋体"/>
                <w:color w:val="000000"/>
                <w:kern w:val="0"/>
                <w:szCs w:val="21"/>
              </w:rPr>
            </w:pPr>
          </w:p>
        </w:tc>
      </w:tr>
      <w:tr w14:paraId="30F7EE92">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545BC9FF">
            <w:pPr>
              <w:widowControl/>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60612B81">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0ACED4F9">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3BCD1785">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460C1299">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驻场咨询人员从事造价咨询工作经验、配合情况，基本满足合同及委托人要求</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583243C8">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8-5</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1B5F4572">
            <w:pPr>
              <w:widowControl/>
              <w:ind w:firstLine="0" w:firstLineChars="0"/>
              <w:jc w:val="left"/>
              <w:rPr>
                <w:rFonts w:hint="eastAsia" w:ascii="宋体" w:hAnsi="宋体" w:cs="宋体"/>
                <w:color w:val="000000"/>
                <w:kern w:val="0"/>
                <w:szCs w:val="21"/>
              </w:rPr>
            </w:pPr>
          </w:p>
        </w:tc>
      </w:tr>
      <w:tr w14:paraId="7A2EED03">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32882DCF">
            <w:pPr>
              <w:widowControl/>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2D521EB7">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2711504">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07401FAF">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420C3F43">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驻场咨询人员从事造价咨询工作经验、配合情况，不能满足合同及委托人要求</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6AE3BA24">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3D68D7E3">
            <w:pPr>
              <w:widowControl/>
              <w:ind w:firstLine="0" w:firstLineChars="0"/>
              <w:jc w:val="left"/>
              <w:rPr>
                <w:rFonts w:hint="eastAsia" w:ascii="宋体" w:hAnsi="宋体" w:cs="宋体"/>
                <w:color w:val="000000"/>
                <w:kern w:val="0"/>
                <w:szCs w:val="21"/>
              </w:rPr>
            </w:pPr>
          </w:p>
        </w:tc>
      </w:tr>
      <w:tr w14:paraId="2FB28B42">
        <w:tblPrEx>
          <w:tblCellMar>
            <w:top w:w="0" w:type="dxa"/>
            <w:left w:w="28" w:type="dxa"/>
            <w:bottom w:w="0" w:type="dxa"/>
            <w:right w:w="28" w:type="dxa"/>
          </w:tblCellMar>
        </w:tblPrEx>
        <w:trPr>
          <w:trHeight w:val="699" w:hRule="atLeast"/>
        </w:trPr>
        <w:tc>
          <w:tcPr>
            <w:tcW w:w="42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5478C37">
            <w:pPr>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二</w:t>
            </w:r>
          </w:p>
        </w:tc>
        <w:tc>
          <w:tcPr>
            <w:tcW w:w="5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4DB0B32">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过程履约</w:t>
            </w: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24968AF">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工程量清单、招标控制价（预算）编制/审核</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541F485">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18</w:t>
            </w: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4E4E3801">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经委托人核对各项子目、工程量计算、价格取费，存在缺项漏项、子目工程量及价格取费不准确，用平均误差率 Z 表示，-3%≤Z≤+3%</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29C76637">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18-15</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1A91C60">
            <w:pPr>
              <w:widowControl/>
              <w:ind w:firstLine="0" w:firstLineChars="0"/>
              <w:jc w:val="center"/>
              <w:rPr>
                <w:rFonts w:hint="eastAsia" w:ascii="宋体" w:hAnsi="宋体" w:cs="宋体"/>
                <w:color w:val="000000"/>
                <w:kern w:val="0"/>
                <w:szCs w:val="21"/>
              </w:rPr>
            </w:pPr>
          </w:p>
        </w:tc>
      </w:tr>
      <w:tr w14:paraId="7CE6FE87">
        <w:tblPrEx>
          <w:tblCellMar>
            <w:top w:w="0" w:type="dxa"/>
            <w:left w:w="28" w:type="dxa"/>
            <w:bottom w:w="0" w:type="dxa"/>
            <w:right w:w="28" w:type="dxa"/>
          </w:tblCellMar>
        </w:tblPrEx>
        <w:trPr>
          <w:trHeight w:val="870"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6F952A88">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488D8F27">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9B9ACCC">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632701F2">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6A829A38">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经委托人核对各项子目、工程量计算、价格取费，存在缺项漏项、子目工程量及价格取费不准确，用平均误差率 Z 表示，-5%≤Z＜-3%,3%＜Z≤5%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2F635978">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14-9</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116C257E">
            <w:pPr>
              <w:widowControl/>
              <w:ind w:firstLine="0" w:firstLineChars="0"/>
              <w:jc w:val="left"/>
              <w:rPr>
                <w:rFonts w:hint="eastAsia" w:ascii="宋体" w:hAnsi="宋体" w:cs="宋体"/>
                <w:color w:val="000000"/>
                <w:kern w:val="0"/>
                <w:szCs w:val="21"/>
              </w:rPr>
            </w:pPr>
          </w:p>
        </w:tc>
      </w:tr>
      <w:tr w14:paraId="77142BE6">
        <w:tblPrEx>
          <w:tblCellMar>
            <w:top w:w="0" w:type="dxa"/>
            <w:left w:w="28" w:type="dxa"/>
            <w:bottom w:w="0" w:type="dxa"/>
            <w:right w:w="28" w:type="dxa"/>
          </w:tblCellMar>
        </w:tblPrEx>
        <w:trPr>
          <w:trHeight w:val="683"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44BF843E">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02411A77">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6A0F5D7">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3803EBD6">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097B3A1A">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经委托人核对各项子目、工程量计算、价格取费，存在缺项漏项、子目工程量及价格取费不准确，用平均误差率 Z 表示，Z＞5％，Z＜-5％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5770A440">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175A1CEB">
            <w:pPr>
              <w:widowControl/>
              <w:ind w:firstLine="0" w:firstLineChars="0"/>
              <w:jc w:val="left"/>
              <w:rPr>
                <w:rFonts w:hint="eastAsia" w:ascii="宋体" w:hAnsi="宋体" w:cs="宋体"/>
                <w:color w:val="000000"/>
                <w:kern w:val="0"/>
                <w:szCs w:val="21"/>
              </w:rPr>
            </w:pPr>
          </w:p>
        </w:tc>
      </w:tr>
      <w:tr w14:paraId="4705F6EC">
        <w:tblPrEx>
          <w:tblCellMar>
            <w:top w:w="0" w:type="dxa"/>
            <w:left w:w="28" w:type="dxa"/>
            <w:bottom w:w="0" w:type="dxa"/>
            <w:right w:w="28" w:type="dxa"/>
          </w:tblCellMar>
        </w:tblPrEx>
        <w:trPr>
          <w:trHeight w:val="551"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5BE51029">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7DA9ED9A">
            <w:pPr>
              <w:widowControl/>
              <w:ind w:firstLine="0" w:firstLineChars="0"/>
              <w:jc w:val="center"/>
              <w:rPr>
                <w:rFonts w:hint="eastAsia" w:ascii="宋体" w:hAnsi="宋体" w:cs="宋体"/>
                <w:color w:val="000000"/>
                <w:kern w:val="0"/>
                <w:szCs w:val="21"/>
              </w:rPr>
            </w:pP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B0D1EAF">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变更签证费用估算/预算/结算</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15F1596">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10</w:t>
            </w: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77CBF8A0">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变更签证费用估算/预算/结算质量，误差率用Z表示，-3%≤Z≤+3%</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670E09DC">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10-9</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9D20F4">
            <w:pPr>
              <w:widowControl/>
              <w:ind w:firstLine="0" w:firstLineChars="0"/>
              <w:jc w:val="center"/>
              <w:rPr>
                <w:rFonts w:hint="eastAsia" w:ascii="宋体" w:hAnsi="宋体" w:cs="宋体"/>
                <w:color w:val="000000"/>
                <w:kern w:val="0"/>
                <w:szCs w:val="21"/>
              </w:rPr>
            </w:pPr>
          </w:p>
        </w:tc>
      </w:tr>
      <w:tr w14:paraId="6B547B06">
        <w:tblPrEx>
          <w:tblCellMar>
            <w:top w:w="0" w:type="dxa"/>
            <w:left w:w="28" w:type="dxa"/>
            <w:bottom w:w="0" w:type="dxa"/>
            <w:right w:w="28" w:type="dxa"/>
          </w:tblCellMar>
        </w:tblPrEx>
        <w:trPr>
          <w:trHeight w:val="417"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4ADEA41C">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5A4AA0FC">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C0EC314">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5D5EC6CE">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17FDC673">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变更签证费用估算/预算/结算质量，误差率用Z表示，-5%≤Z&lt;-3%,3%&lt;Z≤5%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7DB2D5AF">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8-5</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50BC8559">
            <w:pPr>
              <w:widowControl/>
              <w:ind w:firstLine="0" w:firstLineChars="0"/>
              <w:jc w:val="left"/>
              <w:rPr>
                <w:rFonts w:hint="eastAsia" w:ascii="宋体" w:hAnsi="宋体" w:cs="宋体"/>
                <w:color w:val="000000"/>
                <w:kern w:val="0"/>
                <w:szCs w:val="21"/>
              </w:rPr>
            </w:pPr>
          </w:p>
        </w:tc>
      </w:tr>
      <w:tr w14:paraId="1B4A3FC5">
        <w:tblPrEx>
          <w:tblCellMar>
            <w:top w:w="0" w:type="dxa"/>
            <w:left w:w="28" w:type="dxa"/>
            <w:bottom w:w="0" w:type="dxa"/>
            <w:right w:w="28" w:type="dxa"/>
          </w:tblCellMar>
        </w:tblPrEx>
        <w:trPr>
          <w:trHeight w:val="615"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23009143">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67D18962">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C9070D5">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7C457B5C">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109A6C7D">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变更签证费用估算/预算/结算质量，误差率用Z表示，Z＞5％，Z＜-5％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0F40B8D3">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40FF4015">
            <w:pPr>
              <w:widowControl/>
              <w:ind w:firstLine="0" w:firstLineChars="0"/>
              <w:jc w:val="left"/>
              <w:rPr>
                <w:rFonts w:hint="eastAsia" w:ascii="宋体" w:hAnsi="宋体" w:cs="宋体"/>
                <w:color w:val="000000"/>
                <w:kern w:val="0"/>
                <w:szCs w:val="21"/>
              </w:rPr>
            </w:pPr>
          </w:p>
        </w:tc>
      </w:tr>
      <w:tr w14:paraId="37758616">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0A7D2FC0">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7F9DA1A7">
            <w:pPr>
              <w:widowControl/>
              <w:ind w:firstLine="0" w:firstLineChars="0"/>
              <w:jc w:val="center"/>
              <w:rPr>
                <w:rFonts w:hint="eastAsia" w:ascii="宋体" w:hAnsi="宋体" w:cs="宋体"/>
                <w:color w:val="000000"/>
                <w:kern w:val="0"/>
                <w:szCs w:val="21"/>
              </w:rPr>
            </w:pP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D4F79C1">
            <w:pPr>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进度款审核</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FEC524">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5</w:t>
            </w: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64DDE2B9">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进度款审核准确性,误差率用D表示，D≤0</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2F4FBB95">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5</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0DC1DF2">
            <w:pPr>
              <w:widowControl/>
              <w:ind w:firstLine="0" w:firstLineChars="0"/>
              <w:jc w:val="center"/>
              <w:rPr>
                <w:rFonts w:hint="eastAsia" w:ascii="宋体" w:hAnsi="宋体" w:cs="宋体"/>
                <w:color w:val="000000"/>
                <w:kern w:val="0"/>
                <w:szCs w:val="21"/>
              </w:rPr>
            </w:pPr>
          </w:p>
        </w:tc>
      </w:tr>
      <w:tr w14:paraId="6D9D1BF3">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32A5C42C">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1C639F15">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4DAACF7">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442A4C62">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25C11E79">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进度款审核准确性,误差率用D表示，-2%≤D≤+2%</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7CBADDBF">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4-3</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27D9E7C4">
            <w:pPr>
              <w:widowControl/>
              <w:ind w:firstLine="0" w:firstLineChars="0"/>
              <w:jc w:val="left"/>
              <w:rPr>
                <w:rFonts w:hint="eastAsia" w:ascii="宋体" w:hAnsi="宋体" w:cs="宋体"/>
                <w:color w:val="000000"/>
                <w:kern w:val="0"/>
                <w:szCs w:val="21"/>
              </w:rPr>
            </w:pPr>
          </w:p>
        </w:tc>
      </w:tr>
      <w:tr w14:paraId="69E1C801">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3F4619A3">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7F524C77">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34C71A9">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76B120C1">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04428D72">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进度款审核准确性,误差率用D表示，-5%≤D&lt;-2%,2%&lt;D≤5%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0838EF50">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2-1</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0B417994">
            <w:pPr>
              <w:widowControl/>
              <w:ind w:firstLine="0" w:firstLineChars="0"/>
              <w:jc w:val="left"/>
              <w:rPr>
                <w:rFonts w:hint="eastAsia" w:ascii="宋体" w:hAnsi="宋体" w:cs="宋体"/>
                <w:color w:val="000000"/>
                <w:kern w:val="0"/>
                <w:szCs w:val="21"/>
              </w:rPr>
            </w:pPr>
          </w:p>
        </w:tc>
      </w:tr>
      <w:tr w14:paraId="7A7243D3">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vAlign w:val="center"/>
          </w:tcPr>
          <w:p w14:paraId="15C2B2C5">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6950F253">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16D5449">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3A475135">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5D032C2E">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进度款审核准确性,误差率用D表示，D＞5％，D＜-5％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5DC2B6F4">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11F18B1B">
            <w:pPr>
              <w:widowControl/>
              <w:ind w:firstLine="0" w:firstLineChars="0"/>
              <w:jc w:val="left"/>
              <w:rPr>
                <w:rFonts w:hint="eastAsia" w:ascii="宋体" w:hAnsi="宋体" w:cs="宋体"/>
                <w:color w:val="000000"/>
                <w:kern w:val="0"/>
                <w:szCs w:val="21"/>
              </w:rPr>
            </w:pPr>
          </w:p>
        </w:tc>
      </w:tr>
      <w:tr w14:paraId="5DAFD53E">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0CA0FEA0">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1754F51A">
            <w:pPr>
              <w:widowControl/>
              <w:ind w:firstLine="0" w:firstLineChars="0"/>
              <w:jc w:val="center"/>
              <w:rPr>
                <w:rFonts w:hint="eastAsia" w:ascii="宋体" w:hAnsi="宋体" w:cs="宋体"/>
                <w:color w:val="000000"/>
                <w:kern w:val="0"/>
                <w:szCs w:val="21"/>
              </w:rPr>
            </w:pP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14BAA08">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结算编制/审核</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EC6C89A">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20</w:t>
            </w: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6B0A91A9">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结算造价与委托人（或第三方审核单位）审定价误差率，-3%≤Z≤+3%</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0F82F8CF">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20-18</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E8FCCC8">
            <w:pPr>
              <w:widowControl/>
              <w:ind w:firstLine="0" w:firstLineChars="0"/>
              <w:jc w:val="center"/>
              <w:rPr>
                <w:rFonts w:hint="eastAsia" w:ascii="宋体" w:hAnsi="宋体" w:cs="宋体"/>
                <w:color w:val="000000"/>
                <w:kern w:val="0"/>
                <w:szCs w:val="21"/>
              </w:rPr>
            </w:pPr>
          </w:p>
        </w:tc>
      </w:tr>
      <w:tr w14:paraId="03C7686E">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3D949B64">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091A2C70">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C2787BF">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238F9A08">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5714F11B">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结算造价与委托人（或第三方审核单位）审定价误差率，-5%≤Z＜-3%, 3%＜Z≤5%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59728E98">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17-10</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1AD54BBE">
            <w:pPr>
              <w:widowControl/>
              <w:ind w:firstLine="0" w:firstLineChars="0"/>
              <w:jc w:val="left"/>
              <w:rPr>
                <w:rFonts w:hint="eastAsia" w:ascii="宋体" w:hAnsi="宋体" w:cs="宋体"/>
                <w:color w:val="000000"/>
                <w:kern w:val="0"/>
                <w:szCs w:val="21"/>
              </w:rPr>
            </w:pPr>
          </w:p>
        </w:tc>
      </w:tr>
      <w:tr w14:paraId="09C89238">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13FE047A">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12FE7EDC">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8557CC9">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12A11412">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488BC357">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结算造价与委托人（或第三方审核单位）审定价误差率，Z＞5％，Z＜-5％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34D1C16A">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6DF5CD0E">
            <w:pPr>
              <w:widowControl/>
              <w:ind w:firstLine="0" w:firstLineChars="0"/>
              <w:jc w:val="left"/>
              <w:rPr>
                <w:rFonts w:hint="eastAsia" w:ascii="宋体" w:hAnsi="宋体" w:cs="宋体"/>
                <w:color w:val="000000"/>
                <w:kern w:val="0"/>
                <w:szCs w:val="21"/>
              </w:rPr>
            </w:pPr>
          </w:p>
        </w:tc>
      </w:tr>
      <w:tr w14:paraId="30E62ED3">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6E9E12D5">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414560D4">
            <w:pPr>
              <w:widowControl/>
              <w:ind w:firstLine="0" w:firstLineChars="0"/>
              <w:jc w:val="center"/>
              <w:rPr>
                <w:rFonts w:hint="eastAsia" w:ascii="宋体" w:hAnsi="宋体" w:cs="宋体"/>
                <w:color w:val="000000"/>
                <w:kern w:val="0"/>
                <w:szCs w:val="21"/>
              </w:rPr>
            </w:pP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A06AC7">
            <w:pPr>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进度情况</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E2D0BE4">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8</w:t>
            </w: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112DFB21">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能准时完成咨询业务并提交咨询业务成果</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2C07D78A">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8-7</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E4859A">
            <w:pPr>
              <w:widowControl/>
              <w:ind w:firstLine="0" w:firstLineChars="0"/>
              <w:jc w:val="center"/>
              <w:rPr>
                <w:rFonts w:hint="eastAsia" w:ascii="宋体" w:hAnsi="宋体" w:cs="宋体"/>
                <w:color w:val="000000"/>
                <w:kern w:val="0"/>
                <w:szCs w:val="21"/>
              </w:rPr>
            </w:pPr>
          </w:p>
        </w:tc>
      </w:tr>
      <w:tr w14:paraId="5967A5E5">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099F323E">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3B5722FB">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8E5C257">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415D3E33">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31280604">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基本准时完成咨询业务并提交咨询业务成果</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677B98F9">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6-4</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0BA87A47">
            <w:pPr>
              <w:widowControl/>
              <w:ind w:firstLine="0" w:firstLineChars="0"/>
              <w:jc w:val="left"/>
              <w:rPr>
                <w:rFonts w:hint="eastAsia" w:ascii="宋体" w:hAnsi="宋体" w:cs="宋体"/>
                <w:color w:val="000000"/>
                <w:kern w:val="0"/>
                <w:szCs w:val="21"/>
              </w:rPr>
            </w:pPr>
          </w:p>
        </w:tc>
      </w:tr>
      <w:tr w14:paraId="78FD75CE">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7854338E">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514AC7F8">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CE658D3">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6BEA676C">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1A8E9319">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不能准时完成咨询业务并提交咨询业务成果</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6AADD91B">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2A6ED566">
            <w:pPr>
              <w:widowControl/>
              <w:ind w:firstLine="0" w:firstLineChars="0"/>
              <w:jc w:val="left"/>
              <w:rPr>
                <w:rFonts w:hint="eastAsia" w:ascii="宋体" w:hAnsi="宋体" w:cs="宋体"/>
                <w:color w:val="000000"/>
                <w:kern w:val="0"/>
                <w:szCs w:val="21"/>
              </w:rPr>
            </w:pPr>
          </w:p>
        </w:tc>
      </w:tr>
      <w:tr w14:paraId="1451ADC4">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2E9D522E">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64666961">
            <w:pPr>
              <w:widowControl/>
              <w:ind w:firstLine="0" w:firstLineChars="0"/>
              <w:jc w:val="center"/>
              <w:rPr>
                <w:rFonts w:hint="eastAsia" w:ascii="宋体" w:hAnsi="宋体" w:cs="宋体"/>
                <w:color w:val="000000"/>
                <w:kern w:val="0"/>
                <w:szCs w:val="21"/>
              </w:rPr>
            </w:pP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E590B2">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变更签证造价审核完成率</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ECCA11">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6</w:t>
            </w: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3310BA01">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按当季累计“季审季结率”评价，用Y表示，Y≥85%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23BC8B50">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6</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3393277">
            <w:pPr>
              <w:widowControl/>
              <w:ind w:firstLine="0" w:firstLineChars="0"/>
              <w:jc w:val="center"/>
              <w:rPr>
                <w:rFonts w:hint="eastAsia" w:ascii="宋体" w:hAnsi="宋体" w:cs="宋体"/>
                <w:color w:val="000000"/>
                <w:kern w:val="0"/>
                <w:szCs w:val="21"/>
              </w:rPr>
            </w:pPr>
          </w:p>
        </w:tc>
      </w:tr>
      <w:tr w14:paraId="6B7AF1CD">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1C83E3F7">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0ACD3135">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CE573C0">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0996811E">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6DE412D2">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按当季累计“季审季结率”评价，用Y表示，60%≤Y＜85%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61B2E199">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5-4</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26858639">
            <w:pPr>
              <w:widowControl/>
              <w:ind w:firstLine="0" w:firstLineChars="0"/>
              <w:jc w:val="left"/>
              <w:rPr>
                <w:rFonts w:hint="eastAsia" w:ascii="宋体" w:hAnsi="宋体" w:cs="宋体"/>
                <w:color w:val="000000"/>
                <w:kern w:val="0"/>
                <w:szCs w:val="21"/>
              </w:rPr>
            </w:pPr>
          </w:p>
        </w:tc>
      </w:tr>
      <w:tr w14:paraId="294408FA">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669B2F0B">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6A68B6A6">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E33EF99">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397B8CA3">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53CF0AB4">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按当季累计“季审季结率”评价，用Y表示，40%≤Y＜60%</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48DA6BCA">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3-2</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7E65FA66">
            <w:pPr>
              <w:widowControl/>
              <w:ind w:firstLine="0" w:firstLineChars="0"/>
              <w:jc w:val="left"/>
              <w:rPr>
                <w:rFonts w:hint="eastAsia" w:ascii="宋体" w:hAnsi="宋体" w:cs="宋体"/>
                <w:color w:val="000000"/>
                <w:kern w:val="0"/>
                <w:szCs w:val="21"/>
              </w:rPr>
            </w:pPr>
          </w:p>
        </w:tc>
      </w:tr>
      <w:tr w14:paraId="63563F2F">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32192448">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0991A03F">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32BD4C4E">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232527C0">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6372BB4D">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按当季累计“季审季结率”评价，用Y表示，Y＜40%</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43886EE9">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6413B6BC">
            <w:pPr>
              <w:widowControl/>
              <w:ind w:firstLine="0" w:firstLineChars="0"/>
              <w:jc w:val="left"/>
              <w:rPr>
                <w:rFonts w:hint="eastAsia" w:ascii="宋体" w:hAnsi="宋体" w:cs="宋体"/>
                <w:color w:val="000000"/>
                <w:kern w:val="0"/>
                <w:szCs w:val="21"/>
              </w:rPr>
            </w:pPr>
          </w:p>
        </w:tc>
      </w:tr>
      <w:tr w14:paraId="4EAC9944">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7EC2D5B2">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138D15E3">
            <w:pPr>
              <w:widowControl/>
              <w:ind w:firstLine="0" w:firstLineChars="0"/>
              <w:jc w:val="center"/>
              <w:rPr>
                <w:rFonts w:hint="eastAsia" w:ascii="宋体" w:hAnsi="宋体" w:cs="宋体"/>
                <w:color w:val="000000"/>
                <w:kern w:val="0"/>
                <w:szCs w:val="21"/>
              </w:rPr>
            </w:pP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68D61A2">
            <w:pPr>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驻场考勤</w:t>
            </w:r>
          </w:p>
        </w:tc>
        <w:tc>
          <w:tcPr>
            <w:tcW w:w="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8E75839">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8</w:t>
            </w: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7E304A69">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驻场人员月度考勤出勤率用 S 表示，S≥95%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1DA397D5">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8</w:t>
            </w:r>
          </w:p>
        </w:tc>
        <w:tc>
          <w:tcPr>
            <w:tcW w:w="85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8047942">
            <w:pPr>
              <w:widowControl/>
              <w:ind w:firstLine="0" w:firstLineChars="0"/>
              <w:jc w:val="center"/>
              <w:rPr>
                <w:rFonts w:hint="eastAsia" w:ascii="宋体" w:hAnsi="宋体" w:cs="宋体"/>
                <w:color w:val="000000"/>
                <w:kern w:val="0"/>
                <w:szCs w:val="21"/>
              </w:rPr>
            </w:pPr>
          </w:p>
        </w:tc>
      </w:tr>
      <w:tr w14:paraId="257278CF">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4E8099B2">
            <w:pPr>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36953342">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14DC2C8B">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5DA5817F">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3165DD66">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驻场人员月度考勤出勤率用 S 表示，80%≤S＜95%</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2BEB59FD">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7-4</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7EE800C5">
            <w:pPr>
              <w:widowControl/>
              <w:ind w:firstLine="0" w:firstLineChars="0"/>
              <w:jc w:val="left"/>
              <w:rPr>
                <w:rFonts w:hint="eastAsia" w:ascii="宋体" w:hAnsi="宋体" w:cs="宋体"/>
                <w:color w:val="000000"/>
                <w:kern w:val="0"/>
                <w:szCs w:val="21"/>
              </w:rPr>
            </w:pPr>
          </w:p>
        </w:tc>
      </w:tr>
      <w:tr w14:paraId="1E650383">
        <w:tblPrEx>
          <w:tblCellMar>
            <w:top w:w="0" w:type="dxa"/>
            <w:left w:w="28" w:type="dxa"/>
            <w:bottom w:w="0" w:type="dxa"/>
            <w:right w:w="28" w:type="dxa"/>
          </w:tblCellMar>
        </w:tblPrEx>
        <w:trPr>
          <w:trHeight w:val="499" w:hRule="atLeast"/>
        </w:trPr>
        <w:tc>
          <w:tcPr>
            <w:tcW w:w="427"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33915EC3">
            <w:pPr>
              <w:widowControl/>
              <w:ind w:firstLine="0" w:firstLineChars="0"/>
              <w:jc w:val="left"/>
              <w:rPr>
                <w:rFonts w:hint="eastAsia" w:ascii="宋体" w:hAnsi="宋体" w:cs="宋体"/>
                <w:color w:val="000000"/>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vAlign w:val="center"/>
          </w:tcPr>
          <w:p w14:paraId="6AED3634">
            <w:pPr>
              <w:widowControl/>
              <w:ind w:firstLine="0" w:firstLineChars="0"/>
              <w:jc w:val="left"/>
              <w:rPr>
                <w:rFonts w:hint="eastAsia" w:ascii="宋体" w:hAnsi="宋体" w:cs="宋体"/>
                <w:color w:val="000000"/>
                <w:kern w:val="0"/>
                <w:szCs w:val="21"/>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29456127">
            <w:pPr>
              <w:widowControl/>
              <w:ind w:firstLine="0" w:firstLineChars="0"/>
              <w:jc w:val="left"/>
              <w:rPr>
                <w:rFonts w:hint="eastAsia" w:ascii="宋体" w:hAnsi="宋体" w:cs="宋体"/>
                <w:color w:val="000000"/>
                <w:kern w:val="0"/>
                <w:szCs w:val="21"/>
              </w:rPr>
            </w:pPr>
          </w:p>
        </w:tc>
        <w:tc>
          <w:tcPr>
            <w:tcW w:w="426" w:type="dxa"/>
            <w:vMerge w:val="continue"/>
            <w:tcBorders>
              <w:top w:val="single" w:color="auto" w:sz="4" w:space="0"/>
              <w:left w:val="single" w:color="auto" w:sz="4" w:space="0"/>
              <w:bottom w:val="single" w:color="auto" w:sz="4" w:space="0"/>
              <w:right w:val="single" w:color="auto" w:sz="4" w:space="0"/>
            </w:tcBorders>
            <w:vAlign w:val="center"/>
          </w:tcPr>
          <w:p w14:paraId="65ACDD2C">
            <w:pPr>
              <w:widowControl/>
              <w:ind w:firstLine="0" w:firstLineChars="0"/>
              <w:jc w:val="left"/>
              <w:rPr>
                <w:rFonts w:hint="eastAsia" w:ascii="宋体" w:hAnsi="宋体" w:cs="宋体"/>
                <w:color w:val="000000"/>
                <w:kern w:val="0"/>
                <w:szCs w:val="21"/>
              </w:rPr>
            </w:pPr>
          </w:p>
        </w:tc>
        <w:tc>
          <w:tcPr>
            <w:tcW w:w="5103" w:type="dxa"/>
            <w:gridSpan w:val="3"/>
            <w:tcBorders>
              <w:top w:val="single" w:color="auto" w:sz="4" w:space="0"/>
              <w:left w:val="nil"/>
              <w:bottom w:val="single" w:color="auto" w:sz="4" w:space="0"/>
              <w:right w:val="single" w:color="auto" w:sz="4" w:space="0"/>
            </w:tcBorders>
            <w:shd w:val="clear" w:color="000000" w:fill="FFFFFF"/>
            <w:vAlign w:val="center"/>
          </w:tcPr>
          <w:p w14:paraId="33ADD02E">
            <w:pPr>
              <w:widowControl/>
              <w:ind w:firstLine="0" w:firstLineChars="0"/>
              <w:jc w:val="left"/>
              <w:rPr>
                <w:rFonts w:hint="eastAsia" w:ascii="宋体" w:hAnsi="宋体" w:cs="宋体"/>
                <w:color w:val="000000"/>
                <w:kern w:val="0"/>
                <w:szCs w:val="21"/>
              </w:rPr>
            </w:pPr>
            <w:r>
              <w:rPr>
                <w:rFonts w:hint="eastAsia" w:ascii="宋体" w:hAnsi="宋体" w:cs="宋体"/>
                <w:color w:val="000000"/>
                <w:kern w:val="0"/>
                <w:szCs w:val="21"/>
              </w:rPr>
              <w:t>驻场人员月度考勤出勤率用 S 表示，S＜80%</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2E183D78">
            <w:pPr>
              <w:widowControl/>
              <w:ind w:firstLine="0" w:firstLineChars="0"/>
              <w:jc w:val="center"/>
              <w:rPr>
                <w:rFonts w:hint="eastAsia" w:ascii="宋体" w:hAnsi="宋体" w:cs="宋体"/>
                <w:color w:val="000000"/>
                <w:kern w:val="0"/>
                <w:szCs w:val="21"/>
              </w:rPr>
            </w:pPr>
            <w:r>
              <w:rPr>
                <w:rFonts w:hint="eastAsia" w:ascii="宋体" w:hAnsi="宋体" w:cs="宋体"/>
                <w:color w:val="000000"/>
                <w:kern w:val="0"/>
                <w:szCs w:val="21"/>
              </w:rPr>
              <w:t>3-0</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14:paraId="72FAE661">
            <w:pPr>
              <w:widowControl/>
              <w:ind w:firstLine="0" w:firstLineChars="0"/>
              <w:jc w:val="left"/>
              <w:rPr>
                <w:rFonts w:hint="eastAsia" w:ascii="宋体" w:hAnsi="宋体" w:cs="宋体"/>
                <w:color w:val="000000"/>
                <w:kern w:val="0"/>
                <w:szCs w:val="21"/>
              </w:rPr>
            </w:pPr>
          </w:p>
        </w:tc>
      </w:tr>
      <w:tr w14:paraId="5B1F0E96">
        <w:tblPrEx>
          <w:tblCellMar>
            <w:top w:w="0" w:type="dxa"/>
            <w:left w:w="28" w:type="dxa"/>
            <w:bottom w:w="0" w:type="dxa"/>
            <w:right w:w="28" w:type="dxa"/>
          </w:tblCellMar>
        </w:tblPrEx>
        <w:trPr>
          <w:trHeight w:val="536" w:hRule="atLeast"/>
        </w:trPr>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641DF4">
            <w:pPr>
              <w:widowControl w:val="0"/>
              <w:spacing w:line="240" w:lineRule="auto"/>
              <w:ind w:firstLine="0" w:firstLineChars="0"/>
              <w:jc w:val="center"/>
              <w:rPr>
                <w:rFonts w:hint="eastAsia" w:ascii="宋体" w:hAnsi="Times New Roman" w:eastAsia="宋体" w:cs="宋体"/>
                <w:b/>
                <w:bCs/>
                <w:kern w:val="2"/>
                <w:sz w:val="22"/>
                <w:szCs w:val="22"/>
                <w:highlight w:val="none"/>
                <w:lang w:val="en-US" w:eastAsia="zh-CN" w:bidi="ar-SA"/>
              </w:rPr>
            </w:pPr>
            <w:r>
              <w:rPr>
                <w:rFonts w:hint="eastAsia" w:ascii="宋体" w:cs="宋体"/>
                <w:b/>
                <w:bCs/>
                <w:sz w:val="22"/>
                <w:szCs w:val="22"/>
                <w:highlight w:val="none"/>
              </w:rPr>
              <w:t>五</w:t>
            </w:r>
          </w:p>
        </w:tc>
        <w:tc>
          <w:tcPr>
            <w:tcW w:w="1275" w:type="dxa"/>
            <w:tcBorders>
              <w:top w:val="single" w:color="auto" w:sz="4" w:space="0"/>
              <w:left w:val="nil"/>
              <w:bottom w:val="single" w:color="auto" w:sz="4" w:space="0"/>
              <w:right w:val="single" w:color="auto" w:sz="4" w:space="0"/>
            </w:tcBorders>
            <w:shd w:val="clear" w:color="auto" w:fill="auto"/>
            <w:vAlign w:val="center"/>
          </w:tcPr>
          <w:p w14:paraId="5F42A38F">
            <w:pPr>
              <w:widowControl w:val="0"/>
              <w:spacing w:line="240" w:lineRule="auto"/>
              <w:ind w:firstLine="0" w:firstLineChars="0"/>
              <w:jc w:val="left"/>
              <w:rPr>
                <w:rFonts w:hint="eastAsia" w:ascii="宋体" w:hAnsi="Times New Roman" w:eastAsia="宋体" w:cs="宋体"/>
                <w:b/>
                <w:bCs/>
                <w:kern w:val="2"/>
                <w:sz w:val="22"/>
                <w:szCs w:val="22"/>
                <w:highlight w:val="none"/>
                <w:lang w:val="en-US" w:eastAsia="zh-CN" w:bidi="ar-SA"/>
              </w:rPr>
            </w:pPr>
            <w:r>
              <w:rPr>
                <w:rFonts w:hint="eastAsia" w:ascii="宋体" w:cs="宋体"/>
                <w:b/>
                <w:bCs/>
                <w:sz w:val="22"/>
                <w:szCs w:val="22"/>
                <w:highlight w:val="none"/>
              </w:rPr>
              <w:t>直接判定为履约不合格行为</w:t>
            </w:r>
          </w:p>
        </w:tc>
        <w:tc>
          <w:tcPr>
            <w:tcW w:w="426" w:type="dxa"/>
            <w:tcBorders>
              <w:top w:val="single" w:color="auto" w:sz="4" w:space="0"/>
              <w:left w:val="nil"/>
              <w:bottom w:val="single" w:color="auto" w:sz="4" w:space="0"/>
              <w:right w:val="single" w:color="auto" w:sz="4" w:space="0"/>
            </w:tcBorders>
            <w:shd w:val="clear" w:color="auto" w:fill="auto"/>
            <w:vAlign w:val="center"/>
          </w:tcPr>
          <w:p w14:paraId="0D256D34">
            <w:pPr>
              <w:widowControl w:val="0"/>
              <w:spacing w:line="240" w:lineRule="auto"/>
              <w:ind w:firstLine="0" w:firstLineChars="0"/>
              <w:jc w:val="center"/>
              <w:rPr>
                <w:rFonts w:hint="eastAsia" w:ascii="宋体" w:hAnsi="Times New Roman" w:eastAsia="宋体" w:cs="宋体"/>
                <w:kern w:val="2"/>
                <w:sz w:val="22"/>
                <w:szCs w:val="22"/>
                <w:highlight w:val="none"/>
                <w:lang w:val="en-US" w:eastAsia="zh-CN" w:bidi="ar-SA"/>
              </w:rPr>
            </w:pPr>
          </w:p>
        </w:tc>
        <w:tc>
          <w:tcPr>
            <w:tcW w:w="5103" w:type="dxa"/>
            <w:gridSpan w:val="3"/>
            <w:tcBorders>
              <w:top w:val="single" w:color="auto" w:sz="4" w:space="0"/>
              <w:left w:val="nil"/>
              <w:bottom w:val="single" w:color="auto" w:sz="4" w:space="0"/>
              <w:right w:val="single" w:color="auto" w:sz="4" w:space="0"/>
            </w:tcBorders>
            <w:shd w:val="clear" w:color="auto" w:fill="auto"/>
            <w:vAlign w:val="center"/>
          </w:tcPr>
          <w:p w14:paraId="271DBA28">
            <w:pPr>
              <w:widowControl w:val="0"/>
              <w:spacing w:line="240" w:lineRule="auto"/>
              <w:ind w:firstLine="0" w:firstLineChars="0"/>
              <w:rPr>
                <w:rFonts w:hint="eastAsia" w:ascii="宋体" w:hAnsi="Times New Roman" w:eastAsia="宋体" w:cs="宋体"/>
                <w:kern w:val="2"/>
                <w:sz w:val="22"/>
                <w:szCs w:val="22"/>
                <w:highlight w:val="none"/>
                <w:lang w:val="en-US" w:eastAsia="zh-CN" w:bidi="ar-SA"/>
              </w:rPr>
            </w:pPr>
          </w:p>
        </w:tc>
        <w:tc>
          <w:tcPr>
            <w:tcW w:w="708" w:type="dxa"/>
            <w:tcBorders>
              <w:top w:val="single" w:color="auto" w:sz="4" w:space="0"/>
              <w:left w:val="nil"/>
              <w:bottom w:val="single" w:color="auto" w:sz="4" w:space="0"/>
              <w:right w:val="single" w:color="auto" w:sz="4" w:space="0"/>
            </w:tcBorders>
            <w:shd w:val="clear" w:color="auto" w:fill="auto"/>
            <w:vAlign w:val="top"/>
          </w:tcPr>
          <w:p w14:paraId="562076C2">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c>
          <w:tcPr>
            <w:tcW w:w="851" w:type="dxa"/>
            <w:tcBorders>
              <w:top w:val="single" w:color="auto" w:sz="4" w:space="0"/>
              <w:left w:val="nil"/>
              <w:bottom w:val="single" w:color="auto" w:sz="4" w:space="0"/>
              <w:right w:val="single" w:color="auto" w:sz="4" w:space="0"/>
            </w:tcBorders>
            <w:shd w:val="clear" w:color="auto" w:fill="auto"/>
            <w:vAlign w:val="top"/>
          </w:tcPr>
          <w:p w14:paraId="1D7A1740">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r>
      <w:tr w14:paraId="02F7D7CD">
        <w:tblPrEx>
          <w:tblCellMar>
            <w:top w:w="0" w:type="dxa"/>
            <w:left w:w="28" w:type="dxa"/>
            <w:bottom w:w="0" w:type="dxa"/>
            <w:right w:w="28" w:type="dxa"/>
          </w:tblCellMar>
        </w:tblPrEx>
        <w:trPr>
          <w:trHeight w:val="536" w:hRule="atLeast"/>
        </w:trPr>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2040F5B">
            <w:pPr>
              <w:widowControl w:val="0"/>
              <w:spacing w:line="240" w:lineRule="auto"/>
              <w:ind w:firstLine="0" w:firstLineChars="0"/>
              <w:jc w:val="center"/>
              <w:rPr>
                <w:rFonts w:hint="eastAsia" w:ascii="宋体" w:hAnsi="Times New Roman" w:eastAsia="宋体" w:cs="宋体"/>
                <w:kern w:val="2"/>
                <w:sz w:val="24"/>
                <w:szCs w:val="24"/>
                <w:highlight w:val="none"/>
                <w:lang w:val="en-US" w:eastAsia="zh-CN" w:bidi="ar-SA"/>
              </w:rPr>
            </w:pPr>
            <w:r>
              <w:rPr>
                <w:rFonts w:hint="eastAsia" w:ascii="宋体" w:cs="宋体"/>
                <w:sz w:val="24"/>
                <w:highlight w:val="none"/>
              </w:rPr>
              <w:t>1</w:t>
            </w:r>
          </w:p>
        </w:tc>
        <w:tc>
          <w:tcPr>
            <w:tcW w:w="1275" w:type="dxa"/>
            <w:tcBorders>
              <w:top w:val="single" w:color="auto" w:sz="4" w:space="0"/>
              <w:left w:val="nil"/>
              <w:bottom w:val="single" w:color="auto" w:sz="4" w:space="0"/>
              <w:right w:val="single" w:color="auto" w:sz="4" w:space="0"/>
            </w:tcBorders>
            <w:shd w:val="clear" w:color="auto" w:fill="auto"/>
            <w:vAlign w:val="center"/>
          </w:tcPr>
          <w:p w14:paraId="7A6D0534">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c>
          <w:tcPr>
            <w:tcW w:w="426" w:type="dxa"/>
            <w:tcBorders>
              <w:top w:val="single" w:color="auto" w:sz="4" w:space="0"/>
              <w:left w:val="nil"/>
              <w:bottom w:val="single" w:color="auto" w:sz="4" w:space="0"/>
              <w:right w:val="single" w:color="auto" w:sz="4" w:space="0"/>
            </w:tcBorders>
            <w:shd w:val="clear" w:color="auto" w:fill="auto"/>
            <w:vAlign w:val="center"/>
          </w:tcPr>
          <w:p w14:paraId="77AC1A88">
            <w:pPr>
              <w:widowControl w:val="0"/>
              <w:spacing w:line="240" w:lineRule="auto"/>
              <w:ind w:firstLine="0" w:firstLineChars="0"/>
              <w:jc w:val="center"/>
              <w:rPr>
                <w:rFonts w:hint="eastAsia" w:ascii="宋体" w:hAnsi="Times New Roman" w:eastAsia="宋体" w:cs="宋体"/>
                <w:kern w:val="2"/>
                <w:sz w:val="24"/>
                <w:szCs w:val="24"/>
                <w:highlight w:val="none"/>
                <w:lang w:val="en-US" w:eastAsia="zh-CN" w:bidi="ar-SA"/>
              </w:rPr>
            </w:pPr>
          </w:p>
        </w:tc>
        <w:tc>
          <w:tcPr>
            <w:tcW w:w="5103" w:type="dxa"/>
            <w:gridSpan w:val="3"/>
            <w:tcBorders>
              <w:top w:val="single" w:color="auto" w:sz="4" w:space="0"/>
              <w:left w:val="nil"/>
              <w:bottom w:val="single" w:color="auto" w:sz="4" w:space="0"/>
              <w:right w:val="single" w:color="auto" w:sz="4" w:space="0"/>
            </w:tcBorders>
            <w:shd w:val="clear" w:color="auto" w:fill="auto"/>
            <w:vAlign w:val="center"/>
          </w:tcPr>
          <w:p w14:paraId="64E51C5F">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r>
              <w:rPr>
                <w:rFonts w:hint="eastAsia" w:ascii="宋体" w:cs="宋体"/>
                <w:sz w:val="24"/>
                <w:highlight w:val="none"/>
              </w:rPr>
              <w:t>违法转包或者未经同意分包所承揽的合同全部工作；</w:t>
            </w:r>
          </w:p>
        </w:tc>
        <w:tc>
          <w:tcPr>
            <w:tcW w:w="708" w:type="dxa"/>
            <w:tcBorders>
              <w:top w:val="single" w:color="auto" w:sz="4" w:space="0"/>
              <w:left w:val="nil"/>
              <w:bottom w:val="single" w:color="auto" w:sz="4" w:space="0"/>
              <w:right w:val="single" w:color="auto" w:sz="4" w:space="0"/>
            </w:tcBorders>
            <w:shd w:val="clear" w:color="auto" w:fill="auto"/>
            <w:vAlign w:val="top"/>
          </w:tcPr>
          <w:p w14:paraId="3EF13A68">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c>
          <w:tcPr>
            <w:tcW w:w="851" w:type="dxa"/>
            <w:tcBorders>
              <w:top w:val="single" w:color="auto" w:sz="4" w:space="0"/>
              <w:left w:val="nil"/>
              <w:bottom w:val="single" w:color="auto" w:sz="4" w:space="0"/>
              <w:right w:val="single" w:color="auto" w:sz="4" w:space="0"/>
            </w:tcBorders>
            <w:shd w:val="clear" w:color="auto" w:fill="auto"/>
            <w:vAlign w:val="top"/>
          </w:tcPr>
          <w:p w14:paraId="15A5A2C8">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r>
      <w:tr w14:paraId="60F33DE0">
        <w:tblPrEx>
          <w:tblCellMar>
            <w:top w:w="0" w:type="dxa"/>
            <w:left w:w="28" w:type="dxa"/>
            <w:bottom w:w="0" w:type="dxa"/>
            <w:right w:w="28" w:type="dxa"/>
          </w:tblCellMar>
        </w:tblPrEx>
        <w:trPr>
          <w:trHeight w:val="536" w:hRule="atLeast"/>
        </w:trPr>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FC9416">
            <w:pPr>
              <w:widowControl w:val="0"/>
              <w:spacing w:line="240" w:lineRule="auto"/>
              <w:ind w:firstLine="0" w:firstLineChars="0"/>
              <w:jc w:val="center"/>
              <w:rPr>
                <w:rFonts w:hint="eastAsia" w:ascii="宋体" w:hAnsi="Times New Roman" w:eastAsia="宋体" w:cs="宋体"/>
                <w:kern w:val="2"/>
                <w:sz w:val="24"/>
                <w:szCs w:val="24"/>
                <w:highlight w:val="none"/>
                <w:lang w:val="en-US" w:eastAsia="zh-CN" w:bidi="ar-SA"/>
              </w:rPr>
            </w:pPr>
            <w:r>
              <w:rPr>
                <w:rFonts w:hint="eastAsia" w:ascii="宋体" w:cs="宋体"/>
                <w:sz w:val="24"/>
                <w:highlight w:val="none"/>
              </w:rPr>
              <w:t>2</w:t>
            </w:r>
          </w:p>
        </w:tc>
        <w:tc>
          <w:tcPr>
            <w:tcW w:w="1275" w:type="dxa"/>
            <w:tcBorders>
              <w:top w:val="single" w:color="auto" w:sz="4" w:space="0"/>
              <w:left w:val="nil"/>
              <w:bottom w:val="single" w:color="auto" w:sz="4" w:space="0"/>
              <w:right w:val="single" w:color="auto" w:sz="4" w:space="0"/>
            </w:tcBorders>
            <w:shd w:val="clear" w:color="auto" w:fill="auto"/>
            <w:vAlign w:val="center"/>
          </w:tcPr>
          <w:p w14:paraId="12535EB5">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c>
          <w:tcPr>
            <w:tcW w:w="426" w:type="dxa"/>
            <w:tcBorders>
              <w:top w:val="single" w:color="auto" w:sz="4" w:space="0"/>
              <w:left w:val="nil"/>
              <w:bottom w:val="single" w:color="auto" w:sz="4" w:space="0"/>
              <w:right w:val="single" w:color="auto" w:sz="4" w:space="0"/>
            </w:tcBorders>
            <w:shd w:val="clear" w:color="auto" w:fill="auto"/>
            <w:vAlign w:val="center"/>
          </w:tcPr>
          <w:p w14:paraId="4BD5200B">
            <w:pPr>
              <w:widowControl w:val="0"/>
              <w:spacing w:line="240" w:lineRule="auto"/>
              <w:ind w:firstLine="0" w:firstLineChars="0"/>
              <w:jc w:val="center"/>
              <w:rPr>
                <w:rFonts w:hint="eastAsia" w:ascii="宋体" w:hAnsi="Times New Roman" w:eastAsia="宋体" w:cs="宋体"/>
                <w:kern w:val="2"/>
                <w:sz w:val="24"/>
                <w:szCs w:val="24"/>
                <w:highlight w:val="none"/>
                <w:lang w:val="en-US" w:eastAsia="zh-CN" w:bidi="ar-SA"/>
              </w:rPr>
            </w:pPr>
          </w:p>
        </w:tc>
        <w:tc>
          <w:tcPr>
            <w:tcW w:w="5103" w:type="dxa"/>
            <w:gridSpan w:val="3"/>
            <w:tcBorders>
              <w:top w:val="single" w:color="auto" w:sz="4" w:space="0"/>
              <w:left w:val="nil"/>
              <w:bottom w:val="single" w:color="auto" w:sz="4" w:space="0"/>
              <w:right w:val="single" w:color="auto" w:sz="4" w:space="0"/>
            </w:tcBorders>
            <w:shd w:val="clear" w:color="auto" w:fill="auto"/>
            <w:vAlign w:val="center"/>
          </w:tcPr>
          <w:p w14:paraId="57F30CCD">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r>
              <w:rPr>
                <w:rFonts w:hint="eastAsia" w:ascii="宋体" w:cs="宋体"/>
                <w:sz w:val="24"/>
                <w:highlight w:val="none"/>
              </w:rPr>
              <w:t>达不到本合同成果要求，不能配合赛事管理工作。</w:t>
            </w:r>
          </w:p>
        </w:tc>
        <w:tc>
          <w:tcPr>
            <w:tcW w:w="708" w:type="dxa"/>
            <w:tcBorders>
              <w:top w:val="single" w:color="auto" w:sz="4" w:space="0"/>
              <w:left w:val="nil"/>
              <w:bottom w:val="single" w:color="auto" w:sz="4" w:space="0"/>
              <w:right w:val="single" w:color="auto" w:sz="4" w:space="0"/>
            </w:tcBorders>
            <w:shd w:val="clear" w:color="auto" w:fill="auto"/>
            <w:vAlign w:val="top"/>
          </w:tcPr>
          <w:p w14:paraId="4CB32EE5">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c>
          <w:tcPr>
            <w:tcW w:w="851" w:type="dxa"/>
            <w:tcBorders>
              <w:top w:val="single" w:color="auto" w:sz="4" w:space="0"/>
              <w:left w:val="nil"/>
              <w:bottom w:val="single" w:color="auto" w:sz="4" w:space="0"/>
              <w:right w:val="single" w:color="auto" w:sz="4" w:space="0"/>
            </w:tcBorders>
            <w:shd w:val="clear" w:color="auto" w:fill="auto"/>
            <w:vAlign w:val="top"/>
          </w:tcPr>
          <w:p w14:paraId="3EE29EF6">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r>
      <w:tr w14:paraId="4DDF41C2">
        <w:tblPrEx>
          <w:tblCellMar>
            <w:top w:w="0" w:type="dxa"/>
            <w:left w:w="28" w:type="dxa"/>
            <w:bottom w:w="0" w:type="dxa"/>
            <w:right w:w="28" w:type="dxa"/>
          </w:tblCellMar>
        </w:tblPrEx>
        <w:trPr>
          <w:trHeight w:val="536" w:hRule="atLeast"/>
        </w:trPr>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27B022">
            <w:pPr>
              <w:widowControl w:val="0"/>
              <w:spacing w:line="240" w:lineRule="auto"/>
              <w:ind w:firstLine="0" w:firstLineChars="0"/>
              <w:jc w:val="center"/>
              <w:rPr>
                <w:rFonts w:hint="eastAsia" w:ascii="宋体" w:hAnsi="Times New Roman" w:eastAsia="宋体" w:cs="宋体"/>
                <w:kern w:val="2"/>
                <w:sz w:val="24"/>
                <w:szCs w:val="24"/>
                <w:highlight w:val="none"/>
                <w:lang w:val="en-US" w:eastAsia="zh-CN" w:bidi="ar-SA"/>
              </w:rPr>
            </w:pPr>
            <w:r>
              <w:rPr>
                <w:rFonts w:hint="eastAsia" w:ascii="宋体" w:cs="宋体"/>
                <w:sz w:val="24"/>
                <w:highlight w:val="none"/>
              </w:rPr>
              <w:t>3</w:t>
            </w:r>
          </w:p>
        </w:tc>
        <w:tc>
          <w:tcPr>
            <w:tcW w:w="1275" w:type="dxa"/>
            <w:tcBorders>
              <w:top w:val="single" w:color="auto" w:sz="4" w:space="0"/>
              <w:left w:val="nil"/>
              <w:bottom w:val="single" w:color="auto" w:sz="4" w:space="0"/>
              <w:right w:val="single" w:color="auto" w:sz="4" w:space="0"/>
            </w:tcBorders>
            <w:shd w:val="clear" w:color="auto" w:fill="auto"/>
            <w:vAlign w:val="center"/>
          </w:tcPr>
          <w:p w14:paraId="49370B25">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c>
          <w:tcPr>
            <w:tcW w:w="426" w:type="dxa"/>
            <w:tcBorders>
              <w:top w:val="single" w:color="auto" w:sz="4" w:space="0"/>
              <w:left w:val="nil"/>
              <w:bottom w:val="single" w:color="auto" w:sz="4" w:space="0"/>
              <w:right w:val="single" w:color="auto" w:sz="4" w:space="0"/>
            </w:tcBorders>
            <w:shd w:val="clear" w:color="auto" w:fill="auto"/>
            <w:vAlign w:val="center"/>
          </w:tcPr>
          <w:p w14:paraId="7C849813">
            <w:pPr>
              <w:widowControl w:val="0"/>
              <w:spacing w:line="240" w:lineRule="auto"/>
              <w:ind w:firstLine="0" w:firstLineChars="0"/>
              <w:jc w:val="center"/>
              <w:rPr>
                <w:rFonts w:hint="eastAsia" w:ascii="宋体" w:hAnsi="Times New Roman" w:eastAsia="宋体" w:cs="宋体"/>
                <w:kern w:val="2"/>
                <w:sz w:val="24"/>
                <w:szCs w:val="24"/>
                <w:highlight w:val="none"/>
                <w:lang w:val="en-US" w:eastAsia="zh-CN" w:bidi="ar-SA"/>
              </w:rPr>
            </w:pPr>
          </w:p>
        </w:tc>
        <w:tc>
          <w:tcPr>
            <w:tcW w:w="5103" w:type="dxa"/>
            <w:gridSpan w:val="3"/>
            <w:tcBorders>
              <w:top w:val="single" w:color="auto" w:sz="4" w:space="0"/>
              <w:left w:val="nil"/>
              <w:bottom w:val="single" w:color="auto" w:sz="4" w:space="0"/>
              <w:right w:val="single" w:color="auto" w:sz="4" w:space="0"/>
            </w:tcBorders>
            <w:shd w:val="clear" w:color="auto" w:fill="auto"/>
            <w:vAlign w:val="center"/>
          </w:tcPr>
          <w:p w14:paraId="6B51B8DC">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r>
              <w:rPr>
                <w:rFonts w:hint="eastAsia" w:ascii="宋体" w:cs="宋体"/>
                <w:sz w:val="24"/>
                <w:highlight w:val="none"/>
              </w:rPr>
              <w:t>编造或篡改相关信息及数据；</w:t>
            </w:r>
          </w:p>
        </w:tc>
        <w:tc>
          <w:tcPr>
            <w:tcW w:w="708" w:type="dxa"/>
            <w:tcBorders>
              <w:top w:val="single" w:color="auto" w:sz="4" w:space="0"/>
              <w:left w:val="nil"/>
              <w:bottom w:val="single" w:color="auto" w:sz="4" w:space="0"/>
              <w:right w:val="single" w:color="auto" w:sz="4" w:space="0"/>
            </w:tcBorders>
            <w:shd w:val="clear" w:color="auto" w:fill="auto"/>
            <w:vAlign w:val="top"/>
          </w:tcPr>
          <w:p w14:paraId="47B6F017">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c>
          <w:tcPr>
            <w:tcW w:w="851" w:type="dxa"/>
            <w:tcBorders>
              <w:top w:val="single" w:color="auto" w:sz="4" w:space="0"/>
              <w:left w:val="nil"/>
              <w:bottom w:val="single" w:color="auto" w:sz="4" w:space="0"/>
              <w:right w:val="single" w:color="auto" w:sz="4" w:space="0"/>
            </w:tcBorders>
            <w:shd w:val="clear" w:color="auto" w:fill="auto"/>
            <w:vAlign w:val="top"/>
          </w:tcPr>
          <w:p w14:paraId="604F8372">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r>
      <w:tr w14:paraId="409245F1">
        <w:tblPrEx>
          <w:tblCellMar>
            <w:top w:w="0" w:type="dxa"/>
            <w:left w:w="28" w:type="dxa"/>
            <w:bottom w:w="0" w:type="dxa"/>
            <w:right w:w="28" w:type="dxa"/>
          </w:tblCellMar>
        </w:tblPrEx>
        <w:trPr>
          <w:trHeight w:val="536" w:hRule="atLeast"/>
        </w:trPr>
        <w:tc>
          <w:tcPr>
            <w:tcW w:w="99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AA82672">
            <w:pPr>
              <w:widowControl w:val="0"/>
              <w:spacing w:line="240" w:lineRule="auto"/>
              <w:ind w:firstLine="0" w:firstLineChars="0"/>
              <w:jc w:val="center"/>
              <w:rPr>
                <w:rFonts w:hint="eastAsia" w:ascii="宋体" w:hAnsi="Times New Roman" w:eastAsia="宋体" w:cs="宋体"/>
                <w:kern w:val="2"/>
                <w:sz w:val="24"/>
                <w:szCs w:val="24"/>
                <w:highlight w:val="none"/>
                <w:lang w:val="en-US" w:eastAsia="zh-CN" w:bidi="ar-SA"/>
              </w:rPr>
            </w:pPr>
            <w:r>
              <w:rPr>
                <w:rFonts w:hint="eastAsia" w:ascii="宋体" w:cs="宋体"/>
                <w:sz w:val="24"/>
                <w:highlight w:val="none"/>
              </w:rPr>
              <w:t>4</w:t>
            </w:r>
          </w:p>
        </w:tc>
        <w:tc>
          <w:tcPr>
            <w:tcW w:w="1275" w:type="dxa"/>
            <w:tcBorders>
              <w:top w:val="single" w:color="auto" w:sz="4" w:space="0"/>
              <w:left w:val="nil"/>
              <w:bottom w:val="single" w:color="auto" w:sz="4" w:space="0"/>
              <w:right w:val="single" w:color="auto" w:sz="4" w:space="0"/>
            </w:tcBorders>
            <w:shd w:val="clear" w:color="auto" w:fill="auto"/>
            <w:vAlign w:val="center"/>
          </w:tcPr>
          <w:p w14:paraId="004B992D">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c>
          <w:tcPr>
            <w:tcW w:w="426" w:type="dxa"/>
            <w:tcBorders>
              <w:top w:val="single" w:color="auto" w:sz="4" w:space="0"/>
              <w:left w:val="nil"/>
              <w:bottom w:val="single" w:color="auto" w:sz="4" w:space="0"/>
              <w:right w:val="single" w:color="auto" w:sz="4" w:space="0"/>
            </w:tcBorders>
            <w:shd w:val="clear" w:color="auto" w:fill="auto"/>
            <w:vAlign w:val="center"/>
          </w:tcPr>
          <w:p w14:paraId="735B81CF">
            <w:pPr>
              <w:widowControl w:val="0"/>
              <w:spacing w:line="240" w:lineRule="auto"/>
              <w:ind w:firstLine="0" w:firstLineChars="0"/>
              <w:jc w:val="center"/>
              <w:rPr>
                <w:rFonts w:hint="eastAsia" w:ascii="宋体" w:hAnsi="Times New Roman" w:eastAsia="宋体" w:cs="宋体"/>
                <w:kern w:val="2"/>
                <w:sz w:val="24"/>
                <w:szCs w:val="24"/>
                <w:highlight w:val="none"/>
                <w:lang w:val="en-US" w:eastAsia="zh-CN" w:bidi="ar-SA"/>
              </w:rPr>
            </w:pPr>
          </w:p>
        </w:tc>
        <w:tc>
          <w:tcPr>
            <w:tcW w:w="5103" w:type="dxa"/>
            <w:gridSpan w:val="3"/>
            <w:tcBorders>
              <w:top w:val="single" w:color="auto" w:sz="4" w:space="0"/>
              <w:left w:val="nil"/>
              <w:bottom w:val="single" w:color="auto" w:sz="4" w:space="0"/>
              <w:right w:val="single" w:color="auto" w:sz="4" w:space="0"/>
            </w:tcBorders>
            <w:shd w:val="clear" w:color="auto" w:fill="auto"/>
            <w:vAlign w:val="center"/>
          </w:tcPr>
          <w:p w14:paraId="577740BB">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r>
              <w:rPr>
                <w:rFonts w:hint="eastAsia" w:ascii="宋体" w:cs="宋体"/>
                <w:sz w:val="24"/>
                <w:highlight w:val="none"/>
              </w:rPr>
              <w:t>因工作失误造成重大损失；</w:t>
            </w:r>
          </w:p>
        </w:tc>
        <w:tc>
          <w:tcPr>
            <w:tcW w:w="708" w:type="dxa"/>
            <w:tcBorders>
              <w:top w:val="single" w:color="auto" w:sz="4" w:space="0"/>
              <w:left w:val="nil"/>
              <w:bottom w:val="single" w:color="auto" w:sz="4" w:space="0"/>
              <w:right w:val="single" w:color="auto" w:sz="4" w:space="0"/>
            </w:tcBorders>
            <w:shd w:val="clear" w:color="auto" w:fill="auto"/>
            <w:vAlign w:val="top"/>
          </w:tcPr>
          <w:p w14:paraId="00A1E174">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c>
          <w:tcPr>
            <w:tcW w:w="851" w:type="dxa"/>
            <w:tcBorders>
              <w:top w:val="single" w:color="auto" w:sz="4" w:space="0"/>
              <w:left w:val="nil"/>
              <w:bottom w:val="single" w:color="auto" w:sz="4" w:space="0"/>
              <w:right w:val="single" w:color="auto" w:sz="4" w:space="0"/>
            </w:tcBorders>
            <w:shd w:val="clear" w:color="auto" w:fill="auto"/>
            <w:vAlign w:val="top"/>
          </w:tcPr>
          <w:p w14:paraId="5DB1ECF3">
            <w:pPr>
              <w:widowControl w:val="0"/>
              <w:spacing w:line="240" w:lineRule="auto"/>
              <w:ind w:firstLine="0" w:firstLineChars="0"/>
              <w:rPr>
                <w:rFonts w:hint="eastAsia" w:ascii="宋体" w:hAnsi="Times New Roman" w:eastAsia="宋体" w:cs="宋体"/>
                <w:kern w:val="2"/>
                <w:sz w:val="24"/>
                <w:szCs w:val="24"/>
                <w:highlight w:val="none"/>
                <w:lang w:val="en-US" w:eastAsia="zh-CN" w:bidi="ar-SA"/>
              </w:rPr>
            </w:pPr>
          </w:p>
        </w:tc>
      </w:tr>
      <w:tr w14:paraId="5D6B5842">
        <w:tblPrEx>
          <w:tblCellMar>
            <w:top w:w="0" w:type="dxa"/>
            <w:left w:w="28" w:type="dxa"/>
            <w:bottom w:w="0" w:type="dxa"/>
            <w:right w:w="28" w:type="dxa"/>
          </w:tblCellMar>
        </w:tblPrEx>
        <w:trPr>
          <w:trHeight w:val="536" w:hRule="atLeast"/>
        </w:trPr>
        <w:tc>
          <w:tcPr>
            <w:tcW w:w="7797" w:type="dxa"/>
            <w:gridSpan w:val="7"/>
            <w:tcBorders>
              <w:top w:val="single" w:color="auto" w:sz="4" w:space="0"/>
              <w:left w:val="single" w:color="auto" w:sz="4" w:space="0"/>
              <w:bottom w:val="single" w:color="auto" w:sz="4" w:space="0"/>
              <w:right w:val="single" w:color="auto" w:sz="4" w:space="0"/>
            </w:tcBorders>
            <w:shd w:val="clear" w:color="000000" w:fill="FFFFFF"/>
            <w:vAlign w:val="center"/>
          </w:tcPr>
          <w:p w14:paraId="7E92AEA7">
            <w:pPr>
              <w:widowControl w:val="0"/>
              <w:spacing w:line="240" w:lineRule="auto"/>
              <w:ind w:firstLine="0" w:firstLineChars="0"/>
              <w:rPr>
                <w:rFonts w:hint="eastAsia" w:ascii="宋体" w:eastAsia="宋体" w:cs="宋体"/>
                <w:sz w:val="24"/>
                <w:highlight w:val="none"/>
              </w:rPr>
            </w:pPr>
            <w:r>
              <w:rPr>
                <w:rFonts w:hint="eastAsia" w:ascii="宋体" w:eastAsia="宋体" w:cs="宋体"/>
                <w:sz w:val="24"/>
                <w:highlight w:val="none"/>
              </w:rPr>
              <w:t>实得分数：</w:t>
            </w:r>
          </w:p>
        </w:tc>
        <w:tc>
          <w:tcPr>
            <w:tcW w:w="708" w:type="dxa"/>
            <w:tcBorders>
              <w:top w:val="single" w:color="auto" w:sz="4" w:space="0"/>
              <w:left w:val="nil"/>
              <w:bottom w:val="single" w:color="auto" w:sz="4" w:space="0"/>
              <w:right w:val="single" w:color="auto" w:sz="4" w:space="0"/>
            </w:tcBorders>
            <w:shd w:val="clear" w:color="000000" w:fill="FFFFFF"/>
            <w:vAlign w:val="center"/>
          </w:tcPr>
          <w:p w14:paraId="51D9BDAB">
            <w:pPr>
              <w:widowControl w:val="0"/>
              <w:spacing w:line="240" w:lineRule="auto"/>
              <w:ind w:firstLine="0" w:firstLineChars="0"/>
              <w:rPr>
                <w:rFonts w:hint="eastAsia" w:ascii="宋体" w:eastAsia="宋体" w:cs="宋体"/>
                <w:sz w:val="24"/>
                <w:highlight w:val="none"/>
              </w:rPr>
            </w:pPr>
          </w:p>
        </w:tc>
        <w:tc>
          <w:tcPr>
            <w:tcW w:w="851" w:type="dxa"/>
            <w:tcBorders>
              <w:top w:val="single" w:color="auto" w:sz="4" w:space="0"/>
              <w:left w:val="nil"/>
              <w:bottom w:val="single" w:color="auto" w:sz="4" w:space="0"/>
              <w:right w:val="single" w:color="auto" w:sz="4" w:space="0"/>
            </w:tcBorders>
            <w:shd w:val="clear" w:color="000000" w:fill="FFFFFF"/>
            <w:vAlign w:val="center"/>
          </w:tcPr>
          <w:p w14:paraId="6A81ED0F">
            <w:pPr>
              <w:widowControl w:val="0"/>
              <w:spacing w:line="240" w:lineRule="auto"/>
              <w:ind w:firstLine="0" w:firstLineChars="0"/>
              <w:rPr>
                <w:rFonts w:hint="eastAsia" w:ascii="宋体" w:eastAsia="宋体" w:cs="宋体"/>
                <w:sz w:val="24"/>
                <w:highlight w:val="none"/>
              </w:rPr>
            </w:pPr>
          </w:p>
        </w:tc>
      </w:tr>
      <w:tr w14:paraId="5B00801F">
        <w:tblPrEx>
          <w:tblCellMar>
            <w:top w:w="0" w:type="dxa"/>
            <w:left w:w="28" w:type="dxa"/>
            <w:bottom w:w="0" w:type="dxa"/>
            <w:right w:w="28" w:type="dxa"/>
          </w:tblCellMar>
        </w:tblPrEx>
        <w:trPr>
          <w:trHeight w:val="536" w:hRule="atLeast"/>
        </w:trPr>
        <w:tc>
          <w:tcPr>
            <w:tcW w:w="9356" w:type="dxa"/>
            <w:gridSpan w:val="9"/>
            <w:tcBorders>
              <w:top w:val="single" w:color="auto" w:sz="4" w:space="0"/>
              <w:left w:val="single" w:color="auto" w:sz="4" w:space="0"/>
              <w:bottom w:val="single" w:color="auto" w:sz="4" w:space="0"/>
              <w:right w:val="single" w:color="auto" w:sz="4" w:space="0"/>
            </w:tcBorders>
            <w:shd w:val="clear" w:color="000000" w:fill="FFFFFF"/>
            <w:vAlign w:val="center"/>
          </w:tcPr>
          <w:p w14:paraId="31D989D8">
            <w:pPr>
              <w:widowControl w:val="0"/>
              <w:spacing w:line="240" w:lineRule="auto"/>
              <w:ind w:firstLine="0" w:firstLineChars="0"/>
              <w:rPr>
                <w:rFonts w:hint="eastAsia" w:ascii="宋体" w:eastAsia="宋体" w:cs="宋体"/>
                <w:sz w:val="24"/>
                <w:highlight w:val="none"/>
              </w:rPr>
            </w:pPr>
            <w:r>
              <w:rPr>
                <w:rFonts w:hint="eastAsia" w:ascii="宋体" w:eastAsia="宋体" w:cs="宋体"/>
                <w:sz w:val="24"/>
                <w:highlight w:val="none"/>
              </w:rPr>
              <w:t>综合评定等级：综合考评分为优秀（评分≥90分）、良好（80≤评分＜90）、</w:t>
            </w:r>
            <w:r>
              <w:rPr>
                <w:rFonts w:hint="eastAsia" w:ascii="宋体" w:eastAsia="宋体" w:cs="宋体"/>
                <w:sz w:val="24"/>
                <w:highlight w:val="none"/>
                <w:lang w:eastAsia="zh-CN"/>
              </w:rPr>
              <w:t>一般</w:t>
            </w:r>
            <w:r>
              <w:rPr>
                <w:rFonts w:hint="eastAsia" w:ascii="宋体" w:eastAsia="宋体" w:cs="宋体"/>
                <w:sz w:val="24"/>
                <w:highlight w:val="none"/>
              </w:rPr>
              <w:t>（70≤评分＜80）、</w:t>
            </w:r>
            <w:r>
              <w:rPr>
                <w:rFonts w:hint="eastAsia" w:ascii="宋体" w:eastAsia="宋体" w:cs="宋体"/>
                <w:sz w:val="24"/>
                <w:highlight w:val="none"/>
                <w:lang w:eastAsia="zh-CN"/>
              </w:rPr>
              <w:t>差</w:t>
            </w:r>
            <w:r>
              <w:rPr>
                <w:rFonts w:hint="eastAsia" w:ascii="宋体" w:eastAsia="宋体" w:cs="宋体"/>
                <w:sz w:val="24"/>
                <w:highlight w:val="none"/>
              </w:rPr>
              <w:t>（</w:t>
            </w:r>
            <w:r>
              <w:rPr>
                <w:rFonts w:hint="eastAsia" w:ascii="宋体" w:eastAsia="宋体" w:cs="宋体"/>
                <w:sz w:val="24"/>
                <w:highlight w:val="none"/>
                <w:lang w:val="en-US" w:eastAsia="zh-CN"/>
              </w:rPr>
              <w:t>评分</w:t>
            </w:r>
            <w:r>
              <w:rPr>
                <w:rFonts w:hint="eastAsia" w:ascii="宋体" w:eastAsia="宋体" w:cs="宋体"/>
                <w:sz w:val="24"/>
                <w:highlight w:val="none"/>
              </w:rPr>
              <w:t>＜</w:t>
            </w:r>
            <w:r>
              <w:rPr>
                <w:rFonts w:hint="eastAsia" w:ascii="宋体" w:eastAsia="宋体" w:cs="宋体"/>
                <w:sz w:val="24"/>
                <w:highlight w:val="none"/>
                <w:lang w:val="en-US" w:eastAsia="zh-CN"/>
              </w:rPr>
              <w:t>70</w:t>
            </w:r>
            <w:r>
              <w:rPr>
                <w:rFonts w:hint="eastAsia" w:ascii="宋体" w:eastAsia="宋体" w:cs="宋体"/>
                <w:sz w:val="24"/>
                <w:highlight w:val="none"/>
              </w:rPr>
              <w:t>）</w:t>
            </w:r>
            <w:r>
              <w:rPr>
                <w:rFonts w:hint="eastAsia" w:ascii="宋体" w:eastAsia="宋体" w:cs="宋体"/>
                <w:sz w:val="24"/>
                <w:highlight w:val="none"/>
                <w:lang w:eastAsia="zh-CN"/>
              </w:rPr>
              <w:t>四</w:t>
            </w:r>
            <w:r>
              <w:rPr>
                <w:rFonts w:hint="eastAsia" w:ascii="宋体" w:eastAsia="宋体" w:cs="宋体"/>
                <w:sz w:val="24"/>
                <w:highlight w:val="none"/>
              </w:rPr>
              <w:t>个等级。</w:t>
            </w:r>
          </w:p>
        </w:tc>
      </w:tr>
      <w:tr w14:paraId="0FF2D1AC">
        <w:tblPrEx>
          <w:tblCellMar>
            <w:top w:w="0" w:type="dxa"/>
            <w:left w:w="28" w:type="dxa"/>
            <w:bottom w:w="0" w:type="dxa"/>
            <w:right w:w="28" w:type="dxa"/>
          </w:tblCellMar>
        </w:tblPrEx>
        <w:trPr>
          <w:trHeight w:val="536" w:hRule="atLeast"/>
        </w:trPr>
        <w:tc>
          <w:tcPr>
            <w:tcW w:w="9356" w:type="dxa"/>
            <w:gridSpan w:val="9"/>
            <w:tcBorders>
              <w:top w:val="single" w:color="auto" w:sz="4" w:space="0"/>
              <w:left w:val="single" w:color="auto" w:sz="4" w:space="0"/>
              <w:bottom w:val="single" w:color="auto" w:sz="4" w:space="0"/>
              <w:right w:val="single" w:color="auto" w:sz="4" w:space="0"/>
            </w:tcBorders>
            <w:shd w:val="clear" w:color="auto" w:fill="auto"/>
            <w:vAlign w:val="top"/>
          </w:tcPr>
          <w:p w14:paraId="4F2E6F65">
            <w:pPr>
              <w:widowControl w:val="0"/>
              <w:spacing w:line="240" w:lineRule="auto"/>
              <w:ind w:firstLine="8" w:firstLineChars="0"/>
              <w:rPr>
                <w:rFonts w:ascii="宋体" w:cs="宋体"/>
                <w:sz w:val="24"/>
                <w:highlight w:val="none"/>
              </w:rPr>
            </w:pPr>
            <w:r>
              <w:rPr>
                <w:rFonts w:hint="eastAsia" w:ascii="宋体" w:cs="宋体"/>
                <w:sz w:val="24"/>
                <w:highlight w:val="none"/>
              </w:rPr>
              <w:t>考核者简要说明：</w:t>
            </w:r>
          </w:p>
          <w:p w14:paraId="7A0AFA88">
            <w:pPr>
              <w:widowControl w:val="0"/>
              <w:spacing w:line="240" w:lineRule="auto"/>
              <w:ind w:firstLine="8" w:firstLineChars="0"/>
              <w:rPr>
                <w:rFonts w:hint="eastAsia" w:ascii="宋体" w:hAnsi="Times New Roman" w:eastAsia="宋体" w:cs="宋体"/>
                <w:kern w:val="2"/>
                <w:sz w:val="24"/>
                <w:szCs w:val="24"/>
                <w:highlight w:val="none"/>
                <w:lang w:val="en-US" w:eastAsia="zh-CN" w:bidi="ar-SA"/>
              </w:rPr>
            </w:pPr>
            <w:r>
              <w:rPr>
                <w:rFonts w:hint="eastAsia" w:ascii="宋体" w:cs="宋体"/>
                <w:sz w:val="24"/>
                <w:highlight w:val="none"/>
              </w:rPr>
              <w:t>考核者签名：</w:t>
            </w:r>
          </w:p>
        </w:tc>
      </w:tr>
      <w:tr w14:paraId="33DCB962">
        <w:tblPrEx>
          <w:tblCellMar>
            <w:top w:w="0" w:type="dxa"/>
            <w:left w:w="28" w:type="dxa"/>
            <w:bottom w:w="0" w:type="dxa"/>
            <w:right w:w="28" w:type="dxa"/>
          </w:tblCellMar>
        </w:tblPrEx>
        <w:trPr>
          <w:trHeight w:val="536" w:hRule="atLeast"/>
        </w:trPr>
        <w:tc>
          <w:tcPr>
            <w:tcW w:w="9356" w:type="dxa"/>
            <w:gridSpan w:val="9"/>
            <w:tcBorders>
              <w:top w:val="single" w:color="auto" w:sz="4" w:space="0"/>
              <w:left w:val="single" w:color="auto" w:sz="4" w:space="0"/>
              <w:bottom w:val="single" w:color="auto" w:sz="4" w:space="0"/>
              <w:right w:val="single" w:color="auto" w:sz="4" w:space="0"/>
            </w:tcBorders>
            <w:shd w:val="clear" w:color="auto" w:fill="auto"/>
            <w:vAlign w:val="top"/>
          </w:tcPr>
          <w:p w14:paraId="7AC14F37">
            <w:pPr>
              <w:widowControl w:val="0"/>
              <w:spacing w:line="240" w:lineRule="auto"/>
              <w:ind w:firstLine="8" w:firstLineChars="0"/>
              <w:rPr>
                <w:rFonts w:ascii="宋体" w:cs="宋体"/>
                <w:sz w:val="24"/>
                <w:highlight w:val="none"/>
              </w:rPr>
            </w:pPr>
            <w:r>
              <w:rPr>
                <w:rFonts w:hint="eastAsia" w:ascii="宋体" w:cs="宋体"/>
                <w:sz w:val="24"/>
                <w:highlight w:val="none"/>
              </w:rPr>
              <w:t>被考核者意见：</w:t>
            </w:r>
          </w:p>
          <w:p w14:paraId="1CF4384F">
            <w:pPr>
              <w:widowControl w:val="0"/>
              <w:spacing w:line="240" w:lineRule="auto"/>
              <w:ind w:firstLine="8" w:firstLineChars="0"/>
              <w:rPr>
                <w:rFonts w:hint="eastAsia" w:ascii="宋体" w:hAnsi="Times New Roman" w:eastAsia="宋体" w:cs="宋体"/>
                <w:kern w:val="2"/>
                <w:sz w:val="24"/>
                <w:szCs w:val="24"/>
                <w:highlight w:val="none"/>
                <w:lang w:val="en-US" w:eastAsia="zh-CN" w:bidi="ar-SA"/>
              </w:rPr>
            </w:pPr>
            <w:r>
              <w:rPr>
                <w:rFonts w:hint="eastAsia" w:ascii="宋体" w:cs="宋体"/>
                <w:sz w:val="24"/>
                <w:highlight w:val="none"/>
              </w:rPr>
              <w:t>被考核者负责人签名：</w:t>
            </w:r>
          </w:p>
        </w:tc>
      </w:tr>
    </w:tbl>
    <w:p w14:paraId="3F29CA4E">
      <w:pPr>
        <w:widowControl w:val="0"/>
        <w:ind w:firstLine="0" w:firstLineChars="0"/>
        <w:jc w:val="left"/>
        <w:rPr>
          <w:rFonts w:eastAsia="楷体_GB2312"/>
          <w:color w:val="auto"/>
          <w:sz w:val="24"/>
        </w:rPr>
      </w:pPr>
      <w:r>
        <w:rPr>
          <w:rFonts w:eastAsia="楷体_GB2312"/>
          <w:color w:val="auto"/>
          <w:sz w:val="24"/>
        </w:rPr>
        <w:br w:type="page"/>
      </w:r>
    </w:p>
    <w:p w14:paraId="63192C92">
      <w:pPr>
        <w:pStyle w:val="48"/>
        <w:spacing w:line="360" w:lineRule="auto"/>
        <w:jc w:val="left"/>
        <w:rPr>
          <w:rFonts w:hint="eastAsia" w:ascii="宋体" w:hAnsi="宋体" w:eastAsia="宋体"/>
          <w:b/>
          <w:bCs/>
          <w:color w:val="auto"/>
          <w:kern w:val="2"/>
          <w:sz w:val="28"/>
          <w:szCs w:val="28"/>
          <w:lang w:val="en-US" w:eastAsia="zh-CN"/>
        </w:rPr>
      </w:pPr>
      <w:r>
        <w:rPr>
          <w:rFonts w:hint="eastAsia" w:ascii="宋体" w:hAnsi="宋体" w:eastAsia="宋体"/>
          <w:b/>
          <w:bCs/>
          <w:color w:val="auto"/>
          <w:kern w:val="2"/>
          <w:sz w:val="28"/>
          <w:szCs w:val="28"/>
          <w:lang w:val="en-US" w:eastAsia="zh-CN"/>
        </w:rPr>
        <w:t>附件三：甲方所属企业名录</w:t>
      </w:r>
    </w:p>
    <w:p w14:paraId="588DACA2">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仿宋" w:hAnsi="仿宋" w:eastAsia="仿宋" w:cs="Times New Roman"/>
          <w:b/>
          <w:bCs w:val="0"/>
          <w:sz w:val="28"/>
          <w:szCs w:val="28"/>
          <w:highlight w:val="none"/>
          <w:lang w:val="en-US" w:eastAsia="zh-CN"/>
        </w:rPr>
      </w:pPr>
      <w:r>
        <w:rPr>
          <w:rFonts w:hint="eastAsia" w:ascii="仿宋" w:hAnsi="仿宋" w:eastAsia="仿宋" w:cs="Times New Roman"/>
          <w:b/>
          <w:bCs w:val="0"/>
          <w:sz w:val="28"/>
          <w:szCs w:val="28"/>
          <w:highlight w:val="none"/>
          <w:lang w:val="en-US" w:eastAsia="zh-CN"/>
        </w:rPr>
        <w:t>甲方所属企业名录</w:t>
      </w:r>
    </w:p>
    <w:tbl>
      <w:tblPr>
        <w:tblStyle w:val="53"/>
        <w:tblpPr w:leftFromText="180" w:rightFromText="180" w:vertAnchor="text" w:horzAnchor="page" w:tblpX="1783" w:tblpY="54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3"/>
        <w:gridCol w:w="6774"/>
      </w:tblGrid>
      <w:tr w14:paraId="17F7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noWrap w:val="0"/>
            <w:vAlign w:val="top"/>
          </w:tcPr>
          <w:p w14:paraId="3B64BCAB">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default" w:ascii="仿宋" w:hAnsi="仿宋" w:eastAsia="仿宋" w:cs="Times New Roman"/>
                <w:b/>
                <w:sz w:val="28"/>
                <w:szCs w:val="28"/>
                <w:highlight w:val="none"/>
                <w:vertAlign w:val="baseline"/>
                <w:lang w:val="en-US" w:eastAsia="zh-CN"/>
              </w:rPr>
            </w:pPr>
            <w:r>
              <w:rPr>
                <w:rFonts w:hint="eastAsia" w:ascii="仿宋" w:hAnsi="仿宋" w:eastAsia="仿宋" w:cs="Times New Roman"/>
                <w:b/>
                <w:sz w:val="28"/>
                <w:szCs w:val="28"/>
                <w:highlight w:val="none"/>
                <w:vertAlign w:val="baseline"/>
                <w:lang w:val="en-US" w:eastAsia="zh-CN"/>
              </w:rPr>
              <w:t>序号</w:t>
            </w:r>
          </w:p>
        </w:tc>
        <w:tc>
          <w:tcPr>
            <w:tcW w:w="6993" w:type="dxa"/>
            <w:noWrap w:val="0"/>
            <w:vAlign w:val="top"/>
          </w:tcPr>
          <w:p w14:paraId="109AAC01">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default" w:ascii="仿宋" w:hAnsi="仿宋" w:eastAsia="仿宋" w:cs="Times New Roman"/>
                <w:b/>
                <w:sz w:val="28"/>
                <w:szCs w:val="28"/>
                <w:highlight w:val="none"/>
                <w:vertAlign w:val="baseline"/>
                <w:lang w:val="en-US" w:eastAsia="zh-CN"/>
              </w:rPr>
            </w:pPr>
            <w:r>
              <w:rPr>
                <w:rFonts w:hint="eastAsia" w:ascii="仿宋" w:hAnsi="仿宋" w:eastAsia="仿宋" w:cs="Times New Roman"/>
                <w:b/>
                <w:sz w:val="28"/>
                <w:szCs w:val="28"/>
                <w:highlight w:val="none"/>
                <w:vertAlign w:val="baseline"/>
                <w:lang w:val="en-US" w:eastAsia="zh-CN"/>
              </w:rPr>
              <w:t>企业名称</w:t>
            </w:r>
          </w:p>
        </w:tc>
      </w:tr>
      <w:tr w14:paraId="7D08F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noWrap w:val="0"/>
            <w:vAlign w:val="top"/>
          </w:tcPr>
          <w:p w14:paraId="45829CA2">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default" w:ascii="仿宋" w:hAnsi="仿宋" w:eastAsia="仿宋" w:cs="Times New Roman"/>
                <w:b w:val="0"/>
                <w:bCs/>
                <w:sz w:val="28"/>
                <w:szCs w:val="28"/>
                <w:highlight w:val="none"/>
                <w:vertAlign w:val="baseline"/>
                <w:lang w:val="en-US" w:eastAsia="zh-CN"/>
              </w:rPr>
            </w:pPr>
            <w:r>
              <w:rPr>
                <w:rFonts w:hint="eastAsia" w:ascii="仿宋" w:hAnsi="仿宋" w:eastAsia="仿宋" w:cs="Times New Roman"/>
                <w:b w:val="0"/>
                <w:bCs/>
                <w:sz w:val="28"/>
                <w:szCs w:val="28"/>
                <w:highlight w:val="none"/>
                <w:vertAlign w:val="baseline"/>
                <w:lang w:val="en-US" w:eastAsia="zh-CN"/>
              </w:rPr>
              <w:t>1</w:t>
            </w:r>
          </w:p>
        </w:tc>
        <w:tc>
          <w:tcPr>
            <w:tcW w:w="6993" w:type="dxa"/>
            <w:noWrap w:val="0"/>
            <w:vAlign w:val="top"/>
          </w:tcPr>
          <w:p w14:paraId="16B022EF">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default" w:ascii="仿宋" w:hAnsi="仿宋" w:eastAsia="仿宋" w:cs="Times New Roman"/>
                <w:b w:val="0"/>
                <w:bCs/>
                <w:sz w:val="28"/>
                <w:szCs w:val="28"/>
                <w:highlight w:val="none"/>
                <w:vertAlign w:val="baseline"/>
                <w:lang w:val="en-US" w:eastAsia="zh-CN"/>
              </w:rPr>
            </w:pPr>
            <w:r>
              <w:rPr>
                <w:rFonts w:hint="eastAsia" w:ascii="仿宋" w:hAnsi="仿宋" w:eastAsia="仿宋" w:cs="Times New Roman"/>
                <w:b w:val="0"/>
                <w:bCs/>
                <w:sz w:val="28"/>
                <w:szCs w:val="28"/>
                <w:highlight w:val="none"/>
                <w:vertAlign w:val="baseline"/>
                <w:lang w:val="en-US" w:eastAsia="zh-CN"/>
              </w:rPr>
              <w:t>深圳市体育中心运营管理有限公司</w:t>
            </w:r>
          </w:p>
        </w:tc>
      </w:tr>
      <w:tr w14:paraId="50A11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noWrap w:val="0"/>
            <w:vAlign w:val="top"/>
          </w:tcPr>
          <w:p w14:paraId="5FA7250F">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default" w:ascii="仿宋" w:hAnsi="仿宋" w:eastAsia="仿宋" w:cs="Times New Roman"/>
                <w:b w:val="0"/>
                <w:bCs/>
                <w:sz w:val="28"/>
                <w:szCs w:val="28"/>
                <w:highlight w:val="none"/>
                <w:vertAlign w:val="baseline"/>
                <w:lang w:val="en-US" w:eastAsia="zh-CN"/>
              </w:rPr>
            </w:pPr>
            <w:r>
              <w:rPr>
                <w:rFonts w:hint="eastAsia" w:ascii="仿宋" w:hAnsi="仿宋" w:eastAsia="仿宋" w:cs="Times New Roman"/>
                <w:b w:val="0"/>
                <w:bCs/>
                <w:sz w:val="28"/>
                <w:szCs w:val="28"/>
                <w:highlight w:val="none"/>
                <w:vertAlign w:val="baseline"/>
                <w:lang w:val="en-US" w:eastAsia="zh-CN"/>
              </w:rPr>
              <w:t>2</w:t>
            </w:r>
          </w:p>
        </w:tc>
        <w:tc>
          <w:tcPr>
            <w:tcW w:w="6993" w:type="dxa"/>
            <w:noWrap w:val="0"/>
            <w:vAlign w:val="top"/>
          </w:tcPr>
          <w:p w14:paraId="1614F6C5">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default" w:ascii="仿宋" w:hAnsi="仿宋" w:eastAsia="仿宋" w:cs="Times New Roman"/>
                <w:b w:val="0"/>
                <w:bCs/>
                <w:sz w:val="28"/>
                <w:szCs w:val="28"/>
                <w:highlight w:val="none"/>
                <w:vertAlign w:val="baseline"/>
                <w:lang w:val="en-US" w:eastAsia="zh-CN"/>
              </w:rPr>
            </w:pPr>
            <w:r>
              <w:rPr>
                <w:rFonts w:hint="eastAsia" w:ascii="仿宋" w:hAnsi="仿宋" w:eastAsia="仿宋" w:cs="Times New Roman"/>
                <w:b w:val="0"/>
                <w:bCs/>
                <w:sz w:val="28"/>
                <w:szCs w:val="28"/>
                <w:highlight w:val="none"/>
                <w:vertAlign w:val="baseline"/>
                <w:lang w:val="en-US" w:eastAsia="zh-CN"/>
              </w:rPr>
              <w:t>深圳市深体产培训发展有限公司</w:t>
            </w:r>
          </w:p>
        </w:tc>
      </w:tr>
      <w:tr w14:paraId="78F3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noWrap w:val="0"/>
            <w:vAlign w:val="top"/>
          </w:tcPr>
          <w:p w14:paraId="0ADF33C6">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default" w:ascii="仿宋" w:hAnsi="仿宋" w:eastAsia="仿宋" w:cs="Times New Roman"/>
                <w:b w:val="0"/>
                <w:bCs/>
                <w:sz w:val="28"/>
                <w:szCs w:val="28"/>
                <w:highlight w:val="none"/>
                <w:vertAlign w:val="baseline"/>
                <w:lang w:val="en-US" w:eastAsia="zh-CN"/>
              </w:rPr>
            </w:pPr>
            <w:r>
              <w:rPr>
                <w:rFonts w:hint="eastAsia" w:ascii="仿宋" w:hAnsi="仿宋" w:eastAsia="仿宋" w:cs="Times New Roman"/>
                <w:b w:val="0"/>
                <w:bCs/>
                <w:sz w:val="28"/>
                <w:szCs w:val="28"/>
                <w:highlight w:val="none"/>
                <w:vertAlign w:val="baseline"/>
                <w:lang w:val="en-US" w:eastAsia="zh-CN"/>
              </w:rPr>
              <w:t>3</w:t>
            </w:r>
          </w:p>
        </w:tc>
        <w:tc>
          <w:tcPr>
            <w:tcW w:w="6993" w:type="dxa"/>
            <w:noWrap w:val="0"/>
            <w:vAlign w:val="top"/>
          </w:tcPr>
          <w:p w14:paraId="3AD285CE">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default" w:ascii="仿宋" w:hAnsi="仿宋" w:eastAsia="仿宋" w:cs="Times New Roman"/>
                <w:b w:val="0"/>
                <w:bCs/>
                <w:sz w:val="28"/>
                <w:szCs w:val="28"/>
                <w:highlight w:val="none"/>
                <w:vertAlign w:val="baseline"/>
                <w:lang w:val="en-US" w:eastAsia="zh-CN"/>
              </w:rPr>
            </w:pPr>
            <w:r>
              <w:rPr>
                <w:rFonts w:hint="eastAsia" w:ascii="仿宋" w:hAnsi="仿宋" w:eastAsia="仿宋" w:cs="Times New Roman"/>
                <w:b w:val="0"/>
                <w:bCs/>
                <w:sz w:val="28"/>
                <w:szCs w:val="28"/>
                <w:highlight w:val="none"/>
                <w:vertAlign w:val="baseline"/>
                <w:lang w:val="en-US" w:eastAsia="zh-CN"/>
              </w:rPr>
              <w:t>深圳市深投控体育赛事发展有限公司</w:t>
            </w:r>
          </w:p>
        </w:tc>
      </w:tr>
      <w:tr w14:paraId="6DB5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noWrap w:val="0"/>
            <w:vAlign w:val="top"/>
          </w:tcPr>
          <w:p w14:paraId="6C153918">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default" w:ascii="仿宋" w:hAnsi="仿宋" w:eastAsia="仿宋" w:cs="Times New Roman"/>
                <w:b w:val="0"/>
                <w:bCs/>
                <w:sz w:val="28"/>
                <w:szCs w:val="28"/>
                <w:highlight w:val="none"/>
                <w:vertAlign w:val="baseline"/>
                <w:lang w:val="en-US" w:eastAsia="zh-CN"/>
              </w:rPr>
            </w:pPr>
            <w:r>
              <w:rPr>
                <w:rFonts w:hint="eastAsia" w:ascii="仿宋" w:hAnsi="仿宋" w:eastAsia="仿宋" w:cs="Times New Roman"/>
                <w:b w:val="0"/>
                <w:bCs/>
                <w:sz w:val="28"/>
                <w:szCs w:val="28"/>
                <w:highlight w:val="none"/>
                <w:vertAlign w:val="baseline"/>
                <w:lang w:val="en-US" w:eastAsia="zh-CN"/>
              </w:rPr>
              <w:t>4</w:t>
            </w:r>
          </w:p>
        </w:tc>
        <w:tc>
          <w:tcPr>
            <w:tcW w:w="6993" w:type="dxa"/>
            <w:noWrap w:val="0"/>
            <w:vAlign w:val="top"/>
          </w:tcPr>
          <w:p w14:paraId="07190609">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default" w:ascii="仿宋" w:hAnsi="仿宋" w:eastAsia="仿宋" w:cs="Times New Roman"/>
                <w:b w:val="0"/>
                <w:bCs/>
                <w:sz w:val="28"/>
                <w:szCs w:val="28"/>
                <w:highlight w:val="none"/>
                <w:vertAlign w:val="baseline"/>
                <w:lang w:val="en-US" w:eastAsia="zh-CN"/>
              </w:rPr>
            </w:pPr>
            <w:r>
              <w:rPr>
                <w:rFonts w:hint="eastAsia" w:ascii="仿宋" w:hAnsi="仿宋" w:eastAsia="仿宋" w:cs="Times New Roman"/>
                <w:b w:val="0"/>
                <w:bCs/>
                <w:sz w:val="28"/>
                <w:szCs w:val="28"/>
                <w:highlight w:val="none"/>
                <w:vertAlign w:val="baseline"/>
                <w:lang w:val="en-US" w:eastAsia="zh-CN"/>
              </w:rPr>
              <w:t>深圳市体育风尚文体发展有限公司</w:t>
            </w:r>
          </w:p>
        </w:tc>
      </w:tr>
      <w:tr w14:paraId="324C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0" w:type="dxa"/>
            <w:noWrap w:val="0"/>
            <w:vAlign w:val="top"/>
          </w:tcPr>
          <w:p w14:paraId="7D0CF42A">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default" w:ascii="仿宋" w:hAnsi="仿宋" w:eastAsia="仿宋" w:cs="Times New Roman"/>
                <w:b w:val="0"/>
                <w:bCs/>
                <w:sz w:val="28"/>
                <w:szCs w:val="28"/>
                <w:highlight w:val="none"/>
                <w:vertAlign w:val="baseline"/>
                <w:lang w:val="en-US" w:eastAsia="zh-CN"/>
              </w:rPr>
            </w:pPr>
            <w:r>
              <w:rPr>
                <w:rFonts w:hint="eastAsia" w:ascii="仿宋" w:hAnsi="仿宋" w:eastAsia="仿宋" w:cs="Times New Roman"/>
                <w:b w:val="0"/>
                <w:bCs/>
                <w:sz w:val="28"/>
                <w:szCs w:val="28"/>
                <w:highlight w:val="none"/>
                <w:vertAlign w:val="baseline"/>
                <w:lang w:val="en-US" w:eastAsia="zh-CN"/>
              </w:rPr>
              <w:t>5</w:t>
            </w:r>
          </w:p>
        </w:tc>
        <w:tc>
          <w:tcPr>
            <w:tcW w:w="6993" w:type="dxa"/>
            <w:noWrap w:val="0"/>
            <w:vAlign w:val="top"/>
          </w:tcPr>
          <w:p w14:paraId="4DCD6CB4">
            <w:pPr>
              <w:keepNext w:val="0"/>
              <w:keepLines w:val="0"/>
              <w:pageBreakBefore w:val="0"/>
              <w:widowControl w:val="0"/>
              <w:kinsoku/>
              <w:wordWrap/>
              <w:overflowPunct/>
              <w:topLinePunct w:val="0"/>
              <w:autoSpaceDE/>
              <w:autoSpaceDN/>
              <w:bidi w:val="0"/>
              <w:adjustRightInd/>
              <w:snapToGrid/>
              <w:ind w:left="840" w:firstLine="0" w:firstLineChars="0"/>
              <w:jc w:val="center"/>
              <w:textAlignment w:val="auto"/>
              <w:rPr>
                <w:rFonts w:hint="eastAsia" w:ascii="仿宋" w:hAnsi="仿宋" w:eastAsia="仿宋" w:cs="Times New Roman"/>
                <w:b w:val="0"/>
                <w:bCs/>
                <w:sz w:val="28"/>
                <w:szCs w:val="28"/>
                <w:highlight w:val="none"/>
                <w:vertAlign w:val="baseline"/>
                <w:lang w:val="en-US" w:eastAsia="zh-CN"/>
              </w:rPr>
            </w:pPr>
            <w:r>
              <w:rPr>
                <w:rFonts w:hint="eastAsia" w:ascii="仿宋" w:hAnsi="仿宋" w:eastAsia="仿宋" w:cs="Times New Roman"/>
                <w:bCs/>
                <w:sz w:val="28"/>
                <w:szCs w:val="28"/>
                <w:highlight w:val="none"/>
              </w:rPr>
              <w:t>深圳市体育产业集团有限公司酒店分公司</w:t>
            </w:r>
          </w:p>
        </w:tc>
      </w:tr>
    </w:tbl>
    <w:p w14:paraId="73FADC45">
      <w:pPr>
        <w:keepNext w:val="0"/>
        <w:keepLines w:val="0"/>
        <w:pageBreakBefore w:val="0"/>
        <w:kinsoku/>
        <w:wordWrap/>
        <w:overflowPunct/>
        <w:topLinePunct w:val="0"/>
        <w:autoSpaceDE/>
        <w:autoSpaceDN/>
        <w:bidi w:val="0"/>
        <w:adjustRightInd/>
        <w:snapToGrid/>
        <w:ind w:firstLine="0" w:firstLineChars="0"/>
        <w:jc w:val="center"/>
        <w:textAlignment w:val="auto"/>
        <w:rPr>
          <w:rFonts w:hint="eastAsia" w:ascii="仿宋" w:hAnsi="仿宋" w:eastAsia="仿宋" w:cs="Times New Roman"/>
          <w:b/>
          <w:bCs w:val="0"/>
          <w:sz w:val="28"/>
          <w:szCs w:val="28"/>
          <w:highlight w:val="none"/>
          <w:lang w:val="en-US" w:eastAsia="zh-CN"/>
        </w:rPr>
      </w:pPr>
    </w:p>
    <w:p w14:paraId="371CC534">
      <w:pPr>
        <w:keepNext w:val="0"/>
        <w:keepLines w:val="0"/>
        <w:pageBreakBefore w:val="0"/>
        <w:kinsoku/>
        <w:wordWrap/>
        <w:overflowPunct/>
        <w:topLinePunct w:val="0"/>
        <w:autoSpaceDE/>
        <w:autoSpaceDN/>
        <w:bidi w:val="0"/>
        <w:adjustRightInd/>
        <w:snapToGrid/>
        <w:ind w:firstLine="0" w:firstLineChars="0"/>
        <w:textAlignment w:val="auto"/>
        <w:rPr>
          <w:rFonts w:hint="eastAsia"/>
          <w:lang w:val="en-US" w:eastAsia="zh-CN"/>
        </w:rPr>
      </w:pPr>
    </w:p>
    <w:p w14:paraId="0315484F">
      <w:pPr>
        <w:keepNext w:val="0"/>
        <w:keepLines w:val="0"/>
        <w:pageBreakBefore w:val="0"/>
        <w:kinsoku/>
        <w:wordWrap/>
        <w:overflowPunct/>
        <w:topLinePunct w:val="0"/>
        <w:autoSpaceDE/>
        <w:autoSpaceDN/>
        <w:bidi w:val="0"/>
        <w:adjustRightInd/>
        <w:snapToGrid/>
        <w:ind w:firstLine="0" w:firstLineChars="0"/>
        <w:textAlignment w:val="auto"/>
        <w:rPr>
          <w:rFonts w:hint="eastAsia"/>
          <w:lang w:val="en-US" w:eastAsia="zh-CN"/>
        </w:rPr>
      </w:pPr>
    </w:p>
    <w:p w14:paraId="6FD69EFC">
      <w:pPr>
        <w:rPr>
          <w:rFonts w:hint="eastAsia"/>
          <w:lang w:val="en-US" w:eastAsia="zh-CN"/>
        </w:rPr>
      </w:pPr>
    </w:p>
    <w:p w14:paraId="00E3065C">
      <w:pPr>
        <w:rPr>
          <w:rFonts w:hint="eastAsia"/>
          <w:lang w:val="en-US" w:eastAsia="zh-CN"/>
        </w:rPr>
      </w:pPr>
    </w:p>
    <w:p w14:paraId="6D23E3A9">
      <w:pPr>
        <w:pStyle w:val="48"/>
        <w:spacing w:line="360" w:lineRule="auto"/>
        <w:jc w:val="left"/>
        <w:rPr>
          <w:rFonts w:hint="eastAsia" w:ascii="宋体" w:hAnsi="宋体" w:eastAsia="宋体"/>
          <w:b/>
          <w:bCs/>
          <w:color w:val="auto"/>
          <w:kern w:val="2"/>
          <w:sz w:val="28"/>
          <w:szCs w:val="28"/>
          <w:lang w:val="en-US" w:eastAsia="zh-CN"/>
        </w:rPr>
      </w:pPr>
      <w:r>
        <w:rPr>
          <w:rFonts w:hint="eastAsia" w:ascii="宋体" w:hAnsi="宋体" w:eastAsia="宋体"/>
          <w:b/>
          <w:bCs/>
          <w:color w:val="auto"/>
          <w:kern w:val="2"/>
          <w:sz w:val="28"/>
          <w:szCs w:val="28"/>
          <w:lang w:val="en-US" w:eastAsia="zh-CN"/>
        </w:rPr>
        <w:t>附件四：</w:t>
      </w:r>
      <w:r>
        <w:rPr>
          <w:rFonts w:hint="eastAsia" w:ascii="宋体" w:hAnsi="宋体"/>
          <w:b/>
          <w:bCs/>
          <w:color w:val="auto"/>
          <w:kern w:val="2"/>
          <w:sz w:val="28"/>
          <w:szCs w:val="28"/>
          <w:lang w:val="en-US" w:eastAsia="zh-CN"/>
        </w:rPr>
        <w:t>2026-2027年度小型工程项目全过程造价咨询服务</w:t>
      </w:r>
      <w:r>
        <w:rPr>
          <w:rFonts w:hint="eastAsia" w:ascii="宋体" w:hAnsi="宋体" w:eastAsia="宋体"/>
          <w:b/>
          <w:bCs/>
          <w:color w:val="auto"/>
          <w:kern w:val="2"/>
          <w:sz w:val="28"/>
          <w:szCs w:val="28"/>
          <w:lang w:val="en-US" w:eastAsia="zh-CN"/>
        </w:rPr>
        <w:t>投标报价</w:t>
      </w:r>
    </w:p>
    <w:p w14:paraId="613F2FF8">
      <w:pPr>
        <w:pStyle w:val="48"/>
        <w:spacing w:line="360" w:lineRule="auto"/>
        <w:jc w:val="left"/>
      </w:pPr>
      <w:r>
        <w:rPr>
          <w:rFonts w:hint="eastAsia" w:ascii="宋体" w:hAnsi="宋体" w:eastAsia="宋体"/>
          <w:b/>
          <w:bCs/>
          <w:color w:val="auto"/>
          <w:kern w:val="2"/>
          <w:sz w:val="28"/>
          <w:szCs w:val="28"/>
          <w:lang w:val="en-US" w:eastAsia="zh-CN"/>
        </w:rPr>
        <w:t>（中标后填入）</w:t>
      </w:r>
      <w:r>
        <w:br w:type="page"/>
      </w:r>
    </w:p>
    <w:p w14:paraId="2D4089F4"/>
    <w:p w14:paraId="4CDD4A8A">
      <w:pPr>
        <w:widowControl w:val="0"/>
        <w:ind w:firstLine="0" w:firstLineChars="0"/>
        <w:jc w:val="left"/>
        <w:rPr>
          <w:rFonts w:ascii="宋体" w:hAnsi="宋体"/>
          <w:iCs/>
          <w:color w:val="auto"/>
          <w:sz w:val="30"/>
          <w:szCs w:val="30"/>
        </w:rPr>
      </w:pPr>
    </w:p>
    <w:p w14:paraId="154314A8">
      <w:pPr>
        <w:widowControl w:val="0"/>
        <w:autoSpaceDE w:val="0"/>
        <w:autoSpaceDN w:val="0"/>
        <w:adjustRightInd w:val="0"/>
        <w:snapToGrid w:val="0"/>
        <w:ind w:firstLine="0" w:firstLineChars="0"/>
        <w:jc w:val="center"/>
        <w:outlineLvl w:val="0"/>
        <w:rPr>
          <w:rFonts w:ascii="宋体" w:hAnsi="宋体"/>
          <w:b/>
          <w:color w:val="auto"/>
          <w:sz w:val="52"/>
          <w:szCs w:val="52"/>
        </w:rPr>
      </w:pPr>
      <w:r>
        <w:rPr>
          <w:rFonts w:hint="eastAsia" w:ascii="宋体" w:hAnsi="宋体"/>
          <w:b/>
          <w:color w:val="auto"/>
          <w:sz w:val="52"/>
          <w:szCs w:val="52"/>
        </w:rPr>
        <w:t>第四章项目需求书</w:t>
      </w:r>
    </w:p>
    <w:p w14:paraId="501C6959">
      <w:pPr>
        <w:widowControl w:val="0"/>
        <w:autoSpaceDE w:val="0"/>
        <w:autoSpaceDN w:val="0"/>
        <w:adjustRightInd w:val="0"/>
        <w:snapToGrid w:val="0"/>
        <w:ind w:firstLine="0" w:firstLineChars="0"/>
        <w:jc w:val="center"/>
        <w:outlineLvl w:val="1"/>
        <w:rPr>
          <w:rFonts w:ascii="宋体" w:hAnsi="宋体"/>
          <w:b/>
          <w:color w:val="auto"/>
          <w:sz w:val="28"/>
          <w:szCs w:val="28"/>
        </w:rPr>
      </w:pPr>
      <w:r>
        <w:rPr>
          <w:rFonts w:hint="eastAsia" w:ascii="宋体" w:hAnsi="宋体"/>
          <w:b/>
          <w:color w:val="auto"/>
          <w:sz w:val="28"/>
          <w:szCs w:val="28"/>
        </w:rPr>
        <w:br w:type="page"/>
      </w:r>
      <w:r>
        <w:rPr>
          <w:rFonts w:hint="eastAsia" w:ascii="宋体" w:hAnsi="宋体"/>
          <w:b/>
          <w:color w:val="auto"/>
          <w:sz w:val="32"/>
          <w:szCs w:val="32"/>
        </w:rPr>
        <w:t>第一节商务条款</w:t>
      </w:r>
    </w:p>
    <w:p w14:paraId="720BDBFE">
      <w:pPr>
        <w:widowControl w:val="0"/>
        <w:numPr>
          <w:ilvl w:val="0"/>
          <w:numId w:val="40"/>
        </w:numPr>
        <w:autoSpaceDE w:val="0"/>
        <w:autoSpaceDN w:val="0"/>
        <w:adjustRightInd w:val="0"/>
        <w:snapToGrid w:val="0"/>
        <w:ind w:firstLineChars="0"/>
        <w:rPr>
          <w:rFonts w:ascii="宋体" w:hAnsi="宋体"/>
          <w:color w:val="auto"/>
          <w:szCs w:val="21"/>
        </w:rPr>
      </w:pPr>
      <w:r>
        <w:rPr>
          <w:rFonts w:hint="eastAsia" w:ascii="宋体" w:hAnsi="宋体"/>
          <w:color w:val="auto"/>
          <w:szCs w:val="21"/>
        </w:rPr>
        <w:t>项目概述</w:t>
      </w:r>
    </w:p>
    <w:p w14:paraId="46A4AA4B">
      <w:pPr>
        <w:widowControl w:val="0"/>
        <w:autoSpaceDE w:val="0"/>
        <w:autoSpaceDN w:val="0"/>
        <w:adjustRightInd w:val="0"/>
        <w:snapToGrid w:val="0"/>
        <w:ind w:firstLine="420"/>
        <w:rPr>
          <w:rFonts w:hint="eastAsia" w:ascii="宋体" w:hAnsi="宋体" w:eastAsia="宋体"/>
          <w:color w:val="auto"/>
          <w:szCs w:val="21"/>
          <w:lang w:eastAsia="zh-CN"/>
        </w:rPr>
      </w:pPr>
      <w:r>
        <w:rPr>
          <w:rFonts w:hint="eastAsia" w:ascii="宋体" w:hAnsi="宋体"/>
          <w:color w:val="auto"/>
          <w:szCs w:val="21"/>
          <w:lang w:eastAsia="zh-CN"/>
        </w:rPr>
        <w:t>深圳市体育产业集团有限公司2026-2027</w:t>
      </w:r>
      <w:r>
        <w:rPr>
          <w:rFonts w:hint="eastAsia" w:ascii="宋体" w:hAnsi="宋体"/>
          <w:color w:val="auto"/>
          <w:szCs w:val="21"/>
        </w:rPr>
        <w:t>年度的小型工程的项目的造价咨询服务（小型工程指总概算在</w:t>
      </w:r>
      <w:r>
        <w:rPr>
          <w:rFonts w:hint="eastAsia" w:ascii="宋体" w:hAnsi="宋体"/>
          <w:color w:val="auto"/>
          <w:szCs w:val="21"/>
          <w:lang w:val="en-US" w:eastAsia="zh-CN"/>
        </w:rPr>
        <w:t>1000</w:t>
      </w:r>
      <w:r>
        <w:rPr>
          <w:rFonts w:hint="eastAsia" w:ascii="宋体" w:hAnsi="宋体"/>
          <w:color w:val="auto"/>
          <w:szCs w:val="21"/>
        </w:rPr>
        <w:t>万元以下项目），随着公司业务的开展，需要对旧的体育设施和场地进行维修维护和改造，对于具体委托的项目，委托方进行发出全过程工程项目造价咨询委托书，依据签订的框架合同，签订相应的单项合同；工程造价咨询服务内容包括但不限于：</w:t>
      </w:r>
    </w:p>
    <w:p w14:paraId="0D2217EF">
      <w:pPr>
        <w:widowControl w:val="0"/>
        <w:numPr>
          <w:ilvl w:val="0"/>
          <w:numId w:val="40"/>
        </w:numPr>
        <w:autoSpaceDE w:val="0"/>
        <w:autoSpaceDN w:val="0"/>
        <w:adjustRightInd w:val="0"/>
        <w:snapToGrid w:val="0"/>
        <w:ind w:firstLineChars="0"/>
        <w:rPr>
          <w:rFonts w:ascii="宋体" w:hAnsi="宋体"/>
          <w:color w:val="auto"/>
          <w:szCs w:val="21"/>
        </w:rPr>
      </w:pPr>
      <w:r>
        <w:rPr>
          <w:rFonts w:hint="eastAsia" w:ascii="宋体" w:hAnsi="宋体"/>
          <w:color w:val="auto"/>
          <w:szCs w:val="21"/>
        </w:rPr>
        <w:t>服务期</w:t>
      </w:r>
    </w:p>
    <w:p w14:paraId="2E9C2AD1">
      <w:pPr>
        <w:ind w:firstLine="420"/>
        <w:rPr>
          <w:rFonts w:ascii="宋体" w:hAnsi="宋体"/>
          <w:color w:val="auto"/>
          <w:szCs w:val="21"/>
        </w:rPr>
      </w:pPr>
      <w:r>
        <w:rPr>
          <w:rFonts w:hint="eastAsia" w:ascii="宋体" w:hAnsi="宋体"/>
          <w:color w:val="auto"/>
          <w:szCs w:val="21"/>
        </w:rPr>
        <w:t>服务期：一年</w:t>
      </w:r>
      <w:r>
        <w:rPr>
          <w:rFonts w:hint="eastAsia" w:ascii="宋体" w:hAnsi="宋体"/>
          <w:color w:val="auto"/>
          <w:szCs w:val="21"/>
          <w:lang w:eastAsia="zh-CN"/>
        </w:rPr>
        <w:t>，</w:t>
      </w:r>
      <w:r>
        <w:rPr>
          <w:rFonts w:hint="eastAsia" w:ascii="宋体" w:hAnsi="宋体"/>
          <w:color w:val="auto"/>
          <w:szCs w:val="21"/>
          <w:lang w:val="en-US" w:eastAsia="zh-CN"/>
        </w:rPr>
        <w:t>以合同签订之日起算。</w:t>
      </w:r>
    </w:p>
    <w:p w14:paraId="72E37297">
      <w:pPr>
        <w:widowControl w:val="0"/>
        <w:numPr>
          <w:ilvl w:val="0"/>
          <w:numId w:val="40"/>
        </w:numPr>
        <w:autoSpaceDE w:val="0"/>
        <w:autoSpaceDN w:val="0"/>
        <w:adjustRightInd w:val="0"/>
        <w:snapToGrid w:val="0"/>
        <w:ind w:firstLineChars="0"/>
        <w:rPr>
          <w:rFonts w:ascii="宋体" w:hAnsi="宋体"/>
          <w:color w:val="auto"/>
          <w:szCs w:val="21"/>
        </w:rPr>
      </w:pPr>
      <w:r>
        <w:rPr>
          <w:rFonts w:hint="eastAsia" w:ascii="宋体" w:hAnsi="宋体"/>
          <w:color w:val="auto"/>
          <w:szCs w:val="21"/>
        </w:rPr>
        <w:t>报价及限价要求</w:t>
      </w:r>
    </w:p>
    <w:p w14:paraId="1C6FD48E">
      <w:pPr>
        <w:ind w:firstLine="420"/>
        <w:rPr>
          <w:color w:val="auto"/>
          <w:szCs w:val="21"/>
        </w:rPr>
      </w:pPr>
      <w:r>
        <w:rPr>
          <w:color w:val="auto"/>
          <w:szCs w:val="21"/>
        </w:rPr>
        <w:t>3</w:t>
      </w:r>
      <w:r>
        <w:rPr>
          <w:rFonts w:hint="eastAsia"/>
          <w:color w:val="auto"/>
          <w:szCs w:val="21"/>
        </w:rPr>
        <w:t>.1</w:t>
      </w:r>
      <w:r>
        <w:rPr>
          <w:rFonts w:hint="eastAsia" w:ascii="宋体" w:hAnsi="宋体"/>
          <w:color w:val="auto"/>
          <w:szCs w:val="21"/>
        </w:rPr>
        <w:t>本项目服务费采用</w:t>
      </w:r>
      <w:r>
        <w:rPr>
          <w:rFonts w:hint="eastAsia" w:ascii="宋体" w:hAnsi="宋体"/>
          <w:color w:val="auto"/>
          <w:szCs w:val="21"/>
          <w:lang w:val="en-US" w:eastAsia="zh-CN"/>
        </w:rPr>
        <w:t>下浮率计费</w:t>
      </w:r>
      <w:r>
        <w:rPr>
          <w:rFonts w:hint="eastAsia" w:ascii="宋体" w:hAnsi="宋体"/>
          <w:color w:val="auto"/>
          <w:szCs w:val="21"/>
        </w:rPr>
        <w:t>方式，应包括服务成本，法定税费和企业的利润。由投标供应商根据采购文件所提供的资料自行测算投标报价；一经中标，作为委托单位与咨询单位签定合同金额的依据。</w:t>
      </w:r>
    </w:p>
    <w:p w14:paraId="6BF67EB4">
      <w:pPr>
        <w:ind w:firstLine="420"/>
        <w:rPr>
          <w:color w:val="auto"/>
          <w:szCs w:val="21"/>
        </w:rPr>
      </w:pPr>
      <w:r>
        <w:rPr>
          <w:color w:val="auto"/>
          <w:szCs w:val="21"/>
        </w:rPr>
        <w:t>3</w:t>
      </w:r>
      <w:r>
        <w:rPr>
          <w:rFonts w:hint="eastAsia"/>
          <w:color w:val="auto"/>
          <w:szCs w:val="21"/>
        </w:rPr>
        <w:t>.2</w:t>
      </w:r>
      <w:r>
        <w:rPr>
          <w:rFonts w:hint="eastAsia" w:ascii="宋体" w:hAnsi="宋体"/>
          <w:color w:val="auto"/>
          <w:szCs w:val="21"/>
        </w:rPr>
        <w:t>应当根据本企业的成本自行决定报价，但不得以低于其企业成本的报价投标。</w:t>
      </w:r>
    </w:p>
    <w:p w14:paraId="26425CB4">
      <w:pPr>
        <w:ind w:firstLine="420"/>
        <w:rPr>
          <w:color w:val="auto"/>
          <w:szCs w:val="21"/>
        </w:rPr>
      </w:pPr>
      <w:r>
        <w:rPr>
          <w:color w:val="auto"/>
          <w:szCs w:val="21"/>
        </w:rPr>
        <w:t>3</w:t>
      </w:r>
      <w:r>
        <w:rPr>
          <w:rFonts w:hint="eastAsia"/>
          <w:color w:val="auto"/>
          <w:szCs w:val="21"/>
        </w:rPr>
        <w:t>.3</w:t>
      </w:r>
      <w:r>
        <w:rPr>
          <w:rFonts w:hint="eastAsia" w:ascii="宋体" w:hAnsi="宋体"/>
          <w:color w:val="auto"/>
          <w:szCs w:val="21"/>
        </w:rPr>
        <w:t>投标的报价，应当是本项目采购范围和采购文件及合同条款上所列的各项内容中所述的全部，不得以任何理由予以重复。</w:t>
      </w:r>
    </w:p>
    <w:p w14:paraId="2B5D81B4">
      <w:pPr>
        <w:ind w:firstLine="420"/>
        <w:rPr>
          <w:rFonts w:hint="eastAsia" w:ascii="宋体" w:hAnsi="宋体" w:eastAsia="宋体" w:cs="Times New Roman"/>
          <w:b/>
          <w:bCs/>
          <w:color w:val="auto"/>
          <w:kern w:val="2"/>
          <w:sz w:val="21"/>
          <w:szCs w:val="21"/>
          <w:highlight w:val="none"/>
          <w:lang w:val="en-US" w:eastAsia="zh-CN" w:bidi="ar"/>
        </w:rPr>
      </w:pPr>
      <w:r>
        <w:rPr>
          <w:color w:val="auto"/>
          <w:szCs w:val="21"/>
        </w:rPr>
        <w:t>3</w:t>
      </w:r>
      <w:r>
        <w:rPr>
          <w:rFonts w:hint="eastAsia"/>
          <w:color w:val="auto"/>
          <w:szCs w:val="21"/>
        </w:rPr>
        <w:t>.4</w:t>
      </w:r>
      <w:r>
        <w:rPr>
          <w:rFonts w:hint="eastAsia" w:ascii="宋体" w:hAnsi="宋体"/>
          <w:color w:val="auto"/>
          <w:szCs w:val="21"/>
        </w:rPr>
        <w:t>咨询公司不得期望通过索赔等方式获取补偿，否则，除可能遭到拒绝外，还可能将被作为不良行为记录在案，并可能影响其以后参加招标人组织的项目投标。在报价时，应充分考虑报价的风险。</w:t>
      </w:r>
    </w:p>
    <w:p w14:paraId="14AB3EB8">
      <w:pPr>
        <w:ind w:firstLine="420"/>
        <w:rPr>
          <w:rFonts w:hint="eastAsia" w:eastAsia="宋体"/>
          <w:color w:val="auto"/>
          <w:szCs w:val="21"/>
          <w:lang w:eastAsia="zh-CN"/>
        </w:rPr>
      </w:pPr>
      <w:r>
        <w:rPr>
          <w:rFonts w:hint="eastAsia" w:ascii="宋体" w:hAnsi="宋体" w:eastAsia="宋体" w:cs="Times New Roman"/>
          <w:b/>
          <w:bCs/>
          <w:color w:val="auto"/>
          <w:kern w:val="2"/>
          <w:sz w:val="21"/>
          <w:szCs w:val="21"/>
          <w:highlight w:val="none"/>
          <w:lang w:val="en-US" w:eastAsia="zh-CN" w:bidi="ar"/>
        </w:rPr>
        <w:t>3.5预计年度小型工程项目建安费总计约2000万元,最终实际金额以我方单次正式委托《造价咨询服务委托合同》为准。双方确认，本项目招</w:t>
      </w:r>
      <w:r>
        <w:rPr>
          <w:rFonts w:hint="eastAsia" w:ascii="宋体" w:hAnsi="宋体"/>
          <w:b/>
          <w:bCs/>
          <w:color w:val="auto"/>
          <w:szCs w:val="21"/>
          <w:highlight w:val="none"/>
        </w:rPr>
        <w:t>标文件及</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框架协议</w:t>
      </w:r>
      <w:r>
        <w:rPr>
          <w:rFonts w:hint="eastAsia" w:ascii="宋体" w:hAnsi="宋体"/>
          <w:b/>
          <w:bCs/>
          <w:color w:val="auto"/>
          <w:szCs w:val="21"/>
          <w:highlight w:val="none"/>
          <w:lang w:eastAsia="zh-CN"/>
        </w:rPr>
        <w:t>》</w:t>
      </w:r>
      <w:r>
        <w:rPr>
          <w:rFonts w:hint="eastAsia" w:ascii="宋体" w:hAnsi="宋体"/>
          <w:b/>
          <w:bCs/>
          <w:color w:val="auto"/>
          <w:szCs w:val="21"/>
          <w:highlight w:val="none"/>
        </w:rPr>
        <w:t>所载“预计年度小型工程项目建安费总计约2000万元”之信息，仅为</w:t>
      </w:r>
      <w:r>
        <w:rPr>
          <w:rFonts w:hint="eastAsia" w:ascii="宋体" w:hAnsi="宋体"/>
          <w:b/>
          <w:bCs/>
          <w:color w:val="auto"/>
          <w:szCs w:val="21"/>
          <w:highlight w:val="none"/>
          <w:lang w:val="en-US" w:eastAsia="zh-CN"/>
        </w:rPr>
        <w:t>我</w:t>
      </w:r>
      <w:r>
        <w:rPr>
          <w:rFonts w:hint="eastAsia" w:ascii="宋体" w:hAnsi="宋体"/>
          <w:b/>
          <w:bCs/>
          <w:color w:val="auto"/>
          <w:szCs w:val="21"/>
          <w:highlight w:val="none"/>
        </w:rPr>
        <w:t>方基于当前情况作出的非约束性、粗略性预估，供乙方</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投标人</w:t>
      </w:r>
      <w:r>
        <w:rPr>
          <w:rFonts w:hint="eastAsia" w:ascii="宋体" w:hAnsi="宋体"/>
          <w:b/>
          <w:bCs/>
          <w:color w:val="auto"/>
          <w:szCs w:val="21"/>
          <w:highlight w:val="none"/>
          <w:lang w:eastAsia="zh-CN"/>
        </w:rPr>
        <w:t>）</w:t>
      </w:r>
      <w:r>
        <w:rPr>
          <w:rFonts w:hint="eastAsia" w:ascii="宋体" w:hAnsi="宋体"/>
          <w:b/>
          <w:bCs/>
          <w:color w:val="auto"/>
          <w:szCs w:val="21"/>
          <w:highlight w:val="none"/>
        </w:rPr>
        <w:t>参考，不作为双方权利义务的依据。乙方确认其报价及投入系基于其自身的商业判断，并未依赖或信赖上述预估金额。最终实际发生的服务费用以双方另行签署的《造价咨询服务委托合同》等书面材料为准。在任何情况下，甲方均不因实际委托金额与预估金额之间的差异而对乙方承担任何性质的责任。</w:t>
      </w:r>
    </w:p>
    <w:p w14:paraId="50D155BA">
      <w:pPr>
        <w:widowControl w:val="0"/>
        <w:autoSpaceDE w:val="0"/>
        <w:autoSpaceDN w:val="0"/>
        <w:adjustRightInd w:val="0"/>
        <w:snapToGrid w:val="0"/>
        <w:ind w:firstLine="560"/>
        <w:jc w:val="center"/>
        <w:outlineLvl w:val="1"/>
        <w:rPr>
          <w:rFonts w:ascii="宋体" w:hAnsi="宋体"/>
          <w:color w:val="auto"/>
          <w:sz w:val="28"/>
          <w:szCs w:val="28"/>
        </w:rPr>
      </w:pPr>
      <w:r>
        <w:rPr>
          <w:rFonts w:hint="eastAsia" w:ascii="宋体" w:hAnsi="宋体"/>
          <w:color w:val="auto"/>
          <w:sz w:val="28"/>
          <w:szCs w:val="28"/>
        </w:rPr>
        <w:br w:type="page"/>
      </w:r>
      <w:r>
        <w:rPr>
          <w:rFonts w:hint="eastAsia" w:ascii="宋体" w:hAnsi="宋体"/>
          <w:b/>
          <w:color w:val="auto"/>
          <w:sz w:val="32"/>
          <w:szCs w:val="32"/>
        </w:rPr>
        <w:t>第二节技术条款</w:t>
      </w:r>
    </w:p>
    <w:p w14:paraId="56A5FD18">
      <w:pPr>
        <w:ind w:firstLine="420"/>
        <w:rPr>
          <w:rFonts w:ascii="宋体" w:hAnsi="宋体"/>
          <w:color w:val="auto"/>
          <w:szCs w:val="21"/>
        </w:rPr>
      </w:pPr>
      <w:r>
        <w:rPr>
          <w:rFonts w:hint="eastAsia" w:ascii="宋体" w:hAnsi="宋体"/>
          <w:color w:val="auto"/>
          <w:szCs w:val="21"/>
        </w:rPr>
        <w:t>1、项目管理和服务要求</w:t>
      </w:r>
    </w:p>
    <w:p w14:paraId="7DC743B3">
      <w:pPr>
        <w:ind w:firstLine="420"/>
        <w:rPr>
          <w:rFonts w:ascii="宋体" w:hAnsi="宋体"/>
          <w:color w:val="auto"/>
          <w:szCs w:val="21"/>
        </w:rPr>
      </w:pPr>
      <w:r>
        <w:rPr>
          <w:rFonts w:hint="eastAsia" w:ascii="宋体" w:hAnsi="宋体"/>
          <w:color w:val="auto"/>
          <w:szCs w:val="21"/>
        </w:rPr>
        <w:t>(1)针对不同项目提供造价咨询服务。</w:t>
      </w:r>
    </w:p>
    <w:p w14:paraId="67F0BCDE">
      <w:pPr>
        <w:ind w:firstLine="420"/>
        <w:rPr>
          <w:rFonts w:ascii="宋体" w:hAnsi="宋体"/>
          <w:color w:val="auto"/>
          <w:szCs w:val="21"/>
        </w:rPr>
      </w:pPr>
      <w:r>
        <w:rPr>
          <w:rFonts w:hint="eastAsia" w:ascii="宋体" w:hAnsi="宋体"/>
          <w:color w:val="auto"/>
          <w:szCs w:val="21"/>
        </w:rPr>
        <w:t>(2)咨询公司需指派一名项目负责人负责此项目工作：并配备足够的造价人员参与本项目的造价咨询工作。未经允许不得随意更换项目负责人、服务团队主要成员等。</w:t>
      </w:r>
      <w:r>
        <w:rPr>
          <w:rFonts w:ascii="宋体" w:hAnsi="宋体"/>
          <w:color w:val="auto"/>
          <w:szCs w:val="21"/>
        </w:rPr>
        <w:t>如提供的项目服务团队人员的态度和能力不符合项目要求，如</w:t>
      </w:r>
      <w:r>
        <w:rPr>
          <w:rFonts w:hint="eastAsia" w:ascii="宋体" w:hAnsi="宋体"/>
          <w:color w:val="auto"/>
          <w:szCs w:val="21"/>
        </w:rPr>
        <w:t>委托单位</w:t>
      </w:r>
      <w:r>
        <w:rPr>
          <w:rFonts w:ascii="宋体" w:hAnsi="宋体"/>
          <w:color w:val="auto"/>
          <w:szCs w:val="21"/>
        </w:rPr>
        <w:t>提出改进要求，</w:t>
      </w:r>
      <w:r>
        <w:rPr>
          <w:rFonts w:hint="eastAsia" w:ascii="宋体" w:hAnsi="宋体"/>
          <w:color w:val="auto"/>
          <w:szCs w:val="21"/>
        </w:rPr>
        <w:t>咨询单位须在</w:t>
      </w:r>
      <w:r>
        <w:rPr>
          <w:rFonts w:ascii="time" w:hAnsi="time"/>
          <w:color w:val="auto"/>
          <w:szCs w:val="21"/>
        </w:rPr>
        <w:t>3</w:t>
      </w:r>
      <w:r>
        <w:rPr>
          <w:rFonts w:ascii="宋体" w:hAnsi="宋体"/>
          <w:color w:val="auto"/>
          <w:szCs w:val="21"/>
        </w:rPr>
        <w:t>个工作日内进行改进或更换服务人员</w:t>
      </w:r>
      <w:r>
        <w:rPr>
          <w:rFonts w:hint="eastAsia" w:ascii="宋体" w:hAnsi="宋体"/>
          <w:color w:val="auto"/>
          <w:szCs w:val="21"/>
        </w:rPr>
        <w:t>，更换的人员须具备同等资质水平、执业年限及项目经验。</w:t>
      </w:r>
    </w:p>
    <w:p w14:paraId="53D7F4DC">
      <w:pPr>
        <w:ind w:firstLine="420"/>
        <w:rPr>
          <w:rFonts w:ascii="宋体" w:hAnsi="宋体"/>
          <w:color w:val="auto"/>
          <w:szCs w:val="21"/>
        </w:rPr>
      </w:pPr>
      <w:r>
        <w:rPr>
          <w:rFonts w:hint="eastAsia" w:ascii="宋体" w:hAnsi="宋体"/>
          <w:color w:val="auto"/>
          <w:szCs w:val="21"/>
        </w:rPr>
        <w:t>(3)出具的成果文件需满足国家及地方相关行业规范，标准要求。</w:t>
      </w:r>
    </w:p>
    <w:p w14:paraId="61E28C64">
      <w:pPr>
        <w:ind w:firstLine="42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)对于委托的项目，须按约定时限内及时响应，提交成果文件。因客观原因需要限期的，要提前与委托单位进行沟通，说明合理原因。</w:t>
      </w:r>
    </w:p>
    <w:p w14:paraId="0C3BB3FE">
      <w:pPr>
        <w:ind w:firstLine="420"/>
        <w:rPr>
          <w:color w:val="auto"/>
        </w:rPr>
      </w:pPr>
    </w:p>
    <w:p w14:paraId="198A34A6">
      <w:pPr>
        <w:ind w:firstLine="420"/>
        <w:rPr>
          <w:color w:val="auto"/>
        </w:rPr>
      </w:pPr>
    </w:p>
    <w:p w14:paraId="15F262B5">
      <w:pPr>
        <w:ind w:firstLine="420"/>
        <w:rPr>
          <w:color w:val="auto"/>
        </w:rPr>
      </w:pPr>
    </w:p>
    <w:p w14:paraId="30AAD63E">
      <w:pPr>
        <w:ind w:firstLine="420"/>
        <w:rPr>
          <w:color w:val="auto"/>
        </w:rPr>
      </w:pPr>
    </w:p>
    <w:p w14:paraId="1F0597B5">
      <w:pPr>
        <w:ind w:firstLine="420"/>
        <w:rPr>
          <w:color w:val="auto"/>
        </w:rPr>
      </w:pPr>
    </w:p>
    <w:p w14:paraId="52E37694">
      <w:pPr>
        <w:ind w:firstLine="420"/>
        <w:rPr>
          <w:color w:val="auto"/>
        </w:rPr>
      </w:pPr>
    </w:p>
    <w:p w14:paraId="43A8B8A5">
      <w:pPr>
        <w:ind w:firstLine="420"/>
        <w:rPr>
          <w:color w:val="auto"/>
        </w:rPr>
      </w:pPr>
    </w:p>
    <w:p w14:paraId="418CB408">
      <w:pPr>
        <w:ind w:firstLine="420"/>
        <w:rPr>
          <w:color w:val="auto"/>
        </w:rPr>
      </w:pPr>
    </w:p>
    <w:p w14:paraId="50B33673">
      <w:pPr>
        <w:ind w:firstLine="420"/>
        <w:rPr>
          <w:color w:val="auto"/>
        </w:rPr>
      </w:pPr>
    </w:p>
    <w:p w14:paraId="7D10AFA6">
      <w:pPr>
        <w:ind w:firstLine="420"/>
        <w:rPr>
          <w:color w:val="auto"/>
        </w:rPr>
      </w:pPr>
    </w:p>
    <w:p w14:paraId="0B539158">
      <w:pPr>
        <w:ind w:firstLine="420"/>
        <w:rPr>
          <w:color w:val="auto"/>
        </w:rPr>
      </w:pPr>
    </w:p>
    <w:bookmarkEnd w:id="344"/>
    <w:bookmarkEnd w:id="345"/>
    <w:p w14:paraId="1DB824A2">
      <w:pPr>
        <w:framePr w:hSpace="180" w:wrap="around" w:vAnchor="text" w:hAnchor="page" w:x="740" w:y="494"/>
        <w:suppressOverlap/>
        <w:ind w:firstLine="420"/>
        <w:rPr>
          <w:color w:val="auto"/>
          <w:szCs w:val="21"/>
        </w:rPr>
      </w:pPr>
      <w:bookmarkStart w:id="358" w:name="_Toc152042575"/>
      <w:bookmarkStart w:id="359" w:name="_Toc4334"/>
      <w:bookmarkStart w:id="360" w:name="_Toc20595"/>
      <w:bookmarkStart w:id="361" w:name="_Toc152045786"/>
      <w:bookmarkStart w:id="362" w:name="_Toc144974855"/>
      <w:bookmarkStart w:id="363" w:name="_Toc905"/>
      <w:bookmarkStart w:id="364" w:name="_Toc21356"/>
    </w:p>
    <w:p w14:paraId="1D589370">
      <w:pPr>
        <w:widowControl w:val="0"/>
        <w:autoSpaceDE w:val="0"/>
        <w:autoSpaceDN w:val="0"/>
        <w:adjustRightInd w:val="0"/>
        <w:snapToGrid w:val="0"/>
        <w:ind w:firstLine="0" w:firstLineChars="0"/>
        <w:jc w:val="center"/>
        <w:outlineLvl w:val="9"/>
        <w:rPr>
          <w:rFonts w:ascii="宋体" w:hAnsi="宋体"/>
          <w:b/>
          <w:bCs/>
          <w:color w:val="auto"/>
          <w:sz w:val="52"/>
          <w:szCs w:val="52"/>
        </w:rPr>
      </w:pPr>
      <w:bookmarkStart w:id="365" w:name="_Toc21876"/>
      <w:bookmarkStart w:id="366" w:name="_Toc18285"/>
    </w:p>
    <w:p w14:paraId="726CE88F">
      <w:pPr>
        <w:widowControl w:val="0"/>
        <w:autoSpaceDE w:val="0"/>
        <w:autoSpaceDN w:val="0"/>
        <w:adjustRightInd w:val="0"/>
        <w:snapToGrid w:val="0"/>
        <w:ind w:firstLine="0" w:firstLineChars="0"/>
        <w:jc w:val="center"/>
        <w:outlineLvl w:val="9"/>
        <w:rPr>
          <w:rFonts w:ascii="宋体" w:hAnsi="宋体"/>
          <w:b/>
          <w:bCs/>
          <w:color w:val="auto"/>
          <w:sz w:val="52"/>
          <w:szCs w:val="52"/>
        </w:rPr>
      </w:pPr>
    </w:p>
    <w:p w14:paraId="111B41D8">
      <w:pPr>
        <w:widowControl w:val="0"/>
        <w:autoSpaceDE w:val="0"/>
        <w:autoSpaceDN w:val="0"/>
        <w:adjustRightInd w:val="0"/>
        <w:snapToGrid w:val="0"/>
        <w:ind w:firstLine="0" w:firstLineChars="0"/>
        <w:jc w:val="center"/>
        <w:outlineLvl w:val="9"/>
        <w:rPr>
          <w:rFonts w:ascii="宋体" w:hAnsi="宋体"/>
          <w:b/>
          <w:bCs/>
          <w:color w:val="auto"/>
          <w:sz w:val="52"/>
          <w:szCs w:val="52"/>
        </w:rPr>
      </w:pPr>
    </w:p>
    <w:p w14:paraId="00696EE8">
      <w:pPr>
        <w:widowControl w:val="0"/>
        <w:autoSpaceDE w:val="0"/>
        <w:autoSpaceDN w:val="0"/>
        <w:adjustRightInd w:val="0"/>
        <w:snapToGrid w:val="0"/>
        <w:ind w:firstLine="0" w:firstLineChars="0"/>
        <w:jc w:val="center"/>
        <w:outlineLvl w:val="9"/>
        <w:rPr>
          <w:rFonts w:ascii="宋体" w:hAnsi="宋体"/>
          <w:b/>
          <w:bCs/>
          <w:color w:val="auto"/>
          <w:sz w:val="52"/>
          <w:szCs w:val="52"/>
        </w:rPr>
      </w:pPr>
    </w:p>
    <w:p w14:paraId="379DD669">
      <w:pPr>
        <w:widowControl/>
        <w:autoSpaceDE/>
        <w:autoSpaceDN/>
        <w:adjustRightInd/>
        <w:snapToGrid/>
        <w:ind w:firstLine="0" w:firstLineChars="0"/>
        <w:jc w:val="left"/>
        <w:outlineLvl w:val="9"/>
        <w:rPr>
          <w:rFonts w:hint="eastAsia" w:ascii="宋体" w:hAnsi="宋体"/>
          <w:b/>
          <w:bCs/>
          <w:color w:val="auto"/>
          <w:sz w:val="52"/>
          <w:szCs w:val="52"/>
        </w:rPr>
      </w:pPr>
      <w:r>
        <w:rPr>
          <w:rFonts w:hint="eastAsia" w:ascii="宋体" w:hAnsi="宋体"/>
          <w:b/>
          <w:bCs/>
          <w:color w:val="auto"/>
          <w:sz w:val="52"/>
          <w:szCs w:val="52"/>
        </w:rPr>
        <w:br w:type="page"/>
      </w:r>
    </w:p>
    <w:p w14:paraId="3CF090AD">
      <w:pPr>
        <w:widowControl w:val="0"/>
        <w:autoSpaceDE w:val="0"/>
        <w:autoSpaceDN w:val="0"/>
        <w:adjustRightInd w:val="0"/>
        <w:snapToGrid w:val="0"/>
        <w:ind w:firstLine="0" w:firstLineChars="0"/>
        <w:jc w:val="center"/>
        <w:outlineLvl w:val="0"/>
        <w:rPr>
          <w:rFonts w:ascii="宋体" w:hAnsi="宋体"/>
          <w:color w:val="auto"/>
          <w:sz w:val="52"/>
          <w:szCs w:val="52"/>
        </w:rPr>
      </w:pPr>
      <w:r>
        <w:rPr>
          <w:rFonts w:hint="eastAsia" w:ascii="宋体" w:hAnsi="宋体"/>
          <w:b/>
          <w:bCs/>
          <w:color w:val="auto"/>
          <w:sz w:val="52"/>
          <w:szCs w:val="52"/>
        </w:rPr>
        <w:t>第五章投标文件格式</w:t>
      </w:r>
      <w:bookmarkEnd w:id="358"/>
      <w:bookmarkEnd w:id="359"/>
      <w:bookmarkEnd w:id="360"/>
      <w:bookmarkEnd w:id="361"/>
      <w:bookmarkEnd w:id="362"/>
      <w:bookmarkEnd w:id="363"/>
      <w:bookmarkEnd w:id="364"/>
      <w:bookmarkEnd w:id="365"/>
      <w:bookmarkEnd w:id="366"/>
    </w:p>
    <w:p w14:paraId="75330543">
      <w:pPr>
        <w:widowControl w:val="0"/>
        <w:autoSpaceDE w:val="0"/>
        <w:autoSpaceDN w:val="0"/>
        <w:adjustRightInd w:val="0"/>
        <w:snapToGrid w:val="0"/>
        <w:ind w:firstLine="0" w:firstLineChars="0"/>
        <w:jc w:val="center"/>
        <w:rPr>
          <w:rFonts w:ascii="宋体" w:hAnsi="宋体"/>
          <w:color w:val="auto"/>
          <w:sz w:val="84"/>
          <w:szCs w:val="84"/>
        </w:rPr>
      </w:pPr>
      <w:r>
        <w:rPr>
          <w:rFonts w:ascii="宋体" w:hAnsi="宋体"/>
          <w:color w:val="auto"/>
        </w:rPr>
        <w:br w:type="page"/>
      </w:r>
      <w:bookmarkStart w:id="367" w:name="_Toc277844085"/>
      <w:bookmarkStart w:id="368" w:name="_Toc277844084"/>
    </w:p>
    <w:p w14:paraId="449D9EB9">
      <w:pPr>
        <w:widowControl w:val="0"/>
        <w:autoSpaceDE w:val="0"/>
        <w:autoSpaceDN w:val="0"/>
        <w:adjustRightInd w:val="0"/>
        <w:snapToGrid w:val="0"/>
        <w:ind w:firstLine="0" w:firstLineChars="0"/>
        <w:jc w:val="center"/>
        <w:rPr>
          <w:rFonts w:ascii="宋体" w:hAnsi="宋体"/>
          <w:color w:val="auto"/>
          <w:sz w:val="84"/>
          <w:szCs w:val="84"/>
        </w:rPr>
      </w:pPr>
    </w:p>
    <w:p w14:paraId="424079DF">
      <w:pPr>
        <w:widowControl w:val="0"/>
        <w:autoSpaceDE w:val="0"/>
        <w:autoSpaceDN w:val="0"/>
        <w:adjustRightInd w:val="0"/>
        <w:snapToGrid w:val="0"/>
        <w:ind w:firstLine="0" w:firstLineChars="0"/>
        <w:jc w:val="center"/>
        <w:rPr>
          <w:rFonts w:ascii="宋体" w:hAnsi="宋体"/>
          <w:b/>
          <w:color w:val="auto"/>
          <w:sz w:val="20"/>
          <w:szCs w:val="20"/>
        </w:rPr>
      </w:pPr>
      <w:bookmarkStart w:id="369" w:name="_Toc15836"/>
      <w:bookmarkStart w:id="370" w:name="_Toc8567"/>
      <w:r>
        <w:rPr>
          <w:rFonts w:hint="eastAsia" w:ascii="宋体" w:hAnsi="宋体" w:cs="Courier New"/>
          <w:b/>
          <w:bCs/>
          <w:color w:val="auto"/>
          <w:sz w:val="84"/>
          <w:szCs w:val="84"/>
        </w:rPr>
        <w:t>投标文件</w:t>
      </w:r>
      <w:bookmarkEnd w:id="369"/>
      <w:bookmarkEnd w:id="370"/>
    </w:p>
    <w:p w14:paraId="4BED0EFC">
      <w:pPr>
        <w:widowControl w:val="0"/>
        <w:autoSpaceDE w:val="0"/>
        <w:autoSpaceDN w:val="0"/>
        <w:adjustRightInd w:val="0"/>
        <w:snapToGrid w:val="0"/>
        <w:ind w:firstLine="0" w:firstLineChars="0"/>
        <w:jc w:val="center"/>
        <w:rPr>
          <w:rFonts w:ascii="宋体" w:hAnsi="宋体"/>
          <w:color w:val="auto"/>
          <w:sz w:val="28"/>
          <w:szCs w:val="28"/>
        </w:rPr>
      </w:pPr>
    </w:p>
    <w:p w14:paraId="4B94699D">
      <w:pPr>
        <w:widowControl w:val="0"/>
        <w:autoSpaceDE w:val="0"/>
        <w:autoSpaceDN w:val="0"/>
        <w:adjustRightInd w:val="0"/>
        <w:snapToGrid w:val="0"/>
        <w:ind w:firstLine="0" w:firstLineChars="0"/>
        <w:jc w:val="center"/>
        <w:rPr>
          <w:rFonts w:ascii="宋体" w:hAnsi="宋体"/>
          <w:color w:val="auto"/>
          <w:sz w:val="28"/>
          <w:szCs w:val="28"/>
        </w:rPr>
      </w:pPr>
    </w:p>
    <w:p w14:paraId="4D9C175A">
      <w:pPr>
        <w:widowControl w:val="0"/>
        <w:autoSpaceDE w:val="0"/>
        <w:autoSpaceDN w:val="0"/>
        <w:adjustRightInd w:val="0"/>
        <w:snapToGrid w:val="0"/>
        <w:ind w:firstLine="0" w:firstLineChars="0"/>
        <w:jc w:val="center"/>
        <w:rPr>
          <w:rFonts w:ascii="宋体" w:hAnsi="宋体"/>
          <w:color w:val="auto"/>
          <w:sz w:val="28"/>
          <w:szCs w:val="28"/>
        </w:rPr>
      </w:pPr>
    </w:p>
    <w:p w14:paraId="7959A4F3">
      <w:pPr>
        <w:widowControl w:val="0"/>
        <w:autoSpaceDE w:val="0"/>
        <w:autoSpaceDN w:val="0"/>
        <w:adjustRightInd w:val="0"/>
        <w:snapToGrid w:val="0"/>
        <w:ind w:firstLine="0" w:firstLineChars="0"/>
        <w:jc w:val="center"/>
        <w:rPr>
          <w:rFonts w:ascii="宋体" w:hAnsi="宋体"/>
          <w:color w:val="auto"/>
          <w:sz w:val="28"/>
          <w:szCs w:val="28"/>
        </w:rPr>
      </w:pPr>
    </w:p>
    <w:tbl>
      <w:tblPr>
        <w:tblStyle w:val="52"/>
        <w:tblW w:w="5000" w:type="pct"/>
        <w:tblInd w:w="-108" w:type="dxa"/>
        <w:tblLayout w:type="autofit"/>
        <w:tblCellMar>
          <w:top w:w="0" w:type="dxa"/>
          <w:left w:w="108" w:type="dxa"/>
          <w:bottom w:w="0" w:type="dxa"/>
          <w:right w:w="108" w:type="dxa"/>
        </w:tblCellMar>
      </w:tblPr>
      <w:tblGrid>
        <w:gridCol w:w="3557"/>
        <w:gridCol w:w="4750"/>
      </w:tblGrid>
      <w:tr w14:paraId="52B9D1B3">
        <w:tblPrEx>
          <w:tblCellMar>
            <w:top w:w="0" w:type="dxa"/>
            <w:left w:w="108" w:type="dxa"/>
            <w:bottom w:w="0" w:type="dxa"/>
            <w:right w:w="108" w:type="dxa"/>
          </w:tblCellMar>
        </w:tblPrEx>
        <w:tc>
          <w:tcPr>
            <w:tcW w:w="2141" w:type="pct"/>
            <w:vAlign w:val="center"/>
          </w:tcPr>
          <w:p w14:paraId="22C3D968">
            <w:pPr>
              <w:widowControl w:val="0"/>
              <w:autoSpaceDE w:val="0"/>
              <w:autoSpaceDN w:val="0"/>
              <w:adjustRightInd w:val="0"/>
              <w:snapToGrid w:val="0"/>
              <w:ind w:firstLine="0" w:firstLineChars="0"/>
              <w:rPr>
                <w:rFonts w:ascii="宋体" w:hAnsi="宋体"/>
                <w:b/>
                <w:color w:val="auto"/>
                <w:sz w:val="32"/>
                <w:szCs w:val="32"/>
              </w:rPr>
            </w:pPr>
            <w:r>
              <w:rPr>
                <w:rFonts w:hint="eastAsia" w:ascii="宋体" w:hAnsi="宋体"/>
                <w:b/>
                <w:color w:val="auto"/>
                <w:sz w:val="32"/>
                <w:szCs w:val="32"/>
              </w:rPr>
              <w:t>项目名称：</w:t>
            </w:r>
          </w:p>
        </w:tc>
        <w:tc>
          <w:tcPr>
            <w:tcW w:w="2859" w:type="pct"/>
            <w:vAlign w:val="center"/>
          </w:tcPr>
          <w:p w14:paraId="08AB13D2">
            <w:pPr>
              <w:widowControl w:val="0"/>
              <w:autoSpaceDE w:val="0"/>
              <w:autoSpaceDN w:val="0"/>
              <w:adjustRightInd w:val="0"/>
              <w:snapToGrid w:val="0"/>
              <w:ind w:firstLine="0" w:firstLineChars="0"/>
              <w:rPr>
                <w:rFonts w:hint="eastAsia" w:ascii="宋体" w:hAnsi="宋体" w:eastAsia="宋体"/>
                <w:b/>
                <w:color w:val="auto"/>
                <w:sz w:val="32"/>
                <w:szCs w:val="32"/>
                <w:u w:val="single"/>
                <w:lang w:eastAsia="zh-CN"/>
              </w:rPr>
            </w:pPr>
          </w:p>
        </w:tc>
      </w:tr>
      <w:tr w14:paraId="2E5C5CB5">
        <w:tblPrEx>
          <w:tblCellMar>
            <w:top w:w="0" w:type="dxa"/>
            <w:left w:w="108" w:type="dxa"/>
            <w:bottom w:w="0" w:type="dxa"/>
            <w:right w:w="108" w:type="dxa"/>
          </w:tblCellMar>
        </w:tblPrEx>
        <w:tc>
          <w:tcPr>
            <w:tcW w:w="2141" w:type="pct"/>
            <w:vAlign w:val="center"/>
          </w:tcPr>
          <w:p w14:paraId="3B934673">
            <w:pPr>
              <w:widowControl w:val="0"/>
              <w:autoSpaceDE w:val="0"/>
              <w:autoSpaceDN w:val="0"/>
              <w:adjustRightInd w:val="0"/>
              <w:snapToGrid w:val="0"/>
              <w:ind w:firstLine="0" w:firstLineChars="0"/>
              <w:rPr>
                <w:rFonts w:ascii="宋体" w:hAnsi="宋体"/>
                <w:b/>
                <w:color w:val="auto"/>
                <w:sz w:val="32"/>
                <w:szCs w:val="32"/>
              </w:rPr>
            </w:pPr>
            <w:r>
              <w:rPr>
                <w:rFonts w:hint="eastAsia" w:ascii="宋体" w:hAnsi="宋体"/>
                <w:b/>
                <w:color w:val="auto"/>
                <w:sz w:val="32"/>
                <w:szCs w:val="32"/>
              </w:rPr>
              <w:t>项目编号：</w:t>
            </w:r>
          </w:p>
        </w:tc>
        <w:tc>
          <w:tcPr>
            <w:tcW w:w="2859" w:type="pct"/>
            <w:vAlign w:val="center"/>
          </w:tcPr>
          <w:p w14:paraId="11E6F030">
            <w:pPr>
              <w:widowControl w:val="0"/>
              <w:autoSpaceDE w:val="0"/>
              <w:autoSpaceDN w:val="0"/>
              <w:adjustRightInd w:val="0"/>
              <w:snapToGrid w:val="0"/>
              <w:ind w:firstLine="0" w:firstLineChars="0"/>
              <w:rPr>
                <w:rFonts w:hint="eastAsia" w:ascii="宋体" w:hAnsi="宋体" w:eastAsia="宋体"/>
                <w:b/>
                <w:color w:val="auto"/>
                <w:sz w:val="32"/>
                <w:szCs w:val="32"/>
                <w:u w:val="single"/>
                <w:lang w:eastAsia="zh-CN"/>
              </w:rPr>
            </w:pPr>
            <w:r>
              <w:rPr>
                <w:rFonts w:hint="eastAsia" w:ascii="宋体" w:hAnsi="宋体" w:eastAsia="宋体"/>
                <w:b/>
                <w:color w:val="auto"/>
                <w:sz w:val="32"/>
                <w:szCs w:val="32"/>
                <w:u w:val="single"/>
                <w:lang w:eastAsia="zh-CN"/>
              </w:rPr>
              <w:t>YG26ZG0042454</w:t>
            </w:r>
          </w:p>
        </w:tc>
      </w:tr>
      <w:tr w14:paraId="6F7982BC">
        <w:tblPrEx>
          <w:tblCellMar>
            <w:top w:w="0" w:type="dxa"/>
            <w:left w:w="108" w:type="dxa"/>
            <w:bottom w:w="0" w:type="dxa"/>
            <w:right w:w="108" w:type="dxa"/>
          </w:tblCellMar>
        </w:tblPrEx>
        <w:tc>
          <w:tcPr>
            <w:tcW w:w="2141" w:type="pct"/>
            <w:vAlign w:val="center"/>
          </w:tcPr>
          <w:p w14:paraId="308BAAE3">
            <w:pPr>
              <w:widowControl w:val="0"/>
              <w:autoSpaceDE w:val="0"/>
              <w:autoSpaceDN w:val="0"/>
              <w:adjustRightInd w:val="0"/>
              <w:snapToGrid w:val="0"/>
              <w:ind w:firstLine="0" w:firstLineChars="0"/>
              <w:rPr>
                <w:rFonts w:ascii="宋体" w:hAnsi="宋体"/>
                <w:b/>
                <w:color w:val="auto"/>
                <w:sz w:val="32"/>
                <w:szCs w:val="32"/>
              </w:rPr>
            </w:pPr>
            <w:r>
              <w:rPr>
                <w:rFonts w:hint="eastAsia" w:ascii="宋体" w:hAnsi="宋体"/>
                <w:b/>
                <w:color w:val="auto"/>
                <w:sz w:val="32"/>
                <w:szCs w:val="32"/>
              </w:rPr>
              <w:t>投标人：</w:t>
            </w:r>
          </w:p>
        </w:tc>
        <w:tc>
          <w:tcPr>
            <w:tcW w:w="2859" w:type="pct"/>
            <w:vAlign w:val="center"/>
          </w:tcPr>
          <w:p w14:paraId="5E143634">
            <w:pPr>
              <w:widowControl w:val="0"/>
              <w:autoSpaceDE w:val="0"/>
              <w:autoSpaceDN w:val="0"/>
              <w:adjustRightInd w:val="0"/>
              <w:snapToGrid w:val="0"/>
              <w:ind w:firstLine="0" w:firstLineChars="0"/>
              <w:rPr>
                <w:rFonts w:hint="eastAsia" w:ascii="宋体" w:hAnsi="宋体" w:eastAsia="宋体"/>
                <w:b/>
                <w:color w:val="auto"/>
                <w:sz w:val="32"/>
                <w:szCs w:val="32"/>
                <w:u w:val="single"/>
                <w:lang w:eastAsia="zh-CN"/>
              </w:rPr>
            </w:pPr>
          </w:p>
        </w:tc>
      </w:tr>
      <w:tr w14:paraId="311CD63C">
        <w:tblPrEx>
          <w:tblCellMar>
            <w:top w:w="0" w:type="dxa"/>
            <w:left w:w="108" w:type="dxa"/>
            <w:bottom w:w="0" w:type="dxa"/>
            <w:right w:w="108" w:type="dxa"/>
          </w:tblCellMar>
        </w:tblPrEx>
        <w:tc>
          <w:tcPr>
            <w:tcW w:w="2141" w:type="pct"/>
            <w:vAlign w:val="center"/>
          </w:tcPr>
          <w:p w14:paraId="2906C0F3">
            <w:pPr>
              <w:widowControl w:val="0"/>
              <w:autoSpaceDE w:val="0"/>
              <w:autoSpaceDN w:val="0"/>
              <w:adjustRightInd w:val="0"/>
              <w:snapToGrid w:val="0"/>
              <w:ind w:firstLine="0" w:firstLineChars="0"/>
              <w:rPr>
                <w:rFonts w:ascii="宋体" w:hAnsi="宋体"/>
                <w:b/>
                <w:color w:val="auto"/>
                <w:sz w:val="32"/>
                <w:szCs w:val="32"/>
              </w:rPr>
            </w:pPr>
            <w:r>
              <w:rPr>
                <w:rFonts w:hint="eastAsia" w:ascii="宋体" w:hAnsi="宋体"/>
                <w:b/>
                <w:color w:val="auto"/>
                <w:sz w:val="32"/>
                <w:szCs w:val="32"/>
              </w:rPr>
              <w:t>法定代表人/单位负责人</w:t>
            </w:r>
          </w:p>
          <w:p w14:paraId="50622341">
            <w:pPr>
              <w:widowControl w:val="0"/>
              <w:autoSpaceDE w:val="0"/>
              <w:autoSpaceDN w:val="0"/>
              <w:adjustRightInd w:val="0"/>
              <w:snapToGrid w:val="0"/>
              <w:ind w:firstLine="0" w:firstLineChars="0"/>
              <w:rPr>
                <w:rFonts w:ascii="宋体" w:hAnsi="宋体"/>
                <w:b/>
                <w:color w:val="auto"/>
                <w:sz w:val="32"/>
                <w:szCs w:val="32"/>
              </w:rPr>
            </w:pPr>
            <w:r>
              <w:rPr>
                <w:rFonts w:hint="eastAsia" w:ascii="宋体" w:hAnsi="宋体"/>
                <w:b/>
                <w:color w:val="auto"/>
                <w:sz w:val="32"/>
                <w:szCs w:val="32"/>
              </w:rPr>
              <w:t>或其委托代理人：</w:t>
            </w:r>
          </w:p>
        </w:tc>
        <w:tc>
          <w:tcPr>
            <w:tcW w:w="2859" w:type="pct"/>
            <w:vAlign w:val="center"/>
          </w:tcPr>
          <w:p w14:paraId="1BE17EE8">
            <w:pPr>
              <w:widowControl w:val="0"/>
              <w:autoSpaceDE w:val="0"/>
              <w:autoSpaceDN w:val="0"/>
              <w:adjustRightInd w:val="0"/>
              <w:snapToGrid w:val="0"/>
              <w:ind w:firstLine="0" w:firstLineChars="0"/>
              <w:rPr>
                <w:rFonts w:hint="eastAsia" w:ascii="宋体" w:hAnsi="宋体" w:eastAsia="宋体"/>
                <w:b/>
                <w:color w:val="auto"/>
                <w:sz w:val="32"/>
                <w:szCs w:val="32"/>
                <w:u w:val="single"/>
                <w:lang w:eastAsia="zh-CN"/>
              </w:rPr>
            </w:pPr>
          </w:p>
        </w:tc>
      </w:tr>
      <w:tr w14:paraId="7E0B4245">
        <w:tblPrEx>
          <w:tblCellMar>
            <w:top w:w="0" w:type="dxa"/>
            <w:left w:w="108" w:type="dxa"/>
            <w:bottom w:w="0" w:type="dxa"/>
            <w:right w:w="108" w:type="dxa"/>
          </w:tblCellMar>
        </w:tblPrEx>
        <w:tc>
          <w:tcPr>
            <w:tcW w:w="2141" w:type="pct"/>
            <w:vAlign w:val="center"/>
          </w:tcPr>
          <w:p w14:paraId="2FF8E7A8">
            <w:pPr>
              <w:widowControl w:val="0"/>
              <w:autoSpaceDE w:val="0"/>
              <w:autoSpaceDN w:val="0"/>
              <w:adjustRightInd w:val="0"/>
              <w:snapToGrid w:val="0"/>
              <w:ind w:firstLine="0" w:firstLineChars="0"/>
              <w:rPr>
                <w:rFonts w:ascii="宋体" w:hAnsi="宋体"/>
                <w:b/>
                <w:color w:val="auto"/>
                <w:sz w:val="32"/>
                <w:szCs w:val="32"/>
              </w:rPr>
            </w:pPr>
            <w:r>
              <w:rPr>
                <w:rFonts w:hint="eastAsia" w:ascii="宋体" w:hAnsi="宋体"/>
                <w:b/>
                <w:color w:val="auto"/>
                <w:sz w:val="32"/>
                <w:szCs w:val="32"/>
              </w:rPr>
              <w:t>日期</w:t>
            </w:r>
            <w:r>
              <w:rPr>
                <w:rFonts w:ascii="宋体" w:hAnsi="宋体"/>
                <w:b/>
                <w:color w:val="auto"/>
                <w:sz w:val="32"/>
                <w:szCs w:val="32"/>
              </w:rPr>
              <w:t>：</w:t>
            </w:r>
          </w:p>
        </w:tc>
        <w:tc>
          <w:tcPr>
            <w:tcW w:w="2859" w:type="pct"/>
            <w:vAlign w:val="center"/>
          </w:tcPr>
          <w:p w14:paraId="1D9B101F">
            <w:pPr>
              <w:widowControl w:val="0"/>
              <w:autoSpaceDE w:val="0"/>
              <w:autoSpaceDN w:val="0"/>
              <w:adjustRightInd w:val="0"/>
              <w:snapToGrid w:val="0"/>
              <w:ind w:firstLine="964" w:firstLineChars="300"/>
              <w:rPr>
                <w:rFonts w:ascii="宋体" w:hAnsi="宋体"/>
                <w:b/>
                <w:color w:val="auto"/>
                <w:sz w:val="32"/>
                <w:szCs w:val="32"/>
                <w:u w:val="single"/>
              </w:rPr>
            </w:pPr>
            <w:r>
              <w:rPr>
                <w:rFonts w:hint="eastAsia" w:ascii="宋体" w:hAnsi="宋体"/>
                <w:b/>
                <w:color w:val="auto"/>
                <w:sz w:val="32"/>
                <w:szCs w:val="32"/>
              </w:rPr>
              <w:t>年</w:t>
            </w:r>
            <w:r>
              <w:rPr>
                <w:rFonts w:hint="eastAsia" w:ascii="宋体" w:hAnsi="宋体"/>
                <w:b/>
                <w:color w:val="auto"/>
                <w:sz w:val="32"/>
                <w:szCs w:val="32"/>
                <w:lang w:val="en-US" w:eastAsia="zh-CN"/>
              </w:rPr>
              <w:t xml:space="preserve">   </w:t>
            </w:r>
            <w:r>
              <w:rPr>
                <w:rFonts w:hint="eastAsia" w:ascii="宋体" w:hAnsi="宋体"/>
                <w:b/>
                <w:color w:val="auto"/>
                <w:sz w:val="32"/>
                <w:szCs w:val="32"/>
              </w:rPr>
              <w:t>月</w:t>
            </w:r>
            <w:r>
              <w:rPr>
                <w:rFonts w:hint="eastAsia" w:ascii="宋体" w:hAnsi="宋体"/>
                <w:b/>
                <w:color w:val="auto"/>
                <w:sz w:val="32"/>
                <w:szCs w:val="32"/>
                <w:lang w:val="en-US" w:eastAsia="zh-CN"/>
              </w:rPr>
              <w:t xml:space="preserve">   </w:t>
            </w:r>
            <w:r>
              <w:rPr>
                <w:rFonts w:hint="eastAsia" w:ascii="宋体" w:hAnsi="宋体"/>
                <w:b/>
                <w:color w:val="auto"/>
                <w:sz w:val="32"/>
                <w:szCs w:val="32"/>
              </w:rPr>
              <w:t>日</w:t>
            </w:r>
          </w:p>
        </w:tc>
      </w:tr>
    </w:tbl>
    <w:p w14:paraId="2CB72247">
      <w:pPr>
        <w:widowControl w:val="0"/>
        <w:autoSpaceDE w:val="0"/>
        <w:autoSpaceDN w:val="0"/>
        <w:adjustRightInd w:val="0"/>
        <w:snapToGrid w:val="0"/>
        <w:ind w:firstLine="0" w:firstLineChars="0"/>
        <w:jc w:val="left"/>
        <w:rPr>
          <w:rFonts w:ascii="宋体" w:hAnsi="宋体"/>
          <w:b/>
          <w:color w:val="auto"/>
          <w:sz w:val="44"/>
          <w:szCs w:val="44"/>
        </w:rPr>
      </w:pPr>
    </w:p>
    <w:p w14:paraId="449DCE4A">
      <w:pPr>
        <w:widowControl w:val="0"/>
        <w:autoSpaceDE w:val="0"/>
        <w:autoSpaceDN w:val="0"/>
        <w:adjustRightInd w:val="0"/>
        <w:snapToGrid w:val="0"/>
        <w:ind w:firstLine="0" w:firstLineChars="0"/>
        <w:rPr>
          <w:rFonts w:ascii="宋体" w:hAnsi="宋体"/>
          <w:color w:val="auto"/>
        </w:rPr>
      </w:pPr>
    </w:p>
    <w:p w14:paraId="7DE814A7">
      <w:pPr>
        <w:ind w:firstLine="420"/>
        <w:rPr>
          <w:color w:val="auto"/>
        </w:rPr>
      </w:pPr>
      <w:r>
        <w:rPr>
          <w:rFonts w:ascii="宋体" w:hAnsi="宋体"/>
          <w:color w:val="auto"/>
        </w:rPr>
        <w:br w:type="page"/>
      </w:r>
      <w:bookmarkStart w:id="371" w:name="_Toc28962"/>
      <w:bookmarkStart w:id="372" w:name="_Hlk532142363"/>
      <w:bookmarkStart w:id="373" w:name="_Toc19109"/>
    </w:p>
    <w:p w14:paraId="0DF478FC">
      <w:pPr>
        <w:ind w:firstLine="420"/>
        <w:rPr>
          <w:color w:val="auto"/>
        </w:rPr>
      </w:pPr>
    </w:p>
    <w:p w14:paraId="2E342F5E">
      <w:pPr>
        <w:ind w:firstLine="420"/>
        <w:rPr>
          <w:color w:val="auto"/>
        </w:rPr>
      </w:pPr>
    </w:p>
    <w:p w14:paraId="436A038C">
      <w:pPr>
        <w:ind w:firstLine="420"/>
        <w:rPr>
          <w:color w:val="auto"/>
        </w:rPr>
      </w:pPr>
    </w:p>
    <w:p w14:paraId="06A55C41">
      <w:pPr>
        <w:ind w:firstLine="420"/>
        <w:rPr>
          <w:color w:val="auto"/>
        </w:rPr>
      </w:pPr>
    </w:p>
    <w:p w14:paraId="1EDB3EFC">
      <w:pPr>
        <w:ind w:firstLine="420"/>
        <w:rPr>
          <w:color w:val="auto"/>
        </w:rPr>
      </w:pPr>
    </w:p>
    <w:p w14:paraId="07EC3F4D">
      <w:pPr>
        <w:ind w:firstLine="420"/>
        <w:rPr>
          <w:color w:val="auto"/>
        </w:rPr>
      </w:pPr>
    </w:p>
    <w:p w14:paraId="16142366">
      <w:pPr>
        <w:ind w:firstLine="420"/>
        <w:rPr>
          <w:color w:val="auto"/>
        </w:rPr>
      </w:pPr>
    </w:p>
    <w:p w14:paraId="50F72F10">
      <w:pPr>
        <w:ind w:firstLine="420"/>
        <w:rPr>
          <w:color w:val="auto"/>
        </w:rPr>
      </w:pPr>
    </w:p>
    <w:p w14:paraId="4FB67954">
      <w:pPr>
        <w:ind w:firstLine="420"/>
        <w:rPr>
          <w:color w:val="auto"/>
        </w:rPr>
      </w:pPr>
    </w:p>
    <w:p w14:paraId="47C532BE">
      <w:pPr>
        <w:ind w:firstLine="420"/>
        <w:rPr>
          <w:color w:val="auto"/>
        </w:rPr>
      </w:pPr>
    </w:p>
    <w:p w14:paraId="53625099">
      <w:pPr>
        <w:ind w:firstLine="420"/>
        <w:rPr>
          <w:color w:val="auto"/>
        </w:rPr>
      </w:pPr>
    </w:p>
    <w:p w14:paraId="3C95C34F">
      <w:pPr>
        <w:ind w:firstLine="420"/>
        <w:rPr>
          <w:color w:val="auto"/>
        </w:rPr>
      </w:pPr>
    </w:p>
    <w:p w14:paraId="61D15D99">
      <w:pPr>
        <w:ind w:firstLine="420"/>
        <w:rPr>
          <w:color w:val="auto"/>
        </w:rPr>
      </w:pPr>
    </w:p>
    <w:p w14:paraId="751F1DF1">
      <w:pPr>
        <w:ind w:firstLine="420"/>
        <w:rPr>
          <w:color w:val="auto"/>
        </w:rPr>
      </w:pPr>
    </w:p>
    <w:p w14:paraId="116C987D">
      <w:pPr>
        <w:ind w:firstLine="420"/>
        <w:rPr>
          <w:color w:val="auto"/>
        </w:rPr>
      </w:pPr>
    </w:p>
    <w:p w14:paraId="2E807613">
      <w:pPr>
        <w:ind w:firstLine="420"/>
        <w:rPr>
          <w:color w:val="auto"/>
        </w:rPr>
      </w:pPr>
    </w:p>
    <w:p w14:paraId="2C63DE06">
      <w:pPr>
        <w:ind w:firstLine="420"/>
        <w:rPr>
          <w:color w:val="auto"/>
        </w:rPr>
      </w:pPr>
    </w:p>
    <w:p w14:paraId="265163BE">
      <w:pPr>
        <w:widowControl w:val="0"/>
        <w:autoSpaceDE w:val="0"/>
        <w:autoSpaceDN w:val="0"/>
        <w:adjustRightInd w:val="0"/>
        <w:snapToGrid w:val="0"/>
        <w:ind w:firstLine="0" w:firstLineChars="0"/>
        <w:jc w:val="center"/>
        <w:outlineLvl w:val="1"/>
        <w:rPr>
          <w:rFonts w:ascii="宋体" w:hAnsi="宋体"/>
          <w:color w:val="auto"/>
          <w:sz w:val="44"/>
          <w:szCs w:val="44"/>
        </w:rPr>
      </w:pPr>
      <w:bookmarkStart w:id="374" w:name="_Toc13360"/>
      <w:bookmarkStart w:id="375" w:name="_Toc19088"/>
      <w:r>
        <w:rPr>
          <w:rFonts w:hint="eastAsia" w:ascii="宋体" w:hAnsi="宋体"/>
          <w:b/>
          <w:color w:val="auto"/>
          <w:sz w:val="44"/>
          <w:szCs w:val="44"/>
        </w:rPr>
        <w:t>一</w:t>
      </w:r>
      <w:r>
        <w:rPr>
          <w:rFonts w:ascii="宋体" w:hAnsi="宋体"/>
          <w:b/>
          <w:color w:val="auto"/>
          <w:sz w:val="44"/>
          <w:szCs w:val="44"/>
        </w:rPr>
        <w:t>、</w:t>
      </w:r>
      <w:r>
        <w:rPr>
          <w:rFonts w:hint="eastAsia" w:ascii="宋体" w:hAnsi="宋体"/>
          <w:b/>
          <w:color w:val="auto"/>
          <w:sz w:val="44"/>
          <w:szCs w:val="44"/>
        </w:rPr>
        <w:t>资格审查文件部分</w:t>
      </w:r>
      <w:bookmarkEnd w:id="371"/>
      <w:bookmarkEnd w:id="372"/>
      <w:bookmarkEnd w:id="373"/>
      <w:bookmarkEnd w:id="374"/>
      <w:bookmarkEnd w:id="375"/>
    </w:p>
    <w:p w14:paraId="1A499EA4">
      <w:pPr>
        <w:widowControl w:val="0"/>
        <w:autoSpaceDE w:val="0"/>
        <w:autoSpaceDN w:val="0"/>
        <w:adjustRightInd w:val="0"/>
        <w:snapToGrid w:val="0"/>
        <w:ind w:firstLine="0" w:firstLineChars="0"/>
        <w:outlineLvl w:val="2"/>
        <w:rPr>
          <w:rFonts w:ascii="宋体" w:hAnsi="宋体"/>
          <w:color w:val="auto"/>
        </w:rPr>
      </w:pPr>
      <w:r>
        <w:rPr>
          <w:rFonts w:ascii="宋体" w:hAnsi="宋体"/>
          <w:color w:val="auto"/>
        </w:rPr>
        <w:br w:type="page"/>
      </w:r>
      <w:bookmarkStart w:id="376" w:name="_Toc24159"/>
      <w:bookmarkStart w:id="377" w:name="_Toc25492"/>
      <w:bookmarkStart w:id="378" w:name="_Toc19939"/>
      <w:r>
        <w:rPr>
          <w:rFonts w:hint="eastAsia" w:ascii="宋体" w:hAnsi="宋体"/>
          <w:b/>
          <w:color w:val="auto"/>
        </w:rPr>
        <w:t>A1、营业执照</w:t>
      </w:r>
      <w:bookmarkEnd w:id="376"/>
      <w:bookmarkEnd w:id="377"/>
      <w:bookmarkEnd w:id="378"/>
    </w:p>
    <w:p w14:paraId="750A44DE">
      <w:pPr>
        <w:widowControl w:val="0"/>
        <w:autoSpaceDE w:val="0"/>
        <w:autoSpaceDN w:val="0"/>
        <w:adjustRightInd w:val="0"/>
        <w:snapToGrid w:val="0"/>
        <w:ind w:firstLine="0" w:firstLineChars="0"/>
        <w:jc w:val="left"/>
        <w:outlineLvl w:val="2"/>
        <w:rPr>
          <w:rFonts w:hint="eastAsia" w:ascii="宋体" w:hAnsi="宋体"/>
          <w:b/>
          <w:szCs w:val="21"/>
          <w:highlight w:val="none"/>
        </w:rPr>
      </w:pPr>
      <w:r>
        <w:rPr>
          <w:rFonts w:ascii="宋体" w:hAnsi="宋体"/>
          <w:color w:val="auto"/>
          <w:sz w:val="22"/>
        </w:rPr>
        <w:br w:type="page"/>
      </w:r>
      <w:bookmarkStart w:id="379" w:name="_Toc25856"/>
      <w:bookmarkStart w:id="380" w:name="_Toc16048"/>
      <w:bookmarkStart w:id="381" w:name="_Toc13789"/>
      <w:bookmarkStart w:id="382" w:name="_Toc28474"/>
      <w:r>
        <w:rPr>
          <w:rFonts w:hint="eastAsia" w:ascii="宋体" w:hAnsi="宋体"/>
          <w:b/>
          <w:szCs w:val="21"/>
          <w:highlight w:val="none"/>
        </w:rPr>
        <w:t>A2、</w:t>
      </w:r>
      <w:r>
        <w:rPr>
          <w:rFonts w:ascii="宋体" w:hAnsi="宋体"/>
          <w:b/>
          <w:szCs w:val="21"/>
          <w:highlight w:val="none"/>
        </w:rPr>
        <w:t>法定</w:t>
      </w:r>
      <w:r>
        <w:rPr>
          <w:rFonts w:hint="eastAsia" w:ascii="宋体" w:hAnsi="宋体"/>
          <w:b/>
          <w:highlight w:val="none"/>
        </w:rPr>
        <w:t>代表人</w:t>
      </w:r>
      <w:r>
        <w:rPr>
          <w:rFonts w:hint="eastAsia" w:ascii="宋体" w:hAnsi="宋体"/>
          <w:b/>
          <w:szCs w:val="21"/>
          <w:highlight w:val="none"/>
        </w:rPr>
        <w:t>资格证明书</w:t>
      </w:r>
      <w:bookmarkEnd w:id="379"/>
      <w:bookmarkEnd w:id="380"/>
      <w:bookmarkEnd w:id="381"/>
      <w:bookmarkEnd w:id="382"/>
    </w:p>
    <w:p w14:paraId="6B55B2D4">
      <w:pPr>
        <w:widowControl w:val="0"/>
        <w:autoSpaceDE w:val="0"/>
        <w:autoSpaceDN w:val="0"/>
        <w:adjustRightInd w:val="0"/>
        <w:snapToGrid w:val="0"/>
        <w:ind w:firstLine="0" w:firstLineChars="0"/>
        <w:jc w:val="left"/>
        <w:rPr>
          <w:rFonts w:hint="eastAsia" w:ascii="宋体" w:hAnsi="宋体"/>
          <w:sz w:val="24"/>
          <w:highlight w:val="none"/>
        </w:rPr>
      </w:pPr>
    </w:p>
    <w:p w14:paraId="5839DF51">
      <w:pPr>
        <w:widowControl w:val="0"/>
        <w:autoSpaceDE w:val="0"/>
        <w:autoSpaceDN w:val="0"/>
        <w:adjustRightInd w:val="0"/>
        <w:snapToGrid w:val="0"/>
        <w:ind w:firstLine="0" w:firstLineChars="0"/>
        <w:jc w:val="center"/>
        <w:rPr>
          <w:rFonts w:hint="eastAsia" w:ascii="宋体" w:hAnsi="宋体"/>
          <w:b/>
          <w:sz w:val="32"/>
          <w:szCs w:val="32"/>
          <w:highlight w:val="none"/>
        </w:rPr>
      </w:pPr>
      <w:r>
        <w:rPr>
          <w:rFonts w:hint="eastAsia" w:ascii="宋体" w:hAnsi="宋体"/>
          <w:b/>
          <w:sz w:val="32"/>
          <w:szCs w:val="32"/>
          <w:highlight w:val="none"/>
        </w:rPr>
        <w:t>法定代表人资格证明书</w:t>
      </w:r>
    </w:p>
    <w:p w14:paraId="6C5B0562">
      <w:pPr>
        <w:widowControl w:val="0"/>
        <w:autoSpaceDE w:val="0"/>
        <w:autoSpaceDN w:val="0"/>
        <w:adjustRightInd w:val="0"/>
        <w:snapToGrid w:val="0"/>
        <w:ind w:firstLine="0" w:firstLineChars="0"/>
        <w:jc w:val="left"/>
        <w:rPr>
          <w:rFonts w:hint="eastAsia" w:ascii="宋体" w:hAnsi="宋体"/>
          <w:sz w:val="24"/>
          <w:highlight w:val="none"/>
        </w:rPr>
      </w:pPr>
    </w:p>
    <w:p w14:paraId="78A76E99">
      <w:pPr>
        <w:widowControl w:val="0"/>
        <w:autoSpaceDE w:val="0"/>
        <w:autoSpaceDN w:val="0"/>
        <w:adjustRightInd w:val="0"/>
        <w:snapToGrid w:val="0"/>
        <w:ind w:firstLine="0" w:firstLineChars="0"/>
        <w:jc w:val="left"/>
        <w:rPr>
          <w:rFonts w:hint="eastAsia" w:ascii="宋体" w:hAnsi="宋体"/>
          <w:szCs w:val="21"/>
          <w:highlight w:val="none"/>
          <w:u w:val="single"/>
        </w:rPr>
      </w:pPr>
      <w:r>
        <w:rPr>
          <w:rFonts w:hint="eastAsia" w:ascii="宋体" w:hAnsi="宋体"/>
          <w:szCs w:val="21"/>
          <w:highlight w:val="none"/>
        </w:rPr>
        <w:t>投标人名称：</w:t>
      </w:r>
      <w:r>
        <w:rPr>
          <w:rFonts w:hint="eastAsia" w:ascii="宋体" w:hAnsi="宋体"/>
          <w:szCs w:val="21"/>
          <w:highlight w:val="none"/>
          <w:u w:val="single"/>
        </w:rPr>
        <w:t xml:space="preserve">                                 </w:t>
      </w:r>
    </w:p>
    <w:p w14:paraId="35910B1A">
      <w:pPr>
        <w:widowControl w:val="0"/>
        <w:autoSpaceDE w:val="0"/>
        <w:autoSpaceDN w:val="0"/>
        <w:adjustRightInd w:val="0"/>
        <w:snapToGrid w:val="0"/>
        <w:ind w:firstLine="0" w:firstLineChars="0"/>
        <w:jc w:val="left"/>
        <w:rPr>
          <w:rFonts w:hint="eastAsia" w:ascii="宋体" w:hAnsi="宋体"/>
          <w:szCs w:val="21"/>
          <w:highlight w:val="none"/>
          <w:u w:val="single"/>
        </w:rPr>
      </w:pPr>
      <w:r>
        <w:rPr>
          <w:rFonts w:hint="eastAsia" w:ascii="宋体" w:hAnsi="宋体"/>
          <w:szCs w:val="21"/>
          <w:highlight w:val="none"/>
        </w:rPr>
        <w:t>单位性质：</w:t>
      </w:r>
      <w:r>
        <w:rPr>
          <w:rFonts w:hint="eastAsia" w:ascii="宋体" w:hAnsi="宋体"/>
          <w:szCs w:val="21"/>
          <w:highlight w:val="none"/>
          <w:u w:val="single"/>
        </w:rPr>
        <w:t xml:space="preserve">                                   </w:t>
      </w:r>
    </w:p>
    <w:p w14:paraId="03AF33B4">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地址：</w:t>
      </w:r>
      <w:r>
        <w:rPr>
          <w:rFonts w:hint="eastAsia" w:ascii="宋体" w:hAnsi="宋体"/>
          <w:szCs w:val="21"/>
          <w:highlight w:val="none"/>
          <w:u w:val="single"/>
        </w:rPr>
        <w:t xml:space="preserve">                                       </w:t>
      </w:r>
    </w:p>
    <w:p w14:paraId="6C83238C">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成立时间：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71501B32">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经营期限：</w:t>
      </w:r>
      <w:r>
        <w:rPr>
          <w:rFonts w:hint="eastAsia" w:ascii="宋体" w:hAnsi="宋体"/>
          <w:szCs w:val="21"/>
          <w:highlight w:val="none"/>
          <w:u w:val="single"/>
        </w:rPr>
        <w:t xml:space="preserve">                                   </w:t>
      </w:r>
    </w:p>
    <w:p w14:paraId="300AD46D">
      <w:pPr>
        <w:widowControl w:val="0"/>
        <w:autoSpaceDE w:val="0"/>
        <w:autoSpaceDN w:val="0"/>
        <w:adjustRightInd w:val="0"/>
        <w:snapToGrid w:val="0"/>
        <w:ind w:firstLine="0" w:firstLineChars="0"/>
        <w:jc w:val="left"/>
        <w:rPr>
          <w:rFonts w:hint="eastAsia" w:ascii="宋体" w:hAnsi="宋体"/>
          <w:szCs w:val="21"/>
          <w:highlight w:val="none"/>
          <w:u w:val="single"/>
        </w:rPr>
      </w:pPr>
      <w:r>
        <w:rPr>
          <w:rFonts w:hint="eastAsia" w:ascii="宋体" w:hAnsi="宋体"/>
          <w:szCs w:val="21"/>
          <w:highlight w:val="none"/>
        </w:rPr>
        <w:t>姓名：</w:t>
      </w:r>
      <w:r>
        <w:rPr>
          <w:rFonts w:hint="eastAsia" w:ascii="宋体" w:hAnsi="宋体"/>
          <w:szCs w:val="21"/>
          <w:highlight w:val="none"/>
          <w:u w:val="single"/>
        </w:rPr>
        <w:t xml:space="preserve">                                       </w:t>
      </w:r>
    </w:p>
    <w:p w14:paraId="32A6137A">
      <w:pPr>
        <w:widowControl w:val="0"/>
        <w:autoSpaceDE w:val="0"/>
        <w:autoSpaceDN w:val="0"/>
        <w:adjustRightInd w:val="0"/>
        <w:snapToGrid w:val="0"/>
        <w:ind w:firstLine="0" w:firstLineChars="0"/>
        <w:jc w:val="left"/>
        <w:rPr>
          <w:rFonts w:hint="eastAsia" w:ascii="宋体" w:hAnsi="宋体"/>
          <w:szCs w:val="21"/>
          <w:highlight w:val="none"/>
          <w:u w:val="single"/>
        </w:rPr>
      </w:pPr>
      <w:r>
        <w:rPr>
          <w:rFonts w:hint="eastAsia" w:ascii="宋体" w:hAnsi="宋体"/>
          <w:szCs w:val="21"/>
          <w:highlight w:val="none"/>
        </w:rPr>
        <w:t>性别：</w:t>
      </w:r>
      <w:r>
        <w:rPr>
          <w:rFonts w:hint="eastAsia" w:ascii="宋体" w:hAnsi="宋体"/>
          <w:szCs w:val="21"/>
          <w:highlight w:val="none"/>
          <w:u w:val="single"/>
        </w:rPr>
        <w:t xml:space="preserve">                                       </w:t>
      </w:r>
    </w:p>
    <w:p w14:paraId="277EBDDC">
      <w:pPr>
        <w:widowControl w:val="0"/>
        <w:autoSpaceDE w:val="0"/>
        <w:autoSpaceDN w:val="0"/>
        <w:adjustRightInd w:val="0"/>
        <w:snapToGrid w:val="0"/>
        <w:ind w:firstLine="0" w:firstLineChars="0"/>
        <w:jc w:val="left"/>
        <w:rPr>
          <w:rFonts w:hint="eastAsia" w:ascii="宋体" w:hAnsi="宋体"/>
          <w:szCs w:val="21"/>
          <w:highlight w:val="none"/>
          <w:u w:val="single"/>
        </w:rPr>
      </w:pPr>
      <w:r>
        <w:rPr>
          <w:rFonts w:hint="eastAsia" w:ascii="宋体" w:hAnsi="宋体"/>
          <w:szCs w:val="21"/>
          <w:highlight w:val="none"/>
        </w:rPr>
        <w:t>年龄：</w:t>
      </w:r>
      <w:r>
        <w:rPr>
          <w:rFonts w:hint="eastAsia" w:ascii="宋体" w:hAnsi="宋体"/>
          <w:szCs w:val="21"/>
          <w:highlight w:val="none"/>
          <w:u w:val="single"/>
        </w:rPr>
        <w:t xml:space="preserve">                                       </w:t>
      </w:r>
    </w:p>
    <w:p w14:paraId="2AB0F770">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职务：</w:t>
      </w:r>
      <w:r>
        <w:rPr>
          <w:rFonts w:hint="eastAsia" w:ascii="宋体" w:hAnsi="宋体"/>
          <w:szCs w:val="21"/>
          <w:highlight w:val="none"/>
          <w:u w:val="single"/>
        </w:rPr>
        <w:t xml:space="preserve">                                       </w:t>
      </w:r>
    </w:p>
    <w:p w14:paraId="4DF9B9B8">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系</w:t>
      </w:r>
      <w:r>
        <w:rPr>
          <w:rFonts w:hint="eastAsia" w:ascii="宋体" w:hAnsi="宋体"/>
          <w:szCs w:val="21"/>
          <w:highlight w:val="none"/>
          <w:u w:val="single"/>
        </w:rPr>
        <w:t xml:space="preserve">   （投标人名称）  </w:t>
      </w:r>
      <w:r>
        <w:rPr>
          <w:rFonts w:hint="eastAsia" w:ascii="宋体" w:hAnsi="宋体"/>
          <w:szCs w:val="21"/>
          <w:highlight w:val="none"/>
        </w:rPr>
        <w:t>的法定代表人。</w:t>
      </w:r>
    </w:p>
    <w:p w14:paraId="1E83D251">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特此证明。</w:t>
      </w:r>
    </w:p>
    <w:p w14:paraId="1CEFFC98">
      <w:pPr>
        <w:widowControl w:val="0"/>
        <w:autoSpaceDE w:val="0"/>
        <w:autoSpaceDN w:val="0"/>
        <w:adjustRightInd w:val="0"/>
        <w:snapToGrid w:val="0"/>
        <w:ind w:firstLine="0" w:firstLineChars="0"/>
        <w:jc w:val="left"/>
        <w:rPr>
          <w:rFonts w:hint="eastAsia" w:ascii="宋体" w:hAnsi="宋体"/>
          <w:bCs/>
          <w:szCs w:val="21"/>
          <w:highlight w:val="none"/>
        </w:rPr>
      </w:pPr>
    </w:p>
    <w:p w14:paraId="52D9C1B3">
      <w:pPr>
        <w:widowControl w:val="0"/>
        <w:autoSpaceDE w:val="0"/>
        <w:autoSpaceDN w:val="0"/>
        <w:adjustRightInd w:val="0"/>
        <w:snapToGrid w:val="0"/>
        <w:ind w:firstLine="0" w:firstLineChars="0"/>
        <w:jc w:val="left"/>
        <w:rPr>
          <w:rFonts w:hint="eastAsia" w:ascii="宋体" w:hAnsi="宋体"/>
          <w:szCs w:val="21"/>
          <w:highlight w:val="none"/>
          <w:u w:val="single"/>
        </w:rPr>
      </w:pPr>
      <w:r>
        <w:rPr>
          <w:rFonts w:hint="eastAsia" w:ascii="宋体" w:hAnsi="宋体"/>
          <w:szCs w:val="21"/>
          <w:highlight w:val="none"/>
        </w:rPr>
        <w:t>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0B02DFE4">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4E3A7539">
      <w:pPr>
        <w:widowControl w:val="0"/>
        <w:autoSpaceDE w:val="0"/>
        <w:autoSpaceDN w:val="0"/>
        <w:adjustRightInd w:val="0"/>
        <w:snapToGrid w:val="0"/>
        <w:ind w:firstLine="0" w:firstLineChars="0"/>
        <w:jc w:val="left"/>
        <w:rPr>
          <w:rFonts w:hint="eastAsia" w:ascii="宋体" w:hAnsi="宋体"/>
          <w:szCs w:val="21"/>
          <w:highlight w:val="none"/>
        </w:rPr>
      </w:pPr>
    </w:p>
    <w:p w14:paraId="70769254">
      <w:pPr>
        <w:widowControl w:val="0"/>
        <w:autoSpaceDE w:val="0"/>
        <w:autoSpaceDN w:val="0"/>
        <w:adjustRightInd w:val="0"/>
        <w:snapToGrid w:val="0"/>
        <w:ind w:firstLine="0" w:firstLineChars="0"/>
        <w:jc w:val="left"/>
        <w:rPr>
          <w:rFonts w:hint="eastAsia" w:ascii="宋体" w:hAnsi="宋体"/>
          <w:b/>
          <w:szCs w:val="21"/>
          <w:highlight w:val="none"/>
        </w:rPr>
      </w:pPr>
      <w:r>
        <w:rPr>
          <w:rFonts w:hint="eastAsia" w:ascii="宋体" w:hAnsi="宋体"/>
          <w:b/>
          <w:szCs w:val="21"/>
          <w:highlight w:val="none"/>
        </w:rPr>
        <w:t>注：</w:t>
      </w:r>
    </w:p>
    <w:p w14:paraId="19C78C59">
      <w:pPr>
        <w:widowControl w:val="0"/>
        <w:autoSpaceDE w:val="0"/>
        <w:autoSpaceDN w:val="0"/>
        <w:adjustRightInd w:val="0"/>
        <w:snapToGrid w:val="0"/>
        <w:ind w:firstLine="0" w:firstLineChars="0"/>
        <w:jc w:val="left"/>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、如为法定代表人参加本次投标活动时，则不需要填写“法定代表人授权委托书”。</w:t>
      </w:r>
    </w:p>
    <w:p w14:paraId="780DE84D">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2、后附法定代表人身份证复印件。</w:t>
      </w:r>
    </w:p>
    <w:p w14:paraId="57BC540D">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3、格式仅供参考</w:t>
      </w:r>
    </w:p>
    <w:p w14:paraId="6D63337F">
      <w:pPr>
        <w:widowControl w:val="0"/>
        <w:autoSpaceDE w:val="0"/>
        <w:autoSpaceDN w:val="0"/>
        <w:adjustRightInd w:val="0"/>
        <w:snapToGrid w:val="0"/>
        <w:ind w:firstLine="0" w:firstLineChars="0"/>
        <w:jc w:val="left"/>
        <w:rPr>
          <w:rFonts w:ascii="宋体" w:hAnsi="宋体"/>
          <w:color w:val="auto"/>
          <w:szCs w:val="21"/>
        </w:rPr>
      </w:pPr>
    </w:p>
    <w:p w14:paraId="1C25C596">
      <w:pPr>
        <w:widowControl w:val="0"/>
        <w:autoSpaceDE w:val="0"/>
        <w:autoSpaceDN w:val="0"/>
        <w:adjustRightInd w:val="0"/>
        <w:snapToGrid w:val="0"/>
        <w:ind w:firstLine="0" w:firstLineChars="0"/>
        <w:jc w:val="left"/>
        <w:outlineLvl w:val="2"/>
        <w:rPr>
          <w:rFonts w:ascii="宋体" w:hAnsi="宋体"/>
          <w:b/>
          <w:color w:val="auto"/>
          <w:szCs w:val="21"/>
        </w:rPr>
      </w:pPr>
      <w:r>
        <w:rPr>
          <w:rFonts w:ascii="宋体" w:hAnsi="宋体"/>
          <w:b/>
          <w:color w:val="auto"/>
          <w:szCs w:val="21"/>
        </w:rPr>
        <w:br w:type="page"/>
      </w:r>
      <w:bookmarkStart w:id="383" w:name="_Toc5842"/>
      <w:bookmarkStart w:id="384" w:name="_Toc8505"/>
      <w:bookmarkStart w:id="385" w:name="_Toc11268"/>
      <w:r>
        <w:rPr>
          <w:rFonts w:hint="eastAsia" w:ascii="宋体" w:hAnsi="宋体"/>
          <w:b/>
          <w:color w:val="auto"/>
          <w:szCs w:val="21"/>
        </w:rPr>
        <w:t>A3、</w:t>
      </w:r>
      <w:r>
        <w:rPr>
          <w:rFonts w:ascii="宋体" w:hAnsi="宋体"/>
          <w:b/>
          <w:color w:val="auto"/>
          <w:szCs w:val="21"/>
        </w:rPr>
        <w:t>法定</w:t>
      </w:r>
      <w:r>
        <w:rPr>
          <w:rFonts w:hint="eastAsia" w:ascii="宋体" w:hAnsi="宋体"/>
          <w:b/>
          <w:color w:val="auto"/>
        </w:rPr>
        <w:t>代表人</w:t>
      </w:r>
      <w:r>
        <w:rPr>
          <w:rFonts w:hint="eastAsia" w:ascii="宋体" w:hAnsi="宋体"/>
          <w:b/>
          <w:color w:val="auto"/>
          <w:szCs w:val="21"/>
        </w:rPr>
        <w:t>授权委托书</w:t>
      </w:r>
      <w:bookmarkEnd w:id="383"/>
      <w:r>
        <w:rPr>
          <w:rFonts w:hint="eastAsia" w:ascii="宋体" w:hAnsi="宋体"/>
          <w:b/>
          <w:color w:val="auto"/>
          <w:szCs w:val="21"/>
        </w:rPr>
        <w:t>（如有）</w:t>
      </w:r>
      <w:bookmarkEnd w:id="384"/>
      <w:bookmarkEnd w:id="385"/>
    </w:p>
    <w:p w14:paraId="591D4CD2">
      <w:pPr>
        <w:widowControl w:val="0"/>
        <w:autoSpaceDE w:val="0"/>
        <w:autoSpaceDN w:val="0"/>
        <w:adjustRightInd w:val="0"/>
        <w:snapToGrid w:val="0"/>
        <w:ind w:firstLine="0" w:firstLineChars="0"/>
        <w:jc w:val="left"/>
        <w:rPr>
          <w:rFonts w:ascii="宋体" w:hAnsi="宋体"/>
          <w:b/>
          <w:color w:val="auto"/>
          <w:sz w:val="28"/>
          <w:szCs w:val="28"/>
        </w:rPr>
      </w:pPr>
    </w:p>
    <w:p w14:paraId="3D416446">
      <w:pPr>
        <w:widowControl w:val="0"/>
        <w:autoSpaceDE w:val="0"/>
        <w:autoSpaceDN w:val="0"/>
        <w:adjustRightInd w:val="0"/>
        <w:snapToGrid w:val="0"/>
        <w:ind w:firstLine="0" w:firstLineChars="0"/>
        <w:jc w:val="center"/>
        <w:rPr>
          <w:rFonts w:ascii="宋体" w:hAnsi="宋体"/>
          <w:b/>
          <w:color w:val="auto"/>
          <w:sz w:val="32"/>
          <w:szCs w:val="32"/>
        </w:rPr>
      </w:pPr>
      <w:r>
        <w:rPr>
          <w:rFonts w:hint="eastAsia" w:ascii="宋体" w:hAnsi="宋体"/>
          <w:b/>
          <w:color w:val="auto"/>
          <w:sz w:val="32"/>
          <w:szCs w:val="32"/>
        </w:rPr>
        <w:t>法定代表人授权委托书</w:t>
      </w:r>
    </w:p>
    <w:p w14:paraId="17B62170">
      <w:pPr>
        <w:widowControl w:val="0"/>
        <w:autoSpaceDE w:val="0"/>
        <w:autoSpaceDN w:val="0"/>
        <w:adjustRightInd w:val="0"/>
        <w:snapToGrid w:val="0"/>
        <w:ind w:firstLine="0" w:firstLineChars="0"/>
        <w:jc w:val="left"/>
        <w:rPr>
          <w:rFonts w:ascii="宋体" w:hAnsi="宋体"/>
          <w:color w:val="auto"/>
          <w:sz w:val="24"/>
        </w:rPr>
      </w:pPr>
    </w:p>
    <w:p w14:paraId="3F63B23F">
      <w:pPr>
        <w:widowControl w:val="0"/>
        <w:autoSpaceDE w:val="0"/>
        <w:autoSpaceDN w:val="0"/>
        <w:adjustRightInd w:val="0"/>
        <w:snapToGrid w:val="0"/>
        <w:ind w:firstLine="0" w:firstLineChars="0"/>
        <w:jc w:val="left"/>
        <w:rPr>
          <w:rFonts w:hint="eastAsia" w:ascii="宋体" w:hAnsi="宋体" w:eastAsia="宋体"/>
          <w:color w:val="auto"/>
          <w:u w:val="single"/>
          <w:lang w:eastAsia="zh-CN"/>
        </w:rPr>
      </w:pPr>
      <w:r>
        <w:rPr>
          <w:rFonts w:hint="eastAsia" w:ascii="宋体" w:hAnsi="宋体"/>
          <w:color w:val="auto"/>
        </w:rPr>
        <w:t>致：</w:t>
      </w:r>
      <w:r>
        <w:rPr>
          <w:rFonts w:hint="eastAsia" w:ascii="宋体" w:hAnsi="宋体"/>
          <w:color w:val="auto"/>
          <w:u w:val="single"/>
        </w:rPr>
        <w:t>（招标人名称)</w:t>
      </w:r>
    </w:p>
    <w:p w14:paraId="0D78C3CB">
      <w:pPr>
        <w:widowControl w:val="0"/>
        <w:autoSpaceDE w:val="0"/>
        <w:autoSpaceDN w:val="0"/>
        <w:adjustRightInd w:val="0"/>
        <w:snapToGrid w:val="0"/>
        <w:ind w:firstLine="0" w:firstLineChars="0"/>
        <w:jc w:val="left"/>
        <w:rPr>
          <w:rFonts w:ascii="宋体" w:hAnsi="宋体"/>
          <w:color w:val="auto"/>
          <w:szCs w:val="21"/>
        </w:rPr>
      </w:pPr>
    </w:p>
    <w:p w14:paraId="754DCA44">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本授权委托书宣告：</w:t>
      </w:r>
      <w:r>
        <w:rPr>
          <w:rFonts w:hint="eastAsia" w:ascii="宋体" w:hAnsi="宋体"/>
          <w:color w:val="auto"/>
          <w:szCs w:val="21"/>
          <w:u w:val="single"/>
        </w:rPr>
        <w:t>（投标人全称）</w:t>
      </w:r>
      <w:r>
        <w:rPr>
          <w:rFonts w:hint="eastAsia" w:ascii="宋体" w:hAnsi="宋体"/>
          <w:color w:val="auto"/>
          <w:szCs w:val="21"/>
        </w:rPr>
        <w:t>的</w:t>
      </w:r>
      <w:r>
        <w:rPr>
          <w:rFonts w:hint="eastAsia" w:ascii="宋体" w:hAnsi="宋体"/>
          <w:color w:val="auto"/>
          <w:szCs w:val="21"/>
          <w:u w:val="single"/>
        </w:rPr>
        <w:t>（职务）（姓名）</w:t>
      </w:r>
      <w:r>
        <w:rPr>
          <w:rFonts w:hint="eastAsia" w:ascii="宋体" w:hAnsi="宋体"/>
          <w:color w:val="auto"/>
          <w:szCs w:val="21"/>
        </w:rPr>
        <w:t>以其法定代表人的身份，合法地代表本单位，授权</w:t>
      </w:r>
      <w:r>
        <w:rPr>
          <w:rFonts w:hint="eastAsia" w:ascii="宋体" w:hAnsi="宋体"/>
          <w:color w:val="auto"/>
          <w:szCs w:val="21"/>
          <w:u w:val="single"/>
        </w:rPr>
        <w:t>（投标人全称）</w:t>
      </w:r>
      <w:r>
        <w:rPr>
          <w:rFonts w:hint="eastAsia" w:ascii="宋体" w:hAnsi="宋体"/>
          <w:color w:val="auto"/>
          <w:szCs w:val="21"/>
        </w:rPr>
        <w:t>的</w:t>
      </w:r>
      <w:r>
        <w:rPr>
          <w:rFonts w:hint="eastAsia" w:ascii="宋体" w:hAnsi="宋体"/>
          <w:color w:val="auto"/>
          <w:szCs w:val="21"/>
          <w:u w:val="single"/>
        </w:rPr>
        <w:t>（职务）（姓名）</w:t>
      </w:r>
      <w:r>
        <w:rPr>
          <w:rFonts w:hint="eastAsia" w:ascii="宋体" w:hAnsi="宋体"/>
          <w:color w:val="auto"/>
          <w:szCs w:val="21"/>
        </w:rPr>
        <w:t>为我单位授权代理人，该授权代理人有权在的投标活动中，以我单位的名义签署投标函和投标文件、与招标人协商、谈判、签订合同协议以及全权处理与此有关的一切事项，其法律后果由我单位承担。</w:t>
      </w:r>
    </w:p>
    <w:p w14:paraId="3CE63535">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委托期限：。</w:t>
      </w:r>
    </w:p>
    <w:p w14:paraId="26B91760">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授权代理人无转委托权，特此委托。</w:t>
      </w:r>
    </w:p>
    <w:p w14:paraId="1730B6C4">
      <w:pPr>
        <w:widowControl w:val="0"/>
        <w:autoSpaceDE w:val="0"/>
        <w:autoSpaceDN w:val="0"/>
        <w:adjustRightInd w:val="0"/>
        <w:snapToGrid w:val="0"/>
        <w:ind w:firstLine="0" w:firstLineChars="0"/>
        <w:jc w:val="left"/>
        <w:rPr>
          <w:rFonts w:ascii="宋体" w:hAnsi="宋体"/>
          <w:color w:val="auto"/>
          <w:szCs w:val="21"/>
        </w:rPr>
      </w:pPr>
    </w:p>
    <w:p w14:paraId="3405B65A">
      <w:pPr>
        <w:widowControl w:val="0"/>
        <w:autoSpaceDE w:val="0"/>
        <w:autoSpaceDN w:val="0"/>
        <w:adjustRightInd w:val="0"/>
        <w:snapToGrid w:val="0"/>
        <w:ind w:firstLine="0" w:firstLineChars="0"/>
        <w:jc w:val="left"/>
        <w:rPr>
          <w:rFonts w:hint="eastAsia" w:ascii="宋体" w:hAnsi="宋体" w:eastAsia="宋体"/>
          <w:color w:val="auto"/>
          <w:szCs w:val="21"/>
          <w:u w:val="single"/>
          <w:lang w:eastAsia="zh-CN"/>
        </w:rPr>
      </w:pPr>
      <w:r>
        <w:rPr>
          <w:rFonts w:hint="eastAsia" w:ascii="宋体" w:hAnsi="宋体"/>
          <w:color w:val="auto"/>
          <w:szCs w:val="21"/>
        </w:rPr>
        <w:t>投标人：</w:t>
      </w:r>
    </w:p>
    <w:p w14:paraId="794F4575">
      <w:pPr>
        <w:widowControl w:val="0"/>
        <w:autoSpaceDE w:val="0"/>
        <w:autoSpaceDN w:val="0"/>
        <w:adjustRightInd w:val="0"/>
        <w:snapToGrid w:val="0"/>
        <w:ind w:firstLine="0" w:firstLineChars="0"/>
        <w:jc w:val="left"/>
        <w:rPr>
          <w:rFonts w:hint="eastAsia" w:ascii="宋体" w:hAnsi="宋体" w:eastAsia="宋体"/>
          <w:color w:val="auto"/>
          <w:szCs w:val="21"/>
          <w:u w:val="single"/>
          <w:lang w:eastAsia="zh-CN"/>
        </w:rPr>
      </w:pPr>
      <w:r>
        <w:rPr>
          <w:rFonts w:hint="eastAsia" w:ascii="宋体" w:hAnsi="宋体"/>
          <w:color w:val="auto"/>
          <w:szCs w:val="21"/>
        </w:rPr>
        <w:t>法定代表人：</w:t>
      </w:r>
    </w:p>
    <w:p w14:paraId="222DC268">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日期：年月日</w:t>
      </w:r>
    </w:p>
    <w:p w14:paraId="69AC906F">
      <w:pPr>
        <w:widowControl w:val="0"/>
        <w:autoSpaceDE w:val="0"/>
        <w:autoSpaceDN w:val="0"/>
        <w:adjustRightInd w:val="0"/>
        <w:snapToGrid w:val="0"/>
        <w:ind w:firstLine="0" w:firstLineChars="0"/>
        <w:jc w:val="left"/>
        <w:rPr>
          <w:rFonts w:ascii="宋体" w:hAnsi="宋体"/>
          <w:color w:val="auto"/>
          <w:szCs w:val="21"/>
        </w:rPr>
      </w:pPr>
    </w:p>
    <w:p w14:paraId="5C1B3A20">
      <w:pPr>
        <w:widowControl w:val="0"/>
        <w:autoSpaceDE w:val="0"/>
        <w:autoSpaceDN w:val="0"/>
        <w:adjustRightInd w:val="0"/>
        <w:snapToGrid w:val="0"/>
        <w:ind w:firstLine="0" w:firstLineChars="0"/>
        <w:jc w:val="left"/>
        <w:rPr>
          <w:rFonts w:ascii="宋体" w:hAnsi="宋体"/>
          <w:b/>
          <w:color w:val="auto"/>
          <w:szCs w:val="21"/>
        </w:rPr>
      </w:pPr>
      <w:r>
        <w:rPr>
          <w:rFonts w:hint="eastAsia" w:ascii="宋体" w:hAnsi="宋体"/>
          <w:b/>
          <w:color w:val="auto"/>
          <w:szCs w:val="21"/>
        </w:rPr>
        <w:t>注：</w:t>
      </w:r>
    </w:p>
    <w:p w14:paraId="7AA74802">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1、如为法定代表人参加本次投标活动时，则不需要填写“法定代表人授权委托书”；</w:t>
      </w:r>
    </w:p>
    <w:p w14:paraId="0B47BE63">
      <w:pPr>
        <w:widowControl w:val="0"/>
        <w:autoSpaceDE w:val="0"/>
        <w:autoSpaceDN w:val="0"/>
        <w:adjustRightInd w:val="0"/>
        <w:snapToGrid w:val="0"/>
        <w:ind w:firstLine="0" w:firstLineChars="0"/>
        <w:jc w:val="left"/>
        <w:rPr>
          <w:rFonts w:ascii="宋体" w:hAnsi="宋体"/>
          <w:b/>
          <w:color w:val="auto"/>
          <w:szCs w:val="21"/>
        </w:rPr>
      </w:pPr>
      <w:r>
        <w:rPr>
          <w:rFonts w:hint="eastAsia" w:ascii="宋体" w:hAnsi="宋体"/>
          <w:color w:val="auto"/>
          <w:szCs w:val="21"/>
        </w:rPr>
        <w:t>2、后附授权代理人身份证复印件</w:t>
      </w:r>
      <w:r>
        <w:rPr>
          <w:rFonts w:hint="eastAsia" w:ascii="宋体" w:hAnsi="宋体"/>
          <w:color w:val="auto"/>
          <w:spacing w:val="-8"/>
          <w:szCs w:val="21"/>
        </w:rPr>
        <w:t>；</w:t>
      </w:r>
    </w:p>
    <w:p w14:paraId="4D7083E8">
      <w:pPr>
        <w:widowControl w:val="0"/>
        <w:autoSpaceDE w:val="0"/>
        <w:autoSpaceDN w:val="0"/>
        <w:adjustRightInd w:val="0"/>
        <w:snapToGrid w:val="0"/>
        <w:ind w:firstLine="0" w:firstLineChars="0"/>
        <w:jc w:val="left"/>
        <w:rPr>
          <w:rFonts w:ascii="宋体" w:hAnsi="宋体"/>
          <w:color w:val="auto"/>
          <w:szCs w:val="21"/>
        </w:rPr>
      </w:pPr>
      <w:r>
        <w:rPr>
          <w:rFonts w:ascii="宋体" w:hAnsi="宋体"/>
          <w:color w:val="auto"/>
          <w:spacing w:val="-8"/>
          <w:szCs w:val="21"/>
        </w:rPr>
        <w:t>3</w:t>
      </w:r>
      <w:r>
        <w:rPr>
          <w:rFonts w:hint="eastAsia" w:ascii="宋体" w:hAnsi="宋体"/>
          <w:color w:val="auto"/>
          <w:spacing w:val="-8"/>
          <w:szCs w:val="21"/>
        </w:rPr>
        <w:t>、</w:t>
      </w:r>
      <w:r>
        <w:rPr>
          <w:rFonts w:hint="eastAsia" w:ascii="宋体" w:hAnsi="宋体"/>
          <w:color w:val="auto"/>
          <w:szCs w:val="21"/>
        </w:rPr>
        <w:t>格式仅供</w:t>
      </w:r>
      <w:r>
        <w:rPr>
          <w:rFonts w:ascii="宋体" w:hAnsi="宋体"/>
          <w:color w:val="auto"/>
          <w:szCs w:val="21"/>
        </w:rPr>
        <w:t>参考。</w:t>
      </w:r>
    </w:p>
    <w:p w14:paraId="3F6E288C">
      <w:pPr>
        <w:widowControl w:val="0"/>
        <w:autoSpaceDE w:val="0"/>
        <w:autoSpaceDN w:val="0"/>
        <w:adjustRightInd w:val="0"/>
        <w:snapToGrid w:val="0"/>
        <w:ind w:firstLine="0" w:firstLineChars="0"/>
        <w:jc w:val="left"/>
        <w:outlineLvl w:val="2"/>
        <w:rPr>
          <w:rFonts w:hint="eastAsia" w:ascii="宋体" w:hAnsi="宋体"/>
          <w:b/>
          <w:szCs w:val="21"/>
          <w:highlight w:val="none"/>
        </w:rPr>
      </w:pPr>
      <w:r>
        <w:rPr>
          <w:rFonts w:ascii="宋体" w:hAnsi="宋体"/>
          <w:color w:val="auto"/>
          <w:sz w:val="22"/>
        </w:rPr>
        <w:br w:type="page"/>
      </w:r>
      <w:bookmarkStart w:id="386" w:name="_Toc7506"/>
      <w:bookmarkStart w:id="387" w:name="_Toc8602"/>
      <w:bookmarkStart w:id="388" w:name="_Toc10737"/>
      <w:bookmarkStart w:id="389" w:name="_Toc27398"/>
      <w:r>
        <w:rPr>
          <w:rFonts w:hint="eastAsia" w:ascii="宋体" w:hAnsi="宋体"/>
          <w:b/>
          <w:bCs/>
          <w:szCs w:val="21"/>
          <w:highlight w:val="none"/>
        </w:rPr>
        <w:t>A4、</w:t>
      </w:r>
      <w:bookmarkEnd w:id="386"/>
      <w:bookmarkEnd w:id="387"/>
      <w:bookmarkEnd w:id="388"/>
      <w:bookmarkEnd w:id="389"/>
      <w:r>
        <w:rPr>
          <w:rFonts w:hint="eastAsia" w:ascii="宋体" w:hAnsi="宋体"/>
          <w:b/>
          <w:bCs/>
          <w:szCs w:val="21"/>
          <w:highlight w:val="none"/>
          <w:lang w:eastAsia="zh-CN"/>
        </w:rPr>
        <w:t>承诺书</w:t>
      </w:r>
      <w:r>
        <w:rPr>
          <w:rFonts w:hint="eastAsia" w:ascii="宋体" w:hAnsi="宋体"/>
          <w:b/>
          <w:szCs w:val="21"/>
          <w:highlight w:val="none"/>
        </w:rPr>
        <w:t>（仅供</w:t>
      </w:r>
      <w:r>
        <w:rPr>
          <w:rFonts w:ascii="宋体" w:hAnsi="宋体"/>
          <w:b/>
          <w:szCs w:val="21"/>
          <w:highlight w:val="none"/>
        </w:rPr>
        <w:t>参考</w:t>
      </w:r>
      <w:r>
        <w:rPr>
          <w:rFonts w:hint="eastAsia" w:ascii="宋体" w:hAnsi="宋体"/>
          <w:b/>
          <w:szCs w:val="21"/>
          <w:highlight w:val="none"/>
        </w:rPr>
        <w:t>，根据投标人资格要求进行承诺）</w:t>
      </w:r>
      <w:r>
        <w:rPr>
          <w:rFonts w:hint="eastAsia" w:ascii="宋体" w:hAnsi="宋体"/>
          <w:b/>
          <w:bCs/>
          <w:szCs w:val="21"/>
          <w:highlight w:val="none"/>
          <w:lang w:eastAsia="zh-CN"/>
        </w:rPr>
        <w:br w:type="textWrapping"/>
      </w:r>
    </w:p>
    <w:p w14:paraId="67F1F0D5">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b/>
          <w:bCs/>
          <w:sz w:val="32"/>
          <w:szCs w:val="32"/>
          <w:highlight w:val="none"/>
        </w:rPr>
        <w:t>承诺书</w:t>
      </w:r>
    </w:p>
    <w:p w14:paraId="7C0D5E6C">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 xml:space="preserve">  （招标人） </w:t>
      </w:r>
    </w:p>
    <w:p w14:paraId="10CB411F">
      <w:pPr>
        <w:widowControl w:val="0"/>
        <w:autoSpaceDE w:val="0"/>
        <w:autoSpaceDN w:val="0"/>
        <w:adjustRightInd w:val="0"/>
        <w:snapToGrid w:val="0"/>
        <w:ind w:firstLine="420" w:firstLineChars="0"/>
        <w:jc w:val="left"/>
        <w:rPr>
          <w:rFonts w:hint="eastAsia" w:ascii="宋体" w:hAnsi="宋体"/>
          <w:szCs w:val="21"/>
          <w:highlight w:val="none"/>
        </w:rPr>
      </w:pPr>
    </w:p>
    <w:p w14:paraId="69B16994">
      <w:pPr>
        <w:widowControl w:val="0"/>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rPr>
        <w:t>我司</w:t>
      </w:r>
      <w:r>
        <w:rPr>
          <w:rFonts w:hint="eastAsia" w:ascii="宋体" w:hAnsi="宋体"/>
          <w:szCs w:val="21"/>
          <w:highlight w:val="none"/>
          <w:u w:val="single"/>
        </w:rPr>
        <w:t>（投标人名称）</w:t>
      </w:r>
      <w:r>
        <w:rPr>
          <w:rFonts w:hint="eastAsia" w:ascii="宋体" w:hAnsi="宋体"/>
          <w:szCs w:val="21"/>
          <w:highlight w:val="none"/>
        </w:rPr>
        <w:t xml:space="preserve"> 参与贵司</w:t>
      </w:r>
      <w:r>
        <w:rPr>
          <w:rFonts w:hint="eastAsia" w:ascii="宋体" w:hAnsi="宋体"/>
          <w:szCs w:val="21"/>
          <w:highlight w:val="none"/>
          <w:u w:val="single"/>
        </w:rPr>
        <w:t xml:space="preserve">xx          </w:t>
      </w:r>
      <w:r>
        <w:rPr>
          <w:rFonts w:hint="eastAsia" w:ascii="宋体" w:hAnsi="宋体"/>
          <w:szCs w:val="21"/>
          <w:highlight w:val="none"/>
        </w:rPr>
        <w:t>（</w:t>
      </w:r>
      <w:r>
        <w:rPr>
          <w:rFonts w:hint="eastAsia" w:ascii="宋体" w:hAnsi="宋体"/>
          <w:szCs w:val="21"/>
          <w:highlight w:val="none"/>
          <w:lang w:eastAsia="zh-CN"/>
        </w:rPr>
        <w:t xml:space="preserve">项目编号：  </w:t>
      </w:r>
      <w:r>
        <w:rPr>
          <w:rFonts w:hint="eastAsia" w:ascii="宋体" w:hAnsi="宋体"/>
          <w:szCs w:val="21"/>
          <w:highlight w:val="none"/>
        </w:rPr>
        <w:t>）项目投标，根据招标文件要求，我司</w:t>
      </w:r>
      <w:r>
        <w:rPr>
          <w:rFonts w:hint="eastAsia" w:ascii="宋体" w:hAnsi="宋体"/>
          <w:szCs w:val="21"/>
          <w:highlight w:val="none"/>
          <w:lang w:eastAsia="zh-CN"/>
        </w:rPr>
        <w:t>郑重</w:t>
      </w:r>
      <w:r>
        <w:rPr>
          <w:rFonts w:hint="eastAsia" w:ascii="宋体" w:hAnsi="宋体"/>
          <w:szCs w:val="21"/>
          <w:highlight w:val="none"/>
        </w:rPr>
        <w:t>承诺如下：</w:t>
      </w:r>
    </w:p>
    <w:p w14:paraId="3DB4EA32">
      <w:pPr>
        <w:widowControl w:val="0"/>
        <w:numPr>
          <w:ilvl w:val="0"/>
          <w:numId w:val="41"/>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rPr>
        <w:t>我司具有良好的商业信誉和健全的财务会计制度；</w:t>
      </w:r>
    </w:p>
    <w:p w14:paraId="59F6BAFC">
      <w:pPr>
        <w:widowControl w:val="0"/>
        <w:numPr>
          <w:ilvl w:val="0"/>
          <w:numId w:val="41"/>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rPr>
        <w:t xml:space="preserve">我司具有依法缴纳税收和社会保障资金的良好记录； </w:t>
      </w:r>
    </w:p>
    <w:p w14:paraId="10845D8C">
      <w:pPr>
        <w:widowControl w:val="0"/>
        <w:numPr>
          <w:ilvl w:val="0"/>
          <w:numId w:val="41"/>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rPr>
        <w:t>我司具有履行合同所</w:t>
      </w:r>
      <w:r>
        <w:rPr>
          <w:rFonts w:hint="eastAsia" w:ascii="宋体" w:hAnsi="宋体"/>
          <w:szCs w:val="21"/>
          <w:highlight w:val="none"/>
          <w:lang w:eastAsia="zh-CN"/>
        </w:rPr>
        <w:t>必需</w:t>
      </w:r>
      <w:r>
        <w:rPr>
          <w:rFonts w:hint="eastAsia" w:ascii="宋体" w:hAnsi="宋体"/>
          <w:szCs w:val="21"/>
          <w:highlight w:val="none"/>
        </w:rPr>
        <w:t>的设备和专业技术能力；</w:t>
      </w:r>
    </w:p>
    <w:p w14:paraId="61956A07">
      <w:pPr>
        <w:widowControl w:val="0"/>
        <w:numPr>
          <w:ilvl w:val="0"/>
          <w:numId w:val="41"/>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rPr>
        <w:t>我司在参与本项目投标前三年内（投标截止时间止, 成立不足三年的可从成立之日起算）在经营活动中没有重大违法记录。没有处于被责令停业，或投标资格被取消，或财产被接管、冻结、破产状态；没有骗取中标或严重违约引起的合同终止、纠纷、争议、仲裁和诉讼记录</w:t>
      </w:r>
      <w:r>
        <w:rPr>
          <w:rFonts w:hint="eastAsia" w:ascii="宋体" w:hAnsi="宋体"/>
          <w:szCs w:val="21"/>
          <w:highlight w:val="none"/>
          <w:lang w:eastAsia="zh-CN"/>
        </w:rPr>
        <w:t>；</w:t>
      </w:r>
    </w:p>
    <w:p w14:paraId="70165DC6">
      <w:pPr>
        <w:widowControl w:val="0"/>
        <w:numPr>
          <w:ilvl w:val="0"/>
          <w:numId w:val="41"/>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lang w:val="en-US" w:eastAsia="zh-CN"/>
        </w:rPr>
        <w:t>我司未被列入失信被执行人、重大税收违法案件当事人名单、政府采购严重违法失信行为记录名单；</w:t>
      </w:r>
    </w:p>
    <w:p w14:paraId="26AA021A">
      <w:pPr>
        <w:widowControl w:val="0"/>
        <w:numPr>
          <w:ilvl w:val="0"/>
          <w:numId w:val="41"/>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lang w:val="en-US" w:eastAsia="zh-CN"/>
        </w:rPr>
        <w:t>我司</w:t>
      </w:r>
      <w:r>
        <w:rPr>
          <w:rFonts w:hint="eastAsia" w:ascii="宋体" w:hAnsi="宋体"/>
          <w:szCs w:val="21"/>
          <w:highlight w:val="none"/>
        </w:rPr>
        <w:t>不存在单位负责人为同一人或者存在控股、管理关系的不同单位，参加</w:t>
      </w:r>
      <w:r>
        <w:rPr>
          <w:rFonts w:hint="eastAsia" w:ascii="宋体" w:hAnsi="宋体"/>
          <w:szCs w:val="21"/>
          <w:highlight w:val="none"/>
          <w:lang w:val="en-US" w:eastAsia="zh-CN"/>
        </w:rPr>
        <w:t>本</w:t>
      </w:r>
      <w:r>
        <w:rPr>
          <w:rFonts w:hint="eastAsia" w:ascii="宋体" w:hAnsi="宋体"/>
          <w:szCs w:val="21"/>
          <w:highlight w:val="none"/>
        </w:rPr>
        <w:t>招标项目投标的情况</w:t>
      </w:r>
      <w:r>
        <w:rPr>
          <w:rFonts w:hint="eastAsia" w:ascii="宋体" w:hAnsi="宋体"/>
          <w:szCs w:val="21"/>
          <w:highlight w:val="none"/>
          <w:lang w:eastAsia="zh-CN"/>
        </w:rPr>
        <w:t>；</w:t>
      </w:r>
    </w:p>
    <w:p w14:paraId="015F7097">
      <w:pPr>
        <w:widowControl w:val="0"/>
        <w:numPr>
          <w:ilvl w:val="0"/>
          <w:numId w:val="41"/>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lang w:val="en-US" w:eastAsia="zh-CN"/>
        </w:rPr>
        <w:t>我司</w:t>
      </w:r>
      <w:r>
        <w:rPr>
          <w:rFonts w:hint="eastAsia" w:ascii="宋体" w:hAnsi="宋体"/>
          <w:szCs w:val="21"/>
          <w:highlight w:val="none"/>
        </w:rPr>
        <w:t>中标后不分包、转包本项目</w:t>
      </w:r>
      <w:r>
        <w:rPr>
          <w:rFonts w:hint="eastAsia" w:ascii="宋体" w:hAnsi="宋体"/>
          <w:szCs w:val="21"/>
          <w:highlight w:val="none"/>
          <w:lang w:eastAsia="zh-CN"/>
        </w:rPr>
        <w:t>；</w:t>
      </w:r>
    </w:p>
    <w:p w14:paraId="48BB516E">
      <w:pPr>
        <w:widowControl w:val="0"/>
        <w:numPr>
          <w:ilvl w:val="0"/>
          <w:numId w:val="41"/>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lang w:val="en-US" w:eastAsia="zh-CN"/>
        </w:rPr>
        <w:t>司</w:t>
      </w:r>
      <w:r>
        <w:rPr>
          <w:rFonts w:hint="eastAsia" w:ascii="宋体" w:hAnsi="宋体"/>
          <w:szCs w:val="21"/>
          <w:highlight w:val="none"/>
        </w:rPr>
        <w:t>已认真核实了投标文件的全部内容，所有资料均为真实资料。</w:t>
      </w:r>
      <w:r>
        <w:rPr>
          <w:rFonts w:hint="eastAsia" w:ascii="宋体" w:hAnsi="宋体"/>
          <w:szCs w:val="21"/>
          <w:highlight w:val="none"/>
          <w:lang w:val="en-US" w:eastAsia="zh-CN"/>
        </w:rPr>
        <w:t>我司</w:t>
      </w:r>
      <w:r>
        <w:rPr>
          <w:rFonts w:hint="eastAsia" w:ascii="宋体" w:hAnsi="宋体"/>
          <w:szCs w:val="21"/>
          <w:highlight w:val="none"/>
        </w:rPr>
        <w:t>对投标文件中全部投标资料的真实性负责，如被证实我</w:t>
      </w:r>
      <w:r>
        <w:rPr>
          <w:rFonts w:hint="eastAsia" w:ascii="宋体" w:hAnsi="宋体"/>
          <w:szCs w:val="21"/>
          <w:highlight w:val="none"/>
          <w:lang w:val="en-US" w:eastAsia="zh-CN"/>
        </w:rPr>
        <w:t>司</w:t>
      </w:r>
      <w:r>
        <w:rPr>
          <w:rFonts w:hint="eastAsia" w:ascii="宋体" w:hAnsi="宋体"/>
          <w:szCs w:val="21"/>
          <w:highlight w:val="none"/>
        </w:rPr>
        <w:t>的投标文件中存在虚假资料的，则视为我</w:t>
      </w:r>
      <w:r>
        <w:rPr>
          <w:rFonts w:hint="eastAsia" w:ascii="宋体" w:hAnsi="宋体"/>
          <w:szCs w:val="21"/>
          <w:highlight w:val="none"/>
          <w:lang w:val="en-US" w:eastAsia="zh-CN"/>
        </w:rPr>
        <w:t>司</w:t>
      </w:r>
      <w:r>
        <w:rPr>
          <w:rFonts w:hint="eastAsia" w:ascii="宋体" w:hAnsi="宋体"/>
          <w:szCs w:val="21"/>
          <w:highlight w:val="none"/>
        </w:rPr>
        <w:t>隐瞒真实情况、提供虚假资料</w:t>
      </w:r>
      <w:r>
        <w:rPr>
          <w:rFonts w:hint="eastAsia" w:ascii="宋体" w:hAnsi="宋体"/>
          <w:szCs w:val="21"/>
          <w:highlight w:val="none"/>
          <w:lang w:eastAsia="zh-CN"/>
        </w:rPr>
        <w:t>；</w:t>
      </w:r>
    </w:p>
    <w:p w14:paraId="1A8C2BC9">
      <w:pPr>
        <w:widowControl w:val="0"/>
        <w:numPr>
          <w:ilvl w:val="0"/>
          <w:numId w:val="41"/>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lang w:val="en-US" w:eastAsia="zh-CN"/>
        </w:rPr>
        <w:t>司</w:t>
      </w:r>
      <w:r>
        <w:rPr>
          <w:rFonts w:hint="eastAsia" w:ascii="宋体" w:hAnsi="宋体"/>
          <w:szCs w:val="21"/>
          <w:highlight w:val="none"/>
        </w:rPr>
        <w:t>响应的服务期满足本项目招标文件的要求</w:t>
      </w:r>
      <w:r>
        <w:rPr>
          <w:rFonts w:hint="eastAsia" w:ascii="宋体" w:hAnsi="宋体"/>
          <w:szCs w:val="21"/>
          <w:highlight w:val="none"/>
          <w:lang w:eastAsia="zh-CN"/>
        </w:rPr>
        <w:t>；</w:t>
      </w:r>
    </w:p>
    <w:p w14:paraId="58A50769">
      <w:pPr>
        <w:widowControl w:val="0"/>
        <w:numPr>
          <w:ilvl w:val="0"/>
          <w:numId w:val="41"/>
        </w:numPr>
        <w:autoSpaceDE w:val="0"/>
        <w:autoSpaceDN w:val="0"/>
        <w:adjustRightInd w:val="0"/>
        <w:snapToGrid w:val="0"/>
        <w:ind w:firstLine="420" w:firstLineChars="0"/>
        <w:jc w:val="left"/>
        <w:rPr>
          <w:rFonts w:hint="eastAsia" w:ascii="宋体" w:hAnsi="宋体"/>
          <w:szCs w:val="21"/>
          <w:highlight w:val="none"/>
        </w:rPr>
      </w:pPr>
      <w:r>
        <w:rPr>
          <w:rFonts w:hint="eastAsia" w:ascii="宋体" w:hAnsi="宋体"/>
          <w:szCs w:val="21"/>
          <w:highlight w:val="none"/>
        </w:rPr>
        <w:t>我</w:t>
      </w:r>
      <w:r>
        <w:rPr>
          <w:rFonts w:hint="eastAsia" w:ascii="宋体" w:hAnsi="宋体"/>
          <w:szCs w:val="21"/>
          <w:highlight w:val="none"/>
          <w:lang w:val="en-US" w:eastAsia="zh-CN"/>
        </w:rPr>
        <w:t>司</w:t>
      </w:r>
      <w:r>
        <w:rPr>
          <w:rFonts w:hint="eastAsia" w:ascii="宋体" w:hAnsi="宋体"/>
          <w:szCs w:val="21"/>
          <w:highlight w:val="none"/>
        </w:rPr>
        <w:t>完全响应并满足招标文件中载明的★实质性条款需求，对于实质性条款中的约定、要求和服务内容，全部接受并遵照执行。</w:t>
      </w:r>
    </w:p>
    <w:p w14:paraId="105592F8">
      <w:pPr>
        <w:pStyle w:val="414"/>
        <w:ind w:firstLine="0" w:firstLineChars="0"/>
        <w:rPr>
          <w:rFonts w:hint="eastAsia"/>
          <w:highlight w:val="none"/>
        </w:rPr>
      </w:pPr>
    </w:p>
    <w:p w14:paraId="65D426B7">
      <w:pPr>
        <w:widowControl w:val="0"/>
        <w:autoSpaceDE w:val="0"/>
        <w:autoSpaceDN w:val="0"/>
        <w:adjustRightInd w:val="0"/>
        <w:snapToGrid w:val="0"/>
        <w:ind w:firstLine="420"/>
        <w:jc w:val="left"/>
        <w:rPr>
          <w:rFonts w:hint="eastAsia" w:ascii="宋体" w:hAnsi="宋体"/>
          <w:b/>
          <w:bCs/>
          <w:sz w:val="28"/>
          <w:szCs w:val="28"/>
          <w:highlight w:val="none"/>
        </w:rPr>
      </w:pPr>
      <w:r>
        <w:rPr>
          <w:rFonts w:hint="eastAsia" w:ascii="宋体" w:hAnsi="宋体"/>
          <w:szCs w:val="21"/>
          <w:highlight w:val="none"/>
        </w:rPr>
        <w:t>以上承诺如有虚假，你方有权取消我方中标资格，不予退还我方的投标保证金</w:t>
      </w:r>
      <w:r>
        <w:rPr>
          <w:rFonts w:hint="eastAsia" w:ascii="宋体" w:hAnsi="宋体"/>
          <w:szCs w:val="21"/>
          <w:highlight w:val="none"/>
          <w:lang w:eastAsia="zh-CN"/>
        </w:rPr>
        <w:t>（</w:t>
      </w:r>
      <w:r>
        <w:rPr>
          <w:rFonts w:hint="eastAsia" w:ascii="宋体" w:hAnsi="宋体"/>
          <w:szCs w:val="21"/>
          <w:highlight w:val="none"/>
          <w:lang w:val="en-US" w:eastAsia="zh-CN"/>
        </w:rPr>
        <w:t>如有</w:t>
      </w:r>
      <w:r>
        <w:rPr>
          <w:rFonts w:hint="eastAsia" w:ascii="宋体" w:hAnsi="宋体"/>
          <w:szCs w:val="21"/>
          <w:highlight w:val="none"/>
          <w:lang w:eastAsia="zh-CN"/>
        </w:rPr>
        <w:t>）</w:t>
      </w:r>
      <w:r>
        <w:rPr>
          <w:rFonts w:hint="eastAsia" w:ascii="宋体" w:hAnsi="宋体"/>
          <w:szCs w:val="21"/>
          <w:highlight w:val="none"/>
        </w:rPr>
        <w:t>，我方同意给你方造成的损失予以赔偿。</w:t>
      </w:r>
    </w:p>
    <w:p w14:paraId="0A025077">
      <w:pPr>
        <w:widowControl w:val="0"/>
        <w:autoSpaceDE w:val="0"/>
        <w:autoSpaceDN w:val="0"/>
        <w:adjustRightInd w:val="0"/>
        <w:snapToGrid w:val="0"/>
        <w:ind w:firstLine="0" w:firstLineChars="0"/>
        <w:jc w:val="left"/>
        <w:rPr>
          <w:rFonts w:hint="eastAsia" w:ascii="宋体" w:hAnsi="宋体"/>
          <w:b/>
          <w:szCs w:val="21"/>
          <w:highlight w:val="none"/>
        </w:rPr>
      </w:pPr>
    </w:p>
    <w:p w14:paraId="621F7350">
      <w:pPr>
        <w:widowControl w:val="0"/>
        <w:autoSpaceDE w:val="0"/>
        <w:autoSpaceDN w:val="0"/>
        <w:adjustRightInd w:val="0"/>
        <w:snapToGrid w:val="0"/>
        <w:ind w:firstLine="0" w:firstLineChars="0"/>
        <w:jc w:val="left"/>
        <w:rPr>
          <w:rFonts w:hint="eastAsia" w:ascii="宋体" w:hAnsi="宋体"/>
          <w:b/>
          <w:szCs w:val="21"/>
          <w:highlight w:val="none"/>
        </w:rPr>
      </w:pPr>
    </w:p>
    <w:p w14:paraId="54EEDF26">
      <w:pPr>
        <w:widowControl w:val="0"/>
        <w:autoSpaceDE w:val="0"/>
        <w:autoSpaceDN w:val="0"/>
        <w:adjustRightInd w:val="0"/>
        <w:snapToGrid w:val="0"/>
        <w:ind w:firstLine="0" w:firstLineChars="0"/>
        <w:jc w:val="center"/>
        <w:rPr>
          <w:rFonts w:hint="eastAsia" w:ascii="宋体" w:hAnsi="宋体"/>
          <w:szCs w:val="21"/>
          <w:highlight w:val="none"/>
          <w:u w:val="single"/>
        </w:rPr>
      </w:pPr>
      <w:r>
        <w:rPr>
          <w:rFonts w:hint="eastAsia" w:ascii="宋体" w:hAnsi="宋体"/>
          <w:szCs w:val="21"/>
          <w:highlight w:val="none"/>
        </w:rPr>
        <w:t xml:space="preserve">             投标人：</w:t>
      </w:r>
      <w:r>
        <w:rPr>
          <w:rFonts w:hint="eastAsia" w:ascii="宋体" w:hAnsi="宋体"/>
          <w:szCs w:val="21"/>
          <w:highlight w:val="none"/>
          <w:u w:val="single"/>
        </w:rPr>
        <w:t xml:space="preserve"> </w:t>
      </w:r>
      <w:r>
        <w:rPr>
          <w:rFonts w:ascii="宋体" w:hAnsi="宋体"/>
          <w:szCs w:val="21"/>
          <w:highlight w:val="none"/>
          <w:u w:val="single"/>
        </w:rPr>
        <w:t xml:space="preserve">                             </w:t>
      </w:r>
    </w:p>
    <w:p w14:paraId="3E87B1DA">
      <w:pPr>
        <w:widowControl w:val="0"/>
        <w:autoSpaceDE w:val="0"/>
        <w:autoSpaceDN w:val="0"/>
        <w:adjustRightInd w:val="0"/>
        <w:snapToGrid w:val="0"/>
        <w:spacing w:line="380" w:lineRule="exact"/>
        <w:ind w:firstLine="0" w:firstLineChars="0"/>
        <w:jc w:val="right"/>
        <w:rPr>
          <w:rFonts w:hint="eastAsia"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u w:val="single"/>
        </w:rPr>
        <w:t xml:space="preserve">         </w:t>
      </w:r>
      <w:r>
        <w:rPr>
          <w:rFonts w:hint="eastAsia" w:ascii="宋体" w:hAnsi="宋体"/>
          <w:szCs w:val="21"/>
          <w:highlight w:val="none"/>
        </w:rPr>
        <w:t>日</w:t>
      </w:r>
    </w:p>
    <w:p w14:paraId="014744E2">
      <w:pPr>
        <w:widowControl w:val="0"/>
        <w:autoSpaceDE w:val="0"/>
        <w:autoSpaceDN w:val="0"/>
        <w:adjustRightInd w:val="0"/>
        <w:snapToGrid w:val="0"/>
        <w:ind w:firstLine="0" w:firstLineChars="0"/>
        <w:jc w:val="left"/>
        <w:outlineLvl w:val="9"/>
        <w:rPr>
          <w:rFonts w:ascii="宋体" w:hAnsi="宋体"/>
          <w:b/>
          <w:color w:val="auto"/>
          <w:szCs w:val="21"/>
        </w:rPr>
      </w:pPr>
    </w:p>
    <w:p w14:paraId="3FE83F01">
      <w:pPr>
        <w:widowControl w:val="0"/>
        <w:autoSpaceDE w:val="0"/>
        <w:autoSpaceDN w:val="0"/>
        <w:adjustRightInd w:val="0"/>
        <w:snapToGrid w:val="0"/>
        <w:ind w:firstLine="0" w:firstLineChars="0"/>
        <w:jc w:val="left"/>
        <w:outlineLvl w:val="2"/>
        <w:rPr>
          <w:rFonts w:ascii="宋体" w:hAnsi="宋体"/>
          <w:b/>
          <w:bCs/>
          <w:color w:val="auto"/>
          <w:sz w:val="28"/>
          <w:szCs w:val="28"/>
        </w:rPr>
      </w:pPr>
      <w:r>
        <w:rPr>
          <w:rFonts w:ascii="宋体" w:hAnsi="宋体"/>
          <w:b/>
          <w:bCs/>
          <w:color w:val="auto"/>
          <w:sz w:val="24"/>
        </w:rPr>
        <w:br w:type="page"/>
      </w:r>
      <w:bookmarkStart w:id="390" w:name="_Toc22091"/>
      <w:bookmarkStart w:id="391" w:name="_Toc17292"/>
      <w:bookmarkStart w:id="392" w:name="_Toc13931"/>
      <w:r>
        <w:rPr>
          <w:rFonts w:hint="eastAsia" w:ascii="宋体" w:hAnsi="宋体"/>
          <w:b/>
          <w:color w:val="auto"/>
        </w:rPr>
        <w:t>A5</w:t>
      </w:r>
      <w:r>
        <w:rPr>
          <w:rFonts w:hint="eastAsia" w:ascii="宋体" w:hAnsi="宋体"/>
          <w:b/>
          <w:bCs/>
          <w:color w:val="auto"/>
          <w:szCs w:val="21"/>
        </w:rPr>
        <w:t>、投标人股东关系构成表</w:t>
      </w:r>
      <w:bookmarkEnd w:id="390"/>
      <w:bookmarkEnd w:id="391"/>
      <w:bookmarkEnd w:id="392"/>
    </w:p>
    <w:p w14:paraId="11CD32A7">
      <w:pPr>
        <w:widowControl w:val="0"/>
        <w:autoSpaceDE w:val="0"/>
        <w:autoSpaceDN w:val="0"/>
        <w:adjustRightInd w:val="0"/>
        <w:snapToGrid w:val="0"/>
        <w:ind w:firstLine="0" w:firstLineChars="0"/>
        <w:jc w:val="left"/>
        <w:rPr>
          <w:rFonts w:ascii="宋体" w:hAnsi="宋体"/>
          <w:b/>
          <w:bCs/>
          <w:color w:val="auto"/>
          <w:szCs w:val="21"/>
        </w:rPr>
      </w:pPr>
    </w:p>
    <w:p w14:paraId="33A07B48">
      <w:pPr>
        <w:widowControl w:val="0"/>
        <w:autoSpaceDE w:val="0"/>
        <w:autoSpaceDN w:val="0"/>
        <w:adjustRightInd w:val="0"/>
        <w:snapToGrid w:val="0"/>
        <w:ind w:firstLine="0" w:firstLineChars="0"/>
        <w:jc w:val="center"/>
        <w:rPr>
          <w:rFonts w:ascii="宋体" w:hAnsi="宋体"/>
          <w:b/>
          <w:color w:val="auto"/>
          <w:sz w:val="32"/>
          <w:szCs w:val="32"/>
        </w:rPr>
      </w:pPr>
      <w:r>
        <w:rPr>
          <w:rFonts w:hint="eastAsia" w:ascii="宋体" w:hAnsi="宋体"/>
          <w:b/>
          <w:color w:val="auto"/>
          <w:sz w:val="32"/>
          <w:szCs w:val="32"/>
        </w:rPr>
        <w:t>投标人股东关系构成表</w:t>
      </w:r>
    </w:p>
    <w:tbl>
      <w:tblPr>
        <w:tblStyle w:val="52"/>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3"/>
        <w:gridCol w:w="6310"/>
      </w:tblGrid>
      <w:tr w14:paraId="50228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4"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46A52AE1">
            <w:pPr>
              <w:widowControl w:val="0"/>
              <w:autoSpaceDE w:val="0"/>
              <w:autoSpaceDN w:val="0"/>
              <w:adjustRightInd w:val="0"/>
              <w:snapToGrid w:val="0"/>
              <w:ind w:firstLine="0" w:firstLineChars="0"/>
              <w:jc w:val="left"/>
              <w:rPr>
                <w:rFonts w:ascii="宋体" w:hAnsi="宋体"/>
                <w:b/>
                <w:bCs/>
                <w:color w:val="auto"/>
                <w:szCs w:val="21"/>
              </w:rPr>
            </w:pPr>
            <w:r>
              <w:rPr>
                <w:rFonts w:hint="eastAsia" w:ascii="宋体" w:hAnsi="宋体"/>
                <w:b/>
                <w:bCs/>
                <w:color w:val="auto"/>
                <w:szCs w:val="21"/>
              </w:rPr>
              <w:t>投标人名称</w:t>
            </w:r>
          </w:p>
        </w:tc>
        <w:tc>
          <w:tcPr>
            <w:tcW w:w="6310" w:type="dxa"/>
            <w:tcBorders>
              <w:top w:val="single" w:color="000000" w:sz="4" w:space="0"/>
              <w:left w:val="single" w:color="000000" w:sz="4" w:space="0"/>
              <w:bottom w:val="single" w:color="000000" w:sz="4" w:space="0"/>
              <w:right w:val="single" w:color="000000" w:sz="4" w:space="0"/>
            </w:tcBorders>
            <w:vAlign w:val="center"/>
          </w:tcPr>
          <w:p w14:paraId="63239715">
            <w:pPr>
              <w:widowControl w:val="0"/>
              <w:autoSpaceDE w:val="0"/>
              <w:autoSpaceDN w:val="0"/>
              <w:adjustRightInd w:val="0"/>
              <w:snapToGrid w:val="0"/>
              <w:ind w:firstLine="0" w:firstLineChars="0"/>
              <w:jc w:val="left"/>
              <w:rPr>
                <w:rFonts w:ascii="宋体" w:hAnsi="宋体" w:cs="Segoe UI Symbol"/>
                <w:color w:val="auto"/>
                <w:kern w:val="0"/>
                <w:szCs w:val="21"/>
              </w:rPr>
            </w:pPr>
          </w:p>
        </w:tc>
      </w:tr>
      <w:tr w14:paraId="2DB80F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D514C17">
            <w:pPr>
              <w:widowControl w:val="0"/>
              <w:autoSpaceDE w:val="0"/>
              <w:autoSpaceDN w:val="0"/>
              <w:adjustRightInd w:val="0"/>
              <w:snapToGrid w:val="0"/>
              <w:ind w:firstLine="0" w:firstLineChars="0"/>
              <w:jc w:val="left"/>
              <w:rPr>
                <w:rFonts w:ascii="宋体" w:hAnsi="宋体"/>
                <w:b/>
                <w:bCs/>
                <w:color w:val="auto"/>
                <w:szCs w:val="21"/>
              </w:rPr>
            </w:pPr>
            <w:r>
              <w:rPr>
                <w:rFonts w:hint="eastAsia" w:ascii="宋体" w:hAnsi="宋体"/>
                <w:b/>
                <w:bCs/>
                <w:color w:val="auto"/>
                <w:szCs w:val="21"/>
              </w:rPr>
              <w:t>本单位负责人（法定代表人）姓名</w:t>
            </w:r>
          </w:p>
        </w:tc>
        <w:tc>
          <w:tcPr>
            <w:tcW w:w="6310" w:type="dxa"/>
            <w:tcBorders>
              <w:top w:val="single" w:color="000000" w:sz="4" w:space="0"/>
              <w:left w:val="single" w:color="000000" w:sz="4" w:space="0"/>
              <w:bottom w:val="single" w:color="000000" w:sz="4" w:space="0"/>
              <w:right w:val="single" w:color="000000" w:sz="4" w:space="0"/>
            </w:tcBorders>
            <w:vAlign w:val="center"/>
          </w:tcPr>
          <w:p w14:paraId="6F2CA2C0">
            <w:pPr>
              <w:widowControl w:val="0"/>
              <w:autoSpaceDE w:val="0"/>
              <w:autoSpaceDN w:val="0"/>
              <w:adjustRightInd w:val="0"/>
              <w:snapToGrid w:val="0"/>
              <w:ind w:firstLine="0" w:firstLineChars="0"/>
              <w:jc w:val="left"/>
              <w:rPr>
                <w:rFonts w:ascii="宋体" w:hAnsi="宋体" w:cs="Segoe UI Symbol"/>
                <w:color w:val="auto"/>
                <w:kern w:val="0"/>
                <w:szCs w:val="21"/>
              </w:rPr>
            </w:pPr>
          </w:p>
        </w:tc>
      </w:tr>
      <w:tr w14:paraId="38E3A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1D5122AD">
            <w:pPr>
              <w:widowControl w:val="0"/>
              <w:autoSpaceDE w:val="0"/>
              <w:autoSpaceDN w:val="0"/>
              <w:adjustRightInd w:val="0"/>
              <w:snapToGrid w:val="0"/>
              <w:ind w:firstLine="0" w:firstLineChars="0"/>
              <w:jc w:val="left"/>
              <w:rPr>
                <w:rFonts w:ascii="宋体" w:hAnsi="宋体"/>
                <w:b/>
                <w:bCs/>
                <w:color w:val="auto"/>
                <w:szCs w:val="21"/>
              </w:rPr>
            </w:pPr>
            <w:r>
              <w:rPr>
                <w:rFonts w:hint="eastAsia" w:ascii="宋体" w:hAnsi="宋体"/>
                <w:b/>
                <w:bCs/>
                <w:color w:val="auto"/>
                <w:szCs w:val="21"/>
              </w:rPr>
              <w:t>是否存在本单位的控股股东</w:t>
            </w:r>
          </w:p>
        </w:tc>
        <w:tc>
          <w:tcPr>
            <w:tcW w:w="6310" w:type="dxa"/>
            <w:tcBorders>
              <w:top w:val="single" w:color="000000" w:sz="4" w:space="0"/>
              <w:left w:val="single" w:color="000000" w:sz="4" w:space="0"/>
              <w:bottom w:val="single" w:color="000000" w:sz="4" w:space="0"/>
              <w:right w:val="single" w:color="000000" w:sz="4" w:space="0"/>
            </w:tcBorders>
            <w:vAlign w:val="center"/>
          </w:tcPr>
          <w:p w14:paraId="7F76FF36">
            <w:pPr>
              <w:widowControl w:val="0"/>
              <w:autoSpaceDE w:val="0"/>
              <w:autoSpaceDN w:val="0"/>
              <w:adjustRightInd w:val="0"/>
              <w:snapToGrid w:val="0"/>
              <w:ind w:firstLine="0" w:firstLineChars="0"/>
              <w:jc w:val="left"/>
              <w:rPr>
                <w:rFonts w:ascii="宋体" w:hAnsi="宋体" w:cs="Segoe UI Symbol"/>
                <w:color w:val="auto"/>
                <w:kern w:val="0"/>
                <w:szCs w:val="21"/>
                <w:u w:val="single"/>
              </w:rPr>
            </w:pPr>
            <w:r>
              <w:rPr>
                <w:rFonts w:hint="eastAsia" w:ascii="宋体" w:hAnsi="宋体" w:cs="Segoe UI Symbol"/>
                <w:color w:val="auto"/>
                <w:kern w:val="0"/>
                <w:szCs w:val="21"/>
              </w:rPr>
              <w:t>□是，其控股股东为：，股份占比：；</w:t>
            </w:r>
          </w:p>
          <w:p w14:paraId="53FDA642">
            <w:pPr>
              <w:widowControl w:val="0"/>
              <w:autoSpaceDE w:val="0"/>
              <w:autoSpaceDN w:val="0"/>
              <w:adjustRightInd w:val="0"/>
              <w:snapToGrid w:val="0"/>
              <w:ind w:firstLine="0" w:firstLineChars="0"/>
              <w:jc w:val="left"/>
              <w:rPr>
                <w:rFonts w:ascii="宋体" w:hAnsi="宋体" w:cs="Segoe UI Symbol"/>
                <w:color w:val="auto"/>
                <w:kern w:val="0"/>
                <w:szCs w:val="21"/>
              </w:rPr>
            </w:pPr>
            <w:r>
              <w:rPr>
                <w:rFonts w:hint="eastAsia" w:ascii="宋体" w:hAnsi="宋体" w:cs="Segoe UI Symbol"/>
                <w:color w:val="auto"/>
                <w:kern w:val="0"/>
                <w:szCs w:val="21"/>
              </w:rPr>
              <w:t>其他主要股东及其股份占比：。</w:t>
            </w:r>
          </w:p>
          <w:p w14:paraId="6F238B00">
            <w:pPr>
              <w:widowControl w:val="0"/>
              <w:autoSpaceDE w:val="0"/>
              <w:autoSpaceDN w:val="0"/>
              <w:adjustRightInd w:val="0"/>
              <w:snapToGrid w:val="0"/>
              <w:ind w:firstLine="0" w:firstLineChars="0"/>
              <w:jc w:val="left"/>
              <w:rPr>
                <w:rFonts w:ascii="宋体" w:hAnsi="宋体"/>
                <w:b/>
                <w:bCs/>
                <w:color w:val="auto"/>
                <w:szCs w:val="21"/>
              </w:rPr>
            </w:pPr>
            <w:r>
              <w:rPr>
                <w:rFonts w:hint="eastAsia" w:ascii="宋体" w:hAnsi="宋体" w:cs="Segoe UI Symbol"/>
                <w:color w:val="auto"/>
                <w:kern w:val="0"/>
                <w:szCs w:val="21"/>
              </w:rPr>
              <w:t>□否</w:t>
            </w:r>
          </w:p>
        </w:tc>
      </w:tr>
      <w:tr w14:paraId="4DDF4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2C59661E">
            <w:pPr>
              <w:widowControl w:val="0"/>
              <w:autoSpaceDE w:val="0"/>
              <w:autoSpaceDN w:val="0"/>
              <w:adjustRightInd w:val="0"/>
              <w:snapToGrid w:val="0"/>
              <w:ind w:firstLine="0" w:firstLineChars="0"/>
              <w:jc w:val="left"/>
              <w:rPr>
                <w:rFonts w:ascii="宋体" w:hAnsi="宋体"/>
                <w:b/>
                <w:bCs/>
                <w:color w:val="auto"/>
                <w:szCs w:val="21"/>
              </w:rPr>
            </w:pPr>
            <w:r>
              <w:rPr>
                <w:rFonts w:hint="eastAsia" w:ascii="宋体" w:hAnsi="宋体"/>
                <w:b/>
                <w:bCs/>
                <w:color w:val="auto"/>
                <w:szCs w:val="21"/>
              </w:rPr>
              <w:t>是否存在“与本单位存在管理关系的单位”</w:t>
            </w:r>
          </w:p>
        </w:tc>
        <w:tc>
          <w:tcPr>
            <w:tcW w:w="6310" w:type="dxa"/>
            <w:tcBorders>
              <w:top w:val="single" w:color="000000" w:sz="4" w:space="0"/>
              <w:left w:val="single" w:color="000000" w:sz="4" w:space="0"/>
              <w:bottom w:val="single" w:color="000000" w:sz="4" w:space="0"/>
              <w:right w:val="single" w:color="000000" w:sz="4" w:space="0"/>
            </w:tcBorders>
            <w:vAlign w:val="center"/>
          </w:tcPr>
          <w:p w14:paraId="4C4C7F3F">
            <w:pPr>
              <w:widowControl w:val="0"/>
              <w:autoSpaceDE w:val="0"/>
              <w:autoSpaceDN w:val="0"/>
              <w:adjustRightInd w:val="0"/>
              <w:snapToGrid w:val="0"/>
              <w:ind w:firstLine="0" w:firstLineChars="0"/>
              <w:jc w:val="left"/>
              <w:rPr>
                <w:rFonts w:hint="eastAsia" w:ascii="宋体" w:hAnsi="宋体" w:eastAsia="宋体" w:cs="Segoe UI Symbol"/>
                <w:color w:val="auto"/>
                <w:kern w:val="0"/>
                <w:szCs w:val="21"/>
                <w:u w:val="single"/>
                <w:lang w:eastAsia="zh-CN"/>
              </w:rPr>
            </w:pPr>
            <w:r>
              <w:rPr>
                <w:rFonts w:hint="eastAsia" w:ascii="宋体" w:hAnsi="宋体" w:cs="Segoe UI Symbol"/>
                <w:color w:val="auto"/>
                <w:kern w:val="0"/>
                <w:szCs w:val="21"/>
              </w:rPr>
              <w:t>□是，该单位为：</w:t>
            </w:r>
          </w:p>
          <w:p w14:paraId="76744D0C">
            <w:pPr>
              <w:widowControl w:val="0"/>
              <w:autoSpaceDE w:val="0"/>
              <w:autoSpaceDN w:val="0"/>
              <w:adjustRightInd w:val="0"/>
              <w:snapToGrid w:val="0"/>
              <w:ind w:firstLine="0" w:firstLineChars="0"/>
              <w:jc w:val="left"/>
              <w:rPr>
                <w:rFonts w:ascii="宋体" w:hAnsi="宋体"/>
                <w:b/>
                <w:bCs/>
                <w:color w:val="auto"/>
                <w:szCs w:val="21"/>
              </w:rPr>
            </w:pPr>
            <w:r>
              <w:rPr>
                <w:rFonts w:hint="eastAsia" w:ascii="宋体" w:hAnsi="宋体" w:cs="Segoe UI Symbol"/>
                <w:color w:val="auto"/>
                <w:kern w:val="0"/>
                <w:szCs w:val="21"/>
              </w:rPr>
              <w:t>□否</w:t>
            </w:r>
          </w:p>
        </w:tc>
      </w:tr>
      <w:tr w14:paraId="0B1CA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B9C719F">
            <w:pPr>
              <w:widowControl w:val="0"/>
              <w:autoSpaceDE w:val="0"/>
              <w:autoSpaceDN w:val="0"/>
              <w:adjustRightInd w:val="0"/>
              <w:snapToGrid w:val="0"/>
              <w:ind w:firstLine="0" w:firstLineChars="0"/>
              <w:jc w:val="left"/>
              <w:rPr>
                <w:rFonts w:ascii="宋体" w:hAnsi="宋体"/>
                <w:b/>
                <w:bCs/>
                <w:color w:val="auto"/>
                <w:szCs w:val="21"/>
              </w:rPr>
            </w:pPr>
            <w:r>
              <w:rPr>
                <w:rFonts w:hint="eastAsia" w:ascii="宋体" w:hAnsi="宋体"/>
                <w:b/>
                <w:bCs/>
                <w:color w:val="auto"/>
                <w:szCs w:val="21"/>
              </w:rPr>
              <w:t>是否存在“与招标人有利害关系”的情况</w:t>
            </w:r>
          </w:p>
        </w:tc>
        <w:tc>
          <w:tcPr>
            <w:tcW w:w="6310" w:type="dxa"/>
            <w:tcBorders>
              <w:top w:val="single" w:color="000000" w:sz="4" w:space="0"/>
              <w:left w:val="single" w:color="000000" w:sz="4" w:space="0"/>
              <w:bottom w:val="single" w:color="000000" w:sz="4" w:space="0"/>
              <w:right w:val="single" w:color="000000" w:sz="4" w:space="0"/>
            </w:tcBorders>
            <w:vAlign w:val="center"/>
          </w:tcPr>
          <w:p w14:paraId="7D369F05">
            <w:pPr>
              <w:widowControl w:val="0"/>
              <w:autoSpaceDE w:val="0"/>
              <w:autoSpaceDN w:val="0"/>
              <w:adjustRightInd w:val="0"/>
              <w:snapToGrid w:val="0"/>
              <w:ind w:firstLine="0" w:firstLineChars="0"/>
              <w:jc w:val="left"/>
              <w:rPr>
                <w:rFonts w:hint="eastAsia" w:ascii="宋体" w:hAnsi="宋体" w:eastAsia="宋体" w:cs="Segoe UI Symbol"/>
                <w:color w:val="auto"/>
                <w:kern w:val="0"/>
                <w:szCs w:val="21"/>
                <w:u w:val="single"/>
                <w:lang w:eastAsia="zh-CN"/>
              </w:rPr>
            </w:pPr>
            <w:r>
              <w:rPr>
                <w:rFonts w:hint="eastAsia" w:ascii="宋体" w:hAnsi="宋体" w:cs="Segoe UI Symbol"/>
                <w:color w:val="auto"/>
                <w:kern w:val="0"/>
                <w:szCs w:val="21"/>
              </w:rPr>
              <w:t>□是，与招标人的关系为：</w:t>
            </w:r>
          </w:p>
          <w:p w14:paraId="4AFF35F9">
            <w:pPr>
              <w:widowControl w:val="0"/>
              <w:autoSpaceDE w:val="0"/>
              <w:autoSpaceDN w:val="0"/>
              <w:adjustRightInd w:val="0"/>
              <w:snapToGrid w:val="0"/>
              <w:ind w:firstLine="0" w:firstLineChars="0"/>
              <w:jc w:val="left"/>
              <w:rPr>
                <w:rFonts w:ascii="宋体" w:hAnsi="宋体" w:cs="Segoe UI Symbol"/>
                <w:color w:val="auto"/>
                <w:kern w:val="0"/>
                <w:szCs w:val="21"/>
              </w:rPr>
            </w:pPr>
            <w:r>
              <w:rPr>
                <w:rFonts w:hint="eastAsia" w:ascii="宋体" w:hAnsi="宋体" w:cs="Segoe UI Symbol"/>
                <w:color w:val="auto"/>
                <w:kern w:val="0"/>
                <w:szCs w:val="21"/>
              </w:rPr>
              <w:t>□否</w:t>
            </w:r>
          </w:p>
        </w:tc>
      </w:tr>
    </w:tbl>
    <w:p w14:paraId="4527A212">
      <w:pPr>
        <w:widowControl w:val="0"/>
        <w:autoSpaceDE w:val="0"/>
        <w:autoSpaceDN w:val="0"/>
        <w:adjustRightInd w:val="0"/>
        <w:snapToGrid w:val="0"/>
        <w:ind w:firstLine="0" w:firstLineChars="0"/>
        <w:jc w:val="left"/>
        <w:rPr>
          <w:rFonts w:ascii="宋体" w:hAnsi="宋体"/>
          <w:b/>
          <w:bCs/>
          <w:color w:val="auto"/>
          <w:szCs w:val="21"/>
        </w:rPr>
      </w:pPr>
      <w:r>
        <w:rPr>
          <w:rFonts w:hint="eastAsia" w:ascii="宋体" w:hAnsi="宋体"/>
          <w:b/>
          <w:bCs/>
          <w:color w:val="auto"/>
          <w:szCs w:val="21"/>
        </w:rPr>
        <w:t>注：</w:t>
      </w:r>
    </w:p>
    <w:p w14:paraId="4BB771DF">
      <w:pPr>
        <w:widowControl w:val="0"/>
        <w:autoSpaceDE w:val="0"/>
        <w:autoSpaceDN w:val="0"/>
        <w:adjustRightInd w:val="0"/>
        <w:snapToGrid w:val="0"/>
        <w:ind w:firstLine="0" w:firstLineChars="0"/>
        <w:jc w:val="left"/>
        <w:rPr>
          <w:rFonts w:ascii="宋体" w:hAnsi="宋体"/>
          <w:bCs/>
          <w:color w:val="auto"/>
          <w:szCs w:val="21"/>
        </w:rPr>
      </w:pPr>
      <w:r>
        <w:rPr>
          <w:rFonts w:hint="eastAsia" w:ascii="宋体" w:hAnsi="宋体"/>
          <w:bCs/>
          <w:color w:val="auto"/>
          <w:szCs w:val="21"/>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0C1DDD0E">
      <w:pPr>
        <w:widowControl w:val="0"/>
        <w:autoSpaceDE w:val="0"/>
        <w:autoSpaceDN w:val="0"/>
        <w:adjustRightInd w:val="0"/>
        <w:snapToGrid w:val="0"/>
        <w:ind w:firstLine="0" w:firstLineChars="0"/>
        <w:jc w:val="left"/>
        <w:rPr>
          <w:rFonts w:ascii="宋体" w:hAnsi="宋体"/>
          <w:bCs/>
          <w:color w:val="auto"/>
          <w:szCs w:val="21"/>
        </w:rPr>
      </w:pPr>
      <w:r>
        <w:rPr>
          <w:rFonts w:hint="eastAsia" w:ascii="宋体" w:hAnsi="宋体"/>
          <w:bCs/>
          <w:color w:val="auto"/>
          <w:szCs w:val="21"/>
        </w:rPr>
        <w:t>2、此表格必须填写，否则将视为未实质性响应招标文件；</w:t>
      </w:r>
    </w:p>
    <w:p w14:paraId="57A5E59B">
      <w:pPr>
        <w:widowControl w:val="0"/>
        <w:autoSpaceDE w:val="0"/>
        <w:autoSpaceDN w:val="0"/>
        <w:adjustRightInd w:val="0"/>
        <w:snapToGrid w:val="0"/>
        <w:ind w:firstLine="0" w:firstLineChars="0"/>
        <w:jc w:val="left"/>
        <w:rPr>
          <w:rFonts w:ascii="宋体" w:hAnsi="宋体"/>
          <w:bCs/>
          <w:color w:val="auto"/>
          <w:szCs w:val="21"/>
        </w:rPr>
      </w:pPr>
      <w:r>
        <w:rPr>
          <w:rFonts w:hint="eastAsia" w:ascii="宋体" w:hAnsi="宋体"/>
          <w:bCs/>
          <w:color w:val="auto"/>
          <w:szCs w:val="21"/>
        </w:rPr>
        <w:t>3、投标人需如实填写上述信息，如查实上述信息与实际不符，视为提供虚假证明材料骗取中标，投标人应承担相应法律后果。</w:t>
      </w:r>
    </w:p>
    <w:p w14:paraId="7642A355">
      <w:pPr>
        <w:widowControl w:val="0"/>
        <w:autoSpaceDE w:val="0"/>
        <w:autoSpaceDN w:val="0"/>
        <w:adjustRightInd w:val="0"/>
        <w:snapToGrid w:val="0"/>
        <w:ind w:firstLine="0" w:firstLineChars="0"/>
        <w:jc w:val="left"/>
        <w:outlineLvl w:val="2"/>
        <w:rPr>
          <w:rFonts w:ascii="宋体" w:hAnsi="宋体"/>
          <w:b/>
          <w:color w:val="auto"/>
        </w:rPr>
      </w:pPr>
      <w:r>
        <w:rPr>
          <w:rFonts w:ascii="宋体" w:hAnsi="宋体"/>
          <w:b/>
          <w:bCs/>
          <w:color w:val="auto"/>
          <w:szCs w:val="21"/>
        </w:rPr>
        <w:br w:type="page"/>
      </w:r>
      <w:bookmarkStart w:id="393" w:name="_Toc18701"/>
      <w:bookmarkStart w:id="394" w:name="_Toc22600"/>
      <w:bookmarkStart w:id="395" w:name="_Toc9188"/>
      <w:r>
        <w:rPr>
          <w:rFonts w:hint="eastAsia" w:ascii="宋体" w:hAnsi="宋体"/>
          <w:b/>
          <w:bCs/>
          <w:color w:val="auto"/>
          <w:szCs w:val="21"/>
        </w:rPr>
        <w:t>A6</w:t>
      </w:r>
      <w:r>
        <w:rPr>
          <w:rFonts w:hint="eastAsia" w:ascii="宋体" w:hAnsi="宋体"/>
          <w:b/>
          <w:color w:val="auto"/>
        </w:rPr>
        <w:t>、其他</w:t>
      </w:r>
      <w:bookmarkEnd w:id="393"/>
      <w:bookmarkEnd w:id="394"/>
      <w:bookmarkEnd w:id="395"/>
    </w:p>
    <w:p w14:paraId="4938B22E">
      <w:pPr>
        <w:ind w:firstLine="420"/>
        <w:rPr>
          <w:color w:val="auto"/>
        </w:rPr>
      </w:pPr>
      <w:r>
        <w:rPr>
          <w:rFonts w:hint="eastAsia"/>
          <w:color w:val="auto"/>
        </w:rPr>
        <w:t>投标人认为应补充提供的其他文件资料或说明。</w:t>
      </w:r>
    </w:p>
    <w:p w14:paraId="74513B49">
      <w:pPr>
        <w:ind w:firstLine="420"/>
        <w:rPr>
          <w:color w:val="auto"/>
        </w:rPr>
      </w:pPr>
    </w:p>
    <w:p w14:paraId="45CF185B">
      <w:pPr>
        <w:ind w:firstLine="420"/>
        <w:rPr>
          <w:color w:val="auto"/>
        </w:rPr>
      </w:pPr>
      <w:r>
        <w:rPr>
          <w:rFonts w:ascii="宋体" w:hAnsi="宋体"/>
          <w:color w:val="auto"/>
        </w:rPr>
        <w:br w:type="page"/>
      </w:r>
      <w:bookmarkStart w:id="396" w:name="_Toc22959"/>
      <w:bookmarkStart w:id="397" w:name="_Toc22578"/>
      <w:bookmarkStart w:id="398" w:name="_Toc688"/>
      <w:bookmarkStart w:id="399" w:name="_Hlk532142542"/>
    </w:p>
    <w:p w14:paraId="23AE8DEF">
      <w:pPr>
        <w:ind w:firstLine="420"/>
        <w:rPr>
          <w:color w:val="auto"/>
        </w:rPr>
      </w:pPr>
    </w:p>
    <w:p w14:paraId="23420520">
      <w:pPr>
        <w:ind w:firstLine="420"/>
        <w:rPr>
          <w:color w:val="auto"/>
        </w:rPr>
      </w:pPr>
    </w:p>
    <w:p w14:paraId="7DDE9CBD">
      <w:pPr>
        <w:ind w:firstLine="420"/>
        <w:rPr>
          <w:color w:val="auto"/>
        </w:rPr>
      </w:pPr>
    </w:p>
    <w:p w14:paraId="6A76C031">
      <w:pPr>
        <w:ind w:firstLine="420"/>
        <w:rPr>
          <w:color w:val="auto"/>
        </w:rPr>
      </w:pPr>
    </w:p>
    <w:p w14:paraId="7B6E7747">
      <w:pPr>
        <w:ind w:firstLine="420"/>
        <w:rPr>
          <w:color w:val="auto"/>
        </w:rPr>
      </w:pPr>
    </w:p>
    <w:p w14:paraId="3D1E687D">
      <w:pPr>
        <w:pStyle w:val="19"/>
        <w:ind w:firstLine="420"/>
        <w:rPr>
          <w:color w:val="auto"/>
        </w:rPr>
      </w:pPr>
    </w:p>
    <w:p w14:paraId="06C9E4A2">
      <w:pPr>
        <w:ind w:firstLine="420"/>
        <w:rPr>
          <w:color w:val="auto"/>
        </w:rPr>
      </w:pPr>
    </w:p>
    <w:p w14:paraId="75A74A03">
      <w:pPr>
        <w:ind w:firstLine="420"/>
        <w:rPr>
          <w:color w:val="auto"/>
        </w:rPr>
      </w:pPr>
    </w:p>
    <w:p w14:paraId="61C75D53">
      <w:pPr>
        <w:ind w:firstLine="420"/>
        <w:rPr>
          <w:color w:val="auto"/>
        </w:rPr>
      </w:pPr>
    </w:p>
    <w:p w14:paraId="6D9C1383">
      <w:pPr>
        <w:ind w:firstLine="420"/>
        <w:rPr>
          <w:color w:val="auto"/>
        </w:rPr>
      </w:pPr>
    </w:p>
    <w:p w14:paraId="742A3302">
      <w:pPr>
        <w:ind w:firstLine="420"/>
        <w:rPr>
          <w:color w:val="auto"/>
        </w:rPr>
      </w:pPr>
    </w:p>
    <w:p w14:paraId="3022B107">
      <w:pPr>
        <w:ind w:firstLine="420"/>
        <w:rPr>
          <w:color w:val="auto"/>
        </w:rPr>
      </w:pPr>
    </w:p>
    <w:p w14:paraId="6614881B">
      <w:pPr>
        <w:ind w:firstLine="420"/>
        <w:rPr>
          <w:color w:val="auto"/>
        </w:rPr>
      </w:pPr>
    </w:p>
    <w:p w14:paraId="2EB3FA9D">
      <w:pPr>
        <w:ind w:firstLine="420"/>
        <w:rPr>
          <w:color w:val="auto"/>
        </w:rPr>
      </w:pPr>
    </w:p>
    <w:p w14:paraId="139767F3">
      <w:pPr>
        <w:ind w:firstLine="420"/>
        <w:rPr>
          <w:color w:val="auto"/>
        </w:rPr>
      </w:pPr>
    </w:p>
    <w:p w14:paraId="3B5DC95D">
      <w:pPr>
        <w:ind w:firstLine="420"/>
        <w:rPr>
          <w:color w:val="auto"/>
        </w:rPr>
      </w:pPr>
    </w:p>
    <w:p w14:paraId="778EC68D">
      <w:pPr>
        <w:ind w:firstLine="420"/>
        <w:rPr>
          <w:color w:val="auto"/>
        </w:rPr>
      </w:pPr>
    </w:p>
    <w:p w14:paraId="0F135E06">
      <w:pPr>
        <w:widowControl w:val="0"/>
        <w:autoSpaceDE w:val="0"/>
        <w:autoSpaceDN w:val="0"/>
        <w:adjustRightInd w:val="0"/>
        <w:snapToGrid w:val="0"/>
        <w:ind w:firstLine="0" w:firstLineChars="0"/>
        <w:jc w:val="center"/>
        <w:outlineLvl w:val="1"/>
        <w:rPr>
          <w:rFonts w:ascii="宋体" w:hAnsi="宋体"/>
          <w:b/>
          <w:color w:val="auto"/>
          <w:sz w:val="44"/>
          <w:szCs w:val="44"/>
        </w:rPr>
      </w:pPr>
      <w:bookmarkStart w:id="400" w:name="_Toc25175"/>
      <w:bookmarkStart w:id="401" w:name="_Toc20056"/>
      <w:r>
        <w:rPr>
          <w:rFonts w:hint="eastAsia" w:ascii="宋体" w:hAnsi="宋体"/>
          <w:b/>
          <w:color w:val="auto"/>
          <w:sz w:val="44"/>
          <w:szCs w:val="44"/>
        </w:rPr>
        <w:t>二</w:t>
      </w:r>
      <w:r>
        <w:rPr>
          <w:rFonts w:ascii="宋体" w:hAnsi="宋体"/>
          <w:b/>
          <w:color w:val="auto"/>
          <w:sz w:val="44"/>
          <w:szCs w:val="44"/>
        </w:rPr>
        <w:t>、</w:t>
      </w:r>
      <w:r>
        <w:rPr>
          <w:rFonts w:hint="eastAsia" w:ascii="宋体" w:hAnsi="宋体"/>
          <w:b/>
          <w:color w:val="auto"/>
          <w:sz w:val="44"/>
          <w:szCs w:val="44"/>
        </w:rPr>
        <w:t>商务标部分</w:t>
      </w:r>
      <w:bookmarkEnd w:id="396"/>
      <w:bookmarkEnd w:id="400"/>
      <w:bookmarkEnd w:id="401"/>
    </w:p>
    <w:bookmarkEnd w:id="397"/>
    <w:bookmarkEnd w:id="398"/>
    <w:bookmarkEnd w:id="399"/>
    <w:p w14:paraId="44610D06">
      <w:pPr>
        <w:widowControl w:val="0"/>
        <w:autoSpaceDE w:val="0"/>
        <w:autoSpaceDN w:val="0"/>
        <w:adjustRightInd w:val="0"/>
        <w:snapToGrid w:val="0"/>
        <w:spacing w:line="240" w:lineRule="auto"/>
        <w:ind w:firstLine="0" w:firstLineChars="0"/>
        <w:jc w:val="left"/>
        <w:rPr>
          <w:rFonts w:ascii="宋体" w:hAnsi="宋体"/>
          <w:color w:val="auto"/>
          <w:szCs w:val="21"/>
          <w:u w:val="single"/>
        </w:rPr>
      </w:pPr>
    </w:p>
    <w:bookmarkEnd w:id="367"/>
    <w:bookmarkEnd w:id="368"/>
    <w:p w14:paraId="70963350">
      <w:pPr>
        <w:widowControl w:val="0"/>
        <w:autoSpaceDE w:val="0"/>
        <w:autoSpaceDN w:val="0"/>
        <w:adjustRightInd w:val="0"/>
        <w:snapToGrid w:val="0"/>
        <w:ind w:firstLine="0" w:firstLineChars="0"/>
        <w:jc w:val="left"/>
        <w:outlineLvl w:val="2"/>
        <w:rPr>
          <w:rFonts w:ascii="宋体" w:hAnsi="宋体" w:cs="Courier New"/>
          <w:b/>
          <w:bCs/>
          <w:color w:val="auto"/>
          <w:sz w:val="84"/>
          <w:szCs w:val="84"/>
        </w:rPr>
      </w:pPr>
      <w:r>
        <w:rPr>
          <w:rFonts w:ascii="宋体" w:hAnsi="宋体"/>
          <w:b/>
          <w:color w:val="auto"/>
          <w:szCs w:val="21"/>
        </w:rPr>
        <w:br w:type="page"/>
      </w:r>
      <w:bookmarkStart w:id="402" w:name="_Toc5445"/>
      <w:bookmarkStart w:id="403" w:name="_Toc24270"/>
      <w:bookmarkStart w:id="404" w:name="_Toc16851"/>
      <w:bookmarkStart w:id="405" w:name="_Toc22140"/>
      <w:r>
        <w:rPr>
          <w:rFonts w:hint="eastAsia" w:ascii="宋体" w:hAnsi="宋体"/>
          <w:b/>
          <w:color w:val="auto"/>
          <w:szCs w:val="21"/>
        </w:rPr>
        <w:t>B1、</w:t>
      </w:r>
      <w:r>
        <w:rPr>
          <w:rFonts w:hint="eastAsia" w:ascii="宋体" w:hAnsi="宋体"/>
          <w:b/>
          <w:color w:val="auto"/>
        </w:rPr>
        <w:t>投标</w:t>
      </w:r>
      <w:r>
        <w:rPr>
          <w:rFonts w:hint="eastAsia" w:ascii="宋体" w:hAnsi="宋体"/>
          <w:b/>
          <w:color w:val="auto"/>
          <w:szCs w:val="21"/>
        </w:rPr>
        <w:t>函</w:t>
      </w:r>
      <w:bookmarkEnd w:id="402"/>
      <w:bookmarkEnd w:id="403"/>
      <w:bookmarkEnd w:id="404"/>
    </w:p>
    <w:p w14:paraId="4307688B">
      <w:pPr>
        <w:widowControl w:val="0"/>
        <w:autoSpaceDE w:val="0"/>
        <w:autoSpaceDN w:val="0"/>
        <w:adjustRightInd w:val="0"/>
        <w:snapToGrid w:val="0"/>
        <w:ind w:firstLine="0" w:firstLineChars="0"/>
        <w:jc w:val="center"/>
        <w:rPr>
          <w:rFonts w:ascii="宋体" w:hAnsi="宋体"/>
          <w:b/>
          <w:bCs/>
          <w:color w:val="auto"/>
          <w:sz w:val="32"/>
          <w:szCs w:val="32"/>
        </w:rPr>
      </w:pPr>
      <w:r>
        <w:rPr>
          <w:rFonts w:hint="eastAsia" w:ascii="宋体" w:hAnsi="宋体"/>
          <w:b/>
          <w:bCs/>
          <w:color w:val="auto"/>
          <w:sz w:val="32"/>
          <w:szCs w:val="32"/>
        </w:rPr>
        <w:t>投标函</w:t>
      </w:r>
    </w:p>
    <w:p w14:paraId="2A8C0B69">
      <w:pPr>
        <w:widowControl w:val="0"/>
        <w:autoSpaceDE w:val="0"/>
        <w:autoSpaceDN w:val="0"/>
        <w:adjustRightInd w:val="0"/>
        <w:snapToGrid w:val="0"/>
        <w:ind w:firstLine="0" w:firstLineChars="0"/>
        <w:jc w:val="left"/>
        <w:rPr>
          <w:rFonts w:hint="eastAsia" w:ascii="宋体" w:hAnsi="宋体" w:eastAsia="宋体"/>
          <w:color w:val="auto"/>
          <w:sz w:val="18"/>
          <w:szCs w:val="21"/>
          <w:lang w:eastAsia="zh-CN"/>
        </w:rPr>
      </w:pPr>
      <w:r>
        <w:rPr>
          <w:rFonts w:hint="eastAsia" w:ascii="宋体" w:hAnsi="宋体"/>
          <w:color w:val="auto"/>
          <w:sz w:val="18"/>
          <w:szCs w:val="21"/>
        </w:rPr>
        <w:t>致：</w:t>
      </w:r>
      <w:r>
        <w:rPr>
          <w:rFonts w:hint="eastAsia" w:ascii="宋体" w:hAnsi="宋体"/>
          <w:color w:val="auto"/>
          <w:sz w:val="18"/>
          <w:szCs w:val="21"/>
          <w:u w:val="single"/>
        </w:rPr>
        <w:t>（招标人名称)</w:t>
      </w:r>
    </w:p>
    <w:p w14:paraId="39C98014">
      <w:pPr>
        <w:widowControl w:val="0"/>
        <w:autoSpaceDE w:val="0"/>
        <w:autoSpaceDN w:val="0"/>
        <w:adjustRightInd w:val="0"/>
        <w:snapToGrid w:val="0"/>
        <w:ind w:firstLine="0" w:firstLineChars="0"/>
        <w:rPr>
          <w:rFonts w:ascii="宋体" w:hAnsi="宋体"/>
          <w:color w:val="auto"/>
          <w:sz w:val="18"/>
        </w:rPr>
      </w:pPr>
      <w:r>
        <w:rPr>
          <w:rFonts w:hint="eastAsia" w:ascii="宋体" w:hAnsi="宋体"/>
          <w:color w:val="auto"/>
          <w:sz w:val="18"/>
        </w:rPr>
        <w:t>1、</w:t>
      </w:r>
      <w:r>
        <w:rPr>
          <w:rFonts w:ascii="宋体" w:hAnsi="宋体"/>
          <w:color w:val="auto"/>
          <w:sz w:val="18"/>
          <w:szCs w:val="21"/>
        </w:rPr>
        <w:t>在研究了</w:t>
      </w:r>
      <w:r>
        <w:rPr>
          <w:rFonts w:hint="eastAsia" w:ascii="宋体" w:hAnsi="宋体"/>
          <w:color w:val="auto"/>
          <w:sz w:val="18"/>
          <w:szCs w:val="21"/>
        </w:rPr>
        <w:t>你方</w:t>
      </w:r>
      <w:r>
        <w:rPr>
          <w:rFonts w:ascii="宋体" w:hAnsi="宋体"/>
          <w:color w:val="auto"/>
          <w:sz w:val="18"/>
          <w:szCs w:val="21"/>
        </w:rPr>
        <w:t>提供的招标文件</w:t>
      </w:r>
      <w:r>
        <w:rPr>
          <w:rFonts w:hint="eastAsia" w:ascii="宋体" w:hAnsi="宋体"/>
          <w:color w:val="auto"/>
          <w:sz w:val="18"/>
          <w:szCs w:val="21"/>
        </w:rPr>
        <w:t>及澄清或修改文件</w:t>
      </w:r>
      <w:r>
        <w:rPr>
          <w:rFonts w:ascii="宋体" w:hAnsi="宋体"/>
          <w:color w:val="auto"/>
          <w:sz w:val="18"/>
          <w:szCs w:val="21"/>
        </w:rPr>
        <w:t>后，</w:t>
      </w:r>
      <w:r>
        <w:rPr>
          <w:rFonts w:hint="eastAsia" w:ascii="宋体" w:hAnsi="宋体"/>
          <w:color w:val="auto"/>
          <w:sz w:val="18"/>
          <w:szCs w:val="21"/>
        </w:rPr>
        <w:t>我方愿意按投标报价一览表投标总价</w:t>
      </w:r>
      <w:r>
        <w:rPr>
          <w:rFonts w:hint="eastAsia" w:ascii="宋体" w:hAnsi="宋体"/>
          <w:color w:val="auto"/>
          <w:sz w:val="18"/>
        </w:rPr>
        <w:t>投标、服务期和服务要求提供服务，并履行招标文件及合同协议书中的责任和义务。</w:t>
      </w:r>
    </w:p>
    <w:p w14:paraId="3451F8C0">
      <w:pPr>
        <w:widowControl w:val="0"/>
        <w:autoSpaceDE w:val="0"/>
        <w:autoSpaceDN w:val="0"/>
        <w:adjustRightInd w:val="0"/>
        <w:snapToGrid w:val="0"/>
        <w:ind w:firstLine="0" w:firstLineChars="0"/>
        <w:jc w:val="left"/>
        <w:rPr>
          <w:rFonts w:ascii="宋体" w:hAnsi="宋体"/>
          <w:color w:val="auto"/>
          <w:sz w:val="18"/>
        </w:rPr>
      </w:pPr>
      <w:r>
        <w:rPr>
          <w:rFonts w:hint="eastAsia" w:ascii="宋体" w:hAnsi="宋体"/>
          <w:color w:val="auto"/>
          <w:sz w:val="18"/>
          <w:szCs w:val="21"/>
        </w:rPr>
        <w:t>2、我方已详细审查全部招标文件，包括澄清或修改文件（如有）以及有关附件。我方完全理解并同意放弃对这方面有不明及误解的权利。</w:t>
      </w:r>
    </w:p>
    <w:p w14:paraId="54D07CF1">
      <w:pPr>
        <w:widowControl w:val="0"/>
        <w:autoSpaceDE w:val="0"/>
        <w:autoSpaceDN w:val="0"/>
        <w:adjustRightInd w:val="0"/>
        <w:snapToGrid w:val="0"/>
        <w:ind w:firstLine="0" w:firstLineChars="0"/>
        <w:jc w:val="left"/>
        <w:rPr>
          <w:rFonts w:ascii="宋体" w:hAnsi="宋体"/>
          <w:bCs/>
          <w:color w:val="auto"/>
          <w:sz w:val="18"/>
        </w:rPr>
      </w:pPr>
      <w:r>
        <w:rPr>
          <w:rFonts w:hint="eastAsia" w:ascii="宋体" w:hAnsi="宋体"/>
          <w:color w:val="auto"/>
          <w:sz w:val="18"/>
        </w:rPr>
        <w:t>3、</w:t>
      </w:r>
      <w:r>
        <w:rPr>
          <w:rFonts w:hint="eastAsia" w:ascii="宋体" w:hAnsi="宋体"/>
          <w:bCs/>
          <w:color w:val="auto"/>
          <w:sz w:val="18"/>
        </w:rPr>
        <w:t>本投标有效期为投标截止日起</w:t>
      </w:r>
      <w:r>
        <w:rPr>
          <w:rFonts w:hint="eastAsia" w:ascii="宋体" w:hAnsi="宋体"/>
          <w:bCs/>
          <w:color w:val="auto"/>
          <w:sz w:val="18"/>
          <w:u w:val="single"/>
          <w:lang w:val="en-US" w:eastAsia="zh-CN"/>
        </w:rPr>
        <w:t xml:space="preserve">120 </w:t>
      </w:r>
      <w:r>
        <w:rPr>
          <w:rFonts w:hint="eastAsia" w:ascii="宋体" w:hAnsi="宋体"/>
          <w:color w:val="auto"/>
          <w:sz w:val="18"/>
          <w:u w:val="single"/>
        </w:rPr>
        <w:t>日历日</w:t>
      </w:r>
      <w:r>
        <w:rPr>
          <w:rFonts w:hint="eastAsia" w:ascii="宋体" w:hAnsi="宋体"/>
          <w:bCs/>
          <w:color w:val="auto"/>
          <w:sz w:val="18"/>
        </w:rPr>
        <w:t>，我方保证在</w:t>
      </w:r>
      <w:r>
        <w:rPr>
          <w:rFonts w:ascii="宋体" w:hAnsi="宋体"/>
          <w:color w:val="auto"/>
          <w:sz w:val="18"/>
        </w:rPr>
        <w:t>投标有效期内严格遵守本投标函的各项承诺。在此期限届满之前，本投标函将对我方具有约束力，并随时接受中标</w:t>
      </w:r>
      <w:r>
        <w:rPr>
          <w:rFonts w:hint="eastAsia" w:ascii="宋体" w:hAnsi="宋体"/>
          <w:bCs/>
          <w:color w:val="auto"/>
          <w:sz w:val="18"/>
        </w:rPr>
        <w:t>。</w:t>
      </w:r>
    </w:p>
    <w:p w14:paraId="3134C74A">
      <w:pPr>
        <w:widowControl w:val="0"/>
        <w:autoSpaceDE w:val="0"/>
        <w:autoSpaceDN w:val="0"/>
        <w:adjustRightInd w:val="0"/>
        <w:snapToGrid w:val="0"/>
        <w:ind w:firstLine="0" w:firstLineChars="0"/>
        <w:jc w:val="left"/>
        <w:rPr>
          <w:rFonts w:ascii="宋体" w:hAnsi="宋体"/>
          <w:bCs/>
          <w:color w:val="auto"/>
          <w:sz w:val="18"/>
        </w:rPr>
      </w:pPr>
      <w:r>
        <w:rPr>
          <w:rFonts w:hint="eastAsia" w:ascii="宋体" w:hAnsi="宋体"/>
          <w:bCs/>
          <w:color w:val="auto"/>
          <w:sz w:val="18"/>
        </w:rPr>
        <w:t>4、我方同意按照你方的要求提供与本投标有关的一切数据或资料，完全理解你方不一定要接受最低价的投标或收到的任何投标。</w:t>
      </w:r>
      <w:r>
        <w:rPr>
          <w:rFonts w:ascii="宋体" w:hAnsi="宋体"/>
          <w:color w:val="auto"/>
          <w:sz w:val="18"/>
        </w:rPr>
        <w:t>同时也理解，</w:t>
      </w:r>
      <w:r>
        <w:rPr>
          <w:rFonts w:hint="eastAsia" w:ascii="宋体" w:hAnsi="宋体"/>
          <w:color w:val="auto"/>
          <w:sz w:val="18"/>
        </w:rPr>
        <w:t>你</w:t>
      </w:r>
      <w:r>
        <w:rPr>
          <w:rFonts w:ascii="宋体" w:hAnsi="宋体"/>
          <w:color w:val="auto"/>
          <w:sz w:val="18"/>
        </w:rPr>
        <w:t>方不负担我方的任何投标费用。</w:t>
      </w:r>
    </w:p>
    <w:p w14:paraId="380DA174">
      <w:pPr>
        <w:widowControl w:val="0"/>
        <w:autoSpaceDE w:val="0"/>
        <w:autoSpaceDN w:val="0"/>
        <w:adjustRightInd w:val="0"/>
        <w:snapToGrid w:val="0"/>
        <w:ind w:firstLine="0" w:firstLineChars="0"/>
        <w:jc w:val="left"/>
        <w:rPr>
          <w:rFonts w:ascii="宋体" w:hAnsi="宋体"/>
          <w:bCs/>
          <w:color w:val="auto"/>
          <w:sz w:val="18"/>
        </w:rPr>
      </w:pPr>
      <w:r>
        <w:rPr>
          <w:rFonts w:hint="eastAsia" w:ascii="宋体" w:hAnsi="宋体"/>
          <w:bCs/>
          <w:sz w:val="18"/>
          <w:highlight w:val="none"/>
        </w:rPr>
        <w:t>5、如果我方中标，我方保证按照招标文件规定的期限要求履行提供服务及有关责任和义务。</w:t>
      </w:r>
    </w:p>
    <w:p w14:paraId="5F16F338">
      <w:pPr>
        <w:widowControl w:val="0"/>
        <w:autoSpaceDE w:val="0"/>
        <w:autoSpaceDN w:val="0"/>
        <w:adjustRightInd w:val="0"/>
        <w:snapToGrid w:val="0"/>
        <w:ind w:firstLine="0" w:firstLineChars="0"/>
        <w:jc w:val="left"/>
        <w:rPr>
          <w:rFonts w:ascii="宋体" w:hAnsi="宋体"/>
          <w:bCs/>
          <w:color w:val="auto"/>
          <w:sz w:val="18"/>
        </w:rPr>
      </w:pPr>
      <w:r>
        <w:rPr>
          <w:rFonts w:hint="eastAsia" w:ascii="宋体" w:hAnsi="宋体"/>
          <w:bCs/>
          <w:color w:val="auto"/>
          <w:sz w:val="18"/>
        </w:rPr>
        <w:t>6、</w:t>
      </w:r>
      <w:r>
        <w:rPr>
          <w:rFonts w:ascii="宋体" w:hAnsi="宋体"/>
          <w:color w:val="auto"/>
          <w:sz w:val="18"/>
        </w:rPr>
        <w:t>在合同协议书正式签署生效之前，本投标函连同</w:t>
      </w:r>
      <w:r>
        <w:rPr>
          <w:rFonts w:hint="eastAsia" w:ascii="宋体" w:hAnsi="宋体"/>
          <w:color w:val="auto"/>
          <w:sz w:val="18"/>
        </w:rPr>
        <w:t>你方发出</w:t>
      </w:r>
      <w:r>
        <w:rPr>
          <w:rFonts w:ascii="宋体" w:hAnsi="宋体"/>
          <w:color w:val="auto"/>
          <w:sz w:val="18"/>
        </w:rPr>
        <w:t>的中标通知书</w:t>
      </w:r>
      <w:r>
        <w:rPr>
          <w:rFonts w:hint="eastAsia" w:ascii="宋体" w:hAnsi="宋体"/>
          <w:color w:val="auto"/>
          <w:sz w:val="18"/>
        </w:rPr>
        <w:t>，</w:t>
      </w:r>
      <w:r>
        <w:rPr>
          <w:rFonts w:ascii="宋体" w:hAnsi="宋体"/>
          <w:color w:val="auto"/>
          <w:sz w:val="18"/>
        </w:rPr>
        <w:t>将构成</w:t>
      </w:r>
      <w:r>
        <w:rPr>
          <w:rFonts w:hint="eastAsia" w:ascii="宋体" w:hAnsi="宋体"/>
          <w:color w:val="auto"/>
          <w:sz w:val="18"/>
        </w:rPr>
        <w:t>你我</w:t>
      </w:r>
      <w:r>
        <w:rPr>
          <w:rFonts w:ascii="宋体" w:hAnsi="宋体"/>
          <w:color w:val="auto"/>
          <w:sz w:val="18"/>
        </w:rPr>
        <w:t>双方共同遵守的文件，对双方具有约束力。</w:t>
      </w:r>
    </w:p>
    <w:p w14:paraId="176920F7">
      <w:pPr>
        <w:widowControl w:val="0"/>
        <w:autoSpaceDE w:val="0"/>
        <w:autoSpaceDN w:val="0"/>
        <w:adjustRightInd w:val="0"/>
        <w:snapToGrid w:val="0"/>
        <w:ind w:firstLine="0" w:firstLineChars="0"/>
        <w:jc w:val="left"/>
        <w:rPr>
          <w:rFonts w:ascii="宋体" w:hAnsi="宋体"/>
          <w:bCs/>
          <w:color w:val="auto"/>
          <w:sz w:val="18"/>
        </w:rPr>
      </w:pPr>
      <w:r>
        <w:rPr>
          <w:rFonts w:ascii="宋体" w:hAnsi="宋体"/>
          <w:bCs/>
          <w:color w:val="auto"/>
          <w:sz w:val="18"/>
        </w:rPr>
        <w:t>7</w:t>
      </w:r>
      <w:r>
        <w:rPr>
          <w:rFonts w:hint="eastAsia" w:ascii="宋体" w:hAnsi="宋体"/>
          <w:bCs/>
          <w:color w:val="auto"/>
          <w:sz w:val="18"/>
        </w:rPr>
        <w:t>、</w:t>
      </w:r>
      <w:r>
        <w:rPr>
          <w:rFonts w:ascii="宋体" w:hAnsi="宋体"/>
          <w:bCs/>
          <w:color w:val="auto"/>
          <w:sz w:val="18"/>
        </w:rPr>
        <w:t>随同本投标函，</w:t>
      </w:r>
      <w:r>
        <w:rPr>
          <w:rFonts w:hint="eastAsia" w:ascii="宋体" w:hAnsi="宋体"/>
          <w:bCs/>
          <w:color w:val="auto"/>
          <w:sz w:val="18"/>
        </w:rPr>
        <w:t>我方缴纳符合招标文件要求的</w:t>
      </w:r>
      <w:r>
        <w:rPr>
          <w:rFonts w:ascii="宋体" w:hAnsi="宋体"/>
          <w:bCs/>
          <w:color w:val="auto"/>
          <w:sz w:val="18"/>
        </w:rPr>
        <w:t>投标</w:t>
      </w:r>
      <w:r>
        <w:rPr>
          <w:rFonts w:hint="eastAsia" w:ascii="宋体" w:hAnsi="宋体"/>
          <w:bCs/>
          <w:color w:val="auto"/>
          <w:sz w:val="18"/>
        </w:rPr>
        <w:t>保证金</w:t>
      </w:r>
      <w:r>
        <w:rPr>
          <w:rFonts w:ascii="宋体" w:hAnsi="宋体"/>
          <w:bCs/>
          <w:color w:val="auto"/>
          <w:sz w:val="18"/>
        </w:rPr>
        <w:t>。如果</w:t>
      </w:r>
      <w:r>
        <w:rPr>
          <w:rFonts w:hint="eastAsia" w:ascii="宋体" w:hAnsi="宋体"/>
          <w:bCs/>
          <w:color w:val="auto"/>
          <w:sz w:val="18"/>
        </w:rPr>
        <w:t>我方存在以下任何一种行为时，</w:t>
      </w:r>
      <w:r>
        <w:rPr>
          <w:rFonts w:ascii="宋体" w:hAnsi="宋体"/>
          <w:bCs/>
          <w:color w:val="auto"/>
          <w:sz w:val="18"/>
        </w:rPr>
        <w:t>你方有权</w:t>
      </w:r>
      <w:r>
        <w:rPr>
          <w:rFonts w:hint="eastAsia" w:ascii="宋体" w:hAnsi="宋体"/>
          <w:bCs/>
          <w:color w:val="auto"/>
          <w:sz w:val="18"/>
        </w:rPr>
        <w:t>不予退还</w:t>
      </w:r>
      <w:r>
        <w:rPr>
          <w:rFonts w:ascii="宋体" w:hAnsi="宋体"/>
          <w:bCs/>
          <w:color w:val="auto"/>
          <w:sz w:val="18"/>
        </w:rPr>
        <w:t>投标</w:t>
      </w:r>
      <w:r>
        <w:rPr>
          <w:rFonts w:hint="eastAsia" w:ascii="宋体" w:hAnsi="宋体"/>
          <w:bCs/>
          <w:color w:val="auto"/>
          <w:sz w:val="18"/>
        </w:rPr>
        <w:t>保证金</w:t>
      </w:r>
      <w:r>
        <w:rPr>
          <w:rFonts w:ascii="宋体" w:hAnsi="宋体"/>
          <w:bCs/>
          <w:color w:val="auto"/>
          <w:sz w:val="18"/>
        </w:rPr>
        <w:t>，</w:t>
      </w:r>
      <w:r>
        <w:rPr>
          <w:rFonts w:hint="eastAsia" w:ascii="宋体" w:hAnsi="宋体"/>
          <w:bCs/>
          <w:color w:val="auto"/>
          <w:sz w:val="18"/>
        </w:rPr>
        <w:t>取消我方中标资格，</w:t>
      </w:r>
      <w:r>
        <w:rPr>
          <w:rFonts w:ascii="宋体" w:hAnsi="宋体"/>
          <w:bCs/>
          <w:color w:val="auto"/>
          <w:sz w:val="18"/>
        </w:rPr>
        <w:t>另选中标单位</w:t>
      </w:r>
      <w:r>
        <w:rPr>
          <w:rFonts w:hint="eastAsia" w:ascii="宋体" w:hAnsi="宋体"/>
          <w:color w:val="auto"/>
          <w:sz w:val="18"/>
        </w:rPr>
        <w:t>，给你方造成的损失超过我方投标保证金的，你方还有权要求我方对超过部分进行赔偿</w:t>
      </w:r>
      <w:r>
        <w:rPr>
          <w:rFonts w:hint="eastAsia" w:ascii="宋体" w:hAnsi="宋体"/>
          <w:bCs/>
          <w:color w:val="auto"/>
          <w:sz w:val="18"/>
        </w:rPr>
        <w:t>：</w:t>
      </w:r>
    </w:p>
    <w:p w14:paraId="369EACCB">
      <w:pPr>
        <w:widowControl w:val="0"/>
        <w:autoSpaceDE w:val="0"/>
        <w:autoSpaceDN w:val="0"/>
        <w:adjustRightInd w:val="0"/>
        <w:snapToGrid w:val="0"/>
        <w:ind w:firstLine="0" w:firstLineChars="0"/>
        <w:jc w:val="left"/>
        <w:rPr>
          <w:rFonts w:ascii="宋体" w:hAnsi="宋体"/>
          <w:bCs/>
          <w:color w:val="auto"/>
          <w:sz w:val="18"/>
        </w:rPr>
      </w:pPr>
      <w:r>
        <w:rPr>
          <w:rFonts w:hint="eastAsia" w:ascii="宋体" w:hAnsi="宋体"/>
          <w:bCs/>
          <w:color w:val="auto"/>
          <w:sz w:val="18"/>
        </w:rPr>
        <w:t>（1）投标截止时间</w:t>
      </w:r>
      <w:r>
        <w:rPr>
          <w:rFonts w:ascii="宋体" w:hAnsi="宋体"/>
          <w:bCs/>
          <w:color w:val="auto"/>
          <w:sz w:val="18"/>
        </w:rPr>
        <w:t>后，</w:t>
      </w:r>
      <w:r>
        <w:rPr>
          <w:rFonts w:hint="eastAsia" w:ascii="宋体" w:hAnsi="宋体"/>
          <w:bCs/>
          <w:color w:val="auto"/>
          <w:sz w:val="18"/>
        </w:rPr>
        <w:t>我方在</w:t>
      </w:r>
      <w:r>
        <w:rPr>
          <w:rFonts w:ascii="宋体" w:hAnsi="宋体"/>
          <w:bCs/>
          <w:color w:val="auto"/>
          <w:sz w:val="18"/>
        </w:rPr>
        <w:t>投标有效期内撤回</w:t>
      </w:r>
      <w:r>
        <w:rPr>
          <w:rFonts w:hint="eastAsia" w:ascii="宋体" w:hAnsi="宋体"/>
          <w:bCs/>
          <w:color w:val="auto"/>
          <w:sz w:val="18"/>
        </w:rPr>
        <w:t>或修改</w:t>
      </w:r>
      <w:r>
        <w:rPr>
          <w:rFonts w:ascii="宋体" w:hAnsi="宋体"/>
          <w:bCs/>
          <w:color w:val="auto"/>
          <w:sz w:val="18"/>
        </w:rPr>
        <w:t>投标文件</w:t>
      </w:r>
      <w:r>
        <w:rPr>
          <w:rFonts w:hint="eastAsia" w:ascii="宋体" w:hAnsi="宋体"/>
          <w:bCs/>
          <w:color w:val="auto"/>
          <w:sz w:val="18"/>
        </w:rPr>
        <w:t>；</w:t>
      </w:r>
    </w:p>
    <w:p w14:paraId="0ACCCF86">
      <w:pPr>
        <w:widowControl w:val="0"/>
        <w:autoSpaceDE w:val="0"/>
        <w:autoSpaceDN w:val="0"/>
        <w:adjustRightInd w:val="0"/>
        <w:snapToGrid w:val="0"/>
        <w:ind w:firstLine="0" w:firstLineChars="0"/>
        <w:jc w:val="left"/>
        <w:rPr>
          <w:rFonts w:ascii="宋体" w:hAnsi="宋体"/>
          <w:bCs/>
          <w:color w:val="auto"/>
          <w:sz w:val="18"/>
        </w:rPr>
      </w:pPr>
      <w:r>
        <w:rPr>
          <w:rFonts w:hint="eastAsia" w:ascii="宋体" w:hAnsi="宋体"/>
          <w:bCs/>
          <w:color w:val="auto"/>
          <w:sz w:val="18"/>
        </w:rPr>
        <w:t>（2）</w:t>
      </w:r>
      <w:r>
        <w:rPr>
          <w:rFonts w:hint="eastAsia" w:ascii="宋体" w:hAnsi="宋体"/>
          <w:color w:val="auto"/>
          <w:sz w:val="18"/>
        </w:rPr>
        <w:t>我方在接到中标通知书后放弃中标</w:t>
      </w:r>
      <w:r>
        <w:rPr>
          <w:rFonts w:ascii="宋体" w:hAnsi="宋体"/>
          <w:bCs/>
          <w:color w:val="auto"/>
          <w:sz w:val="18"/>
        </w:rPr>
        <w:t>；</w:t>
      </w:r>
    </w:p>
    <w:p w14:paraId="33B61A9B">
      <w:pPr>
        <w:widowControl w:val="0"/>
        <w:autoSpaceDE w:val="0"/>
        <w:autoSpaceDN w:val="0"/>
        <w:adjustRightInd w:val="0"/>
        <w:snapToGrid w:val="0"/>
        <w:ind w:firstLine="0" w:firstLineChars="0"/>
        <w:jc w:val="left"/>
        <w:rPr>
          <w:rFonts w:ascii="宋体" w:hAnsi="宋体"/>
          <w:bCs/>
          <w:color w:val="auto"/>
          <w:sz w:val="18"/>
        </w:rPr>
      </w:pPr>
      <w:r>
        <w:rPr>
          <w:rFonts w:hint="eastAsia" w:ascii="宋体" w:hAnsi="宋体"/>
          <w:bCs/>
          <w:color w:val="auto"/>
          <w:sz w:val="18"/>
        </w:rPr>
        <w:t>（3）我方自</w:t>
      </w:r>
      <w:r>
        <w:rPr>
          <w:rFonts w:ascii="宋体" w:hAnsi="宋体"/>
          <w:bCs/>
          <w:color w:val="auto"/>
          <w:sz w:val="18"/>
        </w:rPr>
        <w:t>中标通知</w:t>
      </w:r>
      <w:r>
        <w:rPr>
          <w:rFonts w:hint="eastAsia" w:ascii="宋体" w:hAnsi="宋体"/>
          <w:bCs/>
          <w:color w:val="auto"/>
          <w:sz w:val="18"/>
        </w:rPr>
        <w:t>书发出之日起</w:t>
      </w:r>
      <w:r>
        <w:rPr>
          <w:rFonts w:hint="eastAsia" w:ascii="宋体" w:hAnsi="宋体"/>
          <w:color w:val="auto"/>
          <w:sz w:val="18"/>
          <w:u w:val="single"/>
        </w:rPr>
        <w:t>30</w:t>
      </w:r>
      <w:r>
        <w:rPr>
          <w:rFonts w:hint="eastAsia" w:ascii="宋体" w:hAnsi="宋体"/>
          <w:color w:val="auto"/>
          <w:sz w:val="18"/>
        </w:rPr>
        <w:t>天</w:t>
      </w:r>
      <w:r>
        <w:rPr>
          <w:rFonts w:hint="eastAsia" w:ascii="宋体" w:hAnsi="宋体"/>
          <w:bCs/>
          <w:color w:val="auto"/>
          <w:sz w:val="18"/>
        </w:rPr>
        <w:t>内</w:t>
      </w:r>
      <w:r>
        <w:rPr>
          <w:rFonts w:ascii="宋体" w:hAnsi="宋体"/>
          <w:bCs/>
          <w:color w:val="auto"/>
          <w:sz w:val="18"/>
        </w:rPr>
        <w:t>拒绝</w:t>
      </w:r>
      <w:r>
        <w:rPr>
          <w:rFonts w:hint="eastAsia" w:ascii="宋体" w:hAnsi="宋体"/>
          <w:bCs/>
          <w:color w:val="auto"/>
          <w:sz w:val="18"/>
        </w:rPr>
        <w:t>按照你方指定的时间和地点</w:t>
      </w:r>
      <w:r>
        <w:rPr>
          <w:rFonts w:ascii="宋体" w:hAnsi="宋体"/>
          <w:bCs/>
          <w:color w:val="auto"/>
          <w:sz w:val="18"/>
        </w:rPr>
        <w:t>签订合同</w:t>
      </w:r>
      <w:r>
        <w:rPr>
          <w:rFonts w:hint="eastAsia" w:ascii="宋体" w:hAnsi="宋体"/>
          <w:bCs/>
          <w:color w:val="auto"/>
          <w:sz w:val="18"/>
        </w:rPr>
        <w:t>及附件；</w:t>
      </w:r>
    </w:p>
    <w:p w14:paraId="7678DF15">
      <w:pPr>
        <w:widowControl w:val="0"/>
        <w:autoSpaceDE w:val="0"/>
        <w:autoSpaceDN w:val="0"/>
        <w:adjustRightInd w:val="0"/>
        <w:snapToGrid w:val="0"/>
        <w:ind w:firstLine="0" w:firstLineChars="0"/>
        <w:jc w:val="left"/>
        <w:rPr>
          <w:rFonts w:ascii="宋体" w:hAnsi="宋体"/>
          <w:bCs/>
          <w:color w:val="auto"/>
          <w:sz w:val="18"/>
        </w:rPr>
      </w:pPr>
      <w:r>
        <w:rPr>
          <w:rFonts w:hint="eastAsia" w:ascii="宋体" w:hAnsi="宋体"/>
          <w:bCs/>
          <w:color w:val="auto"/>
          <w:sz w:val="18"/>
        </w:rPr>
        <w:t>（4）我方</w:t>
      </w:r>
      <w:r>
        <w:rPr>
          <w:rFonts w:ascii="宋体" w:hAnsi="宋体"/>
          <w:bCs/>
          <w:color w:val="auto"/>
          <w:sz w:val="18"/>
        </w:rPr>
        <w:t>未能</w:t>
      </w:r>
      <w:r>
        <w:rPr>
          <w:rFonts w:hint="eastAsia" w:ascii="宋体" w:hAnsi="宋体"/>
          <w:bCs/>
          <w:color w:val="auto"/>
          <w:sz w:val="18"/>
        </w:rPr>
        <w:t>按招标文件要求</w:t>
      </w:r>
      <w:r>
        <w:rPr>
          <w:rFonts w:ascii="宋体" w:hAnsi="宋体"/>
          <w:bCs/>
          <w:color w:val="auto"/>
          <w:sz w:val="18"/>
        </w:rPr>
        <w:t>提交</w:t>
      </w:r>
      <w:r>
        <w:rPr>
          <w:rFonts w:hint="eastAsia" w:ascii="宋体" w:hAnsi="宋体"/>
          <w:bCs/>
          <w:color w:val="auto"/>
          <w:sz w:val="18"/>
        </w:rPr>
        <w:t>足额</w:t>
      </w:r>
      <w:r>
        <w:rPr>
          <w:rFonts w:ascii="宋体" w:hAnsi="宋体"/>
          <w:bCs/>
          <w:color w:val="auto"/>
          <w:sz w:val="18"/>
        </w:rPr>
        <w:t>履约</w:t>
      </w:r>
      <w:r>
        <w:rPr>
          <w:rFonts w:hint="eastAsia" w:ascii="宋体" w:hAnsi="宋体"/>
          <w:bCs/>
          <w:color w:val="auto"/>
          <w:sz w:val="18"/>
        </w:rPr>
        <w:t>担保；</w:t>
      </w:r>
    </w:p>
    <w:p w14:paraId="26A862DE">
      <w:pPr>
        <w:widowControl w:val="0"/>
        <w:autoSpaceDE w:val="0"/>
        <w:autoSpaceDN w:val="0"/>
        <w:adjustRightInd w:val="0"/>
        <w:snapToGrid w:val="0"/>
        <w:ind w:firstLine="0" w:firstLineChars="0"/>
        <w:jc w:val="left"/>
        <w:rPr>
          <w:rFonts w:ascii="宋体" w:hAnsi="宋体"/>
          <w:bCs/>
          <w:color w:val="auto"/>
          <w:sz w:val="18"/>
        </w:rPr>
      </w:pPr>
      <w:r>
        <w:rPr>
          <w:rFonts w:hint="eastAsia" w:ascii="宋体" w:hAnsi="宋体"/>
          <w:bCs/>
          <w:color w:val="auto"/>
          <w:sz w:val="18"/>
        </w:rPr>
        <w:t>（5）我方在签订合同时提出你方不能接受的附加条件或者更改合同实质性内容的；</w:t>
      </w:r>
    </w:p>
    <w:p w14:paraId="4E8C7D60">
      <w:pPr>
        <w:widowControl w:val="0"/>
        <w:autoSpaceDE w:val="0"/>
        <w:autoSpaceDN w:val="0"/>
        <w:adjustRightInd w:val="0"/>
        <w:snapToGrid w:val="0"/>
        <w:ind w:firstLine="0" w:firstLineChars="0"/>
        <w:jc w:val="left"/>
        <w:rPr>
          <w:rFonts w:ascii="宋体" w:hAnsi="宋体"/>
          <w:bCs/>
          <w:color w:val="auto"/>
          <w:sz w:val="18"/>
        </w:rPr>
      </w:pPr>
      <w:r>
        <w:rPr>
          <w:rFonts w:hint="eastAsia" w:ascii="宋体" w:hAnsi="宋体"/>
          <w:bCs/>
          <w:color w:val="auto"/>
          <w:sz w:val="18"/>
        </w:rPr>
        <w:t>（</w:t>
      </w:r>
      <w:r>
        <w:rPr>
          <w:rFonts w:ascii="宋体" w:hAnsi="宋体"/>
          <w:bCs/>
          <w:color w:val="auto"/>
          <w:sz w:val="18"/>
        </w:rPr>
        <w:t>6</w:t>
      </w:r>
      <w:r>
        <w:rPr>
          <w:rFonts w:hint="eastAsia" w:ascii="宋体" w:hAnsi="宋体"/>
          <w:bCs/>
          <w:color w:val="auto"/>
          <w:sz w:val="18"/>
        </w:rPr>
        <w:t>）我方</w:t>
      </w:r>
      <w:r>
        <w:rPr>
          <w:rFonts w:ascii="宋体" w:hAnsi="宋体"/>
          <w:bCs/>
          <w:color w:val="auto"/>
          <w:sz w:val="18"/>
        </w:rPr>
        <w:t>资质证书被暂扣或吊销，但仍参与投标的</w:t>
      </w:r>
      <w:r>
        <w:rPr>
          <w:rFonts w:hint="eastAsia" w:ascii="宋体" w:hAnsi="宋体"/>
          <w:bCs/>
          <w:color w:val="auto"/>
          <w:sz w:val="18"/>
        </w:rPr>
        <w:t>；</w:t>
      </w:r>
    </w:p>
    <w:p w14:paraId="701D0383">
      <w:pPr>
        <w:widowControl w:val="0"/>
        <w:autoSpaceDE w:val="0"/>
        <w:autoSpaceDN w:val="0"/>
        <w:adjustRightInd w:val="0"/>
        <w:snapToGrid w:val="0"/>
        <w:ind w:firstLine="0" w:firstLineChars="0"/>
        <w:jc w:val="left"/>
        <w:rPr>
          <w:rFonts w:ascii="宋体" w:hAnsi="宋体"/>
          <w:bCs/>
          <w:color w:val="auto"/>
          <w:sz w:val="18"/>
        </w:rPr>
      </w:pPr>
      <w:r>
        <w:rPr>
          <w:rFonts w:hint="eastAsia" w:ascii="宋体" w:hAnsi="宋体"/>
          <w:bCs/>
          <w:color w:val="auto"/>
          <w:sz w:val="18"/>
        </w:rPr>
        <w:t>（</w:t>
      </w:r>
      <w:r>
        <w:rPr>
          <w:rFonts w:ascii="宋体" w:hAnsi="宋体"/>
          <w:bCs/>
          <w:color w:val="auto"/>
          <w:sz w:val="18"/>
        </w:rPr>
        <w:t>7</w:t>
      </w:r>
      <w:r>
        <w:rPr>
          <w:rFonts w:hint="eastAsia" w:ascii="宋体" w:hAnsi="宋体"/>
          <w:bCs/>
          <w:color w:val="auto"/>
          <w:sz w:val="18"/>
        </w:rPr>
        <w:t>）我方有法律法规或招标文件中规定的可以不予退还投标保证金的其他行为。</w:t>
      </w:r>
    </w:p>
    <w:p w14:paraId="5D8D26FA">
      <w:pPr>
        <w:widowControl w:val="0"/>
        <w:autoSpaceDE w:val="0"/>
        <w:autoSpaceDN w:val="0"/>
        <w:adjustRightInd w:val="0"/>
        <w:snapToGrid w:val="0"/>
        <w:ind w:firstLine="0" w:firstLineChars="0"/>
        <w:jc w:val="left"/>
        <w:rPr>
          <w:rFonts w:ascii="宋体" w:hAnsi="宋体"/>
          <w:bCs/>
          <w:color w:val="auto"/>
          <w:sz w:val="18"/>
          <w:u w:val="single"/>
        </w:rPr>
      </w:pPr>
      <w:r>
        <w:rPr>
          <w:rFonts w:hint="eastAsia" w:ascii="宋体" w:hAnsi="宋体"/>
          <w:bCs/>
          <w:color w:val="auto"/>
          <w:sz w:val="18"/>
        </w:rPr>
        <w:t>8、与本投标有关的一切正式往来通讯请发往：</w:t>
      </w:r>
    </w:p>
    <w:p w14:paraId="3AE89F71">
      <w:pPr>
        <w:widowControl w:val="0"/>
        <w:autoSpaceDE w:val="0"/>
        <w:autoSpaceDN w:val="0"/>
        <w:adjustRightInd w:val="0"/>
        <w:snapToGrid w:val="0"/>
        <w:ind w:firstLine="0" w:firstLineChars="0"/>
        <w:jc w:val="left"/>
        <w:rPr>
          <w:rFonts w:hint="eastAsia" w:ascii="宋体" w:hAnsi="宋体"/>
          <w:sz w:val="18"/>
          <w:szCs w:val="21"/>
          <w:highlight w:val="none"/>
        </w:rPr>
      </w:pPr>
      <w:r>
        <w:rPr>
          <w:rFonts w:hint="eastAsia" w:ascii="宋体" w:hAnsi="宋体"/>
          <w:sz w:val="18"/>
          <w:szCs w:val="21"/>
          <w:highlight w:val="none"/>
        </w:rPr>
        <w:t>投标人：</w:t>
      </w:r>
      <w:r>
        <w:rPr>
          <w:rFonts w:hint="eastAsia" w:ascii="宋体" w:hAnsi="宋体"/>
          <w:sz w:val="18"/>
          <w:szCs w:val="21"/>
          <w:highlight w:val="none"/>
          <w:u w:val="single"/>
        </w:rPr>
        <w:t xml:space="preserve">                               </w:t>
      </w:r>
    </w:p>
    <w:p w14:paraId="313DE020">
      <w:pPr>
        <w:widowControl w:val="0"/>
        <w:autoSpaceDE w:val="0"/>
        <w:autoSpaceDN w:val="0"/>
        <w:adjustRightInd w:val="0"/>
        <w:snapToGrid w:val="0"/>
        <w:ind w:firstLine="0" w:firstLineChars="0"/>
        <w:jc w:val="left"/>
        <w:rPr>
          <w:rFonts w:hint="eastAsia" w:ascii="宋体" w:hAnsi="宋体"/>
          <w:sz w:val="18"/>
          <w:szCs w:val="21"/>
          <w:highlight w:val="none"/>
          <w:u w:val="single"/>
        </w:rPr>
      </w:pPr>
      <w:r>
        <w:rPr>
          <w:rFonts w:hint="eastAsia" w:ascii="宋体" w:hAnsi="宋体"/>
          <w:sz w:val="18"/>
          <w:szCs w:val="21"/>
          <w:highlight w:val="none"/>
        </w:rPr>
        <w:t>法定代表人或其授权代理人：</w:t>
      </w:r>
      <w:r>
        <w:rPr>
          <w:rFonts w:hint="eastAsia" w:ascii="宋体" w:hAnsi="宋体"/>
          <w:sz w:val="18"/>
          <w:szCs w:val="21"/>
          <w:highlight w:val="none"/>
          <w:u w:val="single"/>
        </w:rPr>
        <w:t xml:space="preserve">             </w:t>
      </w:r>
    </w:p>
    <w:p w14:paraId="53A4F905">
      <w:pPr>
        <w:widowControl w:val="0"/>
        <w:autoSpaceDE w:val="0"/>
        <w:autoSpaceDN w:val="0"/>
        <w:adjustRightInd w:val="0"/>
        <w:snapToGrid w:val="0"/>
        <w:ind w:firstLine="0" w:firstLineChars="0"/>
        <w:jc w:val="left"/>
        <w:rPr>
          <w:rFonts w:hint="eastAsia" w:ascii="宋体" w:hAnsi="宋体"/>
          <w:sz w:val="18"/>
          <w:szCs w:val="21"/>
          <w:highlight w:val="none"/>
          <w:u w:val="single"/>
        </w:rPr>
      </w:pPr>
      <w:r>
        <w:rPr>
          <w:rFonts w:hint="eastAsia" w:ascii="宋体" w:hAnsi="宋体"/>
          <w:sz w:val="18"/>
          <w:szCs w:val="21"/>
          <w:highlight w:val="none"/>
        </w:rPr>
        <w:t>投标人地址：</w:t>
      </w:r>
      <w:r>
        <w:rPr>
          <w:rFonts w:hint="eastAsia" w:ascii="宋体" w:hAnsi="宋体"/>
          <w:sz w:val="18"/>
          <w:szCs w:val="21"/>
          <w:highlight w:val="none"/>
          <w:u w:val="single"/>
        </w:rPr>
        <w:t xml:space="preserve">                           </w:t>
      </w:r>
    </w:p>
    <w:p w14:paraId="0B08185A">
      <w:pPr>
        <w:widowControl w:val="0"/>
        <w:autoSpaceDE w:val="0"/>
        <w:autoSpaceDN w:val="0"/>
        <w:adjustRightInd w:val="0"/>
        <w:snapToGrid w:val="0"/>
        <w:ind w:firstLine="0" w:firstLineChars="0"/>
        <w:jc w:val="left"/>
        <w:rPr>
          <w:rFonts w:hint="eastAsia" w:ascii="宋体" w:hAnsi="宋体"/>
          <w:sz w:val="18"/>
          <w:highlight w:val="none"/>
          <w:u w:val="single"/>
        </w:rPr>
      </w:pPr>
      <w:r>
        <w:rPr>
          <w:rFonts w:hint="eastAsia" w:ascii="宋体" w:hAnsi="宋体"/>
          <w:sz w:val="18"/>
          <w:szCs w:val="21"/>
          <w:highlight w:val="none"/>
        </w:rPr>
        <w:t>电话：</w:t>
      </w:r>
      <w:r>
        <w:rPr>
          <w:rFonts w:hint="eastAsia" w:ascii="宋体" w:hAnsi="宋体"/>
          <w:sz w:val="18"/>
          <w:szCs w:val="21"/>
          <w:highlight w:val="none"/>
          <w:u w:val="single"/>
        </w:rPr>
        <w:t xml:space="preserve">　                               </w:t>
      </w:r>
    </w:p>
    <w:p w14:paraId="41336FB3">
      <w:pPr>
        <w:widowControl w:val="0"/>
        <w:autoSpaceDE w:val="0"/>
        <w:autoSpaceDN w:val="0"/>
        <w:adjustRightInd w:val="0"/>
        <w:snapToGrid w:val="0"/>
        <w:ind w:firstLine="0" w:firstLineChars="0"/>
        <w:jc w:val="left"/>
        <w:rPr>
          <w:rFonts w:hint="eastAsia" w:ascii="宋体" w:hAnsi="宋体"/>
          <w:sz w:val="18"/>
          <w:highlight w:val="none"/>
          <w:u w:val="single"/>
        </w:rPr>
      </w:pPr>
      <w:r>
        <w:rPr>
          <w:rFonts w:hint="eastAsia" w:ascii="宋体" w:hAnsi="宋体"/>
          <w:sz w:val="18"/>
          <w:szCs w:val="21"/>
          <w:highlight w:val="none"/>
        </w:rPr>
        <w:t>电子邮箱：</w:t>
      </w:r>
      <w:r>
        <w:rPr>
          <w:rFonts w:hint="eastAsia" w:ascii="宋体" w:hAnsi="宋体"/>
          <w:sz w:val="18"/>
          <w:szCs w:val="21"/>
          <w:highlight w:val="none"/>
          <w:u w:val="single"/>
        </w:rPr>
        <w:t xml:space="preserve"> </w:t>
      </w:r>
      <w:r>
        <w:rPr>
          <w:rFonts w:ascii="宋体" w:hAnsi="宋体"/>
          <w:sz w:val="18"/>
          <w:szCs w:val="21"/>
          <w:highlight w:val="none"/>
          <w:u w:val="single"/>
        </w:rPr>
        <w:t xml:space="preserve">                            </w:t>
      </w:r>
    </w:p>
    <w:p w14:paraId="48CB2109">
      <w:pPr>
        <w:widowControl w:val="0"/>
        <w:autoSpaceDE w:val="0"/>
        <w:autoSpaceDN w:val="0"/>
        <w:adjustRightInd w:val="0"/>
        <w:snapToGrid w:val="0"/>
        <w:ind w:firstLine="0" w:firstLineChars="0"/>
        <w:jc w:val="left"/>
        <w:rPr>
          <w:rFonts w:hint="eastAsia" w:ascii="宋体" w:hAnsi="宋体"/>
          <w:sz w:val="18"/>
          <w:szCs w:val="21"/>
          <w:highlight w:val="none"/>
          <w:u w:val="single"/>
        </w:rPr>
      </w:pPr>
      <w:r>
        <w:rPr>
          <w:rFonts w:hint="eastAsia" w:ascii="宋体" w:hAnsi="宋体"/>
          <w:sz w:val="18"/>
          <w:szCs w:val="21"/>
          <w:highlight w:val="none"/>
        </w:rPr>
        <w:t>邮政编码：</w:t>
      </w:r>
      <w:r>
        <w:rPr>
          <w:rFonts w:hint="eastAsia" w:ascii="宋体" w:hAnsi="宋体"/>
          <w:sz w:val="18"/>
          <w:szCs w:val="21"/>
          <w:highlight w:val="none"/>
          <w:u w:val="single"/>
        </w:rPr>
        <w:t xml:space="preserve">                             </w:t>
      </w:r>
    </w:p>
    <w:p w14:paraId="2AEF393F">
      <w:pPr>
        <w:widowControl w:val="0"/>
        <w:autoSpaceDE w:val="0"/>
        <w:autoSpaceDN w:val="0"/>
        <w:adjustRightInd w:val="0"/>
        <w:snapToGrid w:val="0"/>
        <w:ind w:firstLine="0" w:firstLineChars="0"/>
        <w:jc w:val="left"/>
        <w:rPr>
          <w:rFonts w:hint="eastAsia" w:ascii="宋体" w:hAnsi="宋体"/>
          <w:szCs w:val="21"/>
          <w:highlight w:val="none"/>
          <w:u w:val="single"/>
        </w:rPr>
      </w:pPr>
      <w:r>
        <w:rPr>
          <w:rFonts w:hint="eastAsia" w:ascii="宋体" w:hAnsi="宋体"/>
          <w:szCs w:val="21"/>
          <w:highlight w:val="none"/>
        </w:rPr>
        <w:t>日期：</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w:t>
      </w:r>
    </w:p>
    <w:p w14:paraId="201FC508">
      <w:pPr>
        <w:widowControl w:val="0"/>
        <w:autoSpaceDE w:val="0"/>
        <w:autoSpaceDN w:val="0"/>
        <w:adjustRightInd w:val="0"/>
        <w:snapToGrid w:val="0"/>
        <w:ind w:firstLine="0" w:firstLineChars="0"/>
        <w:jc w:val="left"/>
        <w:outlineLvl w:val="2"/>
        <w:rPr>
          <w:rFonts w:ascii="宋体" w:hAnsi="宋体"/>
          <w:b/>
          <w:color w:val="auto"/>
          <w:sz w:val="28"/>
          <w:szCs w:val="28"/>
        </w:rPr>
      </w:pPr>
      <w:r>
        <w:rPr>
          <w:rFonts w:hint="eastAsia" w:ascii="宋体" w:hAnsi="宋体"/>
          <w:b/>
          <w:color w:val="auto"/>
          <w:szCs w:val="21"/>
        </w:rPr>
        <w:br w:type="page"/>
      </w:r>
      <w:bookmarkStart w:id="406" w:name="_Toc10808"/>
      <w:bookmarkStart w:id="407" w:name="_Toc1191"/>
      <w:bookmarkStart w:id="408" w:name="_Toc26393"/>
      <w:r>
        <w:rPr>
          <w:rFonts w:hint="eastAsia" w:ascii="宋体" w:hAnsi="宋体"/>
          <w:b/>
          <w:color w:val="auto"/>
          <w:szCs w:val="21"/>
        </w:rPr>
        <w:t>B2、商务条款总体响应表</w:t>
      </w:r>
      <w:bookmarkEnd w:id="406"/>
      <w:bookmarkEnd w:id="407"/>
      <w:bookmarkEnd w:id="408"/>
    </w:p>
    <w:p w14:paraId="4D1420E2">
      <w:pPr>
        <w:widowControl w:val="0"/>
        <w:autoSpaceDE w:val="0"/>
        <w:autoSpaceDN w:val="0"/>
        <w:adjustRightInd w:val="0"/>
        <w:snapToGrid w:val="0"/>
        <w:ind w:firstLine="0" w:firstLineChars="0"/>
        <w:jc w:val="center"/>
        <w:rPr>
          <w:rFonts w:ascii="宋体" w:hAnsi="宋体"/>
          <w:b/>
          <w:bCs/>
          <w:color w:val="auto"/>
          <w:sz w:val="32"/>
          <w:szCs w:val="32"/>
        </w:rPr>
      </w:pPr>
      <w:r>
        <w:rPr>
          <w:rFonts w:hint="eastAsia" w:ascii="宋体" w:hAnsi="宋体"/>
          <w:b/>
          <w:bCs/>
          <w:color w:val="auto"/>
          <w:sz w:val="32"/>
          <w:szCs w:val="32"/>
        </w:rPr>
        <w:t>商务条款总体响应表</w:t>
      </w:r>
    </w:p>
    <w:tbl>
      <w:tblPr>
        <w:tblStyle w:val="5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420B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4D24CB00">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36FC4A2A">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招标文件商务要求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0BB7B37D">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投标人响应</w:t>
            </w:r>
          </w:p>
        </w:tc>
      </w:tr>
      <w:tr w14:paraId="0105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BE1932">
            <w:pPr>
              <w:widowControl w:val="0"/>
              <w:autoSpaceDE w:val="0"/>
              <w:autoSpaceDN w:val="0"/>
              <w:adjustRightInd w:val="0"/>
              <w:snapToGrid w:val="0"/>
              <w:ind w:firstLine="0" w:firstLineChars="0"/>
              <w:jc w:val="center"/>
              <w:rPr>
                <w:rFonts w:ascii="宋体" w:hAnsi="宋体"/>
                <w:b/>
                <w:color w:val="auto"/>
                <w:szCs w:val="21"/>
              </w:rPr>
            </w:pPr>
          </w:p>
        </w:tc>
        <w:tc>
          <w:tcPr>
            <w:tcW w:w="886" w:type="dxa"/>
            <w:tcBorders>
              <w:top w:val="single" w:color="auto" w:sz="4" w:space="0"/>
              <w:left w:val="single" w:color="auto" w:sz="4" w:space="0"/>
              <w:bottom w:val="single" w:color="auto" w:sz="4" w:space="0"/>
              <w:right w:val="single" w:color="auto" w:sz="4" w:space="0"/>
            </w:tcBorders>
            <w:shd w:val="clear" w:color="auto" w:fill="DEEAF6"/>
            <w:vAlign w:val="center"/>
          </w:tcPr>
          <w:p w14:paraId="3F3D5156">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color w:val="auto"/>
                <w:szCs w:val="21"/>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vAlign w:val="center"/>
          </w:tcPr>
          <w:p w14:paraId="058FEB40">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color w:val="auto"/>
                <w:szCs w:val="21"/>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08F8AF58">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color w:val="auto"/>
                <w:szCs w:val="21"/>
              </w:rPr>
              <w:t>差别说明</w:t>
            </w:r>
          </w:p>
        </w:tc>
      </w:tr>
      <w:tr w14:paraId="3CB4A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D107DBC">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bCs/>
                <w:color w:val="auto"/>
                <w:szCs w:val="21"/>
              </w:rPr>
              <w:t>招标文件中标注“★”的商务条款</w:t>
            </w:r>
          </w:p>
        </w:tc>
      </w:tr>
      <w:tr w14:paraId="708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D36DB3A">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7A2DC53A">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0BCA21F3">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190FD000">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06A2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F6B1770">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5DA09434">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44726D8A">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34369F37">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3E3F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A796273">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bCs/>
                <w:color w:val="auto"/>
                <w:szCs w:val="21"/>
              </w:rPr>
              <w:t>招标文件中标注“▲”的商务条款</w:t>
            </w:r>
          </w:p>
        </w:tc>
      </w:tr>
      <w:tr w14:paraId="554D4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34703E7">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653F948B">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1A0B3200">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614843C4">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60749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DDBA988">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6D429A6B">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1E616BE9">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49796EA2">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284CB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A93E2E0">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bCs/>
                <w:color w:val="auto"/>
                <w:szCs w:val="21"/>
              </w:rPr>
              <w:t>招标文件中未标注“★”或“▲”的商务条款</w:t>
            </w:r>
          </w:p>
        </w:tc>
      </w:tr>
      <w:tr w14:paraId="5547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73634F1">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3F3A2612">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6B8F9A60">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70C866B4">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10B6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5F428A67">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0258D182">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48716BFE">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0E26EEE6">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7097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718F7410">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bCs/>
                <w:color w:val="auto"/>
                <w:szCs w:val="21"/>
              </w:rPr>
              <w:t>招标文件中合同条款、补充文件、答疑中的条款</w:t>
            </w:r>
          </w:p>
        </w:tc>
      </w:tr>
      <w:tr w14:paraId="615D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EE72A6B">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7CAE38FA">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4AE0DA45">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4260F022">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7AFF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A938251">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2A7D3373">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39B47D55">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2367A72C">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1761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84AB1F9">
            <w:pPr>
              <w:widowControl w:val="0"/>
              <w:autoSpaceDE w:val="0"/>
              <w:autoSpaceDN w:val="0"/>
              <w:adjustRightInd w:val="0"/>
              <w:snapToGrid w:val="0"/>
              <w:ind w:firstLine="0" w:firstLineChars="0"/>
              <w:jc w:val="left"/>
              <w:rPr>
                <w:rFonts w:ascii="宋体" w:hAnsi="宋体"/>
                <w:b/>
                <w:bCs/>
                <w:color w:val="auto"/>
                <w:sz w:val="28"/>
                <w:szCs w:val="28"/>
              </w:rPr>
            </w:pPr>
            <w:r>
              <w:rPr>
                <w:rFonts w:hint="eastAsia" w:ascii="宋体" w:hAnsi="宋体"/>
                <w:b/>
                <w:bCs/>
                <w:color w:val="auto"/>
                <w:sz w:val="28"/>
                <w:szCs w:val="28"/>
              </w:rPr>
              <w:t>除上述条款以外，我司承诺全部接受并按照招标文件的商务及合同条款要求承担本项目。</w:t>
            </w:r>
          </w:p>
        </w:tc>
      </w:tr>
    </w:tbl>
    <w:p w14:paraId="29477314">
      <w:pPr>
        <w:widowControl w:val="0"/>
        <w:autoSpaceDE w:val="0"/>
        <w:autoSpaceDN w:val="0"/>
        <w:adjustRightInd w:val="0"/>
        <w:snapToGrid w:val="0"/>
        <w:ind w:firstLine="0" w:firstLineChars="0"/>
        <w:jc w:val="left"/>
        <w:rPr>
          <w:rFonts w:ascii="宋体" w:hAnsi="宋体"/>
          <w:b/>
          <w:color w:val="auto"/>
          <w:szCs w:val="21"/>
        </w:rPr>
      </w:pPr>
      <w:r>
        <w:rPr>
          <w:rFonts w:hint="eastAsia" w:ascii="宋体" w:hAnsi="宋体"/>
          <w:b/>
          <w:color w:val="auto"/>
          <w:szCs w:val="21"/>
        </w:rPr>
        <w:t>重要提示：</w:t>
      </w:r>
    </w:p>
    <w:p w14:paraId="3C9F9817">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1、投标人须在仔细阅读招标文件后，将投标文件响应与招标文件（含补遗、澄清文件）不一致的商务及合同条款填写在本表中，包括高于或低于招标文件要求的所有条款。</w:t>
      </w:r>
    </w:p>
    <w:p w14:paraId="1E3E0C84">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2、投标文件中所有与招标文件商务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EBC0EC0">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3、投标人必须提供本表，如对招标文件商务条款及合同内容完全接受，则无需填写相关内容。</w:t>
      </w:r>
    </w:p>
    <w:p w14:paraId="7FC95E0F">
      <w:pPr>
        <w:widowControl w:val="0"/>
        <w:autoSpaceDE w:val="0"/>
        <w:autoSpaceDN w:val="0"/>
        <w:adjustRightInd w:val="0"/>
        <w:snapToGrid w:val="0"/>
        <w:ind w:firstLine="0" w:firstLineChars="0"/>
        <w:jc w:val="left"/>
        <w:rPr>
          <w:rFonts w:ascii="宋体" w:hAnsi="宋体"/>
          <w:color w:val="auto"/>
          <w:szCs w:val="21"/>
        </w:rPr>
      </w:pPr>
    </w:p>
    <w:p w14:paraId="52B3AEA1">
      <w:pPr>
        <w:widowControl w:val="0"/>
        <w:autoSpaceDE w:val="0"/>
        <w:autoSpaceDN w:val="0"/>
        <w:adjustRightInd w:val="0"/>
        <w:snapToGrid w:val="0"/>
        <w:ind w:firstLine="0" w:firstLineChars="0"/>
        <w:jc w:val="left"/>
        <w:rPr>
          <w:rFonts w:hint="eastAsia" w:ascii="宋体" w:hAnsi="宋体" w:eastAsia="宋体"/>
          <w:color w:val="auto"/>
          <w:szCs w:val="21"/>
          <w:u w:val="single"/>
          <w:lang w:eastAsia="zh-CN"/>
        </w:rPr>
      </w:pPr>
      <w:r>
        <w:rPr>
          <w:rFonts w:hint="eastAsia" w:ascii="宋体" w:hAnsi="宋体"/>
          <w:color w:val="auto"/>
          <w:szCs w:val="21"/>
        </w:rPr>
        <w:t>投标人：</w:t>
      </w:r>
    </w:p>
    <w:p w14:paraId="02A99A2E">
      <w:pPr>
        <w:widowControl w:val="0"/>
        <w:autoSpaceDE w:val="0"/>
        <w:autoSpaceDN w:val="0"/>
        <w:adjustRightInd w:val="0"/>
        <w:snapToGrid w:val="0"/>
        <w:ind w:firstLine="0" w:firstLineChars="0"/>
        <w:jc w:val="left"/>
        <w:outlineLvl w:val="2"/>
        <w:rPr>
          <w:rFonts w:hint="eastAsia" w:ascii="宋体" w:hAnsi="宋体" w:eastAsia="宋体"/>
          <w:b/>
          <w:highlight w:val="none"/>
          <w:lang w:val="en-US" w:eastAsia="zh-CN"/>
        </w:rPr>
      </w:pPr>
      <w:r>
        <w:rPr>
          <w:rFonts w:hint="eastAsia" w:ascii="宋体" w:hAnsi="宋体"/>
          <w:b/>
          <w:color w:val="auto"/>
          <w:szCs w:val="21"/>
        </w:rPr>
        <w:br w:type="page"/>
      </w:r>
      <w:bookmarkStart w:id="409" w:name="_Toc8007"/>
      <w:bookmarkStart w:id="410" w:name="_Toc9161"/>
      <w:bookmarkStart w:id="411" w:name="_Toc13833"/>
      <w:bookmarkStart w:id="412" w:name="_Toc14685"/>
      <w:r>
        <w:rPr>
          <w:rFonts w:hint="eastAsia" w:ascii="宋体" w:hAnsi="宋体"/>
          <w:b/>
          <w:szCs w:val="21"/>
          <w:highlight w:val="none"/>
        </w:rPr>
        <w:t>B3、</w:t>
      </w:r>
      <w:bookmarkEnd w:id="409"/>
      <w:bookmarkEnd w:id="410"/>
      <w:bookmarkEnd w:id="411"/>
      <w:bookmarkEnd w:id="412"/>
      <w:r>
        <w:rPr>
          <w:rFonts w:hint="eastAsia" w:ascii="宋体" w:hAnsi="宋体"/>
          <w:b/>
          <w:szCs w:val="21"/>
          <w:highlight w:val="none"/>
          <w:lang w:val="en-US" w:eastAsia="zh-CN"/>
        </w:rPr>
        <w:t>企业</w:t>
      </w:r>
      <w:r>
        <w:rPr>
          <w:rFonts w:hint="eastAsia" w:ascii="宋体" w:hAnsi="宋体"/>
          <w:b/>
          <w:szCs w:val="21"/>
          <w:highlight w:val="none"/>
        </w:rPr>
        <w:t>同类项目</w:t>
      </w:r>
      <w:r>
        <w:rPr>
          <w:rFonts w:hint="eastAsia" w:ascii="宋体" w:hAnsi="宋体"/>
          <w:b/>
          <w:szCs w:val="21"/>
          <w:highlight w:val="none"/>
          <w:lang w:val="en-US" w:eastAsia="zh-CN"/>
        </w:rPr>
        <w:t>业绩</w:t>
      </w:r>
    </w:p>
    <w:p w14:paraId="01CA6AD3">
      <w:pPr>
        <w:widowControl w:val="0"/>
        <w:autoSpaceDE w:val="0"/>
        <w:autoSpaceDN w:val="0"/>
        <w:adjustRightInd w:val="0"/>
        <w:snapToGrid w:val="0"/>
        <w:ind w:firstLine="0" w:firstLineChars="0"/>
        <w:jc w:val="left"/>
        <w:rPr>
          <w:rFonts w:hint="eastAsia" w:ascii="宋体" w:hAnsi="宋体"/>
          <w:szCs w:val="21"/>
          <w:highlight w:val="none"/>
        </w:rPr>
      </w:pPr>
    </w:p>
    <w:p w14:paraId="69C9E1B8">
      <w:pPr>
        <w:widowControl w:val="0"/>
        <w:autoSpaceDE w:val="0"/>
        <w:autoSpaceDN w:val="0"/>
        <w:adjustRightInd w:val="0"/>
        <w:snapToGrid w:val="0"/>
        <w:ind w:firstLine="0" w:firstLineChars="0"/>
        <w:jc w:val="left"/>
        <w:rPr>
          <w:rFonts w:hint="eastAsia" w:ascii="宋体" w:hAnsi="宋体"/>
          <w:b/>
          <w:szCs w:val="21"/>
          <w:highlight w:val="none"/>
        </w:rPr>
      </w:pPr>
    </w:p>
    <w:p w14:paraId="069541BD">
      <w:pPr>
        <w:widowControl w:val="0"/>
        <w:autoSpaceDE w:val="0"/>
        <w:autoSpaceDN w:val="0"/>
        <w:adjustRightInd w:val="0"/>
        <w:snapToGrid w:val="0"/>
        <w:ind w:firstLine="0" w:firstLineChars="0"/>
        <w:jc w:val="left"/>
        <w:rPr>
          <w:rFonts w:hint="eastAsia" w:ascii="宋体" w:hAnsi="宋体"/>
          <w:b/>
          <w:szCs w:val="21"/>
          <w:highlight w:val="none"/>
        </w:rPr>
      </w:pPr>
    </w:p>
    <w:p w14:paraId="66C3556F">
      <w:pPr>
        <w:widowControl w:val="0"/>
        <w:autoSpaceDE w:val="0"/>
        <w:autoSpaceDN w:val="0"/>
        <w:adjustRightInd w:val="0"/>
        <w:snapToGrid w:val="0"/>
        <w:ind w:firstLine="0" w:firstLineChars="0"/>
        <w:jc w:val="center"/>
        <w:rPr>
          <w:rFonts w:hint="eastAsia" w:ascii="宋体" w:hAnsi="宋体"/>
          <w:b/>
          <w:bCs/>
          <w:sz w:val="32"/>
          <w:szCs w:val="32"/>
          <w:highlight w:val="none"/>
        </w:rPr>
      </w:pPr>
      <w:r>
        <w:rPr>
          <w:rFonts w:hint="eastAsia" w:ascii="宋体" w:hAnsi="宋体"/>
          <w:b/>
          <w:bCs/>
          <w:sz w:val="32"/>
          <w:szCs w:val="32"/>
          <w:highlight w:val="none"/>
          <w:lang w:val="en-US" w:eastAsia="zh-CN"/>
        </w:rPr>
        <w:t>企业</w:t>
      </w:r>
      <w:r>
        <w:rPr>
          <w:rFonts w:hint="eastAsia" w:ascii="宋体" w:hAnsi="宋体"/>
          <w:b/>
          <w:bCs/>
          <w:sz w:val="32"/>
          <w:szCs w:val="32"/>
          <w:highlight w:val="none"/>
        </w:rPr>
        <w:t>同类项目业绩一览表</w:t>
      </w:r>
    </w:p>
    <w:p w14:paraId="4A4CF507">
      <w:pPr>
        <w:widowControl w:val="0"/>
        <w:autoSpaceDE w:val="0"/>
        <w:autoSpaceDN w:val="0"/>
        <w:adjustRightInd w:val="0"/>
        <w:snapToGrid w:val="0"/>
        <w:ind w:firstLine="0" w:firstLineChars="0"/>
        <w:jc w:val="left"/>
        <w:rPr>
          <w:rFonts w:hint="eastAsia" w:ascii="宋体" w:hAnsi="宋体"/>
          <w:szCs w:val="21"/>
          <w:highlight w:val="none"/>
        </w:rPr>
      </w:pPr>
    </w:p>
    <w:p w14:paraId="031C1900">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（招标人）</w:t>
      </w:r>
    </w:p>
    <w:p w14:paraId="0B476DF8">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我方根据贵公司招标文件要求提供</w:t>
      </w:r>
      <w:r>
        <w:rPr>
          <w:rFonts w:hint="eastAsia" w:ascii="宋体" w:hAnsi="宋体"/>
          <w:szCs w:val="21"/>
          <w:highlight w:val="none"/>
          <w:u w:val="single"/>
        </w:rPr>
        <w:t xml:space="preserve">  </w:t>
      </w:r>
      <w:r>
        <w:rPr>
          <w:rFonts w:hint="eastAsia" w:ascii="宋体" w:hAnsi="宋体"/>
          <w:szCs w:val="21"/>
          <w:highlight w:val="none"/>
          <w:u w:val="single"/>
          <w:lang w:val="en-US" w:eastAsia="zh-CN"/>
        </w:rPr>
        <w:t>2023</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u w:val="single"/>
          <w:lang w:val="en-US" w:eastAsia="zh-CN"/>
        </w:rPr>
        <w:t>7</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u w:val="single"/>
          <w:lang w:val="en-US" w:eastAsia="zh-CN"/>
        </w:rPr>
        <w:t>1</w:t>
      </w:r>
      <w:r>
        <w:rPr>
          <w:rFonts w:hint="eastAsia" w:ascii="宋体" w:hAnsi="宋体"/>
          <w:szCs w:val="21"/>
          <w:highlight w:val="none"/>
          <w:u w:val="single"/>
        </w:rPr>
        <w:t xml:space="preserve">  </w:t>
      </w:r>
      <w:r>
        <w:rPr>
          <w:rFonts w:hint="eastAsia" w:ascii="宋体" w:hAnsi="宋体"/>
          <w:szCs w:val="21"/>
          <w:highlight w:val="none"/>
        </w:rPr>
        <w:t>日至投标截止时间</w:t>
      </w:r>
      <w:r>
        <w:rPr>
          <w:rFonts w:hint="eastAsia" w:ascii="宋体" w:hAnsi="宋体"/>
          <w:szCs w:val="21"/>
          <w:highlight w:val="none"/>
          <w:u w:val="single"/>
        </w:rPr>
        <w:t>提供</w:t>
      </w:r>
      <w:r>
        <w:rPr>
          <w:rFonts w:hint="eastAsia" w:ascii="宋体" w:hAnsi="宋体"/>
          <w:szCs w:val="21"/>
          <w:highlight w:val="none"/>
        </w:rPr>
        <w:t>真实的业绩资料，证明合同附后，清单如下：</w:t>
      </w:r>
    </w:p>
    <w:tbl>
      <w:tblPr>
        <w:tblStyle w:val="5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3"/>
        <w:gridCol w:w="1643"/>
        <w:gridCol w:w="1360"/>
        <w:gridCol w:w="1359"/>
        <w:gridCol w:w="1417"/>
        <w:gridCol w:w="1417"/>
      </w:tblGrid>
      <w:tr w14:paraId="1B2C3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923" w:type="dxa"/>
            <w:tcBorders>
              <w:top w:val="single" w:color="auto" w:sz="4" w:space="0"/>
            </w:tcBorders>
            <w:shd w:val="clear" w:color="auto" w:fill="D9E2F3"/>
            <w:noWrap w:val="0"/>
            <w:vAlign w:val="center"/>
          </w:tcPr>
          <w:p w14:paraId="6AF1037E">
            <w:pPr>
              <w:widowControl w:val="0"/>
              <w:autoSpaceDE w:val="0"/>
              <w:autoSpaceDN w:val="0"/>
              <w:adjustRightInd w:val="0"/>
              <w:snapToGrid w:val="0"/>
              <w:ind w:firstLine="0" w:firstLineChars="0"/>
              <w:jc w:val="center"/>
              <w:rPr>
                <w:rFonts w:hint="eastAsia" w:ascii="宋体" w:hAnsi="宋体"/>
                <w:b/>
                <w:sz w:val="18"/>
                <w:szCs w:val="21"/>
                <w:highlight w:val="none"/>
              </w:rPr>
            </w:pPr>
            <w:r>
              <w:rPr>
                <w:rFonts w:hint="eastAsia" w:ascii="宋体" w:hAnsi="宋体"/>
                <w:b/>
                <w:sz w:val="18"/>
                <w:szCs w:val="21"/>
                <w:highlight w:val="none"/>
              </w:rPr>
              <w:t>序号</w:t>
            </w:r>
          </w:p>
        </w:tc>
        <w:tc>
          <w:tcPr>
            <w:tcW w:w="1643" w:type="dxa"/>
            <w:shd w:val="clear" w:color="auto" w:fill="D9E2F3"/>
            <w:noWrap w:val="0"/>
            <w:vAlign w:val="center"/>
          </w:tcPr>
          <w:p w14:paraId="09B0CAAA">
            <w:pPr>
              <w:widowControl w:val="0"/>
              <w:autoSpaceDE w:val="0"/>
              <w:autoSpaceDN w:val="0"/>
              <w:adjustRightInd w:val="0"/>
              <w:snapToGrid w:val="0"/>
              <w:ind w:firstLine="0" w:firstLineChars="0"/>
              <w:jc w:val="center"/>
              <w:rPr>
                <w:rFonts w:hint="eastAsia" w:ascii="宋体" w:hAnsi="宋体"/>
                <w:b/>
                <w:sz w:val="18"/>
                <w:szCs w:val="21"/>
                <w:highlight w:val="none"/>
              </w:rPr>
            </w:pPr>
            <w:r>
              <w:rPr>
                <w:rFonts w:hint="eastAsia" w:ascii="宋体" w:hAnsi="宋体"/>
                <w:b/>
                <w:sz w:val="18"/>
                <w:szCs w:val="21"/>
                <w:highlight w:val="none"/>
              </w:rPr>
              <w:t>合同名称</w:t>
            </w:r>
          </w:p>
        </w:tc>
        <w:tc>
          <w:tcPr>
            <w:tcW w:w="1360" w:type="dxa"/>
            <w:shd w:val="clear" w:color="auto" w:fill="D9E2F3"/>
            <w:noWrap w:val="0"/>
            <w:vAlign w:val="center"/>
          </w:tcPr>
          <w:p w14:paraId="3640E4ED">
            <w:pPr>
              <w:widowControl w:val="0"/>
              <w:autoSpaceDE w:val="0"/>
              <w:autoSpaceDN w:val="0"/>
              <w:adjustRightInd w:val="0"/>
              <w:snapToGrid w:val="0"/>
              <w:ind w:firstLine="0" w:firstLineChars="0"/>
              <w:jc w:val="center"/>
              <w:rPr>
                <w:rFonts w:hint="eastAsia" w:ascii="宋体" w:hAnsi="宋体"/>
                <w:b/>
                <w:sz w:val="18"/>
                <w:szCs w:val="21"/>
                <w:highlight w:val="none"/>
              </w:rPr>
            </w:pPr>
            <w:r>
              <w:rPr>
                <w:rFonts w:hint="eastAsia" w:ascii="宋体" w:hAnsi="宋体"/>
                <w:b/>
                <w:sz w:val="18"/>
                <w:szCs w:val="21"/>
                <w:highlight w:val="none"/>
              </w:rPr>
              <w:t>甲方</w:t>
            </w:r>
          </w:p>
        </w:tc>
        <w:tc>
          <w:tcPr>
            <w:tcW w:w="1359" w:type="dxa"/>
            <w:shd w:val="clear" w:color="auto" w:fill="D9E2F3"/>
            <w:noWrap w:val="0"/>
            <w:vAlign w:val="center"/>
          </w:tcPr>
          <w:p w14:paraId="6E8322E8">
            <w:pPr>
              <w:widowControl w:val="0"/>
              <w:autoSpaceDE w:val="0"/>
              <w:autoSpaceDN w:val="0"/>
              <w:adjustRightInd w:val="0"/>
              <w:snapToGrid w:val="0"/>
              <w:ind w:firstLine="0" w:firstLineChars="0"/>
              <w:jc w:val="center"/>
              <w:rPr>
                <w:rFonts w:hint="eastAsia" w:ascii="宋体" w:hAnsi="宋体"/>
                <w:b/>
                <w:sz w:val="18"/>
                <w:szCs w:val="21"/>
                <w:highlight w:val="none"/>
              </w:rPr>
            </w:pPr>
            <w:r>
              <w:rPr>
                <w:rFonts w:hint="eastAsia" w:ascii="宋体" w:hAnsi="宋体"/>
                <w:b/>
                <w:sz w:val="18"/>
                <w:szCs w:val="21"/>
                <w:highlight w:val="none"/>
              </w:rPr>
              <w:t>合同签订时间</w:t>
            </w:r>
          </w:p>
        </w:tc>
        <w:tc>
          <w:tcPr>
            <w:tcW w:w="1417" w:type="dxa"/>
            <w:shd w:val="clear" w:color="auto" w:fill="D9E2F3"/>
            <w:noWrap w:val="0"/>
            <w:vAlign w:val="center"/>
          </w:tcPr>
          <w:p w14:paraId="57E41141">
            <w:pPr>
              <w:widowControl w:val="0"/>
              <w:autoSpaceDE w:val="0"/>
              <w:autoSpaceDN w:val="0"/>
              <w:adjustRightInd w:val="0"/>
              <w:snapToGrid w:val="0"/>
              <w:ind w:firstLine="0" w:firstLineChars="0"/>
              <w:jc w:val="center"/>
              <w:rPr>
                <w:rFonts w:hint="default" w:ascii="宋体" w:hAnsi="宋体" w:eastAsia="宋体"/>
                <w:b/>
                <w:sz w:val="18"/>
                <w:szCs w:val="21"/>
                <w:highlight w:val="none"/>
                <w:lang w:val="en-US" w:eastAsia="zh-CN"/>
              </w:rPr>
            </w:pPr>
            <w:r>
              <w:rPr>
                <w:rFonts w:hint="eastAsia" w:ascii="宋体" w:hAnsi="宋体"/>
                <w:b/>
                <w:sz w:val="18"/>
                <w:szCs w:val="21"/>
                <w:highlight w:val="none"/>
              </w:rPr>
              <w:t>合同金额</w:t>
            </w:r>
          </w:p>
        </w:tc>
        <w:tc>
          <w:tcPr>
            <w:tcW w:w="1417" w:type="dxa"/>
            <w:shd w:val="clear" w:color="auto" w:fill="D9E2F3"/>
            <w:noWrap w:val="0"/>
            <w:vAlign w:val="center"/>
          </w:tcPr>
          <w:p w14:paraId="4953EE34">
            <w:pPr>
              <w:widowControl w:val="0"/>
              <w:autoSpaceDE w:val="0"/>
              <w:autoSpaceDN w:val="0"/>
              <w:adjustRightInd w:val="0"/>
              <w:snapToGrid w:val="0"/>
              <w:ind w:firstLine="0" w:firstLineChars="0"/>
              <w:jc w:val="center"/>
              <w:rPr>
                <w:rFonts w:hint="eastAsia" w:ascii="宋体" w:hAnsi="宋体" w:eastAsia="宋体"/>
                <w:b/>
                <w:sz w:val="18"/>
                <w:szCs w:val="21"/>
                <w:highlight w:val="none"/>
                <w:lang w:val="en-US" w:eastAsia="zh-CN"/>
              </w:rPr>
            </w:pPr>
            <w:r>
              <w:rPr>
                <w:rFonts w:hint="eastAsia" w:ascii="宋体" w:hAnsi="宋体"/>
                <w:b/>
                <w:sz w:val="18"/>
                <w:szCs w:val="21"/>
                <w:highlight w:val="none"/>
                <w:lang w:val="en-US" w:eastAsia="zh-CN"/>
              </w:rPr>
              <w:t>备注</w:t>
            </w:r>
          </w:p>
        </w:tc>
      </w:tr>
      <w:tr w14:paraId="532AD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noWrap w:val="0"/>
            <w:vAlign w:val="center"/>
          </w:tcPr>
          <w:p w14:paraId="1479AECB">
            <w:pPr>
              <w:widowControl w:val="0"/>
              <w:autoSpaceDE w:val="0"/>
              <w:autoSpaceDN w:val="0"/>
              <w:adjustRightInd w:val="0"/>
              <w:snapToGrid w:val="0"/>
              <w:ind w:firstLine="0" w:firstLineChars="0"/>
              <w:jc w:val="left"/>
              <w:rPr>
                <w:rFonts w:hint="eastAsia" w:ascii="宋体" w:hAnsi="宋体"/>
                <w:sz w:val="18"/>
                <w:szCs w:val="21"/>
                <w:highlight w:val="none"/>
              </w:rPr>
            </w:pPr>
            <w:r>
              <w:rPr>
                <w:rFonts w:hint="eastAsia" w:ascii="宋体" w:hAnsi="宋体"/>
                <w:sz w:val="18"/>
                <w:szCs w:val="21"/>
                <w:highlight w:val="none"/>
              </w:rPr>
              <w:t>1</w:t>
            </w:r>
          </w:p>
        </w:tc>
        <w:tc>
          <w:tcPr>
            <w:tcW w:w="1643" w:type="dxa"/>
            <w:noWrap w:val="0"/>
            <w:vAlign w:val="center"/>
          </w:tcPr>
          <w:p w14:paraId="67270927">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360" w:type="dxa"/>
            <w:noWrap w:val="0"/>
            <w:vAlign w:val="center"/>
          </w:tcPr>
          <w:p w14:paraId="739C6EE3">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359" w:type="dxa"/>
            <w:noWrap w:val="0"/>
            <w:vAlign w:val="center"/>
          </w:tcPr>
          <w:p w14:paraId="0B5A2F48">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638BE32F">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76F0288B">
            <w:pPr>
              <w:widowControl w:val="0"/>
              <w:autoSpaceDE w:val="0"/>
              <w:autoSpaceDN w:val="0"/>
              <w:adjustRightInd w:val="0"/>
              <w:snapToGrid w:val="0"/>
              <w:ind w:firstLine="0" w:firstLineChars="0"/>
              <w:jc w:val="left"/>
              <w:rPr>
                <w:rFonts w:hint="eastAsia" w:ascii="宋体" w:hAnsi="宋体"/>
                <w:sz w:val="18"/>
                <w:szCs w:val="21"/>
                <w:highlight w:val="none"/>
              </w:rPr>
            </w:pPr>
          </w:p>
        </w:tc>
      </w:tr>
      <w:tr w14:paraId="21E14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noWrap w:val="0"/>
            <w:vAlign w:val="center"/>
          </w:tcPr>
          <w:p w14:paraId="192EA45E">
            <w:pPr>
              <w:widowControl w:val="0"/>
              <w:autoSpaceDE w:val="0"/>
              <w:autoSpaceDN w:val="0"/>
              <w:adjustRightInd w:val="0"/>
              <w:snapToGrid w:val="0"/>
              <w:ind w:firstLine="0" w:firstLineChars="0"/>
              <w:jc w:val="left"/>
              <w:rPr>
                <w:rFonts w:hint="eastAsia" w:ascii="宋体" w:hAnsi="宋体"/>
                <w:sz w:val="18"/>
                <w:szCs w:val="21"/>
                <w:highlight w:val="none"/>
              </w:rPr>
            </w:pPr>
            <w:r>
              <w:rPr>
                <w:rFonts w:hint="eastAsia" w:ascii="宋体" w:hAnsi="宋体"/>
                <w:sz w:val="18"/>
                <w:szCs w:val="21"/>
                <w:highlight w:val="none"/>
              </w:rPr>
              <w:t>2</w:t>
            </w:r>
          </w:p>
        </w:tc>
        <w:tc>
          <w:tcPr>
            <w:tcW w:w="1643" w:type="dxa"/>
            <w:noWrap w:val="0"/>
            <w:vAlign w:val="center"/>
          </w:tcPr>
          <w:p w14:paraId="44122B22">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360" w:type="dxa"/>
            <w:noWrap w:val="0"/>
            <w:vAlign w:val="center"/>
          </w:tcPr>
          <w:p w14:paraId="0A191680">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359" w:type="dxa"/>
            <w:noWrap w:val="0"/>
            <w:vAlign w:val="center"/>
          </w:tcPr>
          <w:p w14:paraId="1DF8D463">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1A37E63D">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7F1F8B6F">
            <w:pPr>
              <w:widowControl w:val="0"/>
              <w:autoSpaceDE w:val="0"/>
              <w:autoSpaceDN w:val="0"/>
              <w:adjustRightInd w:val="0"/>
              <w:snapToGrid w:val="0"/>
              <w:ind w:firstLine="0" w:firstLineChars="0"/>
              <w:jc w:val="left"/>
              <w:rPr>
                <w:rFonts w:hint="eastAsia" w:ascii="宋体" w:hAnsi="宋体"/>
                <w:sz w:val="18"/>
                <w:szCs w:val="21"/>
                <w:highlight w:val="none"/>
              </w:rPr>
            </w:pPr>
          </w:p>
        </w:tc>
      </w:tr>
      <w:tr w14:paraId="67418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noWrap w:val="0"/>
            <w:vAlign w:val="center"/>
          </w:tcPr>
          <w:p w14:paraId="2BA728BA">
            <w:pPr>
              <w:widowControl w:val="0"/>
              <w:autoSpaceDE w:val="0"/>
              <w:autoSpaceDN w:val="0"/>
              <w:adjustRightInd w:val="0"/>
              <w:snapToGrid w:val="0"/>
              <w:ind w:firstLine="0" w:firstLineChars="0"/>
              <w:jc w:val="left"/>
              <w:rPr>
                <w:rFonts w:hint="eastAsia" w:ascii="宋体" w:hAnsi="宋体"/>
                <w:sz w:val="18"/>
                <w:szCs w:val="21"/>
                <w:highlight w:val="none"/>
              </w:rPr>
            </w:pPr>
            <w:r>
              <w:rPr>
                <w:rFonts w:hint="eastAsia" w:ascii="宋体" w:hAnsi="宋体"/>
                <w:sz w:val="18"/>
                <w:szCs w:val="21"/>
                <w:highlight w:val="none"/>
              </w:rPr>
              <w:t>3</w:t>
            </w:r>
          </w:p>
        </w:tc>
        <w:tc>
          <w:tcPr>
            <w:tcW w:w="1643" w:type="dxa"/>
            <w:noWrap w:val="0"/>
            <w:vAlign w:val="center"/>
          </w:tcPr>
          <w:p w14:paraId="5FC55745">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360" w:type="dxa"/>
            <w:noWrap w:val="0"/>
            <w:vAlign w:val="center"/>
          </w:tcPr>
          <w:p w14:paraId="50A26009">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359" w:type="dxa"/>
            <w:noWrap w:val="0"/>
            <w:vAlign w:val="center"/>
          </w:tcPr>
          <w:p w14:paraId="094D3BF7">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7275B889">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6BF5F4AB">
            <w:pPr>
              <w:widowControl w:val="0"/>
              <w:autoSpaceDE w:val="0"/>
              <w:autoSpaceDN w:val="0"/>
              <w:adjustRightInd w:val="0"/>
              <w:snapToGrid w:val="0"/>
              <w:ind w:firstLine="0" w:firstLineChars="0"/>
              <w:jc w:val="left"/>
              <w:rPr>
                <w:rFonts w:hint="eastAsia" w:ascii="宋体" w:hAnsi="宋体"/>
                <w:sz w:val="18"/>
                <w:szCs w:val="21"/>
                <w:highlight w:val="none"/>
              </w:rPr>
            </w:pPr>
          </w:p>
        </w:tc>
      </w:tr>
      <w:tr w14:paraId="15FB0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923" w:type="dxa"/>
            <w:noWrap w:val="0"/>
            <w:vAlign w:val="center"/>
          </w:tcPr>
          <w:p w14:paraId="7C5D6436">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643" w:type="dxa"/>
            <w:noWrap w:val="0"/>
            <w:vAlign w:val="center"/>
          </w:tcPr>
          <w:p w14:paraId="60E35642">
            <w:pPr>
              <w:widowControl w:val="0"/>
              <w:autoSpaceDE w:val="0"/>
              <w:autoSpaceDN w:val="0"/>
              <w:adjustRightInd w:val="0"/>
              <w:snapToGrid w:val="0"/>
              <w:ind w:firstLine="0" w:firstLineChars="0"/>
              <w:jc w:val="left"/>
              <w:rPr>
                <w:rFonts w:hint="eastAsia" w:ascii="宋体" w:hAnsi="宋体"/>
                <w:sz w:val="18"/>
                <w:szCs w:val="21"/>
                <w:highlight w:val="none"/>
              </w:rPr>
            </w:pPr>
            <w:r>
              <w:rPr>
                <w:rFonts w:ascii="宋体" w:hAnsi="宋体"/>
                <w:sz w:val="18"/>
                <w:szCs w:val="21"/>
                <w:highlight w:val="none"/>
              </w:rPr>
              <w:t>……</w:t>
            </w:r>
          </w:p>
        </w:tc>
        <w:tc>
          <w:tcPr>
            <w:tcW w:w="1360" w:type="dxa"/>
            <w:noWrap w:val="0"/>
            <w:vAlign w:val="center"/>
          </w:tcPr>
          <w:p w14:paraId="39318784">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359" w:type="dxa"/>
            <w:noWrap w:val="0"/>
            <w:vAlign w:val="center"/>
          </w:tcPr>
          <w:p w14:paraId="7DD23BA7">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5A6D9C22">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2C14B9E2">
            <w:pPr>
              <w:widowControl w:val="0"/>
              <w:autoSpaceDE w:val="0"/>
              <w:autoSpaceDN w:val="0"/>
              <w:adjustRightInd w:val="0"/>
              <w:snapToGrid w:val="0"/>
              <w:ind w:firstLine="0" w:firstLineChars="0"/>
              <w:jc w:val="left"/>
              <w:rPr>
                <w:rFonts w:hint="eastAsia" w:ascii="宋体" w:hAnsi="宋体"/>
                <w:sz w:val="18"/>
                <w:szCs w:val="21"/>
                <w:highlight w:val="none"/>
              </w:rPr>
            </w:pPr>
          </w:p>
        </w:tc>
      </w:tr>
    </w:tbl>
    <w:p w14:paraId="45B50E8A">
      <w:pPr>
        <w:widowControl w:val="0"/>
        <w:autoSpaceDE w:val="0"/>
        <w:autoSpaceDN w:val="0"/>
        <w:adjustRightInd w:val="0"/>
        <w:snapToGrid w:val="0"/>
        <w:ind w:firstLine="0" w:firstLineChars="0"/>
        <w:jc w:val="left"/>
        <w:rPr>
          <w:rFonts w:hint="eastAsia" w:ascii="宋体" w:hAnsi="宋体"/>
          <w:b/>
          <w:szCs w:val="21"/>
          <w:highlight w:val="none"/>
        </w:rPr>
      </w:pPr>
      <w:r>
        <w:rPr>
          <w:rFonts w:hint="eastAsia" w:ascii="宋体" w:hAnsi="宋体"/>
          <w:b/>
          <w:szCs w:val="21"/>
          <w:highlight w:val="none"/>
        </w:rPr>
        <w:t>重要提示：</w:t>
      </w:r>
    </w:p>
    <w:p w14:paraId="71EE465A">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1.投标人根据招标文件业绩部分评分标准仔细填写，已供评标委员会查验；</w:t>
      </w:r>
    </w:p>
    <w:p w14:paraId="26FDB5C1">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2.上述业绩必须为真实有效，如发现业绩不符，将取消相应资格；</w:t>
      </w:r>
    </w:p>
    <w:p w14:paraId="1D479E5E">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3.证明材料附在本表后即可。</w:t>
      </w:r>
    </w:p>
    <w:p w14:paraId="4FA43075">
      <w:pPr>
        <w:widowControl w:val="0"/>
        <w:autoSpaceDE w:val="0"/>
        <w:autoSpaceDN w:val="0"/>
        <w:adjustRightInd w:val="0"/>
        <w:snapToGrid w:val="0"/>
        <w:spacing w:line="380" w:lineRule="exact"/>
        <w:ind w:firstLine="0" w:firstLineChars="0"/>
        <w:jc w:val="right"/>
        <w:rPr>
          <w:rFonts w:ascii="宋体" w:hAnsi="宋体"/>
          <w:color w:val="auto"/>
          <w:szCs w:val="21"/>
          <w:u w:val="single"/>
        </w:rPr>
      </w:pPr>
    </w:p>
    <w:p w14:paraId="3ED615EF">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b/>
          <w:color w:val="auto"/>
          <w:szCs w:val="21"/>
        </w:rPr>
        <w:br w:type="page"/>
      </w:r>
    </w:p>
    <w:p w14:paraId="635B88C6">
      <w:pPr>
        <w:widowControl w:val="0"/>
        <w:autoSpaceDE w:val="0"/>
        <w:autoSpaceDN w:val="0"/>
        <w:adjustRightInd w:val="0"/>
        <w:snapToGrid w:val="0"/>
        <w:ind w:firstLine="0" w:firstLineChars="0"/>
        <w:jc w:val="left"/>
        <w:outlineLvl w:val="2"/>
        <w:rPr>
          <w:rFonts w:hint="eastAsia" w:ascii="宋体" w:hAnsi="宋体"/>
          <w:b/>
          <w:color w:val="auto"/>
          <w:szCs w:val="21"/>
        </w:rPr>
      </w:pPr>
      <w:bookmarkStart w:id="413" w:name="_Toc27537"/>
      <w:bookmarkStart w:id="414" w:name="_Toc27124"/>
      <w:bookmarkStart w:id="415" w:name="_Toc4595"/>
      <w:r>
        <w:rPr>
          <w:rFonts w:hint="eastAsia" w:ascii="宋体" w:hAnsi="宋体"/>
          <w:b/>
          <w:color w:val="auto"/>
        </w:rPr>
        <w:t>B4、</w:t>
      </w:r>
      <w:bookmarkEnd w:id="413"/>
      <w:r>
        <w:rPr>
          <w:rFonts w:hint="eastAsia" w:ascii="宋体" w:hAnsi="宋体"/>
          <w:b/>
          <w:color w:val="auto"/>
          <w:szCs w:val="21"/>
        </w:rPr>
        <w:t>项目负责人业绩</w:t>
      </w:r>
    </w:p>
    <w:p w14:paraId="0E55D5F8">
      <w:pPr>
        <w:rPr>
          <w:rFonts w:hint="eastAsia" w:ascii="宋体" w:hAnsi="宋体"/>
          <w:b/>
          <w:color w:val="auto"/>
          <w:szCs w:val="21"/>
        </w:rPr>
      </w:pPr>
    </w:p>
    <w:p w14:paraId="57386756"/>
    <w:p w14:paraId="18A4BE9E">
      <w:pPr>
        <w:widowControl w:val="0"/>
        <w:autoSpaceDE w:val="0"/>
        <w:autoSpaceDN w:val="0"/>
        <w:adjustRightInd w:val="0"/>
        <w:snapToGrid w:val="0"/>
        <w:ind w:firstLine="0" w:firstLineChars="0"/>
        <w:jc w:val="center"/>
        <w:rPr>
          <w:rFonts w:hint="eastAsia" w:ascii="宋体" w:hAnsi="宋体"/>
          <w:szCs w:val="21"/>
          <w:highlight w:val="none"/>
        </w:rPr>
      </w:pPr>
      <w:r>
        <w:rPr>
          <w:rFonts w:hint="eastAsia" w:ascii="宋体" w:hAnsi="宋体"/>
          <w:b/>
          <w:bCs/>
          <w:sz w:val="32"/>
          <w:szCs w:val="32"/>
          <w:highlight w:val="none"/>
        </w:rPr>
        <w:t>项目</w:t>
      </w:r>
      <w:r>
        <w:rPr>
          <w:rFonts w:hint="eastAsia" w:ascii="宋体" w:hAnsi="宋体"/>
          <w:b/>
          <w:bCs/>
          <w:sz w:val="32"/>
          <w:szCs w:val="32"/>
          <w:highlight w:val="none"/>
          <w:lang w:val="en-US" w:eastAsia="zh-CN"/>
        </w:rPr>
        <w:t>负责人</w:t>
      </w:r>
      <w:r>
        <w:rPr>
          <w:rFonts w:hint="eastAsia" w:ascii="宋体" w:hAnsi="宋体"/>
          <w:b/>
          <w:bCs/>
          <w:sz w:val="32"/>
          <w:szCs w:val="32"/>
          <w:highlight w:val="none"/>
        </w:rPr>
        <w:t>业绩一览表</w:t>
      </w:r>
    </w:p>
    <w:p w14:paraId="69956380">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（招标人）</w:t>
      </w:r>
    </w:p>
    <w:p w14:paraId="0B529B60">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我方根据贵公司招标文件要求提供</w:t>
      </w:r>
      <w:r>
        <w:rPr>
          <w:rFonts w:hint="eastAsia" w:ascii="宋体" w:hAnsi="宋体"/>
          <w:szCs w:val="21"/>
          <w:highlight w:val="none"/>
          <w:u w:val="single"/>
        </w:rPr>
        <w:t xml:space="preserve">  </w:t>
      </w:r>
      <w:r>
        <w:rPr>
          <w:rFonts w:hint="eastAsia" w:ascii="宋体" w:hAnsi="宋体"/>
          <w:szCs w:val="21"/>
          <w:highlight w:val="none"/>
          <w:u w:val="single"/>
          <w:lang w:val="en-US" w:eastAsia="zh-CN"/>
        </w:rPr>
        <w:t>2023</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u w:val="single"/>
          <w:lang w:val="en-US" w:eastAsia="zh-CN"/>
        </w:rPr>
        <w:t>7</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u w:val="single"/>
          <w:lang w:val="en-US" w:eastAsia="zh-CN"/>
        </w:rPr>
        <w:t>1</w:t>
      </w:r>
      <w:r>
        <w:rPr>
          <w:rFonts w:hint="eastAsia" w:ascii="宋体" w:hAnsi="宋体"/>
          <w:szCs w:val="21"/>
          <w:highlight w:val="none"/>
          <w:u w:val="single"/>
        </w:rPr>
        <w:t xml:space="preserve">  </w:t>
      </w:r>
      <w:r>
        <w:rPr>
          <w:rFonts w:hint="eastAsia" w:ascii="宋体" w:hAnsi="宋体"/>
          <w:szCs w:val="21"/>
          <w:highlight w:val="none"/>
        </w:rPr>
        <w:t>日至投标截止时间</w:t>
      </w:r>
      <w:r>
        <w:rPr>
          <w:rFonts w:hint="eastAsia" w:ascii="宋体" w:hAnsi="宋体"/>
          <w:szCs w:val="21"/>
          <w:highlight w:val="none"/>
          <w:u w:val="single"/>
        </w:rPr>
        <w:t>提供</w:t>
      </w:r>
      <w:r>
        <w:rPr>
          <w:rFonts w:hint="eastAsia" w:ascii="宋体" w:hAnsi="宋体"/>
          <w:szCs w:val="21"/>
          <w:highlight w:val="none"/>
        </w:rPr>
        <w:t>真实的业绩资料，证明合同附后，清单如下：</w:t>
      </w:r>
    </w:p>
    <w:tbl>
      <w:tblPr>
        <w:tblStyle w:val="5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3"/>
        <w:gridCol w:w="1643"/>
        <w:gridCol w:w="1360"/>
        <w:gridCol w:w="1359"/>
        <w:gridCol w:w="1417"/>
        <w:gridCol w:w="1417"/>
      </w:tblGrid>
      <w:tr w14:paraId="32ECE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923" w:type="dxa"/>
            <w:tcBorders>
              <w:top w:val="single" w:color="auto" w:sz="4" w:space="0"/>
            </w:tcBorders>
            <w:shd w:val="clear" w:color="auto" w:fill="D9E2F3"/>
            <w:noWrap w:val="0"/>
            <w:vAlign w:val="center"/>
          </w:tcPr>
          <w:p w14:paraId="2E2EF024">
            <w:pPr>
              <w:widowControl w:val="0"/>
              <w:autoSpaceDE w:val="0"/>
              <w:autoSpaceDN w:val="0"/>
              <w:adjustRightInd w:val="0"/>
              <w:snapToGrid w:val="0"/>
              <w:ind w:firstLine="0" w:firstLineChars="0"/>
              <w:jc w:val="center"/>
              <w:rPr>
                <w:rFonts w:hint="eastAsia" w:ascii="宋体" w:hAnsi="宋体"/>
                <w:b/>
                <w:sz w:val="18"/>
                <w:szCs w:val="21"/>
                <w:highlight w:val="none"/>
              </w:rPr>
            </w:pPr>
            <w:r>
              <w:rPr>
                <w:rFonts w:hint="eastAsia" w:ascii="宋体" w:hAnsi="宋体"/>
                <w:b/>
                <w:sz w:val="18"/>
                <w:szCs w:val="21"/>
                <w:highlight w:val="none"/>
              </w:rPr>
              <w:t>序号</w:t>
            </w:r>
          </w:p>
        </w:tc>
        <w:tc>
          <w:tcPr>
            <w:tcW w:w="1643" w:type="dxa"/>
            <w:shd w:val="clear" w:color="auto" w:fill="D9E2F3"/>
            <w:noWrap w:val="0"/>
            <w:vAlign w:val="center"/>
          </w:tcPr>
          <w:p w14:paraId="3BBB0673">
            <w:pPr>
              <w:widowControl w:val="0"/>
              <w:autoSpaceDE w:val="0"/>
              <w:autoSpaceDN w:val="0"/>
              <w:adjustRightInd w:val="0"/>
              <w:snapToGrid w:val="0"/>
              <w:ind w:firstLine="0" w:firstLineChars="0"/>
              <w:jc w:val="center"/>
              <w:rPr>
                <w:rFonts w:hint="eastAsia" w:ascii="宋体" w:hAnsi="宋体"/>
                <w:b/>
                <w:sz w:val="18"/>
                <w:szCs w:val="21"/>
                <w:highlight w:val="none"/>
              </w:rPr>
            </w:pPr>
            <w:r>
              <w:rPr>
                <w:rFonts w:hint="eastAsia" w:ascii="宋体" w:hAnsi="宋体"/>
                <w:b/>
                <w:sz w:val="18"/>
                <w:szCs w:val="21"/>
                <w:highlight w:val="none"/>
              </w:rPr>
              <w:t>合同名称</w:t>
            </w:r>
          </w:p>
        </w:tc>
        <w:tc>
          <w:tcPr>
            <w:tcW w:w="1360" w:type="dxa"/>
            <w:shd w:val="clear" w:color="auto" w:fill="D9E2F3"/>
            <w:noWrap w:val="0"/>
            <w:vAlign w:val="center"/>
          </w:tcPr>
          <w:p w14:paraId="6D1A8A49">
            <w:pPr>
              <w:widowControl w:val="0"/>
              <w:autoSpaceDE w:val="0"/>
              <w:autoSpaceDN w:val="0"/>
              <w:adjustRightInd w:val="0"/>
              <w:snapToGrid w:val="0"/>
              <w:ind w:firstLine="0" w:firstLineChars="0"/>
              <w:jc w:val="center"/>
              <w:rPr>
                <w:rFonts w:hint="eastAsia" w:ascii="宋体" w:hAnsi="宋体"/>
                <w:b/>
                <w:sz w:val="18"/>
                <w:szCs w:val="21"/>
                <w:highlight w:val="none"/>
              </w:rPr>
            </w:pPr>
            <w:r>
              <w:rPr>
                <w:rFonts w:hint="eastAsia" w:ascii="宋体" w:hAnsi="宋体"/>
                <w:b/>
                <w:sz w:val="18"/>
                <w:szCs w:val="21"/>
                <w:highlight w:val="none"/>
              </w:rPr>
              <w:t>甲方</w:t>
            </w:r>
          </w:p>
        </w:tc>
        <w:tc>
          <w:tcPr>
            <w:tcW w:w="1359" w:type="dxa"/>
            <w:shd w:val="clear" w:color="auto" w:fill="D9E2F3"/>
            <w:noWrap w:val="0"/>
            <w:vAlign w:val="center"/>
          </w:tcPr>
          <w:p w14:paraId="220277DD">
            <w:pPr>
              <w:widowControl w:val="0"/>
              <w:autoSpaceDE w:val="0"/>
              <w:autoSpaceDN w:val="0"/>
              <w:adjustRightInd w:val="0"/>
              <w:snapToGrid w:val="0"/>
              <w:ind w:firstLine="0" w:firstLineChars="0"/>
              <w:jc w:val="center"/>
              <w:rPr>
                <w:rFonts w:hint="eastAsia" w:ascii="宋体" w:hAnsi="宋体"/>
                <w:b/>
                <w:sz w:val="18"/>
                <w:szCs w:val="21"/>
                <w:highlight w:val="none"/>
              </w:rPr>
            </w:pPr>
            <w:r>
              <w:rPr>
                <w:rFonts w:hint="eastAsia" w:ascii="宋体" w:hAnsi="宋体"/>
                <w:b/>
                <w:sz w:val="18"/>
                <w:szCs w:val="21"/>
                <w:highlight w:val="none"/>
              </w:rPr>
              <w:t>合同签订时间</w:t>
            </w:r>
          </w:p>
        </w:tc>
        <w:tc>
          <w:tcPr>
            <w:tcW w:w="1417" w:type="dxa"/>
            <w:shd w:val="clear" w:color="auto" w:fill="D9E2F3"/>
            <w:noWrap w:val="0"/>
            <w:vAlign w:val="center"/>
          </w:tcPr>
          <w:p w14:paraId="270FBAB0">
            <w:pPr>
              <w:widowControl w:val="0"/>
              <w:autoSpaceDE w:val="0"/>
              <w:autoSpaceDN w:val="0"/>
              <w:adjustRightInd w:val="0"/>
              <w:snapToGrid w:val="0"/>
              <w:ind w:firstLine="0" w:firstLineChars="0"/>
              <w:jc w:val="center"/>
              <w:rPr>
                <w:rFonts w:hint="default" w:ascii="宋体" w:hAnsi="宋体" w:eastAsia="宋体"/>
                <w:b/>
                <w:sz w:val="18"/>
                <w:szCs w:val="21"/>
                <w:highlight w:val="none"/>
                <w:lang w:val="en-US" w:eastAsia="zh-CN"/>
              </w:rPr>
            </w:pPr>
            <w:r>
              <w:rPr>
                <w:rFonts w:hint="eastAsia" w:ascii="宋体" w:hAnsi="宋体"/>
                <w:b/>
                <w:sz w:val="18"/>
                <w:szCs w:val="21"/>
                <w:highlight w:val="none"/>
              </w:rPr>
              <w:t>合同金额</w:t>
            </w:r>
          </w:p>
        </w:tc>
        <w:tc>
          <w:tcPr>
            <w:tcW w:w="1417" w:type="dxa"/>
            <w:shd w:val="clear" w:color="auto" w:fill="D9E2F3"/>
            <w:noWrap w:val="0"/>
            <w:vAlign w:val="center"/>
          </w:tcPr>
          <w:p w14:paraId="011E0EBB">
            <w:pPr>
              <w:widowControl w:val="0"/>
              <w:autoSpaceDE w:val="0"/>
              <w:autoSpaceDN w:val="0"/>
              <w:adjustRightInd w:val="0"/>
              <w:snapToGrid w:val="0"/>
              <w:ind w:firstLine="0" w:firstLineChars="0"/>
              <w:jc w:val="center"/>
              <w:rPr>
                <w:rFonts w:hint="eastAsia" w:ascii="宋体" w:hAnsi="宋体" w:eastAsia="宋体"/>
                <w:b/>
                <w:sz w:val="18"/>
                <w:szCs w:val="21"/>
                <w:highlight w:val="none"/>
                <w:lang w:val="en-US" w:eastAsia="zh-CN"/>
              </w:rPr>
            </w:pPr>
            <w:r>
              <w:rPr>
                <w:rFonts w:hint="eastAsia" w:ascii="宋体" w:hAnsi="宋体"/>
                <w:b/>
                <w:sz w:val="18"/>
                <w:szCs w:val="21"/>
                <w:highlight w:val="none"/>
                <w:lang w:val="en-US" w:eastAsia="zh-CN"/>
              </w:rPr>
              <w:t>备注</w:t>
            </w:r>
          </w:p>
        </w:tc>
      </w:tr>
      <w:tr w14:paraId="734B6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noWrap w:val="0"/>
            <w:vAlign w:val="center"/>
          </w:tcPr>
          <w:p w14:paraId="0AF9E405">
            <w:pPr>
              <w:widowControl w:val="0"/>
              <w:autoSpaceDE w:val="0"/>
              <w:autoSpaceDN w:val="0"/>
              <w:adjustRightInd w:val="0"/>
              <w:snapToGrid w:val="0"/>
              <w:ind w:firstLine="0" w:firstLineChars="0"/>
              <w:jc w:val="left"/>
              <w:rPr>
                <w:rFonts w:hint="eastAsia" w:ascii="宋体" w:hAnsi="宋体"/>
                <w:sz w:val="18"/>
                <w:szCs w:val="21"/>
                <w:highlight w:val="none"/>
              </w:rPr>
            </w:pPr>
            <w:r>
              <w:rPr>
                <w:rFonts w:hint="eastAsia" w:ascii="宋体" w:hAnsi="宋体"/>
                <w:sz w:val="18"/>
                <w:szCs w:val="21"/>
                <w:highlight w:val="none"/>
              </w:rPr>
              <w:t>1</w:t>
            </w:r>
          </w:p>
        </w:tc>
        <w:tc>
          <w:tcPr>
            <w:tcW w:w="1643" w:type="dxa"/>
            <w:noWrap w:val="0"/>
            <w:vAlign w:val="center"/>
          </w:tcPr>
          <w:p w14:paraId="04423279">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360" w:type="dxa"/>
            <w:noWrap w:val="0"/>
            <w:vAlign w:val="center"/>
          </w:tcPr>
          <w:p w14:paraId="31EFE46B">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359" w:type="dxa"/>
            <w:noWrap w:val="0"/>
            <w:vAlign w:val="center"/>
          </w:tcPr>
          <w:p w14:paraId="5233E185">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53F7D2D9">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7EA68C25">
            <w:pPr>
              <w:widowControl w:val="0"/>
              <w:autoSpaceDE w:val="0"/>
              <w:autoSpaceDN w:val="0"/>
              <w:adjustRightInd w:val="0"/>
              <w:snapToGrid w:val="0"/>
              <w:ind w:firstLine="0" w:firstLineChars="0"/>
              <w:jc w:val="left"/>
              <w:rPr>
                <w:rFonts w:hint="eastAsia" w:ascii="宋体" w:hAnsi="宋体"/>
                <w:sz w:val="18"/>
                <w:szCs w:val="21"/>
                <w:highlight w:val="none"/>
              </w:rPr>
            </w:pPr>
          </w:p>
        </w:tc>
      </w:tr>
      <w:tr w14:paraId="06514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noWrap w:val="0"/>
            <w:vAlign w:val="center"/>
          </w:tcPr>
          <w:p w14:paraId="21BF7B2D">
            <w:pPr>
              <w:widowControl w:val="0"/>
              <w:autoSpaceDE w:val="0"/>
              <w:autoSpaceDN w:val="0"/>
              <w:adjustRightInd w:val="0"/>
              <w:snapToGrid w:val="0"/>
              <w:ind w:firstLine="0" w:firstLineChars="0"/>
              <w:jc w:val="left"/>
              <w:rPr>
                <w:rFonts w:hint="eastAsia" w:ascii="宋体" w:hAnsi="宋体"/>
                <w:sz w:val="18"/>
                <w:szCs w:val="21"/>
                <w:highlight w:val="none"/>
              </w:rPr>
            </w:pPr>
            <w:r>
              <w:rPr>
                <w:rFonts w:hint="eastAsia" w:ascii="宋体" w:hAnsi="宋体"/>
                <w:sz w:val="18"/>
                <w:szCs w:val="21"/>
                <w:highlight w:val="none"/>
              </w:rPr>
              <w:t>2</w:t>
            </w:r>
          </w:p>
        </w:tc>
        <w:tc>
          <w:tcPr>
            <w:tcW w:w="1643" w:type="dxa"/>
            <w:noWrap w:val="0"/>
            <w:vAlign w:val="center"/>
          </w:tcPr>
          <w:p w14:paraId="2479E2A6">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360" w:type="dxa"/>
            <w:noWrap w:val="0"/>
            <w:vAlign w:val="center"/>
          </w:tcPr>
          <w:p w14:paraId="65791147">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359" w:type="dxa"/>
            <w:noWrap w:val="0"/>
            <w:vAlign w:val="center"/>
          </w:tcPr>
          <w:p w14:paraId="67C494B0">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377D68D3">
            <w:pPr>
              <w:widowControl w:val="0"/>
              <w:autoSpaceDE w:val="0"/>
              <w:autoSpaceDN w:val="0"/>
              <w:adjustRightInd w:val="0"/>
              <w:snapToGrid w:val="0"/>
              <w:ind w:firstLine="0" w:firstLineChars="0"/>
              <w:jc w:val="left"/>
              <w:rPr>
                <w:rFonts w:hint="eastAsia" w:ascii="宋体" w:hAnsi="宋体"/>
                <w:sz w:val="18"/>
                <w:szCs w:val="21"/>
                <w:highlight w:val="none"/>
              </w:rPr>
            </w:pPr>
          </w:p>
        </w:tc>
        <w:tc>
          <w:tcPr>
            <w:tcW w:w="1417" w:type="dxa"/>
            <w:noWrap w:val="0"/>
            <w:vAlign w:val="center"/>
          </w:tcPr>
          <w:p w14:paraId="16114BA7">
            <w:pPr>
              <w:widowControl w:val="0"/>
              <w:autoSpaceDE w:val="0"/>
              <w:autoSpaceDN w:val="0"/>
              <w:adjustRightInd w:val="0"/>
              <w:snapToGrid w:val="0"/>
              <w:ind w:firstLine="0" w:firstLineChars="0"/>
              <w:jc w:val="left"/>
              <w:rPr>
                <w:rFonts w:hint="eastAsia" w:ascii="宋体" w:hAnsi="宋体"/>
                <w:sz w:val="18"/>
                <w:szCs w:val="21"/>
                <w:highlight w:val="none"/>
              </w:rPr>
            </w:pPr>
          </w:p>
        </w:tc>
      </w:tr>
    </w:tbl>
    <w:p w14:paraId="5C3EC36A">
      <w:pPr>
        <w:widowControl w:val="0"/>
        <w:autoSpaceDE w:val="0"/>
        <w:autoSpaceDN w:val="0"/>
        <w:adjustRightInd w:val="0"/>
        <w:snapToGrid w:val="0"/>
        <w:ind w:firstLine="0" w:firstLineChars="0"/>
        <w:jc w:val="left"/>
        <w:rPr>
          <w:rFonts w:hint="eastAsia" w:ascii="宋体" w:hAnsi="宋体"/>
          <w:b/>
          <w:szCs w:val="21"/>
          <w:highlight w:val="none"/>
        </w:rPr>
      </w:pPr>
      <w:r>
        <w:rPr>
          <w:rFonts w:hint="eastAsia" w:ascii="宋体" w:hAnsi="宋体"/>
          <w:b/>
          <w:szCs w:val="21"/>
          <w:highlight w:val="none"/>
        </w:rPr>
        <w:t>重要提示：</w:t>
      </w:r>
    </w:p>
    <w:p w14:paraId="2C1B470B">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1.投标人根据招标文件业绩部分评分标准仔细填写，已供评标委员会查验；</w:t>
      </w:r>
    </w:p>
    <w:p w14:paraId="40FF08C2">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2.上述业绩必须为真实有效，如发现业绩不符，将取消相应资格；</w:t>
      </w:r>
    </w:p>
    <w:p w14:paraId="704DE0BF">
      <w:pPr>
        <w:widowControl w:val="0"/>
        <w:autoSpaceDE w:val="0"/>
        <w:autoSpaceDN w:val="0"/>
        <w:adjustRightInd w:val="0"/>
        <w:snapToGrid w:val="0"/>
        <w:ind w:firstLine="0" w:firstLineChars="0"/>
        <w:jc w:val="left"/>
        <w:rPr>
          <w:rFonts w:hint="eastAsia" w:ascii="宋体" w:hAnsi="宋体"/>
          <w:szCs w:val="21"/>
          <w:highlight w:val="none"/>
        </w:rPr>
      </w:pPr>
      <w:r>
        <w:rPr>
          <w:rFonts w:hint="eastAsia" w:ascii="宋体" w:hAnsi="宋体"/>
          <w:szCs w:val="21"/>
          <w:highlight w:val="none"/>
        </w:rPr>
        <w:t>3.证明材料附在本表后即可。</w:t>
      </w:r>
    </w:p>
    <w:p w14:paraId="112E1250">
      <w:pPr>
        <w:widowControl w:val="0"/>
        <w:autoSpaceDE w:val="0"/>
        <w:autoSpaceDN w:val="0"/>
        <w:adjustRightInd w:val="0"/>
        <w:snapToGrid w:val="0"/>
        <w:ind w:firstLine="0" w:firstLineChars="0"/>
        <w:jc w:val="left"/>
        <w:outlineLvl w:val="9"/>
        <w:rPr>
          <w:rFonts w:ascii="宋体" w:hAnsi="宋体"/>
          <w:b/>
          <w:color w:val="auto"/>
          <w:szCs w:val="21"/>
        </w:rPr>
      </w:pPr>
    </w:p>
    <w:p w14:paraId="10B07910">
      <w:pPr>
        <w:rPr>
          <w:rFonts w:hint="eastAsia" w:ascii="宋体" w:hAnsi="宋体"/>
          <w:b/>
          <w:color w:val="auto"/>
        </w:rPr>
      </w:pPr>
      <w:bookmarkStart w:id="416" w:name="_Toc19595"/>
      <w:r>
        <w:rPr>
          <w:rFonts w:hint="eastAsia" w:ascii="宋体" w:hAnsi="宋体"/>
          <w:b/>
          <w:color w:val="auto"/>
        </w:rPr>
        <w:br w:type="page"/>
      </w:r>
    </w:p>
    <w:p w14:paraId="38F7B6EA">
      <w:pPr>
        <w:widowControl w:val="0"/>
        <w:autoSpaceDE w:val="0"/>
        <w:autoSpaceDN w:val="0"/>
        <w:adjustRightInd w:val="0"/>
        <w:snapToGrid w:val="0"/>
        <w:ind w:firstLine="0" w:firstLineChars="0"/>
        <w:jc w:val="left"/>
        <w:outlineLvl w:val="2"/>
        <w:rPr>
          <w:rFonts w:hint="default" w:ascii="宋体" w:hAnsi="宋体" w:eastAsia="宋体"/>
          <w:b/>
          <w:color w:val="auto"/>
          <w:szCs w:val="21"/>
          <w:lang w:val="en-US" w:eastAsia="zh-CN"/>
        </w:rPr>
      </w:pPr>
      <w:r>
        <w:rPr>
          <w:rFonts w:hint="eastAsia" w:ascii="宋体" w:hAnsi="宋体"/>
          <w:b/>
          <w:color w:val="auto"/>
        </w:rPr>
        <w:t>B5、</w:t>
      </w:r>
      <w:bookmarkEnd w:id="414"/>
      <w:bookmarkEnd w:id="415"/>
      <w:bookmarkEnd w:id="416"/>
      <w:r>
        <w:rPr>
          <w:rFonts w:hint="eastAsia" w:ascii="宋体" w:hAnsi="宋体"/>
          <w:b/>
          <w:color w:val="auto"/>
          <w:szCs w:val="21"/>
          <w:lang w:val="en-US" w:eastAsia="zh-CN"/>
        </w:rPr>
        <w:t>项目团队</w:t>
      </w:r>
    </w:p>
    <w:bookmarkEnd w:id="405"/>
    <w:p w14:paraId="735E8480">
      <w:pPr>
        <w:ind w:firstLine="420"/>
        <w:rPr>
          <w:color w:val="auto"/>
        </w:rPr>
      </w:pPr>
      <w:bookmarkStart w:id="417" w:name="_Toc390444143"/>
      <w:bookmarkStart w:id="418" w:name="_Toc201719123"/>
      <w:bookmarkStart w:id="419" w:name="_Toc201997951"/>
      <w:bookmarkStart w:id="420" w:name="_Toc201743121"/>
      <w:bookmarkStart w:id="421" w:name="_Toc201401663"/>
      <w:bookmarkStart w:id="422" w:name="_Toc280341018"/>
      <w:bookmarkStart w:id="423" w:name="_Toc199215951"/>
      <w:bookmarkStart w:id="424" w:name="_Toc201742866"/>
      <w:bookmarkStart w:id="425" w:name="_Toc370197705"/>
      <w:r>
        <w:rPr>
          <w:rFonts w:ascii="宋体" w:hAnsi="宋体"/>
          <w:bCs/>
          <w:color w:val="auto"/>
          <w:szCs w:val="21"/>
        </w:rPr>
        <w:br w:type="page"/>
      </w:r>
      <w:bookmarkStart w:id="426" w:name="_Toc24605"/>
      <w:bookmarkStart w:id="427" w:name="_Toc12952"/>
    </w:p>
    <w:p w14:paraId="56142453">
      <w:pPr>
        <w:ind w:firstLine="420"/>
        <w:rPr>
          <w:color w:val="auto"/>
        </w:rPr>
      </w:pPr>
    </w:p>
    <w:p w14:paraId="5358B1A6">
      <w:pPr>
        <w:ind w:firstLine="420"/>
        <w:rPr>
          <w:color w:val="auto"/>
        </w:rPr>
      </w:pPr>
    </w:p>
    <w:p w14:paraId="6B601481">
      <w:pPr>
        <w:ind w:firstLine="420"/>
        <w:rPr>
          <w:color w:val="auto"/>
        </w:rPr>
      </w:pPr>
    </w:p>
    <w:p w14:paraId="1D8C8C03">
      <w:pPr>
        <w:ind w:firstLine="420"/>
        <w:rPr>
          <w:color w:val="auto"/>
        </w:rPr>
      </w:pPr>
    </w:p>
    <w:p w14:paraId="62355236">
      <w:pPr>
        <w:ind w:firstLine="420"/>
        <w:rPr>
          <w:color w:val="auto"/>
        </w:rPr>
      </w:pPr>
    </w:p>
    <w:p w14:paraId="7BA953C9">
      <w:pPr>
        <w:ind w:firstLine="420"/>
        <w:rPr>
          <w:color w:val="auto"/>
        </w:rPr>
      </w:pPr>
    </w:p>
    <w:p w14:paraId="64E6F18A">
      <w:pPr>
        <w:ind w:firstLine="420"/>
        <w:rPr>
          <w:color w:val="auto"/>
        </w:rPr>
      </w:pPr>
    </w:p>
    <w:p w14:paraId="5BF20CF1">
      <w:pPr>
        <w:ind w:firstLine="420"/>
        <w:rPr>
          <w:color w:val="auto"/>
        </w:rPr>
      </w:pPr>
    </w:p>
    <w:p w14:paraId="001232E1">
      <w:pPr>
        <w:ind w:firstLine="420"/>
        <w:rPr>
          <w:color w:val="auto"/>
        </w:rPr>
      </w:pPr>
    </w:p>
    <w:p w14:paraId="3DC5850E">
      <w:pPr>
        <w:ind w:firstLine="420"/>
        <w:rPr>
          <w:color w:val="auto"/>
        </w:rPr>
      </w:pPr>
    </w:p>
    <w:p w14:paraId="3D5EE90B">
      <w:pPr>
        <w:ind w:firstLine="420"/>
        <w:rPr>
          <w:color w:val="auto"/>
        </w:rPr>
      </w:pPr>
    </w:p>
    <w:p w14:paraId="675C5A73">
      <w:pPr>
        <w:ind w:firstLine="420"/>
        <w:rPr>
          <w:color w:val="auto"/>
        </w:rPr>
      </w:pPr>
    </w:p>
    <w:p w14:paraId="6CF0E113">
      <w:pPr>
        <w:ind w:firstLine="420"/>
        <w:rPr>
          <w:color w:val="auto"/>
        </w:rPr>
      </w:pPr>
    </w:p>
    <w:p w14:paraId="6B3F34B8">
      <w:pPr>
        <w:ind w:firstLine="420"/>
        <w:rPr>
          <w:color w:val="auto"/>
        </w:rPr>
      </w:pPr>
    </w:p>
    <w:p w14:paraId="2B9A985C">
      <w:pPr>
        <w:ind w:firstLine="420"/>
        <w:rPr>
          <w:color w:val="auto"/>
        </w:rPr>
      </w:pPr>
    </w:p>
    <w:p w14:paraId="40A734F0">
      <w:pPr>
        <w:ind w:firstLine="420"/>
        <w:rPr>
          <w:color w:val="auto"/>
        </w:rPr>
      </w:pPr>
    </w:p>
    <w:p w14:paraId="247F8A92">
      <w:pPr>
        <w:ind w:firstLine="420"/>
        <w:rPr>
          <w:color w:val="auto"/>
        </w:rPr>
      </w:pPr>
    </w:p>
    <w:p w14:paraId="2C570CD2">
      <w:pPr>
        <w:widowControl w:val="0"/>
        <w:autoSpaceDE w:val="0"/>
        <w:autoSpaceDN w:val="0"/>
        <w:adjustRightInd w:val="0"/>
        <w:snapToGrid w:val="0"/>
        <w:ind w:firstLine="0" w:firstLineChars="0"/>
        <w:jc w:val="center"/>
        <w:outlineLvl w:val="1"/>
        <w:rPr>
          <w:rFonts w:ascii="宋体" w:hAnsi="宋体"/>
          <w:bCs/>
          <w:color w:val="auto"/>
          <w:szCs w:val="21"/>
        </w:rPr>
      </w:pPr>
      <w:bookmarkStart w:id="428" w:name="_Toc6717"/>
      <w:bookmarkStart w:id="429" w:name="_Toc16964"/>
      <w:r>
        <w:rPr>
          <w:rFonts w:hint="eastAsia" w:ascii="宋体" w:hAnsi="宋体" w:cs="Courier New"/>
          <w:b/>
          <w:bCs/>
          <w:color w:val="auto"/>
          <w:sz w:val="44"/>
          <w:szCs w:val="44"/>
        </w:rPr>
        <w:t>三、技术标部分</w:t>
      </w:r>
      <w:bookmarkEnd w:id="426"/>
      <w:bookmarkEnd w:id="427"/>
      <w:bookmarkEnd w:id="428"/>
      <w:bookmarkEnd w:id="429"/>
    </w:p>
    <w:p w14:paraId="2DA0252C">
      <w:pPr>
        <w:widowControl w:val="0"/>
        <w:autoSpaceDE w:val="0"/>
        <w:autoSpaceDN w:val="0"/>
        <w:adjustRightInd w:val="0"/>
        <w:snapToGrid w:val="0"/>
        <w:ind w:firstLine="0" w:firstLineChars="0"/>
        <w:jc w:val="left"/>
        <w:outlineLvl w:val="2"/>
        <w:rPr>
          <w:rFonts w:ascii="宋体" w:hAnsi="宋体"/>
          <w:b/>
          <w:color w:val="auto"/>
          <w:szCs w:val="21"/>
        </w:rPr>
      </w:pPr>
      <w:r>
        <w:rPr>
          <w:rFonts w:ascii="宋体" w:hAnsi="宋体" w:cs="Courier New"/>
          <w:b/>
          <w:bCs/>
          <w:color w:val="auto"/>
          <w:sz w:val="84"/>
          <w:szCs w:val="84"/>
        </w:rPr>
        <w:br w:type="page"/>
      </w:r>
      <w:bookmarkStart w:id="430" w:name="_Toc14281"/>
      <w:bookmarkStart w:id="431" w:name="_Toc9327"/>
      <w:bookmarkStart w:id="432" w:name="_Toc5053"/>
      <w:bookmarkStart w:id="433" w:name="_Hlk532143411"/>
      <w:r>
        <w:rPr>
          <w:rFonts w:hint="eastAsia" w:ascii="宋体" w:hAnsi="宋体"/>
          <w:b/>
          <w:color w:val="auto"/>
          <w:szCs w:val="21"/>
        </w:rPr>
        <w:t>C1、技术条款</w:t>
      </w:r>
      <w:r>
        <w:rPr>
          <w:rFonts w:hint="eastAsia" w:ascii="宋体" w:hAnsi="宋体"/>
          <w:b/>
          <w:color w:val="auto"/>
        </w:rPr>
        <w:t>总体</w:t>
      </w:r>
      <w:r>
        <w:rPr>
          <w:rFonts w:hint="eastAsia" w:ascii="宋体" w:hAnsi="宋体"/>
          <w:b/>
          <w:color w:val="auto"/>
          <w:szCs w:val="21"/>
        </w:rPr>
        <w:t>响应表</w:t>
      </w:r>
      <w:bookmarkEnd w:id="430"/>
      <w:bookmarkEnd w:id="431"/>
      <w:bookmarkEnd w:id="432"/>
    </w:p>
    <w:p w14:paraId="0864B8FB">
      <w:pPr>
        <w:widowControl w:val="0"/>
        <w:autoSpaceDE w:val="0"/>
        <w:autoSpaceDN w:val="0"/>
        <w:adjustRightInd w:val="0"/>
        <w:snapToGrid w:val="0"/>
        <w:ind w:firstLine="0" w:firstLineChars="0"/>
        <w:jc w:val="center"/>
        <w:rPr>
          <w:rFonts w:ascii="宋体" w:hAnsi="宋体"/>
          <w:b/>
          <w:color w:val="auto"/>
          <w:sz w:val="32"/>
          <w:szCs w:val="32"/>
        </w:rPr>
      </w:pPr>
      <w:r>
        <w:rPr>
          <w:rFonts w:hint="eastAsia" w:ascii="宋体" w:hAnsi="宋体"/>
          <w:b/>
          <w:bCs/>
          <w:color w:val="auto"/>
          <w:kern w:val="0"/>
          <w:sz w:val="32"/>
          <w:szCs w:val="32"/>
        </w:rPr>
        <w:t>技术条款总体响应表</w:t>
      </w:r>
    </w:p>
    <w:tbl>
      <w:tblPr>
        <w:tblStyle w:val="52"/>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047B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17C631A0">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4CF0E5F0">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12060AF0">
            <w:pPr>
              <w:widowControl w:val="0"/>
              <w:autoSpaceDE w:val="0"/>
              <w:autoSpaceDN w:val="0"/>
              <w:adjustRightInd w:val="0"/>
              <w:snapToGrid w:val="0"/>
              <w:ind w:firstLine="0" w:firstLineChars="0"/>
              <w:jc w:val="center"/>
              <w:rPr>
                <w:rFonts w:ascii="宋体" w:hAnsi="宋体"/>
                <w:b/>
                <w:color w:val="auto"/>
                <w:szCs w:val="21"/>
              </w:rPr>
            </w:pPr>
            <w:r>
              <w:rPr>
                <w:rFonts w:hint="eastAsia" w:ascii="宋体" w:hAnsi="宋体"/>
                <w:b/>
                <w:color w:val="auto"/>
                <w:szCs w:val="21"/>
              </w:rPr>
              <w:t>投标人响应</w:t>
            </w:r>
          </w:p>
        </w:tc>
      </w:tr>
      <w:tr w14:paraId="6BDEC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45ADC2F">
            <w:pPr>
              <w:widowControl w:val="0"/>
              <w:autoSpaceDE w:val="0"/>
              <w:autoSpaceDN w:val="0"/>
              <w:adjustRightInd w:val="0"/>
              <w:snapToGrid w:val="0"/>
              <w:ind w:firstLine="0" w:firstLineChars="0"/>
              <w:jc w:val="center"/>
              <w:rPr>
                <w:rFonts w:ascii="宋体" w:hAnsi="宋体"/>
                <w:b/>
                <w:color w:val="auto"/>
                <w:szCs w:val="21"/>
              </w:rPr>
            </w:pPr>
          </w:p>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54527BEA">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color w:val="auto"/>
                <w:szCs w:val="21"/>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52790F2C">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color w:val="auto"/>
                <w:szCs w:val="21"/>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23B24CE2">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color w:val="auto"/>
                <w:szCs w:val="21"/>
              </w:rPr>
              <w:t>差别说明</w:t>
            </w:r>
          </w:p>
        </w:tc>
      </w:tr>
      <w:tr w14:paraId="533E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8BD2D7F">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bCs/>
                <w:color w:val="auto"/>
                <w:szCs w:val="21"/>
              </w:rPr>
              <w:t>招标文件中标注“★”的技术条款</w:t>
            </w:r>
          </w:p>
        </w:tc>
      </w:tr>
      <w:tr w14:paraId="5825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7A4C642">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6BB22B98">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054BD863">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5BAFA808">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335D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F182FD5">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71B6F977">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5F85FF8D">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65D3C5A6">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29A8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8311BB5">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bCs/>
                <w:color w:val="auto"/>
                <w:szCs w:val="21"/>
              </w:rPr>
              <w:t>招标文件中标注“▲”的技术条款</w:t>
            </w:r>
          </w:p>
        </w:tc>
      </w:tr>
      <w:tr w14:paraId="5D29C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50AB155">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77425D7A">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7BE340D5">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0AB7EB76">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4B14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67FB3B7">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2DD8EF98">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216131FA">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115A7DB1">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0BC9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3513CE2">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bCs/>
                <w:color w:val="auto"/>
                <w:szCs w:val="21"/>
              </w:rPr>
              <w:t>招标文件中未标注“★”或“▲”的技术条款</w:t>
            </w:r>
          </w:p>
        </w:tc>
      </w:tr>
      <w:tr w14:paraId="7411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20A3E0A">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26283D0D">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73C98173">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37DC35E8">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1B1C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153BECE">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793146C8">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34397DB0">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51DE0F2B">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3037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32839E5E">
            <w:pPr>
              <w:widowControl w:val="0"/>
              <w:autoSpaceDE w:val="0"/>
              <w:autoSpaceDN w:val="0"/>
              <w:adjustRightInd w:val="0"/>
              <w:snapToGrid w:val="0"/>
              <w:ind w:firstLine="0" w:firstLineChars="0"/>
              <w:jc w:val="center"/>
              <w:rPr>
                <w:rFonts w:ascii="宋体" w:hAnsi="宋体"/>
                <w:b/>
                <w:bCs/>
                <w:color w:val="auto"/>
                <w:szCs w:val="21"/>
              </w:rPr>
            </w:pPr>
            <w:r>
              <w:rPr>
                <w:rFonts w:hint="eastAsia" w:ascii="宋体" w:hAnsi="宋体"/>
                <w:b/>
                <w:bCs/>
                <w:color w:val="auto"/>
                <w:szCs w:val="21"/>
              </w:rPr>
              <w:t>招标文件中合同条款、补充文件、答疑中的条款</w:t>
            </w:r>
          </w:p>
        </w:tc>
      </w:tr>
      <w:tr w14:paraId="291B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70E421E">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75B86026">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19982C1B">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021EABD4">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219E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3B0A85C">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0FEE9CCC">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0F183794">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462E5DFA">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差别为：，详见投标文件第页第条</w:t>
            </w:r>
          </w:p>
        </w:tc>
      </w:tr>
      <w:tr w14:paraId="5F1F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7D9E7496">
            <w:pPr>
              <w:widowControl w:val="0"/>
              <w:autoSpaceDE w:val="0"/>
              <w:autoSpaceDN w:val="0"/>
              <w:adjustRightInd w:val="0"/>
              <w:snapToGrid w:val="0"/>
              <w:ind w:firstLine="0" w:firstLineChars="0"/>
              <w:jc w:val="left"/>
              <w:rPr>
                <w:rFonts w:ascii="宋体" w:hAnsi="宋体"/>
                <w:b/>
                <w:bCs/>
                <w:color w:val="auto"/>
                <w:sz w:val="28"/>
                <w:szCs w:val="28"/>
              </w:rPr>
            </w:pPr>
            <w:r>
              <w:rPr>
                <w:rFonts w:hint="eastAsia" w:ascii="宋体" w:hAnsi="宋体"/>
                <w:b/>
                <w:bCs/>
                <w:color w:val="auto"/>
                <w:sz w:val="28"/>
                <w:szCs w:val="28"/>
              </w:rPr>
              <w:t>除上述条款以外，我司承诺全部接受并按照招标文件的技术及合同条款要求承担本项目。</w:t>
            </w:r>
          </w:p>
        </w:tc>
      </w:tr>
    </w:tbl>
    <w:p w14:paraId="09B4E264">
      <w:pPr>
        <w:widowControl w:val="0"/>
        <w:autoSpaceDE w:val="0"/>
        <w:autoSpaceDN w:val="0"/>
        <w:adjustRightInd w:val="0"/>
        <w:snapToGrid w:val="0"/>
        <w:ind w:firstLine="0" w:firstLineChars="0"/>
        <w:jc w:val="left"/>
        <w:rPr>
          <w:rFonts w:ascii="宋体" w:hAnsi="宋体"/>
          <w:b/>
          <w:color w:val="auto"/>
          <w:szCs w:val="21"/>
        </w:rPr>
      </w:pPr>
      <w:r>
        <w:rPr>
          <w:rFonts w:hint="eastAsia" w:ascii="宋体" w:hAnsi="宋体"/>
          <w:b/>
          <w:color w:val="auto"/>
          <w:szCs w:val="21"/>
        </w:rPr>
        <w:t>重要提示：</w:t>
      </w:r>
    </w:p>
    <w:p w14:paraId="64F3858C">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1、投标人须在仔细阅读招标文件后，将投标文件响应与招标文件（含补遗、澄清文件）不一致的技术条款填写在本表中，包括高于或低于招标文件要求的所有条款。</w:t>
      </w:r>
    </w:p>
    <w:p w14:paraId="4F29ABC6">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61DD72CF">
      <w:pPr>
        <w:widowControl w:val="0"/>
        <w:autoSpaceDE w:val="0"/>
        <w:autoSpaceDN w:val="0"/>
        <w:adjustRightInd w:val="0"/>
        <w:snapToGrid w:val="0"/>
        <w:ind w:firstLine="0" w:firstLineChars="0"/>
        <w:jc w:val="left"/>
        <w:rPr>
          <w:rFonts w:ascii="宋体" w:hAnsi="宋体"/>
          <w:color w:val="auto"/>
          <w:szCs w:val="21"/>
        </w:rPr>
      </w:pPr>
      <w:r>
        <w:rPr>
          <w:rFonts w:hint="eastAsia" w:ascii="宋体" w:hAnsi="宋体"/>
          <w:color w:val="auto"/>
          <w:szCs w:val="21"/>
        </w:rPr>
        <w:t>3、投标人必须提供本表，如对招标文件技术条款及合同内容完全接受，则无需填写相关内容。</w:t>
      </w:r>
    </w:p>
    <w:p w14:paraId="6E2247ED">
      <w:pPr>
        <w:widowControl w:val="0"/>
        <w:autoSpaceDE w:val="0"/>
        <w:autoSpaceDN w:val="0"/>
        <w:adjustRightInd w:val="0"/>
        <w:snapToGrid w:val="0"/>
        <w:ind w:firstLine="0" w:firstLineChars="0"/>
        <w:jc w:val="left"/>
        <w:rPr>
          <w:rFonts w:ascii="宋体" w:hAnsi="宋体"/>
          <w:color w:val="auto"/>
          <w:szCs w:val="21"/>
        </w:rPr>
      </w:pPr>
    </w:p>
    <w:p w14:paraId="069C2249">
      <w:pPr>
        <w:widowControl w:val="0"/>
        <w:autoSpaceDE w:val="0"/>
        <w:autoSpaceDN w:val="0"/>
        <w:adjustRightInd w:val="0"/>
        <w:snapToGrid w:val="0"/>
        <w:ind w:firstLine="0" w:firstLineChars="0"/>
        <w:jc w:val="left"/>
        <w:rPr>
          <w:rFonts w:hint="eastAsia" w:ascii="宋体" w:hAnsi="宋体" w:eastAsia="宋体"/>
          <w:color w:val="auto"/>
          <w:u w:val="single"/>
          <w:lang w:eastAsia="zh-CN"/>
        </w:rPr>
      </w:pPr>
      <w:r>
        <w:rPr>
          <w:rFonts w:hint="eastAsia" w:ascii="宋体" w:hAnsi="宋体"/>
          <w:color w:val="auto"/>
        </w:rPr>
        <w:t>投标人：</w:t>
      </w:r>
    </w:p>
    <w:p w14:paraId="37C6D728">
      <w:pPr>
        <w:widowControl w:val="0"/>
        <w:autoSpaceDE w:val="0"/>
        <w:autoSpaceDN w:val="0"/>
        <w:adjustRightInd w:val="0"/>
        <w:snapToGrid w:val="0"/>
        <w:ind w:firstLine="0" w:firstLineChars="0"/>
        <w:jc w:val="left"/>
        <w:outlineLvl w:val="2"/>
        <w:rPr>
          <w:rFonts w:ascii="宋体" w:hAnsi="宋体"/>
          <w:color w:val="auto"/>
        </w:rPr>
      </w:pPr>
      <w:r>
        <w:rPr>
          <w:rFonts w:ascii="宋体" w:hAnsi="宋体"/>
          <w:color w:val="auto"/>
        </w:rPr>
        <w:br w:type="page"/>
      </w:r>
      <w:bookmarkStart w:id="434" w:name="_Toc3736"/>
      <w:bookmarkStart w:id="435" w:name="_Toc27223"/>
      <w:bookmarkStart w:id="436" w:name="_Toc18201"/>
      <w:r>
        <w:rPr>
          <w:rFonts w:hint="eastAsia" w:ascii="宋体" w:hAnsi="宋体"/>
          <w:b/>
          <w:color w:val="auto"/>
        </w:rPr>
        <w:t>C2、</w:t>
      </w:r>
      <w:bookmarkEnd w:id="434"/>
      <w:bookmarkEnd w:id="435"/>
      <w:bookmarkEnd w:id="436"/>
      <w:r>
        <w:rPr>
          <w:rFonts w:hint="eastAsia" w:ascii="宋体" w:hAnsi="宋体"/>
          <w:b/>
          <w:bCs/>
          <w:color w:val="auto"/>
          <w:szCs w:val="21"/>
        </w:rPr>
        <w:t>服务方案</w:t>
      </w:r>
    </w:p>
    <w:p w14:paraId="4E5EE47D">
      <w:pPr>
        <w:ind w:firstLine="420"/>
        <w:rPr>
          <w:color w:val="auto"/>
        </w:rPr>
      </w:pPr>
      <w:r>
        <w:rPr>
          <w:rFonts w:ascii="宋体" w:hAnsi="宋体" w:cs="Courier New"/>
          <w:bCs/>
          <w:color w:val="auto"/>
          <w:szCs w:val="84"/>
        </w:rPr>
        <w:br w:type="page"/>
      </w:r>
      <w:bookmarkEnd w:id="417"/>
      <w:bookmarkEnd w:id="418"/>
      <w:bookmarkEnd w:id="419"/>
      <w:bookmarkEnd w:id="420"/>
      <w:bookmarkEnd w:id="421"/>
      <w:bookmarkEnd w:id="422"/>
      <w:bookmarkEnd w:id="423"/>
      <w:bookmarkEnd w:id="424"/>
      <w:bookmarkEnd w:id="425"/>
      <w:bookmarkEnd w:id="433"/>
      <w:bookmarkStart w:id="437" w:name="_Toc2848"/>
      <w:bookmarkStart w:id="438" w:name="_Toc49247169"/>
      <w:bookmarkStart w:id="439" w:name="_Toc29558"/>
      <w:bookmarkStart w:id="440" w:name="_Toc102319448"/>
      <w:bookmarkStart w:id="441" w:name="_Toc103258079"/>
      <w:bookmarkStart w:id="442" w:name="_Toc102315646"/>
      <w:bookmarkStart w:id="443" w:name="_Toc201997996"/>
      <w:bookmarkStart w:id="444" w:name="_Toc153524107"/>
      <w:bookmarkStart w:id="445" w:name="_Toc103256567"/>
      <w:bookmarkStart w:id="446" w:name="_Toc102316715"/>
      <w:bookmarkStart w:id="447" w:name="_Toc201719168"/>
      <w:bookmarkStart w:id="448" w:name="_Toc153591804"/>
      <w:bookmarkStart w:id="449" w:name="_Toc201742912"/>
      <w:bookmarkStart w:id="450" w:name="_Toc103257484"/>
      <w:bookmarkStart w:id="451" w:name="_Toc103734977"/>
      <w:bookmarkStart w:id="452" w:name="_Toc153177847"/>
      <w:bookmarkStart w:id="453" w:name="_Toc280341042"/>
      <w:bookmarkStart w:id="454" w:name="_Toc201401708"/>
      <w:bookmarkStart w:id="455" w:name="_Toc103258639"/>
      <w:bookmarkStart w:id="456" w:name="_Toc103704738"/>
      <w:bookmarkStart w:id="457" w:name="_Toc103257699"/>
      <w:bookmarkStart w:id="458" w:name="_Toc102318076"/>
      <w:bookmarkStart w:id="459" w:name="_Toc201743167"/>
      <w:bookmarkStart w:id="460" w:name="_Toc199215991"/>
      <w:bookmarkStart w:id="461" w:name="_Toc102316470"/>
      <w:bookmarkStart w:id="462" w:name="_Toc102316949"/>
      <w:bookmarkStart w:id="463" w:name="_Toc102392597"/>
      <w:bookmarkStart w:id="464" w:name="_Toc102391902"/>
      <w:bookmarkStart w:id="465" w:name="_Toc102385731"/>
    </w:p>
    <w:p w14:paraId="4CF5C657">
      <w:pPr>
        <w:pStyle w:val="19"/>
        <w:ind w:firstLine="0" w:firstLineChars="0"/>
        <w:rPr>
          <w:color w:val="auto"/>
        </w:rPr>
      </w:pPr>
    </w:p>
    <w:p w14:paraId="50E27568">
      <w:pPr>
        <w:ind w:firstLine="420"/>
        <w:rPr>
          <w:color w:val="auto"/>
        </w:rPr>
      </w:pPr>
    </w:p>
    <w:p w14:paraId="62B6AC19">
      <w:pPr>
        <w:ind w:firstLine="420"/>
        <w:rPr>
          <w:color w:val="auto"/>
        </w:rPr>
      </w:pPr>
    </w:p>
    <w:p w14:paraId="131183F1">
      <w:pPr>
        <w:ind w:firstLine="420"/>
        <w:rPr>
          <w:color w:val="auto"/>
        </w:rPr>
      </w:pPr>
    </w:p>
    <w:p w14:paraId="4352B42E">
      <w:pPr>
        <w:ind w:firstLine="420"/>
        <w:rPr>
          <w:color w:val="auto"/>
        </w:rPr>
      </w:pPr>
    </w:p>
    <w:p w14:paraId="1A5A69FB">
      <w:pPr>
        <w:pStyle w:val="19"/>
        <w:ind w:firstLine="420"/>
        <w:rPr>
          <w:color w:val="auto"/>
        </w:rPr>
      </w:pPr>
    </w:p>
    <w:p w14:paraId="6F9C23E2">
      <w:pPr>
        <w:ind w:firstLine="420"/>
        <w:rPr>
          <w:color w:val="auto"/>
        </w:rPr>
      </w:pPr>
    </w:p>
    <w:p w14:paraId="4688AB9C">
      <w:pPr>
        <w:widowControl w:val="0"/>
        <w:autoSpaceDE w:val="0"/>
        <w:autoSpaceDN w:val="0"/>
        <w:adjustRightInd w:val="0"/>
        <w:snapToGrid w:val="0"/>
        <w:ind w:firstLine="0" w:firstLineChars="0"/>
        <w:jc w:val="center"/>
        <w:outlineLvl w:val="1"/>
        <w:rPr>
          <w:rFonts w:ascii="宋体" w:hAnsi="宋体" w:cs="Courier New"/>
          <w:bCs/>
          <w:color w:val="auto"/>
          <w:sz w:val="84"/>
          <w:szCs w:val="84"/>
        </w:rPr>
        <w:sectPr>
          <w:headerReference r:id="rId11" w:type="even"/>
          <w:pgSz w:w="11907" w:h="16840"/>
          <w:pgMar w:top="1440" w:right="1800" w:bottom="1440" w:left="1800" w:header="567" w:footer="567" w:gutter="0"/>
          <w:cols w:space="720" w:num="1"/>
          <w:docGrid w:linePitch="312" w:charSpace="0"/>
        </w:sectPr>
      </w:pPr>
      <w:bookmarkStart w:id="466" w:name="_Toc17944"/>
      <w:bookmarkStart w:id="467" w:name="_Toc28814"/>
      <w:r>
        <w:rPr>
          <w:rFonts w:hint="eastAsia" w:ascii="宋体" w:hAnsi="宋体" w:cs="Courier New"/>
          <w:b/>
          <w:bCs/>
          <w:color w:val="auto"/>
          <w:sz w:val="44"/>
          <w:szCs w:val="44"/>
        </w:rPr>
        <w:t>四</w:t>
      </w:r>
      <w:r>
        <w:rPr>
          <w:rFonts w:ascii="宋体" w:hAnsi="宋体" w:cs="Courier New"/>
          <w:b/>
          <w:bCs/>
          <w:color w:val="auto"/>
          <w:sz w:val="44"/>
          <w:szCs w:val="44"/>
        </w:rPr>
        <w:t>、</w:t>
      </w:r>
      <w:r>
        <w:rPr>
          <w:rFonts w:hint="eastAsia" w:ascii="宋体" w:hAnsi="宋体" w:cs="Courier New"/>
          <w:b/>
          <w:bCs/>
          <w:color w:val="auto"/>
          <w:sz w:val="44"/>
          <w:szCs w:val="44"/>
        </w:rPr>
        <w:t>价格标部分</w:t>
      </w:r>
      <w:bookmarkEnd w:id="437"/>
      <w:bookmarkEnd w:id="438"/>
      <w:bookmarkEnd w:id="439"/>
      <w:bookmarkEnd w:id="466"/>
      <w:bookmarkEnd w:id="467"/>
    </w:p>
    <w:p w14:paraId="17F84C8C">
      <w:pPr>
        <w:widowControl w:val="0"/>
        <w:autoSpaceDE w:val="0"/>
        <w:autoSpaceDN w:val="0"/>
        <w:adjustRightInd w:val="0"/>
        <w:snapToGrid w:val="0"/>
        <w:ind w:firstLine="0" w:firstLineChars="0"/>
        <w:jc w:val="left"/>
        <w:outlineLvl w:val="2"/>
        <w:rPr>
          <w:rFonts w:ascii="宋体" w:hAnsi="宋体"/>
          <w:b/>
          <w:color w:val="auto"/>
          <w:szCs w:val="21"/>
        </w:rPr>
      </w:pPr>
      <w:bookmarkStart w:id="468" w:name="_Toc27186"/>
      <w:bookmarkStart w:id="469" w:name="_Toc3582"/>
      <w:bookmarkStart w:id="470" w:name="_Toc16527"/>
      <w:r>
        <w:rPr>
          <w:rFonts w:hint="eastAsia" w:ascii="宋体" w:hAnsi="宋体"/>
          <w:b/>
          <w:color w:val="auto"/>
          <w:szCs w:val="21"/>
        </w:rPr>
        <w:t>D1、投标</w:t>
      </w:r>
      <w:r>
        <w:rPr>
          <w:rFonts w:hint="eastAsia" w:ascii="宋体" w:hAnsi="宋体"/>
          <w:b/>
          <w:color w:val="auto"/>
        </w:rPr>
        <w:t>报价</w:t>
      </w:r>
      <w:r>
        <w:rPr>
          <w:rFonts w:hint="eastAsia" w:ascii="宋体" w:hAnsi="宋体"/>
          <w:b/>
          <w:color w:val="auto"/>
          <w:szCs w:val="21"/>
        </w:rPr>
        <w:t>一览表</w:t>
      </w:r>
      <w:bookmarkEnd w:id="468"/>
      <w:bookmarkEnd w:id="469"/>
      <w:bookmarkEnd w:id="470"/>
    </w:p>
    <w:p w14:paraId="0D7DFBFC">
      <w:pPr>
        <w:widowControl w:val="0"/>
        <w:autoSpaceDE w:val="0"/>
        <w:autoSpaceDN w:val="0"/>
        <w:adjustRightInd w:val="0"/>
        <w:snapToGrid w:val="0"/>
        <w:ind w:firstLine="0" w:firstLineChars="0"/>
        <w:jc w:val="left"/>
        <w:rPr>
          <w:rFonts w:ascii="宋体" w:hAnsi="宋体"/>
          <w:b/>
          <w:bCs/>
          <w:color w:val="auto"/>
          <w:sz w:val="28"/>
          <w:szCs w:val="28"/>
        </w:rPr>
      </w:pPr>
      <w:r>
        <w:rPr>
          <w:rFonts w:ascii="宋体" w:hAnsi="宋体"/>
          <w:b/>
          <w:bCs/>
          <w:color w:val="auto"/>
          <w:sz w:val="28"/>
          <w:szCs w:val="28"/>
        </w:rPr>
        <w:tab/>
      </w:r>
    </w:p>
    <w:p w14:paraId="36A07B14">
      <w:pPr>
        <w:widowControl w:val="0"/>
        <w:autoSpaceDE w:val="0"/>
        <w:autoSpaceDN w:val="0"/>
        <w:adjustRightInd w:val="0"/>
        <w:snapToGrid w:val="0"/>
        <w:ind w:firstLine="0" w:firstLineChars="0"/>
        <w:jc w:val="center"/>
        <w:rPr>
          <w:rFonts w:ascii="宋体" w:hAnsi="宋体"/>
          <w:b/>
          <w:bCs/>
          <w:color w:val="auto"/>
          <w:sz w:val="32"/>
          <w:szCs w:val="32"/>
        </w:rPr>
      </w:pPr>
      <w:r>
        <w:rPr>
          <w:rFonts w:hint="eastAsia" w:ascii="宋体" w:hAnsi="宋体"/>
          <w:b/>
          <w:bCs/>
          <w:color w:val="auto"/>
          <w:sz w:val="32"/>
          <w:szCs w:val="32"/>
        </w:rPr>
        <w:t>投标报价一览表</w:t>
      </w:r>
    </w:p>
    <w:p w14:paraId="7ADCC6D3">
      <w:pPr>
        <w:widowControl w:val="0"/>
        <w:autoSpaceDE w:val="0"/>
        <w:autoSpaceDN w:val="0"/>
        <w:adjustRightInd w:val="0"/>
        <w:snapToGrid w:val="0"/>
        <w:ind w:firstLine="0" w:firstLineChars="0"/>
        <w:jc w:val="left"/>
        <w:rPr>
          <w:rFonts w:ascii="宋体" w:hAnsi="宋体"/>
          <w:color w:val="auto"/>
          <w:szCs w:val="21"/>
          <w:u w:val="single"/>
        </w:rPr>
      </w:pPr>
      <w:r>
        <w:rPr>
          <w:rFonts w:hint="eastAsia" w:ascii="宋体" w:hAnsi="宋体"/>
          <w:color w:val="auto"/>
          <w:szCs w:val="21"/>
        </w:rPr>
        <w:t>项目名称：</w:t>
      </w:r>
      <w:r>
        <w:rPr>
          <w:rFonts w:ascii="宋体" w:hAnsi="宋体" w:eastAsia="宋体" w:cs="Times New Roman"/>
          <w:color w:val="auto"/>
          <w:szCs w:val="21"/>
        </w:rPr>
        <w:fldChar w:fldCharType="begin"/>
      </w:r>
      <w:r>
        <w:rPr>
          <w:rFonts w:ascii="宋体" w:hAnsi="宋体" w:eastAsia="宋体" w:cs="Times New Roman"/>
          <w:color w:val="auto"/>
          <w:szCs w:val="21"/>
        </w:rPr>
        <w:instrText xml:space="preserve"> REF 项目名称 \h  \* MERGEFORMAT </w:instrText>
      </w:r>
      <w:r>
        <w:rPr>
          <w:rFonts w:ascii="宋体" w:hAnsi="宋体" w:eastAsia="宋体" w:cs="Times New Roman"/>
          <w:color w:val="auto"/>
          <w:szCs w:val="21"/>
        </w:rPr>
        <w:fldChar w:fldCharType="separate"/>
      </w:r>
      <w:r>
        <w:rPr>
          <w:rFonts w:hint="eastAsia"/>
          <w:color w:val="auto"/>
          <w:szCs w:val="21"/>
          <w:lang w:eastAsia="zh-CN"/>
        </w:rPr>
        <w:t>2026-2027年度小型工程项目全过程造价咨询服务</w:t>
      </w:r>
      <w:r>
        <w:rPr>
          <w:rFonts w:ascii="宋体" w:hAnsi="宋体" w:eastAsia="宋体" w:cs="Times New Roman"/>
          <w:color w:val="auto"/>
          <w:szCs w:val="21"/>
        </w:rPr>
        <w:fldChar w:fldCharType="end"/>
      </w:r>
    </w:p>
    <w:p w14:paraId="2B710448">
      <w:pPr>
        <w:widowControl w:val="0"/>
        <w:autoSpaceDE w:val="0"/>
        <w:autoSpaceDN w:val="0"/>
        <w:adjustRightInd w:val="0"/>
        <w:snapToGrid w:val="0"/>
        <w:ind w:firstLine="0" w:firstLineChars="0"/>
        <w:jc w:val="left"/>
        <w:rPr>
          <w:rFonts w:hint="eastAsia" w:ascii="宋体" w:hAnsi="宋体" w:eastAsia="宋体"/>
          <w:color w:val="auto"/>
          <w:szCs w:val="21"/>
          <w:u w:val="single"/>
          <w:lang w:eastAsia="zh-CN"/>
        </w:rPr>
      </w:pPr>
      <w:r>
        <w:rPr>
          <w:rFonts w:hint="eastAsia" w:ascii="宋体" w:hAnsi="宋体"/>
          <w:color w:val="auto"/>
          <w:szCs w:val="21"/>
        </w:rPr>
        <w:t>项目编号：YG26ZG0042454</w:t>
      </w:r>
    </w:p>
    <w:tbl>
      <w:tblPr>
        <w:tblStyle w:val="52"/>
        <w:tblW w:w="867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857"/>
        <w:gridCol w:w="2519"/>
        <w:gridCol w:w="2672"/>
      </w:tblGrid>
      <w:tr w14:paraId="2FF4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630" w:type="dxa"/>
            <w:shd w:val="clear" w:color="auto" w:fill="D9E2F3" w:themeFill="accent5" w:themeFillTint="33"/>
            <w:vAlign w:val="center"/>
          </w:tcPr>
          <w:p w14:paraId="2D69689B">
            <w:pPr>
              <w:widowControl/>
              <w:ind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2857" w:type="dxa"/>
            <w:shd w:val="clear" w:color="auto" w:fill="D9E2F3" w:themeFill="accent5" w:themeFillTint="33"/>
            <w:vAlign w:val="center"/>
          </w:tcPr>
          <w:p w14:paraId="7AC2C023">
            <w:pPr>
              <w:widowControl/>
              <w:ind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内容</w:t>
            </w:r>
          </w:p>
        </w:tc>
        <w:tc>
          <w:tcPr>
            <w:tcW w:w="2519" w:type="dxa"/>
            <w:shd w:val="clear" w:color="auto" w:fill="D9E2F3" w:themeFill="accent5" w:themeFillTint="33"/>
            <w:vAlign w:val="center"/>
          </w:tcPr>
          <w:p w14:paraId="27598A1C">
            <w:pPr>
              <w:widowControl/>
              <w:ind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投标下浮率</w:t>
            </w:r>
          </w:p>
        </w:tc>
        <w:tc>
          <w:tcPr>
            <w:tcW w:w="2672" w:type="dxa"/>
            <w:shd w:val="clear" w:color="auto" w:fill="D9E2F3" w:themeFill="accent5" w:themeFillTint="33"/>
            <w:vAlign w:val="center"/>
          </w:tcPr>
          <w:p w14:paraId="13A316E2">
            <w:pPr>
              <w:widowControl/>
              <w:ind w:firstLine="0" w:firstLineChars="0"/>
              <w:jc w:val="center"/>
              <w:rPr>
                <w:rFonts w:hint="eastAsia" w:ascii="宋体" w:hAnsi="宋体" w:eastAsia="宋体" w:cs="宋体"/>
                <w:b/>
                <w:bCs/>
                <w:color w:val="auto"/>
                <w:kern w:val="0"/>
                <w:sz w:val="24"/>
                <w:szCs w:val="24"/>
              </w:rPr>
            </w:pPr>
            <w:r>
              <w:rPr>
                <w:rFonts w:ascii="宋体" w:hAnsi="宋体" w:eastAsia="宋体" w:cs="宋体"/>
                <w:b/>
                <w:bCs/>
                <w:color w:val="auto"/>
                <w:kern w:val="0"/>
                <w:sz w:val="24"/>
                <w:szCs w:val="24"/>
              </w:rPr>
              <w:t>税率</w:t>
            </w:r>
          </w:p>
        </w:tc>
      </w:tr>
      <w:tr w14:paraId="11B7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30" w:type="dxa"/>
            <w:shd w:val="clear" w:color="auto" w:fill="D9E2F3" w:themeFill="accent5" w:themeFillTint="33"/>
            <w:vAlign w:val="center"/>
          </w:tcPr>
          <w:p w14:paraId="411C450C">
            <w:pPr>
              <w:widowControl/>
              <w:ind w:firstLine="0" w:firstLineChars="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2857" w:type="dxa"/>
            <w:shd w:val="clear" w:color="auto" w:fill="D9E2F3" w:themeFill="accent5" w:themeFillTint="33"/>
            <w:vAlign w:val="center"/>
          </w:tcPr>
          <w:p w14:paraId="7C4C6575">
            <w:pPr>
              <w:widowControl/>
              <w:ind w:firstLine="0" w:firstLineChars="0"/>
              <w:jc w:val="center"/>
              <w:rPr>
                <w:rFonts w:hint="eastAsia" w:ascii="宋体" w:hAnsi="宋体" w:eastAsia="宋体" w:cs="宋体"/>
                <w:b/>
                <w:bCs/>
                <w:color w:val="auto"/>
                <w:kern w:val="0"/>
                <w:sz w:val="24"/>
                <w:szCs w:val="24"/>
              </w:rPr>
            </w:pPr>
            <w:r>
              <w:rPr>
                <w:rFonts w:ascii="宋体" w:hAnsi="宋体" w:eastAsia="宋体" w:cs="Times New Roman"/>
                <w:color w:val="auto"/>
                <w:szCs w:val="21"/>
              </w:rPr>
              <w:fldChar w:fldCharType="begin"/>
            </w:r>
            <w:r>
              <w:rPr>
                <w:rFonts w:ascii="宋体" w:hAnsi="宋体" w:eastAsia="宋体" w:cs="Times New Roman"/>
                <w:color w:val="auto"/>
                <w:szCs w:val="21"/>
              </w:rPr>
              <w:instrText xml:space="preserve"> REF 项目名称 \h  \* MERGEFORMAT </w:instrText>
            </w:r>
            <w:r>
              <w:rPr>
                <w:rFonts w:ascii="宋体" w:hAnsi="宋体" w:eastAsia="宋体" w:cs="Times New Roman"/>
                <w:color w:val="auto"/>
                <w:szCs w:val="21"/>
              </w:rPr>
              <w:fldChar w:fldCharType="separate"/>
            </w:r>
            <w:r>
              <w:rPr>
                <w:rFonts w:hint="eastAsia"/>
                <w:color w:val="auto"/>
                <w:szCs w:val="21"/>
                <w:lang w:eastAsia="zh-CN"/>
              </w:rPr>
              <w:t>2026-2027年度小型工程项目全过程造价咨询服务</w:t>
            </w:r>
            <w:r>
              <w:rPr>
                <w:rFonts w:ascii="宋体" w:hAnsi="宋体" w:eastAsia="宋体" w:cs="Times New Roman"/>
                <w:color w:val="auto"/>
                <w:szCs w:val="21"/>
              </w:rPr>
              <w:fldChar w:fldCharType="end"/>
            </w:r>
          </w:p>
        </w:tc>
        <w:tc>
          <w:tcPr>
            <w:tcW w:w="2519" w:type="dxa"/>
            <w:vAlign w:val="center"/>
          </w:tcPr>
          <w:p w14:paraId="68024290">
            <w:pPr>
              <w:pStyle w:val="344"/>
              <w:widowControl/>
              <w:ind w:firstLine="0" w:firstLineChars="0"/>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u w:val="single"/>
              </w:rPr>
              <w:t xml:space="preserve">       </w:t>
            </w:r>
            <w:r>
              <w:rPr>
                <w:rFonts w:hint="eastAsia" w:ascii="宋体" w:hAnsi="宋体" w:eastAsia="宋体" w:cs="宋体"/>
                <w:b/>
                <w:bCs/>
                <w:color w:val="auto"/>
                <w:kern w:val="0"/>
                <w:sz w:val="24"/>
                <w:szCs w:val="24"/>
              </w:rPr>
              <w:t>%</w:t>
            </w:r>
          </w:p>
        </w:tc>
        <w:tc>
          <w:tcPr>
            <w:tcW w:w="2672" w:type="dxa"/>
            <w:noWrap/>
            <w:vAlign w:val="center"/>
          </w:tcPr>
          <w:p w14:paraId="0B20FF6E">
            <w:pPr>
              <w:widowControl/>
              <w:ind w:firstLine="0" w:firstLineChars="0"/>
              <w:jc w:val="center"/>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u w:val="single"/>
              </w:rPr>
              <w:t xml:space="preserve">    </w:t>
            </w:r>
            <w:r>
              <w:rPr>
                <w:rFonts w:ascii="宋体" w:hAnsi="宋体" w:eastAsia="宋体" w:cs="宋体"/>
                <w:b/>
                <w:bCs/>
                <w:color w:val="auto"/>
                <w:kern w:val="0"/>
                <w:sz w:val="24"/>
                <w:szCs w:val="24"/>
              </w:rPr>
              <w:t>%</w:t>
            </w:r>
          </w:p>
        </w:tc>
      </w:tr>
      <w:tr w14:paraId="14D2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8678" w:type="dxa"/>
            <w:gridSpan w:val="4"/>
            <w:shd w:val="clear" w:color="auto" w:fill="D9E2F3" w:themeFill="accent5" w:themeFillTint="33"/>
          </w:tcPr>
          <w:p w14:paraId="001D94A4">
            <w:pPr>
              <w:widowControl/>
              <w:ind w:firstLine="0" w:firstLineChars="0"/>
              <w:jc w:val="left"/>
              <w:rPr>
                <w:rFonts w:hint="eastAsia" w:ascii="宋体" w:hAnsi="宋体" w:eastAsia="宋体" w:cs="宋体"/>
                <w:b w:val="0"/>
                <w:bCs w:val="0"/>
                <w:color w:val="auto"/>
                <w:kern w:val="0"/>
                <w:sz w:val="24"/>
                <w:szCs w:val="24"/>
                <w:lang w:eastAsia="zh-CN"/>
              </w:rPr>
            </w:pPr>
            <w:r>
              <w:rPr>
                <w:rFonts w:hint="eastAsia" w:ascii="宋体" w:hAnsi="宋体" w:eastAsia="宋体" w:cs="宋体"/>
                <w:b w:val="0"/>
                <w:bCs w:val="0"/>
                <w:color w:val="auto"/>
                <w:kern w:val="0"/>
                <w:sz w:val="24"/>
                <w:szCs w:val="24"/>
              </w:rPr>
              <w:t>1.本项目</w:t>
            </w:r>
            <w:r>
              <w:rPr>
                <w:rFonts w:hint="eastAsia" w:ascii="宋体" w:hAnsi="宋体" w:eastAsia="宋体" w:cs="宋体"/>
                <w:b w:val="0"/>
                <w:bCs w:val="0"/>
                <w:color w:val="auto"/>
                <w:kern w:val="0"/>
                <w:sz w:val="24"/>
                <w:szCs w:val="24"/>
                <w:lang w:val="en-US" w:eastAsia="zh-CN"/>
              </w:rPr>
              <w:t>为下浮率框架协议，预计年度小型工程项目</w:t>
            </w:r>
            <w:r>
              <w:rPr>
                <w:rFonts w:hint="eastAsia" w:ascii="宋体" w:hAnsi="宋体" w:eastAsia="宋体" w:cs="宋体"/>
                <w:b/>
                <w:bCs/>
                <w:color w:val="auto"/>
                <w:kern w:val="0"/>
                <w:sz w:val="24"/>
                <w:szCs w:val="24"/>
                <w:lang w:val="en-US" w:eastAsia="zh-CN"/>
              </w:rPr>
              <w:t>建安费总计约2000万元</w:t>
            </w:r>
            <w:r>
              <w:rPr>
                <w:rFonts w:hint="eastAsia" w:ascii="宋体" w:hAnsi="宋体" w:eastAsia="宋体" w:cs="宋体"/>
                <w:b w:val="0"/>
                <w:bCs w:val="0"/>
                <w:color w:val="auto"/>
                <w:kern w:val="0"/>
                <w:sz w:val="24"/>
                <w:szCs w:val="24"/>
                <w:lang w:val="en-US" w:eastAsia="zh-CN"/>
              </w:rPr>
              <w:t>，最终实际金额以我方单次正式委托《造价咨询服务委托合同》为准。</w:t>
            </w:r>
            <w:r>
              <w:rPr>
                <w:rFonts w:hint="eastAsia" w:ascii="宋体" w:hAnsi="宋体" w:cs="宋体"/>
                <w:color w:val="auto"/>
                <w:kern w:val="0"/>
                <w:sz w:val="24"/>
              </w:rPr>
              <w:t>双方确认，本项目招标文件及《框架协议》所载“预计年度小型工程项目建安费总计约2000万元”之信息，仅为我方基于当前情况作出的非约束性、粗略性预估，供投标人参考，不作为双方权利义务的依据。</w:t>
            </w:r>
            <w:r>
              <w:rPr>
                <w:rFonts w:hint="eastAsia" w:ascii="宋体" w:hAnsi="宋体" w:cs="宋体"/>
                <w:color w:val="auto"/>
                <w:kern w:val="0"/>
                <w:sz w:val="24"/>
                <w:lang w:val="en-US" w:eastAsia="zh-CN"/>
              </w:rPr>
              <w:t>投标人</w:t>
            </w:r>
            <w:r>
              <w:rPr>
                <w:rFonts w:hint="eastAsia" w:ascii="宋体" w:hAnsi="宋体" w:cs="宋体"/>
                <w:color w:val="auto"/>
                <w:kern w:val="0"/>
                <w:sz w:val="24"/>
              </w:rPr>
              <w:t>确认其报价及投入系基于其自身的商业判断，并未依赖或信赖上述预估金额。最终实际发生的服务费用以双方另行签署的《造价咨询服务委托合同》等书面材料为准。在任何情况下，</w:t>
            </w:r>
            <w:r>
              <w:rPr>
                <w:rFonts w:hint="eastAsia" w:ascii="宋体" w:hAnsi="宋体" w:cs="宋体"/>
                <w:color w:val="auto"/>
                <w:kern w:val="0"/>
                <w:sz w:val="24"/>
                <w:lang w:val="en-US" w:eastAsia="zh-CN"/>
              </w:rPr>
              <w:t>我</w:t>
            </w:r>
            <w:r>
              <w:rPr>
                <w:rFonts w:hint="eastAsia" w:ascii="宋体" w:hAnsi="宋体" w:cs="宋体"/>
                <w:color w:val="auto"/>
                <w:kern w:val="0"/>
                <w:sz w:val="24"/>
              </w:rPr>
              <w:t>方均不因实际委托金额与预估金额之间的差异而对</w:t>
            </w:r>
            <w:r>
              <w:rPr>
                <w:rFonts w:hint="eastAsia" w:ascii="宋体" w:hAnsi="宋体" w:cs="宋体"/>
                <w:color w:val="auto"/>
                <w:kern w:val="0"/>
                <w:sz w:val="24"/>
                <w:lang w:val="en-US" w:eastAsia="zh-CN"/>
              </w:rPr>
              <w:t>投标人</w:t>
            </w:r>
            <w:r>
              <w:rPr>
                <w:rFonts w:hint="eastAsia" w:ascii="宋体" w:hAnsi="宋体" w:cs="宋体"/>
                <w:color w:val="auto"/>
                <w:kern w:val="0"/>
                <w:sz w:val="24"/>
              </w:rPr>
              <w:t>承担任何性质的责任。</w:t>
            </w:r>
          </w:p>
          <w:p w14:paraId="7C1232FD">
            <w:pPr>
              <w:widowControl/>
              <w:ind w:firstLine="0" w:firstLineChars="0"/>
              <w:jc w:val="left"/>
              <w:rPr>
                <w:rFonts w:hint="eastAsia" w:ascii="宋体" w:hAnsi="宋体" w:eastAsia="宋体" w:cs="宋体"/>
                <w:color w:val="auto"/>
                <w:kern w:val="0"/>
                <w:sz w:val="24"/>
                <w:szCs w:val="24"/>
              </w:rPr>
            </w:pPr>
            <w:r>
              <w:rPr>
                <w:rFonts w:hint="eastAsia" w:ascii="宋体" w:hAnsi="宋体" w:eastAsia="宋体" w:cs="宋体"/>
                <w:b w:val="0"/>
                <w:bCs w:val="0"/>
                <w:color w:val="auto"/>
                <w:kern w:val="0"/>
                <w:sz w:val="24"/>
                <w:szCs w:val="24"/>
              </w:rPr>
              <w:t>2.</w:t>
            </w:r>
            <w:r>
              <w:rPr>
                <w:rFonts w:ascii="宋体" w:hAnsi="宋体" w:eastAsia="宋体" w:cs="宋体"/>
                <w:b/>
                <w:bCs/>
                <w:color w:val="auto"/>
                <w:kern w:val="0"/>
                <w:sz w:val="24"/>
                <w:szCs w:val="24"/>
              </w:rPr>
              <w:t>投标下浮率不低</w:t>
            </w:r>
            <w:r>
              <w:rPr>
                <w:rFonts w:hint="eastAsia" w:ascii="宋体" w:hAnsi="宋体" w:cs="宋体"/>
                <w:b/>
                <w:bCs/>
                <w:color w:val="auto"/>
                <w:kern w:val="0"/>
                <w:sz w:val="24"/>
                <w:szCs w:val="24"/>
                <w:lang w:val="en-US" w:eastAsia="zh-CN"/>
              </w:rPr>
              <w:t>于1</w:t>
            </w:r>
            <w:r>
              <w:rPr>
                <w:rFonts w:ascii="宋体" w:hAnsi="宋体" w:eastAsia="宋体" w:cs="宋体"/>
                <w:b/>
                <w:bCs/>
                <w:color w:val="auto"/>
                <w:kern w:val="0"/>
                <w:sz w:val="24"/>
                <w:szCs w:val="24"/>
              </w:rPr>
              <w:t>0%</w:t>
            </w:r>
            <w:r>
              <w:rPr>
                <w:rFonts w:hint="eastAsia" w:ascii="宋体" w:hAnsi="宋体" w:eastAsia="宋体" w:cs="宋体"/>
                <w:b/>
                <w:bCs/>
                <w:color w:val="auto"/>
                <w:kern w:val="0"/>
                <w:sz w:val="24"/>
                <w:szCs w:val="24"/>
              </w:rPr>
              <w:t>。</w:t>
            </w:r>
          </w:p>
        </w:tc>
      </w:tr>
    </w:tbl>
    <w:p w14:paraId="734CB39B">
      <w:pPr>
        <w:widowControl w:val="0"/>
        <w:autoSpaceDE w:val="0"/>
        <w:autoSpaceDN w:val="0"/>
        <w:adjustRightInd w:val="0"/>
        <w:snapToGrid w:val="0"/>
        <w:ind w:firstLine="0" w:firstLineChars="0"/>
        <w:jc w:val="left"/>
        <w:rPr>
          <w:rFonts w:ascii="宋体" w:hAnsi="宋体"/>
          <w:b/>
          <w:color w:val="auto"/>
          <w:szCs w:val="21"/>
        </w:rPr>
      </w:pPr>
    </w:p>
    <w:p w14:paraId="6783B69B">
      <w:pPr>
        <w:tabs>
          <w:tab w:val="left" w:pos="654"/>
          <w:tab w:val="left" w:pos="1734"/>
          <w:tab w:val="left" w:pos="2814"/>
          <w:tab w:val="left" w:pos="3894"/>
          <w:tab w:val="left" w:pos="5334"/>
          <w:tab w:val="left" w:pos="6414"/>
          <w:tab w:val="left" w:pos="7254"/>
          <w:tab w:val="left" w:pos="8574"/>
          <w:tab w:val="left" w:pos="9654"/>
        </w:tabs>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重要提示：</w:t>
      </w:r>
    </w:p>
    <w:p w14:paraId="16443269">
      <w:pPr>
        <w:tabs>
          <w:tab w:val="left" w:pos="654"/>
          <w:tab w:val="left" w:pos="1734"/>
          <w:tab w:val="left" w:pos="2814"/>
          <w:tab w:val="left" w:pos="3894"/>
          <w:tab w:val="left" w:pos="5334"/>
          <w:tab w:val="left" w:pos="6414"/>
          <w:tab w:val="left" w:pos="7254"/>
          <w:tab w:val="left" w:pos="8574"/>
          <w:tab w:val="left" w:pos="9654"/>
        </w:tabs>
        <w:spacing w:line="360" w:lineRule="auto"/>
        <w:ind w:firstLine="422" w:firstLineChars="200"/>
        <w:rPr>
          <w:rFonts w:hint="eastAsia" w:ascii="宋体" w:hAnsi="宋体" w:eastAsia="宋体" w:cs="宋体"/>
          <w:b/>
          <w:bCs/>
          <w:color w:val="auto"/>
          <w:szCs w:val="21"/>
        </w:rPr>
      </w:pPr>
      <w:r>
        <w:rPr>
          <w:rFonts w:hint="eastAsia" w:ascii="宋体" w:hAnsi="宋体" w:eastAsia="宋体" w:cs="宋体"/>
          <w:b/>
          <w:bCs/>
          <w:color w:val="auto"/>
          <w:szCs w:val="21"/>
        </w:rPr>
        <w:t>1</w:t>
      </w:r>
      <w:r>
        <w:rPr>
          <w:rFonts w:hint="eastAsia" w:ascii="宋体" w:hAnsi="宋体" w:cs="宋体"/>
          <w:b/>
          <w:bCs/>
          <w:color w:val="auto"/>
          <w:szCs w:val="21"/>
          <w:lang w:val="en-US" w:eastAsia="zh-CN"/>
        </w:rPr>
        <w:t>.</w:t>
      </w:r>
      <w:r>
        <w:rPr>
          <w:rFonts w:hint="eastAsia" w:ascii="宋体" w:hAnsi="宋体" w:eastAsia="宋体" w:cs="宋体"/>
          <w:b/>
          <w:bCs/>
          <w:color w:val="auto"/>
          <w:szCs w:val="21"/>
        </w:rPr>
        <w:t>本项目清单格式不得更改，清单项不得增减，否则直接按无效标处理。投标人仅需填报 “</w:t>
      </w:r>
      <w:r>
        <w:rPr>
          <w:rFonts w:ascii="宋体" w:hAnsi="宋体" w:eastAsia="宋体" w:cs="宋体"/>
          <w:b/>
          <w:bCs/>
          <w:color w:val="auto"/>
          <w:szCs w:val="21"/>
        </w:rPr>
        <w:t>投标下浮率数值</w:t>
      </w:r>
      <w:r>
        <w:rPr>
          <w:rFonts w:hint="eastAsia" w:ascii="宋体" w:hAnsi="宋体" w:eastAsia="宋体" w:cs="宋体"/>
          <w:b/>
          <w:bCs/>
          <w:color w:val="auto"/>
          <w:szCs w:val="21"/>
        </w:rPr>
        <w:t>”和“</w:t>
      </w:r>
      <w:r>
        <w:rPr>
          <w:rFonts w:ascii="宋体" w:hAnsi="宋体" w:eastAsia="宋体" w:cs="宋体"/>
          <w:b/>
          <w:bCs/>
          <w:color w:val="auto"/>
          <w:szCs w:val="21"/>
        </w:rPr>
        <w:t>税率</w:t>
      </w:r>
      <w:r>
        <w:rPr>
          <w:rFonts w:hint="eastAsia" w:ascii="宋体" w:hAnsi="宋体" w:eastAsia="宋体" w:cs="宋体"/>
          <w:b/>
          <w:bCs/>
          <w:color w:val="auto"/>
          <w:szCs w:val="21"/>
        </w:rPr>
        <w:t>”列中的信息。</w:t>
      </w:r>
    </w:p>
    <w:sdt>
      <w:sdtPr>
        <w:rPr>
          <w:rStyle w:val="411"/>
          <w:color w:val="auto"/>
          <w:sz w:val="21"/>
          <w:szCs w:val="21"/>
        </w:rPr>
        <w:alias w:val="费用构成"/>
        <w:tag w:val="费用构成"/>
        <w:id w:val="-77146872"/>
        <w:lock w:val="sdtLocked"/>
        <w:placeholder>
          <w:docPart w:val="{49ec11f3-cf00-4b91-af4a-80aa71cbd3e5}"/>
        </w:placeholder>
      </w:sdtPr>
      <w:sdtEndPr>
        <w:rPr>
          <w:rStyle w:val="411"/>
          <w:color w:val="auto"/>
          <w:sz w:val="21"/>
          <w:szCs w:val="21"/>
        </w:rPr>
      </w:sdtEndPr>
      <w:sdtContent>
        <w:p w14:paraId="7BAB7963">
          <w:pPr>
            <w:widowControl w:val="0"/>
            <w:autoSpaceDE w:val="0"/>
            <w:autoSpaceDN w:val="0"/>
            <w:adjustRightInd w:val="0"/>
            <w:snapToGrid w:val="0"/>
            <w:ind w:firstLine="0" w:firstLineChars="0"/>
            <w:jc w:val="left"/>
            <w:rPr>
              <w:rFonts w:ascii="宋体" w:hAnsi="宋体"/>
              <w:b/>
              <w:color w:val="auto"/>
              <w:szCs w:val="21"/>
            </w:rPr>
            <w:sectPr>
              <w:headerReference r:id="rId12" w:type="even"/>
              <w:pgSz w:w="11907" w:h="16840"/>
              <w:pgMar w:top="1418" w:right="1758" w:bottom="1247" w:left="1758" w:header="737" w:footer="851" w:gutter="0"/>
              <w:cols w:space="720" w:num="1"/>
              <w:docGrid w:linePitch="312" w:charSpace="0"/>
            </w:sectPr>
          </w:pPr>
          <w:r>
            <w:rPr>
              <w:rStyle w:val="411"/>
              <w:rFonts w:hint="eastAsia"/>
              <w:color w:val="auto"/>
              <w:sz w:val="21"/>
              <w:szCs w:val="21"/>
              <w:lang w:val="en-US" w:eastAsia="zh-CN"/>
            </w:rPr>
            <w:t xml:space="preserve">  </w:t>
          </w:r>
          <w:r>
            <w:rPr>
              <w:rStyle w:val="411"/>
              <w:rFonts w:hint="eastAsia"/>
              <w:b/>
              <w:bCs/>
              <w:color w:val="auto"/>
              <w:sz w:val="21"/>
              <w:szCs w:val="21"/>
              <w:lang w:val="en-US" w:eastAsia="zh-CN"/>
            </w:rPr>
            <w:t xml:space="preserve">  2.</w:t>
          </w:r>
          <w:r>
            <w:rPr>
              <w:rStyle w:val="411"/>
              <w:rFonts w:hint="eastAsia"/>
              <w:b/>
              <w:bCs/>
              <w:color w:val="auto"/>
              <w:sz w:val="21"/>
              <w:szCs w:val="21"/>
            </w:rPr>
            <w:t>报价费用包括但不限于服务费、软件使用费、调研费、印刷费、人工成本费 、市场调研费、差旅费、餐饮费、成果汇报、报告编制费用、成果文本印刷费、物流费、管理费、评审费、利润、税金及合同包含的所有风险、责任义务本合同约定内容所需的一切费用，除合同另有</w:t>
          </w:r>
          <w:r>
            <w:rPr>
              <w:rStyle w:val="411"/>
              <w:rFonts w:hint="eastAsia"/>
              <w:b/>
              <w:bCs/>
              <w:color w:val="auto"/>
              <w:sz w:val="21"/>
              <w:szCs w:val="21"/>
              <w:lang w:val="en-US" w:eastAsia="zh-CN"/>
            </w:rPr>
            <w:t>书面</w:t>
          </w:r>
          <w:r>
            <w:rPr>
              <w:rStyle w:val="411"/>
              <w:rFonts w:hint="eastAsia"/>
              <w:b/>
              <w:bCs/>
              <w:color w:val="auto"/>
              <w:sz w:val="21"/>
              <w:szCs w:val="21"/>
            </w:rPr>
            <w:t>约定外，该费用固定不变。</w:t>
          </w:r>
        </w:p>
      </w:sdtContent>
    </w:sdt>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14:paraId="10D4B04A">
      <w:pPr>
        <w:widowControl w:val="0"/>
        <w:autoSpaceDE w:val="0"/>
        <w:autoSpaceDN w:val="0"/>
        <w:adjustRightInd w:val="0"/>
        <w:snapToGrid w:val="0"/>
        <w:spacing w:line="240" w:lineRule="auto"/>
        <w:ind w:firstLine="0" w:firstLineChars="0"/>
        <w:jc w:val="left"/>
        <w:rPr>
          <w:rFonts w:ascii="宋体" w:hAnsi="宋体"/>
          <w:b/>
          <w:color w:val="auto"/>
          <w:szCs w:val="21"/>
        </w:rPr>
      </w:pPr>
    </w:p>
    <w:sectPr>
      <w:headerReference r:id="rId13" w:type="even"/>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75D50E5-E58E-4359-868D-656D74D4C012}"/>
  </w:font>
  <w:font w:name="黑体">
    <w:panose1 w:val="02010609060101010101"/>
    <w:charset w:val="86"/>
    <w:family w:val="auto"/>
    <w:pitch w:val="default"/>
    <w:sig w:usb0="800002BF" w:usb1="38CF7CFA" w:usb2="00000016" w:usb3="00000000" w:csb0="00040001" w:csb1="00000000"/>
    <w:embedRegular r:id="rId2" w:fontKey="{434A0069-D1E4-409D-AF95-7C4AE03E28C4}"/>
  </w:font>
  <w:font w:name="Courier New">
    <w:panose1 w:val="02070309020205020404"/>
    <w:charset w:val="01"/>
    <w:family w:val="modern"/>
    <w:pitch w:val="default"/>
    <w:sig w:usb0="E0002EFF" w:usb1="C0007843" w:usb2="00000009" w:usb3="00000000" w:csb0="400001FF" w:csb1="FFFF0000"/>
    <w:embedRegular r:id="rId3" w:fontKey="{EBFC807E-7090-4675-896B-343311B298B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4EFEA55B-E2A3-4541-BD53-BBC4C46D0902}"/>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04E0C3EA-EF5A-496B-B214-3DEFB8C4B9C8}"/>
  </w:font>
  <w:font w:name="Courier">
    <w:altName w:val="Courier New"/>
    <w:panose1 w:val="02070409020205020404"/>
    <w:charset w:val="00"/>
    <w:family w:val="moder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embedRegular r:id="rId6" w:fontKey="{F06DECA9-E948-46C9-BEB1-7616A02E725F}"/>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603F01FF" w:csb1="FFFF0000"/>
    <w:embedRegular r:id="rId7" w:fontKey="{67D92C6C-D508-4DC4-8A09-B825B17166DD}"/>
  </w:font>
  <w:font w:name="Tahoma">
    <w:panose1 w:val="020B0604030504040204"/>
    <w:charset w:val="00"/>
    <w:family w:val="swiss"/>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幼圆">
    <w:panose1 w:val="02010509060101010101"/>
    <w:charset w:val="86"/>
    <w:family w:val="modern"/>
    <w:pitch w:val="default"/>
    <w:sig w:usb0="00000001" w:usb1="080E0000" w:usb2="00000000" w:usb3="00000000" w:csb0="00040000" w:csb1="00000000"/>
  </w:font>
  <w:font w:name="Palatino">
    <w:altName w:val="Palatino Linotype"/>
    <w:panose1 w:val="00000000000000000000"/>
    <w:charset w:val="00"/>
    <w:family w:val="modern"/>
    <w:pitch w:val="default"/>
    <w:sig w:usb0="00000000" w:usb1="00000000" w:usb2="00000000" w:usb3="00000000" w:csb0="00000000" w:csb1="00000000"/>
  </w:font>
  <w:font w:name="Palatino Linotype">
    <w:panose1 w:val="02040502050505030304"/>
    <w:charset w:val="00"/>
    <w:family w:val="auto"/>
    <w:pitch w:val="default"/>
    <w:sig w:usb0="E0000287" w:usb1="40000013" w:usb2="00000000" w:usb3="00000000" w:csb0="2000019F" w:csb1="00000000"/>
  </w:font>
  <w:font w:name="隶书">
    <w:panose1 w:val="0201050906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8" w:fontKey="{2A0622A6-3340-4C14-B4B8-7BEF7B2CC711}"/>
  </w:font>
  <w:font w:name="微软雅黑">
    <w:panose1 w:val="020B0503020204020204"/>
    <w:charset w:val="86"/>
    <w:family w:val="swiss"/>
    <w:pitch w:val="default"/>
    <w:sig w:usb0="80000287" w:usb1="2ACF3C50" w:usb2="00000016" w:usb3="00000000" w:csb0="0004001F" w:csb1="00000000"/>
    <w:embedRegular r:id="rId9" w:fontKey="{309AC0D3-E61E-46EC-8A35-713068EA43DC}"/>
  </w:font>
  <w:font w:name="??">
    <w:altName w:val="宋体"/>
    <w:panose1 w:val="00000000000000000000"/>
    <w:charset w:val="00"/>
    <w:family w:val="roman"/>
    <w:pitch w:val="default"/>
    <w:sig w:usb0="00000000" w:usb1="00000000" w:usb2="00000010" w:usb3="00000000" w:csb0="00040001" w:csb1="00000000"/>
  </w:font>
  <w:font w:name="长城仿宋">
    <w:altName w:val="仿宋"/>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embedRegular r:id="rId10" w:fontKey="{4DE2947F-35EF-4990-875E-86D3150EBCF6}"/>
  </w:font>
  <w:font w:name="Segoe UI Symbol">
    <w:panose1 w:val="020B0502040204020203"/>
    <w:charset w:val="00"/>
    <w:family w:val="swiss"/>
    <w:pitch w:val="default"/>
    <w:sig w:usb0="800001E3" w:usb1="1200FFEF" w:usb2="00040000" w:usb3="04000000" w:csb0="00000001" w:csb1="40000000"/>
    <w:embedRegular r:id="rId11" w:fontKey="{8F7F29F2-1645-46A9-B40E-3B54ABCF0A08}"/>
  </w:font>
  <w:font w:name="Wingdings 2">
    <w:panose1 w:val="05020102010507070707"/>
    <w:charset w:val="02"/>
    <w:family w:val="roman"/>
    <w:pitch w:val="default"/>
    <w:sig w:usb0="00000000" w:usb1="00000000" w:usb2="00000000" w:usb3="00000000" w:csb0="80000000" w:csb1="00000000"/>
    <w:embedRegular r:id="rId12" w:fontKey="{5204140B-18A1-4FCA-9CC8-A93DF474B6A1}"/>
  </w:font>
  <w:font w:name="MS Mincho">
    <w:altName w:val="Yu Gothic UI"/>
    <w:panose1 w:val="02020609040205080304"/>
    <w:charset w:val="80"/>
    <w:family w:val="modern"/>
    <w:pitch w:val="default"/>
    <w:sig w:usb0="00000000" w:usb1="00000000" w:usb2="08000012" w:usb3="00000000" w:csb0="0002009F" w:csb1="00000000"/>
    <w:embedRegular r:id="rId13" w:fontKey="{992CD878-3325-4492-9375-DF9C17BA6E08}"/>
  </w:font>
  <w:font w:name="Yu Gothic UI">
    <w:panose1 w:val="020B0500000000000000"/>
    <w:charset w:val="80"/>
    <w:family w:val="auto"/>
    <w:pitch w:val="default"/>
    <w:sig w:usb0="E00002FF" w:usb1="2AC7FDFF" w:usb2="00000016" w:usb3="00000000" w:csb0="2002009F" w:csb1="00000000"/>
  </w:font>
  <w:font w:name="time">
    <w:altName w:val="Calibri"/>
    <w:panose1 w:val="00000000000000000000"/>
    <w:charset w:val="00"/>
    <w:family w:val="auto"/>
    <w:pitch w:val="default"/>
    <w:sig w:usb0="00000000" w:usb1="00000000" w:usb2="00000000" w:usb3="00000000" w:csb0="00000000" w:csb1="00000000"/>
    <w:embedRegular r:id="rId14" w:fontKey="{46DF84B7-7902-46C2-9467-C35676B5C5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AD3BA">
    <w:pPr>
      <w:pStyle w:val="31"/>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3635" cy="222250"/>
              <wp:effectExtent l="0" t="0" r="0" b="0"/>
              <wp:wrapNone/>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3635" cy="222250"/>
                      </a:xfrm>
                      <a:prstGeom prst="rect">
                        <a:avLst/>
                      </a:prstGeom>
                      <a:noFill/>
                      <a:ln>
                        <a:noFill/>
                      </a:ln>
                    </wps:spPr>
                    <wps:txbx>
                      <w:txbxContent>
                        <w:p w14:paraId="646DD958">
                          <w:pPr>
                            <w:pStyle w:val="31"/>
                            <w:ind w:firstLine="360"/>
                          </w:pPr>
                          <w:r>
                            <w:t>第</w:t>
                          </w:r>
                          <w:r>
                            <w:fldChar w:fldCharType="begin"/>
                          </w:r>
                          <w:r>
                            <w:instrText xml:space="preserve"> PAGE  \* MERGEFORMAT </w:instrText>
                          </w:r>
                          <w:r>
                            <w:fldChar w:fldCharType="separate"/>
                          </w:r>
                          <w:r>
                            <w:t>2</w:t>
                          </w:r>
                          <w:r>
                            <w:fldChar w:fldCharType="end"/>
                          </w:r>
                          <w:r>
                            <w:t>页共</w:t>
                          </w:r>
                          <w:r>
                            <w:fldChar w:fldCharType="begin"/>
                          </w:r>
                          <w:r>
                            <w:instrText xml:space="preserve"> NUMPAGES  \* MERGEFORMAT </w:instrText>
                          </w:r>
                          <w:r>
                            <w:fldChar w:fldCharType="separate"/>
                          </w:r>
                          <w:r>
                            <w:t>70</w:t>
                          </w:r>
                          <w:r>
                            <w:fldChar w:fldCharType="end"/>
                          </w:r>
                          <w:r>
                            <w:t>页</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7.5pt;width:90.05pt;mso-position-horizontal:center;mso-position-horizontal-relative:margin;mso-wrap-style:none;z-index:251659264;mso-width-relative:page;mso-height-relative:page;" filled="f" stroked="f" coordsize="21600,21600" o:gfxdata="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mfGDw0QAAAAQBAAAPAAAAAAAAAAEAIAAAACIAAABkcnMv&#10;ZG93bnJldi54bWxQSwECFAAUAAAACACHTuJAgAu4MAoCAAADBAAADgAAAAAAAAABACAAAAAgAQAA&#10;ZHJzL2Uyb0RvYy54bWxQSwUGAAAAAAYABgBZAQAAnAUAAAAA&#10;">
              <v:fill on="f" focussize="0,0"/>
              <v:stroke on="f"/>
              <v:imagedata o:title=""/>
              <o:lock v:ext="edit" aspectratio="f"/>
              <v:textbox inset="0mm,0mm,0mm,0mm" style="mso-fit-shape-to-text:t;">
                <w:txbxContent>
                  <w:p w14:paraId="646DD958">
                    <w:pPr>
                      <w:pStyle w:val="31"/>
                      <w:ind w:firstLine="360"/>
                    </w:pPr>
                    <w:r>
                      <w:t>第</w:t>
                    </w:r>
                    <w:r>
                      <w:fldChar w:fldCharType="begin"/>
                    </w:r>
                    <w:r>
                      <w:instrText xml:space="preserve"> PAGE  \* MERGEFORMAT </w:instrText>
                    </w:r>
                    <w:r>
                      <w:fldChar w:fldCharType="separate"/>
                    </w:r>
                    <w:r>
                      <w:t>2</w:t>
                    </w:r>
                    <w:r>
                      <w:fldChar w:fldCharType="end"/>
                    </w:r>
                    <w:r>
                      <w:t>页共</w:t>
                    </w:r>
                    <w:r>
                      <w:fldChar w:fldCharType="begin"/>
                    </w:r>
                    <w:r>
                      <w:instrText xml:space="preserve"> NUMPAGES  \* MERGEFORMAT </w:instrText>
                    </w:r>
                    <w:r>
                      <w:fldChar w:fldCharType="separate"/>
                    </w:r>
                    <w:r>
                      <w:t>70</w:t>
                    </w:r>
                    <w:r>
                      <w:fldChar w:fldCharType="end"/>
                    </w:r>
                    <w:r>
                      <w:t>页</w:t>
                    </w:r>
                  </w:p>
                </w:txbxContent>
              </v:textbox>
            </v:shape>
          </w:pict>
        </mc:Fallback>
      </mc:AlternateContent>
    </w:r>
  </w:p>
  <w:p w14:paraId="04369CF0">
    <w:pPr>
      <w:pStyle w:val="31"/>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A0EEC">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2F5BC">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EB41B">
    <w:pPr>
      <w:pStyle w:val="32"/>
      <w:pBdr>
        <w:bottom w:val="none" w:color="auto" w:sz="0" w:space="0"/>
      </w:pBdr>
      <w:ind w:firstLine="0" w:firstLineChars="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53164">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160A0">
    <w:pPr>
      <w:pStyle w:val="3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34D9E">
    <w:pPr>
      <w:pStyle w:val="32"/>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441B3">
    <w:pPr>
      <w:pStyle w:val="32"/>
      <w:ind w:firstLine="360"/>
      <w:jc w:val="left"/>
    </w:pPr>
    <w:r>
      <w:drawing>
        <wp:inline distT="0" distB="0" distL="0" distR="0">
          <wp:extent cx="676275" cy="266700"/>
          <wp:effectExtent l="0" t="0" r="0" b="0"/>
          <wp:docPr id="1764836120" name="图片 10" descr="轨道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36120" name="图片 10" descr="轨道公司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266700"/>
                  </a:xfrm>
                  <a:prstGeom prst="rect">
                    <a:avLst/>
                  </a:prstGeom>
                  <a:noFill/>
                  <a:ln>
                    <a:noFill/>
                  </a:ln>
                </pic:spPr>
              </pic:pic>
            </a:graphicData>
          </a:graphic>
        </wp:inline>
      </w:drawing>
    </w:r>
    <w:r>
      <w:rPr>
        <w:rFonts w:hint="eastAsia"/>
      </w:rPr>
      <w:t>南昌市轨道交通1号线一期工程电梯采购及安装项目招标文件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E4451">
    <w:pPr>
      <w:pStyle w:val="32"/>
      <w:ind w:firstLine="360"/>
      <w:jc w:val="left"/>
    </w:pPr>
    <w:r>
      <w:drawing>
        <wp:inline distT="0" distB="0" distL="0" distR="0">
          <wp:extent cx="676275" cy="266700"/>
          <wp:effectExtent l="0" t="0" r="9525" b="0"/>
          <wp:docPr id="6" name="图片 10" descr="轨道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descr="轨道公司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266700"/>
                  </a:xfrm>
                  <a:prstGeom prst="rect">
                    <a:avLst/>
                  </a:prstGeom>
                  <a:noFill/>
                  <a:ln>
                    <a:noFill/>
                  </a:ln>
                </pic:spPr>
              </pic:pic>
            </a:graphicData>
          </a:graphic>
        </wp:inline>
      </w:drawing>
    </w:r>
    <w:r>
      <w:rPr>
        <w:rFonts w:hint="eastAsia"/>
      </w:rPr>
      <w:t>南昌市轨道交通1号线一期工程电梯采购及安装项目招标文件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A42EA"/>
    <w:multiLevelType w:val="singleLevel"/>
    <w:tmpl w:val="824A42EA"/>
    <w:lvl w:ilvl="0" w:tentative="0">
      <w:start w:val="1"/>
      <w:numFmt w:val="decimal"/>
      <w:suff w:val="nothing"/>
      <w:lvlText w:val="%1、"/>
      <w:lvlJc w:val="left"/>
      <w:pPr>
        <w:ind w:left="-60"/>
      </w:pPr>
      <w:rPr>
        <w:b w:val="0"/>
        <w:bCs/>
      </w:rPr>
    </w:lvl>
  </w:abstractNum>
  <w:abstractNum w:abstractNumId="1">
    <w:nsid w:val="C52607A5"/>
    <w:multiLevelType w:val="singleLevel"/>
    <w:tmpl w:val="C52607A5"/>
    <w:lvl w:ilvl="0" w:tentative="0">
      <w:start w:val="1"/>
      <w:numFmt w:val="decimal"/>
      <w:lvlText w:val="%1."/>
      <w:lvlJc w:val="left"/>
      <w:pPr>
        <w:tabs>
          <w:tab w:val="left" w:pos="312"/>
        </w:tabs>
      </w:pPr>
    </w:lvl>
  </w:abstractNum>
  <w:abstractNum w:abstractNumId="2">
    <w:nsid w:val="02005F9C"/>
    <w:multiLevelType w:val="multilevel"/>
    <w:tmpl w:val="02005F9C"/>
    <w:lvl w:ilvl="0" w:tentative="0">
      <w:start w:val="1"/>
      <w:numFmt w:val="decimal"/>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30D4060"/>
    <w:multiLevelType w:val="multilevel"/>
    <w:tmpl w:val="030D4060"/>
    <w:lvl w:ilvl="0" w:tentative="0">
      <w:start w:val="1"/>
      <w:numFmt w:val="chineseCountingThousand"/>
      <w:suff w:val="space"/>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4ED3A82"/>
    <w:multiLevelType w:val="multilevel"/>
    <w:tmpl w:val="04ED3A8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062288D2"/>
    <w:multiLevelType w:val="singleLevel"/>
    <w:tmpl w:val="062288D2"/>
    <w:lvl w:ilvl="0" w:tentative="0">
      <w:start w:val="1"/>
      <w:numFmt w:val="decimal"/>
      <w:suff w:val="nothing"/>
      <w:lvlText w:val="（%1）"/>
      <w:lvlJc w:val="left"/>
    </w:lvl>
  </w:abstractNum>
  <w:abstractNum w:abstractNumId="6">
    <w:nsid w:val="0B0A28AD"/>
    <w:multiLevelType w:val="multilevel"/>
    <w:tmpl w:val="0B0A28AD"/>
    <w:lvl w:ilvl="0" w:tentative="0">
      <w:start w:val="1"/>
      <w:numFmt w:val="decimal"/>
      <w:suff w:val="space"/>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F2374A7"/>
    <w:multiLevelType w:val="multilevel"/>
    <w:tmpl w:val="0F2374A7"/>
    <w:lvl w:ilvl="0" w:tentative="0">
      <w:start w:val="1"/>
      <w:numFmt w:val="decimal"/>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10AC4DA9"/>
    <w:multiLevelType w:val="multilevel"/>
    <w:tmpl w:val="10AC4DA9"/>
    <w:lvl w:ilvl="0" w:tentative="0">
      <w:start w:val="1"/>
      <w:numFmt w:val="decimal"/>
      <w:lvlText w:val="%1、"/>
      <w:lvlJc w:val="left"/>
      <w:pPr>
        <w:ind w:left="0" w:firstLine="0"/>
      </w:pPr>
      <w:rPr>
        <w:rFonts w:hint="default"/>
      </w:rPr>
    </w:lvl>
    <w:lvl w:ilvl="1" w:tentative="0">
      <w:start w:val="2"/>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9">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0">
    <w:nsid w:val="1D771536"/>
    <w:multiLevelType w:val="multilevel"/>
    <w:tmpl w:val="1D771536"/>
    <w:lvl w:ilvl="0" w:tentative="0">
      <w:start w:val="1"/>
      <w:numFmt w:val="decimal"/>
      <w:suff w:val="space"/>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2221C1B"/>
    <w:multiLevelType w:val="multilevel"/>
    <w:tmpl w:val="22221C1B"/>
    <w:lvl w:ilvl="0" w:tentative="0">
      <w:start w:val="1"/>
      <w:numFmt w:val="decimal"/>
      <w:suff w:val="space"/>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29A675B2"/>
    <w:multiLevelType w:val="multilevel"/>
    <w:tmpl w:val="29A675B2"/>
    <w:lvl w:ilvl="0" w:tentative="0">
      <w:start w:val="1"/>
      <w:numFmt w:val="chineseCountingThousand"/>
      <w:suff w:val="space"/>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2B7F6173"/>
    <w:multiLevelType w:val="multilevel"/>
    <w:tmpl w:val="2B7F6173"/>
    <w:lvl w:ilvl="0" w:tentative="0">
      <w:start w:val="1"/>
      <w:numFmt w:val="decimal"/>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4">
    <w:nsid w:val="2F3A032D"/>
    <w:multiLevelType w:val="multilevel"/>
    <w:tmpl w:val="2F3A032D"/>
    <w:lvl w:ilvl="0" w:tentative="0">
      <w:start w:val="1"/>
      <w:numFmt w:val="decimal"/>
      <w:suff w:val="space"/>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375571B5"/>
    <w:multiLevelType w:val="singleLevel"/>
    <w:tmpl w:val="375571B5"/>
    <w:lvl w:ilvl="0" w:tentative="0">
      <w:start w:val="1"/>
      <w:numFmt w:val="decimal"/>
      <w:suff w:val="nothing"/>
      <w:lvlText w:val="%1、"/>
      <w:lvlJc w:val="left"/>
      <w:rPr>
        <w:b w:val="0"/>
        <w:bCs/>
      </w:rPr>
    </w:lvl>
  </w:abstractNum>
  <w:abstractNum w:abstractNumId="16">
    <w:nsid w:val="38DC1F4C"/>
    <w:multiLevelType w:val="multilevel"/>
    <w:tmpl w:val="38DC1F4C"/>
    <w:lvl w:ilvl="0" w:tentative="0">
      <w:start w:val="1"/>
      <w:numFmt w:val="decimal"/>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393D1F5A"/>
    <w:multiLevelType w:val="multilevel"/>
    <w:tmpl w:val="393D1F5A"/>
    <w:lvl w:ilvl="0" w:tentative="0">
      <w:start w:val="1"/>
      <w:numFmt w:val="decimal"/>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3AF87C03"/>
    <w:multiLevelType w:val="multilevel"/>
    <w:tmpl w:val="3AF87C03"/>
    <w:lvl w:ilvl="0" w:tentative="0">
      <w:start w:val="1"/>
      <w:numFmt w:val="decimal"/>
      <w:suff w:val="space"/>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3D176C61"/>
    <w:multiLevelType w:val="multilevel"/>
    <w:tmpl w:val="3D176C61"/>
    <w:lvl w:ilvl="0" w:tentative="0">
      <w:start w:val="1"/>
      <w:numFmt w:val="decimal"/>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41D95381"/>
    <w:multiLevelType w:val="multilevel"/>
    <w:tmpl w:val="41D95381"/>
    <w:lvl w:ilvl="0" w:tentative="0">
      <w:start w:val="1"/>
      <w:numFmt w:val="decimal"/>
      <w:suff w:val="space"/>
      <w:lvlText w:val="（%1）"/>
      <w:lvlJc w:val="left"/>
      <w:pPr>
        <w:ind w:left="420"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421304F6"/>
    <w:multiLevelType w:val="multilevel"/>
    <w:tmpl w:val="421304F6"/>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2">
    <w:nsid w:val="436364BC"/>
    <w:multiLevelType w:val="multilevel"/>
    <w:tmpl w:val="436364BC"/>
    <w:lvl w:ilvl="0" w:tentative="0">
      <w:start w:val="1"/>
      <w:numFmt w:val="decimal"/>
      <w:suff w:val="space"/>
      <w:lvlText w:val="（%1）"/>
      <w:lvlJc w:val="left"/>
      <w:pPr>
        <w:ind w:left="420"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4B5E278E"/>
    <w:multiLevelType w:val="multilevel"/>
    <w:tmpl w:val="4B5E278E"/>
    <w:lvl w:ilvl="0" w:tentative="0">
      <w:start w:val="1"/>
      <w:numFmt w:val="decimal"/>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4">
    <w:nsid w:val="4F9143BA"/>
    <w:multiLevelType w:val="multilevel"/>
    <w:tmpl w:val="4F9143BA"/>
    <w:lvl w:ilvl="0" w:tentative="0">
      <w:start w:val="1"/>
      <w:numFmt w:val="decimal"/>
      <w:suff w:val="space"/>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0CA2A7D"/>
    <w:multiLevelType w:val="multilevel"/>
    <w:tmpl w:val="50CA2A7D"/>
    <w:lvl w:ilvl="0" w:tentative="0">
      <w:start w:val="1"/>
      <w:numFmt w:val="decimal"/>
      <w:suff w:val="space"/>
      <w:lvlText w:val="（%1）"/>
      <w:lvlJc w:val="left"/>
      <w:pPr>
        <w:ind w:left="420"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2E25FB9"/>
    <w:multiLevelType w:val="multilevel"/>
    <w:tmpl w:val="52E25FB9"/>
    <w:lvl w:ilvl="0" w:tentative="0">
      <w:start w:val="1"/>
      <w:numFmt w:val="decimal"/>
      <w:suff w:val="space"/>
      <w:lvlText w:val="（%1）"/>
      <w:lvlJc w:val="left"/>
      <w:pPr>
        <w:ind w:left="360" w:hanging="420"/>
      </w:pPr>
      <w:rPr>
        <w:rFonts w:hint="default"/>
        <w:color w:val="auto"/>
      </w:rPr>
    </w:lvl>
    <w:lvl w:ilvl="1" w:tentative="0">
      <w:start w:val="1"/>
      <w:numFmt w:val="lowerLetter"/>
      <w:lvlText w:val="%2)"/>
      <w:lvlJc w:val="left"/>
      <w:pPr>
        <w:ind w:left="780" w:hanging="420"/>
      </w:pPr>
    </w:lvl>
    <w:lvl w:ilvl="2" w:tentative="0">
      <w:start w:val="1"/>
      <w:numFmt w:val="lowerRoman"/>
      <w:lvlText w:val="%3."/>
      <w:lvlJc w:val="right"/>
      <w:pPr>
        <w:ind w:left="1200" w:hanging="420"/>
      </w:pPr>
    </w:lvl>
    <w:lvl w:ilvl="3" w:tentative="0">
      <w:start w:val="1"/>
      <w:numFmt w:val="decimal"/>
      <w:lvlText w:val="%4."/>
      <w:lvlJc w:val="left"/>
      <w:pPr>
        <w:ind w:left="1620" w:hanging="420"/>
      </w:pPr>
    </w:lvl>
    <w:lvl w:ilvl="4" w:tentative="0">
      <w:start w:val="1"/>
      <w:numFmt w:val="lowerLetter"/>
      <w:lvlText w:val="%5)"/>
      <w:lvlJc w:val="left"/>
      <w:pPr>
        <w:ind w:left="2040" w:hanging="420"/>
      </w:pPr>
    </w:lvl>
    <w:lvl w:ilvl="5" w:tentative="0">
      <w:start w:val="1"/>
      <w:numFmt w:val="lowerRoman"/>
      <w:lvlText w:val="%6."/>
      <w:lvlJc w:val="right"/>
      <w:pPr>
        <w:ind w:left="2460" w:hanging="420"/>
      </w:pPr>
    </w:lvl>
    <w:lvl w:ilvl="6" w:tentative="0">
      <w:start w:val="1"/>
      <w:numFmt w:val="decimal"/>
      <w:lvlText w:val="%7."/>
      <w:lvlJc w:val="left"/>
      <w:pPr>
        <w:ind w:left="2880" w:hanging="420"/>
      </w:pPr>
    </w:lvl>
    <w:lvl w:ilvl="7" w:tentative="0">
      <w:start w:val="1"/>
      <w:numFmt w:val="lowerLetter"/>
      <w:lvlText w:val="%8)"/>
      <w:lvlJc w:val="left"/>
      <w:pPr>
        <w:ind w:left="3300" w:hanging="420"/>
      </w:pPr>
    </w:lvl>
    <w:lvl w:ilvl="8" w:tentative="0">
      <w:start w:val="1"/>
      <w:numFmt w:val="lowerRoman"/>
      <w:lvlText w:val="%9."/>
      <w:lvlJc w:val="right"/>
      <w:pPr>
        <w:ind w:left="3720" w:hanging="420"/>
      </w:pPr>
    </w:lvl>
  </w:abstractNum>
  <w:abstractNum w:abstractNumId="27">
    <w:nsid w:val="53EA76AA"/>
    <w:multiLevelType w:val="multilevel"/>
    <w:tmpl w:val="53EA76AA"/>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57CC6362"/>
    <w:multiLevelType w:val="multilevel"/>
    <w:tmpl w:val="57CC6362"/>
    <w:lvl w:ilvl="0" w:tentative="0">
      <w:start w:val="1"/>
      <w:numFmt w:val="decimal"/>
      <w:suff w:val="space"/>
      <w:lvlText w:val="（%1）"/>
      <w:lvlJc w:val="left"/>
      <w:pPr>
        <w:ind w:left="420"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59B55058"/>
    <w:multiLevelType w:val="multilevel"/>
    <w:tmpl w:val="59B55058"/>
    <w:lvl w:ilvl="0" w:tentative="0">
      <w:start w:val="1"/>
      <w:numFmt w:val="decimal"/>
      <w:lvlText w:val="%1、"/>
      <w:lvlJc w:val="left"/>
      <w:pPr>
        <w:ind w:left="709" w:hanging="425"/>
      </w:pPr>
      <w:rPr>
        <w:rFonts w:hint="eastAsia"/>
      </w:rPr>
    </w:lvl>
    <w:lvl w:ilvl="1" w:tentative="0">
      <w:start w:val="1"/>
      <w:numFmt w:val="decimal"/>
      <w:lvlText w:val="%1.%2"/>
      <w:lvlJc w:val="left"/>
      <w:pPr>
        <w:ind w:left="851" w:hanging="567"/>
      </w:pPr>
      <w:rPr>
        <w:rFonts w:hint="eastAsia"/>
      </w:rPr>
    </w:lvl>
    <w:lvl w:ilvl="2" w:tentative="0">
      <w:start w:val="1"/>
      <w:numFmt w:val="decimal"/>
      <w:lvlText w:val="%1.%2.%3"/>
      <w:lvlJc w:val="left"/>
      <w:pPr>
        <w:ind w:left="993" w:hanging="709"/>
      </w:pPr>
      <w:rPr>
        <w:rFonts w:hint="eastAsia"/>
      </w:rPr>
    </w:lvl>
    <w:lvl w:ilvl="3" w:tentative="0">
      <w:start w:val="1"/>
      <w:numFmt w:val="decimal"/>
      <w:lvlText w:val="%1.%2.%3.%4"/>
      <w:lvlJc w:val="left"/>
      <w:pPr>
        <w:ind w:left="1135" w:hanging="851"/>
      </w:pPr>
      <w:rPr>
        <w:rFonts w:hint="eastAsia"/>
      </w:rPr>
    </w:lvl>
    <w:lvl w:ilvl="4" w:tentative="0">
      <w:start w:val="1"/>
      <w:numFmt w:val="decimal"/>
      <w:lvlText w:val="%1.%2.%3.%4.%5."/>
      <w:lvlJc w:val="left"/>
      <w:pPr>
        <w:ind w:left="1276" w:hanging="992"/>
      </w:pPr>
      <w:rPr>
        <w:rFonts w:hint="eastAsia"/>
      </w:rPr>
    </w:lvl>
    <w:lvl w:ilvl="5" w:tentative="0">
      <w:start w:val="1"/>
      <w:numFmt w:val="decimal"/>
      <w:lvlText w:val="%1.%2.%3.%4.%5.%6."/>
      <w:lvlJc w:val="left"/>
      <w:pPr>
        <w:ind w:left="1418" w:hanging="1134"/>
      </w:pPr>
      <w:rPr>
        <w:rFonts w:hint="eastAsia"/>
      </w:rPr>
    </w:lvl>
    <w:lvl w:ilvl="6" w:tentative="0">
      <w:start w:val="1"/>
      <w:numFmt w:val="decimal"/>
      <w:lvlText w:val="%1.%2.%3.%4.%5.%6.%7."/>
      <w:lvlJc w:val="left"/>
      <w:pPr>
        <w:ind w:left="1560" w:hanging="1276"/>
      </w:pPr>
      <w:rPr>
        <w:rFonts w:hint="eastAsia"/>
      </w:rPr>
    </w:lvl>
    <w:lvl w:ilvl="7" w:tentative="0">
      <w:start w:val="1"/>
      <w:numFmt w:val="decimal"/>
      <w:lvlText w:val="%1.%2.%3.%4.%5.%6.%7.%8."/>
      <w:lvlJc w:val="left"/>
      <w:pPr>
        <w:ind w:left="1702" w:hanging="1418"/>
      </w:pPr>
      <w:rPr>
        <w:rFonts w:hint="eastAsia"/>
      </w:rPr>
    </w:lvl>
    <w:lvl w:ilvl="8" w:tentative="0">
      <w:start w:val="1"/>
      <w:numFmt w:val="decimal"/>
      <w:lvlText w:val="%1.%2.%3.%4.%5.%6.%7.%8.%9."/>
      <w:lvlJc w:val="left"/>
      <w:pPr>
        <w:ind w:left="1843" w:hanging="1559"/>
      </w:pPr>
      <w:rPr>
        <w:rFonts w:hint="eastAsia"/>
      </w:rPr>
    </w:lvl>
  </w:abstractNum>
  <w:abstractNum w:abstractNumId="30">
    <w:nsid w:val="5C43450C"/>
    <w:multiLevelType w:val="multilevel"/>
    <w:tmpl w:val="5C43450C"/>
    <w:lvl w:ilvl="0" w:tentative="0">
      <w:start w:val="1"/>
      <w:numFmt w:val="decimal"/>
      <w:suff w:val="space"/>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5C8E8578"/>
    <w:multiLevelType w:val="singleLevel"/>
    <w:tmpl w:val="5C8E8578"/>
    <w:lvl w:ilvl="0" w:tentative="0">
      <w:start w:val="1"/>
      <w:numFmt w:val="decimal"/>
      <w:lvlText w:val="%1."/>
      <w:lvlJc w:val="left"/>
      <w:pPr>
        <w:tabs>
          <w:tab w:val="left" w:pos="312"/>
        </w:tabs>
      </w:pPr>
    </w:lvl>
  </w:abstractNum>
  <w:abstractNum w:abstractNumId="32">
    <w:nsid w:val="641132D3"/>
    <w:multiLevelType w:val="multilevel"/>
    <w:tmpl w:val="641132D3"/>
    <w:lvl w:ilvl="0" w:tentative="0">
      <w:start w:val="1"/>
      <w:numFmt w:val="decimal"/>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3">
    <w:nsid w:val="687F1834"/>
    <w:multiLevelType w:val="multilevel"/>
    <w:tmpl w:val="687F1834"/>
    <w:lvl w:ilvl="0" w:tentative="0">
      <w:start w:val="1"/>
      <w:numFmt w:val="decimal"/>
      <w:lvlText w:val="%1、"/>
      <w:lvlJc w:val="left"/>
      <w:pPr>
        <w:ind w:left="0" w:firstLine="0"/>
      </w:pPr>
      <w:rPr>
        <w:rFonts w:hint="default"/>
      </w:rPr>
    </w:lvl>
    <w:lvl w:ilvl="1" w:tentative="0">
      <w:start w:val="1"/>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34">
    <w:nsid w:val="69250BE0"/>
    <w:multiLevelType w:val="multilevel"/>
    <w:tmpl w:val="69250BE0"/>
    <w:lvl w:ilvl="0" w:tentative="0">
      <w:start w:val="1"/>
      <w:numFmt w:val="decimal"/>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5">
    <w:nsid w:val="6D494AEC"/>
    <w:multiLevelType w:val="multilevel"/>
    <w:tmpl w:val="6D494AEC"/>
    <w:lvl w:ilvl="0" w:tentative="0">
      <w:start w:val="1"/>
      <w:numFmt w:val="chineseCountingThousand"/>
      <w:suff w:val="space"/>
      <w:lvlText w:val="（%1）"/>
      <w:lvlJc w:val="left"/>
      <w:pPr>
        <w:ind w:left="840" w:hanging="420"/>
      </w:pPr>
      <w:rPr>
        <w:rFonts w:hint="eastAsia"/>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36">
    <w:nsid w:val="6E5177C1"/>
    <w:multiLevelType w:val="multilevel"/>
    <w:tmpl w:val="6E5177C1"/>
    <w:lvl w:ilvl="0" w:tentative="0">
      <w:start w:val="1"/>
      <w:numFmt w:val="decimal"/>
      <w:suff w:val="space"/>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734A32A0"/>
    <w:multiLevelType w:val="multilevel"/>
    <w:tmpl w:val="734A32A0"/>
    <w:lvl w:ilvl="0" w:tentative="0">
      <w:start w:val="1"/>
      <w:numFmt w:val="decimal"/>
      <w:suff w:val="space"/>
      <w:lvlText w:val="（%1）"/>
      <w:lvlJc w:val="left"/>
      <w:pPr>
        <w:ind w:left="420" w:hanging="4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74C33D49"/>
    <w:multiLevelType w:val="multilevel"/>
    <w:tmpl w:val="74C33D49"/>
    <w:lvl w:ilvl="0" w:tentative="0">
      <w:start w:val="1"/>
      <w:numFmt w:val="decimal"/>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9">
    <w:nsid w:val="789C59B8"/>
    <w:multiLevelType w:val="multilevel"/>
    <w:tmpl w:val="789C59B8"/>
    <w:lvl w:ilvl="0" w:tentative="0">
      <w:start w:val="1"/>
      <w:numFmt w:val="decimal"/>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0">
    <w:nsid w:val="7F703CE0"/>
    <w:multiLevelType w:val="multilevel"/>
    <w:tmpl w:val="7F703CE0"/>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4"/>
  </w:num>
  <w:num w:numId="2">
    <w:abstractNumId w:val="1"/>
  </w:num>
  <w:num w:numId="3">
    <w:abstractNumId w:val="29"/>
  </w:num>
  <w:num w:numId="4">
    <w:abstractNumId w:val="9"/>
  </w:num>
  <w:num w:numId="5">
    <w:abstractNumId w:val="40"/>
  </w:num>
  <w:num w:numId="6">
    <w:abstractNumId w:val="21"/>
  </w:num>
  <w:num w:numId="7">
    <w:abstractNumId w:val="8"/>
  </w:num>
  <w:num w:numId="8">
    <w:abstractNumId w:val="33"/>
  </w:num>
  <w:num w:numId="9">
    <w:abstractNumId w:val="3"/>
  </w:num>
  <w:num w:numId="10">
    <w:abstractNumId w:val="0"/>
  </w:num>
  <w:num w:numId="11">
    <w:abstractNumId w:val="26"/>
  </w:num>
  <w:num w:numId="12">
    <w:abstractNumId w:val="15"/>
  </w:num>
  <w:num w:numId="13">
    <w:abstractNumId w:val="20"/>
  </w:num>
  <w:num w:numId="14">
    <w:abstractNumId w:val="37"/>
  </w:num>
  <w:num w:numId="15">
    <w:abstractNumId w:val="22"/>
  </w:num>
  <w:num w:numId="16">
    <w:abstractNumId w:val="25"/>
  </w:num>
  <w:num w:numId="17">
    <w:abstractNumId w:val="35"/>
  </w:num>
  <w:num w:numId="18">
    <w:abstractNumId w:val="38"/>
  </w:num>
  <w:num w:numId="19">
    <w:abstractNumId w:val="28"/>
  </w:num>
  <w:num w:numId="20">
    <w:abstractNumId w:val="34"/>
  </w:num>
  <w:num w:numId="21">
    <w:abstractNumId w:val="30"/>
  </w:num>
  <w:num w:numId="22">
    <w:abstractNumId w:val="24"/>
  </w:num>
  <w:num w:numId="23">
    <w:abstractNumId w:val="31"/>
  </w:num>
  <w:num w:numId="24">
    <w:abstractNumId w:val="7"/>
  </w:num>
  <w:num w:numId="25">
    <w:abstractNumId w:val="13"/>
  </w:num>
  <w:num w:numId="26">
    <w:abstractNumId w:val="32"/>
  </w:num>
  <w:num w:numId="27">
    <w:abstractNumId w:val="2"/>
  </w:num>
  <w:num w:numId="28">
    <w:abstractNumId w:val="39"/>
  </w:num>
  <w:num w:numId="29">
    <w:abstractNumId w:val="12"/>
  </w:num>
  <w:num w:numId="30">
    <w:abstractNumId w:val="16"/>
  </w:num>
  <w:num w:numId="31">
    <w:abstractNumId w:val="17"/>
  </w:num>
  <w:num w:numId="32">
    <w:abstractNumId w:val="11"/>
  </w:num>
  <w:num w:numId="33">
    <w:abstractNumId w:val="14"/>
  </w:num>
  <w:num w:numId="34">
    <w:abstractNumId w:val="36"/>
  </w:num>
  <w:num w:numId="35">
    <w:abstractNumId w:val="18"/>
  </w:num>
  <w:num w:numId="36">
    <w:abstractNumId w:val="23"/>
  </w:num>
  <w:num w:numId="37">
    <w:abstractNumId w:val="10"/>
  </w:num>
  <w:num w:numId="38">
    <w:abstractNumId w:val="19"/>
  </w:num>
  <w:num w:numId="39">
    <w:abstractNumId w:val="6"/>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OWEzMzNmYTljODBlNGM5NGVkOGU5YjA1M2Y5ZTEifQ=="/>
  </w:docVars>
  <w:rsids>
    <w:rsidRoot w:val="00172A27"/>
    <w:rsid w:val="00000EA6"/>
    <w:rsid w:val="00000EEA"/>
    <w:rsid w:val="000024E0"/>
    <w:rsid w:val="00002620"/>
    <w:rsid w:val="000040EE"/>
    <w:rsid w:val="00004927"/>
    <w:rsid w:val="00005535"/>
    <w:rsid w:val="0000649A"/>
    <w:rsid w:val="00006612"/>
    <w:rsid w:val="00007D34"/>
    <w:rsid w:val="00007E10"/>
    <w:rsid w:val="00007F87"/>
    <w:rsid w:val="00010405"/>
    <w:rsid w:val="000104A4"/>
    <w:rsid w:val="00010849"/>
    <w:rsid w:val="0001132F"/>
    <w:rsid w:val="000115B0"/>
    <w:rsid w:val="000127DC"/>
    <w:rsid w:val="00012F50"/>
    <w:rsid w:val="0001436B"/>
    <w:rsid w:val="000149AE"/>
    <w:rsid w:val="0001510A"/>
    <w:rsid w:val="00015990"/>
    <w:rsid w:val="00015A7A"/>
    <w:rsid w:val="00016654"/>
    <w:rsid w:val="000168C5"/>
    <w:rsid w:val="00017578"/>
    <w:rsid w:val="0002064D"/>
    <w:rsid w:val="00021009"/>
    <w:rsid w:val="0002143C"/>
    <w:rsid w:val="00021443"/>
    <w:rsid w:val="000218DE"/>
    <w:rsid w:val="00022817"/>
    <w:rsid w:val="000241C7"/>
    <w:rsid w:val="000263B5"/>
    <w:rsid w:val="00026910"/>
    <w:rsid w:val="000272F5"/>
    <w:rsid w:val="00027A6B"/>
    <w:rsid w:val="00027EC0"/>
    <w:rsid w:val="00030068"/>
    <w:rsid w:val="000316AB"/>
    <w:rsid w:val="00031B9F"/>
    <w:rsid w:val="00031F7E"/>
    <w:rsid w:val="00032258"/>
    <w:rsid w:val="00032616"/>
    <w:rsid w:val="00032881"/>
    <w:rsid w:val="00032BCD"/>
    <w:rsid w:val="0003334F"/>
    <w:rsid w:val="00034755"/>
    <w:rsid w:val="0003478E"/>
    <w:rsid w:val="0003488D"/>
    <w:rsid w:val="00034DFF"/>
    <w:rsid w:val="00034EEC"/>
    <w:rsid w:val="000355DE"/>
    <w:rsid w:val="00037C09"/>
    <w:rsid w:val="00037D5D"/>
    <w:rsid w:val="00037DA6"/>
    <w:rsid w:val="00040403"/>
    <w:rsid w:val="0004104D"/>
    <w:rsid w:val="00041762"/>
    <w:rsid w:val="000417E5"/>
    <w:rsid w:val="00044AC6"/>
    <w:rsid w:val="000456FE"/>
    <w:rsid w:val="000458A3"/>
    <w:rsid w:val="000467DB"/>
    <w:rsid w:val="00046B5A"/>
    <w:rsid w:val="00047A9B"/>
    <w:rsid w:val="0005009A"/>
    <w:rsid w:val="00051A43"/>
    <w:rsid w:val="000521B6"/>
    <w:rsid w:val="00052428"/>
    <w:rsid w:val="000525C6"/>
    <w:rsid w:val="00052683"/>
    <w:rsid w:val="00052B49"/>
    <w:rsid w:val="00053664"/>
    <w:rsid w:val="00054131"/>
    <w:rsid w:val="00054FB1"/>
    <w:rsid w:val="000550B3"/>
    <w:rsid w:val="000559C9"/>
    <w:rsid w:val="00055BB0"/>
    <w:rsid w:val="00056805"/>
    <w:rsid w:val="000574F4"/>
    <w:rsid w:val="00057B99"/>
    <w:rsid w:val="00057C33"/>
    <w:rsid w:val="0006123F"/>
    <w:rsid w:val="00061BFB"/>
    <w:rsid w:val="0006271F"/>
    <w:rsid w:val="000627A4"/>
    <w:rsid w:val="000629EE"/>
    <w:rsid w:val="00062C6D"/>
    <w:rsid w:val="00064C99"/>
    <w:rsid w:val="0006568B"/>
    <w:rsid w:val="00066198"/>
    <w:rsid w:val="00066662"/>
    <w:rsid w:val="00066A2B"/>
    <w:rsid w:val="00066CD3"/>
    <w:rsid w:val="000679A5"/>
    <w:rsid w:val="00067D0D"/>
    <w:rsid w:val="00070264"/>
    <w:rsid w:val="000714CE"/>
    <w:rsid w:val="000715B2"/>
    <w:rsid w:val="00071D71"/>
    <w:rsid w:val="00072DF7"/>
    <w:rsid w:val="00073034"/>
    <w:rsid w:val="00073394"/>
    <w:rsid w:val="00074BD9"/>
    <w:rsid w:val="00077ED7"/>
    <w:rsid w:val="00080897"/>
    <w:rsid w:val="000808D3"/>
    <w:rsid w:val="00080A86"/>
    <w:rsid w:val="00082212"/>
    <w:rsid w:val="0008249F"/>
    <w:rsid w:val="00083986"/>
    <w:rsid w:val="0008655B"/>
    <w:rsid w:val="000903FB"/>
    <w:rsid w:val="0009102D"/>
    <w:rsid w:val="000910F1"/>
    <w:rsid w:val="00092B9C"/>
    <w:rsid w:val="00093CD6"/>
    <w:rsid w:val="0009430E"/>
    <w:rsid w:val="00094FA8"/>
    <w:rsid w:val="00095872"/>
    <w:rsid w:val="00095E2A"/>
    <w:rsid w:val="00096C0E"/>
    <w:rsid w:val="000A069B"/>
    <w:rsid w:val="000A070D"/>
    <w:rsid w:val="000A39D5"/>
    <w:rsid w:val="000A3F78"/>
    <w:rsid w:val="000A3FD7"/>
    <w:rsid w:val="000A3FF7"/>
    <w:rsid w:val="000A42DF"/>
    <w:rsid w:val="000A43B3"/>
    <w:rsid w:val="000A4A5F"/>
    <w:rsid w:val="000A4BE6"/>
    <w:rsid w:val="000A525C"/>
    <w:rsid w:val="000A5CAC"/>
    <w:rsid w:val="000A6170"/>
    <w:rsid w:val="000A61C9"/>
    <w:rsid w:val="000A6A4B"/>
    <w:rsid w:val="000A6D8F"/>
    <w:rsid w:val="000A7807"/>
    <w:rsid w:val="000B06D8"/>
    <w:rsid w:val="000B0918"/>
    <w:rsid w:val="000B0C1C"/>
    <w:rsid w:val="000B1345"/>
    <w:rsid w:val="000B1C0F"/>
    <w:rsid w:val="000B203C"/>
    <w:rsid w:val="000B27F2"/>
    <w:rsid w:val="000B2CE1"/>
    <w:rsid w:val="000B3E79"/>
    <w:rsid w:val="000B3F10"/>
    <w:rsid w:val="000B4140"/>
    <w:rsid w:val="000B47C2"/>
    <w:rsid w:val="000B4CEC"/>
    <w:rsid w:val="000B717F"/>
    <w:rsid w:val="000C042A"/>
    <w:rsid w:val="000C0A57"/>
    <w:rsid w:val="000C17DA"/>
    <w:rsid w:val="000C1A77"/>
    <w:rsid w:val="000C23BF"/>
    <w:rsid w:val="000C2533"/>
    <w:rsid w:val="000C27C3"/>
    <w:rsid w:val="000C31B8"/>
    <w:rsid w:val="000C37CC"/>
    <w:rsid w:val="000C3E0E"/>
    <w:rsid w:val="000C4A36"/>
    <w:rsid w:val="000C4DA1"/>
    <w:rsid w:val="000C4F6C"/>
    <w:rsid w:val="000C5D07"/>
    <w:rsid w:val="000C7830"/>
    <w:rsid w:val="000D0220"/>
    <w:rsid w:val="000D05ED"/>
    <w:rsid w:val="000D12FA"/>
    <w:rsid w:val="000D13C3"/>
    <w:rsid w:val="000D16BE"/>
    <w:rsid w:val="000D21BA"/>
    <w:rsid w:val="000D2823"/>
    <w:rsid w:val="000D2ADD"/>
    <w:rsid w:val="000D34BF"/>
    <w:rsid w:val="000D355D"/>
    <w:rsid w:val="000D37BB"/>
    <w:rsid w:val="000D473A"/>
    <w:rsid w:val="000D4C76"/>
    <w:rsid w:val="000D5169"/>
    <w:rsid w:val="000D5422"/>
    <w:rsid w:val="000D5FD1"/>
    <w:rsid w:val="000D6A89"/>
    <w:rsid w:val="000D6DFE"/>
    <w:rsid w:val="000D6E29"/>
    <w:rsid w:val="000D6FF0"/>
    <w:rsid w:val="000E0369"/>
    <w:rsid w:val="000E050E"/>
    <w:rsid w:val="000E1458"/>
    <w:rsid w:val="000E312E"/>
    <w:rsid w:val="000E3AC4"/>
    <w:rsid w:val="000E3C44"/>
    <w:rsid w:val="000E3FAC"/>
    <w:rsid w:val="000E404E"/>
    <w:rsid w:val="000E4113"/>
    <w:rsid w:val="000E6BD6"/>
    <w:rsid w:val="000E72C8"/>
    <w:rsid w:val="000E7AE1"/>
    <w:rsid w:val="000F011D"/>
    <w:rsid w:val="000F0E46"/>
    <w:rsid w:val="000F1DA5"/>
    <w:rsid w:val="000F2097"/>
    <w:rsid w:val="000F25E2"/>
    <w:rsid w:val="000F3181"/>
    <w:rsid w:val="000F3266"/>
    <w:rsid w:val="000F356D"/>
    <w:rsid w:val="000F3DF1"/>
    <w:rsid w:val="000F50A8"/>
    <w:rsid w:val="000F6454"/>
    <w:rsid w:val="000F73CB"/>
    <w:rsid w:val="0010019F"/>
    <w:rsid w:val="00100506"/>
    <w:rsid w:val="00100FA0"/>
    <w:rsid w:val="00101788"/>
    <w:rsid w:val="00101D33"/>
    <w:rsid w:val="001020DF"/>
    <w:rsid w:val="001026E1"/>
    <w:rsid w:val="00102796"/>
    <w:rsid w:val="0010577C"/>
    <w:rsid w:val="001065B2"/>
    <w:rsid w:val="001069A6"/>
    <w:rsid w:val="00106A66"/>
    <w:rsid w:val="001073E7"/>
    <w:rsid w:val="001074D8"/>
    <w:rsid w:val="001077DC"/>
    <w:rsid w:val="00107AFF"/>
    <w:rsid w:val="00112004"/>
    <w:rsid w:val="0011204C"/>
    <w:rsid w:val="0011281C"/>
    <w:rsid w:val="00114BEC"/>
    <w:rsid w:val="001212A7"/>
    <w:rsid w:val="001219F6"/>
    <w:rsid w:val="00121A38"/>
    <w:rsid w:val="00123106"/>
    <w:rsid w:val="001234B6"/>
    <w:rsid w:val="00123BBF"/>
    <w:rsid w:val="001245AF"/>
    <w:rsid w:val="00124E0A"/>
    <w:rsid w:val="00125CBE"/>
    <w:rsid w:val="0012698A"/>
    <w:rsid w:val="00127234"/>
    <w:rsid w:val="001272B8"/>
    <w:rsid w:val="001300A6"/>
    <w:rsid w:val="00130D96"/>
    <w:rsid w:val="001314CD"/>
    <w:rsid w:val="00131E9F"/>
    <w:rsid w:val="001332D5"/>
    <w:rsid w:val="00133EBE"/>
    <w:rsid w:val="00134555"/>
    <w:rsid w:val="00135289"/>
    <w:rsid w:val="00136179"/>
    <w:rsid w:val="00136613"/>
    <w:rsid w:val="00136D19"/>
    <w:rsid w:val="00137B4D"/>
    <w:rsid w:val="001402F9"/>
    <w:rsid w:val="00141814"/>
    <w:rsid w:val="00141A84"/>
    <w:rsid w:val="00141BA8"/>
    <w:rsid w:val="00141CD5"/>
    <w:rsid w:val="00142CB4"/>
    <w:rsid w:val="001430D8"/>
    <w:rsid w:val="001456F1"/>
    <w:rsid w:val="0014584F"/>
    <w:rsid w:val="00145B2A"/>
    <w:rsid w:val="00145C80"/>
    <w:rsid w:val="00147284"/>
    <w:rsid w:val="0014748F"/>
    <w:rsid w:val="00147BC3"/>
    <w:rsid w:val="00147FC3"/>
    <w:rsid w:val="00150FD0"/>
    <w:rsid w:val="00151249"/>
    <w:rsid w:val="001514C5"/>
    <w:rsid w:val="00152026"/>
    <w:rsid w:val="00152A6D"/>
    <w:rsid w:val="00152DD3"/>
    <w:rsid w:val="00153A91"/>
    <w:rsid w:val="00153FCE"/>
    <w:rsid w:val="00154BE0"/>
    <w:rsid w:val="001550CE"/>
    <w:rsid w:val="00155245"/>
    <w:rsid w:val="0015797A"/>
    <w:rsid w:val="00157A50"/>
    <w:rsid w:val="00157E3F"/>
    <w:rsid w:val="001610E0"/>
    <w:rsid w:val="0016125D"/>
    <w:rsid w:val="001613E5"/>
    <w:rsid w:val="00161816"/>
    <w:rsid w:val="00162196"/>
    <w:rsid w:val="001624B6"/>
    <w:rsid w:val="001626FC"/>
    <w:rsid w:val="00162C0C"/>
    <w:rsid w:val="00162E32"/>
    <w:rsid w:val="001634F7"/>
    <w:rsid w:val="00164D6B"/>
    <w:rsid w:val="00165A42"/>
    <w:rsid w:val="00165FAB"/>
    <w:rsid w:val="00166609"/>
    <w:rsid w:val="00166BB3"/>
    <w:rsid w:val="001670E3"/>
    <w:rsid w:val="0016727C"/>
    <w:rsid w:val="0016783C"/>
    <w:rsid w:val="001700AF"/>
    <w:rsid w:val="00170146"/>
    <w:rsid w:val="001706D6"/>
    <w:rsid w:val="0017158F"/>
    <w:rsid w:val="00171D42"/>
    <w:rsid w:val="00172509"/>
    <w:rsid w:val="00172650"/>
    <w:rsid w:val="00172A27"/>
    <w:rsid w:val="00173112"/>
    <w:rsid w:val="001734CA"/>
    <w:rsid w:val="00173E36"/>
    <w:rsid w:val="0017453A"/>
    <w:rsid w:val="00174572"/>
    <w:rsid w:val="00176425"/>
    <w:rsid w:val="001779C9"/>
    <w:rsid w:val="00177AEB"/>
    <w:rsid w:val="00180048"/>
    <w:rsid w:val="00180071"/>
    <w:rsid w:val="001800DD"/>
    <w:rsid w:val="001802F6"/>
    <w:rsid w:val="0018030A"/>
    <w:rsid w:val="00180A18"/>
    <w:rsid w:val="001821C5"/>
    <w:rsid w:val="0018359D"/>
    <w:rsid w:val="001840A0"/>
    <w:rsid w:val="00184EF8"/>
    <w:rsid w:val="00185FCD"/>
    <w:rsid w:val="00186118"/>
    <w:rsid w:val="001861D6"/>
    <w:rsid w:val="0018719B"/>
    <w:rsid w:val="0018748D"/>
    <w:rsid w:val="00190564"/>
    <w:rsid w:val="00190E62"/>
    <w:rsid w:val="00191D8A"/>
    <w:rsid w:val="00192CF4"/>
    <w:rsid w:val="001941CF"/>
    <w:rsid w:val="00194824"/>
    <w:rsid w:val="00194BB7"/>
    <w:rsid w:val="00194D12"/>
    <w:rsid w:val="00195B58"/>
    <w:rsid w:val="00196486"/>
    <w:rsid w:val="00196A9E"/>
    <w:rsid w:val="00196E98"/>
    <w:rsid w:val="00197F01"/>
    <w:rsid w:val="001A0618"/>
    <w:rsid w:val="001A1ADF"/>
    <w:rsid w:val="001A3F64"/>
    <w:rsid w:val="001A427A"/>
    <w:rsid w:val="001A457C"/>
    <w:rsid w:val="001A63FF"/>
    <w:rsid w:val="001A66B4"/>
    <w:rsid w:val="001A68B4"/>
    <w:rsid w:val="001A7D58"/>
    <w:rsid w:val="001B201A"/>
    <w:rsid w:val="001B27CB"/>
    <w:rsid w:val="001B527B"/>
    <w:rsid w:val="001B5630"/>
    <w:rsid w:val="001B5DFA"/>
    <w:rsid w:val="001B63B3"/>
    <w:rsid w:val="001B7748"/>
    <w:rsid w:val="001C0089"/>
    <w:rsid w:val="001C0442"/>
    <w:rsid w:val="001C09D6"/>
    <w:rsid w:val="001C0F3D"/>
    <w:rsid w:val="001C3134"/>
    <w:rsid w:val="001C3C73"/>
    <w:rsid w:val="001C3F29"/>
    <w:rsid w:val="001C4787"/>
    <w:rsid w:val="001C4B7E"/>
    <w:rsid w:val="001C534B"/>
    <w:rsid w:val="001C6CD7"/>
    <w:rsid w:val="001C7975"/>
    <w:rsid w:val="001D0B4B"/>
    <w:rsid w:val="001D1440"/>
    <w:rsid w:val="001D18EC"/>
    <w:rsid w:val="001D388B"/>
    <w:rsid w:val="001D39F4"/>
    <w:rsid w:val="001D3E4E"/>
    <w:rsid w:val="001D3F92"/>
    <w:rsid w:val="001D450E"/>
    <w:rsid w:val="001D474B"/>
    <w:rsid w:val="001D4753"/>
    <w:rsid w:val="001D4CB6"/>
    <w:rsid w:val="001D62B9"/>
    <w:rsid w:val="001D6EF9"/>
    <w:rsid w:val="001E1FC8"/>
    <w:rsid w:val="001E227F"/>
    <w:rsid w:val="001E2B7C"/>
    <w:rsid w:val="001E34A2"/>
    <w:rsid w:val="001E3E84"/>
    <w:rsid w:val="001E5A5C"/>
    <w:rsid w:val="001E6D1A"/>
    <w:rsid w:val="001E7091"/>
    <w:rsid w:val="001F0F51"/>
    <w:rsid w:val="001F128E"/>
    <w:rsid w:val="001F1604"/>
    <w:rsid w:val="001F4623"/>
    <w:rsid w:val="001F5AE8"/>
    <w:rsid w:val="001F6D56"/>
    <w:rsid w:val="001F7877"/>
    <w:rsid w:val="001F7A18"/>
    <w:rsid w:val="002003B4"/>
    <w:rsid w:val="00200A84"/>
    <w:rsid w:val="00200C58"/>
    <w:rsid w:val="00200D96"/>
    <w:rsid w:val="002043DC"/>
    <w:rsid w:val="002046C9"/>
    <w:rsid w:val="00204741"/>
    <w:rsid w:val="002056D0"/>
    <w:rsid w:val="002064FB"/>
    <w:rsid w:val="0020652A"/>
    <w:rsid w:val="002067E0"/>
    <w:rsid w:val="00206DCB"/>
    <w:rsid w:val="00206EA8"/>
    <w:rsid w:val="002070C3"/>
    <w:rsid w:val="002076F8"/>
    <w:rsid w:val="00207C9A"/>
    <w:rsid w:val="0021008C"/>
    <w:rsid w:val="0021041A"/>
    <w:rsid w:val="0021049B"/>
    <w:rsid w:val="00210BE5"/>
    <w:rsid w:val="00211EC6"/>
    <w:rsid w:val="0021318B"/>
    <w:rsid w:val="00214562"/>
    <w:rsid w:val="00215B14"/>
    <w:rsid w:val="00215B7D"/>
    <w:rsid w:val="00215BFC"/>
    <w:rsid w:val="00215C16"/>
    <w:rsid w:val="002162E3"/>
    <w:rsid w:val="00216ADD"/>
    <w:rsid w:val="0021762D"/>
    <w:rsid w:val="00217894"/>
    <w:rsid w:val="00220618"/>
    <w:rsid w:val="00220B47"/>
    <w:rsid w:val="00220B6C"/>
    <w:rsid w:val="00220B8A"/>
    <w:rsid w:val="00221941"/>
    <w:rsid w:val="00221D82"/>
    <w:rsid w:val="00222F36"/>
    <w:rsid w:val="002232C6"/>
    <w:rsid w:val="00223DF0"/>
    <w:rsid w:val="002243AF"/>
    <w:rsid w:val="00224C8F"/>
    <w:rsid w:val="0022503F"/>
    <w:rsid w:val="00226571"/>
    <w:rsid w:val="00227E63"/>
    <w:rsid w:val="002310DF"/>
    <w:rsid w:val="002311A6"/>
    <w:rsid w:val="00231DEF"/>
    <w:rsid w:val="00232304"/>
    <w:rsid w:val="002328C4"/>
    <w:rsid w:val="00232DED"/>
    <w:rsid w:val="002330EB"/>
    <w:rsid w:val="00233DAE"/>
    <w:rsid w:val="00233E2E"/>
    <w:rsid w:val="00234CBD"/>
    <w:rsid w:val="002351F6"/>
    <w:rsid w:val="002352C6"/>
    <w:rsid w:val="00235BCB"/>
    <w:rsid w:val="00235CD9"/>
    <w:rsid w:val="00235D1D"/>
    <w:rsid w:val="00236490"/>
    <w:rsid w:val="00236E08"/>
    <w:rsid w:val="002377FB"/>
    <w:rsid w:val="0023794F"/>
    <w:rsid w:val="002417F8"/>
    <w:rsid w:val="00242634"/>
    <w:rsid w:val="002430C4"/>
    <w:rsid w:val="00243F18"/>
    <w:rsid w:val="00244719"/>
    <w:rsid w:val="002451ED"/>
    <w:rsid w:val="00246562"/>
    <w:rsid w:val="002475C4"/>
    <w:rsid w:val="00247623"/>
    <w:rsid w:val="002477A3"/>
    <w:rsid w:val="00247EFD"/>
    <w:rsid w:val="00250703"/>
    <w:rsid w:val="002507BB"/>
    <w:rsid w:val="00250A43"/>
    <w:rsid w:val="00250C64"/>
    <w:rsid w:val="00250E34"/>
    <w:rsid w:val="0025131A"/>
    <w:rsid w:val="00251A4F"/>
    <w:rsid w:val="00251F6D"/>
    <w:rsid w:val="002525C3"/>
    <w:rsid w:val="00254704"/>
    <w:rsid w:val="00255A59"/>
    <w:rsid w:val="0026026D"/>
    <w:rsid w:val="00260FF2"/>
    <w:rsid w:val="002619DA"/>
    <w:rsid w:val="00262D11"/>
    <w:rsid w:val="002631C6"/>
    <w:rsid w:val="00265060"/>
    <w:rsid w:val="002651E4"/>
    <w:rsid w:val="00265CE2"/>
    <w:rsid w:val="00265DCE"/>
    <w:rsid w:val="0026650C"/>
    <w:rsid w:val="00266612"/>
    <w:rsid w:val="002668DE"/>
    <w:rsid w:val="00266B14"/>
    <w:rsid w:val="00266C1D"/>
    <w:rsid w:val="002677C1"/>
    <w:rsid w:val="00267A65"/>
    <w:rsid w:val="00267AA7"/>
    <w:rsid w:val="00270DBE"/>
    <w:rsid w:val="00272389"/>
    <w:rsid w:val="002724CD"/>
    <w:rsid w:val="00272676"/>
    <w:rsid w:val="0027335A"/>
    <w:rsid w:val="002743FC"/>
    <w:rsid w:val="00275E8E"/>
    <w:rsid w:val="0027687B"/>
    <w:rsid w:val="00280571"/>
    <w:rsid w:val="0028094B"/>
    <w:rsid w:val="00281E81"/>
    <w:rsid w:val="00282AF1"/>
    <w:rsid w:val="00282CA7"/>
    <w:rsid w:val="00283641"/>
    <w:rsid w:val="00283668"/>
    <w:rsid w:val="002853AF"/>
    <w:rsid w:val="00286005"/>
    <w:rsid w:val="00286087"/>
    <w:rsid w:val="00286C43"/>
    <w:rsid w:val="00286E24"/>
    <w:rsid w:val="002901B3"/>
    <w:rsid w:val="002914D1"/>
    <w:rsid w:val="00291685"/>
    <w:rsid w:val="00292009"/>
    <w:rsid w:val="00292E01"/>
    <w:rsid w:val="002942C8"/>
    <w:rsid w:val="00295350"/>
    <w:rsid w:val="00295C40"/>
    <w:rsid w:val="00296208"/>
    <w:rsid w:val="0029763D"/>
    <w:rsid w:val="002977E7"/>
    <w:rsid w:val="002A0081"/>
    <w:rsid w:val="002A01AA"/>
    <w:rsid w:val="002A0398"/>
    <w:rsid w:val="002A0C0D"/>
    <w:rsid w:val="002A15C2"/>
    <w:rsid w:val="002A1A78"/>
    <w:rsid w:val="002A1D87"/>
    <w:rsid w:val="002A287F"/>
    <w:rsid w:val="002A34D1"/>
    <w:rsid w:val="002A3E7C"/>
    <w:rsid w:val="002A3FB6"/>
    <w:rsid w:val="002A4946"/>
    <w:rsid w:val="002A577F"/>
    <w:rsid w:val="002A5F20"/>
    <w:rsid w:val="002A64BD"/>
    <w:rsid w:val="002A68A2"/>
    <w:rsid w:val="002A691B"/>
    <w:rsid w:val="002A6FE6"/>
    <w:rsid w:val="002A77AE"/>
    <w:rsid w:val="002A7976"/>
    <w:rsid w:val="002B18F3"/>
    <w:rsid w:val="002B23DA"/>
    <w:rsid w:val="002B2815"/>
    <w:rsid w:val="002B2B78"/>
    <w:rsid w:val="002B2D11"/>
    <w:rsid w:val="002B2FA2"/>
    <w:rsid w:val="002B302C"/>
    <w:rsid w:val="002B3570"/>
    <w:rsid w:val="002B3AB2"/>
    <w:rsid w:val="002B55E0"/>
    <w:rsid w:val="002B57A6"/>
    <w:rsid w:val="002B5F71"/>
    <w:rsid w:val="002B6211"/>
    <w:rsid w:val="002B68B4"/>
    <w:rsid w:val="002B7090"/>
    <w:rsid w:val="002B7A44"/>
    <w:rsid w:val="002C0301"/>
    <w:rsid w:val="002C26C5"/>
    <w:rsid w:val="002C309C"/>
    <w:rsid w:val="002C30EC"/>
    <w:rsid w:val="002C4272"/>
    <w:rsid w:val="002C4E19"/>
    <w:rsid w:val="002C51D1"/>
    <w:rsid w:val="002C5CED"/>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23A2"/>
    <w:rsid w:val="002E2C72"/>
    <w:rsid w:val="002E3F8C"/>
    <w:rsid w:val="002E4021"/>
    <w:rsid w:val="002E4079"/>
    <w:rsid w:val="002E4893"/>
    <w:rsid w:val="002E4CC9"/>
    <w:rsid w:val="002E5529"/>
    <w:rsid w:val="002E6580"/>
    <w:rsid w:val="002E77F4"/>
    <w:rsid w:val="002F012D"/>
    <w:rsid w:val="002F0F41"/>
    <w:rsid w:val="002F135F"/>
    <w:rsid w:val="002F3C52"/>
    <w:rsid w:val="002F3D4C"/>
    <w:rsid w:val="002F4CE7"/>
    <w:rsid w:val="002F4EDB"/>
    <w:rsid w:val="002F5A89"/>
    <w:rsid w:val="002F5C9D"/>
    <w:rsid w:val="002F5DB0"/>
    <w:rsid w:val="002F6DE5"/>
    <w:rsid w:val="002F78FC"/>
    <w:rsid w:val="0030013D"/>
    <w:rsid w:val="00301552"/>
    <w:rsid w:val="00301AED"/>
    <w:rsid w:val="003035E8"/>
    <w:rsid w:val="0030362A"/>
    <w:rsid w:val="00304568"/>
    <w:rsid w:val="00304956"/>
    <w:rsid w:val="00304C95"/>
    <w:rsid w:val="00305963"/>
    <w:rsid w:val="00306BF5"/>
    <w:rsid w:val="00307A3B"/>
    <w:rsid w:val="0031065E"/>
    <w:rsid w:val="00310B04"/>
    <w:rsid w:val="00310FBF"/>
    <w:rsid w:val="00312B75"/>
    <w:rsid w:val="00312C8A"/>
    <w:rsid w:val="00312EFD"/>
    <w:rsid w:val="003139A4"/>
    <w:rsid w:val="0031513F"/>
    <w:rsid w:val="003162EB"/>
    <w:rsid w:val="00320243"/>
    <w:rsid w:val="003203A4"/>
    <w:rsid w:val="00320595"/>
    <w:rsid w:val="00320612"/>
    <w:rsid w:val="00320B53"/>
    <w:rsid w:val="00322E5E"/>
    <w:rsid w:val="003233A5"/>
    <w:rsid w:val="0032402B"/>
    <w:rsid w:val="00324155"/>
    <w:rsid w:val="003251BB"/>
    <w:rsid w:val="003261E2"/>
    <w:rsid w:val="00326895"/>
    <w:rsid w:val="00326A09"/>
    <w:rsid w:val="00327A75"/>
    <w:rsid w:val="00327B3D"/>
    <w:rsid w:val="00330EA4"/>
    <w:rsid w:val="0033147E"/>
    <w:rsid w:val="003316BE"/>
    <w:rsid w:val="00331DEA"/>
    <w:rsid w:val="00332C4B"/>
    <w:rsid w:val="00334B63"/>
    <w:rsid w:val="00334DDE"/>
    <w:rsid w:val="003350B7"/>
    <w:rsid w:val="00337628"/>
    <w:rsid w:val="00337C3A"/>
    <w:rsid w:val="00337FCF"/>
    <w:rsid w:val="00340DBF"/>
    <w:rsid w:val="00341D13"/>
    <w:rsid w:val="00342071"/>
    <w:rsid w:val="00342139"/>
    <w:rsid w:val="0034298B"/>
    <w:rsid w:val="00342EAC"/>
    <w:rsid w:val="00343C10"/>
    <w:rsid w:val="00345202"/>
    <w:rsid w:val="0034613D"/>
    <w:rsid w:val="0034625C"/>
    <w:rsid w:val="00346E62"/>
    <w:rsid w:val="003471FF"/>
    <w:rsid w:val="00347200"/>
    <w:rsid w:val="00347474"/>
    <w:rsid w:val="003476E7"/>
    <w:rsid w:val="00347D3A"/>
    <w:rsid w:val="00347E57"/>
    <w:rsid w:val="00350234"/>
    <w:rsid w:val="003503FE"/>
    <w:rsid w:val="00350D98"/>
    <w:rsid w:val="00351411"/>
    <w:rsid w:val="00351A80"/>
    <w:rsid w:val="00352E08"/>
    <w:rsid w:val="003535CA"/>
    <w:rsid w:val="003540EA"/>
    <w:rsid w:val="00354183"/>
    <w:rsid w:val="003546CF"/>
    <w:rsid w:val="003549B1"/>
    <w:rsid w:val="003556D8"/>
    <w:rsid w:val="00356966"/>
    <w:rsid w:val="00360575"/>
    <w:rsid w:val="00360E12"/>
    <w:rsid w:val="00360F49"/>
    <w:rsid w:val="00361155"/>
    <w:rsid w:val="00361A09"/>
    <w:rsid w:val="00361C67"/>
    <w:rsid w:val="003621E7"/>
    <w:rsid w:val="00363E92"/>
    <w:rsid w:val="0036400A"/>
    <w:rsid w:val="003647F7"/>
    <w:rsid w:val="00365FD4"/>
    <w:rsid w:val="003661FE"/>
    <w:rsid w:val="003665E0"/>
    <w:rsid w:val="00367964"/>
    <w:rsid w:val="00367C85"/>
    <w:rsid w:val="00367E52"/>
    <w:rsid w:val="003702E1"/>
    <w:rsid w:val="003713D6"/>
    <w:rsid w:val="0037160D"/>
    <w:rsid w:val="003717C3"/>
    <w:rsid w:val="00371EA0"/>
    <w:rsid w:val="00372F1F"/>
    <w:rsid w:val="00373279"/>
    <w:rsid w:val="003743A3"/>
    <w:rsid w:val="0037505A"/>
    <w:rsid w:val="0037548D"/>
    <w:rsid w:val="00375546"/>
    <w:rsid w:val="00375DF3"/>
    <w:rsid w:val="00375E8D"/>
    <w:rsid w:val="003760BB"/>
    <w:rsid w:val="00376ABC"/>
    <w:rsid w:val="00376CE0"/>
    <w:rsid w:val="0037748D"/>
    <w:rsid w:val="00377BE2"/>
    <w:rsid w:val="00377CBB"/>
    <w:rsid w:val="00377D14"/>
    <w:rsid w:val="00381553"/>
    <w:rsid w:val="00382FD1"/>
    <w:rsid w:val="00383F10"/>
    <w:rsid w:val="00384D21"/>
    <w:rsid w:val="00384ECB"/>
    <w:rsid w:val="003851FE"/>
    <w:rsid w:val="00385230"/>
    <w:rsid w:val="00386368"/>
    <w:rsid w:val="003879C4"/>
    <w:rsid w:val="0039086A"/>
    <w:rsid w:val="00390F9C"/>
    <w:rsid w:val="0039119A"/>
    <w:rsid w:val="003919E9"/>
    <w:rsid w:val="00391DDA"/>
    <w:rsid w:val="00391EE3"/>
    <w:rsid w:val="00392264"/>
    <w:rsid w:val="003924A0"/>
    <w:rsid w:val="00393310"/>
    <w:rsid w:val="003945E6"/>
    <w:rsid w:val="00394B37"/>
    <w:rsid w:val="003958BD"/>
    <w:rsid w:val="00395A45"/>
    <w:rsid w:val="00395E08"/>
    <w:rsid w:val="00396019"/>
    <w:rsid w:val="00397311"/>
    <w:rsid w:val="00397477"/>
    <w:rsid w:val="0039775F"/>
    <w:rsid w:val="00397A29"/>
    <w:rsid w:val="003A1A3D"/>
    <w:rsid w:val="003A44ED"/>
    <w:rsid w:val="003A4D34"/>
    <w:rsid w:val="003A4D85"/>
    <w:rsid w:val="003A501D"/>
    <w:rsid w:val="003A58F1"/>
    <w:rsid w:val="003A5AAE"/>
    <w:rsid w:val="003A62F5"/>
    <w:rsid w:val="003A6E38"/>
    <w:rsid w:val="003A70E8"/>
    <w:rsid w:val="003A7383"/>
    <w:rsid w:val="003A7F69"/>
    <w:rsid w:val="003B045A"/>
    <w:rsid w:val="003B0981"/>
    <w:rsid w:val="003B2C85"/>
    <w:rsid w:val="003B36E2"/>
    <w:rsid w:val="003B3D68"/>
    <w:rsid w:val="003B3F28"/>
    <w:rsid w:val="003B4BB1"/>
    <w:rsid w:val="003B5313"/>
    <w:rsid w:val="003B5F30"/>
    <w:rsid w:val="003B7CA0"/>
    <w:rsid w:val="003B7D5B"/>
    <w:rsid w:val="003B7ED6"/>
    <w:rsid w:val="003C125E"/>
    <w:rsid w:val="003C22B4"/>
    <w:rsid w:val="003C28D2"/>
    <w:rsid w:val="003C29A6"/>
    <w:rsid w:val="003C3CAF"/>
    <w:rsid w:val="003C4594"/>
    <w:rsid w:val="003C4CA3"/>
    <w:rsid w:val="003C5CE2"/>
    <w:rsid w:val="003C63FF"/>
    <w:rsid w:val="003C6706"/>
    <w:rsid w:val="003C7293"/>
    <w:rsid w:val="003C77FA"/>
    <w:rsid w:val="003C7872"/>
    <w:rsid w:val="003D0048"/>
    <w:rsid w:val="003D10C1"/>
    <w:rsid w:val="003D1128"/>
    <w:rsid w:val="003D135C"/>
    <w:rsid w:val="003D16A3"/>
    <w:rsid w:val="003D1A3E"/>
    <w:rsid w:val="003D1BBA"/>
    <w:rsid w:val="003D2E2C"/>
    <w:rsid w:val="003D2FEB"/>
    <w:rsid w:val="003D4B8A"/>
    <w:rsid w:val="003D53F8"/>
    <w:rsid w:val="003D62F5"/>
    <w:rsid w:val="003D65AF"/>
    <w:rsid w:val="003D76B7"/>
    <w:rsid w:val="003E0088"/>
    <w:rsid w:val="003E0CBE"/>
    <w:rsid w:val="003E18DB"/>
    <w:rsid w:val="003E1DD4"/>
    <w:rsid w:val="003E1FA5"/>
    <w:rsid w:val="003E232D"/>
    <w:rsid w:val="003E3FC0"/>
    <w:rsid w:val="003E42E9"/>
    <w:rsid w:val="003E5758"/>
    <w:rsid w:val="003E5837"/>
    <w:rsid w:val="003E64E1"/>
    <w:rsid w:val="003E6735"/>
    <w:rsid w:val="003E6ACE"/>
    <w:rsid w:val="003E7137"/>
    <w:rsid w:val="003E77D5"/>
    <w:rsid w:val="003E7FD8"/>
    <w:rsid w:val="003F03E6"/>
    <w:rsid w:val="003F097A"/>
    <w:rsid w:val="003F0C3C"/>
    <w:rsid w:val="003F270D"/>
    <w:rsid w:val="003F2F50"/>
    <w:rsid w:val="003F41C6"/>
    <w:rsid w:val="003F43C4"/>
    <w:rsid w:val="003F4A3F"/>
    <w:rsid w:val="003F578C"/>
    <w:rsid w:val="003F5B4C"/>
    <w:rsid w:val="003F6351"/>
    <w:rsid w:val="003F7631"/>
    <w:rsid w:val="003F7C80"/>
    <w:rsid w:val="0040043D"/>
    <w:rsid w:val="00401830"/>
    <w:rsid w:val="00402CD5"/>
    <w:rsid w:val="004032CE"/>
    <w:rsid w:val="004034F9"/>
    <w:rsid w:val="00403648"/>
    <w:rsid w:val="00403860"/>
    <w:rsid w:val="004038DA"/>
    <w:rsid w:val="00404A5A"/>
    <w:rsid w:val="0040522E"/>
    <w:rsid w:val="00405C40"/>
    <w:rsid w:val="004060E2"/>
    <w:rsid w:val="00406810"/>
    <w:rsid w:val="00407716"/>
    <w:rsid w:val="00407DCA"/>
    <w:rsid w:val="004113D3"/>
    <w:rsid w:val="004118E4"/>
    <w:rsid w:val="00412CDB"/>
    <w:rsid w:val="00412FA0"/>
    <w:rsid w:val="00413008"/>
    <w:rsid w:val="00413046"/>
    <w:rsid w:val="004146E9"/>
    <w:rsid w:val="0041475B"/>
    <w:rsid w:val="004177BB"/>
    <w:rsid w:val="00417E31"/>
    <w:rsid w:val="00417F47"/>
    <w:rsid w:val="00420232"/>
    <w:rsid w:val="004205CC"/>
    <w:rsid w:val="004209D9"/>
    <w:rsid w:val="00420D40"/>
    <w:rsid w:val="0042104F"/>
    <w:rsid w:val="004215DE"/>
    <w:rsid w:val="00421E5C"/>
    <w:rsid w:val="004220A7"/>
    <w:rsid w:val="00422AB7"/>
    <w:rsid w:val="00422D34"/>
    <w:rsid w:val="0042312D"/>
    <w:rsid w:val="00423F33"/>
    <w:rsid w:val="00424544"/>
    <w:rsid w:val="00426139"/>
    <w:rsid w:val="00426640"/>
    <w:rsid w:val="0042685F"/>
    <w:rsid w:val="00426E25"/>
    <w:rsid w:val="00427389"/>
    <w:rsid w:val="00427BF2"/>
    <w:rsid w:val="00427BF6"/>
    <w:rsid w:val="00430055"/>
    <w:rsid w:val="00430208"/>
    <w:rsid w:val="00430C7C"/>
    <w:rsid w:val="00431033"/>
    <w:rsid w:val="00431CF3"/>
    <w:rsid w:val="00433628"/>
    <w:rsid w:val="00433D50"/>
    <w:rsid w:val="004347DB"/>
    <w:rsid w:val="00434D3F"/>
    <w:rsid w:val="0043502C"/>
    <w:rsid w:val="00435D98"/>
    <w:rsid w:val="00437794"/>
    <w:rsid w:val="00440440"/>
    <w:rsid w:val="004405A7"/>
    <w:rsid w:val="00440A15"/>
    <w:rsid w:val="00440DD1"/>
    <w:rsid w:val="00441814"/>
    <w:rsid w:val="00442A74"/>
    <w:rsid w:val="00444875"/>
    <w:rsid w:val="00444944"/>
    <w:rsid w:val="00444ADE"/>
    <w:rsid w:val="00444F2D"/>
    <w:rsid w:val="00444FBF"/>
    <w:rsid w:val="00444FEA"/>
    <w:rsid w:val="004455E0"/>
    <w:rsid w:val="0044566F"/>
    <w:rsid w:val="0044590A"/>
    <w:rsid w:val="00445A29"/>
    <w:rsid w:val="00445C68"/>
    <w:rsid w:val="004463FA"/>
    <w:rsid w:val="00447010"/>
    <w:rsid w:val="00451499"/>
    <w:rsid w:val="00451601"/>
    <w:rsid w:val="00451670"/>
    <w:rsid w:val="00453D25"/>
    <w:rsid w:val="0045446F"/>
    <w:rsid w:val="00454764"/>
    <w:rsid w:val="0045573F"/>
    <w:rsid w:val="004558C0"/>
    <w:rsid w:val="00455CDB"/>
    <w:rsid w:val="0045697D"/>
    <w:rsid w:val="00456DC5"/>
    <w:rsid w:val="00457BA2"/>
    <w:rsid w:val="00457D13"/>
    <w:rsid w:val="00460875"/>
    <w:rsid w:val="00461271"/>
    <w:rsid w:val="004613CB"/>
    <w:rsid w:val="00461BB3"/>
    <w:rsid w:val="00461FA0"/>
    <w:rsid w:val="004649E8"/>
    <w:rsid w:val="00464E44"/>
    <w:rsid w:val="00465ACD"/>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2A1D"/>
    <w:rsid w:val="00483609"/>
    <w:rsid w:val="004879B0"/>
    <w:rsid w:val="00490DF0"/>
    <w:rsid w:val="00491E86"/>
    <w:rsid w:val="0049360B"/>
    <w:rsid w:val="00494183"/>
    <w:rsid w:val="004942E2"/>
    <w:rsid w:val="00495024"/>
    <w:rsid w:val="00495A8F"/>
    <w:rsid w:val="004960A1"/>
    <w:rsid w:val="004A031E"/>
    <w:rsid w:val="004A160E"/>
    <w:rsid w:val="004A2614"/>
    <w:rsid w:val="004A3C36"/>
    <w:rsid w:val="004A44F9"/>
    <w:rsid w:val="004A4A28"/>
    <w:rsid w:val="004A4A5D"/>
    <w:rsid w:val="004A4E63"/>
    <w:rsid w:val="004A566C"/>
    <w:rsid w:val="004A6544"/>
    <w:rsid w:val="004A6DEF"/>
    <w:rsid w:val="004A7269"/>
    <w:rsid w:val="004A764A"/>
    <w:rsid w:val="004A7EB2"/>
    <w:rsid w:val="004B003B"/>
    <w:rsid w:val="004B0CAF"/>
    <w:rsid w:val="004B1BB4"/>
    <w:rsid w:val="004B2ECC"/>
    <w:rsid w:val="004B30EA"/>
    <w:rsid w:val="004B349C"/>
    <w:rsid w:val="004B6919"/>
    <w:rsid w:val="004C02C5"/>
    <w:rsid w:val="004C05A3"/>
    <w:rsid w:val="004C0661"/>
    <w:rsid w:val="004C0BF6"/>
    <w:rsid w:val="004C1786"/>
    <w:rsid w:val="004C19ED"/>
    <w:rsid w:val="004C1B94"/>
    <w:rsid w:val="004C2D4C"/>
    <w:rsid w:val="004C3AE4"/>
    <w:rsid w:val="004C3FFD"/>
    <w:rsid w:val="004C4152"/>
    <w:rsid w:val="004C427D"/>
    <w:rsid w:val="004C43D4"/>
    <w:rsid w:val="004C512B"/>
    <w:rsid w:val="004C6568"/>
    <w:rsid w:val="004C6B05"/>
    <w:rsid w:val="004C6E6A"/>
    <w:rsid w:val="004C7139"/>
    <w:rsid w:val="004C7F81"/>
    <w:rsid w:val="004D0303"/>
    <w:rsid w:val="004D3DC2"/>
    <w:rsid w:val="004D410E"/>
    <w:rsid w:val="004D4BB7"/>
    <w:rsid w:val="004D4C0A"/>
    <w:rsid w:val="004D4D3D"/>
    <w:rsid w:val="004D4E06"/>
    <w:rsid w:val="004D537C"/>
    <w:rsid w:val="004D58E6"/>
    <w:rsid w:val="004D608D"/>
    <w:rsid w:val="004D6D97"/>
    <w:rsid w:val="004D775B"/>
    <w:rsid w:val="004D7889"/>
    <w:rsid w:val="004E0C0B"/>
    <w:rsid w:val="004E1725"/>
    <w:rsid w:val="004E2466"/>
    <w:rsid w:val="004E3116"/>
    <w:rsid w:val="004E31F5"/>
    <w:rsid w:val="004E3619"/>
    <w:rsid w:val="004E376B"/>
    <w:rsid w:val="004E3CDE"/>
    <w:rsid w:val="004E3E9E"/>
    <w:rsid w:val="004E477E"/>
    <w:rsid w:val="004E6C96"/>
    <w:rsid w:val="004E7BEF"/>
    <w:rsid w:val="004E7D8F"/>
    <w:rsid w:val="004F03DE"/>
    <w:rsid w:val="004F109D"/>
    <w:rsid w:val="004F1989"/>
    <w:rsid w:val="004F2E08"/>
    <w:rsid w:val="004F3582"/>
    <w:rsid w:val="004F36A1"/>
    <w:rsid w:val="004F40DC"/>
    <w:rsid w:val="004F4B52"/>
    <w:rsid w:val="004F4EB7"/>
    <w:rsid w:val="004F5037"/>
    <w:rsid w:val="004F50CB"/>
    <w:rsid w:val="004F58B6"/>
    <w:rsid w:val="004F6166"/>
    <w:rsid w:val="004F6D43"/>
    <w:rsid w:val="004F78E8"/>
    <w:rsid w:val="004F7AFB"/>
    <w:rsid w:val="004F7F83"/>
    <w:rsid w:val="00500585"/>
    <w:rsid w:val="00501404"/>
    <w:rsid w:val="00501517"/>
    <w:rsid w:val="005029DA"/>
    <w:rsid w:val="005043D8"/>
    <w:rsid w:val="00505C6D"/>
    <w:rsid w:val="00505D27"/>
    <w:rsid w:val="0050689B"/>
    <w:rsid w:val="005069C5"/>
    <w:rsid w:val="005070D6"/>
    <w:rsid w:val="005072F9"/>
    <w:rsid w:val="00507859"/>
    <w:rsid w:val="00507FED"/>
    <w:rsid w:val="00510229"/>
    <w:rsid w:val="00511534"/>
    <w:rsid w:val="005118A7"/>
    <w:rsid w:val="00512DAC"/>
    <w:rsid w:val="0051381F"/>
    <w:rsid w:val="00513B7F"/>
    <w:rsid w:val="00516316"/>
    <w:rsid w:val="005163A0"/>
    <w:rsid w:val="0051674E"/>
    <w:rsid w:val="00516EC0"/>
    <w:rsid w:val="005173CD"/>
    <w:rsid w:val="0051782C"/>
    <w:rsid w:val="00517E2B"/>
    <w:rsid w:val="00521295"/>
    <w:rsid w:val="00521E40"/>
    <w:rsid w:val="005222CB"/>
    <w:rsid w:val="005229BA"/>
    <w:rsid w:val="00523465"/>
    <w:rsid w:val="00523CDE"/>
    <w:rsid w:val="00523F54"/>
    <w:rsid w:val="0052486F"/>
    <w:rsid w:val="005254C3"/>
    <w:rsid w:val="005261D5"/>
    <w:rsid w:val="00526CB0"/>
    <w:rsid w:val="00526D36"/>
    <w:rsid w:val="0052772E"/>
    <w:rsid w:val="00527C84"/>
    <w:rsid w:val="0053016B"/>
    <w:rsid w:val="00530C01"/>
    <w:rsid w:val="00530EE1"/>
    <w:rsid w:val="0053122C"/>
    <w:rsid w:val="00531550"/>
    <w:rsid w:val="00531DE3"/>
    <w:rsid w:val="005323F4"/>
    <w:rsid w:val="005324FB"/>
    <w:rsid w:val="0053256D"/>
    <w:rsid w:val="00533802"/>
    <w:rsid w:val="00533A2B"/>
    <w:rsid w:val="00535C23"/>
    <w:rsid w:val="00535EC1"/>
    <w:rsid w:val="00535F15"/>
    <w:rsid w:val="0053724C"/>
    <w:rsid w:val="005377D6"/>
    <w:rsid w:val="0053789C"/>
    <w:rsid w:val="005405EF"/>
    <w:rsid w:val="00540A1C"/>
    <w:rsid w:val="00540C2B"/>
    <w:rsid w:val="00540D00"/>
    <w:rsid w:val="005418AC"/>
    <w:rsid w:val="005427F4"/>
    <w:rsid w:val="00543147"/>
    <w:rsid w:val="005445A9"/>
    <w:rsid w:val="00546683"/>
    <w:rsid w:val="00546BD8"/>
    <w:rsid w:val="0055298B"/>
    <w:rsid w:val="005536F4"/>
    <w:rsid w:val="00554BB2"/>
    <w:rsid w:val="00554D06"/>
    <w:rsid w:val="0055552A"/>
    <w:rsid w:val="005559B0"/>
    <w:rsid w:val="00555FDF"/>
    <w:rsid w:val="005561E4"/>
    <w:rsid w:val="00556A2E"/>
    <w:rsid w:val="005575D9"/>
    <w:rsid w:val="00561822"/>
    <w:rsid w:val="00563059"/>
    <w:rsid w:val="0056314F"/>
    <w:rsid w:val="005636B2"/>
    <w:rsid w:val="0056385D"/>
    <w:rsid w:val="00563A5E"/>
    <w:rsid w:val="0056407B"/>
    <w:rsid w:val="00564F6A"/>
    <w:rsid w:val="00565347"/>
    <w:rsid w:val="00565794"/>
    <w:rsid w:val="00565D56"/>
    <w:rsid w:val="00566255"/>
    <w:rsid w:val="00566672"/>
    <w:rsid w:val="00567543"/>
    <w:rsid w:val="00567C00"/>
    <w:rsid w:val="005700F5"/>
    <w:rsid w:val="005702CB"/>
    <w:rsid w:val="005713B5"/>
    <w:rsid w:val="00571458"/>
    <w:rsid w:val="00571548"/>
    <w:rsid w:val="00571781"/>
    <w:rsid w:val="00571A0D"/>
    <w:rsid w:val="00572AAE"/>
    <w:rsid w:val="00573D9D"/>
    <w:rsid w:val="00574420"/>
    <w:rsid w:val="00574752"/>
    <w:rsid w:val="00574838"/>
    <w:rsid w:val="00575585"/>
    <w:rsid w:val="00580301"/>
    <w:rsid w:val="005809E2"/>
    <w:rsid w:val="005820D0"/>
    <w:rsid w:val="0058257E"/>
    <w:rsid w:val="00583B8F"/>
    <w:rsid w:val="00584362"/>
    <w:rsid w:val="005844A5"/>
    <w:rsid w:val="0058464C"/>
    <w:rsid w:val="00585209"/>
    <w:rsid w:val="0058539E"/>
    <w:rsid w:val="00587556"/>
    <w:rsid w:val="005875A9"/>
    <w:rsid w:val="00587734"/>
    <w:rsid w:val="00590135"/>
    <w:rsid w:val="00590AF8"/>
    <w:rsid w:val="00592D0D"/>
    <w:rsid w:val="00593A0F"/>
    <w:rsid w:val="00593E7B"/>
    <w:rsid w:val="00593F62"/>
    <w:rsid w:val="005942B8"/>
    <w:rsid w:val="005946A1"/>
    <w:rsid w:val="0059509A"/>
    <w:rsid w:val="005955E8"/>
    <w:rsid w:val="005969A2"/>
    <w:rsid w:val="005973F1"/>
    <w:rsid w:val="00597763"/>
    <w:rsid w:val="00597BD5"/>
    <w:rsid w:val="005A18D1"/>
    <w:rsid w:val="005A195B"/>
    <w:rsid w:val="005A1D4E"/>
    <w:rsid w:val="005A28E2"/>
    <w:rsid w:val="005A2FB6"/>
    <w:rsid w:val="005A30E8"/>
    <w:rsid w:val="005A3641"/>
    <w:rsid w:val="005A38FE"/>
    <w:rsid w:val="005A44FB"/>
    <w:rsid w:val="005A5911"/>
    <w:rsid w:val="005A5DD0"/>
    <w:rsid w:val="005A7084"/>
    <w:rsid w:val="005A7BE9"/>
    <w:rsid w:val="005B0070"/>
    <w:rsid w:val="005B04D5"/>
    <w:rsid w:val="005B063F"/>
    <w:rsid w:val="005B0D4F"/>
    <w:rsid w:val="005B0E62"/>
    <w:rsid w:val="005B2086"/>
    <w:rsid w:val="005B336E"/>
    <w:rsid w:val="005B38F6"/>
    <w:rsid w:val="005B4EF1"/>
    <w:rsid w:val="005B53B5"/>
    <w:rsid w:val="005B5DBA"/>
    <w:rsid w:val="005B635E"/>
    <w:rsid w:val="005B69C0"/>
    <w:rsid w:val="005B6FF1"/>
    <w:rsid w:val="005B7F1A"/>
    <w:rsid w:val="005B7FD0"/>
    <w:rsid w:val="005C13D6"/>
    <w:rsid w:val="005C26FA"/>
    <w:rsid w:val="005C2C78"/>
    <w:rsid w:val="005C30E6"/>
    <w:rsid w:val="005C313A"/>
    <w:rsid w:val="005C3221"/>
    <w:rsid w:val="005C32D3"/>
    <w:rsid w:val="005C34B4"/>
    <w:rsid w:val="005C34F5"/>
    <w:rsid w:val="005C45F2"/>
    <w:rsid w:val="005C5C1E"/>
    <w:rsid w:val="005C6A43"/>
    <w:rsid w:val="005C6BF7"/>
    <w:rsid w:val="005C7A8A"/>
    <w:rsid w:val="005C7D0E"/>
    <w:rsid w:val="005C7E4A"/>
    <w:rsid w:val="005D1035"/>
    <w:rsid w:val="005D1207"/>
    <w:rsid w:val="005D124C"/>
    <w:rsid w:val="005D13EF"/>
    <w:rsid w:val="005D1BFF"/>
    <w:rsid w:val="005D1E8D"/>
    <w:rsid w:val="005D20C6"/>
    <w:rsid w:val="005D281F"/>
    <w:rsid w:val="005D2AAD"/>
    <w:rsid w:val="005D3F4B"/>
    <w:rsid w:val="005D468E"/>
    <w:rsid w:val="005D54A2"/>
    <w:rsid w:val="005D54F8"/>
    <w:rsid w:val="005D5C77"/>
    <w:rsid w:val="005D5D73"/>
    <w:rsid w:val="005D630F"/>
    <w:rsid w:val="005D6B09"/>
    <w:rsid w:val="005D6E9A"/>
    <w:rsid w:val="005D7222"/>
    <w:rsid w:val="005D762C"/>
    <w:rsid w:val="005E0235"/>
    <w:rsid w:val="005E07B4"/>
    <w:rsid w:val="005E0CB9"/>
    <w:rsid w:val="005E29E0"/>
    <w:rsid w:val="005E59DD"/>
    <w:rsid w:val="005E5B15"/>
    <w:rsid w:val="005E602B"/>
    <w:rsid w:val="005E6C42"/>
    <w:rsid w:val="005E6F36"/>
    <w:rsid w:val="005E710B"/>
    <w:rsid w:val="005E7218"/>
    <w:rsid w:val="005E7317"/>
    <w:rsid w:val="005E7738"/>
    <w:rsid w:val="005E777D"/>
    <w:rsid w:val="005E785E"/>
    <w:rsid w:val="005F01B8"/>
    <w:rsid w:val="005F0D16"/>
    <w:rsid w:val="005F13BC"/>
    <w:rsid w:val="005F1908"/>
    <w:rsid w:val="005F1AAA"/>
    <w:rsid w:val="005F2006"/>
    <w:rsid w:val="005F2386"/>
    <w:rsid w:val="005F2E39"/>
    <w:rsid w:val="005F523A"/>
    <w:rsid w:val="005F5AE4"/>
    <w:rsid w:val="005F64A0"/>
    <w:rsid w:val="005F661E"/>
    <w:rsid w:val="005F7C8C"/>
    <w:rsid w:val="005F7CF6"/>
    <w:rsid w:val="00600326"/>
    <w:rsid w:val="00600824"/>
    <w:rsid w:val="0060155D"/>
    <w:rsid w:val="006019B3"/>
    <w:rsid w:val="00601BDC"/>
    <w:rsid w:val="00601C66"/>
    <w:rsid w:val="0060299A"/>
    <w:rsid w:val="006035BD"/>
    <w:rsid w:val="00604620"/>
    <w:rsid w:val="00605455"/>
    <w:rsid w:val="006059B7"/>
    <w:rsid w:val="006064AE"/>
    <w:rsid w:val="006064DA"/>
    <w:rsid w:val="006067DD"/>
    <w:rsid w:val="00606FE8"/>
    <w:rsid w:val="006074F1"/>
    <w:rsid w:val="006075B7"/>
    <w:rsid w:val="006078E9"/>
    <w:rsid w:val="006101D6"/>
    <w:rsid w:val="0061051E"/>
    <w:rsid w:val="0061054F"/>
    <w:rsid w:val="00610E9D"/>
    <w:rsid w:val="006112D4"/>
    <w:rsid w:val="00611C20"/>
    <w:rsid w:val="00611DA1"/>
    <w:rsid w:val="0061217D"/>
    <w:rsid w:val="00612231"/>
    <w:rsid w:val="00612374"/>
    <w:rsid w:val="00612815"/>
    <w:rsid w:val="006136B4"/>
    <w:rsid w:val="00615379"/>
    <w:rsid w:val="006166D3"/>
    <w:rsid w:val="00616930"/>
    <w:rsid w:val="00617D08"/>
    <w:rsid w:val="00620C37"/>
    <w:rsid w:val="006225BC"/>
    <w:rsid w:val="0062271C"/>
    <w:rsid w:val="00622AB6"/>
    <w:rsid w:val="0062404A"/>
    <w:rsid w:val="00624E5F"/>
    <w:rsid w:val="00624E70"/>
    <w:rsid w:val="00625602"/>
    <w:rsid w:val="00625F5F"/>
    <w:rsid w:val="00627321"/>
    <w:rsid w:val="006274C7"/>
    <w:rsid w:val="006278B6"/>
    <w:rsid w:val="00630869"/>
    <w:rsid w:val="00630BA3"/>
    <w:rsid w:val="00630E40"/>
    <w:rsid w:val="00630FB6"/>
    <w:rsid w:val="00632AB6"/>
    <w:rsid w:val="006340B0"/>
    <w:rsid w:val="0063501D"/>
    <w:rsid w:val="00635C7B"/>
    <w:rsid w:val="00636868"/>
    <w:rsid w:val="0063744B"/>
    <w:rsid w:val="0063790B"/>
    <w:rsid w:val="00637DA4"/>
    <w:rsid w:val="00637E74"/>
    <w:rsid w:val="00640A6A"/>
    <w:rsid w:val="006432F5"/>
    <w:rsid w:val="00643602"/>
    <w:rsid w:val="0064396B"/>
    <w:rsid w:val="00643BBE"/>
    <w:rsid w:val="00643C9F"/>
    <w:rsid w:val="00644389"/>
    <w:rsid w:val="006445B4"/>
    <w:rsid w:val="006454C4"/>
    <w:rsid w:val="00645A96"/>
    <w:rsid w:val="00645D5E"/>
    <w:rsid w:val="006464EB"/>
    <w:rsid w:val="0064734F"/>
    <w:rsid w:val="0064788B"/>
    <w:rsid w:val="00647F79"/>
    <w:rsid w:val="00650011"/>
    <w:rsid w:val="00650C5F"/>
    <w:rsid w:val="00651FD1"/>
    <w:rsid w:val="006522BB"/>
    <w:rsid w:val="00652F23"/>
    <w:rsid w:val="0065345B"/>
    <w:rsid w:val="00653557"/>
    <w:rsid w:val="00654350"/>
    <w:rsid w:val="006543E8"/>
    <w:rsid w:val="00654444"/>
    <w:rsid w:val="00654DEE"/>
    <w:rsid w:val="0066001B"/>
    <w:rsid w:val="006602F6"/>
    <w:rsid w:val="006605F5"/>
    <w:rsid w:val="00661041"/>
    <w:rsid w:val="0066130E"/>
    <w:rsid w:val="00661598"/>
    <w:rsid w:val="00661AFB"/>
    <w:rsid w:val="00661C84"/>
    <w:rsid w:val="00662B73"/>
    <w:rsid w:val="00663375"/>
    <w:rsid w:val="00663A25"/>
    <w:rsid w:val="00663C0A"/>
    <w:rsid w:val="00663C7B"/>
    <w:rsid w:val="0066409E"/>
    <w:rsid w:val="00664410"/>
    <w:rsid w:val="00664DB3"/>
    <w:rsid w:val="00666661"/>
    <w:rsid w:val="006709E1"/>
    <w:rsid w:val="006716CB"/>
    <w:rsid w:val="00671AD8"/>
    <w:rsid w:val="00672788"/>
    <w:rsid w:val="00674271"/>
    <w:rsid w:val="0067478D"/>
    <w:rsid w:val="00674CA3"/>
    <w:rsid w:val="006751F8"/>
    <w:rsid w:val="00675AB7"/>
    <w:rsid w:val="00675E75"/>
    <w:rsid w:val="006761D0"/>
    <w:rsid w:val="00676382"/>
    <w:rsid w:val="0068002A"/>
    <w:rsid w:val="0068043F"/>
    <w:rsid w:val="00680592"/>
    <w:rsid w:val="00680E84"/>
    <w:rsid w:val="0068138E"/>
    <w:rsid w:val="0068184D"/>
    <w:rsid w:val="00681CB7"/>
    <w:rsid w:val="0068260E"/>
    <w:rsid w:val="00682817"/>
    <w:rsid w:val="00682A53"/>
    <w:rsid w:val="00683099"/>
    <w:rsid w:val="00683705"/>
    <w:rsid w:val="00684552"/>
    <w:rsid w:val="00684E16"/>
    <w:rsid w:val="00685353"/>
    <w:rsid w:val="006865AB"/>
    <w:rsid w:val="006867F8"/>
    <w:rsid w:val="0068792D"/>
    <w:rsid w:val="00687CD4"/>
    <w:rsid w:val="00690390"/>
    <w:rsid w:val="00690942"/>
    <w:rsid w:val="0069136E"/>
    <w:rsid w:val="00691971"/>
    <w:rsid w:val="006928A2"/>
    <w:rsid w:val="00692FA9"/>
    <w:rsid w:val="00694BBA"/>
    <w:rsid w:val="00694D49"/>
    <w:rsid w:val="00695327"/>
    <w:rsid w:val="00695E9D"/>
    <w:rsid w:val="00696D3B"/>
    <w:rsid w:val="006971FF"/>
    <w:rsid w:val="0069765D"/>
    <w:rsid w:val="00697B9A"/>
    <w:rsid w:val="006A041C"/>
    <w:rsid w:val="006A059E"/>
    <w:rsid w:val="006A0EFB"/>
    <w:rsid w:val="006A1A33"/>
    <w:rsid w:val="006A21DC"/>
    <w:rsid w:val="006A24AE"/>
    <w:rsid w:val="006A2810"/>
    <w:rsid w:val="006A3D32"/>
    <w:rsid w:val="006A4B81"/>
    <w:rsid w:val="006A586C"/>
    <w:rsid w:val="006A59CB"/>
    <w:rsid w:val="006A6B7A"/>
    <w:rsid w:val="006B04AB"/>
    <w:rsid w:val="006B06C1"/>
    <w:rsid w:val="006B1048"/>
    <w:rsid w:val="006B1CB0"/>
    <w:rsid w:val="006B243A"/>
    <w:rsid w:val="006B27C1"/>
    <w:rsid w:val="006B2B86"/>
    <w:rsid w:val="006B47B5"/>
    <w:rsid w:val="006B4B0F"/>
    <w:rsid w:val="006B563A"/>
    <w:rsid w:val="006B59E5"/>
    <w:rsid w:val="006B5A80"/>
    <w:rsid w:val="006B5D23"/>
    <w:rsid w:val="006B636B"/>
    <w:rsid w:val="006B7380"/>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6732"/>
    <w:rsid w:val="006C7756"/>
    <w:rsid w:val="006C77E2"/>
    <w:rsid w:val="006C7B44"/>
    <w:rsid w:val="006D0E17"/>
    <w:rsid w:val="006D1646"/>
    <w:rsid w:val="006D184A"/>
    <w:rsid w:val="006D2109"/>
    <w:rsid w:val="006D21EB"/>
    <w:rsid w:val="006D3A8F"/>
    <w:rsid w:val="006D3B74"/>
    <w:rsid w:val="006D3D0B"/>
    <w:rsid w:val="006D4C42"/>
    <w:rsid w:val="006D60F0"/>
    <w:rsid w:val="006D611F"/>
    <w:rsid w:val="006D6FB9"/>
    <w:rsid w:val="006D7722"/>
    <w:rsid w:val="006D7D9C"/>
    <w:rsid w:val="006E136C"/>
    <w:rsid w:val="006E2549"/>
    <w:rsid w:val="006E2D69"/>
    <w:rsid w:val="006E32BC"/>
    <w:rsid w:val="006E3329"/>
    <w:rsid w:val="006E3820"/>
    <w:rsid w:val="006E3A0F"/>
    <w:rsid w:val="006E47A6"/>
    <w:rsid w:val="006E559A"/>
    <w:rsid w:val="006E63B5"/>
    <w:rsid w:val="006E68F7"/>
    <w:rsid w:val="006E79C9"/>
    <w:rsid w:val="006E7A12"/>
    <w:rsid w:val="006F1C55"/>
    <w:rsid w:val="006F222E"/>
    <w:rsid w:val="006F2B4C"/>
    <w:rsid w:val="006F374F"/>
    <w:rsid w:val="006F39F2"/>
    <w:rsid w:val="006F3D25"/>
    <w:rsid w:val="006F47D0"/>
    <w:rsid w:val="006F4C2D"/>
    <w:rsid w:val="006F5529"/>
    <w:rsid w:val="006F6D62"/>
    <w:rsid w:val="006F7517"/>
    <w:rsid w:val="006F7E63"/>
    <w:rsid w:val="0070035E"/>
    <w:rsid w:val="00700CE2"/>
    <w:rsid w:val="00701FF3"/>
    <w:rsid w:val="007031A4"/>
    <w:rsid w:val="00703563"/>
    <w:rsid w:val="007038F6"/>
    <w:rsid w:val="00703BEC"/>
    <w:rsid w:val="00703F7C"/>
    <w:rsid w:val="00705B79"/>
    <w:rsid w:val="00705D88"/>
    <w:rsid w:val="00707CC5"/>
    <w:rsid w:val="0071021B"/>
    <w:rsid w:val="007105AD"/>
    <w:rsid w:val="00710D16"/>
    <w:rsid w:val="007110A9"/>
    <w:rsid w:val="007130CC"/>
    <w:rsid w:val="00713E3F"/>
    <w:rsid w:val="0071426B"/>
    <w:rsid w:val="007147DF"/>
    <w:rsid w:val="0071574E"/>
    <w:rsid w:val="007162EA"/>
    <w:rsid w:val="00716AD7"/>
    <w:rsid w:val="007174A6"/>
    <w:rsid w:val="00720261"/>
    <w:rsid w:val="0072086D"/>
    <w:rsid w:val="007212CA"/>
    <w:rsid w:val="007217ED"/>
    <w:rsid w:val="00721FE4"/>
    <w:rsid w:val="00722AC9"/>
    <w:rsid w:val="00722C55"/>
    <w:rsid w:val="00723B63"/>
    <w:rsid w:val="00723D06"/>
    <w:rsid w:val="007242AD"/>
    <w:rsid w:val="0072474B"/>
    <w:rsid w:val="0072501D"/>
    <w:rsid w:val="007253BD"/>
    <w:rsid w:val="00725C1D"/>
    <w:rsid w:val="00725C62"/>
    <w:rsid w:val="007275E0"/>
    <w:rsid w:val="007302C4"/>
    <w:rsid w:val="0073089A"/>
    <w:rsid w:val="007308FA"/>
    <w:rsid w:val="00730BF4"/>
    <w:rsid w:val="00731570"/>
    <w:rsid w:val="00733278"/>
    <w:rsid w:val="00733CA4"/>
    <w:rsid w:val="00734415"/>
    <w:rsid w:val="0073463C"/>
    <w:rsid w:val="007349CB"/>
    <w:rsid w:val="00734DE8"/>
    <w:rsid w:val="0073679C"/>
    <w:rsid w:val="00736965"/>
    <w:rsid w:val="007370BF"/>
    <w:rsid w:val="00737531"/>
    <w:rsid w:val="00740BDE"/>
    <w:rsid w:val="00741503"/>
    <w:rsid w:val="00741943"/>
    <w:rsid w:val="0074275D"/>
    <w:rsid w:val="0074289D"/>
    <w:rsid w:val="007429CA"/>
    <w:rsid w:val="00742D5A"/>
    <w:rsid w:val="0074336A"/>
    <w:rsid w:val="00743567"/>
    <w:rsid w:val="00743D51"/>
    <w:rsid w:val="00744EC5"/>
    <w:rsid w:val="007453E5"/>
    <w:rsid w:val="00745E1A"/>
    <w:rsid w:val="00746DA9"/>
    <w:rsid w:val="00746E0D"/>
    <w:rsid w:val="007508B9"/>
    <w:rsid w:val="007511A4"/>
    <w:rsid w:val="0075139B"/>
    <w:rsid w:val="007517D3"/>
    <w:rsid w:val="00751CCD"/>
    <w:rsid w:val="00751FE1"/>
    <w:rsid w:val="007531E4"/>
    <w:rsid w:val="0075320D"/>
    <w:rsid w:val="0075345D"/>
    <w:rsid w:val="00754063"/>
    <w:rsid w:val="00754092"/>
    <w:rsid w:val="00754264"/>
    <w:rsid w:val="007548A2"/>
    <w:rsid w:val="007553D7"/>
    <w:rsid w:val="0075634C"/>
    <w:rsid w:val="0075689D"/>
    <w:rsid w:val="00756942"/>
    <w:rsid w:val="007572EF"/>
    <w:rsid w:val="0076017E"/>
    <w:rsid w:val="00760405"/>
    <w:rsid w:val="00760A8C"/>
    <w:rsid w:val="0076174C"/>
    <w:rsid w:val="00761D88"/>
    <w:rsid w:val="00762AA9"/>
    <w:rsid w:val="00762D5A"/>
    <w:rsid w:val="00763D0F"/>
    <w:rsid w:val="007645CC"/>
    <w:rsid w:val="00765AB0"/>
    <w:rsid w:val="00765DD0"/>
    <w:rsid w:val="00767759"/>
    <w:rsid w:val="007677EF"/>
    <w:rsid w:val="007679E9"/>
    <w:rsid w:val="00767A5A"/>
    <w:rsid w:val="00770B8B"/>
    <w:rsid w:val="00770BE6"/>
    <w:rsid w:val="00771CF1"/>
    <w:rsid w:val="0077240A"/>
    <w:rsid w:val="007726E2"/>
    <w:rsid w:val="00772CAC"/>
    <w:rsid w:val="00772F59"/>
    <w:rsid w:val="0077323F"/>
    <w:rsid w:val="00773797"/>
    <w:rsid w:val="0077550D"/>
    <w:rsid w:val="00776539"/>
    <w:rsid w:val="00777476"/>
    <w:rsid w:val="00782672"/>
    <w:rsid w:val="007843B8"/>
    <w:rsid w:val="00784CED"/>
    <w:rsid w:val="00784F49"/>
    <w:rsid w:val="00784F66"/>
    <w:rsid w:val="0078601D"/>
    <w:rsid w:val="00786EDD"/>
    <w:rsid w:val="007904F5"/>
    <w:rsid w:val="00790F8B"/>
    <w:rsid w:val="00791262"/>
    <w:rsid w:val="00791F58"/>
    <w:rsid w:val="00792BE0"/>
    <w:rsid w:val="00792D75"/>
    <w:rsid w:val="00793554"/>
    <w:rsid w:val="00793582"/>
    <w:rsid w:val="0079391D"/>
    <w:rsid w:val="00794A80"/>
    <w:rsid w:val="00794BFF"/>
    <w:rsid w:val="00794CD1"/>
    <w:rsid w:val="00794D24"/>
    <w:rsid w:val="00794F36"/>
    <w:rsid w:val="00796B0F"/>
    <w:rsid w:val="00796D1E"/>
    <w:rsid w:val="00796F34"/>
    <w:rsid w:val="0079716C"/>
    <w:rsid w:val="0079720E"/>
    <w:rsid w:val="007A0CBE"/>
    <w:rsid w:val="007A25A4"/>
    <w:rsid w:val="007A2A86"/>
    <w:rsid w:val="007A33D6"/>
    <w:rsid w:val="007A4021"/>
    <w:rsid w:val="007A47CD"/>
    <w:rsid w:val="007A4BCF"/>
    <w:rsid w:val="007A4BD7"/>
    <w:rsid w:val="007A5C53"/>
    <w:rsid w:val="007A5E3A"/>
    <w:rsid w:val="007A65BB"/>
    <w:rsid w:val="007A6CC1"/>
    <w:rsid w:val="007A7B85"/>
    <w:rsid w:val="007A7C76"/>
    <w:rsid w:val="007B07A0"/>
    <w:rsid w:val="007B0CED"/>
    <w:rsid w:val="007B1756"/>
    <w:rsid w:val="007B1959"/>
    <w:rsid w:val="007B1BF8"/>
    <w:rsid w:val="007B22BB"/>
    <w:rsid w:val="007B2684"/>
    <w:rsid w:val="007B2EAC"/>
    <w:rsid w:val="007B396D"/>
    <w:rsid w:val="007B3CB3"/>
    <w:rsid w:val="007B3D53"/>
    <w:rsid w:val="007B4878"/>
    <w:rsid w:val="007B4FAD"/>
    <w:rsid w:val="007B55AE"/>
    <w:rsid w:val="007B751D"/>
    <w:rsid w:val="007B7C5F"/>
    <w:rsid w:val="007C1BE0"/>
    <w:rsid w:val="007C2661"/>
    <w:rsid w:val="007C39B4"/>
    <w:rsid w:val="007C42E3"/>
    <w:rsid w:val="007C5658"/>
    <w:rsid w:val="007C59C8"/>
    <w:rsid w:val="007C6EE3"/>
    <w:rsid w:val="007C77FE"/>
    <w:rsid w:val="007D0E20"/>
    <w:rsid w:val="007D1B0D"/>
    <w:rsid w:val="007D2278"/>
    <w:rsid w:val="007D29FE"/>
    <w:rsid w:val="007D2B28"/>
    <w:rsid w:val="007D3170"/>
    <w:rsid w:val="007D47D6"/>
    <w:rsid w:val="007D53D4"/>
    <w:rsid w:val="007D5478"/>
    <w:rsid w:val="007D75FB"/>
    <w:rsid w:val="007E0E94"/>
    <w:rsid w:val="007E0F8C"/>
    <w:rsid w:val="007E2562"/>
    <w:rsid w:val="007E26E9"/>
    <w:rsid w:val="007E2FAA"/>
    <w:rsid w:val="007E362A"/>
    <w:rsid w:val="007E528C"/>
    <w:rsid w:val="007E5332"/>
    <w:rsid w:val="007E6393"/>
    <w:rsid w:val="007E6E2C"/>
    <w:rsid w:val="007F1024"/>
    <w:rsid w:val="007F11D4"/>
    <w:rsid w:val="007F152E"/>
    <w:rsid w:val="007F1B9E"/>
    <w:rsid w:val="007F2FC7"/>
    <w:rsid w:val="007F3E41"/>
    <w:rsid w:val="007F4824"/>
    <w:rsid w:val="007F54F9"/>
    <w:rsid w:val="007F5987"/>
    <w:rsid w:val="007F677E"/>
    <w:rsid w:val="007F6A7A"/>
    <w:rsid w:val="007F6F6E"/>
    <w:rsid w:val="007F7997"/>
    <w:rsid w:val="008006A5"/>
    <w:rsid w:val="00800824"/>
    <w:rsid w:val="00801054"/>
    <w:rsid w:val="008015BF"/>
    <w:rsid w:val="008020C3"/>
    <w:rsid w:val="00802293"/>
    <w:rsid w:val="008023F8"/>
    <w:rsid w:val="00802D54"/>
    <w:rsid w:val="00802DF4"/>
    <w:rsid w:val="00803683"/>
    <w:rsid w:val="00804CF8"/>
    <w:rsid w:val="008052CB"/>
    <w:rsid w:val="00805CE5"/>
    <w:rsid w:val="008070AF"/>
    <w:rsid w:val="00810D31"/>
    <w:rsid w:val="008111ED"/>
    <w:rsid w:val="008117B4"/>
    <w:rsid w:val="00811C1A"/>
    <w:rsid w:val="00812104"/>
    <w:rsid w:val="0081242F"/>
    <w:rsid w:val="0081289B"/>
    <w:rsid w:val="00812D46"/>
    <w:rsid w:val="0081395C"/>
    <w:rsid w:val="00813CED"/>
    <w:rsid w:val="00814F71"/>
    <w:rsid w:val="0081551D"/>
    <w:rsid w:val="0081562C"/>
    <w:rsid w:val="00815B61"/>
    <w:rsid w:val="0081677D"/>
    <w:rsid w:val="00816A0A"/>
    <w:rsid w:val="00816C92"/>
    <w:rsid w:val="00817884"/>
    <w:rsid w:val="00817E69"/>
    <w:rsid w:val="00820DFB"/>
    <w:rsid w:val="0082113D"/>
    <w:rsid w:val="00821862"/>
    <w:rsid w:val="0082222E"/>
    <w:rsid w:val="00822692"/>
    <w:rsid w:val="00824F27"/>
    <w:rsid w:val="00826B16"/>
    <w:rsid w:val="008272E7"/>
    <w:rsid w:val="00827AB2"/>
    <w:rsid w:val="0083010C"/>
    <w:rsid w:val="008302E8"/>
    <w:rsid w:val="00830698"/>
    <w:rsid w:val="0083167E"/>
    <w:rsid w:val="00832121"/>
    <w:rsid w:val="00832BCA"/>
    <w:rsid w:val="00832C92"/>
    <w:rsid w:val="00832CCD"/>
    <w:rsid w:val="0083311E"/>
    <w:rsid w:val="00833CEC"/>
    <w:rsid w:val="008358E6"/>
    <w:rsid w:val="00836087"/>
    <w:rsid w:val="008360C7"/>
    <w:rsid w:val="00836675"/>
    <w:rsid w:val="00836FE9"/>
    <w:rsid w:val="00837BBB"/>
    <w:rsid w:val="0084036A"/>
    <w:rsid w:val="00840A97"/>
    <w:rsid w:val="00843EEA"/>
    <w:rsid w:val="00843F2B"/>
    <w:rsid w:val="00844453"/>
    <w:rsid w:val="00844A6E"/>
    <w:rsid w:val="00844A79"/>
    <w:rsid w:val="00844CDF"/>
    <w:rsid w:val="00846E25"/>
    <w:rsid w:val="00847AF8"/>
    <w:rsid w:val="00851A89"/>
    <w:rsid w:val="00852330"/>
    <w:rsid w:val="00852693"/>
    <w:rsid w:val="0085360B"/>
    <w:rsid w:val="00854976"/>
    <w:rsid w:val="00855419"/>
    <w:rsid w:val="00856490"/>
    <w:rsid w:val="00856F75"/>
    <w:rsid w:val="00857215"/>
    <w:rsid w:val="008601A3"/>
    <w:rsid w:val="00861855"/>
    <w:rsid w:val="008628FF"/>
    <w:rsid w:val="00862A42"/>
    <w:rsid w:val="00862C4C"/>
    <w:rsid w:val="00862C94"/>
    <w:rsid w:val="00862EA2"/>
    <w:rsid w:val="00862F7C"/>
    <w:rsid w:val="0086331C"/>
    <w:rsid w:val="00863F5B"/>
    <w:rsid w:val="00864DFE"/>
    <w:rsid w:val="0086637F"/>
    <w:rsid w:val="0086661C"/>
    <w:rsid w:val="00867C01"/>
    <w:rsid w:val="00867F0B"/>
    <w:rsid w:val="00870A5B"/>
    <w:rsid w:val="00870DC7"/>
    <w:rsid w:val="0087164C"/>
    <w:rsid w:val="00871B04"/>
    <w:rsid w:val="00871C7A"/>
    <w:rsid w:val="00872CF8"/>
    <w:rsid w:val="00874350"/>
    <w:rsid w:val="00874791"/>
    <w:rsid w:val="00874A3F"/>
    <w:rsid w:val="00874AE2"/>
    <w:rsid w:val="00875B77"/>
    <w:rsid w:val="00875D89"/>
    <w:rsid w:val="00876640"/>
    <w:rsid w:val="00876DFD"/>
    <w:rsid w:val="008775C6"/>
    <w:rsid w:val="00877913"/>
    <w:rsid w:val="00877B9E"/>
    <w:rsid w:val="008808F9"/>
    <w:rsid w:val="00881562"/>
    <w:rsid w:val="00883DD6"/>
    <w:rsid w:val="00885EF2"/>
    <w:rsid w:val="008863AD"/>
    <w:rsid w:val="0088691B"/>
    <w:rsid w:val="00886E79"/>
    <w:rsid w:val="008873F9"/>
    <w:rsid w:val="00887692"/>
    <w:rsid w:val="00887C23"/>
    <w:rsid w:val="00891368"/>
    <w:rsid w:val="00891376"/>
    <w:rsid w:val="00892D7B"/>
    <w:rsid w:val="00893126"/>
    <w:rsid w:val="00893165"/>
    <w:rsid w:val="00893FDF"/>
    <w:rsid w:val="008942DE"/>
    <w:rsid w:val="00895C04"/>
    <w:rsid w:val="00896018"/>
    <w:rsid w:val="0089671E"/>
    <w:rsid w:val="00897DF6"/>
    <w:rsid w:val="008A02C4"/>
    <w:rsid w:val="008A0389"/>
    <w:rsid w:val="008A07EF"/>
    <w:rsid w:val="008A0828"/>
    <w:rsid w:val="008A14F1"/>
    <w:rsid w:val="008A1AF4"/>
    <w:rsid w:val="008A1D80"/>
    <w:rsid w:val="008A1F53"/>
    <w:rsid w:val="008A317A"/>
    <w:rsid w:val="008A3A35"/>
    <w:rsid w:val="008A3B90"/>
    <w:rsid w:val="008A3E06"/>
    <w:rsid w:val="008A405D"/>
    <w:rsid w:val="008A430C"/>
    <w:rsid w:val="008A515C"/>
    <w:rsid w:val="008A52AF"/>
    <w:rsid w:val="008A5B28"/>
    <w:rsid w:val="008A63A0"/>
    <w:rsid w:val="008A6BA1"/>
    <w:rsid w:val="008A77C4"/>
    <w:rsid w:val="008B0163"/>
    <w:rsid w:val="008B0686"/>
    <w:rsid w:val="008B0E0F"/>
    <w:rsid w:val="008B14D9"/>
    <w:rsid w:val="008B1BEC"/>
    <w:rsid w:val="008B228E"/>
    <w:rsid w:val="008B3B6F"/>
    <w:rsid w:val="008B4C66"/>
    <w:rsid w:val="008B500A"/>
    <w:rsid w:val="008B51E6"/>
    <w:rsid w:val="008B5632"/>
    <w:rsid w:val="008B698E"/>
    <w:rsid w:val="008B6C99"/>
    <w:rsid w:val="008B7F30"/>
    <w:rsid w:val="008C0951"/>
    <w:rsid w:val="008C12CD"/>
    <w:rsid w:val="008C1917"/>
    <w:rsid w:val="008C1AC3"/>
    <w:rsid w:val="008C1BFF"/>
    <w:rsid w:val="008C1D2B"/>
    <w:rsid w:val="008C248B"/>
    <w:rsid w:val="008C3230"/>
    <w:rsid w:val="008C32E7"/>
    <w:rsid w:val="008C5763"/>
    <w:rsid w:val="008C58C3"/>
    <w:rsid w:val="008C5B4E"/>
    <w:rsid w:val="008C5BD3"/>
    <w:rsid w:val="008C69DA"/>
    <w:rsid w:val="008C6BA2"/>
    <w:rsid w:val="008C7CAE"/>
    <w:rsid w:val="008D0EC6"/>
    <w:rsid w:val="008D13C7"/>
    <w:rsid w:val="008D2BE3"/>
    <w:rsid w:val="008D3FF8"/>
    <w:rsid w:val="008D409C"/>
    <w:rsid w:val="008D44D8"/>
    <w:rsid w:val="008D4C95"/>
    <w:rsid w:val="008D53EE"/>
    <w:rsid w:val="008D60B6"/>
    <w:rsid w:val="008D6631"/>
    <w:rsid w:val="008D7035"/>
    <w:rsid w:val="008D7359"/>
    <w:rsid w:val="008D774B"/>
    <w:rsid w:val="008D7E89"/>
    <w:rsid w:val="008E2307"/>
    <w:rsid w:val="008E237B"/>
    <w:rsid w:val="008E2996"/>
    <w:rsid w:val="008E29B7"/>
    <w:rsid w:val="008E3528"/>
    <w:rsid w:val="008E3E16"/>
    <w:rsid w:val="008E4327"/>
    <w:rsid w:val="008E4E74"/>
    <w:rsid w:val="008E5596"/>
    <w:rsid w:val="008E5818"/>
    <w:rsid w:val="008E64FC"/>
    <w:rsid w:val="008E70A4"/>
    <w:rsid w:val="008E70F2"/>
    <w:rsid w:val="008E765B"/>
    <w:rsid w:val="008E7A1B"/>
    <w:rsid w:val="008E7D03"/>
    <w:rsid w:val="008F0196"/>
    <w:rsid w:val="008F144F"/>
    <w:rsid w:val="008F1BDE"/>
    <w:rsid w:val="008F21B5"/>
    <w:rsid w:val="008F26B8"/>
    <w:rsid w:val="008F2F99"/>
    <w:rsid w:val="008F4090"/>
    <w:rsid w:val="008F41E3"/>
    <w:rsid w:val="008F5DE2"/>
    <w:rsid w:val="008F634C"/>
    <w:rsid w:val="008F63C1"/>
    <w:rsid w:val="008F6835"/>
    <w:rsid w:val="008F6D3D"/>
    <w:rsid w:val="008F6F5C"/>
    <w:rsid w:val="008F7305"/>
    <w:rsid w:val="008F79AC"/>
    <w:rsid w:val="008F7C46"/>
    <w:rsid w:val="00900347"/>
    <w:rsid w:val="0090048F"/>
    <w:rsid w:val="00900C75"/>
    <w:rsid w:val="00900D54"/>
    <w:rsid w:val="00901633"/>
    <w:rsid w:val="0090192D"/>
    <w:rsid w:val="00901985"/>
    <w:rsid w:val="00902564"/>
    <w:rsid w:val="00903773"/>
    <w:rsid w:val="0090546C"/>
    <w:rsid w:val="00905E1B"/>
    <w:rsid w:val="0090794B"/>
    <w:rsid w:val="00907C16"/>
    <w:rsid w:val="0091021B"/>
    <w:rsid w:val="00912E4E"/>
    <w:rsid w:val="0091305B"/>
    <w:rsid w:val="00913291"/>
    <w:rsid w:val="00913CFC"/>
    <w:rsid w:val="00914899"/>
    <w:rsid w:val="00914D7A"/>
    <w:rsid w:val="0091563E"/>
    <w:rsid w:val="009163F6"/>
    <w:rsid w:val="009167C8"/>
    <w:rsid w:val="00917259"/>
    <w:rsid w:val="0091784A"/>
    <w:rsid w:val="00917CDC"/>
    <w:rsid w:val="00920092"/>
    <w:rsid w:val="0092037B"/>
    <w:rsid w:val="0092126D"/>
    <w:rsid w:val="00921E0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3B1"/>
    <w:rsid w:val="00933C49"/>
    <w:rsid w:val="00933CD6"/>
    <w:rsid w:val="009342F8"/>
    <w:rsid w:val="00934BB4"/>
    <w:rsid w:val="00934CE9"/>
    <w:rsid w:val="00934CF7"/>
    <w:rsid w:val="00935554"/>
    <w:rsid w:val="00935F1B"/>
    <w:rsid w:val="0093604D"/>
    <w:rsid w:val="009360BF"/>
    <w:rsid w:val="00937CAA"/>
    <w:rsid w:val="00937E5F"/>
    <w:rsid w:val="00940C5B"/>
    <w:rsid w:val="00940D33"/>
    <w:rsid w:val="00941457"/>
    <w:rsid w:val="009417C1"/>
    <w:rsid w:val="00941BD7"/>
    <w:rsid w:val="00942085"/>
    <w:rsid w:val="00943F60"/>
    <w:rsid w:val="00946178"/>
    <w:rsid w:val="00946BF4"/>
    <w:rsid w:val="00946E58"/>
    <w:rsid w:val="00950EAD"/>
    <w:rsid w:val="0095151E"/>
    <w:rsid w:val="00953180"/>
    <w:rsid w:val="0095337B"/>
    <w:rsid w:val="00953994"/>
    <w:rsid w:val="009547F7"/>
    <w:rsid w:val="00955D9A"/>
    <w:rsid w:val="0095658E"/>
    <w:rsid w:val="00957529"/>
    <w:rsid w:val="00957EED"/>
    <w:rsid w:val="00960799"/>
    <w:rsid w:val="00960B4A"/>
    <w:rsid w:val="00961E0F"/>
    <w:rsid w:val="00962477"/>
    <w:rsid w:val="0096259B"/>
    <w:rsid w:val="00963390"/>
    <w:rsid w:val="0096422A"/>
    <w:rsid w:val="00964515"/>
    <w:rsid w:val="00964B96"/>
    <w:rsid w:val="00964E4F"/>
    <w:rsid w:val="009660BF"/>
    <w:rsid w:val="009667AE"/>
    <w:rsid w:val="00966A71"/>
    <w:rsid w:val="009670B3"/>
    <w:rsid w:val="0097067D"/>
    <w:rsid w:val="0097074C"/>
    <w:rsid w:val="00970AD2"/>
    <w:rsid w:val="00970D85"/>
    <w:rsid w:val="00970E05"/>
    <w:rsid w:val="00971B03"/>
    <w:rsid w:val="009722D2"/>
    <w:rsid w:val="00972914"/>
    <w:rsid w:val="0097292C"/>
    <w:rsid w:val="00973259"/>
    <w:rsid w:val="009749F5"/>
    <w:rsid w:val="009763AE"/>
    <w:rsid w:val="009768E1"/>
    <w:rsid w:val="00976C05"/>
    <w:rsid w:val="00977667"/>
    <w:rsid w:val="009779AC"/>
    <w:rsid w:val="00977A84"/>
    <w:rsid w:val="0098019A"/>
    <w:rsid w:val="0098055B"/>
    <w:rsid w:val="009817AA"/>
    <w:rsid w:val="00983F49"/>
    <w:rsid w:val="0098438A"/>
    <w:rsid w:val="009852B8"/>
    <w:rsid w:val="009862C6"/>
    <w:rsid w:val="00986BB5"/>
    <w:rsid w:val="00987725"/>
    <w:rsid w:val="009914A7"/>
    <w:rsid w:val="0099164E"/>
    <w:rsid w:val="00992AEE"/>
    <w:rsid w:val="00992CDC"/>
    <w:rsid w:val="00993442"/>
    <w:rsid w:val="00993C1A"/>
    <w:rsid w:val="00993F3C"/>
    <w:rsid w:val="00994945"/>
    <w:rsid w:val="00994B7E"/>
    <w:rsid w:val="00996253"/>
    <w:rsid w:val="009966A3"/>
    <w:rsid w:val="00997995"/>
    <w:rsid w:val="009A1842"/>
    <w:rsid w:val="009A1A60"/>
    <w:rsid w:val="009A20E6"/>
    <w:rsid w:val="009A24E2"/>
    <w:rsid w:val="009A26B5"/>
    <w:rsid w:val="009A3519"/>
    <w:rsid w:val="009A3DE9"/>
    <w:rsid w:val="009A41D2"/>
    <w:rsid w:val="009A4DDF"/>
    <w:rsid w:val="009A5437"/>
    <w:rsid w:val="009A6950"/>
    <w:rsid w:val="009A7CE8"/>
    <w:rsid w:val="009B093B"/>
    <w:rsid w:val="009B0A5E"/>
    <w:rsid w:val="009B10C1"/>
    <w:rsid w:val="009B1AAD"/>
    <w:rsid w:val="009B2295"/>
    <w:rsid w:val="009B25B6"/>
    <w:rsid w:val="009B4B16"/>
    <w:rsid w:val="009B518E"/>
    <w:rsid w:val="009B53D7"/>
    <w:rsid w:val="009B5FB5"/>
    <w:rsid w:val="009B61D3"/>
    <w:rsid w:val="009B6BA8"/>
    <w:rsid w:val="009B707D"/>
    <w:rsid w:val="009C0488"/>
    <w:rsid w:val="009C23D4"/>
    <w:rsid w:val="009C2B2B"/>
    <w:rsid w:val="009C3917"/>
    <w:rsid w:val="009C4125"/>
    <w:rsid w:val="009C4425"/>
    <w:rsid w:val="009C4AE9"/>
    <w:rsid w:val="009C62C7"/>
    <w:rsid w:val="009C651B"/>
    <w:rsid w:val="009C6889"/>
    <w:rsid w:val="009C69EE"/>
    <w:rsid w:val="009C6C87"/>
    <w:rsid w:val="009C7360"/>
    <w:rsid w:val="009C7B68"/>
    <w:rsid w:val="009D0290"/>
    <w:rsid w:val="009D0935"/>
    <w:rsid w:val="009D0D2D"/>
    <w:rsid w:val="009D173C"/>
    <w:rsid w:val="009D2D4D"/>
    <w:rsid w:val="009D3371"/>
    <w:rsid w:val="009D388F"/>
    <w:rsid w:val="009D3CE7"/>
    <w:rsid w:val="009D4783"/>
    <w:rsid w:val="009D4ADB"/>
    <w:rsid w:val="009D4E8A"/>
    <w:rsid w:val="009D539F"/>
    <w:rsid w:val="009D5679"/>
    <w:rsid w:val="009D57C6"/>
    <w:rsid w:val="009D6322"/>
    <w:rsid w:val="009D6AAD"/>
    <w:rsid w:val="009D71FB"/>
    <w:rsid w:val="009D74C4"/>
    <w:rsid w:val="009E03CA"/>
    <w:rsid w:val="009E0497"/>
    <w:rsid w:val="009E0FE2"/>
    <w:rsid w:val="009E19B8"/>
    <w:rsid w:val="009E1E02"/>
    <w:rsid w:val="009E2507"/>
    <w:rsid w:val="009E2739"/>
    <w:rsid w:val="009E27EC"/>
    <w:rsid w:val="009E30DF"/>
    <w:rsid w:val="009E3DDB"/>
    <w:rsid w:val="009E4679"/>
    <w:rsid w:val="009E6058"/>
    <w:rsid w:val="009E68A9"/>
    <w:rsid w:val="009E6A67"/>
    <w:rsid w:val="009E7725"/>
    <w:rsid w:val="009E7EC2"/>
    <w:rsid w:val="009F10FF"/>
    <w:rsid w:val="009F2720"/>
    <w:rsid w:val="009F2C63"/>
    <w:rsid w:val="009F438F"/>
    <w:rsid w:val="009F549E"/>
    <w:rsid w:val="009F62F9"/>
    <w:rsid w:val="009F6674"/>
    <w:rsid w:val="009F68F3"/>
    <w:rsid w:val="009F6D3B"/>
    <w:rsid w:val="009F7E54"/>
    <w:rsid w:val="00A0000E"/>
    <w:rsid w:val="00A0027B"/>
    <w:rsid w:val="00A00C69"/>
    <w:rsid w:val="00A0239F"/>
    <w:rsid w:val="00A027AD"/>
    <w:rsid w:val="00A027C9"/>
    <w:rsid w:val="00A03850"/>
    <w:rsid w:val="00A05109"/>
    <w:rsid w:val="00A0541B"/>
    <w:rsid w:val="00A05CB1"/>
    <w:rsid w:val="00A062CC"/>
    <w:rsid w:val="00A06C1E"/>
    <w:rsid w:val="00A06D76"/>
    <w:rsid w:val="00A06E90"/>
    <w:rsid w:val="00A101C5"/>
    <w:rsid w:val="00A1089F"/>
    <w:rsid w:val="00A1228C"/>
    <w:rsid w:val="00A12622"/>
    <w:rsid w:val="00A1330F"/>
    <w:rsid w:val="00A135AE"/>
    <w:rsid w:val="00A13928"/>
    <w:rsid w:val="00A15818"/>
    <w:rsid w:val="00A15983"/>
    <w:rsid w:val="00A16AE4"/>
    <w:rsid w:val="00A16E3E"/>
    <w:rsid w:val="00A17267"/>
    <w:rsid w:val="00A17835"/>
    <w:rsid w:val="00A17F87"/>
    <w:rsid w:val="00A20E33"/>
    <w:rsid w:val="00A20FD4"/>
    <w:rsid w:val="00A21A52"/>
    <w:rsid w:val="00A21FED"/>
    <w:rsid w:val="00A25604"/>
    <w:rsid w:val="00A2703A"/>
    <w:rsid w:val="00A3067C"/>
    <w:rsid w:val="00A308CA"/>
    <w:rsid w:val="00A3090B"/>
    <w:rsid w:val="00A309E7"/>
    <w:rsid w:val="00A30D54"/>
    <w:rsid w:val="00A321E6"/>
    <w:rsid w:val="00A3267E"/>
    <w:rsid w:val="00A3706A"/>
    <w:rsid w:val="00A37368"/>
    <w:rsid w:val="00A37646"/>
    <w:rsid w:val="00A400AC"/>
    <w:rsid w:val="00A40375"/>
    <w:rsid w:val="00A4129D"/>
    <w:rsid w:val="00A41D25"/>
    <w:rsid w:val="00A4242C"/>
    <w:rsid w:val="00A42540"/>
    <w:rsid w:val="00A42891"/>
    <w:rsid w:val="00A42947"/>
    <w:rsid w:val="00A42F0E"/>
    <w:rsid w:val="00A436C1"/>
    <w:rsid w:val="00A43E05"/>
    <w:rsid w:val="00A44590"/>
    <w:rsid w:val="00A44A7C"/>
    <w:rsid w:val="00A44CEA"/>
    <w:rsid w:val="00A45A97"/>
    <w:rsid w:val="00A45BFC"/>
    <w:rsid w:val="00A463CC"/>
    <w:rsid w:val="00A47579"/>
    <w:rsid w:val="00A47767"/>
    <w:rsid w:val="00A47D28"/>
    <w:rsid w:val="00A50046"/>
    <w:rsid w:val="00A52978"/>
    <w:rsid w:val="00A530DD"/>
    <w:rsid w:val="00A53971"/>
    <w:rsid w:val="00A53FE9"/>
    <w:rsid w:val="00A5418C"/>
    <w:rsid w:val="00A550DE"/>
    <w:rsid w:val="00A551B5"/>
    <w:rsid w:val="00A553F8"/>
    <w:rsid w:val="00A56914"/>
    <w:rsid w:val="00A570F2"/>
    <w:rsid w:val="00A57560"/>
    <w:rsid w:val="00A57C64"/>
    <w:rsid w:val="00A6082D"/>
    <w:rsid w:val="00A611E6"/>
    <w:rsid w:val="00A62369"/>
    <w:rsid w:val="00A6298F"/>
    <w:rsid w:val="00A63230"/>
    <w:rsid w:val="00A63AB9"/>
    <w:rsid w:val="00A63B4A"/>
    <w:rsid w:val="00A63F75"/>
    <w:rsid w:val="00A651C6"/>
    <w:rsid w:val="00A652D8"/>
    <w:rsid w:val="00A65A6A"/>
    <w:rsid w:val="00A65CCF"/>
    <w:rsid w:val="00A671A6"/>
    <w:rsid w:val="00A67680"/>
    <w:rsid w:val="00A70355"/>
    <w:rsid w:val="00A70798"/>
    <w:rsid w:val="00A712FE"/>
    <w:rsid w:val="00A71E55"/>
    <w:rsid w:val="00A72D5D"/>
    <w:rsid w:val="00A73505"/>
    <w:rsid w:val="00A73762"/>
    <w:rsid w:val="00A73AE1"/>
    <w:rsid w:val="00A73C82"/>
    <w:rsid w:val="00A74603"/>
    <w:rsid w:val="00A7471A"/>
    <w:rsid w:val="00A767F9"/>
    <w:rsid w:val="00A76B47"/>
    <w:rsid w:val="00A80529"/>
    <w:rsid w:val="00A8078C"/>
    <w:rsid w:val="00A807AB"/>
    <w:rsid w:val="00A808A0"/>
    <w:rsid w:val="00A82444"/>
    <w:rsid w:val="00A8324C"/>
    <w:rsid w:val="00A83A25"/>
    <w:rsid w:val="00A83ADE"/>
    <w:rsid w:val="00A83CBB"/>
    <w:rsid w:val="00A84462"/>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4994"/>
    <w:rsid w:val="00A951DF"/>
    <w:rsid w:val="00A957A2"/>
    <w:rsid w:val="00A95E72"/>
    <w:rsid w:val="00A95F1A"/>
    <w:rsid w:val="00A96629"/>
    <w:rsid w:val="00A97189"/>
    <w:rsid w:val="00A97B7F"/>
    <w:rsid w:val="00AA0496"/>
    <w:rsid w:val="00AA1112"/>
    <w:rsid w:val="00AA1897"/>
    <w:rsid w:val="00AA1CE0"/>
    <w:rsid w:val="00AA2C10"/>
    <w:rsid w:val="00AA3022"/>
    <w:rsid w:val="00AA3D7D"/>
    <w:rsid w:val="00AA475C"/>
    <w:rsid w:val="00AA53F1"/>
    <w:rsid w:val="00AA6F17"/>
    <w:rsid w:val="00AB089E"/>
    <w:rsid w:val="00AB313B"/>
    <w:rsid w:val="00AB32F3"/>
    <w:rsid w:val="00AB4089"/>
    <w:rsid w:val="00AB5795"/>
    <w:rsid w:val="00AB6D57"/>
    <w:rsid w:val="00AB76A4"/>
    <w:rsid w:val="00AC1265"/>
    <w:rsid w:val="00AC16EF"/>
    <w:rsid w:val="00AC2309"/>
    <w:rsid w:val="00AC2F5F"/>
    <w:rsid w:val="00AC2F98"/>
    <w:rsid w:val="00AC470E"/>
    <w:rsid w:val="00AC4AF6"/>
    <w:rsid w:val="00AC6B8C"/>
    <w:rsid w:val="00AC7A56"/>
    <w:rsid w:val="00AD0468"/>
    <w:rsid w:val="00AD10C6"/>
    <w:rsid w:val="00AD151D"/>
    <w:rsid w:val="00AD2537"/>
    <w:rsid w:val="00AD2BB1"/>
    <w:rsid w:val="00AD4A0A"/>
    <w:rsid w:val="00AD4FBF"/>
    <w:rsid w:val="00AD565C"/>
    <w:rsid w:val="00AD5C8E"/>
    <w:rsid w:val="00AD6821"/>
    <w:rsid w:val="00AD6922"/>
    <w:rsid w:val="00AD6A9B"/>
    <w:rsid w:val="00AD6BFB"/>
    <w:rsid w:val="00AE17DF"/>
    <w:rsid w:val="00AE1A55"/>
    <w:rsid w:val="00AE1FD5"/>
    <w:rsid w:val="00AE257D"/>
    <w:rsid w:val="00AE31E8"/>
    <w:rsid w:val="00AE4A83"/>
    <w:rsid w:val="00AE4A9E"/>
    <w:rsid w:val="00AE5333"/>
    <w:rsid w:val="00AE7546"/>
    <w:rsid w:val="00AE7871"/>
    <w:rsid w:val="00AE7A85"/>
    <w:rsid w:val="00AE7EC5"/>
    <w:rsid w:val="00AF1038"/>
    <w:rsid w:val="00AF1B38"/>
    <w:rsid w:val="00AF25DB"/>
    <w:rsid w:val="00AF2902"/>
    <w:rsid w:val="00AF3078"/>
    <w:rsid w:val="00AF40C7"/>
    <w:rsid w:val="00AF466C"/>
    <w:rsid w:val="00AF4B93"/>
    <w:rsid w:val="00AF4F9E"/>
    <w:rsid w:val="00AF54DB"/>
    <w:rsid w:val="00AF57A8"/>
    <w:rsid w:val="00AF5DE5"/>
    <w:rsid w:val="00AF6A92"/>
    <w:rsid w:val="00B004C9"/>
    <w:rsid w:val="00B00CDB"/>
    <w:rsid w:val="00B01418"/>
    <w:rsid w:val="00B03453"/>
    <w:rsid w:val="00B037CF"/>
    <w:rsid w:val="00B03E79"/>
    <w:rsid w:val="00B04F7D"/>
    <w:rsid w:val="00B053C3"/>
    <w:rsid w:val="00B054DA"/>
    <w:rsid w:val="00B05D1C"/>
    <w:rsid w:val="00B05F52"/>
    <w:rsid w:val="00B0606C"/>
    <w:rsid w:val="00B0653C"/>
    <w:rsid w:val="00B07777"/>
    <w:rsid w:val="00B077C9"/>
    <w:rsid w:val="00B07B5F"/>
    <w:rsid w:val="00B10484"/>
    <w:rsid w:val="00B11862"/>
    <w:rsid w:val="00B11ACD"/>
    <w:rsid w:val="00B12470"/>
    <w:rsid w:val="00B12568"/>
    <w:rsid w:val="00B132EF"/>
    <w:rsid w:val="00B13753"/>
    <w:rsid w:val="00B1447D"/>
    <w:rsid w:val="00B145E9"/>
    <w:rsid w:val="00B14D82"/>
    <w:rsid w:val="00B1555C"/>
    <w:rsid w:val="00B15742"/>
    <w:rsid w:val="00B17E8D"/>
    <w:rsid w:val="00B20460"/>
    <w:rsid w:val="00B20959"/>
    <w:rsid w:val="00B21B68"/>
    <w:rsid w:val="00B21D53"/>
    <w:rsid w:val="00B22422"/>
    <w:rsid w:val="00B22675"/>
    <w:rsid w:val="00B22E4B"/>
    <w:rsid w:val="00B22E99"/>
    <w:rsid w:val="00B23380"/>
    <w:rsid w:val="00B24B43"/>
    <w:rsid w:val="00B25109"/>
    <w:rsid w:val="00B259DF"/>
    <w:rsid w:val="00B25D3B"/>
    <w:rsid w:val="00B26FCC"/>
    <w:rsid w:val="00B27D7A"/>
    <w:rsid w:val="00B27F92"/>
    <w:rsid w:val="00B30101"/>
    <w:rsid w:val="00B30162"/>
    <w:rsid w:val="00B3135A"/>
    <w:rsid w:val="00B31FDF"/>
    <w:rsid w:val="00B34450"/>
    <w:rsid w:val="00B3494F"/>
    <w:rsid w:val="00B349D6"/>
    <w:rsid w:val="00B349DD"/>
    <w:rsid w:val="00B353F1"/>
    <w:rsid w:val="00B35A5F"/>
    <w:rsid w:val="00B35A8C"/>
    <w:rsid w:val="00B35D7C"/>
    <w:rsid w:val="00B36476"/>
    <w:rsid w:val="00B36B9E"/>
    <w:rsid w:val="00B37A06"/>
    <w:rsid w:val="00B402C8"/>
    <w:rsid w:val="00B409B3"/>
    <w:rsid w:val="00B40C0D"/>
    <w:rsid w:val="00B4238E"/>
    <w:rsid w:val="00B429CC"/>
    <w:rsid w:val="00B441AC"/>
    <w:rsid w:val="00B44421"/>
    <w:rsid w:val="00B44770"/>
    <w:rsid w:val="00B460DC"/>
    <w:rsid w:val="00B46980"/>
    <w:rsid w:val="00B46F9D"/>
    <w:rsid w:val="00B47465"/>
    <w:rsid w:val="00B50239"/>
    <w:rsid w:val="00B5068F"/>
    <w:rsid w:val="00B510EE"/>
    <w:rsid w:val="00B51329"/>
    <w:rsid w:val="00B53FBE"/>
    <w:rsid w:val="00B54E89"/>
    <w:rsid w:val="00B54F1D"/>
    <w:rsid w:val="00B55312"/>
    <w:rsid w:val="00B5592B"/>
    <w:rsid w:val="00B56166"/>
    <w:rsid w:val="00B562E0"/>
    <w:rsid w:val="00B565E7"/>
    <w:rsid w:val="00B56DF2"/>
    <w:rsid w:val="00B572BA"/>
    <w:rsid w:val="00B57FC0"/>
    <w:rsid w:val="00B60003"/>
    <w:rsid w:val="00B6258F"/>
    <w:rsid w:val="00B62CEA"/>
    <w:rsid w:val="00B63009"/>
    <w:rsid w:val="00B63A9B"/>
    <w:rsid w:val="00B650E0"/>
    <w:rsid w:val="00B65556"/>
    <w:rsid w:val="00B65D3F"/>
    <w:rsid w:val="00B66A47"/>
    <w:rsid w:val="00B66B55"/>
    <w:rsid w:val="00B67675"/>
    <w:rsid w:val="00B67F9F"/>
    <w:rsid w:val="00B70CB9"/>
    <w:rsid w:val="00B711BB"/>
    <w:rsid w:val="00B72B3E"/>
    <w:rsid w:val="00B73DBA"/>
    <w:rsid w:val="00B742BF"/>
    <w:rsid w:val="00B762F9"/>
    <w:rsid w:val="00B776A1"/>
    <w:rsid w:val="00B801ED"/>
    <w:rsid w:val="00B8023B"/>
    <w:rsid w:val="00B8062B"/>
    <w:rsid w:val="00B80C19"/>
    <w:rsid w:val="00B832C9"/>
    <w:rsid w:val="00B83720"/>
    <w:rsid w:val="00B83A53"/>
    <w:rsid w:val="00B83AAB"/>
    <w:rsid w:val="00B83B53"/>
    <w:rsid w:val="00B83F38"/>
    <w:rsid w:val="00B84729"/>
    <w:rsid w:val="00B85309"/>
    <w:rsid w:val="00B8563B"/>
    <w:rsid w:val="00B86295"/>
    <w:rsid w:val="00B865A8"/>
    <w:rsid w:val="00B875AE"/>
    <w:rsid w:val="00B9013A"/>
    <w:rsid w:val="00B90304"/>
    <w:rsid w:val="00B9030A"/>
    <w:rsid w:val="00B90AC0"/>
    <w:rsid w:val="00B90DE3"/>
    <w:rsid w:val="00B92D26"/>
    <w:rsid w:val="00B92D4A"/>
    <w:rsid w:val="00B92E71"/>
    <w:rsid w:val="00B94383"/>
    <w:rsid w:val="00B94B50"/>
    <w:rsid w:val="00B94DF8"/>
    <w:rsid w:val="00B95F62"/>
    <w:rsid w:val="00B97277"/>
    <w:rsid w:val="00BA0079"/>
    <w:rsid w:val="00BA01F5"/>
    <w:rsid w:val="00BA0DF5"/>
    <w:rsid w:val="00BA18D2"/>
    <w:rsid w:val="00BA1CF5"/>
    <w:rsid w:val="00BA325C"/>
    <w:rsid w:val="00BA3C86"/>
    <w:rsid w:val="00BA4258"/>
    <w:rsid w:val="00BA4B72"/>
    <w:rsid w:val="00BA4CAC"/>
    <w:rsid w:val="00BA544D"/>
    <w:rsid w:val="00BA5DAB"/>
    <w:rsid w:val="00BA5E95"/>
    <w:rsid w:val="00BA670B"/>
    <w:rsid w:val="00BA6F32"/>
    <w:rsid w:val="00BB0398"/>
    <w:rsid w:val="00BB048D"/>
    <w:rsid w:val="00BB2290"/>
    <w:rsid w:val="00BB2499"/>
    <w:rsid w:val="00BB34FA"/>
    <w:rsid w:val="00BB35A1"/>
    <w:rsid w:val="00BB4E77"/>
    <w:rsid w:val="00BB707A"/>
    <w:rsid w:val="00BB7AA0"/>
    <w:rsid w:val="00BB7BB9"/>
    <w:rsid w:val="00BC001D"/>
    <w:rsid w:val="00BC1027"/>
    <w:rsid w:val="00BC106A"/>
    <w:rsid w:val="00BC10FD"/>
    <w:rsid w:val="00BC2560"/>
    <w:rsid w:val="00BC2588"/>
    <w:rsid w:val="00BC266B"/>
    <w:rsid w:val="00BC3922"/>
    <w:rsid w:val="00BC3A6F"/>
    <w:rsid w:val="00BC3AB4"/>
    <w:rsid w:val="00BC3F2B"/>
    <w:rsid w:val="00BC41CC"/>
    <w:rsid w:val="00BC4342"/>
    <w:rsid w:val="00BC510F"/>
    <w:rsid w:val="00BC55CA"/>
    <w:rsid w:val="00BC59D3"/>
    <w:rsid w:val="00BC6530"/>
    <w:rsid w:val="00BC6DC5"/>
    <w:rsid w:val="00BC70E6"/>
    <w:rsid w:val="00BC7779"/>
    <w:rsid w:val="00BC796A"/>
    <w:rsid w:val="00BD0BC1"/>
    <w:rsid w:val="00BD1EC0"/>
    <w:rsid w:val="00BD31A6"/>
    <w:rsid w:val="00BD3723"/>
    <w:rsid w:val="00BD44A3"/>
    <w:rsid w:val="00BD5550"/>
    <w:rsid w:val="00BD55C6"/>
    <w:rsid w:val="00BD607A"/>
    <w:rsid w:val="00BD684A"/>
    <w:rsid w:val="00BD7DFF"/>
    <w:rsid w:val="00BD7F1A"/>
    <w:rsid w:val="00BE0ABA"/>
    <w:rsid w:val="00BE0CBC"/>
    <w:rsid w:val="00BE1BC5"/>
    <w:rsid w:val="00BE1FC9"/>
    <w:rsid w:val="00BE2399"/>
    <w:rsid w:val="00BE31E8"/>
    <w:rsid w:val="00BE3364"/>
    <w:rsid w:val="00BE3F39"/>
    <w:rsid w:val="00BE4248"/>
    <w:rsid w:val="00BE4373"/>
    <w:rsid w:val="00BE579F"/>
    <w:rsid w:val="00BE5A7B"/>
    <w:rsid w:val="00BE6906"/>
    <w:rsid w:val="00BE753A"/>
    <w:rsid w:val="00BF0328"/>
    <w:rsid w:val="00BF06DD"/>
    <w:rsid w:val="00BF079A"/>
    <w:rsid w:val="00BF0BBB"/>
    <w:rsid w:val="00BF13FF"/>
    <w:rsid w:val="00BF16A3"/>
    <w:rsid w:val="00BF1D37"/>
    <w:rsid w:val="00BF2843"/>
    <w:rsid w:val="00BF2C1F"/>
    <w:rsid w:val="00BF5A8B"/>
    <w:rsid w:val="00BF639A"/>
    <w:rsid w:val="00BF6F05"/>
    <w:rsid w:val="00BF7369"/>
    <w:rsid w:val="00C00C81"/>
    <w:rsid w:val="00C00D88"/>
    <w:rsid w:val="00C00F7B"/>
    <w:rsid w:val="00C02540"/>
    <w:rsid w:val="00C02768"/>
    <w:rsid w:val="00C03145"/>
    <w:rsid w:val="00C0365C"/>
    <w:rsid w:val="00C036E7"/>
    <w:rsid w:val="00C03AD0"/>
    <w:rsid w:val="00C03C46"/>
    <w:rsid w:val="00C04083"/>
    <w:rsid w:val="00C040FB"/>
    <w:rsid w:val="00C048BC"/>
    <w:rsid w:val="00C049BA"/>
    <w:rsid w:val="00C04E97"/>
    <w:rsid w:val="00C055FE"/>
    <w:rsid w:val="00C058D4"/>
    <w:rsid w:val="00C05E75"/>
    <w:rsid w:val="00C06162"/>
    <w:rsid w:val="00C074FF"/>
    <w:rsid w:val="00C0754B"/>
    <w:rsid w:val="00C07C93"/>
    <w:rsid w:val="00C1078D"/>
    <w:rsid w:val="00C10D59"/>
    <w:rsid w:val="00C10EF3"/>
    <w:rsid w:val="00C11A88"/>
    <w:rsid w:val="00C129D4"/>
    <w:rsid w:val="00C12BBD"/>
    <w:rsid w:val="00C149A5"/>
    <w:rsid w:val="00C152A6"/>
    <w:rsid w:val="00C15CB4"/>
    <w:rsid w:val="00C15F8B"/>
    <w:rsid w:val="00C16EF3"/>
    <w:rsid w:val="00C17BD0"/>
    <w:rsid w:val="00C17D3C"/>
    <w:rsid w:val="00C17E26"/>
    <w:rsid w:val="00C201ED"/>
    <w:rsid w:val="00C21C34"/>
    <w:rsid w:val="00C2209E"/>
    <w:rsid w:val="00C22F72"/>
    <w:rsid w:val="00C24214"/>
    <w:rsid w:val="00C2530E"/>
    <w:rsid w:val="00C25831"/>
    <w:rsid w:val="00C25A1B"/>
    <w:rsid w:val="00C26CBB"/>
    <w:rsid w:val="00C26EFF"/>
    <w:rsid w:val="00C27AD7"/>
    <w:rsid w:val="00C30287"/>
    <w:rsid w:val="00C30D8D"/>
    <w:rsid w:val="00C31119"/>
    <w:rsid w:val="00C3229C"/>
    <w:rsid w:val="00C33D04"/>
    <w:rsid w:val="00C33EA8"/>
    <w:rsid w:val="00C33ECE"/>
    <w:rsid w:val="00C34D57"/>
    <w:rsid w:val="00C35298"/>
    <w:rsid w:val="00C35A45"/>
    <w:rsid w:val="00C35F03"/>
    <w:rsid w:val="00C368DA"/>
    <w:rsid w:val="00C36BCF"/>
    <w:rsid w:val="00C412DD"/>
    <w:rsid w:val="00C415E7"/>
    <w:rsid w:val="00C41A4C"/>
    <w:rsid w:val="00C41AD6"/>
    <w:rsid w:val="00C41C9E"/>
    <w:rsid w:val="00C42190"/>
    <w:rsid w:val="00C42B45"/>
    <w:rsid w:val="00C441CE"/>
    <w:rsid w:val="00C44C3D"/>
    <w:rsid w:val="00C45961"/>
    <w:rsid w:val="00C45DC6"/>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25"/>
    <w:rsid w:val="00C713B3"/>
    <w:rsid w:val="00C71715"/>
    <w:rsid w:val="00C73522"/>
    <w:rsid w:val="00C74A02"/>
    <w:rsid w:val="00C752A2"/>
    <w:rsid w:val="00C75FAC"/>
    <w:rsid w:val="00C76232"/>
    <w:rsid w:val="00C76FE1"/>
    <w:rsid w:val="00C77114"/>
    <w:rsid w:val="00C77283"/>
    <w:rsid w:val="00C772A1"/>
    <w:rsid w:val="00C77383"/>
    <w:rsid w:val="00C7770C"/>
    <w:rsid w:val="00C77C81"/>
    <w:rsid w:val="00C80E2B"/>
    <w:rsid w:val="00C8124C"/>
    <w:rsid w:val="00C819AE"/>
    <w:rsid w:val="00C82418"/>
    <w:rsid w:val="00C82D61"/>
    <w:rsid w:val="00C832D8"/>
    <w:rsid w:val="00C835CB"/>
    <w:rsid w:val="00C84268"/>
    <w:rsid w:val="00C84809"/>
    <w:rsid w:val="00C856C9"/>
    <w:rsid w:val="00C85E47"/>
    <w:rsid w:val="00C860C9"/>
    <w:rsid w:val="00C864D7"/>
    <w:rsid w:val="00C86548"/>
    <w:rsid w:val="00C86DA0"/>
    <w:rsid w:val="00C87296"/>
    <w:rsid w:val="00C8780D"/>
    <w:rsid w:val="00C87A97"/>
    <w:rsid w:val="00C90ABF"/>
    <w:rsid w:val="00C90C57"/>
    <w:rsid w:val="00C90C62"/>
    <w:rsid w:val="00C913B1"/>
    <w:rsid w:val="00C91415"/>
    <w:rsid w:val="00C9143C"/>
    <w:rsid w:val="00C91B2B"/>
    <w:rsid w:val="00C91E4F"/>
    <w:rsid w:val="00C922B9"/>
    <w:rsid w:val="00C92D54"/>
    <w:rsid w:val="00C92D5A"/>
    <w:rsid w:val="00C94112"/>
    <w:rsid w:val="00C941B1"/>
    <w:rsid w:val="00C94B27"/>
    <w:rsid w:val="00C95431"/>
    <w:rsid w:val="00C958B9"/>
    <w:rsid w:val="00C95AE6"/>
    <w:rsid w:val="00C9662B"/>
    <w:rsid w:val="00C97A23"/>
    <w:rsid w:val="00CA0AC3"/>
    <w:rsid w:val="00CA1267"/>
    <w:rsid w:val="00CA1643"/>
    <w:rsid w:val="00CA1C96"/>
    <w:rsid w:val="00CA1CE1"/>
    <w:rsid w:val="00CA1F6B"/>
    <w:rsid w:val="00CA2541"/>
    <w:rsid w:val="00CA2AE7"/>
    <w:rsid w:val="00CA2F00"/>
    <w:rsid w:val="00CA3674"/>
    <w:rsid w:val="00CA46FE"/>
    <w:rsid w:val="00CA5F19"/>
    <w:rsid w:val="00CA6671"/>
    <w:rsid w:val="00CA6742"/>
    <w:rsid w:val="00CA6AA2"/>
    <w:rsid w:val="00CA7C6D"/>
    <w:rsid w:val="00CB0D9C"/>
    <w:rsid w:val="00CB179A"/>
    <w:rsid w:val="00CB17C8"/>
    <w:rsid w:val="00CB184A"/>
    <w:rsid w:val="00CB1945"/>
    <w:rsid w:val="00CB19D3"/>
    <w:rsid w:val="00CB1C9F"/>
    <w:rsid w:val="00CB233C"/>
    <w:rsid w:val="00CB2693"/>
    <w:rsid w:val="00CB36F6"/>
    <w:rsid w:val="00CB45CB"/>
    <w:rsid w:val="00CB4F9D"/>
    <w:rsid w:val="00CB5363"/>
    <w:rsid w:val="00CB59ED"/>
    <w:rsid w:val="00CB5B80"/>
    <w:rsid w:val="00CB5C2B"/>
    <w:rsid w:val="00CB5D6F"/>
    <w:rsid w:val="00CB5F6F"/>
    <w:rsid w:val="00CB7A66"/>
    <w:rsid w:val="00CC0787"/>
    <w:rsid w:val="00CC0D89"/>
    <w:rsid w:val="00CC1863"/>
    <w:rsid w:val="00CC1867"/>
    <w:rsid w:val="00CC196B"/>
    <w:rsid w:val="00CC2FFD"/>
    <w:rsid w:val="00CC4305"/>
    <w:rsid w:val="00CC45A4"/>
    <w:rsid w:val="00CC477B"/>
    <w:rsid w:val="00CC47C2"/>
    <w:rsid w:val="00CC4F9E"/>
    <w:rsid w:val="00CC4FEA"/>
    <w:rsid w:val="00CC512C"/>
    <w:rsid w:val="00CC52EA"/>
    <w:rsid w:val="00CC535B"/>
    <w:rsid w:val="00CC5B0A"/>
    <w:rsid w:val="00CC649E"/>
    <w:rsid w:val="00CC694D"/>
    <w:rsid w:val="00CC6F26"/>
    <w:rsid w:val="00CC6F9A"/>
    <w:rsid w:val="00CC72C7"/>
    <w:rsid w:val="00CC7DD1"/>
    <w:rsid w:val="00CD0EEA"/>
    <w:rsid w:val="00CD13E9"/>
    <w:rsid w:val="00CD1911"/>
    <w:rsid w:val="00CD1D48"/>
    <w:rsid w:val="00CD21A3"/>
    <w:rsid w:val="00CD225F"/>
    <w:rsid w:val="00CD40A3"/>
    <w:rsid w:val="00CD55D4"/>
    <w:rsid w:val="00CD5EB5"/>
    <w:rsid w:val="00CE0D32"/>
    <w:rsid w:val="00CE22C1"/>
    <w:rsid w:val="00CE374D"/>
    <w:rsid w:val="00CE3B54"/>
    <w:rsid w:val="00CE444B"/>
    <w:rsid w:val="00CE44C4"/>
    <w:rsid w:val="00CE467E"/>
    <w:rsid w:val="00CE4C09"/>
    <w:rsid w:val="00CE7BCC"/>
    <w:rsid w:val="00CF0A47"/>
    <w:rsid w:val="00CF0A5C"/>
    <w:rsid w:val="00CF0A6F"/>
    <w:rsid w:val="00CF0D83"/>
    <w:rsid w:val="00CF2674"/>
    <w:rsid w:val="00CF26C8"/>
    <w:rsid w:val="00CF299D"/>
    <w:rsid w:val="00CF2BEB"/>
    <w:rsid w:val="00CF31BA"/>
    <w:rsid w:val="00CF395A"/>
    <w:rsid w:val="00CF41A3"/>
    <w:rsid w:val="00CF4994"/>
    <w:rsid w:val="00CF4A0A"/>
    <w:rsid w:val="00CF4C5C"/>
    <w:rsid w:val="00CF4E21"/>
    <w:rsid w:val="00CF57D6"/>
    <w:rsid w:val="00CF5ADA"/>
    <w:rsid w:val="00CF5DD7"/>
    <w:rsid w:val="00CF62B4"/>
    <w:rsid w:val="00D00161"/>
    <w:rsid w:val="00D00FDB"/>
    <w:rsid w:val="00D015AC"/>
    <w:rsid w:val="00D017C1"/>
    <w:rsid w:val="00D029A8"/>
    <w:rsid w:val="00D02F01"/>
    <w:rsid w:val="00D036E8"/>
    <w:rsid w:val="00D03F1A"/>
    <w:rsid w:val="00D03F46"/>
    <w:rsid w:val="00D043DE"/>
    <w:rsid w:val="00D049D8"/>
    <w:rsid w:val="00D0535D"/>
    <w:rsid w:val="00D05556"/>
    <w:rsid w:val="00D05714"/>
    <w:rsid w:val="00D05FB8"/>
    <w:rsid w:val="00D06C31"/>
    <w:rsid w:val="00D1058B"/>
    <w:rsid w:val="00D1066D"/>
    <w:rsid w:val="00D11157"/>
    <w:rsid w:val="00D113DE"/>
    <w:rsid w:val="00D11A6D"/>
    <w:rsid w:val="00D11D47"/>
    <w:rsid w:val="00D1238B"/>
    <w:rsid w:val="00D12987"/>
    <w:rsid w:val="00D12D55"/>
    <w:rsid w:val="00D134AD"/>
    <w:rsid w:val="00D1418E"/>
    <w:rsid w:val="00D156A8"/>
    <w:rsid w:val="00D20DF6"/>
    <w:rsid w:val="00D21B12"/>
    <w:rsid w:val="00D22A50"/>
    <w:rsid w:val="00D2359D"/>
    <w:rsid w:val="00D236BE"/>
    <w:rsid w:val="00D23F5C"/>
    <w:rsid w:val="00D249D9"/>
    <w:rsid w:val="00D24F2F"/>
    <w:rsid w:val="00D25148"/>
    <w:rsid w:val="00D25295"/>
    <w:rsid w:val="00D2637D"/>
    <w:rsid w:val="00D26808"/>
    <w:rsid w:val="00D277A8"/>
    <w:rsid w:val="00D31576"/>
    <w:rsid w:val="00D31836"/>
    <w:rsid w:val="00D32C65"/>
    <w:rsid w:val="00D32D64"/>
    <w:rsid w:val="00D34562"/>
    <w:rsid w:val="00D3638E"/>
    <w:rsid w:val="00D36456"/>
    <w:rsid w:val="00D36795"/>
    <w:rsid w:val="00D369E0"/>
    <w:rsid w:val="00D36F7B"/>
    <w:rsid w:val="00D37FF8"/>
    <w:rsid w:val="00D407F2"/>
    <w:rsid w:val="00D40DAD"/>
    <w:rsid w:val="00D4146E"/>
    <w:rsid w:val="00D43DB1"/>
    <w:rsid w:val="00D43E28"/>
    <w:rsid w:val="00D4450D"/>
    <w:rsid w:val="00D4459B"/>
    <w:rsid w:val="00D44A70"/>
    <w:rsid w:val="00D455CC"/>
    <w:rsid w:val="00D47ED1"/>
    <w:rsid w:val="00D47FF1"/>
    <w:rsid w:val="00D50D89"/>
    <w:rsid w:val="00D51F5D"/>
    <w:rsid w:val="00D527EF"/>
    <w:rsid w:val="00D54E09"/>
    <w:rsid w:val="00D55724"/>
    <w:rsid w:val="00D55A69"/>
    <w:rsid w:val="00D55CEB"/>
    <w:rsid w:val="00D55E2F"/>
    <w:rsid w:val="00D55EB7"/>
    <w:rsid w:val="00D56C43"/>
    <w:rsid w:val="00D56F76"/>
    <w:rsid w:val="00D5740B"/>
    <w:rsid w:val="00D5798B"/>
    <w:rsid w:val="00D60339"/>
    <w:rsid w:val="00D616DC"/>
    <w:rsid w:val="00D61705"/>
    <w:rsid w:val="00D61BAA"/>
    <w:rsid w:val="00D6264E"/>
    <w:rsid w:val="00D62B00"/>
    <w:rsid w:val="00D631DE"/>
    <w:rsid w:val="00D6323D"/>
    <w:rsid w:val="00D632B9"/>
    <w:rsid w:val="00D64618"/>
    <w:rsid w:val="00D6513A"/>
    <w:rsid w:val="00D6514C"/>
    <w:rsid w:val="00D656C5"/>
    <w:rsid w:val="00D66F92"/>
    <w:rsid w:val="00D70849"/>
    <w:rsid w:val="00D70C7A"/>
    <w:rsid w:val="00D7194B"/>
    <w:rsid w:val="00D72546"/>
    <w:rsid w:val="00D73E63"/>
    <w:rsid w:val="00D73F07"/>
    <w:rsid w:val="00D73F4C"/>
    <w:rsid w:val="00D74186"/>
    <w:rsid w:val="00D7554C"/>
    <w:rsid w:val="00D75A07"/>
    <w:rsid w:val="00D75F04"/>
    <w:rsid w:val="00D763D0"/>
    <w:rsid w:val="00D76636"/>
    <w:rsid w:val="00D76CD9"/>
    <w:rsid w:val="00D76D6E"/>
    <w:rsid w:val="00D76EDB"/>
    <w:rsid w:val="00D77856"/>
    <w:rsid w:val="00D80438"/>
    <w:rsid w:val="00D804B2"/>
    <w:rsid w:val="00D80C2A"/>
    <w:rsid w:val="00D80DA9"/>
    <w:rsid w:val="00D83865"/>
    <w:rsid w:val="00D838BE"/>
    <w:rsid w:val="00D83D56"/>
    <w:rsid w:val="00D8408D"/>
    <w:rsid w:val="00D84191"/>
    <w:rsid w:val="00D85235"/>
    <w:rsid w:val="00D861C6"/>
    <w:rsid w:val="00D86ACC"/>
    <w:rsid w:val="00D8764C"/>
    <w:rsid w:val="00D90818"/>
    <w:rsid w:val="00D91088"/>
    <w:rsid w:val="00D92BEB"/>
    <w:rsid w:val="00D9375E"/>
    <w:rsid w:val="00D938DD"/>
    <w:rsid w:val="00D938ED"/>
    <w:rsid w:val="00D952F9"/>
    <w:rsid w:val="00D95E73"/>
    <w:rsid w:val="00D95EF1"/>
    <w:rsid w:val="00D96F90"/>
    <w:rsid w:val="00D972C6"/>
    <w:rsid w:val="00D972E1"/>
    <w:rsid w:val="00D974D3"/>
    <w:rsid w:val="00D978B9"/>
    <w:rsid w:val="00DA130A"/>
    <w:rsid w:val="00DA1D82"/>
    <w:rsid w:val="00DA2067"/>
    <w:rsid w:val="00DA2DDB"/>
    <w:rsid w:val="00DA31F3"/>
    <w:rsid w:val="00DA34C9"/>
    <w:rsid w:val="00DA5104"/>
    <w:rsid w:val="00DA5133"/>
    <w:rsid w:val="00DA5754"/>
    <w:rsid w:val="00DA653F"/>
    <w:rsid w:val="00DA6736"/>
    <w:rsid w:val="00DA67D4"/>
    <w:rsid w:val="00DA6CE3"/>
    <w:rsid w:val="00DA7A95"/>
    <w:rsid w:val="00DB08A9"/>
    <w:rsid w:val="00DB0B06"/>
    <w:rsid w:val="00DB166B"/>
    <w:rsid w:val="00DB181E"/>
    <w:rsid w:val="00DB1AFC"/>
    <w:rsid w:val="00DB2B18"/>
    <w:rsid w:val="00DB2DE8"/>
    <w:rsid w:val="00DB2F6F"/>
    <w:rsid w:val="00DB3DDA"/>
    <w:rsid w:val="00DB4896"/>
    <w:rsid w:val="00DB49DE"/>
    <w:rsid w:val="00DB4E71"/>
    <w:rsid w:val="00DB599C"/>
    <w:rsid w:val="00DB5FEC"/>
    <w:rsid w:val="00DB6156"/>
    <w:rsid w:val="00DB661E"/>
    <w:rsid w:val="00DC0DD5"/>
    <w:rsid w:val="00DC1852"/>
    <w:rsid w:val="00DC19B1"/>
    <w:rsid w:val="00DC1AC6"/>
    <w:rsid w:val="00DC2EBB"/>
    <w:rsid w:val="00DC38A4"/>
    <w:rsid w:val="00DC3ED6"/>
    <w:rsid w:val="00DC487F"/>
    <w:rsid w:val="00DC5B32"/>
    <w:rsid w:val="00DC7071"/>
    <w:rsid w:val="00DC7AB5"/>
    <w:rsid w:val="00DD1799"/>
    <w:rsid w:val="00DD1B35"/>
    <w:rsid w:val="00DD2C2D"/>
    <w:rsid w:val="00DD3250"/>
    <w:rsid w:val="00DD32CF"/>
    <w:rsid w:val="00DD4EB3"/>
    <w:rsid w:val="00DD4F2D"/>
    <w:rsid w:val="00DD5561"/>
    <w:rsid w:val="00DD59ED"/>
    <w:rsid w:val="00DD5DEF"/>
    <w:rsid w:val="00DD5F2D"/>
    <w:rsid w:val="00DD62F6"/>
    <w:rsid w:val="00DD6858"/>
    <w:rsid w:val="00DD6BFF"/>
    <w:rsid w:val="00DE00B2"/>
    <w:rsid w:val="00DE024A"/>
    <w:rsid w:val="00DE1882"/>
    <w:rsid w:val="00DE19F5"/>
    <w:rsid w:val="00DE1B94"/>
    <w:rsid w:val="00DE1D8E"/>
    <w:rsid w:val="00DE26AE"/>
    <w:rsid w:val="00DE2DC7"/>
    <w:rsid w:val="00DE2FB9"/>
    <w:rsid w:val="00DE34AB"/>
    <w:rsid w:val="00DE3D85"/>
    <w:rsid w:val="00DE457F"/>
    <w:rsid w:val="00DE514D"/>
    <w:rsid w:val="00DE55B2"/>
    <w:rsid w:val="00DE746D"/>
    <w:rsid w:val="00DF0170"/>
    <w:rsid w:val="00DF18D4"/>
    <w:rsid w:val="00DF1954"/>
    <w:rsid w:val="00DF2CDC"/>
    <w:rsid w:val="00DF3B56"/>
    <w:rsid w:val="00DF40B0"/>
    <w:rsid w:val="00DF41B4"/>
    <w:rsid w:val="00DF42CB"/>
    <w:rsid w:val="00DF447D"/>
    <w:rsid w:val="00DF66ED"/>
    <w:rsid w:val="00DF67F3"/>
    <w:rsid w:val="00DF6C8E"/>
    <w:rsid w:val="00E007D7"/>
    <w:rsid w:val="00E011F8"/>
    <w:rsid w:val="00E01D43"/>
    <w:rsid w:val="00E0249B"/>
    <w:rsid w:val="00E02C40"/>
    <w:rsid w:val="00E02F54"/>
    <w:rsid w:val="00E03425"/>
    <w:rsid w:val="00E03701"/>
    <w:rsid w:val="00E039AA"/>
    <w:rsid w:val="00E03B80"/>
    <w:rsid w:val="00E040CB"/>
    <w:rsid w:val="00E04176"/>
    <w:rsid w:val="00E048B5"/>
    <w:rsid w:val="00E0557A"/>
    <w:rsid w:val="00E05E2C"/>
    <w:rsid w:val="00E066FB"/>
    <w:rsid w:val="00E07896"/>
    <w:rsid w:val="00E07A18"/>
    <w:rsid w:val="00E114BD"/>
    <w:rsid w:val="00E1353F"/>
    <w:rsid w:val="00E13BD8"/>
    <w:rsid w:val="00E13E21"/>
    <w:rsid w:val="00E142DB"/>
    <w:rsid w:val="00E1482F"/>
    <w:rsid w:val="00E14921"/>
    <w:rsid w:val="00E14D38"/>
    <w:rsid w:val="00E15185"/>
    <w:rsid w:val="00E157F6"/>
    <w:rsid w:val="00E15977"/>
    <w:rsid w:val="00E160C1"/>
    <w:rsid w:val="00E1624E"/>
    <w:rsid w:val="00E17D11"/>
    <w:rsid w:val="00E20645"/>
    <w:rsid w:val="00E20655"/>
    <w:rsid w:val="00E2083C"/>
    <w:rsid w:val="00E20B97"/>
    <w:rsid w:val="00E215B3"/>
    <w:rsid w:val="00E21792"/>
    <w:rsid w:val="00E21C7D"/>
    <w:rsid w:val="00E21FA7"/>
    <w:rsid w:val="00E22A90"/>
    <w:rsid w:val="00E22C5B"/>
    <w:rsid w:val="00E22D6B"/>
    <w:rsid w:val="00E23681"/>
    <w:rsid w:val="00E23731"/>
    <w:rsid w:val="00E244CE"/>
    <w:rsid w:val="00E245D8"/>
    <w:rsid w:val="00E24681"/>
    <w:rsid w:val="00E248F9"/>
    <w:rsid w:val="00E25035"/>
    <w:rsid w:val="00E25F6A"/>
    <w:rsid w:val="00E2656B"/>
    <w:rsid w:val="00E267A2"/>
    <w:rsid w:val="00E269B4"/>
    <w:rsid w:val="00E27167"/>
    <w:rsid w:val="00E27170"/>
    <w:rsid w:val="00E310D4"/>
    <w:rsid w:val="00E3151C"/>
    <w:rsid w:val="00E323A0"/>
    <w:rsid w:val="00E323C2"/>
    <w:rsid w:val="00E3244A"/>
    <w:rsid w:val="00E32820"/>
    <w:rsid w:val="00E328B0"/>
    <w:rsid w:val="00E3291E"/>
    <w:rsid w:val="00E32CD2"/>
    <w:rsid w:val="00E32E7F"/>
    <w:rsid w:val="00E3511C"/>
    <w:rsid w:val="00E35C82"/>
    <w:rsid w:val="00E366CB"/>
    <w:rsid w:val="00E372CF"/>
    <w:rsid w:val="00E377E2"/>
    <w:rsid w:val="00E403C5"/>
    <w:rsid w:val="00E40B27"/>
    <w:rsid w:val="00E41E26"/>
    <w:rsid w:val="00E41F58"/>
    <w:rsid w:val="00E41FF3"/>
    <w:rsid w:val="00E42507"/>
    <w:rsid w:val="00E42620"/>
    <w:rsid w:val="00E4313E"/>
    <w:rsid w:val="00E431B6"/>
    <w:rsid w:val="00E43A51"/>
    <w:rsid w:val="00E4629A"/>
    <w:rsid w:val="00E473A6"/>
    <w:rsid w:val="00E47C93"/>
    <w:rsid w:val="00E50CFF"/>
    <w:rsid w:val="00E5107D"/>
    <w:rsid w:val="00E51448"/>
    <w:rsid w:val="00E51B43"/>
    <w:rsid w:val="00E532CC"/>
    <w:rsid w:val="00E53304"/>
    <w:rsid w:val="00E5410B"/>
    <w:rsid w:val="00E54A88"/>
    <w:rsid w:val="00E554D7"/>
    <w:rsid w:val="00E55608"/>
    <w:rsid w:val="00E55A85"/>
    <w:rsid w:val="00E567BC"/>
    <w:rsid w:val="00E5727A"/>
    <w:rsid w:val="00E5776B"/>
    <w:rsid w:val="00E57800"/>
    <w:rsid w:val="00E579F1"/>
    <w:rsid w:val="00E60593"/>
    <w:rsid w:val="00E60625"/>
    <w:rsid w:val="00E612D6"/>
    <w:rsid w:val="00E61343"/>
    <w:rsid w:val="00E6190B"/>
    <w:rsid w:val="00E61E34"/>
    <w:rsid w:val="00E63888"/>
    <w:rsid w:val="00E65C37"/>
    <w:rsid w:val="00E65D65"/>
    <w:rsid w:val="00E65F9F"/>
    <w:rsid w:val="00E670A3"/>
    <w:rsid w:val="00E6774E"/>
    <w:rsid w:val="00E67DB4"/>
    <w:rsid w:val="00E71782"/>
    <w:rsid w:val="00E728F4"/>
    <w:rsid w:val="00E7306F"/>
    <w:rsid w:val="00E7477E"/>
    <w:rsid w:val="00E748D0"/>
    <w:rsid w:val="00E74A6F"/>
    <w:rsid w:val="00E75773"/>
    <w:rsid w:val="00E76A99"/>
    <w:rsid w:val="00E77E01"/>
    <w:rsid w:val="00E80D57"/>
    <w:rsid w:val="00E81500"/>
    <w:rsid w:val="00E82C8E"/>
    <w:rsid w:val="00E83B8E"/>
    <w:rsid w:val="00E84B7D"/>
    <w:rsid w:val="00E855F4"/>
    <w:rsid w:val="00E86948"/>
    <w:rsid w:val="00E90369"/>
    <w:rsid w:val="00E91005"/>
    <w:rsid w:val="00E917D6"/>
    <w:rsid w:val="00E92240"/>
    <w:rsid w:val="00E92450"/>
    <w:rsid w:val="00E9436F"/>
    <w:rsid w:val="00E94558"/>
    <w:rsid w:val="00E94A3E"/>
    <w:rsid w:val="00E9590D"/>
    <w:rsid w:val="00E973B5"/>
    <w:rsid w:val="00E97856"/>
    <w:rsid w:val="00E97CD7"/>
    <w:rsid w:val="00E97FD4"/>
    <w:rsid w:val="00EA08E3"/>
    <w:rsid w:val="00EA0F48"/>
    <w:rsid w:val="00EA1D55"/>
    <w:rsid w:val="00EA2296"/>
    <w:rsid w:val="00EA3907"/>
    <w:rsid w:val="00EA39FA"/>
    <w:rsid w:val="00EA455D"/>
    <w:rsid w:val="00EA4688"/>
    <w:rsid w:val="00EA68C3"/>
    <w:rsid w:val="00EA710D"/>
    <w:rsid w:val="00EA7741"/>
    <w:rsid w:val="00EA7B0F"/>
    <w:rsid w:val="00EA7F8C"/>
    <w:rsid w:val="00EB0028"/>
    <w:rsid w:val="00EB00FA"/>
    <w:rsid w:val="00EB06A3"/>
    <w:rsid w:val="00EB0B2A"/>
    <w:rsid w:val="00EB336F"/>
    <w:rsid w:val="00EB37F8"/>
    <w:rsid w:val="00EB40AA"/>
    <w:rsid w:val="00EB439E"/>
    <w:rsid w:val="00EB4614"/>
    <w:rsid w:val="00EB4CCE"/>
    <w:rsid w:val="00EB4D8D"/>
    <w:rsid w:val="00EB568A"/>
    <w:rsid w:val="00EB60C1"/>
    <w:rsid w:val="00EB6346"/>
    <w:rsid w:val="00EB6960"/>
    <w:rsid w:val="00EC0D17"/>
    <w:rsid w:val="00EC1BD7"/>
    <w:rsid w:val="00EC241B"/>
    <w:rsid w:val="00EC2958"/>
    <w:rsid w:val="00EC2EF8"/>
    <w:rsid w:val="00EC38A3"/>
    <w:rsid w:val="00EC3906"/>
    <w:rsid w:val="00EC39D2"/>
    <w:rsid w:val="00EC4820"/>
    <w:rsid w:val="00EC4E88"/>
    <w:rsid w:val="00EC571C"/>
    <w:rsid w:val="00EC5EF2"/>
    <w:rsid w:val="00EC6256"/>
    <w:rsid w:val="00EC7221"/>
    <w:rsid w:val="00EC7262"/>
    <w:rsid w:val="00EC738D"/>
    <w:rsid w:val="00EC7D45"/>
    <w:rsid w:val="00ED029B"/>
    <w:rsid w:val="00ED0403"/>
    <w:rsid w:val="00ED076A"/>
    <w:rsid w:val="00ED1B0A"/>
    <w:rsid w:val="00ED235A"/>
    <w:rsid w:val="00ED32E2"/>
    <w:rsid w:val="00ED3E9F"/>
    <w:rsid w:val="00ED4787"/>
    <w:rsid w:val="00ED47F2"/>
    <w:rsid w:val="00ED5368"/>
    <w:rsid w:val="00ED5607"/>
    <w:rsid w:val="00ED7821"/>
    <w:rsid w:val="00ED7D95"/>
    <w:rsid w:val="00EE0536"/>
    <w:rsid w:val="00EE0652"/>
    <w:rsid w:val="00EE2CE8"/>
    <w:rsid w:val="00EE2FBF"/>
    <w:rsid w:val="00EE342C"/>
    <w:rsid w:val="00EE3654"/>
    <w:rsid w:val="00EE3BBA"/>
    <w:rsid w:val="00EE3DCD"/>
    <w:rsid w:val="00EE4482"/>
    <w:rsid w:val="00EE451B"/>
    <w:rsid w:val="00EE4DE2"/>
    <w:rsid w:val="00EE5173"/>
    <w:rsid w:val="00EE5B2D"/>
    <w:rsid w:val="00EE5B2F"/>
    <w:rsid w:val="00EE5EB0"/>
    <w:rsid w:val="00EE60A3"/>
    <w:rsid w:val="00EE629E"/>
    <w:rsid w:val="00EE6C76"/>
    <w:rsid w:val="00EE776F"/>
    <w:rsid w:val="00EF0B73"/>
    <w:rsid w:val="00EF1F4C"/>
    <w:rsid w:val="00EF3427"/>
    <w:rsid w:val="00EF38CF"/>
    <w:rsid w:val="00EF3EC5"/>
    <w:rsid w:val="00EF55BE"/>
    <w:rsid w:val="00EF5E85"/>
    <w:rsid w:val="00EF5FB0"/>
    <w:rsid w:val="00EF61DF"/>
    <w:rsid w:val="00EF6A3B"/>
    <w:rsid w:val="00EF7022"/>
    <w:rsid w:val="00EF743D"/>
    <w:rsid w:val="00EF7B75"/>
    <w:rsid w:val="00F00E68"/>
    <w:rsid w:val="00F00E7E"/>
    <w:rsid w:val="00F02796"/>
    <w:rsid w:val="00F02A0B"/>
    <w:rsid w:val="00F02C32"/>
    <w:rsid w:val="00F02ECF"/>
    <w:rsid w:val="00F04D21"/>
    <w:rsid w:val="00F05657"/>
    <w:rsid w:val="00F0574B"/>
    <w:rsid w:val="00F058E3"/>
    <w:rsid w:val="00F05E15"/>
    <w:rsid w:val="00F069F6"/>
    <w:rsid w:val="00F06C6E"/>
    <w:rsid w:val="00F070D5"/>
    <w:rsid w:val="00F070E1"/>
    <w:rsid w:val="00F07991"/>
    <w:rsid w:val="00F1043D"/>
    <w:rsid w:val="00F1050D"/>
    <w:rsid w:val="00F10D57"/>
    <w:rsid w:val="00F10E47"/>
    <w:rsid w:val="00F1278F"/>
    <w:rsid w:val="00F12882"/>
    <w:rsid w:val="00F1302E"/>
    <w:rsid w:val="00F1383A"/>
    <w:rsid w:val="00F14950"/>
    <w:rsid w:val="00F158DD"/>
    <w:rsid w:val="00F16866"/>
    <w:rsid w:val="00F170AD"/>
    <w:rsid w:val="00F17C19"/>
    <w:rsid w:val="00F17D10"/>
    <w:rsid w:val="00F17D4E"/>
    <w:rsid w:val="00F17FEF"/>
    <w:rsid w:val="00F20A4D"/>
    <w:rsid w:val="00F22079"/>
    <w:rsid w:val="00F2225F"/>
    <w:rsid w:val="00F231EA"/>
    <w:rsid w:val="00F236E6"/>
    <w:rsid w:val="00F2422D"/>
    <w:rsid w:val="00F24FE6"/>
    <w:rsid w:val="00F25E97"/>
    <w:rsid w:val="00F273CB"/>
    <w:rsid w:val="00F27B04"/>
    <w:rsid w:val="00F27D75"/>
    <w:rsid w:val="00F327D4"/>
    <w:rsid w:val="00F347EC"/>
    <w:rsid w:val="00F37811"/>
    <w:rsid w:val="00F411F9"/>
    <w:rsid w:val="00F412AC"/>
    <w:rsid w:val="00F416C9"/>
    <w:rsid w:val="00F41E8F"/>
    <w:rsid w:val="00F42F8E"/>
    <w:rsid w:val="00F4471D"/>
    <w:rsid w:val="00F45320"/>
    <w:rsid w:val="00F46B16"/>
    <w:rsid w:val="00F477CD"/>
    <w:rsid w:val="00F47CB4"/>
    <w:rsid w:val="00F47E8C"/>
    <w:rsid w:val="00F5015A"/>
    <w:rsid w:val="00F5071E"/>
    <w:rsid w:val="00F508DF"/>
    <w:rsid w:val="00F52304"/>
    <w:rsid w:val="00F52C87"/>
    <w:rsid w:val="00F52D7F"/>
    <w:rsid w:val="00F52F8B"/>
    <w:rsid w:val="00F53749"/>
    <w:rsid w:val="00F5399A"/>
    <w:rsid w:val="00F53F2D"/>
    <w:rsid w:val="00F55761"/>
    <w:rsid w:val="00F565D6"/>
    <w:rsid w:val="00F56D9E"/>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809"/>
    <w:rsid w:val="00F70C03"/>
    <w:rsid w:val="00F71900"/>
    <w:rsid w:val="00F71C29"/>
    <w:rsid w:val="00F71F1A"/>
    <w:rsid w:val="00F723FB"/>
    <w:rsid w:val="00F7381C"/>
    <w:rsid w:val="00F746F9"/>
    <w:rsid w:val="00F7578A"/>
    <w:rsid w:val="00F76315"/>
    <w:rsid w:val="00F76BA4"/>
    <w:rsid w:val="00F77485"/>
    <w:rsid w:val="00F80E33"/>
    <w:rsid w:val="00F81084"/>
    <w:rsid w:val="00F81B3A"/>
    <w:rsid w:val="00F8264C"/>
    <w:rsid w:val="00F82927"/>
    <w:rsid w:val="00F83175"/>
    <w:rsid w:val="00F8327B"/>
    <w:rsid w:val="00F83AF4"/>
    <w:rsid w:val="00F84676"/>
    <w:rsid w:val="00F846FE"/>
    <w:rsid w:val="00F84E60"/>
    <w:rsid w:val="00F84FCA"/>
    <w:rsid w:val="00F85130"/>
    <w:rsid w:val="00F8563A"/>
    <w:rsid w:val="00F857E4"/>
    <w:rsid w:val="00F86847"/>
    <w:rsid w:val="00F87B0C"/>
    <w:rsid w:val="00F87EB1"/>
    <w:rsid w:val="00F90015"/>
    <w:rsid w:val="00F91853"/>
    <w:rsid w:val="00F91909"/>
    <w:rsid w:val="00F92340"/>
    <w:rsid w:val="00F93E5C"/>
    <w:rsid w:val="00F950C2"/>
    <w:rsid w:val="00F95531"/>
    <w:rsid w:val="00F961B0"/>
    <w:rsid w:val="00F963BA"/>
    <w:rsid w:val="00F965BD"/>
    <w:rsid w:val="00F96625"/>
    <w:rsid w:val="00F966CC"/>
    <w:rsid w:val="00F97DB9"/>
    <w:rsid w:val="00FA0778"/>
    <w:rsid w:val="00FA15A0"/>
    <w:rsid w:val="00FA15E6"/>
    <w:rsid w:val="00FA2664"/>
    <w:rsid w:val="00FA2D47"/>
    <w:rsid w:val="00FA48A7"/>
    <w:rsid w:val="00FA4AB3"/>
    <w:rsid w:val="00FA4F1F"/>
    <w:rsid w:val="00FA5A45"/>
    <w:rsid w:val="00FA625B"/>
    <w:rsid w:val="00FA7883"/>
    <w:rsid w:val="00FA7FE8"/>
    <w:rsid w:val="00FB08E3"/>
    <w:rsid w:val="00FB1853"/>
    <w:rsid w:val="00FB1FB3"/>
    <w:rsid w:val="00FB304F"/>
    <w:rsid w:val="00FB40A0"/>
    <w:rsid w:val="00FB4121"/>
    <w:rsid w:val="00FB4143"/>
    <w:rsid w:val="00FB5B66"/>
    <w:rsid w:val="00FB5BE8"/>
    <w:rsid w:val="00FB771A"/>
    <w:rsid w:val="00FB7934"/>
    <w:rsid w:val="00FC0317"/>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2987"/>
    <w:rsid w:val="00FD3BB9"/>
    <w:rsid w:val="00FD4D38"/>
    <w:rsid w:val="00FD5367"/>
    <w:rsid w:val="00FD6E82"/>
    <w:rsid w:val="00FD76E2"/>
    <w:rsid w:val="00FD7B37"/>
    <w:rsid w:val="00FD7BF5"/>
    <w:rsid w:val="00FE0357"/>
    <w:rsid w:val="00FE2CBB"/>
    <w:rsid w:val="00FE431C"/>
    <w:rsid w:val="00FE5015"/>
    <w:rsid w:val="00FE6333"/>
    <w:rsid w:val="00FE6396"/>
    <w:rsid w:val="00FE7075"/>
    <w:rsid w:val="00FE7888"/>
    <w:rsid w:val="00FF0613"/>
    <w:rsid w:val="00FF0AA6"/>
    <w:rsid w:val="00FF1B54"/>
    <w:rsid w:val="00FF1D36"/>
    <w:rsid w:val="00FF1FD1"/>
    <w:rsid w:val="00FF2449"/>
    <w:rsid w:val="00FF30AD"/>
    <w:rsid w:val="00FF3945"/>
    <w:rsid w:val="00FF4006"/>
    <w:rsid w:val="00FF474A"/>
    <w:rsid w:val="00FF4E84"/>
    <w:rsid w:val="00FF5525"/>
    <w:rsid w:val="00FF5686"/>
    <w:rsid w:val="00FF68ED"/>
    <w:rsid w:val="00FF7951"/>
    <w:rsid w:val="01792949"/>
    <w:rsid w:val="02952F7D"/>
    <w:rsid w:val="02F331D5"/>
    <w:rsid w:val="045413D2"/>
    <w:rsid w:val="048B3E34"/>
    <w:rsid w:val="04E43113"/>
    <w:rsid w:val="057A4A8F"/>
    <w:rsid w:val="06543B7D"/>
    <w:rsid w:val="068E314F"/>
    <w:rsid w:val="0690373C"/>
    <w:rsid w:val="06F80746"/>
    <w:rsid w:val="07367EFB"/>
    <w:rsid w:val="07F115A3"/>
    <w:rsid w:val="084D609E"/>
    <w:rsid w:val="089A57F0"/>
    <w:rsid w:val="089B08C0"/>
    <w:rsid w:val="08A737BE"/>
    <w:rsid w:val="08D16C8B"/>
    <w:rsid w:val="08FE110E"/>
    <w:rsid w:val="09A34AFA"/>
    <w:rsid w:val="09D821FD"/>
    <w:rsid w:val="09F0482A"/>
    <w:rsid w:val="0A126294"/>
    <w:rsid w:val="0A5309BF"/>
    <w:rsid w:val="0AB979B5"/>
    <w:rsid w:val="0AC3188F"/>
    <w:rsid w:val="0B275441"/>
    <w:rsid w:val="0B4F60FB"/>
    <w:rsid w:val="0C675F67"/>
    <w:rsid w:val="0C7D7847"/>
    <w:rsid w:val="0CB87790"/>
    <w:rsid w:val="0CF54541"/>
    <w:rsid w:val="0D110C4F"/>
    <w:rsid w:val="0DB60ED9"/>
    <w:rsid w:val="0E23648F"/>
    <w:rsid w:val="0EA77417"/>
    <w:rsid w:val="0EBC5557"/>
    <w:rsid w:val="0EDF2336"/>
    <w:rsid w:val="0F2D75D7"/>
    <w:rsid w:val="0F9C79CF"/>
    <w:rsid w:val="10003E6A"/>
    <w:rsid w:val="10257179"/>
    <w:rsid w:val="11340E0C"/>
    <w:rsid w:val="11653A08"/>
    <w:rsid w:val="11AF0294"/>
    <w:rsid w:val="11BE7A08"/>
    <w:rsid w:val="12260C08"/>
    <w:rsid w:val="122A6437"/>
    <w:rsid w:val="1303405D"/>
    <w:rsid w:val="130E7E8F"/>
    <w:rsid w:val="132A74B8"/>
    <w:rsid w:val="14674179"/>
    <w:rsid w:val="14AD38EB"/>
    <w:rsid w:val="14C806C3"/>
    <w:rsid w:val="14F50E56"/>
    <w:rsid w:val="152C3B9A"/>
    <w:rsid w:val="15780CAF"/>
    <w:rsid w:val="158A7DE6"/>
    <w:rsid w:val="159E256C"/>
    <w:rsid w:val="15F952B2"/>
    <w:rsid w:val="1713030A"/>
    <w:rsid w:val="183173F2"/>
    <w:rsid w:val="18E93111"/>
    <w:rsid w:val="19006911"/>
    <w:rsid w:val="195726C4"/>
    <w:rsid w:val="196A1AF8"/>
    <w:rsid w:val="1ABD2814"/>
    <w:rsid w:val="1AC27242"/>
    <w:rsid w:val="1AEA5F5E"/>
    <w:rsid w:val="1BA9620A"/>
    <w:rsid w:val="1BC31055"/>
    <w:rsid w:val="1BF51881"/>
    <w:rsid w:val="1C1B69A9"/>
    <w:rsid w:val="1CE02090"/>
    <w:rsid w:val="1CF113C7"/>
    <w:rsid w:val="1CFF4892"/>
    <w:rsid w:val="1D19382F"/>
    <w:rsid w:val="1E644752"/>
    <w:rsid w:val="1E7D67AD"/>
    <w:rsid w:val="1E9F6519"/>
    <w:rsid w:val="1EB917B9"/>
    <w:rsid w:val="1EE472DE"/>
    <w:rsid w:val="1EEA53D5"/>
    <w:rsid w:val="1F5743AE"/>
    <w:rsid w:val="1FC16F46"/>
    <w:rsid w:val="204A6993"/>
    <w:rsid w:val="20A46298"/>
    <w:rsid w:val="2122761E"/>
    <w:rsid w:val="219D7EA2"/>
    <w:rsid w:val="21A85316"/>
    <w:rsid w:val="21B06830"/>
    <w:rsid w:val="22432408"/>
    <w:rsid w:val="225F48D4"/>
    <w:rsid w:val="22744922"/>
    <w:rsid w:val="228648D1"/>
    <w:rsid w:val="22C279CA"/>
    <w:rsid w:val="22C41C5F"/>
    <w:rsid w:val="22D617EA"/>
    <w:rsid w:val="22E373B0"/>
    <w:rsid w:val="22FE5468"/>
    <w:rsid w:val="235D6544"/>
    <w:rsid w:val="23F05FEE"/>
    <w:rsid w:val="24463481"/>
    <w:rsid w:val="24A32CC1"/>
    <w:rsid w:val="24BA708B"/>
    <w:rsid w:val="250B627F"/>
    <w:rsid w:val="25230E74"/>
    <w:rsid w:val="256D62F8"/>
    <w:rsid w:val="25853B30"/>
    <w:rsid w:val="25B725E6"/>
    <w:rsid w:val="25EA783A"/>
    <w:rsid w:val="25ED5463"/>
    <w:rsid w:val="260A2F54"/>
    <w:rsid w:val="26433AF2"/>
    <w:rsid w:val="26C35809"/>
    <w:rsid w:val="26E86A6C"/>
    <w:rsid w:val="271D0A24"/>
    <w:rsid w:val="27423267"/>
    <w:rsid w:val="276E2DA2"/>
    <w:rsid w:val="27FD6AB0"/>
    <w:rsid w:val="287E64FF"/>
    <w:rsid w:val="292C216F"/>
    <w:rsid w:val="29795D3D"/>
    <w:rsid w:val="2A255EC6"/>
    <w:rsid w:val="2A2D5389"/>
    <w:rsid w:val="2B176CB3"/>
    <w:rsid w:val="2B5A773E"/>
    <w:rsid w:val="2C51752B"/>
    <w:rsid w:val="2C5D6896"/>
    <w:rsid w:val="2C8C088A"/>
    <w:rsid w:val="2CF21A4B"/>
    <w:rsid w:val="2D2A1979"/>
    <w:rsid w:val="2D4C3CE0"/>
    <w:rsid w:val="2D8B36B9"/>
    <w:rsid w:val="2DC6371D"/>
    <w:rsid w:val="2DE52846"/>
    <w:rsid w:val="2ECA1502"/>
    <w:rsid w:val="2EF51D26"/>
    <w:rsid w:val="2F1E2125"/>
    <w:rsid w:val="30260572"/>
    <w:rsid w:val="30601421"/>
    <w:rsid w:val="30EB47E3"/>
    <w:rsid w:val="314348BB"/>
    <w:rsid w:val="31515A0E"/>
    <w:rsid w:val="315D3AEF"/>
    <w:rsid w:val="31676E9C"/>
    <w:rsid w:val="323D71D6"/>
    <w:rsid w:val="324A36E3"/>
    <w:rsid w:val="32BB342A"/>
    <w:rsid w:val="333C6176"/>
    <w:rsid w:val="335A4FCE"/>
    <w:rsid w:val="33724973"/>
    <w:rsid w:val="33E33661"/>
    <w:rsid w:val="340E0074"/>
    <w:rsid w:val="34303D5C"/>
    <w:rsid w:val="34A60FDA"/>
    <w:rsid w:val="34F47CAB"/>
    <w:rsid w:val="350D6F12"/>
    <w:rsid w:val="351A7371"/>
    <w:rsid w:val="353135B0"/>
    <w:rsid w:val="35466E38"/>
    <w:rsid w:val="355065FE"/>
    <w:rsid w:val="361800C4"/>
    <w:rsid w:val="36287986"/>
    <w:rsid w:val="3663625F"/>
    <w:rsid w:val="36952460"/>
    <w:rsid w:val="373F1E57"/>
    <w:rsid w:val="37461F62"/>
    <w:rsid w:val="378E1F5E"/>
    <w:rsid w:val="378F41F9"/>
    <w:rsid w:val="37C72A27"/>
    <w:rsid w:val="37D270A9"/>
    <w:rsid w:val="38C803E6"/>
    <w:rsid w:val="38E12DB7"/>
    <w:rsid w:val="396F7920"/>
    <w:rsid w:val="397B5BA0"/>
    <w:rsid w:val="39A51C6E"/>
    <w:rsid w:val="39BF001B"/>
    <w:rsid w:val="3A0670D1"/>
    <w:rsid w:val="3A570AD9"/>
    <w:rsid w:val="3AC06FE2"/>
    <w:rsid w:val="3AD16020"/>
    <w:rsid w:val="3B9D7BD7"/>
    <w:rsid w:val="3BD732F4"/>
    <w:rsid w:val="3C0D6CE2"/>
    <w:rsid w:val="3C2E5359"/>
    <w:rsid w:val="3C647986"/>
    <w:rsid w:val="3CBB4277"/>
    <w:rsid w:val="3E190A46"/>
    <w:rsid w:val="3ECA7AEB"/>
    <w:rsid w:val="3F223135"/>
    <w:rsid w:val="3F247041"/>
    <w:rsid w:val="3F8B0027"/>
    <w:rsid w:val="3F9010FA"/>
    <w:rsid w:val="40C44EBC"/>
    <w:rsid w:val="40E17D20"/>
    <w:rsid w:val="41645E7E"/>
    <w:rsid w:val="42300328"/>
    <w:rsid w:val="423A19AC"/>
    <w:rsid w:val="43320FEB"/>
    <w:rsid w:val="4473599A"/>
    <w:rsid w:val="44C10B4A"/>
    <w:rsid w:val="458E5605"/>
    <w:rsid w:val="45D2015B"/>
    <w:rsid w:val="45F04BFC"/>
    <w:rsid w:val="45FC0E94"/>
    <w:rsid w:val="467B28EF"/>
    <w:rsid w:val="46FB7EEA"/>
    <w:rsid w:val="470A3E86"/>
    <w:rsid w:val="47D575F6"/>
    <w:rsid w:val="47D81425"/>
    <w:rsid w:val="481A5BC9"/>
    <w:rsid w:val="484F1ED5"/>
    <w:rsid w:val="485C2BAD"/>
    <w:rsid w:val="48831CF9"/>
    <w:rsid w:val="49001C56"/>
    <w:rsid w:val="49513FAC"/>
    <w:rsid w:val="49C979EC"/>
    <w:rsid w:val="49DC3DB7"/>
    <w:rsid w:val="4A224A4A"/>
    <w:rsid w:val="4A31232F"/>
    <w:rsid w:val="4AA51EA6"/>
    <w:rsid w:val="4AD11264"/>
    <w:rsid w:val="4AD827D0"/>
    <w:rsid w:val="4B3159FA"/>
    <w:rsid w:val="4BED100B"/>
    <w:rsid w:val="4C41597A"/>
    <w:rsid w:val="4C6072BD"/>
    <w:rsid w:val="4CE8530F"/>
    <w:rsid w:val="4D85353E"/>
    <w:rsid w:val="4DEA6C9E"/>
    <w:rsid w:val="4DF3347D"/>
    <w:rsid w:val="4E0D11FD"/>
    <w:rsid w:val="4E0D2791"/>
    <w:rsid w:val="4E0F1107"/>
    <w:rsid w:val="4EA07212"/>
    <w:rsid w:val="4ECF5C98"/>
    <w:rsid w:val="4EEC00D4"/>
    <w:rsid w:val="4FBE262E"/>
    <w:rsid w:val="50503A69"/>
    <w:rsid w:val="506F7E74"/>
    <w:rsid w:val="50876BDC"/>
    <w:rsid w:val="50C3256E"/>
    <w:rsid w:val="50F025D2"/>
    <w:rsid w:val="512669F7"/>
    <w:rsid w:val="514967D9"/>
    <w:rsid w:val="515269B0"/>
    <w:rsid w:val="51855A3C"/>
    <w:rsid w:val="520053C0"/>
    <w:rsid w:val="5210067F"/>
    <w:rsid w:val="521305AA"/>
    <w:rsid w:val="525D270C"/>
    <w:rsid w:val="52915EFF"/>
    <w:rsid w:val="532838FB"/>
    <w:rsid w:val="535B69D6"/>
    <w:rsid w:val="536B6514"/>
    <w:rsid w:val="53C05B67"/>
    <w:rsid w:val="53D3778D"/>
    <w:rsid w:val="55870BEA"/>
    <w:rsid w:val="562E28C4"/>
    <w:rsid w:val="567C1DD0"/>
    <w:rsid w:val="571858CA"/>
    <w:rsid w:val="571A17E5"/>
    <w:rsid w:val="571D1B2E"/>
    <w:rsid w:val="57E435C9"/>
    <w:rsid w:val="57E92CAC"/>
    <w:rsid w:val="580D2DE0"/>
    <w:rsid w:val="5920472F"/>
    <w:rsid w:val="592F4560"/>
    <w:rsid w:val="595B2F3A"/>
    <w:rsid w:val="59B43624"/>
    <w:rsid w:val="5A5C1B35"/>
    <w:rsid w:val="5AAD74A8"/>
    <w:rsid w:val="5B700045"/>
    <w:rsid w:val="5C190BA3"/>
    <w:rsid w:val="5C24361D"/>
    <w:rsid w:val="5C7A5495"/>
    <w:rsid w:val="5CA05A47"/>
    <w:rsid w:val="5D36455C"/>
    <w:rsid w:val="5D6E35E3"/>
    <w:rsid w:val="5E264947"/>
    <w:rsid w:val="5E3D0A42"/>
    <w:rsid w:val="5E4C0774"/>
    <w:rsid w:val="5E4C62E5"/>
    <w:rsid w:val="5E8E01E2"/>
    <w:rsid w:val="5EEC487D"/>
    <w:rsid w:val="5F0E6ED9"/>
    <w:rsid w:val="5F531FCE"/>
    <w:rsid w:val="5F83204A"/>
    <w:rsid w:val="5FC42CC6"/>
    <w:rsid w:val="628261D9"/>
    <w:rsid w:val="63457809"/>
    <w:rsid w:val="63702E83"/>
    <w:rsid w:val="639800C6"/>
    <w:rsid w:val="63AD1FEB"/>
    <w:rsid w:val="64110EFF"/>
    <w:rsid w:val="6414790A"/>
    <w:rsid w:val="646F3406"/>
    <w:rsid w:val="64A22095"/>
    <w:rsid w:val="64E736D5"/>
    <w:rsid w:val="656040C8"/>
    <w:rsid w:val="65876D60"/>
    <w:rsid w:val="66300BF5"/>
    <w:rsid w:val="665D4842"/>
    <w:rsid w:val="66CF2D69"/>
    <w:rsid w:val="67067963"/>
    <w:rsid w:val="6718408A"/>
    <w:rsid w:val="67191D4F"/>
    <w:rsid w:val="680130C5"/>
    <w:rsid w:val="684D0582"/>
    <w:rsid w:val="68C90547"/>
    <w:rsid w:val="68EE31CD"/>
    <w:rsid w:val="69140A20"/>
    <w:rsid w:val="691D2227"/>
    <w:rsid w:val="69623DD4"/>
    <w:rsid w:val="69D51980"/>
    <w:rsid w:val="6A3C2816"/>
    <w:rsid w:val="6A3F7771"/>
    <w:rsid w:val="6BB81A00"/>
    <w:rsid w:val="6BE90ED6"/>
    <w:rsid w:val="6C554EE6"/>
    <w:rsid w:val="6D192AA9"/>
    <w:rsid w:val="6D494E2E"/>
    <w:rsid w:val="6DA060CD"/>
    <w:rsid w:val="6E7C2960"/>
    <w:rsid w:val="6EA5740F"/>
    <w:rsid w:val="6FB57F4D"/>
    <w:rsid w:val="70760A7F"/>
    <w:rsid w:val="70960621"/>
    <w:rsid w:val="71095F14"/>
    <w:rsid w:val="71431EA2"/>
    <w:rsid w:val="71A274FF"/>
    <w:rsid w:val="72C82315"/>
    <w:rsid w:val="73C33527"/>
    <w:rsid w:val="73E118C4"/>
    <w:rsid w:val="741D6087"/>
    <w:rsid w:val="744C59E1"/>
    <w:rsid w:val="74AC437B"/>
    <w:rsid w:val="74B76AF1"/>
    <w:rsid w:val="74D10A1F"/>
    <w:rsid w:val="74DB519C"/>
    <w:rsid w:val="7508118D"/>
    <w:rsid w:val="75C209E5"/>
    <w:rsid w:val="761321F9"/>
    <w:rsid w:val="772F369C"/>
    <w:rsid w:val="77300469"/>
    <w:rsid w:val="774B5CFC"/>
    <w:rsid w:val="776C5676"/>
    <w:rsid w:val="77C95726"/>
    <w:rsid w:val="78CD3041"/>
    <w:rsid w:val="78CE6555"/>
    <w:rsid w:val="78F56699"/>
    <w:rsid w:val="792A1F5F"/>
    <w:rsid w:val="792F5BE5"/>
    <w:rsid w:val="79342C0C"/>
    <w:rsid w:val="795F2AD1"/>
    <w:rsid w:val="79AE3B9C"/>
    <w:rsid w:val="7A0616DF"/>
    <w:rsid w:val="7A4D3D91"/>
    <w:rsid w:val="7AD90BDD"/>
    <w:rsid w:val="7B737261"/>
    <w:rsid w:val="7BB94EE9"/>
    <w:rsid w:val="7C290489"/>
    <w:rsid w:val="7C4673EE"/>
    <w:rsid w:val="7C9F38DE"/>
    <w:rsid w:val="7CA131C0"/>
    <w:rsid w:val="7D01415A"/>
    <w:rsid w:val="7D430D46"/>
    <w:rsid w:val="7DA912DF"/>
    <w:rsid w:val="7DBE17AC"/>
    <w:rsid w:val="7EBD24D7"/>
    <w:rsid w:val="7ECC4EF7"/>
    <w:rsid w:val="7F9554D9"/>
    <w:rsid w:val="7FD65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63"/>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64"/>
    <w:qFormat/>
    <w:uiPriority w:val="0"/>
    <w:pPr>
      <w:keepNext/>
      <w:keepLines/>
      <w:spacing w:before="120" w:after="120"/>
      <w:outlineLvl w:val="2"/>
    </w:pPr>
    <w:rPr>
      <w:b/>
      <w:bCs/>
      <w:sz w:val="24"/>
      <w:szCs w:val="32"/>
    </w:rPr>
  </w:style>
  <w:style w:type="paragraph" w:styleId="6">
    <w:name w:val="heading 4"/>
    <w:basedOn w:val="1"/>
    <w:next w:val="1"/>
    <w:link w:val="65"/>
    <w:qFormat/>
    <w:uiPriority w:val="0"/>
    <w:pPr>
      <w:keepNext/>
      <w:keepLines/>
      <w:spacing w:before="280" w:after="290" w:line="376" w:lineRule="auto"/>
      <w:outlineLvl w:val="3"/>
    </w:pPr>
    <w:rPr>
      <w:rFonts w:ascii="Arial" w:hAnsi="Arial" w:eastAsia="黑体"/>
      <w:b/>
      <w:bCs/>
      <w:sz w:val="28"/>
      <w:szCs w:val="28"/>
    </w:rPr>
  </w:style>
  <w:style w:type="paragraph" w:styleId="2">
    <w:name w:val="heading 5"/>
    <w:basedOn w:val="1"/>
    <w:next w:val="1"/>
    <w:link w:val="66"/>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67"/>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68"/>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69"/>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70"/>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3">
    <w:name w:val="Normal Indent"/>
    <w:basedOn w:val="1"/>
    <w:link w:val="71"/>
    <w:qFormat/>
    <w:uiPriority w:val="0"/>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72"/>
    <w:qFormat/>
    <w:uiPriority w:val="99"/>
    <w:rPr>
      <w:rFonts w:ascii="宋体"/>
      <w:sz w:val="18"/>
      <w:szCs w:val="18"/>
    </w:rPr>
  </w:style>
  <w:style w:type="paragraph" w:styleId="16">
    <w:name w:val="toa heading"/>
    <w:basedOn w:val="1"/>
    <w:next w:val="1"/>
    <w:qFormat/>
    <w:uiPriority w:val="0"/>
    <w:pPr>
      <w:spacing w:before="120"/>
    </w:pPr>
    <w:rPr>
      <w:rFonts w:ascii="Arial" w:hAnsi="Arial"/>
      <w:b/>
      <w:bCs/>
    </w:rPr>
  </w:style>
  <w:style w:type="paragraph" w:styleId="17">
    <w:name w:val="annotation text"/>
    <w:basedOn w:val="1"/>
    <w:link w:val="73"/>
    <w:qFormat/>
    <w:uiPriority w:val="0"/>
    <w:pPr>
      <w:jc w:val="left"/>
    </w:pPr>
  </w:style>
  <w:style w:type="paragraph" w:styleId="18">
    <w:name w:val="Body Text 3"/>
    <w:basedOn w:val="1"/>
    <w:link w:val="74"/>
    <w:qFormat/>
    <w:uiPriority w:val="0"/>
    <w:rPr>
      <w:rFonts w:ascii="宋体"/>
      <w:sz w:val="24"/>
      <w:szCs w:val="20"/>
    </w:rPr>
  </w:style>
  <w:style w:type="paragraph" w:styleId="19">
    <w:name w:val="Body Text"/>
    <w:basedOn w:val="1"/>
    <w:link w:val="75"/>
    <w:qFormat/>
    <w:uiPriority w:val="1"/>
    <w:pPr>
      <w:spacing w:after="120"/>
    </w:pPr>
  </w:style>
  <w:style w:type="paragraph" w:styleId="20">
    <w:name w:val="Body Text Indent"/>
    <w:basedOn w:val="1"/>
    <w:link w:val="61"/>
    <w:qFormat/>
    <w:uiPriority w:val="99"/>
    <w:pPr>
      <w:spacing w:after="120"/>
      <w:ind w:left="420" w:leftChars="200"/>
    </w:pPr>
  </w:style>
  <w:style w:type="paragraph" w:styleId="21">
    <w:name w:val="List 2"/>
    <w:basedOn w:val="1"/>
    <w:qFormat/>
    <w:uiPriority w:val="0"/>
    <w:pPr>
      <w:ind w:left="100" w:leftChars="200" w:hanging="200" w:hangingChars="200"/>
    </w:pPr>
  </w:style>
  <w:style w:type="paragraph" w:styleId="22">
    <w:name w:val="List Bullet 2"/>
    <w:basedOn w:val="1"/>
    <w:qFormat/>
    <w:uiPriority w:val="0"/>
    <w:pPr>
      <w:tabs>
        <w:tab w:val="left" w:pos="780"/>
      </w:tabs>
      <w:ind w:left="840" w:hanging="420"/>
    </w:pPr>
  </w:style>
  <w:style w:type="paragraph" w:styleId="23">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4">
    <w:name w:val="toc 3"/>
    <w:basedOn w:val="1"/>
    <w:next w:val="1"/>
    <w:qFormat/>
    <w:uiPriority w:val="39"/>
    <w:pPr>
      <w:ind w:left="940"/>
      <w:jc w:val="left"/>
    </w:pPr>
    <w:rPr>
      <w:rFonts w:ascii="宋体" w:hAnsi="宋体"/>
      <w:kern w:val="0"/>
      <w:szCs w:val="21"/>
      <w:lang w:eastAsia="en-US"/>
    </w:rPr>
  </w:style>
  <w:style w:type="paragraph" w:styleId="25">
    <w:name w:val="Plain Text"/>
    <w:basedOn w:val="1"/>
    <w:link w:val="76"/>
    <w:qFormat/>
    <w:uiPriority w:val="0"/>
    <w:rPr>
      <w:rFonts w:ascii="宋体" w:hAnsi="Courier New"/>
      <w:szCs w:val="21"/>
    </w:rPr>
  </w:style>
  <w:style w:type="paragraph" w:styleId="26">
    <w:name w:val="toc 8"/>
    <w:basedOn w:val="1"/>
    <w:next w:val="1"/>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77"/>
    <w:qFormat/>
    <w:uiPriority w:val="99"/>
    <w:rPr>
      <w:sz w:val="24"/>
      <w:szCs w:val="20"/>
    </w:rPr>
  </w:style>
  <w:style w:type="paragraph" w:styleId="28">
    <w:name w:val="Body Text Indent 2"/>
    <w:basedOn w:val="1"/>
    <w:link w:val="78"/>
    <w:qFormat/>
    <w:uiPriority w:val="0"/>
    <w:pPr>
      <w:ind w:firstLine="640"/>
    </w:pPr>
    <w:rPr>
      <w:rFonts w:eastAsia="仿宋_GB2312"/>
      <w:sz w:val="32"/>
    </w:rPr>
  </w:style>
  <w:style w:type="paragraph" w:styleId="29">
    <w:name w:val="endnote text"/>
    <w:basedOn w:val="1"/>
    <w:link w:val="79"/>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80"/>
    <w:qFormat/>
    <w:uiPriority w:val="99"/>
    <w:rPr>
      <w:sz w:val="18"/>
      <w:szCs w:val="18"/>
    </w:rPr>
  </w:style>
  <w:style w:type="paragraph" w:styleId="31">
    <w:name w:val="footer"/>
    <w:basedOn w:val="1"/>
    <w:link w:val="81"/>
    <w:qFormat/>
    <w:uiPriority w:val="99"/>
    <w:pPr>
      <w:tabs>
        <w:tab w:val="center" w:pos="4153"/>
        <w:tab w:val="right" w:pos="8306"/>
      </w:tabs>
      <w:snapToGrid w:val="0"/>
      <w:jc w:val="left"/>
    </w:pPr>
    <w:rPr>
      <w:sz w:val="18"/>
      <w:szCs w:val="18"/>
    </w:rPr>
  </w:style>
  <w:style w:type="paragraph" w:styleId="32">
    <w:name w:val="header"/>
    <w:basedOn w:val="1"/>
    <w:link w:val="82"/>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qFormat/>
    <w:uiPriority w:val="0"/>
    <w:pPr>
      <w:spacing w:before="120" w:after="120"/>
      <w:jc w:val="left"/>
    </w:pPr>
    <w:rPr>
      <w:b/>
      <w:bCs/>
      <w:i/>
      <w:iCs/>
      <w:sz w:val="20"/>
      <w:szCs w:val="20"/>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List"/>
    <w:basedOn w:val="1"/>
    <w:qFormat/>
    <w:uiPriority w:val="0"/>
    <w:pPr>
      <w:ind w:left="200" w:hanging="200" w:hangingChars="200"/>
    </w:pPr>
  </w:style>
  <w:style w:type="paragraph" w:styleId="38">
    <w:name w:val="footnote text"/>
    <w:basedOn w:val="1"/>
    <w:link w:val="83"/>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qFormat/>
    <w:uiPriority w:val="0"/>
    <w:pPr>
      <w:ind w:left="100" w:leftChars="800" w:hanging="200" w:hangingChars="200"/>
    </w:pPr>
  </w:style>
  <w:style w:type="paragraph" w:styleId="41">
    <w:name w:val="Body Text Indent 3"/>
    <w:basedOn w:val="1"/>
    <w:link w:val="84"/>
    <w:qFormat/>
    <w:uiPriority w:val="0"/>
    <w:pPr>
      <w:spacing w:after="120"/>
      <w:ind w:left="420" w:leftChars="200"/>
    </w:pPr>
    <w:rPr>
      <w:sz w:val="16"/>
      <w:szCs w:val="16"/>
    </w:rPr>
  </w:style>
  <w:style w:type="paragraph" w:styleId="42">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85"/>
    <w:qFormat/>
    <w:uiPriority w:val="0"/>
    <w:pPr>
      <w:jc w:val="left"/>
    </w:pPr>
    <w:rPr>
      <w:rFonts w:ascii="楷体_GB2312" w:hAnsi="宋体" w:eastAsia="楷体_GB2312"/>
      <w:color w:val="000000"/>
      <w:kern w:val="0"/>
      <w:szCs w:val="21"/>
    </w:rPr>
  </w:style>
  <w:style w:type="paragraph" w:styleId="45">
    <w:name w:val="List 4"/>
    <w:basedOn w:val="1"/>
    <w:qFormat/>
    <w:uiPriority w:val="0"/>
    <w:pPr>
      <w:ind w:left="100" w:leftChars="600" w:hanging="200" w:hangingChars="200"/>
    </w:pPr>
  </w:style>
  <w:style w:type="paragraph" w:styleId="46">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48"/>
    <w:link w:val="8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48">
    <w:name w:val="Normal_3_1"/>
    <w:qFormat/>
    <w:uiPriority w:val="0"/>
    <w:pPr>
      <w:widowControl w:val="0"/>
      <w:jc w:val="both"/>
    </w:pPr>
    <w:rPr>
      <w:rFonts w:ascii="Times New Roman" w:hAnsi="Times New Roman" w:eastAsia="宋体" w:cs="Times New Roman"/>
      <w:lang w:val="en-US" w:eastAsia="zh-CN" w:bidi="ar-SA"/>
    </w:rPr>
  </w:style>
  <w:style w:type="paragraph" w:styleId="49">
    <w:name w:val="annotation subject"/>
    <w:basedOn w:val="17"/>
    <w:next w:val="17"/>
    <w:link w:val="87"/>
    <w:qFormat/>
    <w:uiPriority w:val="99"/>
  </w:style>
  <w:style w:type="paragraph" w:styleId="50">
    <w:name w:val="Body Text First Indent"/>
    <w:basedOn w:val="19"/>
    <w:next w:val="1"/>
    <w:qFormat/>
    <w:uiPriority w:val="0"/>
    <w:pPr>
      <w:ind w:firstLine="420" w:firstLineChars="100"/>
    </w:pPr>
  </w:style>
  <w:style w:type="paragraph" w:styleId="51">
    <w:name w:val="Body Text First Indent 2"/>
    <w:basedOn w:val="20"/>
    <w:qFormat/>
    <w:uiPriority w:val="0"/>
    <w:pPr>
      <w:adjustRightInd w:val="0"/>
      <w:spacing w:line="312" w:lineRule="atLeast"/>
      <w:ind w:firstLine="420"/>
      <w:textAlignment w:val="baseline"/>
    </w:pPr>
  </w:style>
  <w:style w:type="table" w:styleId="53">
    <w:name w:val="Table Grid"/>
    <w:basedOn w:val="52"/>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5">
    <w:name w:val="Strong"/>
    <w:qFormat/>
    <w:uiPriority w:val="22"/>
    <w:rPr>
      <w:b/>
      <w:bCs/>
    </w:rPr>
  </w:style>
  <w:style w:type="character" w:styleId="56">
    <w:name w:val="page number"/>
    <w:qFormat/>
    <w:uiPriority w:val="0"/>
  </w:style>
  <w:style w:type="character" w:styleId="57">
    <w:name w:val="Emphasis"/>
    <w:qFormat/>
    <w:uiPriority w:val="20"/>
    <w:rPr>
      <w:color w:val="CC0000"/>
    </w:rPr>
  </w:style>
  <w:style w:type="character" w:styleId="58">
    <w:name w:val="Hyperlink"/>
    <w:qFormat/>
    <w:uiPriority w:val="99"/>
    <w:rPr>
      <w:color w:val="0000FF"/>
      <w:u w:val="single"/>
    </w:rPr>
  </w:style>
  <w:style w:type="character" w:styleId="59">
    <w:name w:val="annotation reference"/>
    <w:qFormat/>
    <w:uiPriority w:val="99"/>
    <w:rPr>
      <w:sz w:val="21"/>
      <w:szCs w:val="21"/>
    </w:rPr>
  </w:style>
  <w:style w:type="paragraph" w:customStyle="1" w:styleId="60">
    <w:name w:val="列出段落1"/>
    <w:basedOn w:val="1"/>
    <w:next w:val="1"/>
    <w:qFormat/>
    <w:uiPriority w:val="0"/>
    <w:pPr>
      <w:spacing w:beforeLines="50" w:after="156" w:line="240" w:lineRule="atLeast"/>
      <w:ind w:left="425"/>
    </w:pPr>
    <w:rPr>
      <w:rFonts w:eastAsia="仿宋_GB2312"/>
      <w:sz w:val="24"/>
    </w:rPr>
  </w:style>
  <w:style w:type="character" w:customStyle="1" w:styleId="61">
    <w:name w:val="正文文本缩进 字符"/>
    <w:link w:val="20"/>
    <w:qFormat/>
    <w:uiPriority w:val="99"/>
    <w:rPr>
      <w:kern w:val="2"/>
      <w:sz w:val="21"/>
      <w:szCs w:val="24"/>
    </w:rPr>
  </w:style>
  <w:style w:type="character" w:customStyle="1" w:styleId="62">
    <w:name w:val="标题 1 字符1"/>
    <w:link w:val="3"/>
    <w:qFormat/>
    <w:uiPriority w:val="0"/>
    <w:rPr>
      <w:b/>
      <w:bCs/>
      <w:kern w:val="44"/>
      <w:sz w:val="44"/>
      <w:szCs w:val="44"/>
    </w:rPr>
  </w:style>
  <w:style w:type="character" w:customStyle="1" w:styleId="63">
    <w:name w:val="标题 2 字符"/>
    <w:link w:val="4"/>
    <w:qFormat/>
    <w:uiPriority w:val="0"/>
    <w:rPr>
      <w:rFonts w:ascii="Arial" w:hAnsi="Arial" w:eastAsia="黑体"/>
      <w:b/>
      <w:bCs/>
      <w:kern w:val="2"/>
      <w:sz w:val="32"/>
      <w:szCs w:val="32"/>
    </w:rPr>
  </w:style>
  <w:style w:type="character" w:customStyle="1" w:styleId="64">
    <w:name w:val="标题 3 字符1"/>
    <w:link w:val="5"/>
    <w:qFormat/>
    <w:uiPriority w:val="0"/>
    <w:rPr>
      <w:b/>
      <w:bCs/>
      <w:kern w:val="2"/>
      <w:sz w:val="24"/>
      <w:szCs w:val="32"/>
    </w:rPr>
  </w:style>
  <w:style w:type="character" w:customStyle="1" w:styleId="65">
    <w:name w:val="标题 4 字符"/>
    <w:link w:val="6"/>
    <w:qFormat/>
    <w:uiPriority w:val="0"/>
    <w:rPr>
      <w:rFonts w:ascii="Arial" w:hAnsi="Arial" w:eastAsia="黑体"/>
      <w:b/>
      <w:bCs/>
      <w:kern w:val="2"/>
      <w:sz w:val="28"/>
      <w:szCs w:val="28"/>
    </w:rPr>
  </w:style>
  <w:style w:type="character" w:customStyle="1" w:styleId="66">
    <w:name w:val="标题 5 字符"/>
    <w:link w:val="2"/>
    <w:qFormat/>
    <w:uiPriority w:val="0"/>
    <w:rPr>
      <w:b/>
      <w:bCs/>
      <w:sz w:val="28"/>
      <w:szCs w:val="28"/>
    </w:rPr>
  </w:style>
  <w:style w:type="character" w:customStyle="1" w:styleId="67">
    <w:name w:val="标题 6 字符"/>
    <w:link w:val="7"/>
    <w:qFormat/>
    <w:uiPriority w:val="0"/>
    <w:rPr>
      <w:rFonts w:ascii="Arial" w:hAnsi="Arial" w:eastAsia="黑体"/>
      <w:b/>
      <w:bCs/>
      <w:sz w:val="24"/>
      <w:szCs w:val="24"/>
    </w:rPr>
  </w:style>
  <w:style w:type="character" w:customStyle="1" w:styleId="68">
    <w:name w:val="标题 7 字符"/>
    <w:link w:val="8"/>
    <w:qFormat/>
    <w:uiPriority w:val="0"/>
    <w:rPr>
      <w:b/>
      <w:bCs/>
      <w:sz w:val="24"/>
      <w:szCs w:val="24"/>
    </w:rPr>
  </w:style>
  <w:style w:type="character" w:customStyle="1" w:styleId="69">
    <w:name w:val="标题 8 字符"/>
    <w:link w:val="9"/>
    <w:qFormat/>
    <w:uiPriority w:val="0"/>
    <w:rPr>
      <w:rFonts w:ascii="Arial" w:hAnsi="Arial" w:eastAsia="黑体"/>
      <w:sz w:val="24"/>
      <w:szCs w:val="24"/>
    </w:rPr>
  </w:style>
  <w:style w:type="character" w:customStyle="1" w:styleId="70">
    <w:name w:val="标题 9 字符"/>
    <w:link w:val="10"/>
    <w:qFormat/>
    <w:uiPriority w:val="0"/>
    <w:rPr>
      <w:rFonts w:ascii="Arial" w:hAnsi="Arial" w:eastAsia="黑体"/>
      <w:sz w:val="21"/>
      <w:szCs w:val="21"/>
    </w:rPr>
  </w:style>
  <w:style w:type="character" w:customStyle="1" w:styleId="71">
    <w:name w:val="正文缩进 字符"/>
    <w:link w:val="13"/>
    <w:qFormat/>
    <w:uiPriority w:val="0"/>
    <w:rPr>
      <w:kern w:val="2"/>
      <w:sz w:val="21"/>
      <w:szCs w:val="24"/>
    </w:rPr>
  </w:style>
  <w:style w:type="character" w:customStyle="1" w:styleId="72">
    <w:name w:val="文档结构图 字符"/>
    <w:link w:val="15"/>
    <w:qFormat/>
    <w:uiPriority w:val="99"/>
    <w:rPr>
      <w:rFonts w:ascii="宋体"/>
      <w:kern w:val="2"/>
      <w:sz w:val="18"/>
      <w:szCs w:val="18"/>
    </w:rPr>
  </w:style>
  <w:style w:type="character" w:customStyle="1" w:styleId="73">
    <w:name w:val="批注文字 字符"/>
    <w:link w:val="17"/>
    <w:qFormat/>
    <w:uiPriority w:val="0"/>
    <w:rPr>
      <w:kern w:val="2"/>
      <w:sz w:val="21"/>
      <w:szCs w:val="24"/>
    </w:rPr>
  </w:style>
  <w:style w:type="character" w:customStyle="1" w:styleId="74">
    <w:name w:val="正文文本 3 字符"/>
    <w:link w:val="18"/>
    <w:qFormat/>
    <w:uiPriority w:val="0"/>
    <w:rPr>
      <w:rFonts w:ascii="宋体"/>
      <w:kern w:val="2"/>
      <w:sz w:val="24"/>
    </w:rPr>
  </w:style>
  <w:style w:type="character" w:customStyle="1" w:styleId="75">
    <w:name w:val="正文文本 字符"/>
    <w:link w:val="19"/>
    <w:qFormat/>
    <w:uiPriority w:val="1"/>
    <w:rPr>
      <w:kern w:val="2"/>
      <w:sz w:val="21"/>
      <w:szCs w:val="24"/>
    </w:rPr>
  </w:style>
  <w:style w:type="character" w:customStyle="1" w:styleId="76">
    <w:name w:val="纯文本 字符"/>
    <w:link w:val="25"/>
    <w:qFormat/>
    <w:uiPriority w:val="0"/>
    <w:rPr>
      <w:rFonts w:ascii="宋体" w:hAnsi="Courier New" w:cs="Courier New"/>
      <w:kern w:val="2"/>
      <w:sz w:val="21"/>
      <w:szCs w:val="21"/>
    </w:rPr>
  </w:style>
  <w:style w:type="character" w:customStyle="1" w:styleId="77">
    <w:name w:val="日期 字符"/>
    <w:link w:val="27"/>
    <w:qFormat/>
    <w:uiPriority w:val="99"/>
    <w:rPr>
      <w:kern w:val="2"/>
      <w:sz w:val="24"/>
    </w:rPr>
  </w:style>
  <w:style w:type="character" w:customStyle="1" w:styleId="78">
    <w:name w:val="正文文本缩进 2 字符"/>
    <w:link w:val="28"/>
    <w:qFormat/>
    <w:uiPriority w:val="0"/>
    <w:rPr>
      <w:rFonts w:eastAsia="仿宋_GB2312"/>
      <w:kern w:val="2"/>
      <w:sz w:val="32"/>
      <w:szCs w:val="24"/>
    </w:rPr>
  </w:style>
  <w:style w:type="character" w:customStyle="1" w:styleId="79">
    <w:name w:val="尾注文本 字符"/>
    <w:link w:val="29"/>
    <w:qFormat/>
    <w:uiPriority w:val="0"/>
    <w:rPr>
      <w:rFonts w:ascii="Courier" w:hAnsi="Courier" w:eastAsia="PMingLiU"/>
      <w:snapToGrid w:val="0"/>
      <w:sz w:val="24"/>
      <w:lang w:val="en-AU" w:eastAsia="en-US"/>
    </w:rPr>
  </w:style>
  <w:style w:type="character" w:customStyle="1" w:styleId="80">
    <w:name w:val="批注框文本 字符"/>
    <w:link w:val="30"/>
    <w:qFormat/>
    <w:uiPriority w:val="99"/>
    <w:rPr>
      <w:kern w:val="2"/>
      <w:sz w:val="18"/>
      <w:szCs w:val="18"/>
    </w:rPr>
  </w:style>
  <w:style w:type="character" w:customStyle="1" w:styleId="81">
    <w:name w:val="页脚 字符1"/>
    <w:link w:val="31"/>
    <w:qFormat/>
    <w:uiPriority w:val="99"/>
    <w:rPr>
      <w:kern w:val="2"/>
      <w:sz w:val="18"/>
      <w:szCs w:val="18"/>
    </w:rPr>
  </w:style>
  <w:style w:type="character" w:customStyle="1" w:styleId="82">
    <w:name w:val="页眉 字符"/>
    <w:link w:val="32"/>
    <w:qFormat/>
    <w:uiPriority w:val="99"/>
    <w:rPr>
      <w:kern w:val="2"/>
      <w:sz w:val="18"/>
      <w:szCs w:val="18"/>
    </w:rPr>
  </w:style>
  <w:style w:type="character" w:customStyle="1" w:styleId="83">
    <w:name w:val="脚注文本 字符"/>
    <w:link w:val="38"/>
    <w:qFormat/>
    <w:uiPriority w:val="0"/>
    <w:rPr>
      <w:rFonts w:ascii="Courier" w:hAnsi="Courier" w:eastAsia="PMingLiU"/>
      <w:snapToGrid w:val="0"/>
      <w:sz w:val="24"/>
      <w:lang w:val="en-AU" w:eastAsia="en-US"/>
    </w:rPr>
  </w:style>
  <w:style w:type="character" w:customStyle="1" w:styleId="84">
    <w:name w:val="正文文本缩进 3 字符"/>
    <w:link w:val="41"/>
    <w:qFormat/>
    <w:uiPriority w:val="0"/>
    <w:rPr>
      <w:kern w:val="2"/>
      <w:sz w:val="16"/>
      <w:szCs w:val="16"/>
    </w:rPr>
  </w:style>
  <w:style w:type="character" w:customStyle="1" w:styleId="85">
    <w:name w:val="正文文本 2 字符"/>
    <w:link w:val="44"/>
    <w:qFormat/>
    <w:uiPriority w:val="0"/>
    <w:rPr>
      <w:rFonts w:ascii="楷体_GB2312" w:hAnsi="宋体" w:eastAsia="楷体_GB2312"/>
      <w:color w:val="000000"/>
      <w:sz w:val="21"/>
      <w:szCs w:val="21"/>
      <w:lang w:val="en-US" w:eastAsia="zh-CN"/>
    </w:rPr>
  </w:style>
  <w:style w:type="character" w:customStyle="1" w:styleId="86">
    <w:name w:val="标题 字符"/>
    <w:link w:val="47"/>
    <w:qFormat/>
    <w:uiPriority w:val="0"/>
    <w:rPr>
      <w:rFonts w:ascii="Arial" w:hAnsi="Arial"/>
      <w:b/>
      <w:sz w:val="32"/>
    </w:rPr>
  </w:style>
  <w:style w:type="character" w:customStyle="1" w:styleId="87">
    <w:name w:val="批注主题 字符"/>
    <w:link w:val="49"/>
    <w:qFormat/>
    <w:uiPriority w:val="99"/>
    <w:rPr>
      <w:kern w:val="2"/>
      <w:sz w:val="21"/>
      <w:szCs w:val="24"/>
    </w:rPr>
  </w:style>
  <w:style w:type="character" w:customStyle="1" w:styleId="88">
    <w:name w:val="Char Char17"/>
    <w:qFormat/>
    <w:uiPriority w:val="0"/>
    <w:rPr>
      <w:rFonts w:ascii="Arial" w:hAnsi="Arial" w:eastAsia="黑体"/>
      <w:b/>
      <w:bCs/>
      <w:sz w:val="28"/>
      <w:szCs w:val="28"/>
      <w:lang w:val="en-US" w:eastAsia="zh-CN" w:bidi="ar-SA"/>
    </w:rPr>
  </w:style>
  <w:style w:type="character" w:customStyle="1" w:styleId="89">
    <w:name w:val="正文缩进 Char1"/>
    <w:qFormat/>
    <w:uiPriority w:val="0"/>
    <w:rPr>
      <w:kern w:val="2"/>
      <w:sz w:val="21"/>
    </w:rPr>
  </w:style>
  <w:style w:type="character" w:customStyle="1" w:styleId="90">
    <w:name w:val="正文首行缩进 2 Char1"/>
    <w:semiHidden/>
    <w:qFormat/>
    <w:uiPriority w:val="99"/>
    <w:rPr>
      <w:kern w:val="2"/>
      <w:sz w:val="21"/>
      <w:szCs w:val="24"/>
    </w:rPr>
  </w:style>
  <w:style w:type="character" w:customStyle="1" w:styleId="91">
    <w:name w:val="应答文本 Char Char"/>
    <w:link w:val="92"/>
    <w:qFormat/>
    <w:uiPriority w:val="0"/>
    <w:rPr>
      <w:sz w:val="21"/>
      <w:szCs w:val="21"/>
    </w:rPr>
  </w:style>
  <w:style w:type="paragraph" w:customStyle="1" w:styleId="92">
    <w:name w:val="应答文本"/>
    <w:basedOn w:val="1"/>
    <w:link w:val="91"/>
    <w:qFormat/>
    <w:uiPriority w:val="0"/>
    <w:pPr>
      <w:adjustRightInd w:val="0"/>
      <w:snapToGrid w:val="0"/>
      <w:spacing w:afterLines="50"/>
      <w:ind w:left="200" w:leftChars="200"/>
    </w:pPr>
    <w:rPr>
      <w:kern w:val="0"/>
      <w:szCs w:val="21"/>
    </w:rPr>
  </w:style>
  <w:style w:type="character" w:customStyle="1" w:styleId="93">
    <w:name w:val="Char Char1"/>
    <w:qFormat/>
    <w:uiPriority w:val="0"/>
    <w:rPr>
      <w:rFonts w:eastAsia="宋体"/>
      <w:szCs w:val="24"/>
      <w:lang w:bidi="ar-SA"/>
    </w:rPr>
  </w:style>
  <w:style w:type="character" w:customStyle="1" w:styleId="94">
    <w:name w:val="批注文字 Char1"/>
    <w:semiHidden/>
    <w:qFormat/>
    <w:locked/>
    <w:uiPriority w:val="0"/>
    <w:rPr>
      <w:kern w:val="2"/>
      <w:sz w:val="21"/>
      <w:szCs w:val="24"/>
    </w:rPr>
  </w:style>
  <w:style w:type="character" w:customStyle="1" w:styleId="95">
    <w:name w:val="未处理的提及1"/>
    <w:unhideWhenUsed/>
    <w:qFormat/>
    <w:uiPriority w:val="99"/>
    <w:rPr>
      <w:color w:val="605E5C"/>
      <w:shd w:val="clear" w:color="auto" w:fill="E1DFDD"/>
    </w:rPr>
  </w:style>
  <w:style w:type="character" w:customStyle="1" w:styleId="96">
    <w:name w:val="明显参考1"/>
    <w:qFormat/>
    <w:uiPriority w:val="32"/>
    <w:rPr>
      <w:b/>
      <w:bCs/>
      <w:smallCaps/>
      <w:color w:val="C0504D"/>
      <w:spacing w:val="5"/>
      <w:u w:val="single"/>
    </w:rPr>
  </w:style>
  <w:style w:type="character" w:customStyle="1" w:styleId="97">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character" w:customStyle="1" w:styleId="98">
    <w:name w:val="标题 Char1"/>
    <w:qFormat/>
    <w:uiPriority w:val="10"/>
    <w:rPr>
      <w:rFonts w:ascii="Cambria" w:hAnsi="Cambria" w:eastAsia="宋体" w:cs="Times New Roman"/>
      <w:b/>
      <w:bCs/>
      <w:kern w:val="0"/>
      <w:sz w:val="32"/>
      <w:szCs w:val="32"/>
    </w:rPr>
  </w:style>
  <w:style w:type="character" w:customStyle="1" w:styleId="99">
    <w:name w:val="正文文字 Char"/>
    <w:qFormat/>
    <w:uiPriority w:val="0"/>
    <w:rPr>
      <w:rFonts w:ascii="宋体" w:eastAsia="宋体"/>
      <w:snapToGrid w:val="0"/>
      <w:color w:val="000000"/>
      <w:sz w:val="28"/>
      <w:lang w:val="en-US" w:eastAsia="zh-CN" w:bidi="ar-SA"/>
    </w:rPr>
  </w:style>
  <w:style w:type="character" w:customStyle="1" w:styleId="100">
    <w:name w:val="页脚 字符"/>
    <w:qFormat/>
    <w:uiPriority w:val="99"/>
  </w:style>
  <w:style w:type="character" w:customStyle="1" w:styleId="101">
    <w:name w:val="表格 Char Char"/>
    <w:link w:val="102"/>
    <w:qFormat/>
    <w:uiPriority w:val="0"/>
    <w:rPr>
      <w:rFonts w:ascii="宋体" w:hAnsi="宋体"/>
      <w:kern w:val="2"/>
      <w:sz w:val="21"/>
      <w:szCs w:val="28"/>
    </w:rPr>
  </w:style>
  <w:style w:type="paragraph" w:customStyle="1" w:styleId="102">
    <w:name w:val="表格 Char"/>
    <w:basedOn w:val="1"/>
    <w:link w:val="101"/>
    <w:qFormat/>
    <w:uiPriority w:val="0"/>
    <w:pPr>
      <w:spacing w:before="100" w:beforeAutospacing="1" w:after="100" w:afterAutospacing="1"/>
      <w:jc w:val="center"/>
    </w:pPr>
    <w:rPr>
      <w:rFonts w:ascii="宋体" w:hAnsi="宋体"/>
      <w:szCs w:val="28"/>
    </w:rPr>
  </w:style>
  <w:style w:type="character" w:customStyle="1" w:styleId="103">
    <w:name w:val="正文文本 3 Char1"/>
    <w:semiHidden/>
    <w:qFormat/>
    <w:uiPriority w:val="99"/>
    <w:rPr>
      <w:rFonts w:ascii="Times New Roman" w:hAnsi="Times New Roman" w:eastAsia="宋体" w:cs="Times New Roman"/>
      <w:kern w:val="0"/>
      <w:sz w:val="16"/>
      <w:szCs w:val="16"/>
    </w:rPr>
  </w:style>
  <w:style w:type="character" w:customStyle="1" w:styleId="104">
    <w:name w:val="Report Text Char"/>
    <w:link w:val="105"/>
    <w:qFormat/>
    <w:uiPriority w:val="0"/>
    <w:rPr>
      <w:rFonts w:ascii="Arial" w:hAnsi="Arial"/>
      <w:kern w:val="28"/>
      <w:sz w:val="22"/>
    </w:rPr>
  </w:style>
  <w:style w:type="paragraph" w:customStyle="1" w:styleId="105">
    <w:name w:val="Report Text"/>
    <w:basedOn w:val="1"/>
    <w:link w:val="104"/>
    <w:qFormat/>
    <w:uiPriority w:val="0"/>
    <w:pPr>
      <w:spacing w:before="240" w:after="120"/>
      <w:ind w:left="1080"/>
    </w:pPr>
    <w:rPr>
      <w:rFonts w:ascii="Arial" w:hAnsi="Arial"/>
      <w:kern w:val="28"/>
      <w:sz w:val="22"/>
      <w:szCs w:val="20"/>
    </w:rPr>
  </w:style>
  <w:style w:type="character" w:customStyle="1" w:styleId="106">
    <w:name w:val="正文文本 2 Char1"/>
    <w:semiHidden/>
    <w:qFormat/>
    <w:uiPriority w:val="99"/>
    <w:rPr>
      <w:rFonts w:ascii="Times New Roman" w:hAnsi="Times New Roman" w:eastAsia="宋体" w:cs="Times New Roman"/>
      <w:kern w:val="0"/>
      <w:szCs w:val="20"/>
    </w:rPr>
  </w:style>
  <w:style w:type="character" w:customStyle="1" w:styleId="107">
    <w:name w:val="Char Char19"/>
    <w:qFormat/>
    <w:uiPriority w:val="0"/>
    <w:rPr>
      <w:rFonts w:ascii="华文细黑" w:hAnsi="Arial" w:eastAsia="华文细黑"/>
      <w:b/>
      <w:bCs/>
      <w:sz w:val="44"/>
      <w:szCs w:val="32"/>
      <w:lang w:val="en-US" w:eastAsia="zh-CN" w:bidi="ar-SA"/>
    </w:rPr>
  </w:style>
  <w:style w:type="character" w:customStyle="1" w:styleId="108">
    <w:name w:val="列表框2 Char"/>
    <w:link w:val="109"/>
    <w:qFormat/>
    <w:uiPriority w:val="0"/>
    <w:rPr>
      <w:rFonts w:ascii="宋体" w:hAnsi="宋体"/>
      <w:sz w:val="21"/>
      <w:szCs w:val="24"/>
    </w:rPr>
  </w:style>
  <w:style w:type="paragraph" w:customStyle="1" w:styleId="109">
    <w:name w:val="列表框2"/>
    <w:basedOn w:val="110"/>
    <w:link w:val="108"/>
    <w:qFormat/>
    <w:uiPriority w:val="0"/>
    <w:pPr>
      <w:tabs>
        <w:tab w:val="left" w:pos="1682"/>
        <w:tab w:val="left" w:pos="2084"/>
      </w:tabs>
      <w:ind w:left="2118" w:leftChars="808" w:hanging="420"/>
    </w:pPr>
    <w:rPr>
      <w:szCs w:val="24"/>
    </w:rPr>
  </w:style>
  <w:style w:type="paragraph" w:customStyle="1" w:styleId="110">
    <w:name w:val="列表框1"/>
    <w:basedOn w:val="1"/>
    <w:link w:val="111"/>
    <w:qFormat/>
    <w:uiPriority w:val="0"/>
    <w:pPr>
      <w:tabs>
        <w:tab w:val="left" w:pos="1682"/>
      </w:tabs>
      <w:adjustRightInd w:val="0"/>
      <w:snapToGrid w:val="0"/>
      <w:ind w:left="1748" w:hanging="434"/>
    </w:pPr>
    <w:rPr>
      <w:rFonts w:ascii="宋体" w:hAnsi="宋体"/>
      <w:kern w:val="0"/>
      <w:szCs w:val="21"/>
    </w:rPr>
  </w:style>
  <w:style w:type="character" w:customStyle="1" w:styleId="111">
    <w:name w:val="列表框1 Char Char"/>
    <w:link w:val="110"/>
    <w:qFormat/>
    <w:uiPriority w:val="0"/>
    <w:rPr>
      <w:rFonts w:ascii="宋体" w:hAnsi="宋体"/>
      <w:sz w:val="21"/>
      <w:szCs w:val="21"/>
    </w:rPr>
  </w:style>
  <w:style w:type="character" w:customStyle="1" w:styleId="112">
    <w:name w:val="Char Char7"/>
    <w:qFormat/>
    <w:uiPriority w:val="0"/>
    <w:rPr>
      <w:rFonts w:eastAsia="宋体"/>
      <w:kern w:val="2"/>
      <w:sz w:val="18"/>
      <w:szCs w:val="18"/>
      <w:lang w:val="en-US" w:eastAsia="zh-CN" w:bidi="ar-SA"/>
    </w:rPr>
  </w:style>
  <w:style w:type="character" w:customStyle="1" w:styleId="113">
    <w:name w:val="样式 标题 3 + 黑色 Char"/>
    <w:link w:val="114"/>
    <w:qFormat/>
    <w:uiPriority w:val="0"/>
    <w:rPr>
      <w:color w:val="FF0000"/>
      <w:kern w:val="2"/>
      <w:sz w:val="24"/>
    </w:rPr>
  </w:style>
  <w:style w:type="paragraph" w:customStyle="1" w:styleId="114">
    <w:name w:val="样式 标题 3 + 黑色"/>
    <w:basedOn w:val="5"/>
    <w:link w:val="113"/>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character" w:customStyle="1" w:styleId="115">
    <w:name w:val="已访问的超链接1"/>
    <w:qFormat/>
    <w:uiPriority w:val="99"/>
    <w:rPr>
      <w:color w:val="800080"/>
      <w:u w:val="single"/>
    </w:rPr>
  </w:style>
  <w:style w:type="character" w:customStyle="1" w:styleId="116">
    <w:name w:val="普通文字 Char Char"/>
    <w:qFormat/>
    <w:uiPriority w:val="0"/>
    <w:rPr>
      <w:rFonts w:ascii="宋体" w:hAnsi="Courier New" w:eastAsia="宋体" w:cs="Courier New"/>
      <w:kern w:val="2"/>
      <w:sz w:val="21"/>
      <w:szCs w:val="21"/>
      <w:lang w:val="en-US" w:eastAsia="zh-CN" w:bidi="ar-SA"/>
    </w:rPr>
  </w:style>
  <w:style w:type="character" w:customStyle="1" w:styleId="117">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character" w:customStyle="1" w:styleId="118">
    <w:name w:val="批注框文本 Char1"/>
    <w:semiHidden/>
    <w:qFormat/>
    <w:uiPriority w:val="99"/>
    <w:rPr>
      <w:rFonts w:ascii="Times New Roman" w:hAnsi="Times New Roman" w:eastAsia="宋体" w:cs="Times New Roman"/>
      <w:kern w:val="0"/>
      <w:sz w:val="18"/>
      <w:szCs w:val="18"/>
    </w:rPr>
  </w:style>
  <w:style w:type="character" w:customStyle="1" w:styleId="119">
    <w:name w:val="文档结构图 Char1"/>
    <w:semiHidden/>
    <w:qFormat/>
    <w:uiPriority w:val="99"/>
    <w:rPr>
      <w:rFonts w:ascii="宋体" w:hAnsi="Times New Roman" w:eastAsia="宋体" w:cs="Times New Roman"/>
      <w:kern w:val="0"/>
      <w:sz w:val="18"/>
      <w:szCs w:val="18"/>
    </w:rPr>
  </w:style>
  <w:style w:type="character" w:customStyle="1" w:styleId="120">
    <w:name w:val="未处理的提及11"/>
    <w:unhideWhenUsed/>
    <w:qFormat/>
    <w:uiPriority w:val="99"/>
    <w:rPr>
      <w:color w:val="605E5C"/>
      <w:shd w:val="clear" w:color="auto" w:fill="E1DFDD"/>
    </w:rPr>
  </w:style>
  <w:style w:type="character" w:customStyle="1" w:styleId="121">
    <w:name w:val="无编号正文 Char"/>
    <w:link w:val="122"/>
    <w:qFormat/>
    <w:uiPriority w:val="0"/>
    <w:rPr>
      <w:rFonts w:ascii="宋体" w:hAnsi="宋体"/>
      <w:sz w:val="24"/>
      <w:szCs w:val="24"/>
    </w:rPr>
  </w:style>
  <w:style w:type="paragraph" w:customStyle="1" w:styleId="122">
    <w:name w:val="无编号正文"/>
    <w:basedOn w:val="19"/>
    <w:next w:val="1"/>
    <w:link w:val="121"/>
    <w:qFormat/>
    <w:uiPriority w:val="0"/>
    <w:pPr>
      <w:spacing w:after="0"/>
      <w:ind w:left="200" w:leftChars="200"/>
    </w:pPr>
    <w:rPr>
      <w:rFonts w:ascii="宋体" w:hAnsi="宋体"/>
      <w:kern w:val="0"/>
      <w:sz w:val="24"/>
    </w:rPr>
  </w:style>
  <w:style w:type="character" w:customStyle="1" w:styleId="123">
    <w:name w:val="日期 Char1"/>
    <w:semiHidden/>
    <w:qFormat/>
    <w:uiPriority w:val="99"/>
    <w:rPr>
      <w:rFonts w:ascii="Times New Roman" w:hAnsi="Times New Roman" w:eastAsia="宋体" w:cs="Times New Roman"/>
      <w:kern w:val="0"/>
      <w:szCs w:val="20"/>
    </w:rPr>
  </w:style>
  <w:style w:type="character" w:customStyle="1" w:styleId="124">
    <w:name w:val="正文文本缩进 Char2"/>
    <w:semiHidden/>
    <w:qFormat/>
    <w:uiPriority w:val="99"/>
    <w:rPr>
      <w:rFonts w:ascii="Times New Roman" w:hAnsi="Times New Roman" w:eastAsia="宋体" w:cs="Times New Roman"/>
      <w:szCs w:val="24"/>
    </w:rPr>
  </w:style>
  <w:style w:type="character" w:customStyle="1" w:styleId="125">
    <w:name w:val="text"/>
    <w:qFormat/>
    <w:uiPriority w:val="0"/>
    <w:rPr>
      <w:rFonts w:ascii="仿宋_GB2312" w:eastAsia="仿宋_GB2312"/>
      <w:b/>
      <w:kern w:val="2"/>
      <w:sz w:val="32"/>
      <w:szCs w:val="32"/>
      <w:lang w:val="en-US" w:eastAsia="zh-CN" w:bidi="ar-SA"/>
    </w:rPr>
  </w:style>
  <w:style w:type="character" w:customStyle="1" w:styleId="126">
    <w:name w:val="脚注文本 Char1"/>
    <w:semiHidden/>
    <w:qFormat/>
    <w:uiPriority w:val="99"/>
    <w:rPr>
      <w:kern w:val="2"/>
      <w:sz w:val="18"/>
      <w:szCs w:val="18"/>
    </w:rPr>
  </w:style>
  <w:style w:type="character" w:customStyle="1" w:styleId="127">
    <w:name w:val="批注主题 Char1"/>
    <w:semiHidden/>
    <w:qFormat/>
    <w:uiPriority w:val="99"/>
    <w:rPr>
      <w:rFonts w:ascii="Times New Roman" w:hAnsi="Times New Roman" w:eastAsia="宋体" w:cs="Times New Roman"/>
      <w:b/>
      <w:bCs/>
      <w:kern w:val="0"/>
      <w:sz w:val="21"/>
      <w:szCs w:val="20"/>
    </w:rPr>
  </w:style>
  <w:style w:type="character" w:customStyle="1" w:styleId="128">
    <w:name w:val="Char Char15"/>
    <w:qFormat/>
    <w:uiPriority w:val="0"/>
    <w:rPr>
      <w:rFonts w:ascii="Arial" w:hAnsi="Arial" w:eastAsia="黑体"/>
      <w:b/>
      <w:bCs/>
      <w:sz w:val="24"/>
      <w:szCs w:val="24"/>
      <w:lang w:val="en-US" w:eastAsia="zh-CN" w:bidi="ar-SA"/>
    </w:rPr>
  </w:style>
  <w:style w:type="character" w:customStyle="1" w:styleId="129">
    <w:name w:val="三级标题康"/>
    <w:qFormat/>
    <w:uiPriority w:val="0"/>
    <w:rPr>
      <w:rFonts w:ascii="Arial" w:hAnsi="Arial" w:eastAsia="宋体" w:cs="Times New Roman"/>
      <w:b/>
      <w:bCs/>
      <w:sz w:val="21"/>
      <w:szCs w:val="32"/>
    </w:rPr>
  </w:style>
  <w:style w:type="character" w:customStyle="1" w:styleId="130">
    <w:name w:val="样式 表内文字"/>
    <w:qFormat/>
    <w:uiPriority w:val="0"/>
    <w:rPr>
      <w:rFonts w:eastAsia="宋体"/>
      <w:snapToGrid/>
      <w:color w:val="000000"/>
      <w:spacing w:val="0"/>
      <w:kern w:val="0"/>
      <w:position w:val="0"/>
      <w:sz w:val="20"/>
      <w:szCs w:val="20"/>
      <w:u w:val="none"/>
    </w:rPr>
  </w:style>
  <w:style w:type="character" w:customStyle="1" w:styleId="131">
    <w:name w:val="Char Char13"/>
    <w:qFormat/>
    <w:uiPriority w:val="0"/>
    <w:rPr>
      <w:rFonts w:ascii="Arial" w:hAnsi="Arial" w:eastAsia="黑体"/>
      <w:sz w:val="24"/>
      <w:szCs w:val="24"/>
      <w:lang w:val="en-US" w:eastAsia="zh-CN" w:bidi="ar-SA"/>
    </w:rPr>
  </w:style>
  <w:style w:type="character" w:customStyle="1" w:styleId="132">
    <w:name w:val="Char Char11"/>
    <w:qFormat/>
    <w:uiPriority w:val="0"/>
    <w:rPr>
      <w:rFonts w:eastAsia="宋体"/>
      <w:b/>
      <w:bCs/>
      <w:kern w:val="2"/>
      <w:sz w:val="21"/>
      <w:szCs w:val="24"/>
      <w:lang w:val="en-US" w:eastAsia="zh-CN" w:bidi="ar-SA"/>
    </w:rPr>
  </w:style>
  <w:style w:type="character" w:customStyle="1" w:styleId="133">
    <w:name w:val="标题 3 Char1"/>
    <w:qFormat/>
    <w:uiPriority w:val="0"/>
    <w:rPr>
      <w:b/>
      <w:bCs/>
      <w:sz w:val="32"/>
      <w:szCs w:val="32"/>
    </w:rPr>
  </w:style>
  <w:style w:type="character" w:customStyle="1" w:styleId="134">
    <w:name w:val="图形布置 Char"/>
    <w:link w:val="135"/>
    <w:qFormat/>
    <w:uiPriority w:val="0"/>
    <w:rPr>
      <w:rFonts w:ascii="Arial" w:hAnsi="Arial" w:cs="Arial"/>
      <w:sz w:val="21"/>
    </w:rPr>
  </w:style>
  <w:style w:type="paragraph" w:customStyle="1" w:styleId="135">
    <w:name w:val="图形布置"/>
    <w:basedOn w:val="136"/>
    <w:link w:val="134"/>
    <w:qFormat/>
    <w:uiPriority w:val="0"/>
  </w:style>
  <w:style w:type="paragraph" w:customStyle="1" w:styleId="136">
    <w:name w:val="图形题注"/>
    <w:basedOn w:val="14"/>
    <w:link w:val="137"/>
    <w:qFormat/>
    <w:uiPriority w:val="0"/>
    <w:pPr>
      <w:adjustRightInd w:val="0"/>
      <w:snapToGrid w:val="0"/>
      <w:spacing w:afterLines="50"/>
      <w:jc w:val="center"/>
    </w:pPr>
    <w:rPr>
      <w:rFonts w:eastAsia="宋体" w:cs="Times New Roman"/>
      <w:kern w:val="0"/>
      <w:sz w:val="21"/>
    </w:rPr>
  </w:style>
  <w:style w:type="character" w:customStyle="1" w:styleId="137">
    <w:name w:val="图形题注 Char"/>
    <w:link w:val="136"/>
    <w:qFormat/>
    <w:uiPriority w:val="0"/>
    <w:rPr>
      <w:rFonts w:ascii="Arial" w:hAnsi="Arial" w:cs="Arial"/>
      <w:sz w:val="21"/>
    </w:rPr>
  </w:style>
  <w:style w:type="character" w:customStyle="1" w:styleId="138">
    <w:name w:val="Char Char12"/>
    <w:qFormat/>
    <w:uiPriority w:val="0"/>
    <w:rPr>
      <w:rFonts w:ascii="Arial" w:hAnsi="Arial" w:eastAsia="黑体"/>
      <w:sz w:val="21"/>
      <w:szCs w:val="21"/>
      <w:lang w:val="en-US" w:eastAsia="zh-CN" w:bidi="ar-SA"/>
    </w:rPr>
  </w:style>
  <w:style w:type="character" w:customStyle="1" w:styleId="139">
    <w:name w:val="正文文本缩进 2 Char1"/>
    <w:semiHidden/>
    <w:qFormat/>
    <w:uiPriority w:val="99"/>
    <w:rPr>
      <w:rFonts w:ascii="Times New Roman" w:hAnsi="Times New Roman" w:eastAsia="宋体" w:cs="Times New Roman"/>
      <w:kern w:val="0"/>
      <w:szCs w:val="20"/>
    </w:rPr>
  </w:style>
  <w:style w:type="character" w:customStyle="1" w:styleId="140">
    <w:name w:val="正文文本缩进 Char1"/>
    <w:semiHidden/>
    <w:qFormat/>
    <w:uiPriority w:val="99"/>
    <w:rPr>
      <w:rFonts w:ascii="Times New Roman" w:hAnsi="Times New Roman" w:eastAsia="宋体" w:cs="Times New Roman"/>
      <w:kern w:val="0"/>
      <w:szCs w:val="20"/>
    </w:rPr>
  </w:style>
  <w:style w:type="character" w:customStyle="1" w:styleId="141">
    <w:name w:val="正文首行缩进 Char"/>
    <w:link w:val="142"/>
    <w:qFormat/>
    <w:uiPriority w:val="0"/>
    <w:rPr>
      <w:kern w:val="2"/>
      <w:sz w:val="21"/>
      <w:szCs w:val="24"/>
    </w:rPr>
  </w:style>
  <w:style w:type="paragraph" w:customStyle="1" w:styleId="142">
    <w:name w:val="正文首行缩进1"/>
    <w:basedOn w:val="19"/>
    <w:link w:val="141"/>
    <w:qFormat/>
    <w:uiPriority w:val="0"/>
    <w:pPr>
      <w:ind w:firstLine="100" w:firstLineChars="100"/>
    </w:pPr>
  </w:style>
  <w:style w:type="character" w:customStyle="1" w:styleId="143">
    <w:name w:val="页脚 Char1"/>
    <w:semiHidden/>
    <w:qFormat/>
    <w:uiPriority w:val="99"/>
    <w:rPr>
      <w:rFonts w:ascii="Times New Roman" w:hAnsi="Times New Roman" w:eastAsia="宋体" w:cs="Times New Roman"/>
      <w:kern w:val="0"/>
      <w:sz w:val="18"/>
      <w:szCs w:val="18"/>
    </w:rPr>
  </w:style>
  <w:style w:type="character" w:customStyle="1" w:styleId="144">
    <w:name w:val="Char Char10"/>
    <w:qFormat/>
    <w:uiPriority w:val="0"/>
    <w:rPr>
      <w:rFonts w:eastAsia="仿宋_GB2312"/>
      <w:kern w:val="2"/>
      <w:sz w:val="32"/>
      <w:szCs w:val="24"/>
      <w:lang w:val="en-US" w:eastAsia="zh-CN" w:bidi="ar-SA"/>
    </w:rPr>
  </w:style>
  <w:style w:type="character" w:customStyle="1" w:styleId="145">
    <w:name w:val="纯文本 Char1"/>
    <w:qFormat/>
    <w:uiPriority w:val="99"/>
    <w:rPr>
      <w:rFonts w:ascii="宋体" w:hAnsi="Courier New" w:eastAsia="宋体" w:cs="Times New Roman"/>
      <w:szCs w:val="20"/>
    </w:rPr>
  </w:style>
  <w:style w:type="character" w:customStyle="1" w:styleId="146">
    <w:name w:val="正文文本缩进 3 Char1"/>
    <w:semiHidden/>
    <w:qFormat/>
    <w:uiPriority w:val="99"/>
    <w:rPr>
      <w:rFonts w:ascii="Times New Roman" w:hAnsi="Times New Roman" w:eastAsia="宋体" w:cs="Times New Roman"/>
      <w:kern w:val="0"/>
      <w:sz w:val="16"/>
      <w:szCs w:val="16"/>
    </w:rPr>
  </w:style>
  <w:style w:type="character" w:customStyle="1" w:styleId="147">
    <w:name w:val="正文首行缩进 2 Char"/>
    <w:link w:val="148"/>
    <w:qFormat/>
    <w:uiPriority w:val="0"/>
    <w:rPr>
      <w:kern w:val="2"/>
      <w:sz w:val="21"/>
      <w:szCs w:val="24"/>
    </w:rPr>
  </w:style>
  <w:style w:type="paragraph" w:customStyle="1" w:styleId="148">
    <w:name w:val="正文首行缩进 21"/>
    <w:basedOn w:val="20"/>
    <w:link w:val="147"/>
    <w:qFormat/>
    <w:uiPriority w:val="0"/>
    <w:pPr>
      <w:adjustRightInd w:val="0"/>
      <w:spacing w:line="312" w:lineRule="atLeast"/>
      <w:textAlignment w:val="baseline"/>
    </w:pPr>
  </w:style>
  <w:style w:type="character" w:customStyle="1" w:styleId="149">
    <w:name w:val="样式4 Char"/>
    <w:link w:val="150"/>
    <w:qFormat/>
    <w:uiPriority w:val="0"/>
    <w:rPr>
      <w:rFonts w:ascii="宋体"/>
      <w:kern w:val="2"/>
      <w:sz w:val="18"/>
      <w:szCs w:val="18"/>
    </w:rPr>
  </w:style>
  <w:style w:type="paragraph" w:customStyle="1" w:styleId="150">
    <w:name w:val="样式4"/>
    <w:basedOn w:val="32"/>
    <w:link w:val="149"/>
    <w:qFormat/>
    <w:uiPriority w:val="0"/>
    <w:pPr>
      <w:pBdr>
        <w:bottom w:val="none" w:color="auto" w:sz="0" w:space="0"/>
      </w:pBdr>
      <w:autoSpaceDE w:val="0"/>
      <w:autoSpaceDN w:val="0"/>
      <w:adjustRightInd w:val="0"/>
      <w:snapToGrid/>
      <w:textAlignment w:val="baseline"/>
    </w:pPr>
    <w:rPr>
      <w:rFonts w:ascii="宋体"/>
    </w:rPr>
  </w:style>
  <w:style w:type="character" w:customStyle="1" w:styleId="151">
    <w:name w:val="Char Char Char Char1"/>
    <w:link w:val="152"/>
    <w:qFormat/>
    <w:uiPriority w:val="0"/>
    <w:rPr>
      <w:rFonts w:ascii="仿宋_GB2312" w:eastAsia="仿宋_GB2312"/>
      <w:b/>
      <w:kern w:val="2"/>
      <w:sz w:val="32"/>
      <w:szCs w:val="32"/>
    </w:rPr>
  </w:style>
  <w:style w:type="paragraph" w:customStyle="1" w:styleId="152">
    <w:name w:val="Char Char Char1"/>
    <w:basedOn w:val="1"/>
    <w:link w:val="151"/>
    <w:qFormat/>
    <w:uiPriority w:val="0"/>
    <w:rPr>
      <w:rFonts w:ascii="仿宋_GB2312" w:eastAsia="仿宋_GB2312"/>
      <w:b/>
      <w:sz w:val="32"/>
      <w:szCs w:val="32"/>
    </w:rPr>
  </w:style>
  <w:style w:type="character" w:customStyle="1" w:styleId="153">
    <w:name w:val="Char Char16"/>
    <w:qFormat/>
    <w:uiPriority w:val="0"/>
    <w:rPr>
      <w:rFonts w:eastAsia="宋体"/>
      <w:b/>
      <w:bCs/>
      <w:sz w:val="28"/>
      <w:szCs w:val="28"/>
      <w:lang w:val="en-US" w:eastAsia="zh-CN" w:bidi="ar-SA"/>
    </w:rPr>
  </w:style>
  <w:style w:type="character" w:customStyle="1" w:styleId="154">
    <w:name w:val="页眉 Char1"/>
    <w:semiHidden/>
    <w:qFormat/>
    <w:uiPriority w:val="99"/>
    <w:rPr>
      <w:rFonts w:ascii="Times New Roman" w:hAnsi="Times New Roman" w:eastAsia="宋体" w:cs="Times New Roman"/>
      <w:kern w:val="0"/>
      <w:sz w:val="18"/>
      <w:szCs w:val="18"/>
    </w:rPr>
  </w:style>
  <w:style w:type="character" w:customStyle="1" w:styleId="155">
    <w:name w:val="列出段落 Char"/>
    <w:link w:val="156"/>
    <w:qFormat/>
    <w:uiPriority w:val="0"/>
    <w:rPr>
      <w:rFonts w:ascii="Calibri" w:hAnsi="Calibri"/>
      <w:kern w:val="2"/>
      <w:sz w:val="21"/>
      <w:szCs w:val="22"/>
    </w:rPr>
  </w:style>
  <w:style w:type="paragraph" w:customStyle="1" w:styleId="156">
    <w:name w:val="列出段落2"/>
    <w:basedOn w:val="1"/>
    <w:link w:val="155"/>
    <w:qFormat/>
    <w:uiPriority w:val="0"/>
    <w:rPr>
      <w:rFonts w:ascii="Calibri" w:hAnsi="Calibri"/>
      <w:szCs w:val="22"/>
    </w:rPr>
  </w:style>
  <w:style w:type="character" w:customStyle="1" w:styleId="157">
    <w:name w:val="纯文本 Char2"/>
    <w:qFormat/>
    <w:uiPriority w:val="0"/>
    <w:rPr>
      <w:rFonts w:ascii="宋体" w:hAnsi="Courier New" w:eastAsia="宋体"/>
      <w:kern w:val="2"/>
      <w:sz w:val="21"/>
      <w:lang w:val="en-US" w:eastAsia="zh-CN"/>
    </w:rPr>
  </w:style>
  <w:style w:type="character" w:customStyle="1" w:styleId="158">
    <w:name w:val="font161"/>
    <w:qFormat/>
    <w:uiPriority w:val="0"/>
    <w:rPr>
      <w:b/>
      <w:bCs/>
      <w:sz w:val="32"/>
      <w:szCs w:val="32"/>
    </w:rPr>
  </w:style>
  <w:style w:type="character" w:customStyle="1" w:styleId="159">
    <w:name w:val="Char Char8"/>
    <w:qFormat/>
    <w:uiPriority w:val="0"/>
    <w:rPr>
      <w:rFonts w:ascii="宋体" w:hAnsi="宋体" w:eastAsia="宋体"/>
      <w:kern w:val="2"/>
      <w:sz w:val="21"/>
      <w:szCs w:val="24"/>
      <w:lang w:val="en-US" w:eastAsia="zh-CN" w:bidi="ar-SA"/>
    </w:rPr>
  </w:style>
  <w:style w:type="character" w:customStyle="1" w:styleId="160">
    <w:name w:val="样式 超链接 + 仿宋_GB2312 小四 加粗"/>
    <w:qFormat/>
    <w:uiPriority w:val="0"/>
    <w:rPr>
      <w:rFonts w:ascii="仿宋_GB2312" w:hAnsi="仿宋_GB2312" w:eastAsia="黑体"/>
      <w:b/>
      <w:bCs/>
      <w:color w:val="auto"/>
      <w:sz w:val="24"/>
      <w:u w:val="none"/>
    </w:rPr>
  </w:style>
  <w:style w:type="character" w:customStyle="1" w:styleId="161">
    <w:name w:val="批注文字 Char2"/>
    <w:qFormat/>
    <w:uiPriority w:val="0"/>
    <w:rPr>
      <w:kern w:val="2"/>
      <w:sz w:val="21"/>
      <w:szCs w:val="24"/>
    </w:rPr>
  </w:style>
  <w:style w:type="character" w:customStyle="1" w:styleId="162">
    <w:name w:val="标题 3 字符"/>
    <w:qFormat/>
    <w:uiPriority w:val="0"/>
    <w:rPr>
      <w:rFonts w:ascii="Times New Roman" w:hAnsi="Times New Roman" w:eastAsia="宋体" w:cs="Times New Roman"/>
      <w:b/>
      <w:bCs/>
      <w:sz w:val="32"/>
      <w:szCs w:val="32"/>
    </w:rPr>
  </w:style>
  <w:style w:type="character" w:customStyle="1" w:styleId="163">
    <w:name w:val="Char Char18"/>
    <w:qFormat/>
    <w:uiPriority w:val="0"/>
    <w:rPr>
      <w:rFonts w:eastAsia="华文细黑"/>
      <w:bCs/>
      <w:sz w:val="36"/>
      <w:szCs w:val="32"/>
      <w:lang w:val="en-US" w:eastAsia="zh-CN" w:bidi="ar-SA"/>
    </w:rPr>
  </w:style>
  <w:style w:type="character" w:customStyle="1" w:styleId="164">
    <w:name w:val="正文文本 Char1"/>
    <w:semiHidden/>
    <w:qFormat/>
    <w:uiPriority w:val="99"/>
    <w:rPr>
      <w:rFonts w:ascii="Times New Roman" w:hAnsi="Times New Roman" w:eastAsia="宋体" w:cs="Times New Roman"/>
      <w:kern w:val="0"/>
      <w:szCs w:val="20"/>
    </w:rPr>
  </w:style>
  <w:style w:type="character" w:customStyle="1" w:styleId="165">
    <w:name w:val="Char Char14"/>
    <w:qFormat/>
    <w:uiPriority w:val="0"/>
    <w:rPr>
      <w:rFonts w:eastAsia="宋体"/>
      <w:b/>
      <w:bCs/>
      <w:sz w:val="24"/>
      <w:szCs w:val="24"/>
      <w:lang w:val="en-US" w:eastAsia="zh-CN" w:bidi="ar-SA"/>
    </w:rPr>
  </w:style>
  <w:style w:type="character" w:customStyle="1" w:styleId="166">
    <w:name w:val="Char Char6"/>
    <w:qFormat/>
    <w:uiPriority w:val="0"/>
    <w:rPr>
      <w:rFonts w:eastAsia="宋体"/>
      <w:sz w:val="18"/>
      <w:szCs w:val="18"/>
      <w:lang w:bidi="ar-SA"/>
    </w:rPr>
  </w:style>
  <w:style w:type="character" w:customStyle="1" w:styleId="167">
    <w:name w:val="正文首行缩进 Char1"/>
    <w:semiHidden/>
    <w:qFormat/>
    <w:uiPriority w:val="99"/>
    <w:rPr>
      <w:rFonts w:ascii="Times New Roman" w:hAnsi="Times New Roman" w:eastAsia="宋体" w:cs="Times New Roman"/>
      <w:kern w:val="0"/>
      <w:szCs w:val="20"/>
    </w:rPr>
  </w:style>
  <w:style w:type="character" w:customStyle="1" w:styleId="168">
    <w:name w:val="Char Char20"/>
    <w:qFormat/>
    <w:uiPriority w:val="0"/>
    <w:rPr>
      <w:rFonts w:ascii="华文细黑" w:eastAsia="华文细黑"/>
      <w:b/>
      <w:bCs/>
      <w:snapToGrid w:val="0"/>
      <w:sz w:val="52"/>
      <w:szCs w:val="44"/>
      <w:lang w:val="en-US" w:eastAsia="zh-CN" w:bidi="ar-SA"/>
    </w:rPr>
  </w:style>
  <w:style w:type="character" w:customStyle="1" w:styleId="169">
    <w:name w:val="标题 1 字符"/>
    <w:qFormat/>
    <w:uiPriority w:val="0"/>
    <w:rPr>
      <w:rFonts w:ascii="Times New Roman" w:hAnsi="Times New Roman" w:eastAsia="宋体" w:cs="Times New Roman"/>
      <w:b/>
      <w:bCs/>
      <w:kern w:val="44"/>
      <w:sz w:val="44"/>
      <w:szCs w:val="44"/>
    </w:rPr>
  </w:style>
  <w:style w:type="character" w:customStyle="1" w:styleId="170">
    <w:name w:val="Char Char2"/>
    <w:qFormat/>
    <w:uiPriority w:val="0"/>
    <w:rPr>
      <w:rFonts w:ascii="楷体_GB2312" w:hAnsi="宋体" w:eastAsia="楷体_GB2312"/>
      <w:color w:val="000000"/>
      <w:sz w:val="21"/>
      <w:szCs w:val="21"/>
      <w:lang w:val="en-US" w:eastAsia="zh-CN" w:bidi="ar-SA"/>
    </w:rPr>
  </w:style>
  <w:style w:type="character" w:customStyle="1" w:styleId="171">
    <w:name w:val="Char Char9"/>
    <w:qFormat/>
    <w:uiPriority w:val="0"/>
    <w:rPr>
      <w:rFonts w:ascii="宋体" w:hAnsi="宋体" w:eastAsia="宋体"/>
      <w:kern w:val="2"/>
      <w:sz w:val="24"/>
      <w:lang w:val="en-US" w:eastAsia="zh-CN" w:bidi="ar-SA"/>
    </w:rPr>
  </w:style>
  <w:style w:type="character" w:customStyle="1" w:styleId="172">
    <w:name w:val="尾注文本 Char1"/>
    <w:semiHidden/>
    <w:qFormat/>
    <w:uiPriority w:val="99"/>
    <w:rPr>
      <w:kern w:val="2"/>
      <w:sz w:val="21"/>
      <w:szCs w:val="24"/>
    </w:rPr>
  </w:style>
  <w:style w:type="paragraph" w:customStyle="1" w:styleId="173">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174">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75">
    <w:name w:val="USE 5"/>
    <w:basedOn w:val="1"/>
    <w:qFormat/>
    <w:uiPriority w:val="0"/>
    <w:pPr>
      <w:ind w:left="217" w:hanging="340"/>
      <w:jc w:val="left"/>
    </w:pPr>
    <w:rPr>
      <w:rFonts w:ascii="宋体" w:hAnsi="宋体"/>
      <w:sz w:val="24"/>
    </w:rPr>
  </w:style>
  <w:style w:type="paragraph" w:customStyle="1" w:styleId="176">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177">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8">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79">
    <w:name w:val="p0"/>
    <w:basedOn w:val="1"/>
    <w:qFormat/>
    <w:uiPriority w:val="0"/>
    <w:rPr>
      <w:kern w:val="0"/>
      <w:szCs w:val="21"/>
    </w:rPr>
  </w:style>
  <w:style w:type="paragraph" w:customStyle="1" w:styleId="180">
    <w:name w:val="xl86"/>
    <w:basedOn w:val="1"/>
    <w:qFormat/>
    <w:uiPriority w:val="0"/>
    <w:pPr>
      <w:spacing w:before="100" w:beforeAutospacing="1" w:after="100" w:afterAutospacing="1"/>
      <w:jc w:val="center"/>
    </w:pPr>
    <w:rPr>
      <w:rFonts w:ascii="宋体" w:hAnsi="宋体" w:cs="宋体"/>
      <w:kern w:val="0"/>
      <w:sz w:val="24"/>
    </w:rPr>
  </w:style>
  <w:style w:type="paragraph" w:customStyle="1" w:styleId="181">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82">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3">
    <w:name w:val="附件"/>
    <w:basedOn w:val="1"/>
    <w:qFormat/>
    <w:uiPriority w:val="0"/>
    <w:pPr>
      <w:spacing w:line="480" w:lineRule="auto"/>
    </w:pPr>
    <w:rPr>
      <w:rFonts w:ascii="黑体" w:eastAsia="黑体"/>
      <w:b/>
      <w:sz w:val="36"/>
      <w:szCs w:val="20"/>
    </w:rPr>
  </w:style>
  <w:style w:type="paragraph" w:customStyle="1" w:styleId="184">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85">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6">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7">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paragraph" w:customStyle="1" w:styleId="188">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89">
    <w:name w:val="纯文本2"/>
    <w:basedOn w:val="1"/>
    <w:qFormat/>
    <w:uiPriority w:val="0"/>
    <w:rPr>
      <w:rFonts w:ascii="宋体" w:hAnsi="Courier New" w:cs="Courier New"/>
      <w:szCs w:val="21"/>
    </w:rPr>
  </w:style>
  <w:style w:type="paragraph" w:customStyle="1" w:styleId="190">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1">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92">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193">
    <w:name w:val="Char Char Char Char Char Char Char"/>
    <w:basedOn w:val="1"/>
    <w:qFormat/>
    <w:uiPriority w:val="0"/>
    <w:rPr>
      <w:rFonts w:ascii="仿宋_GB2312" w:eastAsia="仿宋_GB2312"/>
      <w:b/>
      <w:sz w:val="32"/>
      <w:szCs w:val="32"/>
    </w:rPr>
  </w:style>
  <w:style w:type="paragraph" w:customStyle="1" w:styleId="194">
    <w:name w:val="p8"/>
    <w:basedOn w:val="1"/>
    <w:qFormat/>
    <w:uiPriority w:val="0"/>
    <w:pPr>
      <w:spacing w:line="30" w:lineRule="atLeast"/>
      <w:jc w:val="left"/>
    </w:pPr>
    <w:rPr>
      <w:rFonts w:hint="eastAsia" w:ascii="宋体" w:hAnsi="宋体" w:cs="宋体"/>
      <w:kern w:val="0"/>
      <w:szCs w:val="21"/>
    </w:rPr>
  </w:style>
  <w:style w:type="paragraph" w:customStyle="1" w:styleId="195">
    <w:name w:val="我的目录"/>
    <w:basedOn w:val="196"/>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96">
    <w:name w:val="目录 11"/>
    <w:basedOn w:val="1"/>
    <w:next w:val="1"/>
    <w:qFormat/>
    <w:uiPriority w:val="39"/>
    <w:pPr>
      <w:tabs>
        <w:tab w:val="right" w:leader="dot" w:pos="8296"/>
      </w:tabs>
      <w:ind w:left="850" w:leftChars="1" w:hanging="848" w:hangingChars="404"/>
      <w:jc w:val="center"/>
    </w:pPr>
  </w:style>
  <w:style w:type="paragraph" w:customStyle="1" w:styleId="197">
    <w:name w:val="目录 51"/>
    <w:basedOn w:val="1"/>
    <w:next w:val="1"/>
    <w:qFormat/>
    <w:uiPriority w:val="39"/>
    <w:pPr>
      <w:ind w:left="1680" w:leftChars="800"/>
    </w:pPr>
    <w:rPr>
      <w:rFonts w:ascii="Calibri" w:hAnsi="Calibri"/>
      <w:szCs w:val="22"/>
    </w:rPr>
  </w:style>
  <w:style w:type="paragraph" w:customStyle="1" w:styleId="198">
    <w:name w:val="CM255"/>
    <w:basedOn w:val="199"/>
    <w:next w:val="199"/>
    <w:qFormat/>
    <w:uiPriority w:val="0"/>
    <w:pPr>
      <w:spacing w:after="1728"/>
    </w:pPr>
    <w:rPr>
      <w:rFonts w:ascii="宋体" w:cs="宋体"/>
      <w:color w:val="auto"/>
    </w:rPr>
  </w:style>
  <w:style w:type="paragraph" w:customStyle="1" w:styleId="199">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200">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201">
    <w:name w:val="标题 31"/>
    <w:basedOn w:val="1"/>
    <w:qFormat/>
    <w:uiPriority w:val="1"/>
    <w:pPr>
      <w:ind w:left="237"/>
      <w:jc w:val="left"/>
      <w:outlineLvl w:val="3"/>
    </w:pPr>
    <w:rPr>
      <w:rFonts w:ascii="宋体" w:hAnsi="宋体"/>
      <w:kern w:val="0"/>
      <w:sz w:val="28"/>
      <w:szCs w:val="28"/>
      <w:lang w:eastAsia="en-US"/>
    </w:rPr>
  </w:style>
  <w:style w:type="paragraph" w:customStyle="1" w:styleId="202">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203">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204">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5">
    <w:name w:val="小标题"/>
    <w:basedOn w:val="1"/>
    <w:qFormat/>
    <w:uiPriority w:val="0"/>
    <w:pPr>
      <w:spacing w:line="440" w:lineRule="exact"/>
      <w:ind w:left="420" w:hanging="420"/>
    </w:pPr>
    <w:rPr>
      <w:sz w:val="24"/>
    </w:rPr>
  </w:style>
  <w:style w:type="paragraph" w:customStyle="1" w:styleId="206">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207">
    <w:name w:val="样式 样式 首行缩进:  2 字符 段前: 4.65 磅 + 首行缩进:  2 字符"/>
    <w:basedOn w:val="1"/>
    <w:qFormat/>
    <w:uiPriority w:val="0"/>
    <w:pPr>
      <w:topLinePunct/>
      <w:spacing w:before="93"/>
      <w:ind w:firstLine="480"/>
    </w:pPr>
    <w:rPr>
      <w:rFonts w:cs="宋体"/>
      <w:sz w:val="24"/>
      <w:szCs w:val="20"/>
    </w:rPr>
  </w:style>
  <w:style w:type="paragraph" w:customStyle="1" w:styleId="208">
    <w:name w:val="USE 1"/>
    <w:basedOn w:val="1"/>
    <w:qFormat/>
    <w:uiPriority w:val="0"/>
    <w:pPr>
      <w:spacing w:line="200" w:lineRule="atLeast"/>
      <w:jc w:val="left"/>
    </w:pPr>
    <w:rPr>
      <w:rFonts w:ascii="宋体" w:hAnsi="宋体"/>
      <w:b/>
      <w:sz w:val="24"/>
      <w:szCs w:val="28"/>
    </w:rPr>
  </w:style>
  <w:style w:type="paragraph" w:customStyle="1" w:styleId="209">
    <w:name w:val="备注"/>
    <w:basedOn w:val="1"/>
    <w:qFormat/>
    <w:uiPriority w:val="0"/>
    <w:pPr>
      <w:tabs>
        <w:tab w:val="left" w:pos="547"/>
        <w:tab w:val="left" w:pos="990"/>
        <w:tab w:val="left" w:pos="1350"/>
      </w:tabs>
      <w:spacing w:line="400" w:lineRule="atLeast"/>
    </w:pPr>
    <w:rPr>
      <w:szCs w:val="21"/>
    </w:rPr>
  </w:style>
  <w:style w:type="paragraph" w:customStyle="1" w:styleId="210">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11">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12">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3">
    <w:name w:val="USE 3"/>
    <w:basedOn w:val="1"/>
    <w:qFormat/>
    <w:uiPriority w:val="0"/>
    <w:pPr>
      <w:ind w:left="710" w:hanging="170"/>
      <w:jc w:val="left"/>
    </w:pPr>
    <w:rPr>
      <w:rFonts w:ascii="宋体" w:hAnsi="宋体"/>
      <w:sz w:val="24"/>
      <w:szCs w:val="20"/>
    </w:rPr>
  </w:style>
  <w:style w:type="paragraph" w:customStyle="1" w:styleId="214">
    <w:name w:val="批注框文本 Char Char"/>
    <w:basedOn w:val="1"/>
    <w:qFormat/>
    <w:uiPriority w:val="0"/>
    <w:rPr>
      <w:sz w:val="18"/>
      <w:szCs w:val="20"/>
    </w:rPr>
  </w:style>
  <w:style w:type="paragraph" w:customStyle="1" w:styleId="215">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6">
    <w:name w:val="表格"/>
    <w:basedOn w:val="1"/>
    <w:qFormat/>
    <w:uiPriority w:val="0"/>
    <w:pPr>
      <w:jc w:val="center"/>
      <w:textAlignment w:val="center"/>
    </w:pPr>
    <w:rPr>
      <w:rFonts w:ascii="华文细黑" w:hAnsi="华文细黑"/>
      <w:kern w:val="0"/>
      <w:szCs w:val="20"/>
    </w:rPr>
  </w:style>
  <w:style w:type="paragraph" w:customStyle="1" w:styleId="217">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218">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9">
    <w:name w:val="retrait3"/>
    <w:basedOn w:val="1"/>
    <w:qFormat/>
    <w:uiPriority w:val="0"/>
    <w:pPr>
      <w:spacing w:before="20" w:after="20"/>
      <w:ind w:left="851"/>
      <w:jc w:val="left"/>
    </w:pPr>
    <w:rPr>
      <w:rFonts w:ascii="Arial" w:hAnsi="Arial"/>
      <w:kern w:val="0"/>
      <w:sz w:val="24"/>
      <w:szCs w:val="20"/>
      <w:lang w:val="en-GB"/>
    </w:rPr>
  </w:style>
  <w:style w:type="paragraph" w:customStyle="1" w:styleId="220">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221">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2">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3">
    <w:name w:val="Table Paragraph"/>
    <w:basedOn w:val="1"/>
    <w:qFormat/>
    <w:uiPriority w:val="1"/>
    <w:pPr>
      <w:jc w:val="left"/>
    </w:pPr>
    <w:rPr>
      <w:rFonts w:ascii="Calibri" w:hAnsi="Calibri"/>
      <w:kern w:val="0"/>
      <w:sz w:val="22"/>
      <w:szCs w:val="22"/>
      <w:lang w:eastAsia="en-US"/>
    </w:rPr>
  </w:style>
  <w:style w:type="paragraph" w:customStyle="1" w:styleId="224">
    <w:name w:val="标题333"/>
    <w:basedOn w:val="1"/>
    <w:qFormat/>
    <w:uiPriority w:val="0"/>
    <w:rPr>
      <w:rFonts w:ascii="宋体" w:hAnsi="宋体" w:cs="宋体"/>
      <w:b/>
      <w:bCs/>
      <w:sz w:val="24"/>
      <w:szCs w:val="20"/>
    </w:rPr>
  </w:style>
  <w:style w:type="paragraph" w:customStyle="1" w:styleId="225">
    <w:name w:val="表格文字图表文字"/>
    <w:basedOn w:val="1"/>
    <w:qFormat/>
    <w:uiPriority w:val="0"/>
    <w:pPr>
      <w:snapToGrid w:val="0"/>
      <w:jc w:val="center"/>
    </w:pPr>
    <w:rPr>
      <w:rFonts w:cs="宋体"/>
      <w:szCs w:val="20"/>
    </w:rPr>
  </w:style>
  <w:style w:type="paragraph" w:customStyle="1" w:styleId="226">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27">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8">
    <w:name w:val="样式 宋体 小四 黑色 左 行距: 1.5 倍行距1"/>
    <w:basedOn w:val="1"/>
    <w:qFormat/>
    <w:uiPriority w:val="0"/>
    <w:pPr>
      <w:jc w:val="left"/>
    </w:pPr>
    <w:rPr>
      <w:rFonts w:ascii="宋体" w:hAnsi="宋体" w:cs="宋体"/>
      <w:color w:val="000000"/>
      <w:sz w:val="24"/>
      <w:szCs w:val="20"/>
    </w:rPr>
  </w:style>
  <w:style w:type="paragraph" w:customStyle="1" w:styleId="229">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0">
    <w:name w:val="USE 4"/>
    <w:basedOn w:val="1"/>
    <w:qFormat/>
    <w:uiPriority w:val="0"/>
    <w:pPr>
      <w:ind w:left="104" w:hanging="227"/>
      <w:jc w:val="left"/>
    </w:pPr>
    <w:rPr>
      <w:rFonts w:ascii="宋体" w:hAnsi="宋体"/>
      <w:sz w:val="24"/>
      <w:szCs w:val="20"/>
    </w:rPr>
  </w:style>
  <w:style w:type="paragraph" w:customStyle="1" w:styleId="231">
    <w:name w:val="Char Char Char Char Char Char Char Char Char Char Char Char1 Char"/>
    <w:basedOn w:val="15"/>
    <w:qFormat/>
    <w:uiPriority w:val="0"/>
    <w:pPr>
      <w:shd w:val="clear" w:color="auto" w:fill="000080"/>
    </w:pPr>
    <w:rPr>
      <w:rFonts w:ascii="Times New Roman"/>
      <w:sz w:val="21"/>
      <w:szCs w:val="20"/>
    </w:rPr>
  </w:style>
  <w:style w:type="paragraph" w:customStyle="1" w:styleId="232">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33">
    <w:name w:val="目录 91"/>
    <w:basedOn w:val="1"/>
    <w:next w:val="1"/>
    <w:qFormat/>
    <w:uiPriority w:val="39"/>
    <w:pPr>
      <w:ind w:left="3360" w:leftChars="1600"/>
    </w:pPr>
    <w:rPr>
      <w:rFonts w:ascii="Calibri" w:hAnsi="Calibri"/>
      <w:szCs w:val="22"/>
    </w:rPr>
  </w:style>
  <w:style w:type="paragraph" w:customStyle="1" w:styleId="234">
    <w:name w:val="retrait1"/>
    <w:basedOn w:val="1"/>
    <w:qFormat/>
    <w:uiPriority w:val="0"/>
    <w:pPr>
      <w:spacing w:before="20" w:after="20"/>
      <w:ind w:left="284"/>
      <w:jc w:val="left"/>
    </w:pPr>
    <w:rPr>
      <w:rFonts w:ascii="Arial" w:hAnsi="Arial"/>
      <w:kern w:val="0"/>
      <w:sz w:val="24"/>
      <w:szCs w:val="20"/>
      <w:lang w:val="en-GB"/>
    </w:rPr>
  </w:style>
  <w:style w:type="paragraph" w:customStyle="1" w:styleId="235">
    <w:name w:val="样式2"/>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36">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237">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38">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39">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240">
    <w:name w:val="Report Level 1"/>
    <w:basedOn w:val="1"/>
    <w:next w:val="105"/>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41">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42">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243">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44">
    <w:name w:val="列表段落1"/>
    <w:basedOn w:val="1"/>
    <w:qFormat/>
    <w:uiPriority w:val="0"/>
  </w:style>
  <w:style w:type="paragraph" w:customStyle="1" w:styleId="245">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6">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47">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8">
    <w:name w:val="font7"/>
    <w:basedOn w:val="1"/>
    <w:qFormat/>
    <w:uiPriority w:val="0"/>
    <w:pPr>
      <w:spacing w:before="100" w:beforeAutospacing="1" w:after="100" w:afterAutospacing="1"/>
      <w:jc w:val="left"/>
    </w:pPr>
    <w:rPr>
      <w:kern w:val="0"/>
      <w:sz w:val="20"/>
      <w:szCs w:val="20"/>
    </w:rPr>
  </w:style>
  <w:style w:type="paragraph" w:customStyle="1" w:styleId="249">
    <w:name w:val="二级标题"/>
    <w:basedOn w:val="1"/>
    <w:qFormat/>
    <w:uiPriority w:val="0"/>
    <w:pPr>
      <w:tabs>
        <w:tab w:val="left" w:pos="-1341"/>
      </w:tabs>
      <w:ind w:left="2686" w:hanging="420"/>
      <w:outlineLvl w:val="1"/>
    </w:pPr>
    <w:rPr>
      <w:rFonts w:ascii="宋体" w:hAnsi="宋体"/>
      <w:sz w:val="24"/>
      <w:szCs w:val="20"/>
    </w:rPr>
  </w:style>
  <w:style w:type="paragraph" w:customStyle="1" w:styleId="250">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51">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2">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53">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4">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5">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56">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7">
    <w:name w:val="标题2"/>
    <w:basedOn w:val="3"/>
    <w:qFormat/>
    <w:uiPriority w:val="0"/>
    <w:pPr>
      <w:spacing w:before="0" w:after="0" w:line="312" w:lineRule="auto"/>
      <w:jc w:val="center"/>
    </w:pPr>
    <w:rPr>
      <w:rFonts w:ascii="宋体"/>
      <w:bCs w:val="0"/>
      <w:sz w:val="30"/>
      <w:szCs w:val="20"/>
    </w:rPr>
  </w:style>
  <w:style w:type="paragraph" w:customStyle="1" w:styleId="258">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59">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60">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61">
    <w:name w:val="xl95"/>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262">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63">
    <w:name w:val="需求书2"/>
    <w:basedOn w:val="1"/>
    <w:qFormat/>
    <w:uiPriority w:val="0"/>
    <w:pPr>
      <w:spacing w:line="500" w:lineRule="exact"/>
      <w:ind w:left="735" w:hanging="735"/>
    </w:pPr>
    <w:rPr>
      <w:rFonts w:ascii="黑体" w:eastAsia="黑体"/>
      <w:szCs w:val="20"/>
    </w:rPr>
  </w:style>
  <w:style w:type="paragraph" w:customStyle="1" w:styleId="264">
    <w:name w:val="wuff32"/>
    <w:basedOn w:val="25"/>
    <w:qFormat/>
    <w:uiPriority w:val="0"/>
    <w:pPr>
      <w:jc w:val="center"/>
    </w:pPr>
    <w:rPr>
      <w:rFonts w:ascii="黑体" w:eastAsia="黑体"/>
      <w:sz w:val="24"/>
      <w:szCs w:val="20"/>
    </w:rPr>
  </w:style>
  <w:style w:type="paragraph" w:customStyle="1" w:styleId="265">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266">
    <w:name w:val="Char Char Char"/>
    <w:basedOn w:val="1"/>
    <w:qFormat/>
    <w:uiPriority w:val="0"/>
    <w:rPr>
      <w:rFonts w:ascii="仿宋_GB2312" w:eastAsia="仿宋_GB2312"/>
      <w:b/>
      <w:sz w:val="32"/>
      <w:szCs w:val="32"/>
    </w:rPr>
  </w:style>
  <w:style w:type="paragraph" w:customStyle="1" w:styleId="267">
    <w:name w:val="目录 31"/>
    <w:basedOn w:val="1"/>
    <w:next w:val="1"/>
    <w:qFormat/>
    <w:uiPriority w:val="39"/>
    <w:pPr>
      <w:ind w:left="840" w:leftChars="400"/>
    </w:pPr>
  </w:style>
  <w:style w:type="paragraph" w:customStyle="1" w:styleId="268">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69">
    <w:name w:val="样式 标题 2 + (西文) Times New Roman (中文) 仿宋_GB2312 居中 段前: 6 磅 段后:..."/>
    <w:basedOn w:val="4"/>
    <w:qFormat/>
    <w:uiPriority w:val="0"/>
    <w:pPr>
      <w:spacing w:before="120" w:after="120"/>
      <w:jc w:val="left"/>
    </w:pPr>
    <w:rPr>
      <w:rFonts w:ascii="Times New Roman" w:hAnsi="Times New Roman" w:eastAsia="仿宋_GB2312" w:cs="宋体"/>
      <w:szCs w:val="20"/>
    </w:rPr>
  </w:style>
  <w:style w:type="paragraph" w:customStyle="1" w:styleId="270">
    <w:name w:val="标题222"/>
    <w:basedOn w:val="1"/>
    <w:qFormat/>
    <w:uiPriority w:val="0"/>
    <w:rPr>
      <w:rFonts w:cs="宋体"/>
      <w:b/>
      <w:bCs/>
      <w:sz w:val="30"/>
      <w:szCs w:val="20"/>
    </w:rPr>
  </w:style>
  <w:style w:type="paragraph" w:customStyle="1" w:styleId="271">
    <w:name w:val="Char"/>
    <w:basedOn w:val="1"/>
    <w:qFormat/>
    <w:uiPriority w:val="0"/>
    <w:pPr>
      <w:tabs>
        <w:tab w:val="left" w:pos="360"/>
      </w:tabs>
    </w:pPr>
    <w:rPr>
      <w:sz w:val="24"/>
    </w:rPr>
  </w:style>
  <w:style w:type="paragraph" w:customStyle="1" w:styleId="272">
    <w:name w:val="一、"/>
    <w:next w:val="142"/>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73">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276">
    <w:name w:val="USE 2"/>
    <w:basedOn w:val="1"/>
    <w:qFormat/>
    <w:uiPriority w:val="0"/>
    <w:pPr>
      <w:ind w:left="4556" w:hanging="3836"/>
      <w:jc w:val="left"/>
    </w:pPr>
    <w:rPr>
      <w:rFonts w:ascii="宋体" w:hAnsi="宋体"/>
      <w:sz w:val="24"/>
      <w:szCs w:val="20"/>
    </w:rPr>
  </w:style>
  <w:style w:type="paragraph" w:customStyle="1" w:styleId="277">
    <w:name w:val="表格文字"/>
    <w:basedOn w:val="1"/>
    <w:qFormat/>
    <w:uiPriority w:val="0"/>
    <w:pPr>
      <w:adjustRightInd w:val="0"/>
      <w:spacing w:line="420" w:lineRule="atLeast"/>
      <w:jc w:val="left"/>
      <w:textAlignment w:val="baseline"/>
    </w:pPr>
    <w:rPr>
      <w:kern w:val="0"/>
      <w:szCs w:val="20"/>
    </w:rPr>
  </w:style>
  <w:style w:type="paragraph" w:customStyle="1" w:styleId="278">
    <w:name w:val="1."/>
    <w:basedOn w:val="1"/>
    <w:qFormat/>
    <w:uiPriority w:val="0"/>
    <w:pPr>
      <w:tabs>
        <w:tab w:val="left" w:pos="425"/>
      </w:tabs>
      <w:ind w:firstLine="482"/>
    </w:pPr>
    <w:rPr>
      <w:sz w:val="28"/>
      <w:szCs w:val="20"/>
    </w:rPr>
  </w:style>
  <w:style w:type="paragraph" w:customStyle="1" w:styleId="279">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280">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281">
    <w:name w:val="Body text 1"/>
    <w:basedOn w:val="282"/>
    <w:qFormat/>
    <w:uiPriority w:val="0"/>
    <w:pPr>
      <w:tabs>
        <w:tab w:val="left" w:pos="1134"/>
      </w:tabs>
      <w:ind w:hanging="1134"/>
    </w:pPr>
  </w:style>
  <w:style w:type="paragraph" w:customStyle="1" w:styleId="282">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283">
    <w:name w:val="_Style 10"/>
    <w:basedOn w:val="1"/>
    <w:next w:val="1"/>
    <w:qFormat/>
    <w:uiPriority w:val="0"/>
  </w:style>
  <w:style w:type="paragraph" w:customStyle="1" w:styleId="284">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85">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paragraph" w:customStyle="1" w:styleId="286">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paragraph" w:customStyle="1" w:styleId="287">
    <w:name w:val="Char Char Char Char"/>
    <w:basedOn w:val="1"/>
    <w:qFormat/>
    <w:uiPriority w:val="0"/>
    <w:pPr>
      <w:tabs>
        <w:tab w:val="left" w:pos="360"/>
      </w:tabs>
    </w:pPr>
    <w:rPr>
      <w:sz w:val="24"/>
    </w:rPr>
  </w:style>
  <w:style w:type="paragraph" w:customStyle="1" w:styleId="288">
    <w:name w:val="标题3"/>
    <w:basedOn w:val="3"/>
    <w:qFormat/>
    <w:uiPriority w:val="0"/>
    <w:pPr>
      <w:spacing w:beforeLines="50" w:after="0" w:line="312" w:lineRule="auto"/>
      <w:jc w:val="center"/>
    </w:pPr>
    <w:rPr>
      <w:rFonts w:ascii="宋体"/>
      <w:bCs w:val="0"/>
      <w:sz w:val="24"/>
      <w:szCs w:val="20"/>
    </w:rPr>
  </w:style>
  <w:style w:type="paragraph" w:customStyle="1" w:styleId="289">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290">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1">
    <w:name w:val="Char1"/>
    <w:basedOn w:val="1"/>
    <w:qFormat/>
    <w:uiPriority w:val="0"/>
    <w:rPr>
      <w:rFonts w:ascii="仿宋_GB2312" w:eastAsia="仿宋_GB2312"/>
      <w:b/>
      <w:sz w:val="32"/>
      <w:szCs w:val="32"/>
    </w:rPr>
  </w:style>
  <w:style w:type="paragraph" w:customStyle="1" w:styleId="292">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3">
    <w:name w:val="样式 纯文本 + 居中 行距: 最小值 9 磅"/>
    <w:basedOn w:val="25"/>
    <w:qFormat/>
    <w:uiPriority w:val="0"/>
    <w:pPr>
      <w:spacing w:line="180" w:lineRule="atLeast"/>
      <w:jc w:val="left"/>
    </w:pPr>
    <w:rPr>
      <w:rFonts w:cs="宋体"/>
      <w:sz w:val="24"/>
      <w:szCs w:val="20"/>
    </w:rPr>
  </w:style>
  <w:style w:type="paragraph" w:customStyle="1" w:styleId="294">
    <w:name w:val="Char Char Char Char Char Char Char Char Char Char Char Char Char"/>
    <w:basedOn w:val="1"/>
    <w:qFormat/>
    <w:uiPriority w:val="0"/>
    <w:rPr>
      <w:rFonts w:ascii="仿宋_GB2312" w:eastAsia="仿宋_GB2312"/>
      <w:b/>
      <w:sz w:val="32"/>
      <w:szCs w:val="32"/>
    </w:rPr>
  </w:style>
  <w:style w:type="paragraph" w:customStyle="1" w:styleId="295">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96">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7">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298">
    <w:name w:val="tableau"/>
    <w:basedOn w:val="1"/>
    <w:qFormat/>
    <w:uiPriority w:val="0"/>
    <w:pPr>
      <w:spacing w:before="20" w:after="20"/>
      <w:jc w:val="center"/>
    </w:pPr>
    <w:rPr>
      <w:rFonts w:ascii="Arial" w:hAnsi="Arial"/>
      <w:kern w:val="0"/>
      <w:sz w:val="16"/>
      <w:szCs w:val="20"/>
      <w:lang w:val="en-GB"/>
    </w:rPr>
  </w:style>
  <w:style w:type="paragraph" w:customStyle="1" w:styleId="299">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300">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301">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02">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303">
    <w:name w:val="样式 宋体 小四 黑色 左 行距: 1.5 倍行距"/>
    <w:basedOn w:val="1"/>
    <w:qFormat/>
    <w:uiPriority w:val="0"/>
    <w:pPr>
      <w:jc w:val="left"/>
    </w:pPr>
    <w:rPr>
      <w:rFonts w:ascii="宋体" w:hAnsi="宋体" w:cs="宋体"/>
      <w:color w:val="000000"/>
      <w:sz w:val="24"/>
      <w:szCs w:val="20"/>
    </w:rPr>
  </w:style>
  <w:style w:type="paragraph" w:customStyle="1" w:styleId="304">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5">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306">
    <w:name w:val="Tétière"/>
    <w:basedOn w:val="1"/>
    <w:qFormat/>
    <w:uiPriority w:val="0"/>
    <w:pPr>
      <w:spacing w:before="60" w:after="60"/>
      <w:jc w:val="center"/>
    </w:pPr>
    <w:rPr>
      <w:rFonts w:ascii="Arial" w:hAnsi="Arial"/>
      <w:b/>
      <w:kern w:val="0"/>
      <w:sz w:val="16"/>
      <w:szCs w:val="20"/>
      <w:lang w:val="en-GB"/>
    </w:rPr>
  </w:style>
  <w:style w:type="paragraph" w:customStyle="1" w:styleId="307">
    <w:name w:val="目录 81"/>
    <w:basedOn w:val="1"/>
    <w:next w:val="1"/>
    <w:qFormat/>
    <w:uiPriority w:val="39"/>
    <w:pPr>
      <w:ind w:left="2940" w:leftChars="1400"/>
    </w:pPr>
    <w:rPr>
      <w:rFonts w:ascii="Calibri" w:hAnsi="Calibri"/>
      <w:szCs w:val="22"/>
    </w:rPr>
  </w:style>
  <w:style w:type="paragraph" w:customStyle="1" w:styleId="308">
    <w:name w:val="样式1"/>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09">
    <w:name w:val="Char Char Char Char Char Char Char Char Char Char"/>
    <w:basedOn w:val="1"/>
    <w:qFormat/>
    <w:uiPriority w:val="0"/>
    <w:rPr>
      <w:rFonts w:ascii="Tahoma" w:hAnsi="Tahoma" w:cs="仿宋_GB2312"/>
      <w:sz w:val="24"/>
      <w:szCs w:val="20"/>
    </w:rPr>
  </w:style>
  <w:style w:type="paragraph" w:customStyle="1" w:styleId="310">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311">
    <w:name w:val="Char4"/>
    <w:basedOn w:val="1"/>
    <w:qFormat/>
    <w:uiPriority w:val="0"/>
  </w:style>
  <w:style w:type="paragraph" w:customStyle="1" w:styleId="312">
    <w:name w:val="目录 41"/>
    <w:basedOn w:val="1"/>
    <w:next w:val="1"/>
    <w:qFormat/>
    <w:uiPriority w:val="39"/>
    <w:pPr>
      <w:ind w:left="1260" w:leftChars="600"/>
    </w:pPr>
    <w:rPr>
      <w:rFonts w:ascii="Calibri" w:hAnsi="Calibri"/>
      <w:szCs w:val="22"/>
    </w:rPr>
  </w:style>
  <w:style w:type="paragraph" w:customStyle="1" w:styleId="313">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314">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15">
    <w:name w:val="1.1"/>
    <w:basedOn w:val="4"/>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316">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317">
    <w:name w:val="文件正文"/>
    <w:basedOn w:val="1"/>
    <w:qFormat/>
    <w:uiPriority w:val="0"/>
    <w:pPr>
      <w:ind w:firstLine="480"/>
    </w:pPr>
    <w:rPr>
      <w:rFonts w:eastAsia="仿宋_GB2312"/>
      <w:sz w:val="24"/>
      <w:szCs w:val="20"/>
    </w:rPr>
  </w:style>
  <w:style w:type="paragraph" w:customStyle="1" w:styleId="318">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319">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320">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21">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22">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3">
    <w:name w:val="通用专用"/>
    <w:basedOn w:val="1"/>
    <w:qFormat/>
    <w:uiPriority w:val="0"/>
    <w:pPr>
      <w:jc w:val="center"/>
    </w:pPr>
    <w:rPr>
      <w:rFonts w:ascii="宋体"/>
      <w:b/>
      <w:sz w:val="36"/>
      <w:szCs w:val="20"/>
    </w:rPr>
  </w:style>
  <w:style w:type="paragraph" w:customStyle="1" w:styleId="324">
    <w:name w:val="Char Char Char Char Char Char Char Char Char Char Char Char Char1"/>
    <w:basedOn w:val="1"/>
    <w:qFormat/>
    <w:uiPriority w:val="0"/>
    <w:rPr>
      <w:rFonts w:ascii="仿宋_GB2312" w:eastAsia="仿宋_GB2312"/>
      <w:b/>
      <w:sz w:val="32"/>
      <w:szCs w:val="32"/>
    </w:rPr>
  </w:style>
  <w:style w:type="paragraph" w:customStyle="1" w:styleId="325">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326">
    <w:name w:val="TOC 标题1"/>
    <w:basedOn w:val="3"/>
    <w:next w:val="1"/>
    <w:qFormat/>
    <w:uiPriority w:val="39"/>
    <w:pPr>
      <w:spacing w:before="480" w:after="0" w:line="276" w:lineRule="auto"/>
      <w:jc w:val="left"/>
      <w:outlineLvl w:val="9"/>
    </w:pPr>
    <w:rPr>
      <w:rFonts w:ascii="Cambria" w:hAnsi="Cambria"/>
      <w:color w:val="365F91"/>
      <w:kern w:val="0"/>
      <w:sz w:val="28"/>
      <w:szCs w:val="28"/>
    </w:rPr>
  </w:style>
  <w:style w:type="paragraph" w:customStyle="1" w:styleId="327">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328">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29">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330">
    <w:name w:val="目录 61"/>
    <w:basedOn w:val="1"/>
    <w:next w:val="1"/>
    <w:qFormat/>
    <w:uiPriority w:val="39"/>
    <w:pPr>
      <w:ind w:left="2100" w:leftChars="1000"/>
    </w:pPr>
    <w:rPr>
      <w:rFonts w:ascii="Calibri" w:hAnsi="Calibri"/>
      <w:szCs w:val="22"/>
    </w:rPr>
  </w:style>
  <w:style w:type="paragraph" w:customStyle="1" w:styleId="331">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2">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3">
    <w:name w:val="样式 样式 标题 3 + 仿宋_GB2312 小四 段前: 0 磅 段后: 0 磅 + 段前: 0.5 行"/>
    <w:basedOn w:val="334"/>
    <w:qFormat/>
    <w:uiPriority w:val="0"/>
    <w:pPr>
      <w:spacing w:afterLines="50"/>
      <w:jc w:val="both"/>
    </w:pPr>
    <w:rPr>
      <w:rFonts w:ascii="宋体" w:eastAsia="宋体"/>
      <w:b w:val="0"/>
    </w:rPr>
  </w:style>
  <w:style w:type="paragraph" w:customStyle="1" w:styleId="334">
    <w:name w:val="样式 标题 3 + 仿宋_GB2312 小四 段前: 0 磅 段后: 0 磅"/>
    <w:basedOn w:val="5"/>
    <w:qFormat/>
    <w:uiPriority w:val="0"/>
    <w:pPr>
      <w:spacing w:beforeLines="50" w:after="0" w:line="413" w:lineRule="auto"/>
      <w:jc w:val="center"/>
    </w:pPr>
    <w:rPr>
      <w:rFonts w:ascii="仿宋_GB2312" w:eastAsia="仿宋_GB2312" w:cs="宋体"/>
      <w:kern w:val="0"/>
      <w:szCs w:val="20"/>
    </w:rPr>
  </w:style>
  <w:style w:type="paragraph" w:customStyle="1" w:styleId="335">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36">
    <w:name w:val="青岛正文"/>
    <w:basedOn w:val="1"/>
    <w:qFormat/>
    <w:uiPriority w:val="0"/>
    <w:rPr>
      <w:sz w:val="28"/>
    </w:rPr>
  </w:style>
  <w:style w:type="paragraph" w:customStyle="1" w:styleId="337">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338">
    <w:name w:val="样式 标题 3 + (中文) 黑体 小四 非加粗 段前: 7.8 磅 段后: 0 磅 行距: 固定值 20 磅"/>
    <w:basedOn w:val="5"/>
    <w:qFormat/>
    <w:uiPriority w:val="0"/>
    <w:pPr>
      <w:spacing w:before="0" w:after="0" w:line="400" w:lineRule="exact"/>
    </w:pPr>
    <w:rPr>
      <w:rFonts w:eastAsia="黑体" w:cs="宋体"/>
      <w:b w:val="0"/>
      <w:bCs w:val="0"/>
      <w:szCs w:val="20"/>
    </w:rPr>
  </w:style>
  <w:style w:type="paragraph" w:customStyle="1" w:styleId="339">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0">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341">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2">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3">
    <w:name w:val="Report Level 2"/>
    <w:basedOn w:val="240"/>
    <w:next w:val="105"/>
    <w:qFormat/>
    <w:uiPriority w:val="0"/>
    <w:pPr>
      <w:ind w:left="0" w:firstLine="0"/>
      <w:outlineLvl w:val="1"/>
    </w:pPr>
    <w:rPr>
      <w:caps w:val="0"/>
    </w:rPr>
  </w:style>
  <w:style w:type="paragraph" w:styleId="344">
    <w:name w:val="List Paragraph"/>
    <w:basedOn w:val="1"/>
    <w:qFormat/>
    <w:uiPriority w:val="0"/>
    <w:pPr>
      <w:ind w:firstLine="420"/>
    </w:pPr>
  </w:style>
  <w:style w:type="paragraph" w:customStyle="1" w:styleId="345">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46">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7">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8">
    <w:name w:val="样式 宋体 小四 首行缩进:  0.93 厘米 段前: 11.15 磅 段后: 11.15 磅1"/>
    <w:basedOn w:val="199"/>
    <w:next w:val="199"/>
    <w:qFormat/>
    <w:uiPriority w:val="99"/>
    <w:rPr>
      <w:rFonts w:ascii="宋体"/>
      <w:color w:val="auto"/>
    </w:rPr>
  </w:style>
  <w:style w:type="paragraph" w:customStyle="1" w:styleId="349">
    <w:name w:val="纯文本1"/>
    <w:basedOn w:val="1"/>
    <w:qFormat/>
    <w:uiPriority w:val="0"/>
    <w:rPr>
      <w:rFonts w:ascii="宋体" w:hAnsi="Courier New" w:cs="Courier New"/>
      <w:szCs w:val="21"/>
    </w:rPr>
  </w:style>
  <w:style w:type="paragraph" w:customStyle="1" w:styleId="350">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1">
    <w:name w:val="目录 21"/>
    <w:basedOn w:val="1"/>
    <w:next w:val="1"/>
    <w:qFormat/>
    <w:uiPriority w:val="39"/>
    <w:pPr>
      <w:tabs>
        <w:tab w:val="right" w:leader="dot" w:pos="8295"/>
      </w:tabs>
      <w:ind w:left="205" w:leftChars="205"/>
    </w:pPr>
  </w:style>
  <w:style w:type="paragraph" w:customStyle="1" w:styleId="352">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353">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54">
    <w:name w:val="青岛标题4"/>
    <w:basedOn w:val="6"/>
    <w:qFormat/>
    <w:uiPriority w:val="0"/>
    <w:pPr>
      <w:spacing w:line="500" w:lineRule="atLeast"/>
      <w:jc w:val="left"/>
      <w:outlineLvl w:val="2"/>
    </w:pPr>
    <w:rPr>
      <w:rFonts w:eastAsia="宋体"/>
      <w:sz w:val="30"/>
    </w:rPr>
  </w:style>
  <w:style w:type="paragraph" w:customStyle="1" w:styleId="355">
    <w:name w:val="样式3"/>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56">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357">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8">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59">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60">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361">
    <w:name w:val="样式 (西文) 宋体 行距: 1.5 倍行距"/>
    <w:basedOn w:val="1"/>
    <w:qFormat/>
    <w:uiPriority w:val="0"/>
    <w:rPr>
      <w:rFonts w:ascii="宋体" w:hAnsi="宋体" w:cs="宋体"/>
      <w:szCs w:val="20"/>
    </w:rPr>
  </w:style>
  <w:style w:type="paragraph" w:customStyle="1" w:styleId="362">
    <w:name w:val="Retrait 1"/>
    <w:basedOn w:val="13"/>
    <w:qFormat/>
    <w:uiPriority w:val="0"/>
    <w:pPr>
      <w:spacing w:after="240"/>
      <w:ind w:left="1134" w:firstLine="0" w:firstLineChars="0"/>
      <w:jc w:val="left"/>
    </w:pPr>
    <w:rPr>
      <w:rFonts w:ascii="Palatino" w:hAnsi="Palatino"/>
      <w:kern w:val="0"/>
      <w:sz w:val="24"/>
      <w:szCs w:val="20"/>
      <w:lang w:val="en-GB"/>
    </w:rPr>
  </w:style>
  <w:style w:type="paragraph" w:customStyle="1" w:styleId="363">
    <w:name w:val="Report Level 3"/>
    <w:basedOn w:val="240"/>
    <w:next w:val="105"/>
    <w:qFormat/>
    <w:uiPriority w:val="0"/>
    <w:pPr>
      <w:tabs>
        <w:tab w:val="clear" w:pos="1080"/>
      </w:tabs>
      <w:ind w:left="0" w:firstLine="0"/>
      <w:jc w:val="both"/>
      <w:outlineLvl w:val="2"/>
    </w:pPr>
    <w:rPr>
      <w:b w:val="0"/>
      <w:caps w:val="0"/>
      <w:sz w:val="22"/>
    </w:rPr>
  </w:style>
  <w:style w:type="paragraph" w:customStyle="1" w:styleId="364">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65">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6">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367">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68">
    <w:name w:val="Char Char Char Char Char Char Char Char Char Char Char Char"/>
    <w:basedOn w:val="1"/>
    <w:qFormat/>
    <w:uiPriority w:val="0"/>
    <w:rPr>
      <w:rFonts w:ascii="Tahoma" w:hAnsi="Tahoma"/>
      <w:sz w:val="24"/>
      <w:szCs w:val="20"/>
    </w:rPr>
  </w:style>
  <w:style w:type="paragraph" w:customStyle="1" w:styleId="369">
    <w:name w:val="标题 41"/>
    <w:basedOn w:val="1"/>
    <w:qFormat/>
    <w:uiPriority w:val="1"/>
    <w:pPr>
      <w:ind w:left="522"/>
      <w:jc w:val="left"/>
      <w:outlineLvl w:val="4"/>
    </w:pPr>
    <w:rPr>
      <w:rFonts w:eastAsia="Times New Roman"/>
      <w:b/>
      <w:bCs/>
      <w:kern w:val="0"/>
      <w:szCs w:val="21"/>
      <w:lang w:eastAsia="en-US"/>
    </w:rPr>
  </w:style>
  <w:style w:type="paragraph" w:customStyle="1" w:styleId="370">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71">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72">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73">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74">
    <w:name w:val="合同书"/>
    <w:basedOn w:val="1"/>
    <w:qFormat/>
    <w:uiPriority w:val="0"/>
    <w:pPr>
      <w:jc w:val="center"/>
    </w:pPr>
    <w:rPr>
      <w:b/>
      <w:sz w:val="36"/>
      <w:szCs w:val="20"/>
    </w:rPr>
  </w:style>
  <w:style w:type="paragraph" w:customStyle="1" w:styleId="375">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76">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377">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378">
    <w:name w:val="Char Char Char Char Char1 Char"/>
    <w:basedOn w:val="1"/>
    <w:qFormat/>
    <w:uiPriority w:val="0"/>
    <w:pPr>
      <w:adjustRightInd w:val="0"/>
    </w:pPr>
    <w:rPr>
      <w:rFonts w:eastAsia="黑体"/>
      <w:spacing w:val="20"/>
      <w:sz w:val="32"/>
      <w:szCs w:val="32"/>
    </w:rPr>
  </w:style>
  <w:style w:type="paragraph" w:customStyle="1" w:styleId="379">
    <w:name w:val="批注主题 Char Char"/>
    <w:basedOn w:val="17"/>
    <w:next w:val="17"/>
    <w:qFormat/>
    <w:uiPriority w:val="0"/>
    <w:rPr>
      <w:b/>
      <w:szCs w:val="20"/>
    </w:rPr>
  </w:style>
  <w:style w:type="paragraph" w:customStyle="1" w:styleId="380">
    <w:name w:val="正文段"/>
    <w:basedOn w:val="1"/>
    <w:qFormat/>
    <w:uiPriority w:val="0"/>
    <w:pPr>
      <w:snapToGrid w:val="0"/>
      <w:spacing w:afterLines="50"/>
    </w:pPr>
    <w:rPr>
      <w:kern w:val="0"/>
      <w:sz w:val="24"/>
      <w:szCs w:val="20"/>
    </w:rPr>
  </w:style>
  <w:style w:type="paragraph" w:customStyle="1" w:styleId="381">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82">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383">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4">
    <w:name w:val="目录 71"/>
    <w:basedOn w:val="1"/>
    <w:next w:val="1"/>
    <w:qFormat/>
    <w:uiPriority w:val="39"/>
    <w:pPr>
      <w:ind w:left="2520" w:leftChars="1200"/>
    </w:pPr>
    <w:rPr>
      <w:rFonts w:ascii="Calibri" w:hAnsi="Calibri"/>
      <w:szCs w:val="22"/>
    </w:rPr>
  </w:style>
  <w:style w:type="paragraph" w:customStyle="1" w:styleId="385">
    <w:name w:val="TOC 标题2"/>
    <w:basedOn w:val="3"/>
    <w:next w:val="1"/>
    <w:qFormat/>
    <w:uiPriority w:val="39"/>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86">
    <w:name w:val="青岛标题3"/>
    <w:basedOn w:val="5"/>
    <w:qFormat/>
    <w:uiPriority w:val="0"/>
    <w:pPr>
      <w:spacing w:line="500" w:lineRule="exact"/>
      <w:jc w:val="left"/>
      <w:outlineLvl w:val="1"/>
    </w:pPr>
  </w:style>
  <w:style w:type="paragraph" w:customStyle="1" w:styleId="387">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88">
    <w:name w:val="样式5"/>
    <w:basedOn w:val="355"/>
    <w:qFormat/>
    <w:uiPriority w:val="0"/>
    <w:pPr>
      <w:tabs>
        <w:tab w:val="left" w:pos="547"/>
        <w:tab w:val="left" w:pos="1080"/>
        <w:tab w:val="clear" w:pos="4153"/>
        <w:tab w:val="clear" w:pos="8306"/>
      </w:tabs>
      <w:spacing w:line="480" w:lineRule="atLeast"/>
      <w:jc w:val="center"/>
    </w:pPr>
    <w:rPr>
      <w:b/>
      <w:sz w:val="24"/>
    </w:rPr>
  </w:style>
  <w:style w:type="paragraph" w:customStyle="1" w:styleId="389">
    <w:name w:val="字元 字元 Char Char Char Char Char Char Char"/>
    <w:basedOn w:val="1"/>
    <w:qFormat/>
    <w:uiPriority w:val="0"/>
    <w:rPr>
      <w:rFonts w:ascii="Tahoma" w:hAnsi="Tahoma" w:cs="仿宋_GB2312"/>
      <w:sz w:val="24"/>
      <w:szCs w:val="20"/>
    </w:rPr>
  </w:style>
  <w:style w:type="paragraph" w:customStyle="1" w:styleId="390">
    <w:name w:val="样式 表格 + 加粗"/>
    <w:basedOn w:val="102"/>
    <w:qFormat/>
    <w:uiPriority w:val="0"/>
    <w:rPr>
      <w:b/>
      <w:bCs/>
    </w:rPr>
  </w:style>
  <w:style w:type="paragraph" w:customStyle="1" w:styleId="391">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table" w:customStyle="1" w:styleId="392">
    <w:name w:val="Table Normal"/>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93">
    <w:name w:val="WPSOffice手动目录 1"/>
    <w:qFormat/>
    <w:uiPriority w:val="0"/>
    <w:rPr>
      <w:rFonts w:ascii="Times New Roman" w:hAnsi="Times New Roman" w:eastAsia="宋体" w:cs="Times New Roman"/>
      <w:lang w:val="en-US" w:eastAsia="zh-CN" w:bidi="ar-SA"/>
    </w:rPr>
  </w:style>
  <w:style w:type="paragraph" w:customStyle="1" w:styleId="39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95">
    <w:name w:val="标题 22"/>
    <w:basedOn w:val="1"/>
    <w:qFormat/>
    <w:uiPriority w:val="1"/>
    <w:pPr>
      <w:autoSpaceDE w:val="0"/>
      <w:autoSpaceDN w:val="0"/>
      <w:adjustRightInd w:val="0"/>
      <w:ind w:left="144"/>
      <w:jc w:val="left"/>
      <w:outlineLvl w:val="1"/>
    </w:pPr>
    <w:rPr>
      <w:rFonts w:ascii="仿宋" w:eastAsia="仿宋" w:cs="仿宋"/>
      <w:kern w:val="0"/>
      <w:sz w:val="32"/>
      <w:szCs w:val="32"/>
    </w:rPr>
  </w:style>
  <w:style w:type="paragraph" w:customStyle="1" w:styleId="396">
    <w:name w:val="标题 42"/>
    <w:basedOn w:val="1"/>
    <w:qFormat/>
    <w:uiPriority w:val="1"/>
    <w:pPr>
      <w:autoSpaceDE w:val="0"/>
      <w:autoSpaceDN w:val="0"/>
      <w:adjustRightInd w:val="0"/>
      <w:spacing w:before="8"/>
      <w:ind w:left="144"/>
      <w:jc w:val="left"/>
      <w:outlineLvl w:val="3"/>
    </w:pPr>
    <w:rPr>
      <w:rFonts w:ascii="仿宋" w:eastAsia="仿宋" w:cs="仿宋"/>
      <w:kern w:val="0"/>
      <w:sz w:val="24"/>
    </w:rPr>
  </w:style>
  <w:style w:type="character" w:customStyle="1" w:styleId="397">
    <w:name w:val="font41"/>
    <w:qFormat/>
    <w:uiPriority w:val="0"/>
    <w:rPr>
      <w:rFonts w:hint="eastAsia" w:ascii="微软雅黑" w:hAnsi="微软雅黑" w:eastAsia="微软雅黑" w:cs="微软雅黑"/>
      <w:b/>
      <w:bCs/>
      <w:color w:val="000000"/>
      <w:sz w:val="20"/>
      <w:szCs w:val="20"/>
      <w:u w:val="none"/>
    </w:rPr>
  </w:style>
  <w:style w:type="character" w:customStyle="1" w:styleId="398">
    <w:name w:val="font21"/>
    <w:qFormat/>
    <w:uiPriority w:val="0"/>
    <w:rPr>
      <w:rFonts w:hint="eastAsia" w:ascii="微软雅黑" w:hAnsi="微软雅黑" w:eastAsia="微软雅黑" w:cs="微软雅黑"/>
      <w:b/>
      <w:bCs/>
      <w:color w:val="FF0000"/>
      <w:sz w:val="20"/>
      <w:szCs w:val="20"/>
      <w:u w:val="none"/>
    </w:rPr>
  </w:style>
  <w:style w:type="character" w:customStyle="1" w:styleId="399">
    <w:name w:val="font61"/>
    <w:basedOn w:val="54"/>
    <w:qFormat/>
    <w:uiPriority w:val="0"/>
    <w:rPr>
      <w:rFonts w:hint="eastAsia" w:ascii="微软雅黑" w:hAnsi="微软雅黑" w:eastAsia="微软雅黑" w:cs="微软雅黑"/>
      <w:color w:val="000000"/>
      <w:sz w:val="20"/>
      <w:szCs w:val="20"/>
      <w:u w:val="none"/>
    </w:rPr>
  </w:style>
  <w:style w:type="character" w:customStyle="1" w:styleId="400">
    <w:name w:val="font112"/>
    <w:basedOn w:val="54"/>
    <w:qFormat/>
    <w:uiPriority w:val="0"/>
    <w:rPr>
      <w:rFonts w:hint="eastAsia" w:ascii="微软雅黑" w:hAnsi="微软雅黑" w:eastAsia="微软雅黑" w:cs="微软雅黑"/>
      <w:color w:val="FF0000"/>
      <w:sz w:val="20"/>
      <w:szCs w:val="20"/>
      <w:u w:val="none"/>
    </w:rPr>
  </w:style>
  <w:style w:type="character" w:customStyle="1" w:styleId="401">
    <w:name w:val="font71"/>
    <w:basedOn w:val="54"/>
    <w:qFormat/>
    <w:uiPriority w:val="0"/>
    <w:rPr>
      <w:rFonts w:hint="eastAsia" w:ascii="微软雅黑" w:hAnsi="微软雅黑" w:eastAsia="微软雅黑" w:cs="微软雅黑"/>
      <w:color w:val="000000"/>
      <w:sz w:val="20"/>
      <w:szCs w:val="20"/>
      <w:u w:val="none"/>
    </w:rPr>
  </w:style>
  <w:style w:type="character" w:customStyle="1" w:styleId="402">
    <w:name w:val="NormalCharacter"/>
    <w:semiHidden/>
    <w:qFormat/>
    <w:uiPriority w:val="0"/>
  </w:style>
  <w:style w:type="paragraph" w:customStyle="1" w:styleId="403">
    <w:name w:val="179"/>
    <w:basedOn w:val="1"/>
    <w:qFormat/>
    <w:uiPriority w:val="0"/>
    <w:pPr>
      <w:ind w:firstLine="420"/>
      <w:textAlignment w:val="baseline"/>
    </w:pPr>
    <w:rPr>
      <w:rFonts w:ascii="Calibri" w:hAnsi="Calibri"/>
      <w:szCs w:val="22"/>
    </w:rPr>
  </w:style>
  <w:style w:type="paragraph" w:customStyle="1" w:styleId="404">
    <w:name w:val="彩色列表1"/>
    <w:basedOn w:val="1"/>
    <w:qFormat/>
    <w:uiPriority w:val="34"/>
    <w:pPr>
      <w:ind w:firstLine="420"/>
    </w:pPr>
    <w:rPr>
      <w:rFonts w:ascii="Calibri" w:hAnsi="Calibri"/>
      <w:szCs w:val="22"/>
    </w:rPr>
  </w:style>
  <w:style w:type="paragraph" w:customStyle="1" w:styleId="405">
    <w:name w:val="_Style 415"/>
    <w:basedOn w:val="1"/>
    <w:next w:val="344"/>
    <w:qFormat/>
    <w:uiPriority w:val="99"/>
    <w:pPr>
      <w:ind w:firstLine="420"/>
    </w:pPr>
    <w:rPr>
      <w:rFonts w:ascii="Calibri" w:hAnsi="Calibri"/>
    </w:rPr>
  </w:style>
  <w:style w:type="paragraph" w:customStyle="1" w:styleId="406">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407">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paragraph" w:customStyle="1" w:styleId="408">
    <w:name w:val="无间隔1"/>
    <w:qFormat/>
    <w:uiPriority w:val="0"/>
    <w:rPr>
      <w:rFonts w:ascii="Times New Roman" w:hAnsi="Times New Roman" w:eastAsia="??" w:cs="宋体"/>
      <w:sz w:val="22"/>
      <w:szCs w:val="22"/>
      <w:lang w:val="en-US" w:eastAsia="en-US" w:bidi="ar-SA"/>
    </w:rPr>
  </w:style>
  <w:style w:type="paragraph" w:customStyle="1" w:styleId="409">
    <w:name w:val="Normal_5"/>
    <w:qFormat/>
    <w:uiPriority w:val="0"/>
    <w:pPr>
      <w:widowControl w:val="0"/>
      <w:jc w:val="both"/>
    </w:pPr>
    <w:rPr>
      <w:rFonts w:ascii="Calibri" w:hAnsi="Calibri" w:eastAsia="宋体" w:cs="Calibri"/>
      <w:lang w:val="en-US" w:eastAsia="zh-CN" w:bidi="ar-SA"/>
    </w:rPr>
  </w:style>
  <w:style w:type="paragraph" w:customStyle="1" w:styleId="410">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411">
    <w:name w:val="控件文字样式 字符"/>
    <w:basedOn w:val="54"/>
    <w:link w:val="412"/>
    <w:qFormat/>
    <w:uiPriority w:val="0"/>
    <w:rPr>
      <w:rFonts w:ascii="宋体" w:hAnsi="宋体" w:eastAsia="宋体" w:cs="Arial Unicode MS"/>
      <w:color w:val="0000FF"/>
      <w:sz w:val="28"/>
      <w:szCs w:val="32"/>
      <w:u w:val="single"/>
    </w:rPr>
  </w:style>
  <w:style w:type="paragraph" w:customStyle="1" w:styleId="412">
    <w:name w:val="控件文字样式"/>
    <w:basedOn w:val="1"/>
    <w:link w:val="411"/>
    <w:qFormat/>
    <w:uiPriority w:val="0"/>
    <w:pPr>
      <w:spacing w:line="460" w:lineRule="exact"/>
    </w:pPr>
    <w:rPr>
      <w:rFonts w:ascii="宋体" w:hAnsi="宋体" w:eastAsia="宋体" w:cs="Arial Unicode MS"/>
      <w:color w:val="0000FF"/>
      <w:sz w:val="28"/>
      <w:szCs w:val="32"/>
      <w:u w:val="single"/>
    </w:rPr>
  </w:style>
  <w:style w:type="table" w:customStyle="1" w:styleId="413">
    <w:name w:val="Table Grid_2"/>
    <w:basedOn w:val="52"/>
    <w:qFormat/>
    <w:uiPriority w:val="5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4">
    <w:name w:val="文档正文"/>
    <w:basedOn w:val="1"/>
    <w:qFormat/>
    <w:uiPriority w:val="99"/>
    <w:pPr>
      <w:adjustRightInd w:val="0"/>
      <w:spacing w:line="480" w:lineRule="atLeast"/>
      <w:ind w:firstLine="567" w:firstLineChars="200"/>
      <w:textAlignment w:val="baseline"/>
    </w:pPr>
    <w:rPr>
      <w:rFonts w:ascii="长城仿宋" w:hAnsi="Times New Roman" w:eastAsia="宋体" w:cs="Times New Roman"/>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4e42bd35-8385-4261-b031-1c0bd507ad21}"/>
        <w:style w:val=""/>
        <w:category>
          <w:name w:val="常规"/>
          <w:gallery w:val="placeholder"/>
        </w:category>
        <w:types>
          <w:type w:val="bbPlcHdr"/>
        </w:types>
        <w:behaviors>
          <w:behavior w:val="content"/>
        </w:behaviors>
        <w:description w:val=""/>
        <w:guid w:val="{4e42bd35-8385-4261-b031-1c0bd507ad21}"/>
      </w:docPartPr>
      <w:docPartBody>
        <w:p w14:paraId="4BAC5FAF">
          <w:pPr>
            <w:rPr>
              <w:rFonts w:hint="eastAsia"/>
            </w:rPr>
          </w:pPr>
          <w:r>
            <w:rPr>
              <w:rStyle w:val="3"/>
            </w:rPr>
            <w:t>单击或点击此处输入文字。</w:t>
          </w:r>
        </w:p>
      </w:docPartBody>
    </w:docPart>
    <w:docPart>
      <w:docPartPr>
        <w:name w:val="{49ec11f3-cf00-4b91-af4a-80aa71cbd3e5}"/>
        <w:style w:val=""/>
        <w:category>
          <w:name w:val="常规"/>
          <w:gallery w:val="placeholder"/>
        </w:category>
        <w:types>
          <w:type w:val="bbPlcHdr"/>
        </w:types>
        <w:behaviors>
          <w:behavior w:val="content"/>
        </w:behaviors>
        <w:description w:val=""/>
        <w:guid w:val="{49ec11f3-cf00-4b91-af4a-80aa71cbd3e5}"/>
      </w:docPartPr>
      <w:docPartBody>
        <w:p w14:paraId="055BD17B">
          <w:pPr>
            <w:rPr>
              <w:rFonts w:hint="eastAsia"/>
            </w:rPr>
          </w:pPr>
          <w:r>
            <w:rPr>
              <w:rStyle w:val="3"/>
            </w:rPr>
            <w:t>单击或点击此处输入文字。</w:t>
          </w:r>
        </w:p>
      </w:docPartBody>
    </w:docPart>
    <w:docPart>
      <w:docPartPr>
        <w:name w:val="{aad61170-c3eb-47ff-97fa-987f7ecb3e11}"/>
        <w:style w:val=""/>
        <w:category>
          <w:name w:val="常规"/>
          <w:gallery w:val="placeholder"/>
        </w:category>
        <w:types>
          <w:type w:val="bbPlcHdr"/>
        </w:types>
        <w:behaviors>
          <w:behavior w:val="content"/>
        </w:behaviors>
        <w:description w:val=""/>
        <w:guid w:val="{aad61170-c3eb-47ff-97fa-987f7ecb3e11}"/>
      </w:docPartPr>
      <w:docPartBody>
        <w:p w14:paraId="43B03FD7">
          <w:pPr>
            <w:rPr>
              <w:rFonts w:hint="eastAsia"/>
            </w:rPr>
          </w:pPr>
          <w:r>
            <w:rPr>
              <w:rStyle w:val="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character" w:styleId="3">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84</Pages>
  <Words>473</Words>
  <Characters>508</Characters>
  <Lines>212</Lines>
  <Paragraphs>59</Paragraphs>
  <TotalTime>6</TotalTime>
  <ScaleCrop>false</ScaleCrop>
  <LinksUpToDate>false</LinksUpToDate>
  <CharactersWithSpaces>522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2024-03-05T02:23:00Z</dcterms:created>
  <dc:creator>1</dc:creator>
  <cp:lastModifiedBy>杨嘉馨</cp:lastModifiedBy>
  <cp:lastPrinted>2024-02-23T03:48:00Z</cp:lastPrinted>
  <dcterms:modified xsi:type="dcterms:W3CDTF">2026-06-26T06:56:22Z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A7CCCACE83FE4FCEBEEC0199732B95E4_13</vt:lpwstr>
  </property>
  <property fmtid="{D5CDD505-2E9C-101B-9397-08002B2CF9AE}" pid="4" name="KSOTemplateDocerSaveRecord">
    <vt:lpwstr>eyJoZGlkIjoiODhmMWZmYzhmMzYyNmU0NzlhOGZkYmY1ZmQ3OTMzNGIiLCJ1c2VySWQiOiIyNDIyOTU2OTEifQ==</vt:lpwstr>
  </property>
</Properties>
</file>