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E82F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关于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>2025年深圳市科技报告审改服务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0C2865D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14988B78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BE8EE1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6B9A9ED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SZZZ2025-QC0197</w:t>
      </w:r>
    </w:p>
    <w:p w14:paraId="094D937C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="宋体" w:hAnsi="宋体"/>
          <w:snapToGrid w:val="0"/>
          <w:color w:val="auto"/>
          <w:sz w:val="21"/>
          <w:szCs w:val="21"/>
          <w:lang w:eastAsia="zh-CN"/>
        </w:rPr>
        <w:t>2025年深圳市科技报告审改服务</w:t>
      </w:r>
    </w:p>
    <w:p w14:paraId="5ED6367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2025年6月30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10E223A9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650DF4D5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0C0534F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6EC6BAF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2DC3B3A6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E16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668C68C8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14C143B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0620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7F97DB00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2025年6月30日至2025年7月7日，每天上午9：00至11:30，下午14：30至17:30（北京时间，法定节假日除外）</w:t>
            </w:r>
          </w:p>
        </w:tc>
        <w:tc>
          <w:tcPr>
            <w:tcW w:w="4236" w:type="dxa"/>
          </w:tcPr>
          <w:p w14:paraId="22C55FDD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2025年6月30日至2025年7月17日，每天上午9：00至11:30，下午14：30至17:30（北京时间，法定节假日除外）</w:t>
            </w:r>
          </w:p>
        </w:tc>
      </w:tr>
    </w:tbl>
    <w:p w14:paraId="6E50315E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（2）投标截止时间、开标时间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47F0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60F3DB8C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6841E72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0524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36" w:type="dxa"/>
          </w:tcPr>
          <w:p w14:paraId="0BBE3C55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2025年7月11日9点30分（北京时间）</w:t>
            </w:r>
          </w:p>
        </w:tc>
        <w:tc>
          <w:tcPr>
            <w:tcW w:w="4236" w:type="dxa"/>
          </w:tcPr>
          <w:p w14:paraId="3C4B952C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lang w:val="en-US" w:eastAsia="zh-CN"/>
              </w:rPr>
              <w:t>2025年7月18日9点30分（北京时间）</w:t>
            </w:r>
          </w:p>
        </w:tc>
      </w:tr>
    </w:tbl>
    <w:p w14:paraId="7D7BF6F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20D84DC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7245BAAA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758A1BD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6C76550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99E4B96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深圳市新质生产力科技促进中心</w:t>
      </w:r>
    </w:p>
    <w:p w14:paraId="34025C2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深圳市南山区粤海街道高新中一道9号软件大厦11楼</w:t>
      </w:r>
    </w:p>
    <w:p w14:paraId="475D50FA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周老师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0755-26414294</w:t>
      </w:r>
      <w:bookmarkStart w:id="5" w:name="_GoBack"/>
      <w:bookmarkEnd w:id="5"/>
    </w:p>
    <w:p w14:paraId="303BED67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769BA17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4A33E79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745937AB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联系方式：梁工，0755-83026699</w:t>
      </w:r>
    </w:p>
    <w:p w14:paraId="3A2778FA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B72CFCC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项目联系人：梁工</w:t>
      </w:r>
    </w:p>
    <w:p w14:paraId="2FEDA2A3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textAlignment w:val="auto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7B6424E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392AF205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1A507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29C39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1C6FC0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12A407A1"/>
    <w:rsid w:val="155B3FD1"/>
    <w:rsid w:val="19BC523E"/>
    <w:rsid w:val="2C3152DC"/>
    <w:rsid w:val="2C5A598E"/>
    <w:rsid w:val="36931ABE"/>
    <w:rsid w:val="37DB3F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560</Words>
  <Characters>678</Characters>
  <Lines>4</Lines>
  <Paragraphs>1</Paragraphs>
  <TotalTime>0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中正招标-梁工</cp:lastModifiedBy>
  <cp:lastPrinted>2022-02-18T07:14:00Z</cp:lastPrinted>
  <dcterms:modified xsi:type="dcterms:W3CDTF">2025-07-10T09:12:22Z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E22FFEB9EEF047358884749FE82105E3_13</vt:lpwstr>
  </property>
  <property fmtid="{D5CDD505-2E9C-101B-9397-08002B2CF9AE}" pid="4" name="KSOTemplateDocerSaveRecord">
    <vt:lpwstr>eyJoZGlkIjoiNzFmODkyYTJhYTc0NDU2NmYyMGFlOTA5ZWRiNzRhY2IiLCJ1c2VySWQiOiIxNTIxNDE1MzI1In0=</vt:lpwstr>
  </property>
</Properties>
</file>