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75595">
      <w:pPr>
        <w:keepNext w:val="0"/>
        <w:keepLines w:val="0"/>
        <w:widowControl/>
        <w:suppressLineNumbers w:val="0"/>
        <w:jc w:val="center"/>
        <w:rPr>
          <w:rFonts w:hint="eastAsia" w:ascii="仿宋" w:hAnsi="仿宋" w:eastAsia="仿宋" w:cs="仿宋"/>
          <w:b/>
          <w:bCs/>
          <w:color w:val="2C3E50"/>
          <w:kern w:val="0"/>
          <w:sz w:val="32"/>
          <w:szCs w:val="32"/>
          <w:lang w:val="en-US" w:eastAsia="zh-CN" w:bidi="ar"/>
        </w:rPr>
      </w:pPr>
      <w:r>
        <w:rPr>
          <w:rFonts w:hint="eastAsia" w:ascii="仿宋" w:hAnsi="仿宋" w:eastAsia="仿宋" w:cs="仿宋"/>
          <w:b/>
          <w:bCs/>
          <w:color w:val="2C3E50"/>
          <w:kern w:val="0"/>
          <w:sz w:val="32"/>
          <w:szCs w:val="32"/>
          <w:lang w:val="en-US" w:eastAsia="zh-CN" w:bidi="ar"/>
        </w:rPr>
        <w:t>梅林风水山项目土地用地性质调整服务市场价格调研公告</w:t>
      </w:r>
    </w:p>
    <w:p w14:paraId="5EDF037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深圳交易咨询集团有限公司受深圳市渔农实业股份有限公司委托就“梅林风水山项目土地用地性质调整服务”进行市场价格调研工作，</w:t>
      </w:r>
      <w:r>
        <w:rPr>
          <w:rFonts w:hint="eastAsia" w:ascii="仿宋" w:hAnsi="仿宋" w:eastAsia="仿宋" w:cs="仿宋"/>
          <w:b/>
          <w:bCs/>
          <w:kern w:val="2"/>
          <w:sz w:val="28"/>
          <w:szCs w:val="28"/>
          <w:lang w:val="en-US" w:eastAsia="zh-CN" w:bidi="ar-SA"/>
        </w:rPr>
        <w:t>本次仅为梅林风水山项目土地用地性质调整服务的市场价格调研，非采购招标。</w:t>
      </w:r>
    </w:p>
    <w:p w14:paraId="751F0BCB">
      <w:pPr>
        <w:pStyle w:val="10"/>
        <w:numPr>
          <w:ilvl w:val="0"/>
          <w:numId w:val="0"/>
        </w:numPr>
        <w:ind w:firstLine="641" w:firstLineChars="0"/>
        <w:rPr>
          <w:rFonts w:hint="eastAsia" w:ascii="仿宋" w:hAnsi="仿宋" w:eastAsia="仿宋" w:cs="仿宋"/>
          <w:b/>
          <w:bCs/>
          <w:sz w:val="28"/>
          <w:szCs w:val="28"/>
          <w:lang w:val="en-US" w:eastAsia="zh-CN"/>
        </w:rPr>
      </w:pPr>
      <w:r>
        <w:rPr>
          <w:rFonts w:hint="eastAsia" w:ascii="仿宋" w:hAnsi="仿宋" w:eastAsia="仿宋" w:cs="仿宋"/>
          <w:b/>
          <w:bCs/>
          <w:kern w:val="2"/>
          <w:sz w:val="28"/>
          <w:szCs w:val="28"/>
          <w:lang w:val="en-US" w:eastAsia="zh-CN" w:bidi="ar-SA"/>
        </w:rPr>
        <w:t>一、</w:t>
      </w:r>
      <w:r>
        <w:rPr>
          <w:rFonts w:hint="eastAsia" w:ascii="仿宋" w:hAnsi="仿宋" w:eastAsia="仿宋" w:cs="仿宋"/>
          <w:b/>
          <w:bCs/>
          <w:sz w:val="28"/>
          <w:szCs w:val="28"/>
          <w:lang w:val="en-US" w:eastAsia="zh-CN"/>
        </w:rPr>
        <w:t>项目概况</w:t>
      </w:r>
    </w:p>
    <w:p w14:paraId="304BA4A6">
      <w:pPr>
        <w:pStyle w:val="10"/>
        <w:numPr>
          <w:ilvl w:val="0"/>
          <w:numId w:val="1"/>
        </w:numPr>
        <w:ind w:left="559" w:leftChars="266"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i w:val="0"/>
          <w:iCs w:val="0"/>
          <w:caps w:val="0"/>
          <w:spacing w:val="0"/>
          <w:kern w:val="0"/>
          <w:sz w:val="28"/>
          <w:szCs w:val="28"/>
          <w:u w:val="none"/>
          <w:vertAlign w:val="baseline"/>
          <w:lang w:val="en-US" w:eastAsia="zh-CN" w:bidi="ar"/>
        </w:rPr>
        <w:t>梅林风水山项目土地用地性质调整服务</w:t>
      </w:r>
    </w:p>
    <w:p w14:paraId="3DB729DD">
      <w:pPr>
        <w:pStyle w:val="10"/>
        <w:numPr>
          <w:ilvl w:val="0"/>
          <w:numId w:val="1"/>
        </w:numPr>
        <w:ind w:left="559" w:leftChars="266"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项目地点：</w:t>
      </w:r>
      <w:r>
        <w:rPr>
          <w:rFonts w:hint="eastAsia" w:ascii="仿宋" w:hAnsi="仿宋" w:eastAsia="仿宋" w:cs="仿宋"/>
          <w:i w:val="0"/>
          <w:iCs w:val="0"/>
          <w:caps w:val="0"/>
          <w:spacing w:val="0"/>
          <w:kern w:val="0"/>
          <w:sz w:val="28"/>
          <w:szCs w:val="28"/>
          <w:u w:val="none"/>
          <w:vertAlign w:val="baseline"/>
          <w:lang w:val="en-US" w:eastAsia="zh-CN" w:bidi="ar"/>
        </w:rPr>
        <w:t>广东省深圳市福田区</w:t>
      </w:r>
    </w:p>
    <w:p w14:paraId="1155F523">
      <w:pPr>
        <w:pStyle w:val="10"/>
        <w:numPr>
          <w:ilvl w:val="0"/>
          <w:numId w:val="0"/>
        </w:numPr>
        <w:ind w:leftChars="266"/>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（三）项目简介：</w:t>
      </w:r>
    </w:p>
    <w:p w14:paraId="7A2B73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baseline"/>
        <w:rPr>
          <w:rFonts w:hint="eastAsia" w:ascii="仿宋" w:hAnsi="仿宋" w:eastAsia="仿宋" w:cs="仿宋"/>
          <w:i w:val="0"/>
          <w:iCs w:val="0"/>
          <w:caps w:val="0"/>
          <w:spacing w:val="0"/>
          <w:kern w:val="0"/>
          <w:sz w:val="28"/>
          <w:szCs w:val="28"/>
          <w:u w:val="none"/>
          <w:vertAlign w:val="baseline"/>
          <w:lang w:val="en-US" w:eastAsia="zh-CN" w:bidi="ar"/>
        </w:rPr>
      </w:pPr>
      <w:r>
        <w:rPr>
          <w:rFonts w:hint="eastAsia" w:ascii="仿宋" w:hAnsi="仿宋" w:eastAsia="仿宋" w:cs="仿宋"/>
          <w:i w:val="0"/>
          <w:iCs w:val="0"/>
          <w:caps w:val="0"/>
          <w:spacing w:val="0"/>
          <w:kern w:val="0"/>
          <w:sz w:val="28"/>
          <w:szCs w:val="28"/>
          <w:u w:val="none"/>
          <w:vertAlign w:val="baseline"/>
          <w:lang w:val="en-US" w:eastAsia="zh-CN" w:bidi="ar"/>
        </w:rPr>
        <w:t>梅林风水山项目用地（用地编号：D97-006）是深圳市福田区城市发展进程中形成的一处重要的历史遗留用地。近年来，项目用地周边已陆续开发建设多个高档住宅项目，区域开发价值日益凸显。但由于历史原因和规划限制，该地块尚未发挥其应有的经济和社会效益。为盘活存量资产，解决历史遗留问题，最大限度挖掘土地价值，保障全体股东利益，委托方计划启动本项目。现阶段核心目标为通过合法合规路径，完善用地手续，将地块转为可开发的建设用地，为后续合作开发奠定基础。鉴于项目涉及复杂的政策、规划、法律及报批流程，专业性极强，委托方拟通过公开平台遴选一家具备丰富经验和专业实力的服务商，为委托方提供全方位服务，现对本项目做市场价格调研。</w:t>
      </w:r>
    </w:p>
    <w:p w14:paraId="7B95B8CF">
      <w:pPr>
        <w:pStyle w:val="10"/>
        <w:numPr>
          <w:ilvl w:val="0"/>
          <w:numId w:val="0"/>
        </w:numPr>
        <w:ind w:firstLine="641" w:firstLineChars="0"/>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二、项目具体情况</w:t>
      </w:r>
    </w:p>
    <w:p w14:paraId="3A82CC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baseline"/>
        <w:rPr>
          <w:rFonts w:hint="eastAsia" w:ascii="仿宋" w:hAnsi="仿宋" w:eastAsia="仿宋" w:cs="仿宋"/>
          <w:i w:val="0"/>
          <w:iCs w:val="0"/>
          <w:caps w:val="0"/>
          <w:spacing w:val="0"/>
          <w:kern w:val="0"/>
          <w:sz w:val="28"/>
          <w:szCs w:val="28"/>
          <w:u w:val="none"/>
          <w:vertAlign w:val="baseline"/>
          <w:lang w:val="en-US" w:eastAsia="zh-CN" w:bidi="ar"/>
        </w:rPr>
      </w:pPr>
      <w:r>
        <w:rPr>
          <w:rFonts w:hint="eastAsia" w:ascii="仿宋" w:hAnsi="仿宋" w:eastAsia="仿宋" w:cs="仿宋"/>
          <w:i w:val="0"/>
          <w:iCs w:val="0"/>
          <w:caps w:val="0"/>
          <w:spacing w:val="0"/>
          <w:kern w:val="0"/>
          <w:sz w:val="28"/>
          <w:szCs w:val="28"/>
          <w:u w:val="none"/>
          <w:vertAlign w:val="baseline"/>
          <w:lang w:val="en-US" w:eastAsia="zh-CN" w:bidi="ar"/>
        </w:rPr>
        <w:t>附件一：项目情况简介。</w:t>
      </w:r>
    </w:p>
    <w:p w14:paraId="55DEB9BB">
      <w:pPr>
        <w:keepNext w:val="0"/>
        <w:keepLines w:val="0"/>
        <w:pageBreakBefore w:val="0"/>
        <w:widowControl/>
        <w:kinsoku/>
        <w:wordWrap/>
        <w:overflowPunct/>
        <w:topLinePunct w:val="0"/>
        <w:autoSpaceDE/>
        <w:autoSpaceDN/>
        <w:bidi w:val="0"/>
        <w:adjustRightInd/>
        <w:snapToGrid/>
        <w:spacing w:line="240" w:lineRule="auto"/>
        <w:ind w:left="0" w:leftChars="0" w:firstLine="562" w:firstLineChars="200"/>
        <w:jc w:val="left"/>
        <w:textAlignment w:val="auto"/>
        <w:rPr>
          <w:rFonts w:hint="eastAsia" w:ascii="仿宋" w:hAnsi="仿宋" w:eastAsia="仿宋" w:cs="仿宋"/>
          <w:b/>
          <w:bCs/>
          <w:i w:val="0"/>
          <w:iCs w:val="0"/>
          <w:color w:val="000000"/>
          <w:sz w:val="28"/>
          <w:szCs w:val="28"/>
          <w:u w:val="none"/>
          <w:lang w:eastAsia="zh-CN"/>
        </w:rPr>
      </w:pPr>
      <w:r>
        <w:rPr>
          <w:rFonts w:hint="eastAsia" w:ascii="仿宋" w:hAnsi="仿宋" w:eastAsia="仿宋" w:cs="仿宋"/>
          <w:b/>
          <w:bCs/>
          <w:i w:val="0"/>
          <w:iCs w:val="0"/>
          <w:color w:val="000000"/>
          <w:sz w:val="28"/>
          <w:szCs w:val="28"/>
          <w:u w:val="none"/>
          <w:lang w:val="en-US" w:eastAsia="zh-CN"/>
        </w:rPr>
        <w:t>三、</w:t>
      </w:r>
      <w:r>
        <w:rPr>
          <w:rFonts w:hint="eastAsia" w:ascii="仿宋" w:hAnsi="仿宋" w:eastAsia="仿宋" w:cs="仿宋"/>
          <w:b/>
          <w:bCs/>
          <w:i w:val="0"/>
          <w:iCs w:val="0"/>
          <w:color w:val="000000"/>
          <w:sz w:val="28"/>
          <w:szCs w:val="28"/>
          <w:u w:val="none"/>
          <w:lang w:eastAsia="zh-CN"/>
        </w:rPr>
        <w:t>服务内容</w:t>
      </w:r>
      <w:r>
        <w:rPr>
          <w:rFonts w:hint="eastAsia" w:ascii="仿宋" w:hAnsi="仿宋" w:eastAsia="仿宋" w:cs="仿宋"/>
          <w:lang w:eastAsia="zh-CN"/>
        </w:rPr>
        <w:t>：</w:t>
      </w:r>
    </w:p>
    <w:p w14:paraId="17DA1DCF">
      <w:pPr>
        <w:keepNext w:val="0"/>
        <w:keepLines w:val="0"/>
        <w:pageBreakBefore w:val="0"/>
        <w:widowControl/>
        <w:kinsoku/>
        <w:wordWrap/>
        <w:overflowPunct/>
        <w:topLinePunct w:val="0"/>
        <w:autoSpaceDE/>
        <w:autoSpaceDN/>
        <w:bidi w:val="0"/>
        <w:adjustRightInd/>
        <w:snapToGrid/>
        <w:spacing w:line="480" w:lineRule="exact"/>
        <w:ind w:left="0" w:leftChars="0" w:firstLine="560" w:firstLineChars="200"/>
        <w:jc w:val="left"/>
        <w:textAlignment w:val="auto"/>
        <w:rPr>
          <w:rFonts w:hint="eastAsia" w:ascii="仿宋" w:hAnsi="仿宋" w:eastAsia="仿宋" w:cs="仿宋"/>
          <w:i w:val="0"/>
          <w:iCs w:val="0"/>
          <w:color w:val="000000"/>
          <w:sz w:val="28"/>
          <w:szCs w:val="28"/>
          <w:u w:val="none"/>
          <w:lang w:eastAsia="zh-CN"/>
        </w:rPr>
      </w:pPr>
      <w:r>
        <w:rPr>
          <w:rFonts w:hint="eastAsia" w:ascii="仿宋" w:hAnsi="仿宋" w:eastAsia="仿宋" w:cs="仿宋"/>
          <w:i w:val="0"/>
          <w:iCs w:val="0"/>
          <w:color w:val="000000"/>
          <w:sz w:val="28"/>
          <w:szCs w:val="28"/>
          <w:u w:val="none"/>
          <w:lang w:eastAsia="zh-CN"/>
        </w:rPr>
        <w:t>包括但不限于：</w:t>
      </w:r>
    </w:p>
    <w:p w14:paraId="4A0D78EF">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240" w:lineRule="auto"/>
        <w:ind w:right="0" w:rightChars="0" w:firstLine="560" w:firstLineChars="200"/>
        <w:jc w:val="both"/>
        <w:textAlignment w:val="baseline"/>
        <w:rPr>
          <w:rFonts w:hint="eastAsia" w:ascii="仿宋" w:hAnsi="仿宋" w:eastAsia="仿宋" w:cs="仿宋"/>
          <w:i w:val="0"/>
          <w:iCs w:val="0"/>
          <w:caps w:val="0"/>
          <w:spacing w:val="0"/>
          <w:kern w:val="0"/>
          <w:sz w:val="28"/>
          <w:szCs w:val="28"/>
          <w:u w:val="none"/>
          <w:vertAlign w:val="baseline"/>
          <w:lang w:val="en-US" w:eastAsia="zh-CN" w:bidi="ar"/>
        </w:rPr>
      </w:pPr>
      <w:r>
        <w:rPr>
          <w:rFonts w:hint="eastAsia" w:ascii="仿宋" w:hAnsi="仿宋" w:eastAsia="仿宋" w:cs="仿宋"/>
          <w:i w:val="0"/>
          <w:iCs w:val="0"/>
          <w:caps w:val="0"/>
          <w:spacing w:val="0"/>
          <w:kern w:val="0"/>
          <w:sz w:val="28"/>
          <w:szCs w:val="28"/>
          <w:u w:val="none"/>
          <w:vertAlign w:val="baseline"/>
          <w:lang w:val="en-US" w:eastAsia="zh-CN" w:bidi="ar"/>
        </w:rPr>
        <w:t xml:space="preserve">对项目范围内的土地权属信息进行梳理，并根据具体情况对本项目的历史遗留解决模式以及确认、开发模式进行研究； 与政府部门沟通项目土地确权、规划调整以及开发的相关事宜。  </w:t>
      </w:r>
    </w:p>
    <w:p w14:paraId="76C4304C">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240" w:lineRule="auto"/>
        <w:ind w:right="0" w:rightChars="0" w:firstLine="560" w:firstLineChars="200"/>
        <w:jc w:val="both"/>
        <w:textAlignment w:val="baseline"/>
        <w:rPr>
          <w:rFonts w:hint="eastAsia" w:ascii="仿宋" w:hAnsi="仿宋" w:eastAsia="仿宋" w:cs="仿宋"/>
          <w:i w:val="0"/>
          <w:iCs w:val="0"/>
          <w:caps w:val="0"/>
          <w:spacing w:val="0"/>
          <w:kern w:val="0"/>
          <w:sz w:val="28"/>
          <w:szCs w:val="28"/>
          <w:u w:val="none"/>
          <w:vertAlign w:val="baseline"/>
          <w:lang w:val="en-US" w:eastAsia="zh-CN" w:bidi="ar"/>
        </w:rPr>
      </w:pPr>
      <w:r>
        <w:rPr>
          <w:rFonts w:hint="eastAsia" w:ascii="仿宋" w:hAnsi="仿宋" w:eastAsia="仿宋" w:cs="仿宋"/>
          <w:i w:val="0"/>
          <w:iCs w:val="0"/>
          <w:caps w:val="0"/>
          <w:spacing w:val="0"/>
          <w:kern w:val="0"/>
          <w:sz w:val="28"/>
          <w:szCs w:val="28"/>
          <w:u w:val="none"/>
          <w:vertAlign w:val="baseline"/>
          <w:lang w:val="en-US" w:eastAsia="zh-CN" w:bidi="ar"/>
        </w:rPr>
        <w:t>历史遗留问题解决并完成确认后，向国土规划部门申请对项目地块的规划进行调整。包括但不限于代为准备、提交所需资料；代为聘请第三方进行规划设计；代为与政府主管部门沟通协调；以及在此过程中配合业主完成的其他工作。</w:t>
      </w:r>
    </w:p>
    <w:p w14:paraId="4E940A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240" w:lineRule="auto"/>
        <w:ind w:right="0" w:rightChars="0" w:firstLine="560" w:firstLineChars="200"/>
        <w:jc w:val="both"/>
        <w:textAlignment w:val="baseline"/>
        <w:rPr>
          <w:rFonts w:hint="eastAsia" w:ascii="仿宋" w:hAnsi="仿宋" w:eastAsia="仿宋" w:cs="仿宋"/>
          <w:i w:val="0"/>
          <w:iCs w:val="0"/>
          <w:caps w:val="0"/>
          <w:spacing w:val="0"/>
          <w:kern w:val="0"/>
          <w:sz w:val="28"/>
          <w:szCs w:val="28"/>
          <w:u w:val="none"/>
          <w:vertAlign w:val="baseline"/>
          <w:lang w:val="en-US" w:eastAsia="zh-CN" w:bidi="ar"/>
        </w:rPr>
      </w:pPr>
      <w:r>
        <w:rPr>
          <w:rFonts w:hint="eastAsia" w:ascii="仿宋" w:hAnsi="仿宋" w:eastAsia="仿宋" w:cs="仿宋"/>
          <w:i w:val="0"/>
          <w:iCs w:val="0"/>
          <w:caps w:val="0"/>
          <w:spacing w:val="0"/>
          <w:kern w:val="0"/>
          <w:sz w:val="28"/>
          <w:szCs w:val="28"/>
          <w:u w:val="none"/>
          <w:vertAlign w:val="baseline"/>
          <w:lang w:val="en-US" w:eastAsia="zh-CN" w:bidi="ar"/>
        </w:rPr>
        <w:t>3、待本项目用地取得建设用地规划许可证后，在业主需通过平台公开确定项目地块合作开发方的过程中，协助业主准备有关资料等。</w:t>
      </w:r>
    </w:p>
    <w:p w14:paraId="41A4328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240" w:lineRule="auto"/>
        <w:ind w:right="0" w:rightChars="0" w:firstLine="560" w:firstLineChars="200"/>
        <w:jc w:val="both"/>
        <w:textAlignment w:val="baseline"/>
        <w:rPr>
          <w:rFonts w:hint="default" w:ascii="仿宋" w:hAnsi="仿宋" w:eastAsia="仿宋" w:cs="仿宋"/>
          <w:i w:val="0"/>
          <w:iCs w:val="0"/>
          <w:caps w:val="0"/>
          <w:spacing w:val="0"/>
          <w:kern w:val="0"/>
          <w:sz w:val="28"/>
          <w:szCs w:val="28"/>
          <w:u w:val="none"/>
          <w:vertAlign w:val="baseline"/>
          <w:lang w:val="en-US" w:eastAsia="zh-CN" w:bidi="ar"/>
        </w:rPr>
      </w:pPr>
      <w:r>
        <w:rPr>
          <w:rFonts w:hint="eastAsia" w:ascii="仿宋" w:hAnsi="仿宋" w:eastAsia="仿宋" w:cs="仿宋"/>
          <w:i w:val="0"/>
          <w:iCs w:val="0"/>
          <w:caps w:val="0"/>
          <w:spacing w:val="0"/>
          <w:kern w:val="0"/>
          <w:sz w:val="28"/>
          <w:szCs w:val="28"/>
          <w:u w:val="none"/>
          <w:vertAlign w:val="baseline"/>
          <w:lang w:val="en-US" w:eastAsia="zh-CN" w:bidi="ar"/>
        </w:rPr>
        <w:t>4、其他具体服务事项，由委托方与通过交易平台公开选择确认的服务商签署协议确定。</w:t>
      </w:r>
    </w:p>
    <w:p w14:paraId="5703A359">
      <w:pPr>
        <w:keepNext w:val="0"/>
        <w:keepLines w:val="0"/>
        <w:pageBreakBefore w:val="0"/>
        <w:widowControl/>
        <w:numPr>
          <w:ilvl w:val="0"/>
          <w:numId w:val="0"/>
        </w:numPr>
        <w:kinsoku/>
        <w:wordWrap/>
        <w:overflowPunct/>
        <w:topLinePunct w:val="0"/>
        <w:autoSpaceDE/>
        <w:autoSpaceDN/>
        <w:bidi w:val="0"/>
        <w:adjustRightInd/>
        <w:snapToGrid/>
        <w:spacing w:beforeLines="0" w:afterLines="0" w:line="480" w:lineRule="exact"/>
        <w:ind w:left="0" w:leftChars="0" w:firstLine="641" w:firstLineChars="0"/>
        <w:jc w:val="lef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b/>
          <w:bCs/>
          <w:i w:val="0"/>
          <w:iCs w:val="0"/>
          <w:color w:val="000000"/>
          <w:kern w:val="2"/>
          <w:sz w:val="28"/>
          <w:szCs w:val="28"/>
          <w:lang w:val="en-US" w:eastAsia="zh-CN" w:bidi="ar-SA"/>
        </w:rPr>
        <w:t>四、</w:t>
      </w:r>
      <w:r>
        <w:rPr>
          <w:rFonts w:hint="eastAsia" w:ascii="仿宋" w:hAnsi="仿宋" w:eastAsia="仿宋" w:cs="仿宋"/>
          <w:b/>
          <w:bCs/>
          <w:i w:val="0"/>
          <w:iCs w:val="0"/>
          <w:color w:val="000000"/>
          <w:sz w:val="28"/>
          <w:szCs w:val="28"/>
          <w:u w:val="none"/>
          <w:lang w:val="en-US" w:eastAsia="zh-CN"/>
        </w:rPr>
        <w:t>服务期限</w:t>
      </w:r>
      <w:r>
        <w:rPr>
          <w:rFonts w:hint="eastAsia" w:ascii="仿宋" w:hAnsi="仿宋" w:eastAsia="仿宋" w:cs="仿宋"/>
          <w:i w:val="0"/>
          <w:iCs w:val="0"/>
          <w:color w:val="000000"/>
          <w:sz w:val="28"/>
          <w:szCs w:val="28"/>
          <w:u w:val="none"/>
          <w:lang w:val="en-US" w:eastAsia="zh-CN"/>
        </w:rPr>
        <w:t xml:space="preserve"> </w:t>
      </w:r>
    </w:p>
    <w:p w14:paraId="451AF88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right="0" w:rightChars="0" w:firstLine="560" w:firstLineChars="200"/>
        <w:jc w:val="both"/>
        <w:textAlignment w:val="baseline"/>
        <w:rPr>
          <w:rFonts w:hint="eastAsia" w:ascii="仿宋" w:hAnsi="仿宋" w:eastAsia="仿宋" w:cs="仿宋"/>
          <w:i w:val="0"/>
          <w:iCs w:val="0"/>
          <w:caps w:val="0"/>
          <w:spacing w:val="0"/>
          <w:kern w:val="0"/>
          <w:sz w:val="28"/>
          <w:szCs w:val="28"/>
          <w:highlight w:val="none"/>
          <w:u w:val="none"/>
          <w:vertAlign w:val="baseline"/>
          <w:lang w:val="en-US" w:eastAsia="zh-CN" w:bidi="ar"/>
        </w:rPr>
      </w:pPr>
      <w:r>
        <w:rPr>
          <w:rFonts w:hint="eastAsia" w:ascii="仿宋" w:hAnsi="仿宋" w:eastAsia="仿宋" w:cs="仿宋"/>
          <w:i w:val="0"/>
          <w:iCs w:val="0"/>
          <w:caps w:val="0"/>
          <w:spacing w:val="0"/>
          <w:kern w:val="0"/>
          <w:sz w:val="28"/>
          <w:szCs w:val="28"/>
          <w:highlight w:val="none"/>
          <w:u w:val="none"/>
          <w:vertAlign w:val="baseline"/>
          <w:lang w:val="en-US" w:eastAsia="zh-CN" w:bidi="ar"/>
        </w:rPr>
        <w:t>自合同双方签字盖章之日起两年。</w:t>
      </w:r>
    </w:p>
    <w:p w14:paraId="7E91077A">
      <w:pPr>
        <w:keepNext w:val="0"/>
        <w:keepLines w:val="0"/>
        <w:pageBreakBefore w:val="0"/>
        <w:widowControl/>
        <w:numPr>
          <w:ilvl w:val="0"/>
          <w:numId w:val="0"/>
        </w:numPr>
        <w:kinsoku/>
        <w:wordWrap/>
        <w:overflowPunct/>
        <w:topLinePunct w:val="0"/>
        <w:autoSpaceDE/>
        <w:autoSpaceDN/>
        <w:bidi w:val="0"/>
        <w:adjustRightInd/>
        <w:snapToGrid/>
        <w:spacing w:beforeLines="0" w:afterLines="0" w:line="480" w:lineRule="exact"/>
        <w:ind w:left="0" w:leftChars="0" w:firstLine="641" w:firstLineChars="0"/>
        <w:jc w:val="left"/>
        <w:textAlignment w:val="auto"/>
        <w:rPr>
          <w:rFonts w:hint="eastAsia" w:ascii="仿宋" w:hAnsi="仿宋" w:eastAsia="仿宋" w:cs="仿宋"/>
          <w:color w:val="2C3E50"/>
          <w:kern w:val="0"/>
          <w:sz w:val="24"/>
          <w:szCs w:val="24"/>
          <w:highlight w:val="none"/>
          <w:lang w:val="en-US" w:eastAsia="zh-CN" w:bidi="ar"/>
        </w:rPr>
      </w:pPr>
      <w:r>
        <w:rPr>
          <w:rFonts w:hint="eastAsia" w:ascii="仿宋" w:hAnsi="仿宋" w:eastAsia="仿宋" w:cs="仿宋"/>
          <w:b/>
          <w:bCs/>
          <w:i w:val="0"/>
          <w:iCs w:val="0"/>
          <w:color w:val="000000"/>
          <w:sz w:val="28"/>
          <w:szCs w:val="28"/>
          <w:highlight w:val="none"/>
          <w:u w:val="none"/>
          <w:lang w:val="en-US" w:eastAsia="zh-CN"/>
        </w:rPr>
        <w:t>五、采购项目资金</w:t>
      </w:r>
      <w:r>
        <w:rPr>
          <w:rFonts w:hint="eastAsia" w:ascii="仿宋" w:hAnsi="仿宋" w:eastAsia="仿宋" w:cs="仿宋"/>
          <w:i w:val="0"/>
          <w:iCs w:val="0"/>
          <w:color w:val="000000"/>
          <w:sz w:val="28"/>
          <w:szCs w:val="28"/>
          <w:highlight w:val="none"/>
          <w:u w:val="none"/>
          <w:lang w:val="en-US" w:eastAsia="zh-CN"/>
        </w:rPr>
        <w:t>：</w:t>
      </w:r>
      <w:r>
        <w:rPr>
          <w:rFonts w:hint="eastAsia" w:ascii="仿宋" w:hAnsi="仿宋" w:eastAsia="仿宋" w:cs="仿宋"/>
          <w:i w:val="0"/>
          <w:iCs w:val="0"/>
          <w:caps w:val="0"/>
          <w:spacing w:val="0"/>
          <w:kern w:val="0"/>
          <w:sz w:val="28"/>
          <w:szCs w:val="28"/>
          <w:u w:val="none"/>
          <w:vertAlign w:val="baseline"/>
          <w:lang w:val="en-US" w:eastAsia="zh-CN" w:bidi="ar"/>
        </w:rPr>
        <w:t>企业自筹。</w:t>
      </w:r>
    </w:p>
    <w:p w14:paraId="4B643C14">
      <w:pPr>
        <w:keepNext w:val="0"/>
        <w:keepLines w:val="0"/>
        <w:pageBreakBefore w:val="0"/>
        <w:widowControl/>
        <w:numPr>
          <w:ilvl w:val="0"/>
          <w:numId w:val="0"/>
        </w:numPr>
        <w:kinsoku/>
        <w:wordWrap/>
        <w:overflowPunct/>
        <w:topLinePunct w:val="0"/>
        <w:autoSpaceDE/>
        <w:autoSpaceDN/>
        <w:bidi w:val="0"/>
        <w:adjustRightInd/>
        <w:snapToGrid/>
        <w:spacing w:beforeLines="0" w:afterLines="0" w:line="480" w:lineRule="exact"/>
        <w:ind w:left="0" w:leftChars="0" w:firstLine="641" w:firstLineChars="0"/>
        <w:jc w:val="left"/>
        <w:textAlignment w:val="auto"/>
        <w:rPr>
          <w:rFonts w:hint="eastAsia" w:ascii="仿宋" w:hAnsi="仿宋" w:eastAsia="仿宋" w:cs="仿宋"/>
          <w:i w:val="0"/>
          <w:iCs w:val="0"/>
          <w:color w:val="000000"/>
          <w:sz w:val="28"/>
          <w:szCs w:val="28"/>
          <w:highlight w:val="none"/>
          <w:u w:val="none"/>
          <w:lang w:val="en-US" w:eastAsia="zh-CN"/>
        </w:rPr>
      </w:pPr>
      <w:r>
        <w:rPr>
          <w:rFonts w:hint="eastAsia" w:ascii="仿宋" w:hAnsi="仿宋" w:eastAsia="仿宋" w:cs="仿宋"/>
          <w:b/>
          <w:bCs/>
          <w:i w:val="0"/>
          <w:iCs w:val="0"/>
          <w:color w:val="000000"/>
          <w:sz w:val="28"/>
          <w:szCs w:val="28"/>
          <w:highlight w:val="none"/>
          <w:u w:val="none"/>
          <w:lang w:val="en-US" w:eastAsia="zh-CN"/>
        </w:rPr>
        <w:t>六、预计招采时间</w:t>
      </w:r>
      <w:r>
        <w:rPr>
          <w:rFonts w:hint="eastAsia" w:ascii="仿宋" w:hAnsi="仿宋" w:eastAsia="仿宋" w:cs="仿宋"/>
          <w:i w:val="0"/>
          <w:iCs w:val="0"/>
          <w:color w:val="000000"/>
          <w:sz w:val="28"/>
          <w:szCs w:val="28"/>
          <w:highlight w:val="none"/>
          <w:u w:val="none"/>
          <w:lang w:val="en-US" w:eastAsia="zh-CN"/>
        </w:rPr>
        <w:t>：</w:t>
      </w:r>
      <w:r>
        <w:rPr>
          <w:rFonts w:hint="eastAsia" w:ascii="仿宋" w:hAnsi="仿宋" w:eastAsia="仿宋" w:cs="仿宋"/>
          <w:i w:val="0"/>
          <w:iCs w:val="0"/>
          <w:caps w:val="0"/>
          <w:spacing w:val="0"/>
          <w:kern w:val="0"/>
          <w:sz w:val="28"/>
          <w:szCs w:val="28"/>
          <w:u w:val="none"/>
          <w:vertAlign w:val="baseline"/>
          <w:lang w:val="en-US" w:eastAsia="zh-CN" w:bidi="ar"/>
        </w:rPr>
        <w:t>待定。</w:t>
      </w:r>
    </w:p>
    <w:p w14:paraId="36966230">
      <w:pPr>
        <w:pStyle w:val="2"/>
        <w:spacing w:beforeLines="0" w:afterLines="0"/>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b/>
          <w:bCs/>
          <w:i w:val="0"/>
          <w:iCs w:val="0"/>
          <w:color w:val="000000"/>
          <w:sz w:val="28"/>
          <w:szCs w:val="28"/>
          <w:u w:val="none"/>
          <w:lang w:val="en-US" w:eastAsia="zh-CN"/>
        </w:rPr>
        <w:t>七、拟采用服务费用模式</w:t>
      </w:r>
    </w:p>
    <w:p w14:paraId="43F8A79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right="0" w:rightChars="0" w:firstLine="560" w:firstLineChars="200"/>
        <w:jc w:val="both"/>
        <w:textAlignment w:val="baseline"/>
        <w:rPr>
          <w:rFonts w:hint="default" w:ascii="仿宋" w:hAnsi="仿宋" w:eastAsia="仿宋" w:cs="仿宋"/>
          <w:lang w:val="en-US" w:eastAsia="zh-CN"/>
        </w:rPr>
      </w:pPr>
      <w:r>
        <w:rPr>
          <w:rFonts w:hint="eastAsia" w:ascii="仿宋" w:hAnsi="仿宋" w:eastAsia="仿宋" w:cs="仿宋"/>
          <w:i w:val="0"/>
          <w:iCs w:val="0"/>
          <w:caps w:val="0"/>
          <w:spacing w:val="0"/>
          <w:kern w:val="0"/>
          <w:sz w:val="28"/>
          <w:szCs w:val="28"/>
          <w:u w:val="none"/>
          <w:vertAlign w:val="baseline"/>
          <w:lang w:val="en-US" w:eastAsia="zh-CN" w:bidi="ar"/>
        </w:rPr>
        <w:t>为有效降低集体资金压力、优化项目风险分配、并激励服务商高效推进工作，本项目服务费用支付确定采用“风险收费模式”，该模式是指服务商在服务期间承担并支付所有项目相关成本及工作费用，如委托人取得项目土地转为可开发用地（用地性质变更）的相应凭证文件后（包括但不限于提供相关政府部门确认的用地性质变更的文件），再根据约定方式对投入进行结算返还；</w:t>
      </w:r>
      <w:r>
        <w:rPr>
          <w:rFonts w:hint="eastAsia" w:ascii="仿宋" w:hAnsi="仿宋" w:eastAsia="仿宋" w:cs="仿宋"/>
          <w:b/>
          <w:bCs/>
          <w:kern w:val="0"/>
          <w:sz w:val="28"/>
          <w:szCs w:val="28"/>
          <w:u w:val="none"/>
          <w:lang w:val="en-US" w:eastAsia="zh-CN" w:bidi="ar"/>
        </w:rPr>
        <w:t>如委托人未取得，委托方不需要支付任何相关费用，</w:t>
      </w:r>
      <w:r>
        <w:rPr>
          <w:rFonts w:hint="eastAsia" w:ascii="仿宋" w:hAnsi="仿宋" w:eastAsia="仿宋" w:cs="仿宋"/>
          <w:b/>
          <w:bCs/>
          <w:i w:val="0"/>
          <w:iCs w:val="0"/>
          <w:caps w:val="0"/>
          <w:spacing w:val="0"/>
          <w:kern w:val="0"/>
          <w:sz w:val="28"/>
          <w:szCs w:val="28"/>
          <w:u w:val="none"/>
          <w:vertAlign w:val="baseline"/>
          <w:lang w:val="en-US" w:eastAsia="zh-CN" w:bidi="ar"/>
        </w:rPr>
        <w:t>相关成本及工作费用由</w:t>
      </w:r>
      <w:r>
        <w:rPr>
          <w:rFonts w:hint="eastAsia" w:ascii="仿宋" w:hAnsi="仿宋" w:eastAsia="仿宋" w:cs="仿宋"/>
          <w:b/>
          <w:bCs/>
          <w:kern w:val="0"/>
          <w:sz w:val="28"/>
          <w:szCs w:val="28"/>
          <w:u w:val="none"/>
          <w:lang w:val="en-US" w:eastAsia="zh-CN" w:bidi="ar"/>
        </w:rPr>
        <w:t>服务商自行承担。</w:t>
      </w:r>
    </w:p>
    <w:p w14:paraId="7A4078A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60" w:lineRule="auto"/>
        <w:ind w:right="0" w:rightChars="0" w:firstLine="560" w:firstLineChars="200"/>
        <w:jc w:val="both"/>
        <w:textAlignment w:val="baseline"/>
        <w:rPr>
          <w:rFonts w:hint="default" w:ascii="仿宋" w:hAnsi="仿宋" w:eastAsia="仿宋" w:cs="仿宋"/>
          <w:lang w:val="en-US" w:eastAsia="zh-CN"/>
        </w:rPr>
      </w:pPr>
      <w:r>
        <w:rPr>
          <w:rFonts w:hint="eastAsia" w:ascii="仿宋" w:hAnsi="仿宋" w:eastAsia="仿宋" w:cs="仿宋"/>
          <w:i w:val="0"/>
          <w:iCs w:val="0"/>
          <w:caps w:val="0"/>
          <w:spacing w:val="0"/>
          <w:kern w:val="0"/>
          <w:sz w:val="28"/>
          <w:szCs w:val="28"/>
          <w:u w:val="none"/>
          <w:vertAlign w:val="baseline"/>
          <w:lang w:val="en-US" w:eastAsia="zh-CN" w:bidi="ar"/>
        </w:rPr>
        <w:t>本次调研服务商可针对不同用地性质按前述服务费用模式拟定相应的工作内容、预估工作时间（分阶段）及各阶段费用构成等。</w:t>
      </w:r>
    </w:p>
    <w:p w14:paraId="46F24888">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1" w:firstLineChars="0"/>
        <w:jc w:val="left"/>
        <w:textAlignment w:val="auto"/>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b/>
          <w:bCs/>
          <w:i w:val="0"/>
          <w:iCs w:val="0"/>
          <w:color w:val="000000"/>
          <w:sz w:val="28"/>
          <w:szCs w:val="28"/>
          <w:u w:val="none"/>
          <w:lang w:val="en-US" w:eastAsia="zh-CN"/>
        </w:rPr>
        <w:t>八、调研公告时间及方式</w:t>
      </w:r>
    </w:p>
    <w:p w14:paraId="0EC9C33B">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1" w:firstLineChars="0"/>
        <w:jc w:val="lef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（一）时间：2025年11月14日18:00至2025年11月28日18:00（北京时间）。</w:t>
      </w:r>
    </w:p>
    <w:p w14:paraId="7CD371C2">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1" w:firstLineChars="0"/>
        <w:jc w:val="lef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（二）调研方式：</w:t>
      </w:r>
      <w:bookmarkStart w:id="0" w:name="_GoBack"/>
      <w:bookmarkEnd w:id="0"/>
    </w:p>
    <w:p w14:paraId="6987FDBF">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1" w:firstLineChars="0"/>
        <w:jc w:val="lef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感兴趣的供应商将以下文件加盖单位公章发送到咨询机构指定邮箱</w:t>
      </w:r>
      <w:r>
        <w:rPr>
          <w:rFonts w:hint="eastAsia" w:ascii="仿宋" w:hAnsi="仿宋" w:eastAsia="仿宋" w:cs="仿宋"/>
          <w:i w:val="0"/>
          <w:iCs w:val="0"/>
          <w:color w:val="000000"/>
          <w:sz w:val="28"/>
          <w:szCs w:val="28"/>
          <w:u w:val="none"/>
          <w:lang w:val="en-US" w:eastAsia="zh-CN"/>
        </w:rPr>
        <w:fldChar w:fldCharType="begin"/>
      </w:r>
      <w:r>
        <w:rPr>
          <w:rFonts w:hint="eastAsia" w:ascii="仿宋" w:hAnsi="仿宋" w:eastAsia="仿宋" w:cs="仿宋"/>
          <w:i w:val="0"/>
          <w:iCs w:val="0"/>
          <w:color w:val="000000"/>
          <w:sz w:val="28"/>
          <w:szCs w:val="28"/>
          <w:u w:val="none"/>
          <w:lang w:val="en-US" w:eastAsia="zh-CN"/>
        </w:rPr>
        <w:instrText xml:space="preserve"> HYPERLINK "mailto:zengw@163.com。" </w:instrText>
      </w:r>
      <w:r>
        <w:rPr>
          <w:rFonts w:hint="eastAsia" w:ascii="仿宋" w:hAnsi="仿宋" w:eastAsia="仿宋" w:cs="仿宋"/>
          <w:i w:val="0"/>
          <w:iCs w:val="0"/>
          <w:color w:val="000000"/>
          <w:sz w:val="28"/>
          <w:szCs w:val="28"/>
          <w:u w:val="none"/>
          <w:lang w:val="en-US" w:eastAsia="zh-CN"/>
        </w:rPr>
        <w:fldChar w:fldCharType="separate"/>
      </w:r>
      <w:r>
        <w:rPr>
          <w:rFonts w:hint="eastAsia" w:ascii="仿宋" w:hAnsi="仿宋" w:eastAsia="仿宋" w:cs="仿宋"/>
          <w:i w:val="0"/>
          <w:iCs w:val="0"/>
          <w:color w:val="000000"/>
          <w:sz w:val="28"/>
          <w:szCs w:val="28"/>
          <w:u w:val="none"/>
          <w:lang w:val="en-US" w:eastAsia="zh-CN"/>
        </w:rPr>
        <w:t>liuhaoming@sztc.com或联系咨询机构现场提交。</w:t>
      </w:r>
      <w:r>
        <w:rPr>
          <w:rFonts w:hint="eastAsia" w:ascii="仿宋" w:hAnsi="仿宋" w:eastAsia="仿宋" w:cs="仿宋"/>
          <w:i w:val="0"/>
          <w:iCs w:val="0"/>
          <w:color w:val="000000"/>
          <w:sz w:val="28"/>
          <w:szCs w:val="28"/>
          <w:u w:val="none"/>
          <w:lang w:val="en-US" w:eastAsia="zh-CN"/>
        </w:rPr>
        <w:fldChar w:fldCharType="end"/>
      </w:r>
    </w:p>
    <w:p w14:paraId="695291D3">
      <w:pPr>
        <w:keepNext w:val="0"/>
        <w:keepLines w:val="0"/>
        <w:pageBreakBefore w:val="0"/>
        <w:widowControl/>
        <w:numPr>
          <w:ilvl w:val="0"/>
          <w:numId w:val="3"/>
        </w:numPr>
        <w:kinsoku/>
        <w:wordWrap/>
        <w:overflowPunct/>
        <w:topLinePunct w:val="0"/>
        <w:autoSpaceDE/>
        <w:autoSpaceDN/>
        <w:bidi w:val="0"/>
        <w:adjustRightInd/>
        <w:snapToGrid/>
        <w:spacing w:line="480" w:lineRule="exact"/>
        <w:ind w:left="0" w:leftChars="0" w:firstLine="641" w:firstLineChars="0"/>
        <w:jc w:val="lef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color w:val="000000"/>
          <w:sz w:val="28"/>
          <w:szCs w:val="28"/>
          <w:u w:val="none"/>
          <w:lang w:val="en-US" w:eastAsia="zh-CN"/>
        </w:rPr>
        <w:t>供应商</w:t>
      </w:r>
      <w:r>
        <w:rPr>
          <w:rFonts w:hint="eastAsia" w:ascii="仿宋" w:hAnsi="仿宋" w:eastAsia="仿宋" w:cs="仿宋"/>
          <w:color w:val="000000"/>
          <w:sz w:val="28"/>
          <w:szCs w:val="28"/>
          <w:u w:val="none"/>
        </w:rPr>
        <w:t>基本情况表</w:t>
      </w:r>
      <w:r>
        <w:rPr>
          <w:rFonts w:hint="eastAsia" w:ascii="仿宋" w:hAnsi="仿宋" w:eastAsia="仿宋" w:cs="仿宋"/>
          <w:i w:val="0"/>
          <w:iCs w:val="0"/>
          <w:color w:val="000000"/>
          <w:sz w:val="28"/>
          <w:szCs w:val="28"/>
          <w:u w:val="none"/>
          <w:lang w:val="en-US" w:eastAsia="zh-CN"/>
        </w:rPr>
        <w:t>（见附件二）</w:t>
      </w:r>
    </w:p>
    <w:p w14:paraId="4F4DE735">
      <w:pPr>
        <w:pStyle w:val="10"/>
        <w:rPr>
          <w:rFonts w:hint="eastAsia" w:ascii="仿宋" w:hAnsi="仿宋" w:eastAsia="仿宋" w:cs="仿宋"/>
          <w:lang w:val="en-US" w:eastAsia="zh-CN"/>
        </w:rPr>
      </w:pPr>
      <w:r>
        <w:rPr>
          <w:rFonts w:hint="eastAsia" w:ascii="仿宋" w:hAnsi="仿宋" w:eastAsia="仿宋" w:cs="仿宋"/>
          <w:i w:val="0"/>
          <w:iCs w:val="0"/>
          <w:color w:val="000000"/>
          <w:sz w:val="28"/>
          <w:szCs w:val="28"/>
          <w:u w:val="none"/>
          <w:lang w:val="en-US" w:eastAsia="zh-CN"/>
        </w:rPr>
        <w:t>2、其他供应商认为有必要提供的材料。</w:t>
      </w:r>
    </w:p>
    <w:p w14:paraId="030B8F8F">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2" w:firstLineChars="200"/>
        <w:jc w:val="left"/>
        <w:textAlignment w:val="auto"/>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b/>
          <w:bCs/>
          <w:i w:val="0"/>
          <w:iCs w:val="0"/>
          <w:color w:val="000000"/>
          <w:sz w:val="28"/>
          <w:szCs w:val="28"/>
          <w:u w:val="none"/>
          <w:lang w:val="en-US" w:eastAsia="zh-CN"/>
        </w:rPr>
        <w:t>九、本调研公告网站：</w:t>
      </w:r>
    </w:p>
    <w:p w14:paraId="24530C66">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深圳公共资源交易网、深圳阳光采购平台</w:t>
      </w:r>
    </w:p>
    <w:p w14:paraId="4299C602">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2" w:firstLineChars="200"/>
        <w:jc w:val="left"/>
        <w:textAlignment w:val="auto"/>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b/>
          <w:bCs/>
          <w:i w:val="0"/>
          <w:iCs w:val="0"/>
          <w:color w:val="000000"/>
          <w:sz w:val="28"/>
          <w:szCs w:val="28"/>
          <w:u w:val="none"/>
          <w:lang w:val="en-US" w:eastAsia="zh-CN"/>
        </w:rPr>
        <w:t>十、联系方式</w:t>
      </w:r>
    </w:p>
    <w:p w14:paraId="0DAFF617">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委托人：深圳市渔农实业股份有限公司</w:t>
      </w:r>
    </w:p>
    <w:p w14:paraId="300F6E0F">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联系人：王工</w:t>
      </w:r>
    </w:p>
    <w:p w14:paraId="13146FA1">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联系电话：0755-83386808</w:t>
      </w:r>
    </w:p>
    <w:p w14:paraId="4EF80090">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 xml:space="preserve">咨询机构：深圳交易咨询集团有限公司 </w:t>
      </w:r>
    </w:p>
    <w:p w14:paraId="5B6B43F6">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咨询机构地址：深圳市南山区西丽街道沙河西路3185号南山智谷产业园A座21楼</w:t>
      </w:r>
    </w:p>
    <w:p w14:paraId="3F4BFD5B">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联系人：刘浩明、卢奕君</w:t>
      </w:r>
    </w:p>
    <w:p w14:paraId="40C7D1E0">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电话：13760834414、15112538735</w:t>
      </w:r>
    </w:p>
    <w:p w14:paraId="57AB83C0">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电子信箱：liuhaoming@sztc.com</w:t>
      </w:r>
    </w:p>
    <w:p w14:paraId="013C6FAC">
      <w:pPr>
        <w:widowControl/>
        <w:numPr>
          <w:ilvl w:val="0"/>
          <w:numId w:val="0"/>
        </w:numPr>
        <w:spacing w:line="480" w:lineRule="exact"/>
        <w:ind w:firstLine="560" w:firstLineChars="200"/>
        <w:jc w:val="left"/>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附件一：项目情况简介</w:t>
      </w:r>
    </w:p>
    <w:p w14:paraId="5D2C142F">
      <w:pPr>
        <w:widowControl/>
        <w:numPr>
          <w:ilvl w:val="0"/>
          <w:numId w:val="0"/>
        </w:numPr>
        <w:spacing w:line="480" w:lineRule="exact"/>
        <w:ind w:firstLine="560" w:firstLineChars="200"/>
        <w:jc w:val="left"/>
        <w:textAlignment w:val="auto"/>
        <w:rPr>
          <w:rFonts w:hint="eastAsia" w:ascii="仿宋" w:hAnsi="仿宋" w:eastAsia="仿宋" w:cs="仿宋"/>
          <w:color w:val="000000"/>
          <w:sz w:val="28"/>
          <w:szCs w:val="28"/>
          <w:u w:val="none"/>
          <w:lang w:eastAsia="zh-CN"/>
        </w:rPr>
      </w:pPr>
      <w:r>
        <w:rPr>
          <w:rFonts w:hint="eastAsia" w:ascii="仿宋" w:hAnsi="仿宋" w:eastAsia="仿宋" w:cs="仿宋"/>
          <w:i w:val="0"/>
          <w:iCs w:val="0"/>
          <w:color w:val="000000"/>
          <w:sz w:val="28"/>
          <w:szCs w:val="28"/>
          <w:u w:val="none"/>
          <w:lang w:val="en-US" w:eastAsia="zh-CN"/>
        </w:rPr>
        <w:t>附件二：</w:t>
      </w:r>
      <w:r>
        <w:rPr>
          <w:rFonts w:hint="eastAsia" w:ascii="仿宋" w:hAnsi="仿宋" w:eastAsia="仿宋" w:cs="仿宋"/>
          <w:color w:val="000000"/>
          <w:sz w:val="28"/>
          <w:szCs w:val="28"/>
          <w:u w:val="none"/>
        </w:rPr>
        <w:t>基本情况表</w:t>
      </w:r>
      <w:r>
        <w:rPr>
          <w:rFonts w:hint="eastAsia" w:ascii="仿宋" w:hAnsi="仿宋" w:eastAsia="仿宋" w:cs="仿宋"/>
          <w:color w:val="000000"/>
          <w:sz w:val="28"/>
          <w:szCs w:val="28"/>
          <w:u w:val="none"/>
          <w:lang w:eastAsia="zh-CN"/>
        </w:rPr>
        <w:t>（</w:t>
      </w:r>
      <w:r>
        <w:rPr>
          <w:rFonts w:hint="eastAsia" w:ascii="仿宋" w:hAnsi="仿宋" w:eastAsia="仿宋" w:cs="仿宋"/>
          <w:color w:val="000000"/>
          <w:sz w:val="28"/>
          <w:szCs w:val="28"/>
          <w:u w:val="none"/>
          <w:lang w:val="en-US" w:eastAsia="zh-CN"/>
        </w:rPr>
        <w:t>含调研函</w:t>
      </w:r>
      <w:r>
        <w:rPr>
          <w:rFonts w:hint="eastAsia" w:ascii="仿宋" w:hAnsi="仿宋" w:eastAsia="仿宋" w:cs="仿宋"/>
          <w:color w:val="000000"/>
          <w:sz w:val="28"/>
          <w:szCs w:val="28"/>
          <w:u w:val="none"/>
          <w:lang w:eastAsia="zh-CN"/>
        </w:rPr>
        <w:t>）</w:t>
      </w:r>
    </w:p>
    <w:p w14:paraId="765C7674">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righ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深圳市渔农实业股份有限公司</w:t>
      </w:r>
    </w:p>
    <w:p w14:paraId="454A13AB">
      <w:pPr>
        <w:widowControl/>
        <w:numPr>
          <w:ilvl w:val="0"/>
          <w:numId w:val="0"/>
        </w:numPr>
        <w:spacing w:line="360" w:lineRule="auto"/>
        <w:ind w:right="0" w:rightChars="0"/>
        <w:jc w:val="right"/>
        <w:rPr>
          <w:rFonts w:hint="eastAsia" w:ascii="仿宋" w:hAnsi="仿宋" w:eastAsia="仿宋" w:cs="仿宋"/>
          <w:b/>
          <w:sz w:val="32"/>
          <w:szCs w:val="32"/>
          <w:highlight w:val="none"/>
        </w:rPr>
      </w:pPr>
      <w:r>
        <w:rPr>
          <w:rFonts w:hint="eastAsia" w:ascii="仿宋" w:hAnsi="仿宋" w:eastAsia="仿宋" w:cs="仿宋"/>
          <w:i w:val="0"/>
          <w:iCs w:val="0"/>
          <w:color w:val="000000"/>
          <w:sz w:val="28"/>
          <w:szCs w:val="28"/>
          <w:u w:val="none"/>
          <w:lang w:val="en-US" w:eastAsia="zh-CN"/>
        </w:rPr>
        <w:t>2025年11月14日</w:t>
      </w:r>
      <w:r>
        <w:rPr>
          <w:rFonts w:hint="eastAsia" w:ascii="仿宋" w:hAnsi="仿宋" w:eastAsia="仿宋" w:cs="仿宋"/>
          <w:b/>
          <w:sz w:val="32"/>
          <w:szCs w:val="32"/>
          <w:highlight w:val="none"/>
        </w:rPr>
        <w:br w:type="page"/>
      </w:r>
    </w:p>
    <w:p w14:paraId="64D70DE6">
      <w:pPr>
        <w:pStyle w:val="10"/>
        <w:ind w:left="0" w:leftChars="0" w:firstLine="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附件一：</w:t>
      </w:r>
    </w:p>
    <w:p w14:paraId="446084CB">
      <w:pPr>
        <w:ind w:right="-239" w:rightChars="-114"/>
        <w:jc w:val="center"/>
        <w:rPr>
          <w:rFonts w:hint="eastAsia" w:ascii="仿宋" w:hAnsi="仿宋" w:eastAsia="仿宋" w:cs="仿宋"/>
          <w:b/>
          <w:sz w:val="28"/>
          <w:szCs w:val="28"/>
        </w:rPr>
      </w:pPr>
      <w:r>
        <w:rPr>
          <w:rFonts w:hint="eastAsia" w:ascii="仿宋" w:hAnsi="仿宋" w:eastAsia="仿宋" w:cs="仿宋"/>
          <w:b/>
          <w:sz w:val="28"/>
          <w:szCs w:val="28"/>
        </w:rPr>
        <w:t xml:space="preserve"> 项目情况简介</w:t>
      </w:r>
    </w:p>
    <w:p w14:paraId="6FE9D22B">
      <w:pPr>
        <w:numPr>
          <w:ilvl w:val="0"/>
          <w:numId w:val="4"/>
        </w:numPr>
        <w:snapToGrid w:val="0"/>
        <w:spacing w:line="360" w:lineRule="auto"/>
        <w:ind w:left="0" w:leftChars="0" w:firstLine="420" w:firstLineChars="0"/>
        <w:jc w:val="left"/>
        <w:rPr>
          <w:rFonts w:hint="eastAsia" w:ascii="仿宋" w:hAnsi="仿宋" w:eastAsia="仿宋" w:cs="仿宋"/>
          <w:b/>
          <w:sz w:val="30"/>
          <w:szCs w:val="30"/>
          <w:highlight w:val="none"/>
        </w:rPr>
      </w:pPr>
      <w:r>
        <w:rPr>
          <w:rFonts w:hint="eastAsia" w:ascii="仿宋" w:hAnsi="仿宋" w:eastAsia="仿宋" w:cs="仿宋"/>
          <w:b/>
          <w:sz w:val="30"/>
          <w:szCs w:val="30"/>
          <w:highlight w:val="none"/>
        </w:rPr>
        <w:t>项目概况</w:t>
      </w:r>
    </w:p>
    <w:p w14:paraId="5CB2713B">
      <w:pPr>
        <w:snapToGrid w:val="0"/>
        <w:spacing w:line="360" w:lineRule="auto"/>
        <w:ind w:firstLine="480" w:firstLineChars="200"/>
        <w:jc w:val="left"/>
        <w:rPr>
          <w:rFonts w:hint="eastAsia" w:ascii="仿宋" w:hAnsi="仿宋" w:eastAsia="仿宋" w:cs="仿宋"/>
          <w:sz w:val="24"/>
          <w:szCs w:val="22"/>
          <w:highlight w:val="none"/>
        </w:rPr>
      </w:pPr>
      <w:r>
        <w:rPr>
          <w:rFonts w:hint="eastAsia" w:ascii="仿宋" w:hAnsi="仿宋" w:eastAsia="仿宋" w:cs="仿宋"/>
          <w:sz w:val="24"/>
          <w:szCs w:val="22"/>
          <w:highlight w:val="none"/>
          <w:lang w:val="en-US" w:eastAsia="zh-CN"/>
        </w:rPr>
        <w:t>梅林</w:t>
      </w:r>
      <w:r>
        <w:rPr>
          <w:rFonts w:hint="eastAsia" w:ascii="仿宋" w:hAnsi="仿宋" w:eastAsia="仿宋" w:cs="仿宋"/>
          <w:sz w:val="24"/>
          <w:szCs w:val="22"/>
          <w:highlight w:val="none"/>
        </w:rPr>
        <w:t>风水山项目用地（</w:t>
      </w:r>
      <w:r>
        <w:rPr>
          <w:rFonts w:hint="eastAsia" w:ascii="仿宋" w:hAnsi="仿宋" w:eastAsia="仿宋" w:cs="仿宋"/>
          <w:sz w:val="24"/>
          <w:szCs w:val="22"/>
          <w:highlight w:val="none"/>
          <w:lang w:val="en-US" w:eastAsia="zh-CN"/>
        </w:rPr>
        <w:t>用</w:t>
      </w:r>
      <w:r>
        <w:rPr>
          <w:rFonts w:hint="eastAsia" w:ascii="仿宋" w:hAnsi="仿宋" w:eastAsia="仿宋" w:cs="仿宋"/>
          <w:sz w:val="24"/>
          <w:szCs w:val="22"/>
          <w:highlight w:val="none"/>
        </w:rPr>
        <w:t>地编号：D97-006）是深圳市福田区城市发展进程中形成的一处重要的历史遗留用地。该地块的渊源可追溯至199</w:t>
      </w:r>
      <w:r>
        <w:rPr>
          <w:rFonts w:hint="eastAsia" w:ascii="仿宋" w:hAnsi="仿宋" w:eastAsia="仿宋" w:cs="仿宋"/>
          <w:sz w:val="24"/>
          <w:szCs w:val="22"/>
          <w:highlight w:val="none"/>
          <w:lang w:val="en-US" w:eastAsia="zh-CN"/>
        </w:rPr>
        <w:t>7</w:t>
      </w:r>
      <w:r>
        <w:rPr>
          <w:rFonts w:hint="eastAsia" w:ascii="仿宋" w:hAnsi="仿宋" w:eastAsia="仿宋" w:cs="仿宋"/>
          <w:sz w:val="24"/>
          <w:szCs w:val="22"/>
          <w:highlight w:val="none"/>
        </w:rPr>
        <w:t>年，因当时福田区政府推进皇岗公园建设需要，依法征用</w:t>
      </w:r>
      <w:r>
        <w:rPr>
          <w:rFonts w:hint="eastAsia" w:ascii="仿宋" w:hAnsi="仿宋" w:eastAsia="仿宋" w:cs="仿宋"/>
          <w:sz w:val="24"/>
          <w:szCs w:val="22"/>
          <w:highlight w:val="none"/>
          <w:lang w:val="en-US" w:eastAsia="zh-CN"/>
        </w:rPr>
        <w:t>委托人</w:t>
      </w:r>
      <w:r>
        <w:rPr>
          <w:rFonts w:hint="eastAsia" w:ascii="仿宋" w:hAnsi="仿宋" w:eastAsia="仿宋" w:cs="仿宋"/>
          <w:sz w:val="24"/>
          <w:szCs w:val="22"/>
          <w:highlight w:val="none"/>
        </w:rPr>
        <w:t>原所属土地。为妥善解决征地带来的民</w:t>
      </w:r>
      <w:r>
        <w:rPr>
          <w:rFonts w:hint="eastAsia" w:ascii="仿宋" w:hAnsi="仿宋" w:eastAsia="仿宋" w:cs="仿宋"/>
          <w:sz w:val="24"/>
          <w:szCs w:val="22"/>
          <w:highlight w:val="none"/>
          <w:lang w:val="en-US" w:eastAsia="zh-CN"/>
        </w:rPr>
        <w:t>政用地</w:t>
      </w:r>
      <w:r>
        <w:rPr>
          <w:rFonts w:hint="eastAsia" w:ascii="仿宋" w:hAnsi="仿宋" w:eastAsia="仿宋" w:cs="仿宋"/>
          <w:sz w:val="24"/>
          <w:szCs w:val="22"/>
          <w:highlight w:val="none"/>
        </w:rPr>
        <w:t>问题，政府遵循当时政策，将项目地块补偿给</w:t>
      </w:r>
      <w:r>
        <w:rPr>
          <w:rFonts w:hint="eastAsia" w:ascii="仿宋" w:hAnsi="仿宋" w:eastAsia="仿宋" w:cs="仿宋"/>
          <w:sz w:val="24"/>
          <w:szCs w:val="22"/>
          <w:highlight w:val="none"/>
          <w:lang w:val="en-US" w:eastAsia="zh-CN"/>
        </w:rPr>
        <w:t>委托人</w:t>
      </w:r>
      <w:r>
        <w:rPr>
          <w:rFonts w:hint="eastAsia" w:ascii="仿宋" w:hAnsi="仿宋" w:eastAsia="仿宋" w:cs="仿宋"/>
          <w:sz w:val="24"/>
          <w:szCs w:val="22"/>
          <w:highlight w:val="none"/>
        </w:rPr>
        <w:t>，主要用于解决村属坟场搬迁及相关民生需求。</w:t>
      </w:r>
    </w:p>
    <w:p w14:paraId="615724BD">
      <w:pPr>
        <w:snapToGrid w:val="0"/>
        <w:spacing w:line="360" w:lineRule="auto"/>
        <w:ind w:firstLine="480" w:firstLineChars="200"/>
        <w:jc w:val="left"/>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rPr>
        <w:t>历经近三十年的城市变迁，该地块现状已发生显著变化。目前，该地块的土地管理性质登记为行政划拨用地，土地用途明确为"打石岭坟场搬迁"。地块整体处于空置状态，地表植被以自然生长的林木为主，不存在永久性或临时性的建筑物、构筑物及其他附属设施。然而，该地块的开发利用受到多重规划限制的制约。根据《深圳市土地利用总体规划（2006-2020年）》，地块大部分区域被划入限制建设区；同时，</w:t>
      </w:r>
      <w:r>
        <w:rPr>
          <w:rFonts w:hint="eastAsia" w:ascii="仿宋" w:hAnsi="仿宋" w:eastAsia="仿宋" w:cs="仿宋"/>
          <w:sz w:val="24"/>
          <w:szCs w:val="22"/>
          <w:highlight w:val="none"/>
          <w:lang w:val="en-US" w:eastAsia="zh-CN"/>
        </w:rPr>
        <w:t>依据</w:t>
      </w:r>
      <w:r>
        <w:rPr>
          <w:rFonts w:hint="eastAsia" w:ascii="仿宋" w:hAnsi="仿宋" w:eastAsia="仿宋" w:cs="仿宋"/>
          <w:sz w:val="24"/>
          <w:szCs w:val="22"/>
          <w:highlight w:val="none"/>
        </w:rPr>
        <w:t>《深圳市城市总体规划（2010-2020）》，其又位于严格保护的生态控制线范围内。此外，项目所在区域至今尚未被法定图则所覆盖，亦未被纳入新一轮国土空间规划的城镇开发边界。这些复杂的规划条件相互交织，构成了该项目独特的历史遗留问题核心，导致土地资源长期闲置，资产价值无法有效释放</w:t>
      </w:r>
      <w:r>
        <w:rPr>
          <w:rFonts w:hint="eastAsia" w:ascii="仿宋" w:hAnsi="仿宋" w:eastAsia="仿宋" w:cs="仿宋"/>
          <w:sz w:val="24"/>
          <w:szCs w:val="22"/>
          <w:highlight w:val="none"/>
          <w:lang w:eastAsia="zh-CN"/>
        </w:rPr>
        <w:t>。</w:t>
      </w:r>
    </w:p>
    <w:p w14:paraId="7E469BFB">
      <w:pPr>
        <w:numPr>
          <w:ilvl w:val="0"/>
          <w:numId w:val="4"/>
        </w:numPr>
        <w:snapToGrid w:val="0"/>
        <w:spacing w:line="360" w:lineRule="auto"/>
        <w:ind w:left="0" w:leftChars="0" w:firstLine="420" w:firstLineChars="0"/>
        <w:jc w:val="left"/>
        <w:rPr>
          <w:rFonts w:hint="eastAsia" w:ascii="仿宋" w:hAnsi="仿宋" w:eastAsia="仿宋" w:cs="仿宋"/>
          <w:b/>
          <w:sz w:val="30"/>
          <w:szCs w:val="30"/>
          <w:highlight w:val="none"/>
        </w:rPr>
      </w:pPr>
      <w:r>
        <w:rPr>
          <w:rFonts w:hint="eastAsia" w:ascii="仿宋" w:hAnsi="仿宋" w:eastAsia="仿宋" w:cs="仿宋"/>
          <w:b/>
          <w:sz w:val="30"/>
          <w:szCs w:val="30"/>
          <w:highlight w:val="none"/>
          <w:lang w:val="en-US" w:eastAsia="zh-CN"/>
        </w:rPr>
        <w:t>服务主要工作内容</w:t>
      </w:r>
    </w:p>
    <w:p w14:paraId="5BE9E4B9">
      <w:pPr>
        <w:snapToGrid w:val="0"/>
        <w:spacing w:line="360" w:lineRule="auto"/>
        <w:ind w:firstLine="480" w:firstLineChars="200"/>
        <w:jc w:val="left"/>
        <w:rPr>
          <w:rFonts w:hint="eastAsia" w:ascii="仿宋" w:hAnsi="仿宋" w:eastAsia="仿宋" w:cs="仿宋"/>
          <w:sz w:val="24"/>
          <w:szCs w:val="22"/>
          <w:lang w:eastAsia="zh-CN"/>
        </w:rPr>
      </w:pPr>
      <w:r>
        <w:rPr>
          <w:rFonts w:hint="eastAsia" w:ascii="仿宋" w:hAnsi="仿宋" w:eastAsia="仿宋" w:cs="仿宋"/>
          <w:sz w:val="24"/>
          <w:szCs w:val="22"/>
          <w:lang w:eastAsia="zh-CN"/>
        </w:rPr>
        <w:t>包括但不限于：</w:t>
      </w:r>
    </w:p>
    <w:p w14:paraId="4BE0785F">
      <w:pPr>
        <w:snapToGrid w:val="0"/>
        <w:spacing w:line="360" w:lineRule="auto"/>
        <w:ind w:firstLine="480" w:firstLineChars="200"/>
        <w:jc w:val="left"/>
        <w:rPr>
          <w:rFonts w:hint="eastAsia" w:ascii="仿宋" w:hAnsi="仿宋" w:eastAsia="仿宋" w:cs="仿宋"/>
          <w:sz w:val="24"/>
          <w:szCs w:val="22"/>
          <w:lang w:eastAsia="zh-CN"/>
        </w:rPr>
      </w:pPr>
      <w:r>
        <w:rPr>
          <w:rFonts w:hint="eastAsia" w:ascii="仿宋" w:hAnsi="仿宋" w:eastAsia="仿宋" w:cs="仿宋"/>
          <w:sz w:val="24"/>
          <w:szCs w:val="22"/>
          <w:lang w:val="en-US" w:eastAsia="zh-CN"/>
        </w:rPr>
        <w:t>1、</w:t>
      </w:r>
      <w:r>
        <w:rPr>
          <w:rFonts w:hint="eastAsia" w:ascii="仿宋" w:hAnsi="仿宋" w:eastAsia="仿宋" w:cs="仿宋"/>
          <w:sz w:val="24"/>
          <w:szCs w:val="22"/>
          <w:lang w:eastAsia="zh-CN"/>
        </w:rPr>
        <w:t xml:space="preserve">对项目范围内的土地权属信息进行梳理，并根据具体情况对本项目的历史遗留解决模式以及确认、开发模式进行研究；与政府部门沟通项目土地确权、规划调整以及开发的相关事宜。  </w:t>
      </w:r>
    </w:p>
    <w:p w14:paraId="67243B57">
      <w:pPr>
        <w:snapToGrid w:val="0"/>
        <w:spacing w:line="360" w:lineRule="auto"/>
        <w:ind w:firstLine="480" w:firstLineChars="200"/>
        <w:jc w:val="left"/>
        <w:rPr>
          <w:rFonts w:hint="eastAsia" w:ascii="仿宋" w:hAnsi="仿宋" w:eastAsia="仿宋" w:cs="仿宋"/>
          <w:sz w:val="24"/>
          <w:szCs w:val="22"/>
          <w:lang w:eastAsia="zh-CN"/>
        </w:rPr>
      </w:pPr>
      <w:r>
        <w:rPr>
          <w:rFonts w:hint="eastAsia" w:ascii="仿宋" w:hAnsi="仿宋" w:eastAsia="仿宋" w:cs="仿宋"/>
          <w:sz w:val="24"/>
          <w:szCs w:val="22"/>
          <w:lang w:eastAsia="zh-CN"/>
        </w:rPr>
        <w:t>2、历史遗留问题解决并完成确认后，向国土规划部门申请对项目地块的规划进行调整。包括但不限于代为准备、提交所需资料；代为聘请第三方进行规划设计；代为与政府主管部门沟通协调；以及在此过程中配合业主完成其他工作。</w:t>
      </w:r>
    </w:p>
    <w:p w14:paraId="0F3336B3">
      <w:pPr>
        <w:snapToGrid w:val="0"/>
        <w:spacing w:line="360" w:lineRule="auto"/>
        <w:ind w:firstLine="480" w:firstLineChars="200"/>
        <w:jc w:val="left"/>
        <w:rPr>
          <w:rFonts w:hint="eastAsia" w:ascii="仿宋" w:hAnsi="仿宋" w:eastAsia="仿宋" w:cs="仿宋"/>
          <w:sz w:val="24"/>
          <w:szCs w:val="22"/>
          <w:lang w:eastAsia="zh-CN"/>
        </w:rPr>
      </w:pPr>
      <w:r>
        <w:rPr>
          <w:rFonts w:hint="eastAsia" w:ascii="仿宋" w:hAnsi="仿宋" w:eastAsia="仿宋" w:cs="仿宋"/>
          <w:sz w:val="24"/>
          <w:szCs w:val="22"/>
          <w:lang w:eastAsia="zh-CN"/>
        </w:rPr>
        <w:t>3、待本项目用地取得建设用地规划许可证后，在</w:t>
      </w:r>
      <w:r>
        <w:rPr>
          <w:rFonts w:hint="eastAsia" w:ascii="仿宋" w:hAnsi="仿宋" w:eastAsia="仿宋" w:cs="仿宋"/>
          <w:sz w:val="24"/>
          <w:szCs w:val="22"/>
          <w:lang w:val="en-US" w:eastAsia="zh-CN"/>
        </w:rPr>
        <w:t>委托方</w:t>
      </w:r>
      <w:r>
        <w:rPr>
          <w:rFonts w:hint="eastAsia" w:ascii="仿宋" w:hAnsi="仿宋" w:eastAsia="仿宋" w:cs="仿宋"/>
          <w:sz w:val="24"/>
          <w:szCs w:val="22"/>
          <w:lang w:eastAsia="zh-CN"/>
        </w:rPr>
        <w:t>需通过平台公开确定项目地块合作开发方的过程中，协助</w:t>
      </w:r>
      <w:r>
        <w:rPr>
          <w:rFonts w:hint="eastAsia" w:ascii="仿宋" w:hAnsi="仿宋" w:eastAsia="仿宋" w:cs="仿宋"/>
          <w:sz w:val="24"/>
          <w:szCs w:val="22"/>
          <w:lang w:val="en-US" w:eastAsia="zh-CN"/>
        </w:rPr>
        <w:t>委托方</w:t>
      </w:r>
      <w:r>
        <w:rPr>
          <w:rFonts w:hint="eastAsia" w:ascii="仿宋" w:hAnsi="仿宋" w:eastAsia="仿宋" w:cs="仿宋"/>
          <w:sz w:val="24"/>
          <w:szCs w:val="22"/>
          <w:lang w:eastAsia="zh-CN"/>
        </w:rPr>
        <w:t>准备有关资料等。</w:t>
      </w:r>
    </w:p>
    <w:p w14:paraId="3D7983D9">
      <w:pPr>
        <w:snapToGrid w:val="0"/>
        <w:spacing w:line="360" w:lineRule="auto"/>
        <w:ind w:firstLine="480" w:firstLineChars="200"/>
        <w:jc w:val="left"/>
        <w:rPr>
          <w:rFonts w:hint="eastAsia" w:ascii="仿宋" w:hAnsi="仿宋" w:eastAsia="仿宋" w:cs="仿宋"/>
          <w:sz w:val="24"/>
          <w:szCs w:val="22"/>
          <w:lang w:eastAsia="zh-CN"/>
        </w:rPr>
      </w:pPr>
      <w:r>
        <w:rPr>
          <w:rFonts w:hint="eastAsia" w:ascii="仿宋" w:hAnsi="仿宋" w:eastAsia="仿宋" w:cs="仿宋"/>
          <w:sz w:val="24"/>
          <w:szCs w:val="22"/>
          <w:lang w:eastAsia="zh-CN"/>
        </w:rPr>
        <w:t>4、其他具体服务事项，由</w:t>
      </w:r>
      <w:r>
        <w:rPr>
          <w:rFonts w:hint="eastAsia" w:ascii="仿宋" w:hAnsi="仿宋" w:eastAsia="仿宋" w:cs="仿宋"/>
          <w:sz w:val="24"/>
          <w:szCs w:val="22"/>
          <w:lang w:val="en-US" w:eastAsia="zh-CN"/>
        </w:rPr>
        <w:t>委托方</w:t>
      </w:r>
      <w:r>
        <w:rPr>
          <w:rFonts w:hint="eastAsia" w:ascii="仿宋" w:hAnsi="仿宋" w:eastAsia="仿宋" w:cs="仿宋"/>
          <w:sz w:val="24"/>
          <w:szCs w:val="22"/>
          <w:lang w:eastAsia="zh-CN"/>
        </w:rPr>
        <w:t>与通过交易平台公开选择确认的服务商签署协议确定。</w:t>
      </w:r>
    </w:p>
    <w:p w14:paraId="385617ED">
      <w:pPr>
        <w:rPr>
          <w:rFonts w:hint="eastAsia" w:ascii="仿宋" w:hAnsi="仿宋" w:eastAsia="仿宋" w:cs="仿宋"/>
          <w:highlight w:val="none"/>
          <w:lang w:val="en-US" w:eastAsia="zh-CN"/>
        </w:rPr>
      </w:pPr>
      <w:r>
        <w:rPr>
          <w:rFonts w:hint="eastAsia" w:ascii="仿宋" w:hAnsi="仿宋" w:eastAsia="仿宋" w:cs="仿宋"/>
          <w:highlight w:val="none"/>
          <w:lang w:val="en-US" w:eastAsia="zh-CN"/>
        </w:rPr>
        <w:br w:type="page"/>
      </w:r>
    </w:p>
    <w:p w14:paraId="4BCCF33C">
      <w:pPr>
        <w:pStyle w:val="10"/>
        <w:ind w:left="0" w:leftChars="0" w:firstLine="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附件二：</w:t>
      </w:r>
    </w:p>
    <w:p w14:paraId="5FC547E5">
      <w:pPr>
        <w:jc w:val="center"/>
        <w:rPr>
          <w:rFonts w:hint="eastAsia" w:ascii="仿宋" w:hAnsi="仿宋" w:eastAsia="仿宋" w:cs="仿宋"/>
          <w:b/>
          <w:sz w:val="28"/>
          <w:szCs w:val="28"/>
        </w:rPr>
      </w:pPr>
      <w:r>
        <w:rPr>
          <w:rFonts w:hint="eastAsia" w:ascii="仿宋" w:hAnsi="仿宋" w:eastAsia="仿宋" w:cs="仿宋"/>
          <w:b/>
          <w:sz w:val="28"/>
          <w:szCs w:val="28"/>
          <w:lang w:val="en-US" w:eastAsia="zh-CN"/>
        </w:rPr>
        <w:t>供应商</w:t>
      </w:r>
      <w:r>
        <w:rPr>
          <w:rFonts w:hint="eastAsia" w:ascii="仿宋" w:hAnsi="仿宋" w:eastAsia="仿宋" w:cs="仿宋"/>
          <w:b/>
          <w:sz w:val="28"/>
          <w:szCs w:val="28"/>
        </w:rPr>
        <w:t>基本情况表</w:t>
      </w:r>
    </w:p>
    <w:tbl>
      <w:tblPr>
        <w:tblStyle w:val="7"/>
        <w:tblW w:w="8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899"/>
        <w:gridCol w:w="2503"/>
        <w:gridCol w:w="2078"/>
      </w:tblGrid>
      <w:tr w14:paraId="74CF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2410" w:type="dxa"/>
            <w:vAlign w:val="center"/>
          </w:tcPr>
          <w:p w14:paraId="4E6BD88C">
            <w:pPr>
              <w:ind w:firstLine="0"/>
              <w:jc w:val="center"/>
              <w:rPr>
                <w:rFonts w:hint="eastAsia" w:ascii="仿宋" w:hAnsi="仿宋" w:eastAsia="仿宋" w:cs="仿宋"/>
                <w:sz w:val="24"/>
                <w:szCs w:val="24"/>
              </w:rPr>
            </w:pPr>
            <w:r>
              <w:rPr>
                <w:rFonts w:hint="eastAsia" w:ascii="仿宋" w:hAnsi="仿宋" w:eastAsia="仿宋" w:cs="仿宋"/>
                <w:sz w:val="24"/>
                <w:szCs w:val="24"/>
              </w:rPr>
              <w:t>企业全称</w:t>
            </w:r>
          </w:p>
        </w:tc>
        <w:tc>
          <w:tcPr>
            <w:tcW w:w="6480" w:type="dxa"/>
            <w:gridSpan w:val="3"/>
            <w:vAlign w:val="center"/>
          </w:tcPr>
          <w:p w14:paraId="148006E0">
            <w:pPr>
              <w:rPr>
                <w:rFonts w:hint="eastAsia" w:ascii="仿宋" w:hAnsi="仿宋" w:eastAsia="仿宋" w:cs="仿宋"/>
                <w:sz w:val="24"/>
                <w:szCs w:val="24"/>
              </w:rPr>
            </w:pPr>
          </w:p>
        </w:tc>
      </w:tr>
      <w:tr w14:paraId="3CA0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2410" w:type="dxa"/>
            <w:vAlign w:val="center"/>
          </w:tcPr>
          <w:p w14:paraId="1A24263D">
            <w:pPr>
              <w:jc w:val="center"/>
              <w:rPr>
                <w:rFonts w:hint="eastAsia" w:ascii="仿宋" w:hAnsi="仿宋" w:eastAsia="仿宋" w:cs="仿宋"/>
                <w:sz w:val="24"/>
                <w:szCs w:val="24"/>
              </w:rPr>
            </w:pPr>
            <w:r>
              <w:rPr>
                <w:rFonts w:hint="eastAsia" w:ascii="仿宋" w:hAnsi="仿宋" w:eastAsia="仿宋" w:cs="仿宋"/>
                <w:sz w:val="24"/>
                <w:szCs w:val="24"/>
              </w:rPr>
              <w:t>行业资质</w:t>
            </w:r>
          </w:p>
        </w:tc>
        <w:tc>
          <w:tcPr>
            <w:tcW w:w="6480" w:type="dxa"/>
            <w:gridSpan w:val="3"/>
            <w:vAlign w:val="center"/>
          </w:tcPr>
          <w:p w14:paraId="7B4D12F1">
            <w:pPr>
              <w:tabs>
                <w:tab w:val="left" w:pos="1331"/>
              </w:tabs>
              <w:spacing w:line="360" w:lineRule="auto"/>
              <w:rPr>
                <w:rFonts w:hint="eastAsia" w:ascii="仿宋" w:hAnsi="仿宋" w:eastAsia="仿宋" w:cs="仿宋"/>
                <w:sz w:val="24"/>
                <w:szCs w:val="24"/>
              </w:rPr>
            </w:pPr>
          </w:p>
        </w:tc>
      </w:tr>
      <w:tr w14:paraId="6C46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2410" w:type="dxa"/>
            <w:vAlign w:val="center"/>
          </w:tcPr>
          <w:p w14:paraId="58429B0F">
            <w:pPr>
              <w:jc w:val="center"/>
              <w:rPr>
                <w:rFonts w:hint="eastAsia" w:ascii="仿宋" w:hAnsi="仿宋" w:eastAsia="仿宋" w:cs="仿宋"/>
                <w:sz w:val="24"/>
                <w:szCs w:val="24"/>
              </w:rPr>
            </w:pPr>
            <w:r>
              <w:rPr>
                <w:rFonts w:hint="eastAsia" w:ascii="仿宋" w:hAnsi="仿宋" w:eastAsia="仿宋" w:cs="仿宋"/>
                <w:sz w:val="24"/>
                <w:szCs w:val="24"/>
              </w:rPr>
              <w:t>企业注册资金</w:t>
            </w:r>
          </w:p>
        </w:tc>
        <w:tc>
          <w:tcPr>
            <w:tcW w:w="1899" w:type="dxa"/>
            <w:vAlign w:val="center"/>
          </w:tcPr>
          <w:p w14:paraId="36B59A22">
            <w:pPr>
              <w:jc w:val="center"/>
              <w:rPr>
                <w:rFonts w:hint="eastAsia" w:ascii="仿宋" w:hAnsi="仿宋" w:eastAsia="仿宋" w:cs="仿宋"/>
                <w:sz w:val="24"/>
                <w:szCs w:val="24"/>
              </w:rPr>
            </w:pPr>
          </w:p>
        </w:tc>
        <w:tc>
          <w:tcPr>
            <w:tcW w:w="2503" w:type="dxa"/>
            <w:vAlign w:val="center"/>
          </w:tcPr>
          <w:p w14:paraId="004CE1CB">
            <w:pPr>
              <w:jc w:val="center"/>
              <w:rPr>
                <w:rFonts w:hint="eastAsia" w:ascii="仿宋" w:hAnsi="仿宋" w:eastAsia="仿宋" w:cs="仿宋"/>
                <w:sz w:val="24"/>
                <w:szCs w:val="24"/>
              </w:rPr>
            </w:pPr>
            <w:r>
              <w:rPr>
                <w:rFonts w:hint="eastAsia" w:ascii="仿宋" w:hAnsi="仿宋" w:eastAsia="仿宋" w:cs="仿宋"/>
                <w:sz w:val="24"/>
                <w:szCs w:val="24"/>
              </w:rPr>
              <w:t>企业注册地</w:t>
            </w:r>
          </w:p>
        </w:tc>
        <w:tc>
          <w:tcPr>
            <w:tcW w:w="2078" w:type="dxa"/>
            <w:vAlign w:val="center"/>
          </w:tcPr>
          <w:p w14:paraId="0FD0BE0E">
            <w:pPr>
              <w:rPr>
                <w:rFonts w:hint="eastAsia" w:ascii="仿宋" w:hAnsi="仿宋" w:eastAsia="仿宋" w:cs="仿宋"/>
                <w:sz w:val="24"/>
                <w:szCs w:val="24"/>
              </w:rPr>
            </w:pPr>
          </w:p>
        </w:tc>
      </w:tr>
      <w:tr w14:paraId="7BA9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2410" w:type="dxa"/>
            <w:vAlign w:val="center"/>
          </w:tcPr>
          <w:p w14:paraId="27666680">
            <w:pPr>
              <w:jc w:val="center"/>
              <w:rPr>
                <w:rFonts w:hint="eastAsia" w:ascii="仿宋" w:hAnsi="仿宋" w:eastAsia="仿宋" w:cs="仿宋"/>
                <w:sz w:val="24"/>
                <w:szCs w:val="24"/>
              </w:rPr>
            </w:pPr>
            <w:r>
              <w:rPr>
                <w:rFonts w:hint="eastAsia" w:ascii="仿宋" w:hAnsi="仿宋" w:eastAsia="仿宋" w:cs="仿宋"/>
                <w:sz w:val="24"/>
                <w:szCs w:val="24"/>
              </w:rPr>
              <w:t>企业主营业务</w:t>
            </w:r>
          </w:p>
        </w:tc>
        <w:tc>
          <w:tcPr>
            <w:tcW w:w="6480" w:type="dxa"/>
            <w:gridSpan w:val="3"/>
            <w:vAlign w:val="center"/>
          </w:tcPr>
          <w:p w14:paraId="246F60FB">
            <w:pPr>
              <w:rPr>
                <w:rFonts w:hint="eastAsia" w:ascii="仿宋" w:hAnsi="仿宋" w:eastAsia="仿宋" w:cs="仿宋"/>
                <w:sz w:val="24"/>
                <w:szCs w:val="24"/>
              </w:rPr>
            </w:pPr>
          </w:p>
        </w:tc>
      </w:tr>
      <w:tr w14:paraId="0B82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2410" w:type="dxa"/>
            <w:vAlign w:val="center"/>
          </w:tcPr>
          <w:p w14:paraId="18C016C5">
            <w:pPr>
              <w:jc w:val="center"/>
              <w:rPr>
                <w:rFonts w:hint="eastAsia" w:ascii="仿宋" w:hAnsi="仿宋" w:eastAsia="仿宋" w:cs="仿宋"/>
                <w:sz w:val="24"/>
                <w:szCs w:val="24"/>
              </w:rPr>
            </w:pPr>
            <w:r>
              <w:rPr>
                <w:rFonts w:hint="eastAsia" w:ascii="仿宋" w:hAnsi="仿宋" w:eastAsia="仿宋" w:cs="仿宋"/>
                <w:sz w:val="24"/>
                <w:szCs w:val="24"/>
              </w:rPr>
              <w:t>大陆地区</w:t>
            </w:r>
          </w:p>
          <w:p w14:paraId="40C28619">
            <w:pPr>
              <w:jc w:val="center"/>
              <w:rPr>
                <w:rFonts w:hint="eastAsia" w:ascii="仿宋" w:hAnsi="仿宋" w:eastAsia="仿宋" w:cs="仿宋"/>
                <w:sz w:val="24"/>
                <w:szCs w:val="24"/>
              </w:rPr>
            </w:pPr>
            <w:r>
              <w:rPr>
                <w:rFonts w:hint="eastAsia" w:ascii="仿宋" w:hAnsi="仿宋" w:eastAsia="仿宋" w:cs="仿宋"/>
                <w:sz w:val="24"/>
                <w:szCs w:val="24"/>
              </w:rPr>
              <w:t>办事机构</w:t>
            </w:r>
          </w:p>
        </w:tc>
        <w:tc>
          <w:tcPr>
            <w:tcW w:w="6480" w:type="dxa"/>
            <w:gridSpan w:val="3"/>
            <w:vAlign w:val="center"/>
          </w:tcPr>
          <w:p w14:paraId="0B1BF146">
            <w:pPr>
              <w:rPr>
                <w:rFonts w:hint="eastAsia" w:ascii="仿宋" w:hAnsi="仿宋" w:eastAsia="仿宋" w:cs="仿宋"/>
                <w:sz w:val="24"/>
                <w:szCs w:val="24"/>
              </w:rPr>
            </w:pPr>
          </w:p>
        </w:tc>
      </w:tr>
      <w:tr w14:paraId="5304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2410" w:type="dxa"/>
            <w:vAlign w:val="center"/>
          </w:tcPr>
          <w:p w14:paraId="1A30689F">
            <w:pPr>
              <w:ind w:firstLine="0"/>
              <w:jc w:val="center"/>
              <w:rPr>
                <w:rFonts w:hint="eastAsia" w:ascii="仿宋" w:hAnsi="仿宋" w:eastAsia="仿宋" w:cs="仿宋"/>
                <w:sz w:val="24"/>
                <w:szCs w:val="24"/>
              </w:rPr>
            </w:pPr>
            <w:r>
              <w:rPr>
                <w:rFonts w:hint="eastAsia" w:ascii="仿宋" w:hAnsi="仿宋" w:eastAsia="仿宋" w:cs="仿宋"/>
                <w:sz w:val="24"/>
                <w:szCs w:val="24"/>
              </w:rPr>
              <w:t>项目名称</w:t>
            </w:r>
          </w:p>
        </w:tc>
        <w:tc>
          <w:tcPr>
            <w:tcW w:w="6480" w:type="dxa"/>
            <w:gridSpan w:val="3"/>
            <w:vAlign w:val="center"/>
          </w:tcPr>
          <w:p w14:paraId="53F71E97">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梅林风水山项目土地</w:t>
            </w:r>
            <w:r>
              <w:rPr>
                <w:rFonts w:hint="eastAsia" w:ascii="仿宋" w:hAnsi="仿宋" w:eastAsia="仿宋" w:cs="仿宋"/>
                <w:sz w:val="24"/>
                <w:szCs w:val="24"/>
                <w:lang w:val="en-US" w:eastAsia="zh-CN"/>
              </w:rPr>
              <w:t>用地性质</w:t>
            </w:r>
            <w:r>
              <w:rPr>
                <w:rFonts w:hint="eastAsia" w:ascii="仿宋" w:hAnsi="仿宋" w:eastAsia="仿宋" w:cs="仿宋"/>
                <w:sz w:val="24"/>
                <w:szCs w:val="24"/>
                <w:lang w:eastAsia="zh-CN"/>
              </w:rPr>
              <w:t>调整服务</w:t>
            </w:r>
          </w:p>
        </w:tc>
      </w:tr>
      <w:tr w14:paraId="7404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2410" w:type="dxa"/>
            <w:vAlign w:val="center"/>
          </w:tcPr>
          <w:p w14:paraId="27604A1F">
            <w:pPr>
              <w:jc w:val="center"/>
              <w:rPr>
                <w:rFonts w:hint="eastAsia" w:ascii="仿宋" w:hAnsi="仿宋" w:eastAsia="仿宋" w:cs="仿宋"/>
                <w:sz w:val="24"/>
                <w:szCs w:val="24"/>
                <w:lang w:eastAsia="zh-CN"/>
              </w:rPr>
            </w:pPr>
            <w:r>
              <w:rPr>
                <w:rFonts w:hint="eastAsia" w:ascii="仿宋" w:hAnsi="仿宋" w:eastAsia="仿宋" w:cs="仿宋"/>
                <w:sz w:val="24"/>
                <w:szCs w:val="24"/>
              </w:rPr>
              <w:t>是否有同类项目经验</w:t>
            </w:r>
          </w:p>
        </w:tc>
        <w:tc>
          <w:tcPr>
            <w:tcW w:w="6480" w:type="dxa"/>
            <w:gridSpan w:val="3"/>
            <w:vAlign w:val="center"/>
          </w:tcPr>
          <w:p w14:paraId="36661C50">
            <w:pPr>
              <w:rPr>
                <w:rFonts w:hint="eastAsia" w:ascii="仿宋" w:hAnsi="仿宋" w:eastAsia="仿宋" w:cs="仿宋"/>
                <w:sz w:val="24"/>
                <w:szCs w:val="24"/>
              </w:rPr>
            </w:pPr>
          </w:p>
        </w:tc>
      </w:tr>
      <w:tr w14:paraId="0BBE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jc w:val="center"/>
        </w:trPr>
        <w:tc>
          <w:tcPr>
            <w:tcW w:w="2410" w:type="dxa"/>
            <w:vAlign w:val="center"/>
          </w:tcPr>
          <w:p w14:paraId="0D52F17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本项目报价总价及报价构成</w:t>
            </w:r>
          </w:p>
          <w:p w14:paraId="1BD63AB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（格式供参考，亦可按自身实际修改格式填报）</w:t>
            </w:r>
          </w:p>
        </w:tc>
        <w:tc>
          <w:tcPr>
            <w:tcW w:w="6480" w:type="dxa"/>
            <w:gridSpan w:val="3"/>
            <w:vAlign w:val="center"/>
          </w:tcPr>
          <w:tbl>
            <w:tblPr>
              <w:tblStyle w:val="7"/>
              <w:tblpPr w:leftFromText="180" w:rightFromText="180" w:vertAnchor="text" w:horzAnchor="page" w:tblpX="217" w:tblpY="-424"/>
              <w:tblOverlap w:val="never"/>
              <w:tblW w:w="60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8"/>
              <w:gridCol w:w="1553"/>
              <w:gridCol w:w="745"/>
              <w:gridCol w:w="828"/>
              <w:gridCol w:w="955"/>
              <w:gridCol w:w="1185"/>
            </w:tblGrid>
            <w:tr w14:paraId="2079F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000000" w:sz="4" w:space="0"/>
                    <w:left w:val="single" w:color="000000" w:sz="4" w:space="0"/>
                    <w:bottom w:val="single" w:color="000000" w:sz="4" w:space="0"/>
                    <w:right w:val="single" w:color="000000" w:sz="4" w:space="0"/>
                  </w:tcBorders>
                  <w:noWrap/>
                  <w:vAlign w:val="center"/>
                </w:tcPr>
                <w:p w14:paraId="0B684DEC">
                  <w:pPr>
                    <w:keepNext w:val="0"/>
                    <w:keepLines w:val="0"/>
                    <w:widowControl/>
                    <w:suppressLineNumbers w:val="0"/>
                    <w:ind w:firstLine="0" w:firstLineChars="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序号</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806A54B">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项目名称</w:t>
                  </w:r>
                </w:p>
              </w:tc>
              <w:tc>
                <w:tcPr>
                  <w:tcW w:w="745" w:type="dxa"/>
                  <w:tcBorders>
                    <w:top w:val="single" w:color="000000" w:sz="4" w:space="0"/>
                    <w:left w:val="single" w:color="000000" w:sz="4" w:space="0"/>
                    <w:bottom w:val="single" w:color="000000" w:sz="4" w:space="0"/>
                    <w:right w:val="single" w:color="000000" w:sz="4" w:space="0"/>
                  </w:tcBorders>
                  <w:noWrap/>
                  <w:vAlign w:val="center"/>
                </w:tcPr>
                <w:p w14:paraId="0BC03536">
                  <w:pPr>
                    <w:keepNext w:val="0"/>
                    <w:keepLines w:val="0"/>
                    <w:widowControl/>
                    <w:suppressLineNumbers w:val="0"/>
                    <w:ind w:firstLine="0" w:firstLineChars="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数量</w:t>
                  </w:r>
                </w:p>
              </w:tc>
              <w:tc>
                <w:tcPr>
                  <w:tcW w:w="828" w:type="dxa"/>
                  <w:tcBorders>
                    <w:top w:val="single" w:color="000000" w:sz="4" w:space="0"/>
                    <w:left w:val="single" w:color="000000" w:sz="4" w:space="0"/>
                    <w:bottom w:val="single" w:color="000000" w:sz="4" w:space="0"/>
                    <w:right w:val="single" w:color="000000" w:sz="4" w:space="0"/>
                  </w:tcBorders>
                  <w:noWrap/>
                  <w:vAlign w:val="center"/>
                </w:tcPr>
                <w:p w14:paraId="2FAE0960">
                  <w:pPr>
                    <w:keepNext w:val="0"/>
                    <w:keepLines w:val="0"/>
                    <w:widowControl/>
                    <w:suppressLineNumbers w:val="0"/>
                    <w:ind w:firstLine="0" w:firstLineChars="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单位</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0DCBBDB9">
                  <w:pPr>
                    <w:keepNext w:val="0"/>
                    <w:keepLines w:val="0"/>
                    <w:widowControl/>
                    <w:suppressLineNumbers w:val="0"/>
                    <w:ind w:firstLine="0" w:firstLineChars="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单价（元）</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E997A1B">
                  <w:pPr>
                    <w:keepNext w:val="0"/>
                    <w:keepLines w:val="0"/>
                    <w:widowControl/>
                    <w:suppressLineNumbers w:val="0"/>
                    <w:ind w:firstLine="0" w:firstLineChars="0"/>
                    <w:jc w:val="center"/>
                    <w:textAlignment w:val="center"/>
                    <w:rPr>
                      <w:rFonts w:hint="eastAsia" w:ascii="仿宋" w:hAnsi="仿宋" w:eastAsia="仿宋" w:cs="仿宋"/>
                      <w:b/>
                      <w:bCs/>
                      <w:sz w:val="18"/>
                      <w:szCs w:val="21"/>
                      <w:highlight w:val="none"/>
                      <w:lang w:eastAsia="zh-CN"/>
                    </w:rPr>
                  </w:pPr>
                  <w:r>
                    <w:rPr>
                      <w:rFonts w:hint="eastAsia" w:ascii="仿宋" w:hAnsi="仿宋" w:eastAsia="仿宋" w:cs="仿宋"/>
                      <w:b/>
                      <w:bCs/>
                      <w:i w:val="0"/>
                      <w:iCs w:val="0"/>
                      <w:color w:val="000000"/>
                      <w:kern w:val="0"/>
                      <w:sz w:val="20"/>
                      <w:szCs w:val="20"/>
                      <w:highlight w:val="none"/>
                      <w:u w:val="none"/>
                      <w:lang w:val="en-US" w:eastAsia="zh-CN" w:bidi="ar"/>
                    </w:rPr>
                    <w:t>合价（元）</w:t>
                  </w:r>
                </w:p>
              </w:tc>
            </w:tr>
            <w:tr w14:paraId="448B6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000000" w:sz="4" w:space="0"/>
                    <w:left w:val="single" w:color="000000" w:sz="4" w:space="0"/>
                    <w:bottom w:val="single" w:color="auto" w:sz="4" w:space="0"/>
                    <w:right w:val="single" w:color="000000" w:sz="4" w:space="0"/>
                  </w:tcBorders>
                  <w:noWrap/>
                  <w:vAlign w:val="center"/>
                </w:tcPr>
                <w:p w14:paraId="081231B9">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1</w:t>
                  </w:r>
                </w:p>
              </w:tc>
              <w:tc>
                <w:tcPr>
                  <w:tcW w:w="1553" w:type="dxa"/>
                  <w:tcBorders>
                    <w:top w:val="single" w:color="000000" w:sz="4" w:space="0"/>
                    <w:left w:val="single" w:color="000000" w:sz="4" w:space="0"/>
                    <w:bottom w:val="single" w:color="auto" w:sz="4" w:space="0"/>
                    <w:right w:val="single" w:color="000000" w:sz="4" w:space="0"/>
                  </w:tcBorders>
                  <w:noWrap/>
                  <w:vAlign w:val="center"/>
                </w:tcPr>
                <w:p w14:paraId="3C00BF03">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办公费用</w:t>
                  </w:r>
                </w:p>
              </w:tc>
              <w:tc>
                <w:tcPr>
                  <w:tcW w:w="745" w:type="dxa"/>
                  <w:tcBorders>
                    <w:top w:val="single" w:color="000000" w:sz="4" w:space="0"/>
                    <w:left w:val="single" w:color="000000" w:sz="4" w:space="0"/>
                    <w:bottom w:val="single" w:color="000000" w:sz="4" w:space="0"/>
                    <w:right w:val="single" w:color="000000" w:sz="4" w:space="0"/>
                  </w:tcBorders>
                  <w:noWrap/>
                  <w:vAlign w:val="center"/>
                </w:tcPr>
                <w:p w14:paraId="3FBE4D56">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1</w:t>
                  </w:r>
                </w:p>
              </w:tc>
              <w:tc>
                <w:tcPr>
                  <w:tcW w:w="828" w:type="dxa"/>
                  <w:tcBorders>
                    <w:top w:val="single" w:color="000000" w:sz="4" w:space="0"/>
                    <w:left w:val="single" w:color="000000" w:sz="4" w:space="0"/>
                    <w:bottom w:val="single" w:color="000000" w:sz="4" w:space="0"/>
                    <w:right w:val="single" w:color="000000" w:sz="4" w:space="0"/>
                  </w:tcBorders>
                  <w:noWrap/>
                  <w:vAlign w:val="center"/>
                </w:tcPr>
                <w:p w14:paraId="1ECD89C4">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项</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23196B87">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BC3734A">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r>
            <w:tr w14:paraId="0CE67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2192D9A">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2</w:t>
                  </w:r>
                </w:p>
              </w:tc>
              <w:tc>
                <w:tcPr>
                  <w:tcW w:w="155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DF733E2">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人员费用</w:t>
                  </w:r>
                </w:p>
              </w:tc>
              <w:tc>
                <w:tcPr>
                  <w:tcW w:w="7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B1BCB">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1BDDD">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项</w:t>
                  </w:r>
                </w:p>
              </w:tc>
              <w:tc>
                <w:tcPr>
                  <w:tcW w:w="9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6018D">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D0C64">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r>
            <w:tr w14:paraId="3B37F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46E760F">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3</w:t>
                  </w:r>
                </w:p>
              </w:tc>
              <w:tc>
                <w:tcPr>
                  <w:tcW w:w="155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CC15DA">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场地费用</w:t>
                  </w:r>
                </w:p>
              </w:tc>
              <w:tc>
                <w:tcPr>
                  <w:tcW w:w="7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27DAE">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32C6E">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项</w:t>
                  </w:r>
                </w:p>
              </w:tc>
              <w:tc>
                <w:tcPr>
                  <w:tcW w:w="9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D98B8">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1D943">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r>
            <w:tr w14:paraId="69E88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EE1A0CB">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4</w:t>
                  </w:r>
                </w:p>
              </w:tc>
              <w:tc>
                <w:tcPr>
                  <w:tcW w:w="155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6C1D8FE">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测绘费</w:t>
                  </w:r>
                </w:p>
              </w:tc>
              <w:tc>
                <w:tcPr>
                  <w:tcW w:w="7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E3195">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07035">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项</w:t>
                  </w:r>
                </w:p>
              </w:tc>
              <w:tc>
                <w:tcPr>
                  <w:tcW w:w="9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D7730">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19E12">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r>
            <w:tr w14:paraId="75C6A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000000" w:sz="4" w:space="0"/>
                    <w:left w:val="single" w:color="000000" w:sz="4" w:space="0"/>
                    <w:bottom w:val="nil"/>
                    <w:right w:val="single" w:color="000000" w:sz="4" w:space="0"/>
                  </w:tcBorders>
                  <w:shd w:val="clear" w:color="auto" w:fill="auto"/>
                  <w:noWrap/>
                  <w:vAlign w:val="center"/>
                </w:tcPr>
                <w:p w14:paraId="6D2FB28E">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5</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5370">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评估费</w:t>
                  </w:r>
                </w:p>
              </w:tc>
              <w:tc>
                <w:tcPr>
                  <w:tcW w:w="7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33B23">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6BA78">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项</w:t>
                  </w:r>
                </w:p>
              </w:tc>
              <w:tc>
                <w:tcPr>
                  <w:tcW w:w="9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A0FB1">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77F52">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r>
            <w:tr w14:paraId="52700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000000" w:sz="4" w:space="0"/>
                    <w:left w:val="single" w:color="000000" w:sz="4" w:space="0"/>
                    <w:bottom w:val="single" w:color="000000" w:sz="4" w:space="0"/>
                    <w:right w:val="single" w:color="000000" w:sz="4" w:space="0"/>
                  </w:tcBorders>
                  <w:noWrap/>
                  <w:vAlign w:val="center"/>
                </w:tcPr>
                <w:p w14:paraId="4EAD755F">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6</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61AB3E24">
                  <w:pPr>
                    <w:keepNext w:val="0"/>
                    <w:keepLines w:val="0"/>
                    <w:widowControl/>
                    <w:suppressLineNumbers w:val="0"/>
                    <w:ind w:firstLine="0" w:firstLineChars="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规划设计费</w:t>
                  </w:r>
                </w:p>
              </w:tc>
              <w:tc>
                <w:tcPr>
                  <w:tcW w:w="745" w:type="dxa"/>
                  <w:tcBorders>
                    <w:top w:val="single" w:color="000000" w:sz="4" w:space="0"/>
                    <w:left w:val="single" w:color="000000" w:sz="4" w:space="0"/>
                    <w:bottom w:val="single" w:color="000000" w:sz="4" w:space="0"/>
                    <w:right w:val="single" w:color="000000" w:sz="4" w:space="0"/>
                  </w:tcBorders>
                  <w:noWrap/>
                  <w:vAlign w:val="center"/>
                </w:tcPr>
                <w:p w14:paraId="1D4D7281">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828" w:type="dxa"/>
                  <w:tcBorders>
                    <w:top w:val="single" w:color="000000" w:sz="4" w:space="0"/>
                    <w:left w:val="single" w:color="000000" w:sz="4" w:space="0"/>
                    <w:bottom w:val="single" w:color="000000" w:sz="4" w:space="0"/>
                    <w:right w:val="single" w:color="000000" w:sz="4" w:space="0"/>
                  </w:tcBorders>
                  <w:noWrap/>
                  <w:vAlign w:val="center"/>
                </w:tcPr>
                <w:p w14:paraId="6197D506">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项</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6D24B934">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4BF5D059">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r>
            <w:tr w14:paraId="1B93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000000" w:sz="4" w:space="0"/>
                    <w:left w:val="single" w:color="000000" w:sz="4" w:space="0"/>
                    <w:bottom w:val="single" w:color="000000" w:sz="4" w:space="0"/>
                    <w:right w:val="single" w:color="000000" w:sz="4" w:space="0"/>
                  </w:tcBorders>
                  <w:noWrap/>
                  <w:vAlign w:val="center"/>
                </w:tcPr>
                <w:p w14:paraId="74EB5943">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7</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514A32E2">
                  <w:pPr>
                    <w:keepNext w:val="0"/>
                    <w:keepLines w:val="0"/>
                    <w:widowControl/>
                    <w:suppressLineNumbers w:val="0"/>
                    <w:ind w:firstLine="0" w:firstLineChars="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调研费</w:t>
                  </w:r>
                </w:p>
              </w:tc>
              <w:tc>
                <w:tcPr>
                  <w:tcW w:w="745" w:type="dxa"/>
                  <w:tcBorders>
                    <w:top w:val="single" w:color="000000" w:sz="4" w:space="0"/>
                    <w:left w:val="single" w:color="000000" w:sz="4" w:space="0"/>
                    <w:bottom w:val="single" w:color="000000" w:sz="4" w:space="0"/>
                    <w:right w:val="single" w:color="000000" w:sz="4" w:space="0"/>
                  </w:tcBorders>
                  <w:noWrap/>
                  <w:vAlign w:val="center"/>
                </w:tcPr>
                <w:p w14:paraId="48DE7BBD">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828" w:type="dxa"/>
                  <w:tcBorders>
                    <w:top w:val="single" w:color="000000" w:sz="4" w:space="0"/>
                    <w:left w:val="single" w:color="000000" w:sz="4" w:space="0"/>
                    <w:bottom w:val="single" w:color="000000" w:sz="4" w:space="0"/>
                    <w:right w:val="single" w:color="000000" w:sz="4" w:space="0"/>
                  </w:tcBorders>
                  <w:noWrap/>
                  <w:vAlign w:val="center"/>
                </w:tcPr>
                <w:p w14:paraId="7F15C7C9">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项</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1641B40A">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2C48AEC9">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r>
            <w:tr w14:paraId="0F86C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000000" w:sz="4" w:space="0"/>
                    <w:left w:val="single" w:color="000000" w:sz="4" w:space="0"/>
                    <w:bottom w:val="single" w:color="000000" w:sz="4" w:space="0"/>
                    <w:right w:val="single" w:color="000000" w:sz="4" w:space="0"/>
                  </w:tcBorders>
                  <w:noWrap/>
                  <w:vAlign w:val="center"/>
                </w:tcPr>
                <w:p w14:paraId="44028BCC">
                  <w:pPr>
                    <w:keepNext w:val="0"/>
                    <w:keepLines w:val="0"/>
                    <w:widowControl/>
                    <w:suppressLineNumbers w:val="0"/>
                    <w:ind w:firstLine="0" w:firstLineChars="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C966CDB">
                  <w:pPr>
                    <w:keepNext w:val="0"/>
                    <w:keepLines w:val="0"/>
                    <w:widowControl/>
                    <w:suppressLineNumbers w:val="0"/>
                    <w:ind w:firstLine="0" w:firstLineChars="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法律服务费</w:t>
                  </w:r>
                </w:p>
              </w:tc>
              <w:tc>
                <w:tcPr>
                  <w:tcW w:w="745" w:type="dxa"/>
                  <w:tcBorders>
                    <w:top w:val="single" w:color="000000" w:sz="4" w:space="0"/>
                    <w:left w:val="single" w:color="000000" w:sz="4" w:space="0"/>
                    <w:bottom w:val="single" w:color="000000" w:sz="4" w:space="0"/>
                    <w:right w:val="single" w:color="000000" w:sz="4" w:space="0"/>
                  </w:tcBorders>
                  <w:noWrap/>
                  <w:vAlign w:val="center"/>
                </w:tcPr>
                <w:p w14:paraId="5AB710C8">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828" w:type="dxa"/>
                  <w:tcBorders>
                    <w:top w:val="single" w:color="000000" w:sz="4" w:space="0"/>
                    <w:left w:val="single" w:color="000000" w:sz="4" w:space="0"/>
                    <w:bottom w:val="single" w:color="000000" w:sz="4" w:space="0"/>
                    <w:right w:val="single" w:color="000000" w:sz="4" w:space="0"/>
                  </w:tcBorders>
                  <w:noWrap/>
                  <w:vAlign w:val="center"/>
                </w:tcPr>
                <w:p w14:paraId="17376058">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项</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48EA1DCC">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55F58DE7">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r>
            <w:tr w14:paraId="7A201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000000" w:sz="4" w:space="0"/>
                    <w:left w:val="single" w:color="000000" w:sz="4" w:space="0"/>
                    <w:bottom w:val="single" w:color="000000" w:sz="4" w:space="0"/>
                    <w:right w:val="single" w:color="000000" w:sz="4" w:space="0"/>
                  </w:tcBorders>
                  <w:noWrap/>
                  <w:vAlign w:val="center"/>
                </w:tcPr>
                <w:p w14:paraId="30B3BDAD">
                  <w:pPr>
                    <w:keepNext w:val="0"/>
                    <w:keepLines w:val="0"/>
                    <w:widowControl/>
                    <w:suppressLineNumbers w:val="0"/>
                    <w:ind w:firstLine="0" w:firstLineChars="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9</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46CA5C68">
                  <w:pPr>
                    <w:keepNext w:val="0"/>
                    <w:keepLines w:val="0"/>
                    <w:widowControl/>
                    <w:suppressLineNumbers w:val="0"/>
                    <w:ind w:firstLine="0" w:firstLineChars="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财税顾问费</w:t>
                  </w:r>
                </w:p>
              </w:tc>
              <w:tc>
                <w:tcPr>
                  <w:tcW w:w="745" w:type="dxa"/>
                  <w:tcBorders>
                    <w:top w:val="single" w:color="000000" w:sz="4" w:space="0"/>
                    <w:left w:val="single" w:color="000000" w:sz="4" w:space="0"/>
                    <w:bottom w:val="single" w:color="000000" w:sz="4" w:space="0"/>
                    <w:right w:val="single" w:color="000000" w:sz="4" w:space="0"/>
                  </w:tcBorders>
                  <w:noWrap/>
                  <w:vAlign w:val="center"/>
                </w:tcPr>
                <w:p w14:paraId="0A729611">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828" w:type="dxa"/>
                  <w:tcBorders>
                    <w:top w:val="single" w:color="000000" w:sz="4" w:space="0"/>
                    <w:left w:val="single" w:color="000000" w:sz="4" w:space="0"/>
                    <w:bottom w:val="single" w:color="000000" w:sz="4" w:space="0"/>
                    <w:right w:val="single" w:color="000000" w:sz="4" w:space="0"/>
                  </w:tcBorders>
                  <w:noWrap/>
                  <w:vAlign w:val="center"/>
                </w:tcPr>
                <w:p w14:paraId="1AE813D8">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项</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63773CBC">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6CF665EE">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r>
            <w:tr w14:paraId="63E13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000000" w:sz="4" w:space="0"/>
                    <w:left w:val="single" w:color="000000" w:sz="4" w:space="0"/>
                    <w:bottom w:val="single" w:color="000000" w:sz="4" w:space="0"/>
                    <w:right w:val="single" w:color="000000" w:sz="4" w:space="0"/>
                  </w:tcBorders>
                  <w:noWrap/>
                  <w:vAlign w:val="center"/>
                </w:tcPr>
                <w:p w14:paraId="0704FE3E">
                  <w:pPr>
                    <w:keepNext w:val="0"/>
                    <w:keepLines w:val="0"/>
                    <w:widowControl/>
                    <w:suppressLineNumbers w:val="0"/>
                    <w:ind w:firstLine="0" w:firstLineChars="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3DAC2BC0">
                  <w:pPr>
                    <w:keepNext w:val="0"/>
                    <w:keepLines w:val="0"/>
                    <w:widowControl/>
                    <w:suppressLineNumbers w:val="0"/>
                    <w:ind w:firstLine="0" w:firstLineChars="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公证费</w:t>
                  </w:r>
                </w:p>
              </w:tc>
              <w:tc>
                <w:tcPr>
                  <w:tcW w:w="745" w:type="dxa"/>
                  <w:tcBorders>
                    <w:top w:val="single" w:color="000000" w:sz="4" w:space="0"/>
                    <w:left w:val="single" w:color="000000" w:sz="4" w:space="0"/>
                    <w:bottom w:val="single" w:color="000000" w:sz="4" w:space="0"/>
                    <w:right w:val="single" w:color="000000" w:sz="4" w:space="0"/>
                  </w:tcBorders>
                  <w:noWrap/>
                  <w:vAlign w:val="center"/>
                </w:tcPr>
                <w:p w14:paraId="69A1E7DF">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828" w:type="dxa"/>
                  <w:tcBorders>
                    <w:top w:val="single" w:color="000000" w:sz="4" w:space="0"/>
                    <w:left w:val="single" w:color="000000" w:sz="4" w:space="0"/>
                    <w:bottom w:val="single" w:color="000000" w:sz="4" w:space="0"/>
                    <w:right w:val="single" w:color="000000" w:sz="4" w:space="0"/>
                  </w:tcBorders>
                  <w:noWrap/>
                  <w:vAlign w:val="center"/>
                </w:tcPr>
                <w:p w14:paraId="1501BE52">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项</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6C72F18F">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A0FC9FF">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p>
              </w:tc>
            </w:tr>
            <w:tr w14:paraId="405EE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000000" w:sz="4" w:space="0"/>
                    <w:left w:val="single" w:color="000000" w:sz="4" w:space="0"/>
                    <w:bottom w:val="single" w:color="000000" w:sz="4" w:space="0"/>
                    <w:right w:val="single" w:color="000000" w:sz="4" w:space="0"/>
                  </w:tcBorders>
                  <w:noWrap/>
                  <w:vAlign w:val="center"/>
                </w:tcPr>
                <w:p w14:paraId="0081839A">
                  <w:pPr>
                    <w:keepNext w:val="0"/>
                    <w:keepLines w:val="0"/>
                    <w:widowControl/>
                    <w:suppressLineNumbers w:val="0"/>
                    <w:ind w:firstLine="0" w:firstLineChars="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w:t>
                  </w:r>
                </w:p>
              </w:tc>
              <w:tc>
                <w:tcPr>
                  <w:tcW w:w="1553" w:type="dxa"/>
                  <w:tcBorders>
                    <w:top w:val="single" w:color="000000" w:sz="4" w:space="0"/>
                    <w:left w:val="single" w:color="000000" w:sz="4" w:space="0"/>
                    <w:bottom w:val="single" w:color="000000" w:sz="4" w:space="0"/>
                    <w:right w:val="single" w:color="000000" w:sz="4" w:space="0"/>
                  </w:tcBorders>
                  <w:noWrap/>
                  <w:vAlign w:val="center"/>
                </w:tcPr>
                <w:p w14:paraId="25BAA955">
                  <w:pPr>
                    <w:keepNext w:val="0"/>
                    <w:keepLines w:val="0"/>
                    <w:widowControl/>
                    <w:suppressLineNumbers w:val="0"/>
                    <w:ind w:firstLine="0" w:firstLineChars="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w:t>
                  </w:r>
                </w:p>
              </w:tc>
              <w:tc>
                <w:tcPr>
                  <w:tcW w:w="745" w:type="dxa"/>
                  <w:tcBorders>
                    <w:top w:val="single" w:color="000000" w:sz="4" w:space="0"/>
                    <w:left w:val="single" w:color="000000" w:sz="4" w:space="0"/>
                    <w:bottom w:val="single" w:color="000000" w:sz="4" w:space="0"/>
                    <w:right w:val="single" w:color="000000" w:sz="4" w:space="0"/>
                  </w:tcBorders>
                  <w:noWrap/>
                  <w:vAlign w:val="center"/>
                </w:tcPr>
                <w:p w14:paraId="6EADC8FE">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kern w:val="0"/>
                      <w:sz w:val="20"/>
                      <w:szCs w:val="20"/>
                      <w:highlight w:val="none"/>
                      <w:u w:val="none"/>
                      <w:lang w:val="en-US" w:eastAsia="zh-CN" w:bidi="ar"/>
                    </w:rPr>
                    <w:t>……</w:t>
                  </w:r>
                </w:p>
              </w:tc>
              <w:tc>
                <w:tcPr>
                  <w:tcW w:w="828" w:type="dxa"/>
                  <w:tcBorders>
                    <w:top w:val="single" w:color="000000" w:sz="4" w:space="0"/>
                    <w:left w:val="single" w:color="000000" w:sz="4" w:space="0"/>
                    <w:bottom w:val="single" w:color="000000" w:sz="4" w:space="0"/>
                    <w:right w:val="single" w:color="000000" w:sz="4" w:space="0"/>
                  </w:tcBorders>
                  <w:noWrap/>
                  <w:vAlign w:val="center"/>
                </w:tcPr>
                <w:p w14:paraId="3AB1C0B4">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kern w:val="0"/>
                      <w:sz w:val="20"/>
                      <w:szCs w:val="20"/>
                      <w:highlight w:val="none"/>
                      <w:u w:val="none"/>
                      <w:lang w:val="en-US" w:eastAsia="zh-CN" w:bidi="ar"/>
                    </w:rPr>
                    <w:t>……</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35451EBE">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5298D1DC">
                  <w:pPr>
                    <w:keepNext w:val="0"/>
                    <w:keepLines w:val="0"/>
                    <w:widowControl/>
                    <w:suppressLineNumbers w:val="0"/>
                    <w:jc w:val="righ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w:t>
                  </w:r>
                </w:p>
              </w:tc>
            </w:tr>
            <w:tr w14:paraId="42A9A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954" w:type="dxa"/>
                  <w:gridSpan w:val="4"/>
                  <w:tcBorders>
                    <w:top w:val="single" w:color="000000" w:sz="4" w:space="0"/>
                    <w:left w:val="single" w:color="000000" w:sz="4" w:space="0"/>
                    <w:bottom w:val="single" w:color="000000" w:sz="4" w:space="0"/>
                    <w:right w:val="single" w:color="000000" w:sz="4" w:space="0"/>
                  </w:tcBorders>
                  <w:noWrap/>
                  <w:vAlign w:val="center"/>
                </w:tcPr>
                <w:p w14:paraId="4C534150">
                  <w:pPr>
                    <w:keepNext w:val="0"/>
                    <w:keepLines w:val="0"/>
                    <w:widowControl/>
                    <w:suppressLineNumbers w:val="0"/>
                    <w:ind w:firstLine="0" w:firstLineChars="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0"/>
                      <w:szCs w:val="20"/>
                      <w:highlight w:val="none"/>
                      <w:u w:val="none"/>
                      <w:lang w:val="en-US" w:eastAsia="zh-CN"/>
                    </w:rPr>
                    <w:t>3年合计项目总价（元）：</w:t>
                  </w:r>
                </w:p>
              </w:tc>
              <w:tc>
                <w:tcPr>
                  <w:tcW w:w="2140" w:type="dxa"/>
                  <w:gridSpan w:val="2"/>
                  <w:tcBorders>
                    <w:top w:val="single" w:color="000000" w:sz="4" w:space="0"/>
                    <w:left w:val="single" w:color="000000" w:sz="4" w:space="0"/>
                    <w:bottom w:val="single" w:color="000000" w:sz="4" w:space="0"/>
                    <w:right w:val="single" w:color="000000" w:sz="4" w:space="0"/>
                  </w:tcBorders>
                  <w:noWrap/>
                  <w:vAlign w:val="center"/>
                </w:tcPr>
                <w:p w14:paraId="6B59F14E">
                  <w:pPr>
                    <w:keepNext w:val="0"/>
                    <w:keepLines w:val="0"/>
                    <w:widowControl/>
                    <w:suppressLineNumbers w:val="0"/>
                    <w:jc w:val="right"/>
                    <w:textAlignment w:val="center"/>
                    <w:rPr>
                      <w:rFonts w:hint="eastAsia" w:ascii="仿宋" w:hAnsi="仿宋" w:eastAsia="仿宋" w:cs="仿宋"/>
                      <w:b/>
                      <w:bCs/>
                      <w:i w:val="0"/>
                      <w:iCs w:val="0"/>
                      <w:color w:val="000000"/>
                      <w:sz w:val="22"/>
                      <w:szCs w:val="22"/>
                      <w:highlight w:val="none"/>
                      <w:u w:val="none"/>
                    </w:rPr>
                  </w:pPr>
                </w:p>
              </w:tc>
            </w:tr>
          </w:tbl>
          <w:p w14:paraId="786CFC81">
            <w:pPr>
              <w:ind w:firstLine="200" w:firstLineChars="100"/>
              <w:rPr>
                <w:rFonts w:hint="default" w:ascii="仿宋" w:hAnsi="仿宋" w:eastAsia="仿宋" w:cs="仿宋"/>
                <w:sz w:val="24"/>
                <w:szCs w:val="24"/>
                <w:lang w:val="en-US"/>
              </w:rPr>
            </w:pPr>
            <w:r>
              <w:rPr>
                <w:rFonts w:hint="eastAsia" w:ascii="仿宋" w:hAnsi="仿宋" w:eastAsia="仿宋" w:cs="仿宋"/>
                <w:i w:val="0"/>
                <w:iCs w:val="0"/>
                <w:color w:val="000000"/>
                <w:sz w:val="20"/>
                <w:szCs w:val="20"/>
                <w:highlight w:val="none"/>
                <w:u w:val="none"/>
                <w:lang w:val="en-US" w:eastAsia="zh-CN"/>
              </w:rPr>
              <w:t>注：供应商可根据实际情况自行修改格式</w:t>
            </w:r>
          </w:p>
        </w:tc>
      </w:tr>
      <w:tr w14:paraId="4EDF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2410" w:type="dxa"/>
            <w:vAlign w:val="center"/>
          </w:tcPr>
          <w:p w14:paraId="4F9CAA19">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相关</w:t>
            </w:r>
            <w:r>
              <w:rPr>
                <w:rFonts w:hint="eastAsia" w:ascii="仿宋" w:hAnsi="仿宋" w:eastAsia="仿宋" w:cs="仿宋"/>
                <w:sz w:val="24"/>
                <w:szCs w:val="24"/>
              </w:rPr>
              <w:t>收费标准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如有</w:t>
            </w:r>
            <w:r>
              <w:rPr>
                <w:rFonts w:hint="eastAsia" w:ascii="仿宋" w:hAnsi="仿宋" w:eastAsia="仿宋" w:cs="仿宋"/>
                <w:sz w:val="24"/>
                <w:szCs w:val="24"/>
                <w:lang w:eastAsia="zh-CN"/>
              </w:rPr>
              <w:t>）</w:t>
            </w:r>
          </w:p>
        </w:tc>
        <w:tc>
          <w:tcPr>
            <w:tcW w:w="6480" w:type="dxa"/>
            <w:gridSpan w:val="3"/>
            <w:vAlign w:val="center"/>
          </w:tcPr>
          <w:p w14:paraId="71BDF1A2">
            <w:pPr>
              <w:rPr>
                <w:rFonts w:hint="eastAsia" w:ascii="仿宋" w:hAnsi="仿宋" w:eastAsia="仿宋" w:cs="仿宋"/>
                <w:b/>
                <w:sz w:val="24"/>
                <w:szCs w:val="24"/>
              </w:rPr>
            </w:pPr>
          </w:p>
        </w:tc>
      </w:tr>
      <w:tr w14:paraId="013B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2410" w:type="dxa"/>
            <w:vAlign w:val="center"/>
          </w:tcPr>
          <w:p w14:paraId="1E737BC2">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建议合同支付方式</w:t>
            </w:r>
          </w:p>
        </w:tc>
        <w:tc>
          <w:tcPr>
            <w:tcW w:w="6480" w:type="dxa"/>
            <w:gridSpan w:val="3"/>
            <w:vAlign w:val="center"/>
          </w:tcPr>
          <w:p w14:paraId="798CDE5B">
            <w:pPr>
              <w:rPr>
                <w:rFonts w:hint="eastAsia" w:ascii="仿宋" w:hAnsi="仿宋" w:eastAsia="仿宋" w:cs="仿宋"/>
                <w:b/>
                <w:sz w:val="24"/>
                <w:szCs w:val="24"/>
              </w:rPr>
            </w:pPr>
          </w:p>
        </w:tc>
      </w:tr>
      <w:tr w14:paraId="6113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2410" w:type="dxa"/>
            <w:vAlign w:val="center"/>
          </w:tcPr>
          <w:p w14:paraId="19EF8DB8">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预估服务期</w:t>
            </w:r>
          </w:p>
          <w:p w14:paraId="788B8CB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（请根据工作内容及自身实际情况填写）</w:t>
            </w:r>
          </w:p>
        </w:tc>
        <w:tc>
          <w:tcPr>
            <w:tcW w:w="6480" w:type="dxa"/>
            <w:gridSpan w:val="3"/>
            <w:vAlign w:val="center"/>
          </w:tcPr>
          <w:p w14:paraId="474968B2">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自合同双方签字盖章之日起两年</w:t>
            </w:r>
          </w:p>
        </w:tc>
      </w:tr>
      <w:tr w14:paraId="303B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exact"/>
          <w:jc w:val="center"/>
        </w:trPr>
        <w:tc>
          <w:tcPr>
            <w:tcW w:w="2410" w:type="dxa"/>
            <w:vAlign w:val="center"/>
          </w:tcPr>
          <w:p w14:paraId="5536451C">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供应商承接本项目的优势</w:t>
            </w:r>
          </w:p>
        </w:tc>
        <w:tc>
          <w:tcPr>
            <w:tcW w:w="6480" w:type="dxa"/>
            <w:gridSpan w:val="3"/>
            <w:vAlign w:val="center"/>
          </w:tcPr>
          <w:p w14:paraId="0E035A10">
            <w:pPr>
              <w:rPr>
                <w:rFonts w:hint="eastAsia" w:ascii="仿宋" w:hAnsi="仿宋" w:eastAsia="仿宋" w:cs="仿宋"/>
                <w:sz w:val="24"/>
                <w:szCs w:val="24"/>
                <w:highlight w:val="none"/>
              </w:rPr>
            </w:pPr>
          </w:p>
        </w:tc>
      </w:tr>
      <w:tr w14:paraId="55A7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exact"/>
          <w:jc w:val="center"/>
        </w:trPr>
        <w:tc>
          <w:tcPr>
            <w:tcW w:w="2410" w:type="dxa"/>
            <w:vAlign w:val="center"/>
          </w:tcPr>
          <w:p w14:paraId="3EAED7E1">
            <w:pPr>
              <w:ind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建议项目方设置的考察评审项</w:t>
            </w:r>
          </w:p>
        </w:tc>
        <w:tc>
          <w:tcPr>
            <w:tcW w:w="6480" w:type="dxa"/>
            <w:gridSpan w:val="3"/>
            <w:vAlign w:val="center"/>
          </w:tcPr>
          <w:p w14:paraId="22E811FC">
            <w:pPr>
              <w:rPr>
                <w:rFonts w:hint="eastAsia" w:ascii="仿宋" w:hAnsi="仿宋" w:eastAsia="仿宋" w:cs="仿宋"/>
                <w:sz w:val="24"/>
                <w:szCs w:val="24"/>
                <w:highlight w:val="none"/>
              </w:rPr>
            </w:pPr>
          </w:p>
        </w:tc>
      </w:tr>
      <w:tr w14:paraId="3142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exact"/>
          <w:jc w:val="center"/>
        </w:trPr>
        <w:tc>
          <w:tcPr>
            <w:tcW w:w="2410" w:type="dxa"/>
            <w:vAlign w:val="center"/>
          </w:tcPr>
          <w:p w14:paraId="303CDBC4">
            <w:pPr>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如后续本项目进行招标，</w:t>
            </w:r>
            <w:r>
              <w:rPr>
                <w:rFonts w:hint="eastAsia" w:ascii="仿宋" w:hAnsi="仿宋" w:eastAsia="仿宋" w:cs="仿宋"/>
                <w:sz w:val="24"/>
                <w:szCs w:val="24"/>
              </w:rPr>
              <w:t>是否有兴趣参与本项目投标</w:t>
            </w:r>
          </w:p>
        </w:tc>
        <w:tc>
          <w:tcPr>
            <w:tcW w:w="6480" w:type="dxa"/>
            <w:gridSpan w:val="3"/>
            <w:vAlign w:val="center"/>
          </w:tcPr>
          <w:p w14:paraId="4BCE4B6C">
            <w:pPr>
              <w:rPr>
                <w:rFonts w:hint="eastAsia" w:ascii="仿宋" w:hAnsi="仿宋" w:eastAsia="仿宋" w:cs="仿宋"/>
                <w:sz w:val="24"/>
                <w:szCs w:val="24"/>
              </w:rPr>
            </w:pPr>
          </w:p>
        </w:tc>
      </w:tr>
      <w:tr w14:paraId="2BA6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exact"/>
          <w:jc w:val="center"/>
        </w:trPr>
        <w:tc>
          <w:tcPr>
            <w:tcW w:w="2410" w:type="dxa"/>
            <w:vAlign w:val="center"/>
          </w:tcPr>
          <w:p w14:paraId="52BA6F8A">
            <w:pPr>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其他意见或建议</w:t>
            </w:r>
          </w:p>
        </w:tc>
        <w:tc>
          <w:tcPr>
            <w:tcW w:w="6480" w:type="dxa"/>
            <w:gridSpan w:val="3"/>
            <w:vAlign w:val="center"/>
          </w:tcPr>
          <w:p w14:paraId="4B70F7AB">
            <w:pPr>
              <w:rPr>
                <w:rFonts w:hint="eastAsia" w:ascii="仿宋" w:hAnsi="仿宋" w:eastAsia="仿宋" w:cs="仿宋"/>
                <w:sz w:val="24"/>
                <w:szCs w:val="24"/>
              </w:rPr>
            </w:pPr>
          </w:p>
        </w:tc>
      </w:tr>
      <w:tr w14:paraId="5DF1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exact"/>
          <w:jc w:val="center"/>
        </w:trPr>
        <w:tc>
          <w:tcPr>
            <w:tcW w:w="2410" w:type="dxa"/>
            <w:vAlign w:val="center"/>
          </w:tcPr>
          <w:p w14:paraId="74DF2915">
            <w:pPr>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rPr>
              <w:t>联系方式</w:t>
            </w:r>
          </w:p>
        </w:tc>
        <w:tc>
          <w:tcPr>
            <w:tcW w:w="6480" w:type="dxa"/>
            <w:gridSpan w:val="3"/>
            <w:vAlign w:val="center"/>
          </w:tcPr>
          <w:p w14:paraId="19F6CF1D">
            <w:pPr>
              <w:rPr>
                <w:rFonts w:hint="eastAsia" w:ascii="仿宋" w:hAnsi="仿宋" w:eastAsia="仿宋" w:cs="仿宋"/>
                <w:sz w:val="24"/>
                <w:szCs w:val="24"/>
              </w:rPr>
            </w:pPr>
            <w:r>
              <w:rPr>
                <w:rFonts w:hint="eastAsia" w:ascii="仿宋" w:hAnsi="仿宋" w:eastAsia="仿宋" w:cs="仿宋"/>
                <w:sz w:val="24"/>
                <w:szCs w:val="24"/>
              </w:rPr>
              <w:t>1.地址：</w:t>
            </w:r>
          </w:p>
          <w:p w14:paraId="035387C9">
            <w:pPr>
              <w:rPr>
                <w:rFonts w:hint="eastAsia" w:ascii="仿宋" w:hAnsi="仿宋" w:eastAsia="仿宋" w:cs="仿宋"/>
                <w:sz w:val="24"/>
                <w:szCs w:val="24"/>
              </w:rPr>
            </w:pPr>
            <w:r>
              <w:rPr>
                <w:rFonts w:hint="eastAsia" w:ascii="仿宋" w:hAnsi="仿宋" w:eastAsia="仿宋" w:cs="仿宋"/>
                <w:sz w:val="24"/>
                <w:szCs w:val="24"/>
              </w:rPr>
              <w:t>2.邮编：</w:t>
            </w:r>
          </w:p>
          <w:p w14:paraId="5E4CD1AB">
            <w:pPr>
              <w:rPr>
                <w:rFonts w:hint="eastAsia" w:ascii="仿宋" w:hAnsi="仿宋" w:eastAsia="仿宋" w:cs="仿宋"/>
                <w:sz w:val="24"/>
                <w:szCs w:val="24"/>
              </w:rPr>
            </w:pPr>
            <w:r>
              <w:rPr>
                <w:rFonts w:hint="eastAsia" w:ascii="仿宋" w:hAnsi="仿宋" w:eastAsia="仿宋" w:cs="仿宋"/>
                <w:sz w:val="24"/>
                <w:szCs w:val="24"/>
              </w:rPr>
              <w:t>3.电话：</w:t>
            </w:r>
          </w:p>
          <w:p w14:paraId="7A5FFE08">
            <w:pPr>
              <w:rPr>
                <w:rFonts w:hint="eastAsia" w:ascii="仿宋" w:hAnsi="仿宋" w:eastAsia="仿宋" w:cs="仿宋"/>
                <w:sz w:val="24"/>
                <w:szCs w:val="24"/>
              </w:rPr>
            </w:pPr>
            <w:r>
              <w:rPr>
                <w:rFonts w:hint="eastAsia" w:ascii="仿宋" w:hAnsi="仿宋" w:eastAsia="仿宋" w:cs="仿宋"/>
                <w:sz w:val="24"/>
                <w:szCs w:val="24"/>
              </w:rPr>
              <w:t>5.E-mail：</w:t>
            </w:r>
          </w:p>
          <w:p w14:paraId="1050FBFD">
            <w:pPr>
              <w:rPr>
                <w:rFonts w:hint="eastAsia" w:ascii="仿宋" w:hAnsi="仿宋" w:eastAsia="仿宋" w:cs="仿宋"/>
                <w:sz w:val="24"/>
                <w:szCs w:val="24"/>
              </w:rPr>
            </w:pPr>
            <w:r>
              <w:rPr>
                <w:rFonts w:hint="eastAsia" w:ascii="仿宋" w:hAnsi="仿宋" w:eastAsia="仿宋" w:cs="仿宋"/>
                <w:sz w:val="24"/>
                <w:szCs w:val="24"/>
              </w:rPr>
              <w:t>6.联系人：</w:t>
            </w:r>
          </w:p>
        </w:tc>
      </w:tr>
    </w:tbl>
    <w:p w14:paraId="2E7D6D27">
      <w:pPr>
        <w:ind w:right="-239" w:rightChars="-114"/>
        <w:jc w:val="right"/>
        <w:rPr>
          <w:rFonts w:hint="eastAsia" w:ascii="仿宋" w:hAnsi="仿宋" w:eastAsia="仿宋" w:cs="仿宋"/>
          <w:b/>
          <w:sz w:val="18"/>
          <w:szCs w:val="18"/>
        </w:rPr>
      </w:pPr>
      <w:r>
        <w:rPr>
          <w:rFonts w:hint="eastAsia" w:ascii="仿宋" w:hAnsi="仿宋" w:eastAsia="仿宋" w:cs="仿宋"/>
          <w:b/>
          <w:sz w:val="18"/>
          <w:szCs w:val="18"/>
        </w:rPr>
        <w:t>（本页不够可加页）</w:t>
      </w:r>
    </w:p>
    <w:p w14:paraId="5B94D1BC">
      <w:pPr>
        <w:jc w:val="center"/>
        <w:rPr>
          <w:rFonts w:hint="eastAsia" w:ascii="仿宋" w:hAnsi="仿宋" w:eastAsia="仿宋" w:cs="仿宋"/>
          <w:b/>
          <w:sz w:val="18"/>
          <w:szCs w:val="18"/>
        </w:rPr>
      </w:pPr>
      <w:r>
        <w:rPr>
          <w:rFonts w:hint="eastAsia" w:ascii="仿宋" w:hAnsi="仿宋" w:eastAsia="仿宋" w:cs="仿宋"/>
          <w:b/>
          <w:sz w:val="18"/>
          <w:szCs w:val="18"/>
        </w:rPr>
        <w:br w:type="page"/>
      </w:r>
    </w:p>
    <w:p w14:paraId="6396776E">
      <w:pPr>
        <w:widowControl/>
        <w:jc w:val="left"/>
        <w:rPr>
          <w:rFonts w:hint="eastAsia" w:ascii="仿宋" w:hAnsi="仿宋" w:eastAsia="仿宋" w:cs="仿宋"/>
          <w:b/>
          <w:sz w:val="18"/>
          <w:szCs w:val="18"/>
        </w:rPr>
      </w:pPr>
    </w:p>
    <w:p w14:paraId="42464C99">
      <w:pPr>
        <w:spacing w:line="520" w:lineRule="exact"/>
        <w:jc w:val="center"/>
        <w:rPr>
          <w:rFonts w:hint="eastAsia" w:ascii="仿宋" w:hAnsi="仿宋" w:eastAsia="仿宋" w:cs="仿宋"/>
          <w:b/>
          <w:sz w:val="36"/>
          <w:szCs w:val="36"/>
        </w:rPr>
      </w:pPr>
      <w:r>
        <w:rPr>
          <w:rFonts w:hint="eastAsia" w:ascii="仿宋" w:hAnsi="仿宋" w:eastAsia="仿宋" w:cs="仿宋"/>
          <w:b/>
          <w:sz w:val="36"/>
          <w:szCs w:val="36"/>
        </w:rPr>
        <w:t>保密承诺书</w:t>
      </w:r>
    </w:p>
    <w:p w14:paraId="7130D3BE">
      <w:pPr>
        <w:spacing w:line="520" w:lineRule="exact"/>
        <w:jc w:val="center"/>
        <w:rPr>
          <w:rFonts w:hint="eastAsia" w:ascii="仿宋" w:hAnsi="仿宋" w:eastAsia="仿宋" w:cs="仿宋"/>
          <w:b/>
          <w:sz w:val="36"/>
          <w:szCs w:val="36"/>
          <w:highlight w:val="none"/>
        </w:rPr>
      </w:pPr>
    </w:p>
    <w:p w14:paraId="3158C1D5">
      <w:pPr>
        <w:adjustRightInd w:val="0"/>
        <w:snapToGrid w:val="0"/>
        <w:spacing w:line="48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本单位自愿参与梅林风水山项目土地用地性质调整服务</w:t>
      </w:r>
      <w:r>
        <w:rPr>
          <w:rFonts w:hint="eastAsia" w:ascii="仿宋" w:hAnsi="仿宋" w:eastAsia="仿宋" w:cs="仿宋"/>
          <w:color w:val="000000"/>
          <w:sz w:val="24"/>
          <w:szCs w:val="24"/>
          <w:highlight w:val="none"/>
        </w:rPr>
        <w:t>市场价格调研工作，为保护</w:t>
      </w:r>
      <w:r>
        <w:rPr>
          <w:rFonts w:hint="eastAsia" w:ascii="仿宋" w:hAnsi="仿宋" w:eastAsia="仿宋" w:cs="仿宋"/>
          <w:color w:val="000000"/>
          <w:sz w:val="24"/>
          <w:szCs w:val="24"/>
          <w:highlight w:val="none"/>
          <w:lang w:val="en-US" w:eastAsia="zh-CN"/>
        </w:rPr>
        <w:t>委托人</w:t>
      </w:r>
      <w:r>
        <w:rPr>
          <w:rFonts w:hint="eastAsia" w:ascii="仿宋" w:hAnsi="仿宋" w:eastAsia="仿宋" w:cs="仿宋"/>
          <w:color w:val="000000"/>
          <w:sz w:val="24"/>
          <w:szCs w:val="24"/>
          <w:highlight w:val="none"/>
        </w:rPr>
        <w:t>涉及该项目的有关工作信息，</w:t>
      </w:r>
      <w:r>
        <w:rPr>
          <w:rFonts w:hint="eastAsia" w:ascii="仿宋" w:hAnsi="仿宋" w:eastAsia="仿宋" w:cs="仿宋"/>
          <w:color w:val="000000"/>
          <w:sz w:val="24"/>
          <w:szCs w:val="24"/>
          <w:highlight w:val="none"/>
          <w:lang w:val="en-US" w:eastAsia="zh-CN"/>
        </w:rPr>
        <w:t>本单位</w:t>
      </w:r>
      <w:r>
        <w:rPr>
          <w:rFonts w:hint="eastAsia" w:ascii="仿宋" w:hAnsi="仿宋" w:eastAsia="仿宋" w:cs="仿宋"/>
          <w:color w:val="000000"/>
          <w:sz w:val="24"/>
          <w:szCs w:val="24"/>
          <w:highlight w:val="none"/>
        </w:rPr>
        <w:t>特做出如下承诺：</w:t>
      </w:r>
    </w:p>
    <w:p w14:paraId="56B4FF4D">
      <w:pPr>
        <w:numPr>
          <w:ilvl w:val="-1"/>
          <w:numId w:val="0"/>
        </w:numPr>
        <w:adjustRightInd w:val="0"/>
        <w:snapToGrid w:val="0"/>
        <w:spacing w:line="48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000000"/>
          <w:sz w:val="24"/>
          <w:szCs w:val="24"/>
          <w:highlight w:val="none"/>
        </w:rPr>
        <w:t>本承诺书所述及的“工作信息”，系指</w:t>
      </w:r>
      <w:r>
        <w:rPr>
          <w:rFonts w:hint="eastAsia" w:ascii="仿宋" w:hAnsi="仿宋" w:eastAsia="仿宋" w:cs="仿宋"/>
          <w:color w:val="000000"/>
          <w:sz w:val="24"/>
          <w:szCs w:val="24"/>
          <w:highlight w:val="none"/>
          <w:lang w:val="en-US" w:eastAsia="zh-CN"/>
        </w:rPr>
        <w:t>委托人或咨询机构</w:t>
      </w:r>
      <w:r>
        <w:rPr>
          <w:rFonts w:hint="eastAsia" w:ascii="仿宋" w:hAnsi="仿宋" w:eastAsia="仿宋" w:cs="仿宋"/>
          <w:color w:val="000000"/>
          <w:sz w:val="24"/>
          <w:szCs w:val="24"/>
          <w:highlight w:val="none"/>
        </w:rPr>
        <w:t>以口头、书面、电子文本或其他形式提供的项目信息等。</w:t>
      </w:r>
    </w:p>
    <w:p w14:paraId="70ACAFDA">
      <w:pPr>
        <w:numPr>
          <w:ilvl w:val="-1"/>
          <w:numId w:val="0"/>
        </w:numPr>
        <w:adjustRightInd w:val="0"/>
        <w:snapToGrid w:val="0"/>
        <w:spacing w:line="48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二、本</w:t>
      </w:r>
      <w:r>
        <w:rPr>
          <w:rFonts w:hint="eastAsia" w:ascii="仿宋" w:hAnsi="仿宋" w:eastAsia="仿宋" w:cs="仿宋"/>
          <w:color w:val="000000"/>
          <w:sz w:val="24"/>
          <w:szCs w:val="24"/>
          <w:highlight w:val="none"/>
          <w:lang w:val="en-US" w:eastAsia="zh-CN"/>
        </w:rPr>
        <w:t>单位</w:t>
      </w:r>
      <w:r>
        <w:rPr>
          <w:rFonts w:hint="eastAsia" w:ascii="仿宋" w:hAnsi="仿宋" w:eastAsia="仿宋" w:cs="仿宋"/>
          <w:color w:val="000000"/>
          <w:sz w:val="24"/>
          <w:szCs w:val="24"/>
          <w:highlight w:val="none"/>
        </w:rPr>
        <w:t>严格控制</w:t>
      </w:r>
      <w:r>
        <w:rPr>
          <w:rFonts w:hint="eastAsia" w:ascii="仿宋" w:hAnsi="仿宋" w:eastAsia="仿宋" w:cs="仿宋"/>
          <w:color w:val="000000"/>
          <w:sz w:val="24"/>
          <w:szCs w:val="24"/>
          <w:highlight w:val="none"/>
          <w:lang w:val="en-US" w:eastAsia="zh-CN"/>
        </w:rPr>
        <w:t>委托人或咨询机构</w:t>
      </w:r>
      <w:r>
        <w:rPr>
          <w:rFonts w:hint="eastAsia" w:ascii="仿宋" w:hAnsi="仿宋" w:eastAsia="仿宋" w:cs="仿宋"/>
          <w:color w:val="000000"/>
          <w:sz w:val="24"/>
          <w:szCs w:val="24"/>
          <w:highlight w:val="none"/>
        </w:rPr>
        <w:t>提供的工作信息，承诺不向任何第三方披露相关内容，并保证采取必要的措施和办法对</w:t>
      </w:r>
      <w:r>
        <w:rPr>
          <w:rFonts w:hint="eastAsia" w:ascii="仿宋" w:hAnsi="仿宋" w:eastAsia="仿宋" w:cs="仿宋"/>
          <w:color w:val="000000"/>
          <w:sz w:val="24"/>
          <w:szCs w:val="24"/>
          <w:highlight w:val="none"/>
          <w:lang w:val="en-US" w:eastAsia="zh-CN"/>
        </w:rPr>
        <w:t>委托人或咨询机构</w:t>
      </w:r>
      <w:r>
        <w:rPr>
          <w:rFonts w:hint="eastAsia" w:ascii="仿宋" w:hAnsi="仿宋" w:eastAsia="仿宋" w:cs="仿宋"/>
          <w:color w:val="000000"/>
          <w:sz w:val="24"/>
          <w:szCs w:val="24"/>
          <w:highlight w:val="none"/>
        </w:rPr>
        <w:t>提供的信息进行保密。</w:t>
      </w:r>
    </w:p>
    <w:p w14:paraId="7D32F153">
      <w:pPr>
        <w:adjustRightInd w:val="0"/>
        <w:snapToGrid w:val="0"/>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highlight w:val="none"/>
        </w:rPr>
        <w:t>三、承诺如违反本承诺书给</w:t>
      </w:r>
      <w:r>
        <w:rPr>
          <w:rFonts w:hint="eastAsia" w:ascii="仿宋" w:hAnsi="仿宋" w:eastAsia="仿宋" w:cs="仿宋"/>
          <w:color w:val="000000"/>
          <w:sz w:val="24"/>
          <w:szCs w:val="24"/>
          <w:highlight w:val="none"/>
          <w:lang w:val="en-US" w:eastAsia="zh-CN"/>
        </w:rPr>
        <w:t>委托人</w:t>
      </w:r>
      <w:r>
        <w:rPr>
          <w:rFonts w:hint="eastAsia" w:ascii="仿宋" w:hAnsi="仿宋" w:eastAsia="仿宋" w:cs="仿宋"/>
          <w:color w:val="000000"/>
          <w:sz w:val="24"/>
          <w:szCs w:val="24"/>
          <w:highlight w:val="none"/>
        </w:rPr>
        <w:t>造成损失的，本</w:t>
      </w:r>
      <w:r>
        <w:rPr>
          <w:rFonts w:hint="eastAsia" w:ascii="仿宋" w:hAnsi="仿宋" w:eastAsia="仿宋" w:cs="仿宋"/>
          <w:color w:val="000000"/>
          <w:sz w:val="24"/>
          <w:szCs w:val="24"/>
          <w:highlight w:val="none"/>
          <w:lang w:val="en-US" w:eastAsia="zh-CN"/>
        </w:rPr>
        <w:t>单位</w:t>
      </w:r>
      <w:r>
        <w:rPr>
          <w:rFonts w:hint="eastAsia" w:ascii="仿宋" w:hAnsi="仿宋" w:eastAsia="仿宋" w:cs="仿宋"/>
          <w:color w:val="000000"/>
          <w:sz w:val="24"/>
          <w:szCs w:val="24"/>
          <w:highlight w:val="none"/>
        </w:rPr>
        <w:t>将承</w:t>
      </w:r>
      <w:r>
        <w:rPr>
          <w:rFonts w:hint="eastAsia" w:ascii="仿宋" w:hAnsi="仿宋" w:eastAsia="仿宋" w:cs="仿宋"/>
          <w:color w:val="000000"/>
          <w:sz w:val="24"/>
          <w:szCs w:val="24"/>
        </w:rPr>
        <w:t>担相应法律责任和赔偿责任。</w:t>
      </w:r>
    </w:p>
    <w:p w14:paraId="58783CD1">
      <w:pPr>
        <w:adjustRightInd w:val="0"/>
        <w:snapToGrid w:val="0"/>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四、本承诺书自</w:t>
      </w:r>
      <w:r>
        <w:rPr>
          <w:rFonts w:hint="eastAsia" w:ascii="仿宋" w:hAnsi="仿宋" w:eastAsia="仿宋" w:cs="仿宋"/>
          <w:color w:val="000000"/>
          <w:sz w:val="24"/>
          <w:szCs w:val="24"/>
          <w:lang w:val="en-US" w:eastAsia="zh-CN"/>
        </w:rPr>
        <w:t>盖章</w:t>
      </w:r>
      <w:r>
        <w:rPr>
          <w:rFonts w:hint="eastAsia" w:ascii="仿宋" w:hAnsi="仿宋" w:eastAsia="仿宋" w:cs="仿宋"/>
          <w:color w:val="000000"/>
          <w:sz w:val="24"/>
          <w:szCs w:val="24"/>
        </w:rPr>
        <w:t>之日起生效。保密期限在本项目</w:t>
      </w:r>
      <w:r>
        <w:rPr>
          <w:rFonts w:hint="eastAsia" w:ascii="仿宋" w:hAnsi="仿宋" w:eastAsia="仿宋" w:cs="仿宋"/>
          <w:color w:val="000000"/>
          <w:sz w:val="24"/>
          <w:szCs w:val="24"/>
          <w:lang w:val="en-US" w:eastAsia="zh-CN"/>
        </w:rPr>
        <w:t>完成</w:t>
      </w:r>
      <w:r>
        <w:rPr>
          <w:rFonts w:hint="eastAsia" w:ascii="仿宋" w:hAnsi="仿宋" w:eastAsia="仿宋" w:cs="仿宋"/>
          <w:color w:val="000000"/>
          <w:sz w:val="24"/>
          <w:szCs w:val="24"/>
        </w:rPr>
        <w:t>后继续有效，解除期限按国家有关规定执行。</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br w:type="textWrapping"/>
      </w:r>
    </w:p>
    <w:p w14:paraId="08422065">
      <w:pPr>
        <w:wordWrap w:val="0"/>
        <w:adjustRightInd w:val="0"/>
        <w:snapToGrid w:val="0"/>
        <w:spacing w:line="480" w:lineRule="exact"/>
        <w:ind w:firstLine="480" w:firstLineChars="20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供应商（盖章）</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 xml:space="preserve">            </w:t>
      </w:r>
    </w:p>
    <w:p w14:paraId="1EBD1D4D">
      <w:pPr>
        <w:adjustRightInd w:val="0"/>
        <w:snapToGrid w:val="0"/>
        <w:spacing w:line="480" w:lineRule="exact"/>
        <w:ind w:firstLine="480" w:firstLineChars="200"/>
        <w:jc w:val="right"/>
        <w:rPr>
          <w:rFonts w:hint="eastAsia" w:ascii="仿宋" w:hAnsi="仿宋" w:eastAsia="仿宋" w:cs="仿宋"/>
          <w:sz w:val="24"/>
          <w:szCs w:val="24"/>
        </w:rPr>
      </w:pPr>
    </w:p>
    <w:p w14:paraId="5FF70799">
      <w:pPr>
        <w:adjustRightInd w:val="0"/>
        <w:snapToGrid w:val="0"/>
        <w:ind w:firstLine="480" w:firstLineChars="200"/>
        <w:jc w:val="right"/>
        <w:rPr>
          <w:rFonts w:hint="eastAsia" w:ascii="仿宋" w:hAnsi="仿宋" w:eastAsia="仿宋" w:cs="仿宋"/>
          <w:color w:val="000000"/>
          <w:sz w:val="24"/>
          <w:szCs w:val="24"/>
        </w:rPr>
      </w:pPr>
    </w:p>
    <w:p w14:paraId="2480FA55">
      <w:pPr>
        <w:wordWrap w:val="0"/>
        <w:adjustRightInd w:val="0"/>
        <w:snapToGrid w:val="0"/>
        <w:ind w:firstLine="480" w:firstLineChars="20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日期：</w:t>
      </w:r>
      <w:r>
        <w:rPr>
          <w:rFonts w:hint="eastAsia" w:ascii="仿宋" w:hAnsi="仿宋" w:eastAsia="仿宋" w:cs="仿宋"/>
          <w:color w:val="000000"/>
          <w:sz w:val="24"/>
          <w:szCs w:val="24"/>
          <w:lang w:val="en-US" w:eastAsia="zh-CN"/>
        </w:rPr>
        <w:t xml:space="preserve">            </w:t>
      </w:r>
    </w:p>
    <w:p w14:paraId="7C2F66F0">
      <w:pPr>
        <w:adjustRightInd w:val="0"/>
        <w:snapToGrid w:val="0"/>
        <w:spacing w:line="360" w:lineRule="auto"/>
        <w:ind w:firstLine="480" w:firstLineChars="200"/>
        <w:rPr>
          <w:rFonts w:hint="eastAsia" w:ascii="仿宋" w:hAnsi="仿宋" w:eastAsia="仿宋" w:cs="仿宋"/>
          <w:sz w:val="24"/>
          <w:szCs w:val="24"/>
          <w:highlight w:val="yellow"/>
        </w:rPr>
      </w:pPr>
    </w:p>
    <w:p w14:paraId="4F10A338">
      <w:pPr>
        <w:pStyle w:val="10"/>
        <w:ind w:left="0" w:leftChars="0" w:firstLine="0" w:firstLineChars="0"/>
        <w:rPr>
          <w:rFonts w:hint="eastAsia" w:ascii="仿宋" w:hAnsi="仿宋" w:eastAsia="仿宋" w:cs="仿宋"/>
          <w:highlight w:val="none"/>
          <w:lang w:val="en-US" w:eastAsia="zh-CN"/>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长城楷体">
    <w:altName w:val="黑体"/>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1" w:fontKey="{77158E39-E13F-4D81-8914-F007589DF2B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5E57D"/>
    <w:multiLevelType w:val="singleLevel"/>
    <w:tmpl w:val="8B75E57D"/>
    <w:lvl w:ilvl="0" w:tentative="0">
      <w:start w:val="1"/>
      <w:numFmt w:val="chineseCounting"/>
      <w:suff w:val="nothing"/>
      <w:lvlText w:val="%1、"/>
      <w:lvlJc w:val="left"/>
      <w:pPr>
        <w:ind w:left="0" w:firstLine="420"/>
      </w:pPr>
      <w:rPr>
        <w:rFonts w:hint="eastAsia"/>
      </w:rPr>
    </w:lvl>
  </w:abstractNum>
  <w:abstractNum w:abstractNumId="1">
    <w:nsid w:val="C6A27546"/>
    <w:multiLevelType w:val="singleLevel"/>
    <w:tmpl w:val="C6A27546"/>
    <w:lvl w:ilvl="0" w:tentative="0">
      <w:start w:val="1"/>
      <w:numFmt w:val="chineseCounting"/>
      <w:suff w:val="nothing"/>
      <w:lvlText w:val="（%1）"/>
      <w:lvlJc w:val="left"/>
      <w:rPr>
        <w:rFonts w:hint="eastAsia"/>
      </w:rPr>
    </w:lvl>
  </w:abstractNum>
  <w:abstractNum w:abstractNumId="2">
    <w:nsid w:val="F3F29D90"/>
    <w:multiLevelType w:val="singleLevel"/>
    <w:tmpl w:val="F3F29D90"/>
    <w:lvl w:ilvl="0" w:tentative="0">
      <w:start w:val="1"/>
      <w:numFmt w:val="decimal"/>
      <w:suff w:val="nothing"/>
      <w:lvlText w:val="%1、"/>
      <w:lvlJc w:val="left"/>
    </w:lvl>
  </w:abstractNum>
  <w:abstractNum w:abstractNumId="3">
    <w:nsid w:val="7E5BCE62"/>
    <w:multiLevelType w:val="singleLevel"/>
    <w:tmpl w:val="7E5BCE62"/>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OTI2MGUxNjJlZWI0ZmE3OWZlY2M1ODQ1ZDdiZDEifQ=="/>
  </w:docVars>
  <w:rsids>
    <w:rsidRoot w:val="00000000"/>
    <w:rsid w:val="00B07992"/>
    <w:rsid w:val="00CA7EEA"/>
    <w:rsid w:val="0157639B"/>
    <w:rsid w:val="022655F4"/>
    <w:rsid w:val="02985DC6"/>
    <w:rsid w:val="044E498E"/>
    <w:rsid w:val="04B36EE7"/>
    <w:rsid w:val="05B15B43"/>
    <w:rsid w:val="06142DFC"/>
    <w:rsid w:val="072B0FB7"/>
    <w:rsid w:val="07982314"/>
    <w:rsid w:val="08041448"/>
    <w:rsid w:val="08070174"/>
    <w:rsid w:val="0840477B"/>
    <w:rsid w:val="0858227F"/>
    <w:rsid w:val="086C1BEB"/>
    <w:rsid w:val="08762705"/>
    <w:rsid w:val="08B03E69"/>
    <w:rsid w:val="0A252635"/>
    <w:rsid w:val="0A460C25"/>
    <w:rsid w:val="0B955598"/>
    <w:rsid w:val="0BB2614A"/>
    <w:rsid w:val="0C9E517D"/>
    <w:rsid w:val="0CD619C5"/>
    <w:rsid w:val="0CDA7707"/>
    <w:rsid w:val="0D783CF0"/>
    <w:rsid w:val="0E151622"/>
    <w:rsid w:val="0F8338D1"/>
    <w:rsid w:val="101A16C6"/>
    <w:rsid w:val="10B61387"/>
    <w:rsid w:val="12411FD6"/>
    <w:rsid w:val="126B3B51"/>
    <w:rsid w:val="12891287"/>
    <w:rsid w:val="13533D6F"/>
    <w:rsid w:val="141E56F5"/>
    <w:rsid w:val="147B13F2"/>
    <w:rsid w:val="14D91146"/>
    <w:rsid w:val="160F6C80"/>
    <w:rsid w:val="16163B51"/>
    <w:rsid w:val="16B82D39"/>
    <w:rsid w:val="19D00070"/>
    <w:rsid w:val="1A89451A"/>
    <w:rsid w:val="1B813443"/>
    <w:rsid w:val="1CFD3FAC"/>
    <w:rsid w:val="1E360773"/>
    <w:rsid w:val="1E413AA8"/>
    <w:rsid w:val="1E6A22F0"/>
    <w:rsid w:val="20796B10"/>
    <w:rsid w:val="20EB5D8F"/>
    <w:rsid w:val="21D249F9"/>
    <w:rsid w:val="2208041A"/>
    <w:rsid w:val="244119C2"/>
    <w:rsid w:val="24AE5267"/>
    <w:rsid w:val="25CB59E7"/>
    <w:rsid w:val="26EA739B"/>
    <w:rsid w:val="272964BA"/>
    <w:rsid w:val="27B57412"/>
    <w:rsid w:val="27BC5F2F"/>
    <w:rsid w:val="27D33279"/>
    <w:rsid w:val="28AA6FC3"/>
    <w:rsid w:val="2A0738EF"/>
    <w:rsid w:val="2B4E055A"/>
    <w:rsid w:val="2B665F42"/>
    <w:rsid w:val="2BB331A5"/>
    <w:rsid w:val="2BF155E3"/>
    <w:rsid w:val="2C1E56F0"/>
    <w:rsid w:val="2C493FB6"/>
    <w:rsid w:val="2E2E435C"/>
    <w:rsid w:val="2EE43FBD"/>
    <w:rsid w:val="300E7B64"/>
    <w:rsid w:val="309117EF"/>
    <w:rsid w:val="30C6397A"/>
    <w:rsid w:val="311A6D9D"/>
    <w:rsid w:val="33386B85"/>
    <w:rsid w:val="33435798"/>
    <w:rsid w:val="33F47ECB"/>
    <w:rsid w:val="34D92E2A"/>
    <w:rsid w:val="357A2F85"/>
    <w:rsid w:val="36973412"/>
    <w:rsid w:val="37023232"/>
    <w:rsid w:val="370519A9"/>
    <w:rsid w:val="37265173"/>
    <w:rsid w:val="37AE5168"/>
    <w:rsid w:val="37C6571A"/>
    <w:rsid w:val="39734C09"/>
    <w:rsid w:val="39900491"/>
    <w:rsid w:val="39A86208"/>
    <w:rsid w:val="3AD74F57"/>
    <w:rsid w:val="3C585561"/>
    <w:rsid w:val="3C6F3118"/>
    <w:rsid w:val="3CD236A7"/>
    <w:rsid w:val="3D78424E"/>
    <w:rsid w:val="3DE73182"/>
    <w:rsid w:val="3DF633C5"/>
    <w:rsid w:val="3E391E19"/>
    <w:rsid w:val="3F424B14"/>
    <w:rsid w:val="3FC65745"/>
    <w:rsid w:val="3FD85C86"/>
    <w:rsid w:val="406126BA"/>
    <w:rsid w:val="40692120"/>
    <w:rsid w:val="417F7802"/>
    <w:rsid w:val="4260230D"/>
    <w:rsid w:val="42B42802"/>
    <w:rsid w:val="457037AA"/>
    <w:rsid w:val="460123B2"/>
    <w:rsid w:val="465115BA"/>
    <w:rsid w:val="46C46EB5"/>
    <w:rsid w:val="47514196"/>
    <w:rsid w:val="48482A6F"/>
    <w:rsid w:val="484D0086"/>
    <w:rsid w:val="487E46E3"/>
    <w:rsid w:val="48971DA8"/>
    <w:rsid w:val="48CE49A4"/>
    <w:rsid w:val="48D55147"/>
    <w:rsid w:val="49814B0B"/>
    <w:rsid w:val="49A37AC8"/>
    <w:rsid w:val="4AC315E2"/>
    <w:rsid w:val="4B460AE7"/>
    <w:rsid w:val="4B531E57"/>
    <w:rsid w:val="4CF338F1"/>
    <w:rsid w:val="4D4D1254"/>
    <w:rsid w:val="4DEF6177"/>
    <w:rsid w:val="4F7F146C"/>
    <w:rsid w:val="4FA76214"/>
    <w:rsid w:val="504F41DB"/>
    <w:rsid w:val="51FF0FAF"/>
    <w:rsid w:val="532B11CD"/>
    <w:rsid w:val="5406112D"/>
    <w:rsid w:val="5418636F"/>
    <w:rsid w:val="54C14BFB"/>
    <w:rsid w:val="56563A90"/>
    <w:rsid w:val="57C46D8D"/>
    <w:rsid w:val="57E00065"/>
    <w:rsid w:val="5875165E"/>
    <w:rsid w:val="590C609C"/>
    <w:rsid w:val="59170F6F"/>
    <w:rsid w:val="5B4B2B4A"/>
    <w:rsid w:val="5BE83C45"/>
    <w:rsid w:val="5D4B473A"/>
    <w:rsid w:val="5DA44AD8"/>
    <w:rsid w:val="5E213F71"/>
    <w:rsid w:val="5E5E7167"/>
    <w:rsid w:val="5EF30D63"/>
    <w:rsid w:val="60E75BD3"/>
    <w:rsid w:val="61163084"/>
    <w:rsid w:val="61834DEC"/>
    <w:rsid w:val="62AD07EA"/>
    <w:rsid w:val="62C751AC"/>
    <w:rsid w:val="63852368"/>
    <w:rsid w:val="63B948A0"/>
    <w:rsid w:val="65A73073"/>
    <w:rsid w:val="65C362F9"/>
    <w:rsid w:val="67950A2E"/>
    <w:rsid w:val="68175A7A"/>
    <w:rsid w:val="69E41C1F"/>
    <w:rsid w:val="69EA1385"/>
    <w:rsid w:val="6A186715"/>
    <w:rsid w:val="6AE13DAC"/>
    <w:rsid w:val="6B4A697B"/>
    <w:rsid w:val="6C9D43C3"/>
    <w:rsid w:val="6CA125CA"/>
    <w:rsid w:val="6D154D66"/>
    <w:rsid w:val="6D3A657B"/>
    <w:rsid w:val="6E35724C"/>
    <w:rsid w:val="6E5C43A6"/>
    <w:rsid w:val="6E7A73D1"/>
    <w:rsid w:val="6EB05B51"/>
    <w:rsid w:val="6EC3474D"/>
    <w:rsid w:val="6EFC61DE"/>
    <w:rsid w:val="70780901"/>
    <w:rsid w:val="723D0FE7"/>
    <w:rsid w:val="73005D38"/>
    <w:rsid w:val="73916F0B"/>
    <w:rsid w:val="73B115BF"/>
    <w:rsid w:val="74703F13"/>
    <w:rsid w:val="74920FDC"/>
    <w:rsid w:val="75182E79"/>
    <w:rsid w:val="75BD1968"/>
    <w:rsid w:val="75C612F4"/>
    <w:rsid w:val="763F191E"/>
    <w:rsid w:val="76E25CB9"/>
    <w:rsid w:val="76FF686B"/>
    <w:rsid w:val="786931D0"/>
    <w:rsid w:val="7875549E"/>
    <w:rsid w:val="78962339"/>
    <w:rsid w:val="792A5740"/>
    <w:rsid w:val="79AC27C7"/>
    <w:rsid w:val="7B022946"/>
    <w:rsid w:val="7B170503"/>
    <w:rsid w:val="7BBA4A5E"/>
    <w:rsid w:val="7C664024"/>
    <w:rsid w:val="7D35262C"/>
    <w:rsid w:val="7D5471E5"/>
    <w:rsid w:val="7D87580C"/>
    <w:rsid w:val="7D8813A9"/>
    <w:rsid w:val="7EA71B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rPr>
      <w:rFonts w:ascii="Times New Roman" w:hAnsi="Times New Roman" w:eastAsia="宋体"/>
      <w:kern w:val="0"/>
      <w:sz w:val="24"/>
      <w:szCs w:val="24"/>
    </w:rPr>
  </w:style>
  <w:style w:type="paragraph" w:customStyle="1" w:styleId="3">
    <w:name w:val="Char Char Char Char Char Char Char Char Char Char Char Char Char Char"/>
    <w:basedOn w:val="1"/>
    <w:qFormat/>
    <w:uiPriority w:val="0"/>
    <w:pPr>
      <w:spacing w:line="360" w:lineRule="auto"/>
      <w:ind w:firstLine="200" w:firstLineChars="200"/>
    </w:pPr>
    <w:rPr>
      <w:rFonts w:ascii="宋体" w:cs="宋体"/>
      <w:color w:val="000000"/>
      <w:kern w:val="0"/>
    </w:rPr>
  </w:style>
  <w:style w:type="paragraph" w:styleId="4">
    <w:name w:val="annotation text"/>
    <w:basedOn w:val="1"/>
    <w:qFormat/>
    <w:uiPriority w:val="0"/>
    <w:pPr>
      <w:jc w:val="left"/>
    </w:pPr>
  </w:style>
  <w:style w:type="paragraph" w:styleId="5">
    <w:name w:val="Body Text"/>
    <w:basedOn w:val="1"/>
    <w:next w:val="1"/>
    <w:qFormat/>
    <w:uiPriority w:val="1"/>
    <w:pPr>
      <w:spacing w:after="120"/>
    </w:pPr>
  </w:style>
  <w:style w:type="paragraph" w:styleId="6">
    <w:name w:val="Body Text First Indent"/>
    <w:basedOn w:val="5"/>
    <w:qFormat/>
    <w:uiPriority w:val="0"/>
    <w:pPr>
      <w:ind w:firstLine="420" w:firstLineChars="100"/>
    </w:pPr>
  </w:style>
  <w:style w:type="character" w:styleId="9">
    <w:name w:val="Hyperlink"/>
    <w:basedOn w:val="8"/>
    <w:qFormat/>
    <w:uiPriority w:val="0"/>
    <w:rPr>
      <w:color w:val="0000FF"/>
      <w:u w:val="single"/>
    </w:rPr>
  </w:style>
  <w:style w:type="paragraph" w:customStyle="1" w:styleId="10">
    <w:name w:val="NormalIndent"/>
    <w:basedOn w:val="1"/>
    <w:qFormat/>
    <w:uiPriority w:val="0"/>
    <w:pPr>
      <w:spacing w:line="560" w:lineRule="exact"/>
      <w:ind w:firstLine="641"/>
      <w:textAlignment w:val="baseline"/>
    </w:pPr>
    <w:rPr>
      <w:rFonts w:ascii="长城楷体" w:hAnsi="长城楷体"/>
      <w:szCs w:val="20"/>
    </w:rPr>
  </w:style>
  <w:style w:type="character" w:customStyle="1" w:styleId="11">
    <w:name w:val="font21"/>
    <w:basedOn w:val="8"/>
    <w:qFormat/>
    <w:uiPriority w:val="0"/>
    <w:rPr>
      <w:rFonts w:ascii="宋体" w:hAnsi="宋体" w:eastAsia="宋体" w:cs="宋体"/>
      <w:color w:val="000000"/>
      <w:sz w:val="16"/>
      <w:szCs w:val="16"/>
      <w:u w:val="none"/>
    </w:rPr>
  </w:style>
  <w:style w:type="paragraph" w:customStyle="1" w:styleId="12">
    <w:name w:val="首行缩进"/>
    <w:qFormat/>
    <w:uiPriority w:val="99"/>
    <w:pPr>
      <w:widowControl w:val="0"/>
      <w:ind w:firstLine="48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2849</Words>
  <Characters>2991</Characters>
  <Lines>0</Lines>
  <Paragraphs>0</Paragraphs>
  <TotalTime>202</TotalTime>
  <ScaleCrop>false</ScaleCrop>
  <LinksUpToDate>false</LinksUpToDate>
  <CharactersWithSpaces>3023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Arenew</cp:lastModifiedBy>
  <cp:lastPrinted>2025-11-13T03:21:00Z</cp:lastPrinted>
  <dcterms:modified xsi:type="dcterms:W3CDTF">2025-11-14T07:40:40Z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6FA510B15F8A4A8EB6D277EDCB175786</vt:lpwstr>
  </property>
  <property fmtid="{D5CDD505-2E9C-101B-9397-08002B2CF9AE}" pid="4" name="KSOTemplateDocerSaveRecord">
    <vt:lpwstr>eyJoZGlkIjoiZDk2MmU5NzMzOGQ4NDBiN2UyYWI0N2QwYWIwODgxM2UiLCJ1c2VySWQiOiI0MDcxNjE1OTIifQ==</vt:lpwstr>
  </property>
</Properties>
</file>